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5211DD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951F58">
        <w:rPr>
          <w:rFonts w:ascii="Palatino Linotype" w:eastAsia="Palatino Linotype" w:hAnsi="Palatino Linotype" w:cs="Palatino Linotype"/>
          <w:color w:val="000000"/>
          <w:sz w:val="24"/>
          <w:szCs w:val="24"/>
        </w:rPr>
        <w:t>México, a 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52CFF89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951F58">
        <w:rPr>
          <w:rFonts w:ascii="Palatino Linotype" w:eastAsia="Palatino Linotype" w:hAnsi="Palatino Linotype" w:cs="Palatino Linotype"/>
          <w:b/>
          <w:color w:val="000000"/>
          <w:sz w:val="24"/>
          <w:szCs w:val="24"/>
        </w:rPr>
        <w:t>0035/INFOEM/IP/RR/2022</w:t>
      </w:r>
      <w:r>
        <w:rPr>
          <w:rFonts w:ascii="Palatino Linotype" w:eastAsia="Palatino Linotype" w:hAnsi="Palatino Linotype" w:cs="Palatino Linotype"/>
          <w:color w:val="000000"/>
          <w:sz w:val="24"/>
          <w:szCs w:val="24"/>
        </w:rPr>
        <w:t>, interpuesto por</w:t>
      </w:r>
      <w:r w:rsidR="00C57E04">
        <w:rPr>
          <w:rFonts w:ascii="Palatino Linotype" w:eastAsia="Palatino Linotype" w:hAnsi="Palatino Linotype" w:cs="Palatino Linotype"/>
          <w:color w:val="000000"/>
          <w:sz w:val="24"/>
          <w:szCs w:val="24"/>
        </w:rPr>
        <w:t xml:space="preserve"> </w:t>
      </w:r>
      <w:r w:rsidR="007E46CA">
        <w:rPr>
          <w:rFonts w:ascii="Palatino Linotype" w:eastAsia="Palatino Linotype" w:hAnsi="Palatino Linotype" w:cs="Palatino Linotype"/>
          <w:b/>
          <w:color w:val="000000"/>
          <w:sz w:val="24"/>
          <w:szCs w:val="24"/>
        </w:rPr>
        <w:t>xxxxxxxxxxxxxxxxxxxxxxxxxxxxxx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005A1929">
        <w:rPr>
          <w:rFonts w:ascii="Palatino Linotype" w:eastAsia="Palatino Linotype" w:hAnsi="Palatino Linotype" w:cs="Palatino Linotype"/>
          <w:b/>
          <w:color w:val="000000"/>
          <w:sz w:val="24"/>
          <w:szCs w:val="24"/>
        </w:rPr>
        <w:t>Ayuntamiento de Teotihuacán</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46C8DED4"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5A1929">
        <w:rPr>
          <w:rFonts w:ascii="Palatino Linotype" w:eastAsia="Palatino Linotype" w:hAnsi="Palatino Linotype" w:cs="Palatino Linotype"/>
          <w:color w:val="000000"/>
          <w:sz w:val="24"/>
          <w:szCs w:val="24"/>
        </w:rPr>
        <w:t>dieciséis de diciembre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5A1929" w:rsidRPr="005A1929">
        <w:rPr>
          <w:rFonts w:ascii="Palatino Linotype" w:eastAsia="Palatino Linotype" w:hAnsi="Palatino Linotype" w:cs="Palatino Linotype"/>
          <w:b/>
          <w:bCs/>
          <w:color w:val="000000"/>
          <w:sz w:val="24"/>
          <w:szCs w:val="24"/>
        </w:rPr>
        <w:t>00136/TEOTIHUA/IP/2021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7B6FB100"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80CBA" w:rsidRPr="00180CBA">
        <w:rPr>
          <w:rFonts w:ascii="Palatino Linotype" w:eastAsia="Palatino Linotype" w:hAnsi="Palatino Linotype" w:cs="Palatino Linotype"/>
          <w:i/>
          <w:color w:val="000000"/>
        </w:rPr>
        <w:t>SOLICITO AL SUJETO OBLIGADO ME INFORME QUE UNIDAD ADMINISTRATIVA SE ENCARGA DE LAS ENAJENACIONES DE BIENES MUEBLES Y DE QUÉ DIRECCIÓN GENERAL DEPENDE DICHA UNIDAD ADMINISTRATIVA.</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7C156F33" w14:textId="498BF3E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180CBA">
        <w:rPr>
          <w:rFonts w:ascii="Palatino Linotype" w:eastAsia="Palatino Linotype" w:hAnsi="Palatino Linotype" w:cs="Palatino Linotype"/>
          <w:color w:val="000000"/>
          <w:sz w:val="24"/>
          <w:szCs w:val="24"/>
        </w:rPr>
        <w:t>veintiuno de diciembre de</w:t>
      </w:r>
      <w:r>
        <w:rPr>
          <w:rFonts w:ascii="Palatino Linotype" w:eastAsia="Palatino Linotype" w:hAnsi="Palatino Linotype" w:cs="Palatino Linotype"/>
          <w:color w:val="000000"/>
          <w:sz w:val="24"/>
          <w:szCs w:val="24"/>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1C534A" w14:textId="77777777" w:rsidR="00180CBA" w:rsidRDefault="00663A37"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80CBA" w:rsidRPr="00180CB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E5B607" w14:textId="77777777" w:rsidR="00180CBA" w:rsidRPr="00180CBA" w:rsidRDefault="00180CBA"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B3ECCB" w14:textId="77777777" w:rsidR="00180CBA" w:rsidRDefault="00180CBA"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80CBA">
        <w:rPr>
          <w:rFonts w:ascii="Palatino Linotype" w:eastAsia="Palatino Linotype" w:hAnsi="Palatino Linotype" w:cs="Palatino Linotype"/>
          <w:i/>
          <w:color w:val="000000"/>
        </w:rPr>
        <w:t>De conformidad con la Ley de Contratación Pública del Estado de México y Municipios, así como lo establecido en su Reglamento y en los Lineamientos para el registro y control de inventario y conciliación y desincorporación de bienes muebles e inmuebles para las entidades fiscalizables municipales del Estado de México, mismos que fueron publicados en la Gaceta de Gobierno No. 9 de fecha 11 de Julio de 2013, las unidades administrativas que se encargan de las enajenaciones de Bienes Muebles, son todas las que tienen que ver con los bienes que se enajenan; sin embargo, se delimitan en procesos establecidos que desahogan principalmente en dos Comités, el de Bienes Muebles e inmuebles y el de Arrendamientos, Adquisiciones de Inmuebles y Enajenaciones, que para el caso del Municipio de Teotihuacán, de conformidad con el Acta de Cabildo No. 12 Ordinaria de fecha 20 de marzo de 2019, se aprobó el Comité de Arrendamientos, Adquisiciones de Inmuebles y Enajenaciones, quedando conformado por las áreas de Secretaría del Ayuntamiento, Unidad Jurídica y Consultiva, Tesorería Municipal, Contraloría Municipal, Sindicatura Municipal y los Titulares de las Áreas Administrativas que estén interesadas en algún asunto relacionado con las atribuciones que enmarca la normatividad mencionada; así mismo el Comité de Bienes Muebles e Inmuebles quedó establecido en el Acta de Cabildo Número 4 Ordinario de fecha 21 de enero de 2019, por las siguientes áreas: Secretaría del Ayuntamiento, Contraloría Municipal, Tesorería Municipal y Unidad Jurídica y Consultiva.</w:t>
      </w:r>
    </w:p>
    <w:p w14:paraId="5F850D4C" w14:textId="77777777" w:rsidR="00180CBA" w:rsidRPr="00180CBA" w:rsidRDefault="00180CBA"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E8FCFFC" w14:textId="77777777" w:rsidR="00180CBA" w:rsidRPr="00180CBA" w:rsidRDefault="00180CBA"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80CBA">
        <w:rPr>
          <w:rFonts w:ascii="Palatino Linotype" w:eastAsia="Palatino Linotype" w:hAnsi="Palatino Linotype" w:cs="Palatino Linotype"/>
          <w:i/>
          <w:color w:val="000000"/>
        </w:rPr>
        <w:t>ATENTAMENTE</w:t>
      </w:r>
    </w:p>
    <w:p w14:paraId="38DF58A5" w14:textId="2E2ABEC7" w:rsidR="00663A37" w:rsidRDefault="00180CBA" w:rsidP="00180CB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80CBA">
        <w:rPr>
          <w:rFonts w:ascii="Palatino Linotype" w:eastAsia="Palatino Linotype" w:hAnsi="Palatino Linotype" w:cs="Palatino Linotype"/>
          <w:i/>
          <w:color w:val="000000"/>
        </w:rPr>
        <w:t>L.C.P. y A.P. MARCO ANTONIO MACÍAS DE LA O</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7A49BF3C" w:rsidR="00663A37" w:rsidRDefault="00C57E04"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 la respuesta se anex</w:t>
      </w:r>
      <w:r w:rsidR="00E85B9A">
        <w:rPr>
          <w:rFonts w:ascii="Palatino Linotype" w:eastAsia="Palatino Linotype" w:hAnsi="Palatino Linotype" w:cs="Palatino Linotype"/>
          <w:color w:val="000000"/>
          <w:sz w:val="24"/>
          <w:szCs w:val="24"/>
        </w:rPr>
        <w:t>ó</w:t>
      </w:r>
      <w:r>
        <w:rPr>
          <w:rFonts w:ascii="Palatino Linotype" w:eastAsia="Palatino Linotype" w:hAnsi="Palatino Linotype" w:cs="Palatino Linotype"/>
          <w:color w:val="000000"/>
          <w:sz w:val="24"/>
          <w:szCs w:val="24"/>
        </w:rPr>
        <w:t xml:space="preserve"> </w:t>
      </w:r>
      <w:r w:rsidR="00E85B9A">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documento electrónico </w:t>
      </w:r>
      <w:r>
        <w:rPr>
          <w:rFonts w:ascii="Palatino Linotype" w:eastAsia="Palatino Linotype" w:hAnsi="Palatino Linotype" w:cs="Palatino Linotype"/>
          <w:b/>
          <w:color w:val="000000"/>
          <w:sz w:val="24"/>
          <w:szCs w:val="24"/>
        </w:rPr>
        <w:t>“</w:t>
      </w:r>
      <w:r w:rsidR="00180CBA">
        <w:rPr>
          <w:rFonts w:ascii="Palatino Linotype" w:eastAsia="Palatino Linotype" w:hAnsi="Palatino Linotype" w:cs="Palatino Linotype"/>
          <w:b/>
          <w:color w:val="000000"/>
          <w:sz w:val="24"/>
          <w:szCs w:val="24"/>
        </w:rPr>
        <w:t>Respuesta Solicitud 136-IP-2021</w:t>
      </w:r>
      <w:r w:rsidR="00E85B9A">
        <w:rPr>
          <w:rFonts w:ascii="Palatino Linotype" w:eastAsia="Palatino Linotype" w:hAnsi="Palatino Linotype" w:cs="Palatino Linotype"/>
          <w:b/>
          <w:color w:val="000000"/>
          <w:sz w:val="24"/>
          <w:szCs w:val="24"/>
        </w:rPr>
        <w:t>.pdf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4203BE">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75FF6A5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857038">
        <w:rPr>
          <w:rFonts w:ascii="Palatino Linotype" w:eastAsia="Palatino Linotype" w:hAnsi="Palatino Linotype" w:cs="Palatino Linotype"/>
          <w:color w:val="000000"/>
          <w:sz w:val="24"/>
          <w:szCs w:val="24"/>
        </w:rPr>
        <w:t>diez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857038">
        <w:rPr>
          <w:rFonts w:ascii="Palatino Linotype" w:eastAsia="Palatino Linotype" w:hAnsi="Palatino Linotype" w:cs="Palatino Linotype"/>
          <w:b/>
          <w:color w:val="000000"/>
          <w:sz w:val="24"/>
          <w:szCs w:val="24"/>
        </w:rPr>
        <w:t>0035/INFOEM/IP/RR/2022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5924AECE"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857038" w:rsidRPr="00857038">
        <w:rPr>
          <w:rFonts w:ascii="Palatino Linotype" w:eastAsia="Palatino Linotype" w:hAnsi="Palatino Linotype" w:cs="Palatino Linotype"/>
          <w:i/>
        </w:rPr>
        <w:t>Solicito al sujeto obligado me informe que unidad administrativa se encarga de las Enajenaciones de Bienes Muebles y de qué Dirección general depende dicha unidad administrativa.</w:t>
      </w:r>
      <w:r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7AD4848B"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857038" w:rsidRPr="00857038">
        <w:rPr>
          <w:rFonts w:ascii="Palatino Linotype" w:eastAsia="Palatino Linotype" w:hAnsi="Palatino Linotype" w:cs="Palatino Linotype"/>
          <w:i/>
        </w:rPr>
        <w:t>Se le solicito al sujeto obligado informara ¿Qué unidad administrativa se encarga de EJECUTAR el procedimiento de enajenación de bienes muebles?</w:t>
      </w:r>
      <w:r w:rsidRPr="00ED4023">
        <w:rPr>
          <w:rFonts w:ascii="Palatino Linotype" w:eastAsia="Palatino Linotype" w:hAnsi="Palatino Linotype" w:cs="Palatino Linotype"/>
          <w:i/>
        </w:rPr>
        <w:t>” (Sic)</w:t>
      </w:r>
    </w:p>
    <w:p w14:paraId="1A3AF587" w14:textId="77777777" w:rsidR="000A7CE8" w:rsidRPr="000A7CE8"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68DCC54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857038">
        <w:rPr>
          <w:rFonts w:ascii="Palatino Linotype" w:eastAsia="Palatino Linotype" w:hAnsi="Palatino Linotype" w:cs="Palatino Linotype"/>
          <w:color w:val="000000"/>
          <w:sz w:val="24"/>
          <w:szCs w:val="24"/>
        </w:rPr>
        <w:t>catorce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lastRenderedPageBreak/>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56390B4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857038">
        <w:rPr>
          <w:rFonts w:ascii="Palatino Linotype" w:eastAsia="Palatino Linotype" w:hAnsi="Palatino Linotype" w:cs="Palatino Linotype"/>
          <w:color w:val="000000"/>
          <w:sz w:val="24"/>
          <w:szCs w:val="24"/>
        </w:rPr>
        <w:t>veintiséis de enero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65730932"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Pr>
          <w:rFonts w:ascii="Palatino Linotype" w:eastAsia="Palatino Linotype" w:hAnsi="Palatino Linotype" w:cs="Palatino Linotype"/>
          <w:color w:val="000000"/>
          <w:sz w:val="24"/>
          <w:szCs w:val="24"/>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4E238C12"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r w:rsidR="007E46CA">
        <w:rPr>
          <w:rFonts w:ascii="Palatino Linotype" w:eastAsia="Palatino Linotype" w:hAnsi="Palatino Linotype" w:cs="Palatino Linotype"/>
          <w:b/>
          <w:bCs/>
          <w:sz w:val="24"/>
          <w:szCs w:val="24"/>
        </w:rPr>
        <w:t>xxxxxxxxxxxxxxxxxxxxxxxxxx</w:t>
      </w:r>
      <w:bookmarkStart w:id="0" w:name="_GoBack"/>
      <w:bookmarkEnd w:id="0"/>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Pr>
          <w:rFonts w:ascii="Palatino Linotype" w:eastAsia="Palatino Linotype" w:hAnsi="Palatino Linotype" w:cs="Palatino Linotype"/>
          <w:i/>
        </w:rPr>
        <w:lastRenderedPageBreak/>
        <w:t>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4E84214B" w14:textId="77777777" w:rsidR="00CE6983" w:rsidRDefault="00CE698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Pr>
          <w:rFonts w:ascii="Palatino Linotype" w:eastAsia="Palatino Linotype" w:hAnsi="Palatino Linotype" w:cs="Palatino Linotype"/>
          <w:color w:val="000000"/>
          <w:sz w:val="24"/>
          <w:szCs w:val="24"/>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18D7D1A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FB35CF">
        <w:rPr>
          <w:rFonts w:ascii="Palatino Linotype" w:eastAsia="Palatino Linotype" w:hAnsi="Palatino Linotype" w:cs="Palatino Linotype"/>
          <w:color w:val="000000"/>
          <w:sz w:val="24"/>
          <w:szCs w:val="24"/>
        </w:rPr>
        <w:t xml:space="preserve">le </w:t>
      </w:r>
      <w:r w:rsidR="00374F14">
        <w:rPr>
          <w:rFonts w:ascii="Palatino Linotype" w:eastAsia="Palatino Linotype" w:hAnsi="Palatino Linotype" w:cs="Palatino Linotype"/>
          <w:color w:val="000000"/>
          <w:sz w:val="24"/>
          <w:szCs w:val="24"/>
        </w:rPr>
        <w:t>informara cuál es la unidad administrativa que se encarga de las enajenaciones de bienes muebles y de cuál dirección general depende.</w:t>
      </w:r>
    </w:p>
    <w:p w14:paraId="43AED26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9D5F1B" w14:textId="44D9E2C8"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w:t>
      </w:r>
      <w:r w:rsidR="00837584">
        <w:rPr>
          <w:rFonts w:ascii="Palatino Linotype" w:eastAsia="Palatino Linotype" w:hAnsi="Palatino Linotype" w:cs="Palatino Linotype"/>
          <w:color w:val="000000"/>
          <w:sz w:val="24"/>
          <w:szCs w:val="24"/>
        </w:rPr>
        <w:t>la presentación de</w:t>
      </w:r>
      <w:r w:rsidR="00FB35CF">
        <w:rPr>
          <w:rFonts w:ascii="Palatino Linotype" w:eastAsia="Palatino Linotype" w:hAnsi="Palatino Linotype" w:cs="Palatino Linotype"/>
          <w:color w:val="000000"/>
          <w:sz w:val="24"/>
          <w:szCs w:val="24"/>
        </w:rPr>
        <w:t xml:space="preserve">l documento denominado </w:t>
      </w:r>
      <w:r w:rsidR="00FB35CF" w:rsidRPr="000107F4">
        <w:rPr>
          <w:rFonts w:ascii="Palatino Linotype" w:eastAsia="Palatino Linotype" w:hAnsi="Palatino Linotype" w:cs="Palatino Linotype"/>
          <w:b/>
          <w:bCs/>
          <w:color w:val="000000"/>
          <w:sz w:val="24"/>
          <w:szCs w:val="24"/>
        </w:rPr>
        <w:t>“</w:t>
      </w:r>
      <w:r w:rsidR="006B5C9B">
        <w:rPr>
          <w:rFonts w:ascii="Palatino Linotype" w:eastAsia="Palatino Linotype" w:hAnsi="Palatino Linotype" w:cs="Palatino Linotype"/>
          <w:b/>
          <w:bCs/>
          <w:color w:val="000000"/>
          <w:sz w:val="24"/>
          <w:szCs w:val="24"/>
        </w:rPr>
        <w:t>Respuesta Solicitud 136-IP-2021</w:t>
      </w:r>
      <w:r w:rsidR="003254AC" w:rsidRPr="000107F4">
        <w:rPr>
          <w:rFonts w:ascii="Palatino Linotype" w:eastAsia="Palatino Linotype" w:hAnsi="Palatino Linotype" w:cs="Palatino Linotype"/>
          <w:b/>
          <w:bCs/>
          <w:color w:val="000000"/>
          <w:sz w:val="24"/>
          <w:szCs w:val="24"/>
        </w:rPr>
        <w:t>.pdf”</w:t>
      </w:r>
      <w:r w:rsidR="003254AC">
        <w:rPr>
          <w:rFonts w:ascii="Palatino Linotype" w:eastAsia="Palatino Linotype" w:hAnsi="Palatino Linotype" w:cs="Palatino Linotype"/>
          <w:color w:val="000000"/>
          <w:sz w:val="24"/>
          <w:szCs w:val="24"/>
        </w:rPr>
        <w:t xml:space="preserve">, que consiste </w:t>
      </w:r>
      <w:r w:rsidR="006B5C9B">
        <w:rPr>
          <w:rFonts w:ascii="Palatino Linotype" w:eastAsia="Palatino Linotype" w:hAnsi="Palatino Linotype" w:cs="Palatino Linotype"/>
          <w:color w:val="000000"/>
          <w:sz w:val="24"/>
          <w:szCs w:val="24"/>
        </w:rPr>
        <w:t>en el oficio SHA/1106/2021, susc</w:t>
      </w:r>
      <w:r w:rsidR="00AE4BD8">
        <w:rPr>
          <w:rFonts w:ascii="Palatino Linotype" w:eastAsia="Palatino Linotype" w:hAnsi="Palatino Linotype" w:cs="Palatino Linotype"/>
          <w:color w:val="000000"/>
          <w:sz w:val="24"/>
          <w:szCs w:val="24"/>
        </w:rPr>
        <w:t>r</w:t>
      </w:r>
      <w:r w:rsidR="006B5C9B">
        <w:rPr>
          <w:rFonts w:ascii="Palatino Linotype" w:eastAsia="Palatino Linotype" w:hAnsi="Palatino Linotype" w:cs="Palatino Linotype"/>
          <w:color w:val="000000"/>
          <w:sz w:val="24"/>
          <w:szCs w:val="24"/>
        </w:rPr>
        <w:t>ito por la Secretaria del Ayuntamiento, con el que se informó sucintamente que las unidades administrativas que se encargan de las enajenaciones de bienes muebles son las mismas unidades administrativas que tienen que ver con los bienes que se enajenan; adem</w:t>
      </w:r>
      <w:r w:rsidR="00311853">
        <w:rPr>
          <w:rFonts w:ascii="Palatino Linotype" w:eastAsia="Palatino Linotype" w:hAnsi="Palatino Linotype" w:cs="Palatino Linotype"/>
          <w:color w:val="000000"/>
          <w:sz w:val="24"/>
          <w:szCs w:val="24"/>
        </w:rPr>
        <w:t xml:space="preserve">ás de que los procesos establecidos se desahogan, principalmente, en dos comités: Comité </w:t>
      </w:r>
      <w:r w:rsidR="00645C13">
        <w:rPr>
          <w:rFonts w:ascii="Palatino Linotype" w:eastAsia="Palatino Linotype" w:hAnsi="Palatino Linotype" w:cs="Palatino Linotype"/>
          <w:color w:val="000000"/>
          <w:sz w:val="24"/>
          <w:szCs w:val="24"/>
        </w:rPr>
        <w:t xml:space="preserve">de Bienes Muebles e Inmuebles y Comité de Arrendamientos, Adquisiciones de Inmuebles y Enajenaciones; el primero está conformado por </w:t>
      </w:r>
      <w:r w:rsidR="006E07E0">
        <w:rPr>
          <w:rFonts w:ascii="Palatino Linotype" w:eastAsia="Palatino Linotype" w:hAnsi="Palatino Linotype" w:cs="Palatino Linotype"/>
          <w:color w:val="000000"/>
          <w:sz w:val="24"/>
          <w:szCs w:val="24"/>
        </w:rPr>
        <w:t xml:space="preserve">la Secretaría del Ayuntamiento, Contraloría Municipal, Sindicatura Municipal, Tesorería Municipal y la Unidad Jurídica y Consultiva; mientras que el segundo se conforma por </w:t>
      </w:r>
      <w:r w:rsidR="00645C13">
        <w:rPr>
          <w:rFonts w:ascii="Palatino Linotype" w:eastAsia="Palatino Linotype" w:hAnsi="Palatino Linotype" w:cs="Palatino Linotype"/>
          <w:color w:val="000000"/>
          <w:sz w:val="24"/>
          <w:szCs w:val="24"/>
        </w:rPr>
        <w:t>las áreas de Secretaría del Ayuntamiento, Unidad Jurídica y Consultiva, Tesorería Municipal, Contraloría Municipal, Sindicatura Municipal y los titulares de las áreas administrativas interesadas</w:t>
      </w:r>
      <w:r w:rsidR="006E07E0">
        <w:rPr>
          <w:rFonts w:ascii="Palatino Linotype" w:eastAsia="Palatino Linotype" w:hAnsi="Palatino Linotype" w:cs="Palatino Linotype"/>
          <w:color w:val="000000"/>
          <w:sz w:val="24"/>
          <w:szCs w:val="24"/>
        </w:rPr>
        <w:t>.</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6B26C2" w14:textId="5921E13A" w:rsidR="000D157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Ante la respuesta del Sujeto Obligado, el Recurrente consideró que su derecho de acceso a la información había sido conculcado por lo que interpuso el presente recurso de revisión señalando como acto impugnado </w:t>
      </w:r>
      <w:r w:rsidR="000D157C">
        <w:rPr>
          <w:rFonts w:ascii="Palatino Linotype" w:eastAsia="Palatino Linotype" w:hAnsi="Palatino Linotype" w:cs="Palatino Linotype"/>
          <w:color w:val="000000"/>
          <w:sz w:val="24"/>
          <w:szCs w:val="24"/>
        </w:rPr>
        <w:t>el texto literal de su solicitud y como motivos de inconformidad se requirió que se respondiera al cuestionamiento de qué unidad administrativa se encarga de ejecutar el procedimiento de enajenación de bienes muebles.</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7C4968DE"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sidR="000D157C">
        <w:rPr>
          <w:rFonts w:ascii="Palatino Linotype" w:hAnsi="Palatino Linotype"/>
        </w:rPr>
        <w:t xml:space="preserve">que, </w:t>
      </w:r>
      <w:r>
        <w:rPr>
          <w:rFonts w:ascii="Palatino Linotype" w:hAnsi="Palatino Linotype"/>
        </w:rPr>
        <w:t>toda vez que el Sujeto Obligado fue omiso de enviar el Informe J</w:t>
      </w:r>
      <w:r w:rsidRPr="00611DBD">
        <w:rPr>
          <w:rFonts w:ascii="Palatino Linotype" w:hAnsi="Palatino Linotype"/>
        </w:rPr>
        <w:t>ustificado</w:t>
      </w:r>
      <w:r w:rsidR="00640F1E" w:rsidRPr="00640F1E">
        <w:rPr>
          <w:rFonts w:ascii="Palatino Linotype" w:hAnsi="Palatino Linotype"/>
        </w:rPr>
        <w:t xml:space="preserve"> </w:t>
      </w:r>
      <w:r w:rsidR="00640F1E" w:rsidRPr="00611DBD">
        <w:rPr>
          <w:rFonts w:ascii="Palatino Linotype" w:hAnsi="Palatino Linotype"/>
        </w:rPr>
        <w:t>ante este Órgano Garante para manifestar lo que a derecho le asistiera y conviniera</w:t>
      </w:r>
      <w:r w:rsidR="00640F1E">
        <w:rPr>
          <w:rFonts w:ascii="Palatino Linotype" w:hAnsi="Palatino Linotype"/>
        </w:rPr>
        <w:t xml:space="preserve"> </w:t>
      </w:r>
      <w:r w:rsidR="000D157C">
        <w:rPr>
          <w:rFonts w:ascii="Palatino Linotype" w:hAnsi="Palatino Linotype"/>
        </w:rPr>
        <w:t>durante</w:t>
      </w:r>
      <w:r w:rsidRPr="00611DBD">
        <w:rPr>
          <w:rFonts w:ascii="Palatino Linotype" w:hAnsi="Palatino Linotype"/>
        </w:rPr>
        <w:t xml:space="preserve"> el término de los siete días hábiles otorgados, dejó de justificar las razones o motivos que lo llevaron a emitir la respuesta que ahora se impugna</w:t>
      </w:r>
      <w:r w:rsidR="00FB35CF">
        <w:rPr>
          <w:rFonts w:ascii="Palatino Linotype" w:hAnsi="Palatino Linotype"/>
        </w:rPr>
        <w:t xml:space="preserve">; no obstante, </w:t>
      </w:r>
      <w:r w:rsidRPr="00611DBD">
        <w:rPr>
          <w:rFonts w:ascii="Palatino Linotype" w:hAnsi="Palatino Linotype"/>
        </w:rPr>
        <w:t>la falta de informe justificado no impide que este Órgano Garante conozca y resuelva el recurso de revisión</w:t>
      </w:r>
      <w:r w:rsidR="00FB35CF">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5DD86EF" w14:textId="37E67FD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0C46994" w14:textId="77777777" w:rsidR="000D157C" w:rsidRDefault="000D157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1CA6D62"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E51E31">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79CBB2D5" w:rsidR="006C2214" w:rsidRPr="00F53325" w:rsidRDefault="006C2214" w:rsidP="006C2214">
      <w:pPr>
        <w:spacing w:after="0" w:line="240" w:lineRule="auto"/>
        <w:ind w:left="567" w:right="567"/>
        <w:jc w:val="both"/>
        <w:rPr>
          <w:rFonts w:ascii="Palatino Linotype" w:eastAsia="Palatino Linotype" w:hAnsi="Palatino Linotype" w:cs="Palatino Linotype"/>
          <w:bCs/>
          <w:i/>
        </w:rPr>
      </w:pPr>
      <w:r w:rsidRPr="00F53325">
        <w:rPr>
          <w:rFonts w:ascii="Palatino Linotype" w:eastAsia="Palatino Linotype" w:hAnsi="Palatino Linotype" w:cs="Palatino Linotype"/>
          <w:i/>
        </w:rPr>
        <w:t>I</w:t>
      </w:r>
      <w:r w:rsidR="00F53325" w:rsidRPr="00F53325">
        <w:rPr>
          <w:rFonts w:ascii="Palatino Linotype" w:eastAsia="Palatino Linotype" w:hAnsi="Palatino Linotype" w:cs="Palatino Linotype"/>
          <w:i/>
        </w:rPr>
        <w:t>V</w:t>
      </w:r>
      <w:r w:rsidRPr="00F53325">
        <w:rPr>
          <w:rFonts w:ascii="Palatino Linotype" w:eastAsia="Palatino Linotype" w:hAnsi="Palatino Linotype" w:cs="Palatino Linotype"/>
          <w:i/>
        </w:rPr>
        <w:t xml:space="preserve">. </w:t>
      </w:r>
      <w:r w:rsidR="00F53325" w:rsidRPr="00F53325">
        <w:rPr>
          <w:rFonts w:ascii="Palatino Linotype" w:hAnsi="Palatino Linotype"/>
          <w:i/>
        </w:rPr>
        <w:t>Los</w:t>
      </w:r>
      <w:r w:rsidR="00F53325" w:rsidRPr="00F53325">
        <w:rPr>
          <w:rFonts w:ascii="Palatino Linotype" w:hAnsi="Palatino Linotype"/>
          <w:i/>
          <w:spacing w:val="-3"/>
        </w:rPr>
        <w:t xml:space="preserve"> </w:t>
      </w:r>
      <w:r w:rsidR="00F53325" w:rsidRPr="00F53325">
        <w:rPr>
          <w:rFonts w:ascii="Palatino Linotype" w:hAnsi="Palatino Linotype"/>
          <w:i/>
        </w:rPr>
        <w:t>ayuntamientos</w:t>
      </w:r>
      <w:r w:rsidR="00F53325" w:rsidRPr="00F53325">
        <w:rPr>
          <w:rFonts w:ascii="Palatino Linotype" w:hAnsi="Palatino Linotype"/>
          <w:i/>
          <w:spacing w:val="-3"/>
        </w:rPr>
        <w:t xml:space="preserve"> </w:t>
      </w:r>
      <w:r w:rsidR="00F53325" w:rsidRPr="00F53325">
        <w:rPr>
          <w:rFonts w:ascii="Palatino Linotype" w:hAnsi="Palatino Linotype"/>
          <w:i/>
        </w:rPr>
        <w:t>y</w:t>
      </w:r>
      <w:r w:rsidR="00F53325" w:rsidRPr="00F53325">
        <w:rPr>
          <w:rFonts w:ascii="Palatino Linotype" w:hAnsi="Palatino Linotype"/>
          <w:i/>
          <w:spacing w:val="-5"/>
        </w:rPr>
        <w:t xml:space="preserve"> </w:t>
      </w:r>
      <w:r w:rsidR="00F53325" w:rsidRPr="00F53325">
        <w:rPr>
          <w:rFonts w:ascii="Palatino Linotype" w:hAnsi="Palatino Linotype"/>
          <w:i/>
        </w:rPr>
        <w:t>las</w:t>
      </w:r>
      <w:r w:rsidR="00F53325" w:rsidRPr="00F53325">
        <w:rPr>
          <w:rFonts w:ascii="Palatino Linotype" w:hAnsi="Palatino Linotype"/>
          <w:i/>
          <w:spacing w:val="-3"/>
        </w:rPr>
        <w:t xml:space="preserve"> </w:t>
      </w:r>
      <w:r w:rsidR="00F53325" w:rsidRPr="00F53325">
        <w:rPr>
          <w:rFonts w:ascii="Palatino Linotype" w:hAnsi="Palatino Linotype"/>
          <w:i/>
        </w:rPr>
        <w:t>dependencias,</w:t>
      </w:r>
      <w:r w:rsidR="00F53325" w:rsidRPr="00F53325">
        <w:rPr>
          <w:rFonts w:ascii="Palatino Linotype" w:hAnsi="Palatino Linotype"/>
          <w:i/>
          <w:spacing w:val="-6"/>
        </w:rPr>
        <w:t xml:space="preserve"> </w:t>
      </w:r>
      <w:r w:rsidR="00F53325" w:rsidRPr="00F53325">
        <w:rPr>
          <w:rFonts w:ascii="Palatino Linotype" w:hAnsi="Palatino Linotype"/>
          <w:i/>
        </w:rPr>
        <w:t>organismos,</w:t>
      </w:r>
      <w:r w:rsidR="00F53325" w:rsidRPr="00F53325">
        <w:rPr>
          <w:rFonts w:ascii="Palatino Linotype" w:hAnsi="Palatino Linotype"/>
          <w:i/>
          <w:spacing w:val="-6"/>
        </w:rPr>
        <w:t xml:space="preserve"> </w:t>
      </w:r>
      <w:r w:rsidR="00F53325" w:rsidRPr="00F53325">
        <w:rPr>
          <w:rFonts w:ascii="Palatino Linotype" w:hAnsi="Palatino Linotype"/>
          <w:i/>
        </w:rPr>
        <w:t>órganos</w:t>
      </w:r>
      <w:r w:rsidR="00F53325" w:rsidRPr="00F53325">
        <w:rPr>
          <w:rFonts w:ascii="Palatino Linotype" w:hAnsi="Palatino Linotype"/>
          <w:i/>
          <w:spacing w:val="-3"/>
        </w:rPr>
        <w:t xml:space="preserve"> </w:t>
      </w:r>
      <w:r w:rsidR="00F53325" w:rsidRPr="00F53325">
        <w:rPr>
          <w:rFonts w:ascii="Palatino Linotype" w:hAnsi="Palatino Linotype"/>
          <w:i/>
        </w:rPr>
        <w:t>y</w:t>
      </w:r>
      <w:r w:rsidR="00F53325" w:rsidRPr="00F53325">
        <w:rPr>
          <w:rFonts w:ascii="Palatino Linotype" w:hAnsi="Palatino Linotype"/>
          <w:i/>
          <w:spacing w:val="-5"/>
        </w:rPr>
        <w:t xml:space="preserve"> </w:t>
      </w:r>
      <w:r w:rsidR="00F53325" w:rsidRPr="00F53325">
        <w:rPr>
          <w:rFonts w:ascii="Palatino Linotype" w:hAnsi="Palatino Linotype"/>
          <w:i/>
        </w:rPr>
        <w:t>entidades</w:t>
      </w:r>
      <w:r w:rsidR="00F53325" w:rsidRPr="00F53325">
        <w:rPr>
          <w:rFonts w:ascii="Palatino Linotype" w:hAnsi="Palatino Linotype"/>
          <w:i/>
          <w:spacing w:val="-3"/>
        </w:rPr>
        <w:t xml:space="preserve"> </w:t>
      </w:r>
      <w:r w:rsidR="00F53325" w:rsidRPr="00F53325">
        <w:rPr>
          <w:rFonts w:ascii="Palatino Linotype" w:hAnsi="Palatino Linotype"/>
          <w:i/>
        </w:rPr>
        <w:t>de</w:t>
      </w:r>
      <w:r w:rsidR="00F53325" w:rsidRPr="00F53325">
        <w:rPr>
          <w:rFonts w:ascii="Palatino Linotype" w:hAnsi="Palatino Linotype"/>
          <w:i/>
          <w:spacing w:val="-6"/>
        </w:rPr>
        <w:t xml:space="preserve"> </w:t>
      </w:r>
      <w:r w:rsidR="00F53325" w:rsidRPr="00F53325">
        <w:rPr>
          <w:rFonts w:ascii="Palatino Linotype" w:hAnsi="Palatino Linotype"/>
          <w:i/>
        </w:rPr>
        <w:t>la</w:t>
      </w:r>
      <w:r w:rsidR="00F53325" w:rsidRPr="00F53325">
        <w:rPr>
          <w:rFonts w:ascii="Palatino Linotype" w:hAnsi="Palatino Linotype"/>
          <w:i/>
          <w:spacing w:val="-6"/>
        </w:rPr>
        <w:t xml:space="preserve"> </w:t>
      </w:r>
      <w:r w:rsidR="00F53325" w:rsidRPr="00F53325">
        <w:rPr>
          <w:rFonts w:ascii="Palatino Linotype" w:hAnsi="Palatino Linotype"/>
          <w:i/>
        </w:rPr>
        <w:t>administración</w:t>
      </w:r>
      <w:r w:rsidR="00F53325" w:rsidRPr="00F53325">
        <w:rPr>
          <w:rFonts w:ascii="Palatino Linotype" w:hAnsi="Palatino Linotype"/>
          <w:i/>
          <w:spacing w:val="-4"/>
        </w:rPr>
        <w:t xml:space="preserve"> </w:t>
      </w:r>
      <w:r w:rsidR="00F53325" w:rsidRPr="00F53325">
        <w:rPr>
          <w:rFonts w:ascii="Palatino Linotype" w:hAnsi="Palatino Linotype"/>
          <w:i/>
        </w:rPr>
        <w:t>municipal;</w:t>
      </w:r>
    </w:p>
    <w:p w14:paraId="398A429A" w14:textId="77777777" w:rsidR="006C2214" w:rsidRPr="00F53325" w:rsidRDefault="006C2214" w:rsidP="006C2214">
      <w:pPr>
        <w:spacing w:after="0" w:line="240" w:lineRule="auto"/>
        <w:ind w:left="567" w:right="567"/>
        <w:jc w:val="both"/>
        <w:rPr>
          <w:rFonts w:ascii="Palatino Linotype" w:eastAsia="Palatino Linotype" w:hAnsi="Palatino Linotype" w:cs="Palatino Linotype"/>
          <w:i/>
        </w:rPr>
      </w:pPr>
      <w:r w:rsidRPr="00F53325">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579423C" w14:textId="676236E0" w:rsidR="00F53325"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F53325">
        <w:rPr>
          <w:rFonts w:ascii="Palatino Linotype" w:eastAsia="Palatino Linotype" w:hAnsi="Palatino Linotype" w:cs="Palatino Linotype"/>
          <w:sz w:val="24"/>
          <w:szCs w:val="24"/>
        </w:rPr>
        <w:t>recordar que el Recurrente solicitó conocer qué unidad administrativa se encarga del procedimiento de enajenación de bienes muebles y, en su caso, a qué dirección general está adscrita.</w:t>
      </w:r>
    </w:p>
    <w:p w14:paraId="3DE0144E" w14:textId="5877C183" w:rsidR="00F53325" w:rsidRDefault="00F53325" w:rsidP="00663A37">
      <w:pPr>
        <w:spacing w:after="0" w:line="360" w:lineRule="auto"/>
        <w:contextualSpacing/>
        <w:jc w:val="both"/>
        <w:rPr>
          <w:rFonts w:ascii="Palatino Linotype" w:eastAsia="Palatino Linotype" w:hAnsi="Palatino Linotype" w:cs="Palatino Linotype"/>
          <w:sz w:val="24"/>
          <w:szCs w:val="24"/>
        </w:rPr>
      </w:pPr>
    </w:p>
    <w:p w14:paraId="05479BE1" w14:textId="14E6FC5A" w:rsidR="00F53325" w:rsidRDefault="006325D2"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lo que la Secretaría del Ayuntamiento respondió </w:t>
      </w:r>
      <w:r w:rsidRPr="004C19D0">
        <w:rPr>
          <w:rFonts w:ascii="Palatino Linotype" w:eastAsia="Palatino Linotype" w:hAnsi="Palatino Linotype" w:cs="Palatino Linotype"/>
          <w:b/>
          <w:bCs/>
          <w:sz w:val="24"/>
          <w:szCs w:val="24"/>
        </w:rPr>
        <w:t xml:space="preserve">que en los procedimientos de enajenación de bienes muebles participan </w:t>
      </w:r>
      <w:r w:rsidR="004C19D0" w:rsidRPr="004C19D0">
        <w:rPr>
          <w:rFonts w:ascii="Palatino Linotype" w:eastAsia="Palatino Linotype" w:hAnsi="Palatino Linotype" w:cs="Palatino Linotype"/>
          <w:b/>
          <w:bCs/>
          <w:sz w:val="24"/>
          <w:szCs w:val="24"/>
        </w:rPr>
        <w:t>las unidades administrativas que tiene</w:t>
      </w:r>
      <w:r w:rsidR="004C19D0">
        <w:rPr>
          <w:rFonts w:ascii="Palatino Linotype" w:eastAsia="Palatino Linotype" w:hAnsi="Palatino Linotype" w:cs="Palatino Linotype"/>
          <w:b/>
          <w:bCs/>
          <w:sz w:val="24"/>
          <w:szCs w:val="24"/>
        </w:rPr>
        <w:t>n que ver con los bienes que se enajenan</w:t>
      </w:r>
      <w:r w:rsidR="007A7285">
        <w:rPr>
          <w:rFonts w:ascii="Palatino Linotype" w:eastAsia="Palatino Linotype" w:hAnsi="Palatino Linotype" w:cs="Palatino Linotype"/>
          <w:sz w:val="24"/>
          <w:szCs w:val="24"/>
        </w:rPr>
        <w:t>, y que esos procedimientos se desahogan en dos Comités: el Comité de Bienes Muebles e Inmuebles y el Comité de Arrendamientos, Adquisiciones de Inmuebles y Enajenaciones; esto de conformidad con lo establecido en la Ley de Contratación Pública del Estado de México y su Reglamento, y en los Lineamientos para el Registro y Control de Inventario</w:t>
      </w:r>
      <w:r w:rsidR="00917ADC">
        <w:rPr>
          <w:rFonts w:ascii="Palatino Linotype" w:eastAsia="Palatino Linotype" w:hAnsi="Palatino Linotype" w:cs="Palatino Linotype"/>
          <w:sz w:val="24"/>
          <w:szCs w:val="24"/>
        </w:rPr>
        <w:t xml:space="preserve"> y la Conciliación y </w:t>
      </w:r>
      <w:r w:rsidR="00917ADC">
        <w:rPr>
          <w:rFonts w:ascii="Palatino Linotype" w:eastAsia="Palatino Linotype" w:hAnsi="Palatino Linotype" w:cs="Palatino Linotype"/>
          <w:sz w:val="24"/>
          <w:szCs w:val="24"/>
        </w:rPr>
        <w:lastRenderedPageBreak/>
        <w:t>Desincorporación de Bienes Muebles e Inmuebles para las Entidades Fiscalizables Municipales del Estado de México.</w:t>
      </w:r>
    </w:p>
    <w:p w14:paraId="7C6BD44B" w14:textId="4FBC4C03" w:rsidR="00421B6B" w:rsidRDefault="00421B6B" w:rsidP="00663A37">
      <w:pPr>
        <w:spacing w:after="0" w:line="360" w:lineRule="auto"/>
        <w:contextualSpacing/>
        <w:jc w:val="both"/>
        <w:rPr>
          <w:rFonts w:ascii="Palatino Linotype" w:eastAsia="Palatino Linotype" w:hAnsi="Palatino Linotype" w:cs="Palatino Linotype"/>
          <w:sz w:val="24"/>
          <w:szCs w:val="24"/>
        </w:rPr>
      </w:pPr>
    </w:p>
    <w:p w14:paraId="2F133644" w14:textId="2036EDDA" w:rsidR="00FC71C7" w:rsidRPr="00D63146" w:rsidRDefault="00421B6B" w:rsidP="00FC71C7">
      <w:pPr>
        <w:spacing w:after="0" w:line="360" w:lineRule="auto"/>
        <w:jc w:val="both"/>
        <w:rPr>
          <w:rFonts w:ascii="Palatino Linotype" w:eastAsiaTheme="minorHAnsi" w:hAnsi="Palatino Linotype" w:cstheme="minorBidi"/>
          <w:sz w:val="24"/>
          <w:szCs w:val="24"/>
          <w:lang w:eastAsia="en-US"/>
        </w:rPr>
      </w:pPr>
      <w:r>
        <w:rPr>
          <w:rFonts w:ascii="Palatino Linotype" w:eastAsia="Palatino Linotype" w:hAnsi="Palatino Linotype" w:cs="Palatino Linotype"/>
          <w:sz w:val="24"/>
          <w:szCs w:val="24"/>
        </w:rPr>
        <w:t xml:space="preserve">De tal forma que el Sujeto Obligado respondió a la interrogante del Recurrente de manera fundada y motivada, emitiendo un pronunciamiento por el cual se atendió la solicitud del particular. </w:t>
      </w:r>
      <w:r w:rsidR="00FC71C7">
        <w:rPr>
          <w:rFonts w:ascii="Palatino Linotype" w:eastAsiaTheme="minorHAnsi" w:hAnsi="Palatino Linotype" w:cstheme="minorBidi"/>
          <w:sz w:val="24"/>
          <w:szCs w:val="24"/>
          <w:lang w:eastAsia="en-US"/>
        </w:rPr>
        <w:t>Por ende</w:t>
      </w:r>
      <w:r w:rsidR="00FC71C7" w:rsidRPr="00D63146">
        <w:rPr>
          <w:rFonts w:ascii="Palatino Linotype" w:eastAsiaTheme="minorHAnsi" w:hAnsi="Palatino Linotype" w:cstheme="minorBidi"/>
          <w:sz w:val="24"/>
          <w:szCs w:val="24"/>
          <w:lang w:eastAsia="en-US"/>
        </w:rPr>
        <w:t>, a</w:t>
      </w:r>
      <w:r w:rsidR="00FC71C7">
        <w:rPr>
          <w:rFonts w:ascii="Palatino Linotype" w:eastAsiaTheme="minorHAnsi" w:hAnsi="Palatino Linotype" w:cstheme="minorBidi"/>
          <w:sz w:val="24"/>
          <w:szCs w:val="24"/>
          <w:lang w:eastAsia="en-US"/>
        </w:rPr>
        <w:t>l existir un pronunciamiento</w:t>
      </w:r>
      <w:r w:rsidR="00FC71C7" w:rsidRPr="00D63146">
        <w:rPr>
          <w:rFonts w:ascii="Palatino Linotype" w:eastAsiaTheme="minorHAnsi" w:hAnsi="Palatino Linotype" w:cstheme="minorBidi"/>
          <w:sz w:val="24"/>
          <w:szCs w:val="24"/>
          <w:lang w:eastAsia="en-US"/>
        </w:rPr>
        <w:t xml:space="preserve"> por parte del Sujeto Obligado, </w:t>
      </w:r>
      <w:r w:rsidR="00FC71C7"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FC71C7">
        <w:rPr>
          <w:rFonts w:ascii="Palatino Linotype" w:eastAsiaTheme="minorHAnsi" w:hAnsi="Palatino Linotype" w:cstheme="minorBidi"/>
          <w:sz w:val="24"/>
          <w:szCs w:val="24"/>
        </w:rPr>
        <w:t>so de revisión, que se pronuncie</w:t>
      </w:r>
      <w:r w:rsidR="00FC71C7" w:rsidRPr="00D63146">
        <w:rPr>
          <w:rFonts w:ascii="Palatino Linotype" w:eastAsiaTheme="minorHAnsi" w:hAnsi="Palatino Linotype" w:cstheme="minorBidi"/>
          <w:sz w:val="24"/>
          <w:szCs w:val="24"/>
        </w:rPr>
        <w:t xml:space="preserve"> al respecto. Por analogía, sirve de apo</w:t>
      </w:r>
      <w:r w:rsidR="00FC71C7">
        <w:rPr>
          <w:rFonts w:ascii="Palatino Linotype" w:eastAsiaTheme="minorHAnsi" w:hAnsi="Palatino Linotype" w:cstheme="minorBidi"/>
          <w:sz w:val="24"/>
          <w:szCs w:val="24"/>
        </w:rPr>
        <w:t>yo a lo anterior el Criterio 31/</w:t>
      </w:r>
      <w:r w:rsidR="00FC71C7"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F159A4F" w14:textId="77777777" w:rsidR="00FC71C7" w:rsidRPr="00D63146" w:rsidRDefault="00FC71C7" w:rsidP="00FC71C7">
      <w:pPr>
        <w:spacing w:after="0" w:line="360" w:lineRule="auto"/>
        <w:jc w:val="both"/>
        <w:rPr>
          <w:rFonts w:ascii="Palatino Linotype" w:eastAsiaTheme="minorHAnsi" w:hAnsi="Palatino Linotype" w:cstheme="minorBidi"/>
          <w:sz w:val="24"/>
          <w:szCs w:val="24"/>
        </w:rPr>
      </w:pPr>
    </w:p>
    <w:p w14:paraId="4ACD86BD" w14:textId="77777777" w:rsidR="00FC71C7" w:rsidRPr="00D63146" w:rsidRDefault="00FC71C7" w:rsidP="00FC71C7">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9B6E9C9" w14:textId="77777777" w:rsidR="00FC71C7" w:rsidRPr="00D63146" w:rsidRDefault="00FC71C7" w:rsidP="00FC71C7">
      <w:pPr>
        <w:spacing w:after="0" w:line="360" w:lineRule="auto"/>
        <w:jc w:val="both"/>
        <w:rPr>
          <w:rFonts w:ascii="Palatino Linotype" w:eastAsiaTheme="minorHAnsi" w:hAnsi="Palatino Linotype" w:cs="Arial"/>
          <w:sz w:val="24"/>
          <w:szCs w:val="24"/>
          <w:lang w:eastAsia="en-US"/>
        </w:rPr>
      </w:pPr>
    </w:p>
    <w:p w14:paraId="093397CB" w14:textId="3B40294D" w:rsidR="00FC71C7" w:rsidRDefault="00FC71C7" w:rsidP="00FC71C7">
      <w:pPr>
        <w:spacing w:after="0" w:line="360" w:lineRule="auto"/>
        <w:jc w:val="both"/>
        <w:rPr>
          <w:rFonts w:ascii="Palatino Linotype" w:eastAsiaTheme="minorHAnsi" w:hAnsi="Palatino Linotype" w:cs="Arial"/>
          <w:sz w:val="24"/>
          <w:szCs w:val="24"/>
          <w:lang w:eastAsia="en-US"/>
        </w:rPr>
      </w:pPr>
      <w:r w:rsidRPr="00D63146">
        <w:rPr>
          <w:rFonts w:ascii="Palatino Linotype" w:eastAsiaTheme="minorHAnsi" w:hAnsi="Palatino Linotype" w:cs="Arial"/>
          <w:sz w:val="24"/>
          <w:szCs w:val="24"/>
          <w:lang w:eastAsia="en-US"/>
        </w:rPr>
        <w:lastRenderedPageBreak/>
        <w:t>De tal forma que el Sujeto Obligado realizó un pronunciamiento con el cual respondió a la solicitud realizada por el hoy Recurrente, cuyo sentido no transgrede el derecho de acceso a la información del particular debido a</w:t>
      </w:r>
      <w:r w:rsidR="00093038">
        <w:rPr>
          <w:rFonts w:ascii="Palatino Linotype" w:eastAsiaTheme="minorHAnsi" w:hAnsi="Palatino Linotype" w:cs="Arial"/>
          <w:sz w:val="24"/>
          <w:szCs w:val="24"/>
          <w:lang w:eastAsia="en-US"/>
        </w:rPr>
        <w:t xml:space="preserve"> que la respuesta de la autoridad atiende el cuestionamiento planteado por el particu</w:t>
      </w:r>
      <w:r w:rsidR="00D46888">
        <w:rPr>
          <w:rFonts w:ascii="Palatino Linotype" w:eastAsiaTheme="minorHAnsi" w:hAnsi="Palatino Linotype" w:cs="Arial"/>
          <w:sz w:val="24"/>
          <w:szCs w:val="24"/>
          <w:lang w:eastAsia="en-US"/>
        </w:rPr>
        <w:t>lar.</w:t>
      </w:r>
    </w:p>
    <w:p w14:paraId="277D4DD5" w14:textId="0D1FBC93" w:rsidR="00D46888" w:rsidRDefault="00D46888" w:rsidP="00FC71C7">
      <w:pPr>
        <w:spacing w:after="0" w:line="360" w:lineRule="auto"/>
        <w:jc w:val="both"/>
        <w:rPr>
          <w:rFonts w:ascii="Palatino Linotype" w:eastAsiaTheme="minorHAnsi" w:hAnsi="Palatino Linotype" w:cs="Arial"/>
          <w:sz w:val="24"/>
          <w:szCs w:val="24"/>
          <w:lang w:eastAsia="en-US"/>
        </w:rPr>
      </w:pPr>
    </w:p>
    <w:p w14:paraId="1591FEDD" w14:textId="166A46BF" w:rsidR="00D46888" w:rsidRDefault="00D46888"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otra parte, respecto del motivo de inconformidad expresado por el Recurrente en el sentido de que se le indique qué unidad administrativa </w:t>
      </w:r>
      <w:r>
        <w:rPr>
          <w:rFonts w:ascii="Palatino Linotype" w:eastAsiaTheme="minorHAnsi" w:hAnsi="Palatino Linotype" w:cs="Arial"/>
          <w:b/>
          <w:bCs/>
          <w:sz w:val="24"/>
          <w:szCs w:val="24"/>
          <w:lang w:eastAsia="en-US"/>
        </w:rPr>
        <w:t>ejecuta</w:t>
      </w:r>
      <w:r>
        <w:rPr>
          <w:rFonts w:ascii="Palatino Linotype" w:eastAsiaTheme="minorHAnsi" w:hAnsi="Palatino Linotype" w:cs="Arial"/>
          <w:sz w:val="24"/>
          <w:szCs w:val="24"/>
          <w:lang w:eastAsia="en-US"/>
        </w:rPr>
        <w:t xml:space="preserve"> las enajenaciones, </w:t>
      </w:r>
      <w:r w:rsidR="003D62D2">
        <w:rPr>
          <w:rFonts w:ascii="Palatino Linotype" w:eastAsiaTheme="minorHAnsi" w:hAnsi="Palatino Linotype" w:cs="Arial"/>
          <w:sz w:val="24"/>
          <w:szCs w:val="24"/>
          <w:lang w:eastAsia="en-US"/>
        </w:rPr>
        <w:t xml:space="preserve">se debe advertir que el Diccionario Panhispánico del Español Jurídico define en verbo ejecutar en su primera acepción como </w:t>
      </w:r>
      <w:r w:rsidR="003D62D2">
        <w:rPr>
          <w:rFonts w:ascii="Palatino Linotype" w:eastAsiaTheme="minorHAnsi" w:hAnsi="Palatino Linotype" w:cs="Arial"/>
          <w:b/>
          <w:bCs/>
          <w:sz w:val="24"/>
          <w:szCs w:val="24"/>
          <w:lang w:eastAsia="en-US"/>
        </w:rPr>
        <w:t>proceder a dar cumplimiento a una disposición una resolución judicial o administrativa, un acto o un contrato</w:t>
      </w:r>
      <w:r w:rsidR="003D62D2">
        <w:rPr>
          <w:rStyle w:val="Refdenotaalpie"/>
          <w:rFonts w:ascii="Palatino Linotype" w:eastAsiaTheme="minorHAnsi" w:hAnsi="Palatino Linotype" w:cs="Arial"/>
          <w:b/>
          <w:bCs/>
          <w:sz w:val="24"/>
          <w:szCs w:val="24"/>
          <w:lang w:eastAsia="en-US"/>
        </w:rPr>
        <w:footnoteReference w:id="2"/>
      </w:r>
      <w:r w:rsidR="003D62D2">
        <w:rPr>
          <w:rFonts w:ascii="Palatino Linotype" w:eastAsiaTheme="minorHAnsi" w:hAnsi="Palatino Linotype" w:cs="Arial"/>
          <w:sz w:val="24"/>
          <w:szCs w:val="24"/>
          <w:lang w:eastAsia="en-US"/>
        </w:rPr>
        <w:t>.</w:t>
      </w:r>
    </w:p>
    <w:p w14:paraId="0628D04D" w14:textId="11CBCE20" w:rsidR="0076180E" w:rsidRDefault="0076180E" w:rsidP="00FC71C7">
      <w:pPr>
        <w:spacing w:after="0" w:line="360" w:lineRule="auto"/>
        <w:jc w:val="both"/>
        <w:rPr>
          <w:rFonts w:ascii="Palatino Linotype" w:eastAsiaTheme="minorHAnsi" w:hAnsi="Palatino Linotype" w:cs="Arial"/>
          <w:sz w:val="24"/>
          <w:szCs w:val="24"/>
          <w:lang w:eastAsia="en-US"/>
        </w:rPr>
      </w:pPr>
    </w:p>
    <w:p w14:paraId="52AF57DF" w14:textId="5D4AFB5E" w:rsidR="0076180E" w:rsidRDefault="0076180E"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De lo que se desprende que la ejecución de la enajen</w:t>
      </w:r>
      <w:r w:rsidR="00AE4BD8">
        <w:rPr>
          <w:rFonts w:ascii="Palatino Linotype" w:eastAsiaTheme="minorHAnsi" w:hAnsi="Palatino Linotype" w:cs="Arial"/>
          <w:sz w:val="24"/>
          <w:szCs w:val="24"/>
          <w:lang w:eastAsia="en-US"/>
        </w:rPr>
        <w:t>a</w:t>
      </w:r>
      <w:r>
        <w:rPr>
          <w:rFonts w:ascii="Palatino Linotype" w:eastAsiaTheme="minorHAnsi" w:hAnsi="Palatino Linotype" w:cs="Arial"/>
          <w:sz w:val="24"/>
          <w:szCs w:val="24"/>
          <w:lang w:eastAsia="en-US"/>
        </w:rPr>
        <w:t>ción debe entenderse como e</w:t>
      </w:r>
      <w:r w:rsidR="00021905">
        <w:rPr>
          <w:rFonts w:ascii="Palatino Linotype" w:eastAsiaTheme="minorHAnsi" w:hAnsi="Palatino Linotype" w:cs="Arial"/>
          <w:sz w:val="24"/>
          <w:szCs w:val="24"/>
          <w:lang w:eastAsia="en-US"/>
        </w:rPr>
        <w:t>l cumplimiento de dicha enajen</w:t>
      </w:r>
      <w:r w:rsidR="00AE4BD8">
        <w:rPr>
          <w:rFonts w:ascii="Palatino Linotype" w:eastAsiaTheme="minorHAnsi" w:hAnsi="Palatino Linotype" w:cs="Arial"/>
          <w:sz w:val="24"/>
          <w:szCs w:val="24"/>
          <w:lang w:eastAsia="en-US"/>
        </w:rPr>
        <w:t>a</w:t>
      </w:r>
      <w:r w:rsidR="00021905">
        <w:rPr>
          <w:rFonts w:ascii="Palatino Linotype" w:eastAsiaTheme="minorHAnsi" w:hAnsi="Palatino Linotype" w:cs="Arial"/>
          <w:sz w:val="24"/>
          <w:szCs w:val="24"/>
          <w:lang w:eastAsia="en-US"/>
        </w:rPr>
        <w:t xml:space="preserve">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que se hace referencia al procedimiento en su totalidad, y no únicamente </w:t>
      </w:r>
      <w:r w:rsidR="00C268AF">
        <w:rPr>
          <w:rFonts w:ascii="Palatino Linotype" w:eastAsiaTheme="minorHAnsi" w:hAnsi="Palatino Linotype" w:cs="Arial"/>
          <w:sz w:val="24"/>
          <w:szCs w:val="24"/>
          <w:lang w:eastAsia="en-US"/>
        </w:rPr>
        <w:t>al inicio del mismo.</w:t>
      </w:r>
    </w:p>
    <w:p w14:paraId="01E87122" w14:textId="4D48CB6A" w:rsidR="00021905" w:rsidRDefault="00021905" w:rsidP="00FC71C7">
      <w:pPr>
        <w:spacing w:after="0" w:line="360" w:lineRule="auto"/>
        <w:jc w:val="both"/>
        <w:rPr>
          <w:rFonts w:ascii="Palatino Linotype" w:eastAsiaTheme="minorHAnsi" w:hAnsi="Palatino Linotype" w:cs="Arial"/>
          <w:sz w:val="24"/>
          <w:szCs w:val="24"/>
          <w:lang w:eastAsia="en-US"/>
        </w:rPr>
      </w:pPr>
    </w:p>
    <w:p w14:paraId="7CB085D6" w14:textId="5724793B" w:rsidR="00021905" w:rsidRDefault="00021905" w:rsidP="00FC71C7">
      <w:pPr>
        <w:spacing w:after="0" w:line="360" w:lineRule="auto"/>
        <w:jc w:val="both"/>
        <w:rPr>
          <w:rFonts w:ascii="Palatino Linotype" w:eastAsia="Palatino Linotype" w:hAnsi="Palatino Linotype" w:cs="Palatino Linotype"/>
          <w:sz w:val="24"/>
          <w:szCs w:val="24"/>
        </w:rPr>
      </w:pPr>
      <w:r>
        <w:rPr>
          <w:rFonts w:ascii="Palatino Linotype" w:eastAsiaTheme="minorHAnsi" w:hAnsi="Palatino Linotype" w:cs="Arial"/>
          <w:sz w:val="24"/>
          <w:szCs w:val="24"/>
          <w:lang w:eastAsia="en-US"/>
        </w:rPr>
        <w:lastRenderedPageBreak/>
        <w:t>Una vez establecido lo anterior, se tiene que el Sujeto Obligado manifestó en su re</w:t>
      </w:r>
      <w:r w:rsidR="00AE4BD8">
        <w:rPr>
          <w:rFonts w:ascii="Palatino Linotype" w:eastAsiaTheme="minorHAnsi" w:hAnsi="Palatino Linotype" w:cs="Arial"/>
          <w:sz w:val="24"/>
          <w:szCs w:val="24"/>
          <w:lang w:eastAsia="en-US"/>
        </w:rPr>
        <w:t>s</w:t>
      </w:r>
      <w:r>
        <w:rPr>
          <w:rFonts w:ascii="Palatino Linotype" w:eastAsiaTheme="minorHAnsi" w:hAnsi="Palatino Linotype" w:cs="Arial"/>
          <w:sz w:val="24"/>
          <w:szCs w:val="24"/>
          <w:lang w:eastAsia="en-US"/>
        </w:rPr>
        <w:t>puesta que</w:t>
      </w:r>
      <w:r w:rsidR="00C268AF">
        <w:rPr>
          <w:rFonts w:ascii="Palatino Linotype" w:eastAsiaTheme="minorHAnsi" w:hAnsi="Palatino Linotype" w:cs="Arial"/>
          <w:sz w:val="24"/>
          <w:szCs w:val="24"/>
          <w:lang w:eastAsia="en-US"/>
        </w:rPr>
        <w:t xml:space="preserve">, de conformidad con la Ley de Contratación Pública del Estado de México y Municipios y su Reglamento, y en los Lineamientos </w:t>
      </w:r>
      <w:r w:rsidR="00C268AF">
        <w:rPr>
          <w:rFonts w:ascii="Palatino Linotype" w:eastAsia="Palatino Linotype" w:hAnsi="Palatino Linotype" w:cs="Palatino Linotype"/>
          <w:sz w:val="24"/>
          <w:szCs w:val="24"/>
        </w:rPr>
        <w:t>para el Registro y Control de Inventario y la Conciliación y Desincorporación de Bienes Muebles e Inmuebles para las Entidades Fiscalizables Municipales del Estado de México, dichos procedimientos se desahogan, para el caso concreto del municip</w:t>
      </w:r>
      <w:r w:rsidR="00AE4BD8">
        <w:rPr>
          <w:rFonts w:ascii="Palatino Linotype" w:eastAsia="Palatino Linotype" w:hAnsi="Palatino Linotype" w:cs="Palatino Linotype"/>
          <w:sz w:val="24"/>
          <w:szCs w:val="24"/>
        </w:rPr>
        <w:t>i</w:t>
      </w:r>
      <w:r w:rsidR="00C268AF">
        <w:rPr>
          <w:rFonts w:ascii="Palatino Linotype" w:eastAsia="Palatino Linotype" w:hAnsi="Palatino Linotype" w:cs="Palatino Linotype"/>
          <w:sz w:val="24"/>
          <w:szCs w:val="24"/>
        </w:rPr>
        <w:t>o de Teotihuacán, por el Comité de Bienes Muebles e Inmuebles y el Comité de Arrendamientos, Adquisiciones de Inmuebles y Enajenaciones.</w:t>
      </w:r>
    </w:p>
    <w:p w14:paraId="4B70AF35" w14:textId="3CFE6D9B" w:rsidR="00C268AF" w:rsidRDefault="00C268AF" w:rsidP="00FC71C7">
      <w:pPr>
        <w:spacing w:after="0" w:line="360" w:lineRule="auto"/>
        <w:jc w:val="both"/>
        <w:rPr>
          <w:rFonts w:ascii="Palatino Linotype" w:eastAsia="Palatino Linotype" w:hAnsi="Palatino Linotype" w:cs="Palatino Linotype"/>
          <w:sz w:val="24"/>
          <w:szCs w:val="24"/>
        </w:rPr>
      </w:pPr>
    </w:p>
    <w:p w14:paraId="07BF95A0" w14:textId="5B607BD2" w:rsidR="00C268AF" w:rsidRDefault="00C268AF" w:rsidP="00FC71C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w:t>
      </w:r>
      <w:r w:rsidR="00FB4B33">
        <w:rPr>
          <w:rFonts w:ascii="Palatino Linotype" w:eastAsia="Palatino Linotype" w:hAnsi="Palatino Linotype" w:cs="Palatino Linotype"/>
          <w:sz w:val="24"/>
          <w:szCs w:val="24"/>
        </w:rPr>
        <w:t>se debe hacer referencia a lo establecido en los artículos 22, 23 y 24 de la Ley de Contratación referida, en los que se estipula lo siguiente:</w:t>
      </w:r>
    </w:p>
    <w:p w14:paraId="1F7B0EFE" w14:textId="4EFAE8BC" w:rsidR="00FB4B33" w:rsidRPr="00FB4B33" w:rsidRDefault="00FB4B33" w:rsidP="00FB4B33">
      <w:pPr>
        <w:spacing w:after="0" w:line="240" w:lineRule="auto"/>
        <w:ind w:left="567" w:right="616"/>
        <w:jc w:val="both"/>
        <w:rPr>
          <w:rFonts w:ascii="Palatino Linotype" w:eastAsia="Palatino Linotype" w:hAnsi="Palatino Linotype" w:cs="Palatino Linotype"/>
          <w:i/>
          <w:iCs/>
        </w:rPr>
      </w:pPr>
    </w:p>
    <w:p w14:paraId="6AE42B83"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Artículo 22.-</w:t>
      </w:r>
      <w:r w:rsidRPr="00FB4B33">
        <w:rPr>
          <w:rFonts w:ascii="Palatino Linotype" w:eastAsiaTheme="minorHAnsi" w:hAnsi="Palatino Linotype" w:cs="Arial"/>
          <w:i/>
          <w:iCs/>
          <w:lang w:eastAsia="en-US"/>
        </w:rPr>
        <w:t xml:space="preserve"> </w:t>
      </w:r>
      <w:r w:rsidRPr="00FB4B33">
        <w:rPr>
          <w:rFonts w:ascii="Palatino Linotype" w:eastAsiaTheme="minorHAnsi" w:hAnsi="Palatino Linotype" w:cs="Arial"/>
          <w:b/>
          <w:bCs/>
          <w:i/>
          <w:iCs/>
          <w:u w:val="single"/>
          <w:lang w:eastAsia="en-US"/>
        </w:rPr>
        <w:t>Los comités son órganos colegiados con facultades de opinión, que tienen por objeto auxiliar a</w:t>
      </w:r>
      <w:r w:rsidRPr="00FB4B33">
        <w:rPr>
          <w:rFonts w:ascii="Palatino Linotype" w:eastAsiaTheme="minorHAnsi" w:hAnsi="Palatino Linotype" w:cs="Arial"/>
          <w:i/>
          <w:iCs/>
          <w:lang w:eastAsia="en-US"/>
        </w:rPr>
        <w:t xml:space="preserve"> la Secretaría, entidades, tribunales administrativos y </w:t>
      </w:r>
      <w:r w:rsidRPr="00FB4B33">
        <w:rPr>
          <w:rFonts w:ascii="Palatino Linotype" w:eastAsiaTheme="minorHAnsi" w:hAnsi="Palatino Linotype" w:cs="Arial"/>
          <w:b/>
          <w:bCs/>
          <w:i/>
          <w:iCs/>
          <w:u w:val="single"/>
          <w:lang w:eastAsia="en-US"/>
        </w:rPr>
        <w:t>ayuntamientos, en la substanciación de los procedimientos de adquisiciones y de servicios</w:t>
      </w:r>
      <w:r w:rsidRPr="00FB4B33">
        <w:rPr>
          <w:rFonts w:ascii="Palatino Linotype" w:eastAsiaTheme="minorHAnsi" w:hAnsi="Palatino Linotype" w:cs="Arial"/>
          <w:i/>
          <w:iCs/>
          <w:lang w:eastAsia="en-US"/>
        </w:rPr>
        <w:t>, de conformidad con el Reglamento y los manuales de operación.</w:t>
      </w:r>
    </w:p>
    <w:p w14:paraId="4E662C1D"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p>
    <w:p w14:paraId="40B72130"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i/>
          <w:iCs/>
          <w:lang w:eastAsia="en-US"/>
        </w:rPr>
        <w:t>En la Secretaría, en cada entidad, tribunal administrativo y ayuntamiento se constituirá un comité de adquisiciones y servicios.</w:t>
      </w:r>
    </w:p>
    <w:p w14:paraId="4C81014F"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p>
    <w:p w14:paraId="0C1C097F"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i/>
          <w:iCs/>
          <w:lang w:eastAsia="en-US"/>
        </w:rPr>
        <w:t>La Secretaría, las entidades, los tribunales administrativos y los ayuntamientos se auxiliarán de un comité de arrendamientos, adquisiciones de inmuebles y enajenaciones.</w:t>
      </w:r>
    </w:p>
    <w:p w14:paraId="2AA4FFCA"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p>
    <w:p w14:paraId="16F5BA22"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Artículo 23.-</w:t>
      </w:r>
      <w:r w:rsidRPr="00FB4B33">
        <w:rPr>
          <w:rFonts w:ascii="Palatino Linotype" w:eastAsiaTheme="minorHAnsi" w:hAnsi="Palatino Linotype" w:cs="Arial"/>
          <w:i/>
          <w:iCs/>
          <w:lang w:eastAsia="en-US"/>
        </w:rPr>
        <w:t xml:space="preserve"> </w:t>
      </w:r>
      <w:r w:rsidRPr="00FB4B33">
        <w:rPr>
          <w:rFonts w:ascii="Palatino Linotype" w:eastAsiaTheme="minorHAnsi" w:hAnsi="Palatino Linotype" w:cs="Arial"/>
          <w:b/>
          <w:bCs/>
          <w:i/>
          <w:iCs/>
          <w:u w:val="single"/>
          <w:lang w:eastAsia="en-US"/>
        </w:rPr>
        <w:t>Los comités de adquisiciones y de servicios tendrán las funciones siguientes</w:t>
      </w:r>
      <w:r w:rsidRPr="00FB4B33">
        <w:rPr>
          <w:rFonts w:ascii="Palatino Linotype" w:eastAsiaTheme="minorHAnsi" w:hAnsi="Palatino Linotype" w:cs="Arial"/>
          <w:i/>
          <w:iCs/>
          <w:lang w:eastAsia="en-US"/>
        </w:rPr>
        <w:t>:</w:t>
      </w:r>
    </w:p>
    <w:p w14:paraId="6BF26458"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p>
    <w:p w14:paraId="257FB8E4" w14:textId="53A5A854"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w:t>
      </w:r>
      <w:r w:rsidRPr="00FB4B33">
        <w:rPr>
          <w:rFonts w:ascii="Palatino Linotype" w:eastAsiaTheme="minorHAnsi" w:hAnsi="Palatino Linotype" w:cs="Arial"/>
          <w:i/>
          <w:iCs/>
          <w:lang w:eastAsia="en-US"/>
        </w:rPr>
        <w:t xml:space="preserve"> Dictaminar sobre la procedencia de los casos de excepción al procedimiento de licitación pública.</w:t>
      </w:r>
    </w:p>
    <w:p w14:paraId="7862CFC4" w14:textId="7C3D384C"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lastRenderedPageBreak/>
        <w:t>II.</w:t>
      </w:r>
      <w:r w:rsidRPr="00FB4B33">
        <w:rPr>
          <w:rFonts w:ascii="Palatino Linotype" w:eastAsiaTheme="minorHAnsi" w:hAnsi="Palatino Linotype" w:cs="Arial"/>
          <w:i/>
          <w:iCs/>
          <w:lang w:eastAsia="en-US"/>
        </w:rPr>
        <w:t xml:space="preserve"> </w:t>
      </w:r>
      <w:r w:rsidRPr="00FB4B33">
        <w:rPr>
          <w:rFonts w:ascii="Palatino Linotype" w:eastAsiaTheme="minorHAnsi" w:hAnsi="Palatino Linotype" w:cs="Arial"/>
          <w:b/>
          <w:bCs/>
          <w:i/>
          <w:iCs/>
          <w:u w:val="single"/>
          <w:lang w:eastAsia="en-US"/>
        </w:rPr>
        <w:t>Participar en los procedimientos de licitación, invitación restringida y adjudicación directa, hasta dejarlos en estado de dictar el fallo correspondiente, incluidos los que tengan que desahogarse bajo la modalidad de subasta inversa</w:t>
      </w:r>
      <w:r w:rsidRPr="00FB4B33">
        <w:rPr>
          <w:rFonts w:ascii="Palatino Linotype" w:eastAsiaTheme="minorHAnsi" w:hAnsi="Palatino Linotype" w:cs="Arial"/>
          <w:i/>
          <w:iCs/>
          <w:lang w:eastAsia="en-US"/>
        </w:rPr>
        <w:t>.</w:t>
      </w:r>
    </w:p>
    <w:p w14:paraId="2C8C96E8" w14:textId="4ECF27F8"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III.</w:t>
      </w:r>
      <w:r w:rsidRPr="00FB4B33">
        <w:rPr>
          <w:rFonts w:ascii="Palatino Linotype" w:eastAsiaTheme="minorHAnsi" w:hAnsi="Palatino Linotype" w:cs="Arial"/>
          <w:i/>
          <w:iCs/>
          <w:lang w:eastAsia="en-US"/>
        </w:rPr>
        <w:t xml:space="preserve"> Emitir los dictámenes de adjudicación.</w:t>
      </w:r>
    </w:p>
    <w:p w14:paraId="288612C2"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IV.</w:t>
      </w:r>
      <w:r w:rsidRPr="00FB4B33">
        <w:rPr>
          <w:rFonts w:ascii="Palatino Linotype" w:eastAsiaTheme="minorHAnsi" w:hAnsi="Palatino Linotype" w:cs="Arial"/>
          <w:i/>
          <w:iCs/>
          <w:lang w:eastAsia="en-US"/>
        </w:rPr>
        <w:t xml:space="preserve"> Las demás que establezca el reglamento de esta Ley. </w:t>
      </w:r>
    </w:p>
    <w:p w14:paraId="3A8A6A1A" w14:textId="77777777" w:rsidR="00FB4B33" w:rsidRPr="00FB4B33" w:rsidRDefault="00FB4B33" w:rsidP="00FB4B33">
      <w:pPr>
        <w:spacing w:after="0" w:line="240" w:lineRule="auto"/>
        <w:ind w:left="567" w:right="616"/>
        <w:jc w:val="both"/>
        <w:rPr>
          <w:rFonts w:ascii="Palatino Linotype" w:eastAsiaTheme="minorHAnsi" w:hAnsi="Palatino Linotype" w:cs="Arial"/>
          <w:b/>
          <w:i/>
          <w:iCs/>
          <w:lang w:eastAsia="en-US"/>
        </w:rPr>
      </w:pPr>
    </w:p>
    <w:p w14:paraId="6B15482D"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Artículo 24.-</w:t>
      </w:r>
      <w:r w:rsidRPr="00FB4B33">
        <w:rPr>
          <w:rFonts w:ascii="Palatino Linotype" w:eastAsiaTheme="minorHAnsi" w:hAnsi="Palatino Linotype" w:cs="Arial"/>
          <w:i/>
          <w:iCs/>
          <w:lang w:eastAsia="en-US"/>
        </w:rPr>
        <w:t xml:space="preserve"> </w:t>
      </w:r>
      <w:r w:rsidRPr="00FB4B33">
        <w:rPr>
          <w:rFonts w:ascii="Palatino Linotype" w:eastAsiaTheme="minorHAnsi" w:hAnsi="Palatino Linotype" w:cs="Arial"/>
          <w:b/>
          <w:bCs/>
          <w:i/>
          <w:iCs/>
          <w:u w:val="single"/>
          <w:lang w:eastAsia="en-US"/>
        </w:rPr>
        <w:t>El comité de arrendamientos, adquisiciones de inmuebles y enajenaciones tendrá las funciones siguientes</w:t>
      </w:r>
      <w:r w:rsidRPr="00FB4B33">
        <w:rPr>
          <w:rFonts w:ascii="Palatino Linotype" w:eastAsiaTheme="minorHAnsi" w:hAnsi="Palatino Linotype" w:cs="Arial"/>
          <w:i/>
          <w:iCs/>
          <w:lang w:eastAsia="en-US"/>
        </w:rPr>
        <w:t>:</w:t>
      </w:r>
    </w:p>
    <w:p w14:paraId="2A7ED34C" w14:textId="77777777"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p>
    <w:p w14:paraId="73361C6B" w14:textId="48BE7D06"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w:t>
      </w:r>
      <w:r w:rsidRPr="00FB4B33">
        <w:rPr>
          <w:rFonts w:ascii="Palatino Linotype" w:eastAsiaTheme="minorHAnsi" w:hAnsi="Palatino Linotype" w:cs="Arial"/>
          <w:i/>
          <w:iCs/>
          <w:lang w:eastAsia="en-US"/>
        </w:rPr>
        <w:t xml:space="preserve"> Dictaminar sobre la procedencia de los casos de excepción al procedimiento de licitación pública, tratándose de adquisición de inmuebles y arrendamientos.</w:t>
      </w:r>
    </w:p>
    <w:p w14:paraId="0FF1AD77" w14:textId="4AC027AA"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II.</w:t>
      </w:r>
      <w:r w:rsidRPr="00FB4B33">
        <w:rPr>
          <w:rFonts w:ascii="Palatino Linotype" w:eastAsiaTheme="minorHAnsi" w:hAnsi="Palatino Linotype" w:cs="Arial"/>
          <w:i/>
          <w:iCs/>
          <w:lang w:eastAsia="en-US"/>
        </w:rPr>
        <w:t xml:space="preserve"> </w:t>
      </w:r>
      <w:r w:rsidRPr="00FB4B33">
        <w:rPr>
          <w:rFonts w:ascii="Palatino Linotype" w:eastAsiaTheme="minorHAnsi" w:hAnsi="Palatino Linotype" w:cs="Arial"/>
          <w:b/>
          <w:bCs/>
          <w:i/>
          <w:iCs/>
          <w:u w:val="single"/>
          <w:lang w:eastAsia="en-US"/>
        </w:rPr>
        <w:t>Participar en los procedimientos de licitación, invitación restringida y adjudicación directa, hasta dejarlos en estado de dictar el fallo correspondiente, tratándose de adquisición de inmuebles y arrendamientos</w:t>
      </w:r>
      <w:r w:rsidRPr="00FB4B33">
        <w:rPr>
          <w:rFonts w:ascii="Palatino Linotype" w:eastAsiaTheme="minorHAnsi" w:hAnsi="Palatino Linotype" w:cs="Arial"/>
          <w:i/>
          <w:iCs/>
          <w:lang w:eastAsia="en-US"/>
        </w:rPr>
        <w:t>.</w:t>
      </w:r>
    </w:p>
    <w:p w14:paraId="000C03E6" w14:textId="56A67415"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III.</w:t>
      </w:r>
      <w:r w:rsidRPr="00FB4B33">
        <w:rPr>
          <w:rFonts w:ascii="Palatino Linotype" w:eastAsiaTheme="minorHAnsi" w:hAnsi="Palatino Linotype" w:cs="Arial"/>
          <w:i/>
          <w:iCs/>
          <w:lang w:eastAsia="en-US"/>
        </w:rPr>
        <w:t xml:space="preserve"> Emitir los dictámenes de adjudicación, tratándose de adquisiciones de inmuebles y arrendamientos.</w:t>
      </w:r>
    </w:p>
    <w:p w14:paraId="1F2F8A7B" w14:textId="78AE6D5D" w:rsidR="00FB4B33"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IV.</w:t>
      </w:r>
      <w:r w:rsidRPr="00FB4B33">
        <w:rPr>
          <w:rFonts w:ascii="Palatino Linotype" w:eastAsiaTheme="minorHAnsi" w:hAnsi="Palatino Linotype" w:cs="Arial"/>
          <w:i/>
          <w:iCs/>
          <w:lang w:eastAsia="en-US"/>
        </w:rPr>
        <w:t xml:space="preserve"> Participar en los procedimientos de subasta pública, hasta dejarlos en estado de dictar el fallo de adjudicación.</w:t>
      </w:r>
    </w:p>
    <w:p w14:paraId="09B1C6DC" w14:textId="5530D534" w:rsidR="003D62D2" w:rsidRPr="00FB4B33" w:rsidRDefault="00FB4B33" w:rsidP="00FB4B33">
      <w:pPr>
        <w:spacing w:after="0" w:line="240" w:lineRule="auto"/>
        <w:ind w:left="567" w:right="616"/>
        <w:jc w:val="both"/>
        <w:rPr>
          <w:rFonts w:ascii="Palatino Linotype" w:eastAsiaTheme="minorHAnsi" w:hAnsi="Palatino Linotype" w:cs="Arial"/>
          <w:i/>
          <w:iCs/>
          <w:lang w:eastAsia="en-US"/>
        </w:rPr>
      </w:pPr>
      <w:r w:rsidRPr="00FB4B33">
        <w:rPr>
          <w:rFonts w:ascii="Palatino Linotype" w:eastAsiaTheme="minorHAnsi" w:hAnsi="Palatino Linotype" w:cs="Arial"/>
          <w:b/>
          <w:i/>
          <w:iCs/>
          <w:lang w:eastAsia="en-US"/>
        </w:rPr>
        <w:t>V.</w:t>
      </w:r>
      <w:r w:rsidRPr="00FB4B33">
        <w:rPr>
          <w:rFonts w:ascii="Palatino Linotype" w:eastAsiaTheme="minorHAnsi" w:hAnsi="Palatino Linotype" w:cs="Arial"/>
          <w:i/>
          <w:iCs/>
          <w:lang w:eastAsia="en-US"/>
        </w:rPr>
        <w:t xml:space="preserve"> Las demás que establezca el reglamento de esta Ley.</w:t>
      </w:r>
    </w:p>
    <w:p w14:paraId="347E5C55" w14:textId="4D700581" w:rsidR="003E3870" w:rsidRDefault="003E3870" w:rsidP="00FC71C7">
      <w:pPr>
        <w:spacing w:after="0" w:line="360" w:lineRule="auto"/>
        <w:jc w:val="both"/>
        <w:rPr>
          <w:rFonts w:ascii="Palatino Linotype" w:eastAsiaTheme="minorHAnsi" w:hAnsi="Palatino Linotype" w:cs="Arial"/>
          <w:sz w:val="24"/>
          <w:szCs w:val="24"/>
          <w:lang w:eastAsia="en-US"/>
        </w:rPr>
      </w:pPr>
    </w:p>
    <w:p w14:paraId="5D9008FE" w14:textId="3DDE82F2" w:rsidR="00FB4B33" w:rsidRDefault="00FB4B33"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De los art</w:t>
      </w:r>
      <w:r w:rsidR="00AE4BD8">
        <w:rPr>
          <w:rFonts w:ascii="Palatino Linotype" w:eastAsiaTheme="minorHAnsi" w:hAnsi="Palatino Linotype" w:cs="Arial"/>
          <w:sz w:val="24"/>
          <w:szCs w:val="24"/>
          <w:lang w:eastAsia="en-US"/>
        </w:rPr>
        <w:t>í</w:t>
      </w:r>
      <w:r>
        <w:rPr>
          <w:rFonts w:ascii="Palatino Linotype" w:eastAsiaTheme="minorHAnsi" w:hAnsi="Palatino Linotype" w:cs="Arial"/>
          <w:sz w:val="24"/>
          <w:szCs w:val="24"/>
          <w:lang w:eastAsia="en-US"/>
        </w:rPr>
        <w:t xml:space="preserve">culos citados se </w:t>
      </w:r>
      <w:r w:rsidR="000D3DE1">
        <w:rPr>
          <w:rFonts w:ascii="Palatino Linotype" w:eastAsiaTheme="minorHAnsi" w:hAnsi="Palatino Linotype" w:cs="Arial"/>
          <w:sz w:val="24"/>
          <w:szCs w:val="24"/>
          <w:lang w:eastAsia="en-US"/>
        </w:rPr>
        <w:t>desprende</w:t>
      </w:r>
      <w:r>
        <w:rPr>
          <w:rFonts w:ascii="Palatino Linotype" w:eastAsiaTheme="minorHAnsi" w:hAnsi="Palatino Linotype" w:cs="Arial"/>
          <w:sz w:val="24"/>
          <w:szCs w:val="24"/>
          <w:lang w:eastAsia="en-US"/>
        </w:rPr>
        <w:t xml:space="preserve"> que los comités son </w:t>
      </w:r>
      <w:r w:rsidR="000D3DE1">
        <w:rPr>
          <w:rFonts w:ascii="Palatino Linotype" w:eastAsiaTheme="minorHAnsi" w:hAnsi="Palatino Linotype" w:cs="Arial"/>
          <w:sz w:val="24"/>
          <w:szCs w:val="24"/>
          <w:lang w:eastAsia="en-US"/>
        </w:rPr>
        <w:t xml:space="preserve">los </w:t>
      </w:r>
      <w:r>
        <w:rPr>
          <w:rFonts w:ascii="Palatino Linotype" w:eastAsiaTheme="minorHAnsi" w:hAnsi="Palatino Linotype" w:cs="Arial"/>
          <w:sz w:val="24"/>
          <w:szCs w:val="24"/>
          <w:lang w:eastAsia="en-US"/>
        </w:rPr>
        <w:t xml:space="preserve">órganos colegiados </w:t>
      </w:r>
      <w:r w:rsidR="000D3DE1">
        <w:rPr>
          <w:rFonts w:ascii="Palatino Linotype" w:eastAsiaTheme="minorHAnsi" w:hAnsi="Palatino Linotype" w:cs="Arial"/>
          <w:sz w:val="24"/>
          <w:szCs w:val="24"/>
          <w:lang w:eastAsia="en-US"/>
        </w:rPr>
        <w:t>que auxilian a los ayuntamientos en los procedimientos de adquisi</w:t>
      </w:r>
      <w:r w:rsidR="00AE4BD8">
        <w:rPr>
          <w:rFonts w:ascii="Palatino Linotype" w:eastAsiaTheme="minorHAnsi" w:hAnsi="Palatino Linotype" w:cs="Arial"/>
          <w:sz w:val="24"/>
          <w:szCs w:val="24"/>
          <w:lang w:eastAsia="en-US"/>
        </w:rPr>
        <w:t>ci</w:t>
      </w:r>
      <w:r w:rsidR="000D3DE1">
        <w:rPr>
          <w:rFonts w:ascii="Palatino Linotype" w:eastAsiaTheme="minorHAnsi" w:hAnsi="Palatino Linotype" w:cs="Arial"/>
          <w:sz w:val="24"/>
          <w:szCs w:val="24"/>
          <w:lang w:eastAsia="en-US"/>
        </w:rPr>
        <w:t>ones y de servicios, teniendo entre sus facultades participar en los procedimientos hasta dejarlos en estado de dictar el fallo correspondiente, es decir, hasta el momento de concluir dichos procedimientos.</w:t>
      </w:r>
    </w:p>
    <w:p w14:paraId="69E95CBC" w14:textId="38978731" w:rsidR="000D3DE1" w:rsidRDefault="000D3DE1" w:rsidP="00FC71C7">
      <w:pPr>
        <w:spacing w:after="0" w:line="360" w:lineRule="auto"/>
        <w:jc w:val="both"/>
        <w:rPr>
          <w:rFonts w:ascii="Palatino Linotype" w:eastAsiaTheme="minorHAnsi" w:hAnsi="Palatino Linotype" w:cs="Arial"/>
          <w:sz w:val="24"/>
          <w:szCs w:val="24"/>
          <w:lang w:eastAsia="en-US"/>
        </w:rPr>
      </w:pPr>
    </w:p>
    <w:p w14:paraId="282A360C" w14:textId="3AA8795E" w:rsidR="000D3DE1" w:rsidRDefault="000D3DE1"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Por lo anterior, se considera que el Sujeto Obligado atendió plenamente el cuestionamiento del particular, puesto que le informó que quienes se encargan de la enajen</w:t>
      </w:r>
      <w:r w:rsidR="00AE4BD8">
        <w:rPr>
          <w:rFonts w:ascii="Palatino Linotype" w:eastAsiaTheme="minorHAnsi" w:hAnsi="Palatino Linotype" w:cs="Arial"/>
          <w:sz w:val="24"/>
          <w:szCs w:val="24"/>
          <w:lang w:eastAsia="en-US"/>
        </w:rPr>
        <w:t>a</w:t>
      </w:r>
      <w:r>
        <w:rPr>
          <w:rFonts w:ascii="Palatino Linotype" w:eastAsiaTheme="minorHAnsi" w:hAnsi="Palatino Linotype" w:cs="Arial"/>
          <w:sz w:val="24"/>
          <w:szCs w:val="24"/>
          <w:lang w:eastAsia="en-US"/>
        </w:rPr>
        <w:t>ción de bienes muebles son las dependencias que tienen relación con los bienes muebles que se enajenar</w:t>
      </w:r>
      <w:r w:rsidR="00AE4BD8">
        <w:rPr>
          <w:rFonts w:ascii="Palatino Linotype" w:eastAsiaTheme="minorHAnsi" w:hAnsi="Palatino Linotype" w:cs="Arial"/>
          <w:sz w:val="24"/>
          <w:szCs w:val="24"/>
          <w:lang w:eastAsia="en-US"/>
        </w:rPr>
        <w:t>á</w:t>
      </w:r>
      <w:r>
        <w:rPr>
          <w:rFonts w:ascii="Palatino Linotype" w:eastAsiaTheme="minorHAnsi" w:hAnsi="Palatino Linotype" w:cs="Arial"/>
          <w:sz w:val="24"/>
          <w:szCs w:val="24"/>
          <w:lang w:eastAsia="en-US"/>
        </w:rPr>
        <w:t xml:space="preserve">n y que esos procedimientos se realizan en los Comités </w:t>
      </w:r>
      <w:r>
        <w:rPr>
          <w:rFonts w:ascii="Palatino Linotype" w:eastAsiaTheme="minorHAnsi" w:hAnsi="Palatino Linotype" w:cs="Arial"/>
          <w:sz w:val="24"/>
          <w:szCs w:val="24"/>
          <w:lang w:eastAsia="en-US"/>
        </w:rPr>
        <w:lastRenderedPageBreak/>
        <w:t>correspondientes, los cuales, como quedó establecido, participan hasta el momento de dictar el fallo correspondiente con el que se concluye la enajenación</w:t>
      </w:r>
      <w:r w:rsidR="00BC1627">
        <w:rPr>
          <w:rFonts w:ascii="Palatino Linotype" w:eastAsiaTheme="minorHAnsi" w:hAnsi="Palatino Linotype" w:cs="Arial"/>
          <w:sz w:val="24"/>
          <w:szCs w:val="24"/>
          <w:lang w:eastAsia="en-US"/>
        </w:rPr>
        <w:t>.</w:t>
      </w:r>
    </w:p>
    <w:p w14:paraId="2D06D610" w14:textId="1B52FD12" w:rsidR="006E136F" w:rsidRPr="004E358F" w:rsidRDefault="006E136F" w:rsidP="00663A37">
      <w:pPr>
        <w:spacing w:after="0" w:line="360" w:lineRule="auto"/>
        <w:contextualSpacing/>
        <w:jc w:val="both"/>
        <w:rPr>
          <w:rFonts w:ascii="Palatino Linotype" w:eastAsia="Palatino Linotype" w:hAnsi="Palatino Linotype" w:cs="Palatino Linotype"/>
          <w:sz w:val="24"/>
          <w:szCs w:val="24"/>
        </w:rPr>
      </w:pPr>
    </w:p>
    <w:p w14:paraId="7778D285" w14:textId="40B5EEF8" w:rsidR="00780F18" w:rsidRDefault="00BC1627" w:rsidP="00780F18">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w:t>
      </w:r>
      <w:r w:rsidR="00780F18">
        <w:rPr>
          <w:rFonts w:ascii="Palatino Linotype" w:eastAsia="Palatino Linotype" w:hAnsi="Palatino Linotype" w:cs="Palatino Linotype"/>
          <w:sz w:val="24"/>
          <w:szCs w:val="24"/>
        </w:rPr>
        <w:t>dados los argumentos vertidos en párrafos anteriores, este Órgano Garante estima que el Sujeto Obligado</w:t>
      </w:r>
      <w:r>
        <w:rPr>
          <w:rFonts w:ascii="Palatino Linotype" w:eastAsia="Palatino Linotype" w:hAnsi="Palatino Linotype" w:cs="Palatino Linotype"/>
          <w:sz w:val="24"/>
          <w:szCs w:val="24"/>
        </w:rPr>
        <w:t xml:space="preserve"> colmó la pretensión del particular al informarle lo señalado anteriormente</w:t>
      </w:r>
      <w:r w:rsidR="00780F18">
        <w:rPr>
          <w:rFonts w:ascii="Palatino Linotype" w:eastAsia="Palatino Linotype" w:hAnsi="Palatino Linotype" w:cs="Palatino Linotype"/>
          <w:sz w:val="24"/>
          <w:szCs w:val="24"/>
        </w:rPr>
        <w:t xml:space="preserve">. Consecuentemente, debido a que la respuesta se encuentra </w:t>
      </w:r>
      <w:r>
        <w:rPr>
          <w:rFonts w:ascii="Palatino Linotype" w:eastAsia="Palatino Linotype" w:hAnsi="Palatino Linotype" w:cs="Palatino Linotype"/>
          <w:sz w:val="24"/>
          <w:szCs w:val="24"/>
        </w:rPr>
        <w:t>fundada y motivada</w:t>
      </w:r>
      <w:r w:rsidR="00780F18">
        <w:rPr>
          <w:rFonts w:ascii="Palatino Linotype" w:eastAsia="Palatino Linotype" w:hAnsi="Palatino Linotype" w:cs="Palatino Linotype"/>
          <w:sz w:val="24"/>
          <w:szCs w:val="24"/>
        </w:rPr>
        <w:t>, se satisface plenamente el requerimiento del particular por lo que los motivos de inconformidad planteados en el recurso de revisión devienen infundados, siendo lo procedente confirmar la respuesta del Sujeto Obligado.</w:t>
      </w:r>
    </w:p>
    <w:p w14:paraId="71312542" w14:textId="77777777" w:rsidR="00780F18" w:rsidRDefault="00780F18" w:rsidP="00780F18">
      <w:pPr>
        <w:spacing w:after="0" w:line="360" w:lineRule="auto"/>
        <w:contextualSpacing/>
        <w:jc w:val="both"/>
        <w:rPr>
          <w:rFonts w:ascii="Palatino Linotype" w:eastAsia="Palatino Linotype" w:hAnsi="Palatino Linotype" w:cs="Palatino Linotype"/>
          <w:sz w:val="24"/>
          <w:szCs w:val="24"/>
        </w:rPr>
      </w:pPr>
    </w:p>
    <w:p w14:paraId="056F5961" w14:textId="3936C4A3"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BC1627" w:rsidRPr="00BC1627">
        <w:rPr>
          <w:rFonts w:ascii="Palatino Linotype" w:eastAsia="Palatino Linotype" w:hAnsi="Palatino Linotype" w:cs="Palatino Linotype"/>
          <w:b/>
          <w:bCs/>
          <w:color w:val="000000"/>
          <w:sz w:val="24"/>
          <w:szCs w:val="24"/>
        </w:rPr>
        <w:t>00136/TEOTIHUA/IP/2021</w:t>
      </w:r>
      <w:r>
        <w:rPr>
          <w:rFonts w:ascii="Palatino Linotype" w:eastAsia="Palatino Linotype" w:hAnsi="Palatino Linotype" w:cs="Palatino Linotype"/>
          <w:color w:val="000000"/>
          <w:sz w:val="24"/>
          <w:szCs w:val="24"/>
        </w:rPr>
        <w:t xml:space="preserve"> que ha sido materia del presente fallo, por lo que este Pleno:</w:t>
      </w:r>
    </w:p>
    <w:p w14:paraId="1BC49038" w14:textId="122DF034"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DD6DBD" w14:textId="77777777" w:rsidR="00780F18" w:rsidRPr="005C6947"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6FC7CABE" w14:textId="77777777" w:rsidR="00780F18"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5EB9C81E" w14:textId="524DCB4F"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BC1627" w:rsidRPr="00BC1627">
        <w:rPr>
          <w:rFonts w:ascii="Palatino Linotype" w:eastAsia="Palatino Linotype" w:hAnsi="Palatino Linotype" w:cs="Palatino Linotype"/>
          <w:b/>
          <w:bCs/>
          <w:color w:val="000000"/>
          <w:sz w:val="24"/>
          <w:szCs w:val="24"/>
        </w:rPr>
        <w:t>00136/TEOTIHUA/IP/2021</w:t>
      </w:r>
      <w:r w:rsidR="00BC162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183F12B9"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46BE054B" w14:textId="115BC8A0"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02DDF008"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1287FC" w14:textId="2EAC1299" w:rsidR="002B5F48"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C163DB6" w14:textId="77777777" w:rsidR="00780F18" w:rsidRPr="0020763C"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447F9BA1"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62A7">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951F58">
        <w:rPr>
          <w:rFonts w:ascii="Palatino Linotype" w:eastAsia="Palatino Linotype" w:hAnsi="Palatino Linotype" w:cs="Palatino Linotype"/>
          <w:color w:val="000000"/>
          <w:sz w:val="24"/>
          <w:szCs w:val="24"/>
        </w:rPr>
        <w:t>SEXTA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951F58">
        <w:rPr>
          <w:rFonts w:ascii="Palatino Linotype" w:eastAsia="Palatino Linotype" w:hAnsi="Palatino Linotype" w:cs="Palatino Linotype"/>
          <w:color w:val="000000"/>
          <w:sz w:val="24"/>
          <w:szCs w:val="24"/>
        </w:rPr>
        <w:t xml:space="preserve"> 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951F58">
        <w:rPr>
          <w:rFonts w:ascii="Palatino Linotype" w:eastAsia="Palatino Linotype" w:hAnsi="Palatino Linotype" w:cs="Palatino Linotype"/>
          <w:color w:val="000000"/>
          <w:sz w:val="24"/>
          <w:szCs w:val="24"/>
        </w:rPr>
        <w:t>---------------------</w:t>
      </w:r>
      <w:r w:rsidR="006F665D">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D90C" w14:textId="77777777" w:rsidR="00E2688A" w:rsidRDefault="00E2688A" w:rsidP="00F2498E">
      <w:pPr>
        <w:spacing w:after="0" w:line="240" w:lineRule="auto"/>
      </w:pPr>
      <w:r>
        <w:separator/>
      </w:r>
    </w:p>
  </w:endnote>
  <w:endnote w:type="continuationSeparator" w:id="0">
    <w:p w14:paraId="13E02102" w14:textId="77777777" w:rsidR="00E2688A" w:rsidRDefault="00E2688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6CA">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6CA">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6C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6CA">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D8E3" w14:textId="77777777" w:rsidR="00E2688A" w:rsidRDefault="00E2688A" w:rsidP="00F2498E">
      <w:pPr>
        <w:spacing w:after="0" w:line="240" w:lineRule="auto"/>
      </w:pPr>
      <w:r>
        <w:separator/>
      </w:r>
    </w:p>
  </w:footnote>
  <w:footnote w:type="continuationSeparator" w:id="0">
    <w:p w14:paraId="0348C44C" w14:textId="77777777" w:rsidR="00E2688A" w:rsidRDefault="00E2688A"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AAFD81" w14:textId="23A49F5D" w:rsidR="003D62D2" w:rsidRPr="003D62D2" w:rsidRDefault="003D62D2">
      <w:pPr>
        <w:pStyle w:val="Textonotapie"/>
        <w:rPr>
          <w:rFonts w:ascii="Palatino Linotype" w:hAnsi="Palatino Linotype"/>
          <w:i/>
          <w:iCs/>
          <w:sz w:val="18"/>
          <w:szCs w:val="18"/>
          <w:lang w:val="es-ES_tradnl"/>
        </w:rPr>
      </w:pPr>
      <w:r w:rsidRPr="003D62D2">
        <w:rPr>
          <w:rStyle w:val="Refdenotaalpie"/>
          <w:rFonts w:ascii="Palatino Linotype" w:hAnsi="Palatino Linotype"/>
          <w:i/>
          <w:iCs/>
          <w:sz w:val="18"/>
          <w:szCs w:val="18"/>
        </w:rPr>
        <w:footnoteRef/>
      </w:r>
      <w:r w:rsidRPr="003D62D2">
        <w:rPr>
          <w:rFonts w:ascii="Palatino Linotype" w:hAnsi="Palatino Linotype"/>
          <w:i/>
          <w:iCs/>
          <w:sz w:val="18"/>
          <w:szCs w:val="18"/>
        </w:rPr>
        <w:t xml:space="preserve"> </w:t>
      </w:r>
      <w:hyperlink r:id="rId3" w:history="1">
        <w:r w:rsidRPr="003D62D2">
          <w:rPr>
            <w:rStyle w:val="Hipervnculo"/>
            <w:rFonts w:ascii="Palatino Linotype" w:hAnsi="Palatino Linotype"/>
            <w:i/>
            <w:iCs/>
            <w:sz w:val="18"/>
            <w:szCs w:val="18"/>
          </w:rPr>
          <w:t>https://dpej.rae.es/lema/ejecutar</w:t>
        </w:r>
      </w:hyperlink>
      <w:r w:rsidRPr="003D62D2">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7E46CA">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A5295F6"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180CBA">
            <w:rPr>
              <w:rFonts w:ascii="Palatino Linotype" w:hAnsi="Palatino Linotype" w:cs="Arial"/>
              <w:b/>
              <w:bCs/>
              <w:sz w:val="24"/>
              <w:szCs w:val="24"/>
            </w:rPr>
            <w:t>0035/INFOEM/IP/RR/2022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2DC05D9" w:rsidR="00075586" w:rsidRPr="00096248" w:rsidRDefault="00180CBA" w:rsidP="00180CBA">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Teotihuacán</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7E46CA">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45pt;margin-top:-144.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284FB19"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EE1912">
            <w:rPr>
              <w:rFonts w:ascii="Palatino Linotype" w:hAnsi="Palatino Linotype" w:cs="Arial"/>
              <w:b/>
              <w:bCs/>
              <w:sz w:val="24"/>
              <w:szCs w:val="24"/>
            </w:rPr>
            <w:t>0035/INFOEM/IP/RR/2022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14A4A2A" w:rsidR="00075586" w:rsidRPr="00663A37" w:rsidRDefault="007E46CA"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5A6B010" w:rsidR="00075586" w:rsidRPr="00663A37" w:rsidRDefault="00EE1912" w:rsidP="00EE1912">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Teotihuacán</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7E46CA">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95pt;margin-top:-145.4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CA3"/>
    <w:multiLevelType w:val="hybridMultilevel"/>
    <w:tmpl w:val="0086541E"/>
    <w:lvl w:ilvl="0" w:tplc="A1CA6A72">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17"/>
  </w:num>
  <w:num w:numId="4">
    <w:abstractNumId w:val="14"/>
  </w:num>
  <w:num w:numId="5">
    <w:abstractNumId w:val="41"/>
  </w:num>
  <w:num w:numId="6">
    <w:abstractNumId w:val="11"/>
  </w:num>
  <w:num w:numId="7">
    <w:abstractNumId w:val="2"/>
  </w:num>
  <w:num w:numId="8">
    <w:abstractNumId w:val="7"/>
  </w:num>
  <w:num w:numId="9">
    <w:abstractNumId w:val="42"/>
  </w:num>
  <w:num w:numId="10">
    <w:abstractNumId w:val="10"/>
  </w:num>
  <w:num w:numId="11">
    <w:abstractNumId w:val="27"/>
  </w:num>
  <w:num w:numId="12">
    <w:abstractNumId w:val="13"/>
  </w:num>
  <w:num w:numId="13">
    <w:abstractNumId w:val="1"/>
  </w:num>
  <w:num w:numId="14">
    <w:abstractNumId w:val="5"/>
  </w:num>
  <w:num w:numId="15">
    <w:abstractNumId w:val="22"/>
  </w:num>
  <w:num w:numId="16">
    <w:abstractNumId w:val="25"/>
  </w:num>
  <w:num w:numId="17">
    <w:abstractNumId w:val="37"/>
  </w:num>
  <w:num w:numId="18">
    <w:abstractNumId w:val="6"/>
  </w:num>
  <w:num w:numId="19">
    <w:abstractNumId w:val="19"/>
  </w:num>
  <w:num w:numId="20">
    <w:abstractNumId w:val="40"/>
  </w:num>
  <w:num w:numId="21">
    <w:abstractNumId w:val="3"/>
  </w:num>
  <w:num w:numId="22">
    <w:abstractNumId w:val="29"/>
  </w:num>
  <w:num w:numId="23">
    <w:abstractNumId w:val="12"/>
  </w:num>
  <w:num w:numId="24">
    <w:abstractNumId w:val="46"/>
  </w:num>
  <w:num w:numId="25">
    <w:abstractNumId w:val="30"/>
  </w:num>
  <w:num w:numId="26">
    <w:abstractNumId w:val="15"/>
  </w:num>
  <w:num w:numId="27">
    <w:abstractNumId w:val="16"/>
  </w:num>
  <w:num w:numId="28">
    <w:abstractNumId w:val="26"/>
  </w:num>
  <w:num w:numId="29">
    <w:abstractNumId w:val="28"/>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5"/>
  </w:num>
  <w:num w:numId="37">
    <w:abstractNumId w:val="4"/>
  </w:num>
  <w:num w:numId="38">
    <w:abstractNumId w:val="43"/>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0"/>
  </w:num>
  <w:num w:numId="4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190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5F4D"/>
    <w:rsid w:val="0008737D"/>
    <w:rsid w:val="00087F54"/>
    <w:rsid w:val="00092681"/>
    <w:rsid w:val="00092D82"/>
    <w:rsid w:val="00093038"/>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157C"/>
    <w:rsid w:val="000D3DE1"/>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0CBA"/>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1853"/>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4F14"/>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62D2"/>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B6B"/>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19D0"/>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44ED"/>
    <w:rsid w:val="005964D7"/>
    <w:rsid w:val="00596D61"/>
    <w:rsid w:val="00597018"/>
    <w:rsid w:val="005A0521"/>
    <w:rsid w:val="005A1929"/>
    <w:rsid w:val="005A192F"/>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4E9E"/>
    <w:rsid w:val="006263D3"/>
    <w:rsid w:val="0062694E"/>
    <w:rsid w:val="00630030"/>
    <w:rsid w:val="006303DB"/>
    <w:rsid w:val="00630426"/>
    <w:rsid w:val="00631753"/>
    <w:rsid w:val="006325D2"/>
    <w:rsid w:val="006332E3"/>
    <w:rsid w:val="00635C2F"/>
    <w:rsid w:val="00636EB3"/>
    <w:rsid w:val="006377A9"/>
    <w:rsid w:val="0063788D"/>
    <w:rsid w:val="00637F6F"/>
    <w:rsid w:val="00640E61"/>
    <w:rsid w:val="00640F1E"/>
    <w:rsid w:val="00642A8B"/>
    <w:rsid w:val="00645C13"/>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5C9B"/>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07E0"/>
    <w:rsid w:val="006E136F"/>
    <w:rsid w:val="006E15A2"/>
    <w:rsid w:val="006E20F9"/>
    <w:rsid w:val="006E3F38"/>
    <w:rsid w:val="006E4C8D"/>
    <w:rsid w:val="006E6076"/>
    <w:rsid w:val="006E6DD7"/>
    <w:rsid w:val="006F0222"/>
    <w:rsid w:val="006F04A3"/>
    <w:rsid w:val="006F114C"/>
    <w:rsid w:val="006F1A99"/>
    <w:rsid w:val="006F2A41"/>
    <w:rsid w:val="006F665D"/>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80E"/>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285"/>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6CA"/>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038"/>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38A8"/>
    <w:rsid w:val="0090753F"/>
    <w:rsid w:val="00913E51"/>
    <w:rsid w:val="00914986"/>
    <w:rsid w:val="00914DFE"/>
    <w:rsid w:val="0091614B"/>
    <w:rsid w:val="00917ADC"/>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1F58"/>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4BD8"/>
    <w:rsid w:val="00AE5D09"/>
    <w:rsid w:val="00AF4EE4"/>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162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268A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670DD"/>
    <w:rsid w:val="00C72F35"/>
    <w:rsid w:val="00C73ED0"/>
    <w:rsid w:val="00C74F2A"/>
    <w:rsid w:val="00C76946"/>
    <w:rsid w:val="00C76CD4"/>
    <w:rsid w:val="00C77686"/>
    <w:rsid w:val="00C80B05"/>
    <w:rsid w:val="00C81AD2"/>
    <w:rsid w:val="00C81CD7"/>
    <w:rsid w:val="00C83AEC"/>
    <w:rsid w:val="00C84348"/>
    <w:rsid w:val="00C8742E"/>
    <w:rsid w:val="00C90FC8"/>
    <w:rsid w:val="00C91329"/>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E6983"/>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6888"/>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2688A"/>
    <w:rsid w:val="00E31001"/>
    <w:rsid w:val="00E34A4E"/>
    <w:rsid w:val="00E41D0D"/>
    <w:rsid w:val="00E46685"/>
    <w:rsid w:val="00E507BE"/>
    <w:rsid w:val="00E50A06"/>
    <w:rsid w:val="00E51D63"/>
    <w:rsid w:val="00E51E31"/>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023"/>
    <w:rsid w:val="00ED43C6"/>
    <w:rsid w:val="00ED5476"/>
    <w:rsid w:val="00ED7864"/>
    <w:rsid w:val="00EE0200"/>
    <w:rsid w:val="00EE0F6C"/>
    <w:rsid w:val="00EE1465"/>
    <w:rsid w:val="00EE1912"/>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2FAE"/>
    <w:rsid w:val="00F3332A"/>
    <w:rsid w:val="00F34068"/>
    <w:rsid w:val="00F3421F"/>
    <w:rsid w:val="00F35ED7"/>
    <w:rsid w:val="00F43916"/>
    <w:rsid w:val="00F44F84"/>
    <w:rsid w:val="00F466E6"/>
    <w:rsid w:val="00F508F3"/>
    <w:rsid w:val="00F51165"/>
    <w:rsid w:val="00F51C42"/>
    <w:rsid w:val="00F51CC4"/>
    <w:rsid w:val="00F51EAB"/>
    <w:rsid w:val="00F53325"/>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B33"/>
    <w:rsid w:val="00FB4E64"/>
    <w:rsid w:val="00FB6398"/>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1AFB"/>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47"/>
      </w:numPr>
    </w:pPr>
  </w:style>
  <w:style w:type="character" w:customStyle="1" w:styleId="UnresolvedMention">
    <w:name w:val="Unresolved Mention"/>
    <w:basedOn w:val="Fuentedeprrafopredeter"/>
    <w:uiPriority w:val="99"/>
    <w:semiHidden/>
    <w:unhideWhenUsed/>
    <w:rsid w:val="003D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892279052">
      <w:bodyDiv w:val="1"/>
      <w:marLeft w:val="0"/>
      <w:marRight w:val="0"/>
      <w:marTop w:val="0"/>
      <w:marBottom w:val="0"/>
      <w:divBdr>
        <w:top w:val="none" w:sz="0" w:space="0" w:color="auto"/>
        <w:left w:val="none" w:sz="0" w:space="0" w:color="auto"/>
        <w:bottom w:val="none" w:sz="0" w:space="0" w:color="auto"/>
        <w:right w:val="none" w:sz="0" w:space="0" w:color="auto"/>
      </w:divBdr>
      <w:divsChild>
        <w:div w:id="2140298067">
          <w:marLeft w:val="0"/>
          <w:marRight w:val="0"/>
          <w:marTop w:val="0"/>
          <w:marBottom w:val="225"/>
          <w:divBdr>
            <w:top w:val="none" w:sz="0" w:space="0" w:color="auto"/>
            <w:left w:val="none" w:sz="0" w:space="0" w:color="auto"/>
            <w:bottom w:val="none" w:sz="0" w:space="0" w:color="auto"/>
            <w:right w:val="none" w:sz="0" w:space="0" w:color="auto"/>
          </w:divBdr>
        </w:div>
      </w:divsChild>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2594962">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pej.rae.es/lema/ejecuta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AE73-8CFC-4BB0-BF01-B7227B1E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24</Pages>
  <Words>5814</Words>
  <Characters>31983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2022-01-27T18:45:00Z</dcterms:created>
  <dcterms:modified xsi:type="dcterms:W3CDTF">2022-03-04T20:42:00Z</dcterms:modified>
</cp:coreProperties>
</file>