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46963" w:rsidR="00066B31" w:rsidP="00A158AB" w:rsidRDefault="00066B31" w14:paraId="03223C84" w14:textId="447B0670">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5A705D">
        <w:rPr>
          <w:rFonts w:cs="Tahoma"/>
        </w:rPr>
        <w:t>treinta y uno</w:t>
      </w:r>
      <w:r w:rsidR="00480903">
        <w:rPr>
          <w:rFonts w:cs="Tahoma"/>
        </w:rPr>
        <w:t xml:space="preserve"> de</w:t>
      </w:r>
      <w:r w:rsidR="008449DD">
        <w:rPr>
          <w:rFonts w:cs="Tahoma"/>
        </w:rPr>
        <w:t xml:space="preserve"> </w:t>
      </w:r>
      <w:r w:rsidR="007438A1">
        <w:rPr>
          <w:rFonts w:cs="Tahoma"/>
        </w:rPr>
        <w:t>agosto</w:t>
      </w:r>
      <w:r w:rsidRPr="00446963">
        <w:rPr>
          <w:rFonts w:cs="Tahoma"/>
        </w:rPr>
        <w:t xml:space="preserve"> de dos mil veintidós.</w:t>
      </w:r>
    </w:p>
    <w:p w:rsidRPr="00446963" w:rsidR="00066B31" w:rsidP="00A158AB" w:rsidRDefault="00066B31" w14:paraId="53783A9E" w14:textId="77777777">
      <w:pPr>
        <w:spacing w:after="0" w:line="360" w:lineRule="auto"/>
        <w:rPr>
          <w:rFonts w:cs="Tahoma"/>
          <w:bCs/>
        </w:rPr>
      </w:pPr>
    </w:p>
    <w:p w:rsidRPr="007438A1" w:rsidR="00066B31" w:rsidP="007438A1" w:rsidRDefault="00066B31" w14:paraId="466D8EC0" w14:textId="1A4E5DB1">
      <w:pPr>
        <w:spacing w:after="0" w:line="360" w:lineRule="auto"/>
        <w:rPr>
          <w:rFonts w:cs="Tahoma"/>
        </w:rPr>
      </w:pPr>
      <w:r w:rsidRPr="6F69D81D" w:rsidR="6F69D81D">
        <w:rPr>
          <w:rFonts w:cs="Tahoma"/>
          <w:b w:val="1"/>
          <w:bCs w:val="1"/>
        </w:rPr>
        <w:t xml:space="preserve">VISTO </w:t>
      </w:r>
      <w:r w:rsidRPr="6F69D81D" w:rsidR="6F69D81D">
        <w:rPr>
          <w:rFonts w:cs="Tahoma"/>
        </w:rPr>
        <w:t xml:space="preserve">el expediente conformado con motivo del Recurso de Revisión </w:t>
      </w:r>
      <w:r w:rsidR="6F69D81D">
        <w:rPr/>
        <w:t>11441/INFOEM/IP/RR/2022</w:t>
      </w:r>
      <w:r w:rsidRPr="6F69D81D" w:rsidR="6F69D81D">
        <w:rPr>
          <w:rFonts w:cs="Tahoma"/>
        </w:rPr>
        <w:t xml:space="preserve">, interpuesto por </w:t>
      </w:r>
      <w:r w:rsidRPr="6F69D81D" w:rsidR="6F69D81D">
        <w:rPr>
          <w:rFonts w:cs="Tahoma"/>
          <w:highlight w:val="black"/>
        </w:rPr>
        <w:t>XXXXXXXXXXXXXXXXX</w:t>
      </w:r>
      <w:r w:rsidRPr="6F69D81D" w:rsidR="6F69D81D">
        <w:rPr>
          <w:rFonts w:cs="Tahoma"/>
        </w:rPr>
        <w:t>, en lo sucesivo el</w:t>
      </w:r>
      <w:r w:rsidR="6F69D81D">
        <w:rPr/>
        <w:t xml:space="preserve"> </w:t>
      </w:r>
      <w:r w:rsidRPr="6F69D81D" w:rsidR="6F69D81D">
        <w:rPr>
          <w:rFonts w:cs="Tahoma"/>
        </w:rPr>
        <w:t xml:space="preserve">Recurrente o Particular, en contra de la respuesta del Sujeto Obligado, Ayuntamiento de Texcalyacac, a la solicitud de información con número </w:t>
      </w:r>
      <w:r w:rsidR="6F69D81D">
        <w:rPr/>
        <w:t>00055/TEXCALYA/IP/2022</w:t>
      </w:r>
      <w:r w:rsidRPr="6F69D81D" w:rsidR="6F69D81D">
        <w:rPr>
          <w:rFonts w:cs="Tahoma"/>
        </w:rPr>
        <w:t>, se emite la presente Resolución, con base en los Antecedentes y Considerandos que se exponen a continuación:</w:t>
      </w:r>
    </w:p>
    <w:p w:rsidRPr="00446963" w:rsidR="00066B31" w:rsidP="00A158AB" w:rsidRDefault="00066B31" w14:paraId="740A33F0" w14:textId="77777777">
      <w:pPr>
        <w:tabs>
          <w:tab w:val="left" w:pos="6735"/>
        </w:tabs>
        <w:spacing w:after="0" w:line="360" w:lineRule="auto"/>
        <w:rPr>
          <w:rFonts w:cs="Tahoma"/>
        </w:rPr>
      </w:pPr>
    </w:p>
    <w:p w:rsidRPr="00446963" w:rsidR="00066B31" w:rsidP="00A158AB"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A158AB" w:rsidRDefault="00066B31" w14:paraId="700501D6" w14:textId="77777777">
      <w:pPr>
        <w:spacing w:after="0" w:line="360" w:lineRule="auto"/>
      </w:pPr>
    </w:p>
    <w:p w:rsidRPr="00446963" w:rsidR="00066B31" w:rsidP="00A158AB"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A158AB"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5D7D5D" w:rsidR="00066B31" w:rsidP="00A158AB" w:rsidRDefault="00066B31" w14:paraId="55087599" w14:textId="29D32C7C">
      <w:pPr>
        <w:tabs>
          <w:tab w:val="left" w:pos="567"/>
        </w:tabs>
        <w:spacing w:after="0" w:line="360" w:lineRule="auto"/>
        <w:ind w:right="-28"/>
        <w:rPr>
          <w:rFonts w:cs="Tahoma"/>
        </w:rPr>
      </w:pPr>
      <w:r w:rsidRPr="00446963">
        <w:rPr>
          <w:rFonts w:cs="Tahoma"/>
        </w:rPr>
        <w:t xml:space="preserve">Con fecha </w:t>
      </w:r>
      <w:r w:rsidR="005A705D">
        <w:rPr>
          <w:rFonts w:cs="Tahoma"/>
        </w:rPr>
        <w:t>dieciséis de junio</w:t>
      </w:r>
      <w:r>
        <w:rPr>
          <w:rFonts w:cs="Tahoma"/>
        </w:rPr>
        <w:t xml:space="preserve"> de dos mil veintidós</w:t>
      </w:r>
      <w:r w:rsidRPr="00446963">
        <w:rPr>
          <w:rFonts w:cs="Tahoma"/>
        </w:rPr>
        <w:t xml:space="preserve">, </w:t>
      </w:r>
      <w:r w:rsidR="00043C41">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(SAIMEX), con número de folio de la solicitud</w:t>
      </w:r>
      <w:r w:rsidR="00FE0ADD">
        <w:rPr>
          <w:rFonts w:cs="Tahoma"/>
          <w:lang w:val="es-ES"/>
        </w:rPr>
        <w:t xml:space="preserve"> </w:t>
      </w:r>
      <w:r w:rsidR="005A705D">
        <w:t>00055/TEXCALYA/IP/2022</w:t>
      </w:r>
      <w:r w:rsidRPr="005D7D5D">
        <w:rPr>
          <w:rFonts w:cs="Tahoma"/>
        </w:rPr>
        <w:t>,</w:t>
      </w:r>
      <w:r>
        <w:rPr>
          <w:rFonts w:cs="Tahoma"/>
        </w:rPr>
        <w:t xml:space="preserve"> ante el </w:t>
      </w:r>
      <w:r w:rsidR="005A705D">
        <w:rPr>
          <w:rFonts w:cs="Tahoma"/>
        </w:rPr>
        <w:t>Ayuntamiento de Texcalyacac</w:t>
      </w:r>
      <w:r>
        <w:rPr>
          <w:rFonts w:cs="Tahoma"/>
        </w:rPr>
        <w:t>,</w:t>
      </w:r>
      <w:r w:rsidRPr="005D7D5D">
        <w:rPr>
          <w:rFonts w:cs="Tahoma"/>
        </w:rPr>
        <w:t xml:space="preserve"> en los siguientes términos:</w:t>
      </w:r>
    </w:p>
    <w:p w:rsidRPr="00446963" w:rsidR="00FB4AE8" w:rsidP="00A158AB" w:rsidRDefault="00FB4AE8" w14:paraId="067CC026"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DF6F08" w:rsidR="00066B31" w:rsidP="00A158AB"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Pr="00DF6F08" w:rsidR="00066B31" w:rsidP="00A158AB" w:rsidRDefault="005A705D" w14:paraId="6572CF93" w14:textId="42F00625">
      <w:pPr>
        <w:tabs>
          <w:tab w:val="left" w:pos="4667"/>
        </w:tabs>
        <w:spacing w:after="0" w:line="360" w:lineRule="auto"/>
        <w:ind w:left="567" w:right="567"/>
        <w:rPr>
          <w:rFonts w:cs="Tahoma"/>
          <w:bCs/>
          <w:i/>
          <w:iCs/>
          <w:sz w:val="20"/>
          <w:szCs w:val="20"/>
        </w:rPr>
      </w:pPr>
      <w:r w:rsidRPr="005A705D">
        <w:rPr>
          <w:i/>
          <w:iCs/>
          <w:color w:val="000000"/>
          <w:sz w:val="20"/>
          <w:szCs w:val="20"/>
        </w:rPr>
        <w:t xml:space="preserve">Se me proporciones el Tabulador de Sueldos y Salarios para el periodo fiscal 2022, ya que no </w:t>
      </w:r>
      <w:proofErr w:type="spellStart"/>
      <w:r w:rsidRPr="005A705D">
        <w:rPr>
          <w:i/>
          <w:iCs/>
          <w:color w:val="000000"/>
          <w:sz w:val="20"/>
          <w:szCs w:val="20"/>
        </w:rPr>
        <w:t>esta</w:t>
      </w:r>
      <w:proofErr w:type="spellEnd"/>
      <w:r w:rsidRPr="005A705D">
        <w:rPr>
          <w:i/>
          <w:iCs/>
          <w:color w:val="000000"/>
          <w:sz w:val="20"/>
          <w:szCs w:val="20"/>
        </w:rPr>
        <w:t xml:space="preserve"> cargado en la plataforma de IPOMEX del Ayuntamiento de Texcalyacac</w:t>
      </w:r>
      <w:r w:rsidRPr="00DF6F08" w:rsidR="00066B31">
        <w:rPr>
          <w:rFonts w:cs="Tahoma"/>
          <w:bCs/>
          <w:i/>
          <w:iCs/>
          <w:sz w:val="20"/>
          <w:szCs w:val="20"/>
        </w:rPr>
        <w:t xml:space="preserve">” </w:t>
      </w:r>
      <w:r w:rsidRPr="00DF6F08" w:rsidR="00066B31">
        <w:rPr>
          <w:rFonts w:eastAsia="Times New Roman" w:cs="Arial"/>
          <w:bCs/>
          <w:i/>
          <w:iCs/>
          <w:sz w:val="20"/>
          <w:szCs w:val="20"/>
          <w:lang w:eastAsia="es-ES"/>
        </w:rPr>
        <w:t>(Sic)</w:t>
      </w:r>
    </w:p>
    <w:p w:rsidRPr="00DF6F08" w:rsidR="00FB4AE8" w:rsidP="00A158AB" w:rsidRDefault="00FB4AE8" w14:paraId="190C62D5" w14:textId="77777777">
      <w:pPr>
        <w:tabs>
          <w:tab w:val="left" w:pos="4667"/>
        </w:tabs>
        <w:spacing w:after="0" w:line="360" w:lineRule="auto"/>
        <w:ind w:left="567" w:right="567"/>
        <w:rPr>
          <w:rFonts w:cs="Tahoma"/>
          <w:bCs/>
          <w:i/>
          <w:sz w:val="20"/>
          <w:szCs w:val="20"/>
        </w:rPr>
      </w:pPr>
    </w:p>
    <w:p w:rsidRPr="00DF6F08" w:rsidR="00066B31" w:rsidP="00A158AB"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00386C97" w:rsidP="00E32882" w:rsidRDefault="00066B31" w14:paraId="51B42CA1" w14:textId="0A651AEA">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Pr="00E32882" w:rsidR="00E32882" w:rsidP="00E32882" w:rsidRDefault="00E32882" w14:paraId="63C642C5" w14:textId="77777777">
      <w:pPr>
        <w:spacing w:after="0" w:line="360" w:lineRule="auto"/>
        <w:ind w:left="567" w:right="567"/>
        <w:rPr>
          <w:rFonts w:eastAsia="Times New Roman" w:cs="Arial"/>
          <w:bCs/>
          <w:i/>
          <w:iCs/>
          <w:sz w:val="20"/>
          <w:szCs w:val="20"/>
          <w:lang w:eastAsia="es-ES"/>
        </w:rPr>
      </w:pPr>
    </w:p>
    <w:p w:rsidRPr="0081647F" w:rsidR="0081647F" w:rsidP="00A158AB" w:rsidRDefault="00D71437" w14:paraId="0CEDCDD1" w14:textId="2C9FC23B">
      <w:pPr>
        <w:autoSpaceDE w:val="0"/>
        <w:autoSpaceDN w:val="0"/>
        <w:adjustRightInd w:val="0"/>
        <w:spacing w:after="0" w:line="360" w:lineRule="auto"/>
        <w:rPr>
          <w:rFonts w:eastAsia="Times New Roman" w:cs="Tahoma"/>
          <w:b/>
          <w:bCs/>
          <w:color w:val="auto"/>
          <w:szCs w:val="24"/>
          <w:lang w:eastAsia="es-ES"/>
        </w:rPr>
      </w:pPr>
      <w:r>
        <w:rPr>
          <w:rFonts w:eastAsia="Times New Roman" w:cs="Tahoma"/>
          <w:b/>
          <w:color w:val="auto"/>
          <w:szCs w:val="24"/>
          <w:lang w:eastAsia="es-ES"/>
        </w:rPr>
        <w:lastRenderedPageBreak/>
        <w:t xml:space="preserve">II. </w:t>
      </w:r>
      <w:r w:rsidRPr="0081647F" w:rsidR="0081647F">
        <w:rPr>
          <w:rFonts w:eastAsia="Times New Roman" w:cs="Tahoma"/>
          <w:b/>
          <w:color w:val="auto"/>
          <w:szCs w:val="24"/>
          <w:lang w:eastAsia="es-ES"/>
        </w:rPr>
        <w:t>Respuesta</w:t>
      </w:r>
      <w:r w:rsidRPr="0081647F" w:rsidR="0081647F">
        <w:rPr>
          <w:rFonts w:eastAsia="Times New Roman" w:cs="Tahoma"/>
          <w:b/>
          <w:bCs/>
          <w:color w:val="auto"/>
          <w:szCs w:val="24"/>
          <w:lang w:eastAsia="es-ES"/>
        </w:rPr>
        <w:t xml:space="preserve"> del Sujeto Obligado.</w:t>
      </w:r>
    </w:p>
    <w:p w:rsidRPr="0081647F" w:rsidR="0081647F" w:rsidP="00A158AB" w:rsidRDefault="0081647F" w14:paraId="19FD8659" w14:textId="77777777">
      <w:pPr>
        <w:autoSpaceDE w:val="0"/>
        <w:autoSpaceDN w:val="0"/>
        <w:adjustRightInd w:val="0"/>
        <w:spacing w:after="0" w:line="360" w:lineRule="auto"/>
        <w:rPr>
          <w:rFonts w:eastAsia="Times New Roman" w:cs="Tahoma"/>
          <w:bCs/>
          <w:color w:val="auto"/>
          <w:szCs w:val="24"/>
          <w:lang w:eastAsia="es-ES"/>
        </w:rPr>
      </w:pPr>
    </w:p>
    <w:p w:rsidR="0081647F" w:rsidP="00A158AB" w:rsidRDefault="0081647F" w14:paraId="2E17B962" w14:textId="4B1EF407">
      <w:pPr>
        <w:autoSpaceDE w:val="0"/>
        <w:autoSpaceDN w:val="0"/>
        <w:adjustRightInd w:val="0"/>
        <w:spacing w:after="0" w:line="360" w:lineRule="auto"/>
        <w:rPr>
          <w:rFonts w:eastAsia="Times New Roman" w:cs="Tahoma"/>
          <w:color w:val="auto"/>
          <w:szCs w:val="24"/>
          <w:lang w:eastAsia="es-ES"/>
        </w:rPr>
      </w:pPr>
      <w:r w:rsidRPr="0081647F">
        <w:rPr>
          <w:rFonts w:eastAsia="Times New Roman" w:cs="Tahoma"/>
          <w:bCs/>
          <w:color w:val="auto"/>
          <w:szCs w:val="24"/>
          <w:lang w:eastAsia="es-ES"/>
        </w:rPr>
        <w:t xml:space="preserve">El </w:t>
      </w:r>
      <w:r w:rsidR="005A705D">
        <w:rPr>
          <w:rFonts w:eastAsia="Times New Roman" w:cs="Tahoma"/>
          <w:bCs/>
          <w:color w:val="auto"/>
          <w:szCs w:val="24"/>
          <w:lang w:eastAsia="es-ES"/>
        </w:rPr>
        <w:t>veintiocho</w:t>
      </w:r>
      <w:r>
        <w:rPr>
          <w:rFonts w:eastAsia="Times New Roman" w:cs="Tahoma"/>
          <w:bCs/>
          <w:color w:val="auto"/>
          <w:szCs w:val="24"/>
          <w:lang w:eastAsia="es-ES"/>
        </w:rPr>
        <w:t xml:space="preserve"> de </w:t>
      </w:r>
      <w:r w:rsidR="007438A1">
        <w:rPr>
          <w:rFonts w:eastAsia="Times New Roman" w:cs="Tahoma"/>
          <w:bCs/>
          <w:color w:val="auto"/>
          <w:szCs w:val="24"/>
          <w:lang w:eastAsia="es-ES"/>
        </w:rPr>
        <w:t>junio</w:t>
      </w:r>
      <w:r w:rsidRPr="0081647F">
        <w:rPr>
          <w:rFonts w:eastAsia="Times New Roman" w:cs="Tahoma"/>
          <w:bCs/>
          <w:color w:val="auto"/>
          <w:szCs w:val="24"/>
          <w:lang w:eastAsia="es-ES"/>
        </w:rPr>
        <w:t xml:space="preserve"> de dos mil veintidós, el</w:t>
      </w:r>
      <w:r w:rsidRPr="0081647F">
        <w:rPr>
          <w:rFonts w:eastAsia="Times New Roman" w:cs="Tahoma"/>
          <w:b/>
          <w:color w:val="auto"/>
          <w:szCs w:val="24"/>
          <w:lang w:eastAsia="es-ES"/>
        </w:rPr>
        <w:t xml:space="preserve"> </w:t>
      </w:r>
      <w:r w:rsidRPr="0081647F">
        <w:rPr>
          <w:rFonts w:eastAsia="Times New Roman" w:cs="Tahoma"/>
          <w:color w:val="auto"/>
          <w:szCs w:val="24"/>
          <w:lang w:eastAsia="es-ES"/>
        </w:rPr>
        <w:t>Sujeto Obligado dio respuesta a la solicitud de acceso a la información a través del Sistema de Acceso a la Información Mexiquense (SAIMEX), a través del oficio número</w:t>
      </w:r>
      <w:r>
        <w:rPr>
          <w:rFonts w:eastAsia="Times New Roman" w:cs="Tahoma"/>
          <w:color w:val="auto"/>
          <w:szCs w:val="24"/>
          <w:lang w:eastAsia="es-ES"/>
        </w:rPr>
        <w:t xml:space="preserve"> </w:t>
      </w:r>
      <w:proofErr w:type="spellStart"/>
      <w:r w:rsidR="005A705D">
        <w:rPr>
          <w:rFonts w:eastAsia="Times New Roman" w:cs="Tahoma"/>
          <w:color w:val="auto"/>
          <w:szCs w:val="24"/>
          <w:lang w:eastAsia="es-ES"/>
        </w:rPr>
        <w:t>UIPPEyT</w:t>
      </w:r>
      <w:proofErr w:type="spellEnd"/>
      <w:r w:rsidR="005A705D">
        <w:rPr>
          <w:rFonts w:eastAsia="Times New Roman" w:cs="Tahoma"/>
          <w:color w:val="auto"/>
          <w:szCs w:val="24"/>
          <w:lang w:eastAsia="es-ES"/>
        </w:rPr>
        <w:t>/TEX/0162/06/2022, d</w:t>
      </w:r>
      <w:r w:rsidR="00EF7E63">
        <w:rPr>
          <w:rFonts w:eastAsia="Times New Roman" w:cs="Tahoma"/>
          <w:color w:val="auto"/>
          <w:szCs w:val="24"/>
          <w:lang w:eastAsia="es-ES"/>
        </w:rPr>
        <w:t>e la misma fecha de recepción</w:t>
      </w:r>
      <w:r w:rsidRPr="0081647F">
        <w:rPr>
          <w:rFonts w:eastAsia="Times New Roman" w:cs="Tahoma"/>
          <w:color w:val="auto"/>
          <w:szCs w:val="24"/>
          <w:lang w:eastAsia="es-ES"/>
        </w:rPr>
        <w:t>, suscrito por</w:t>
      </w:r>
      <w:r w:rsidR="003E2E42">
        <w:rPr>
          <w:rFonts w:eastAsia="Times New Roman" w:cs="Tahoma"/>
          <w:color w:val="auto"/>
          <w:szCs w:val="24"/>
          <w:lang w:eastAsia="es-ES"/>
        </w:rPr>
        <w:t xml:space="preserve"> </w:t>
      </w:r>
      <w:r w:rsidR="00EF7E63">
        <w:rPr>
          <w:rFonts w:eastAsia="Times New Roman" w:cs="Tahoma"/>
          <w:color w:val="auto"/>
          <w:szCs w:val="24"/>
          <w:lang w:eastAsia="es-ES"/>
        </w:rPr>
        <w:t xml:space="preserve">la </w:t>
      </w:r>
      <w:r w:rsidR="005A705D">
        <w:rPr>
          <w:rFonts w:eastAsia="Times New Roman" w:cs="Tahoma"/>
          <w:color w:val="auto"/>
          <w:szCs w:val="24"/>
          <w:lang w:eastAsia="es-ES"/>
        </w:rPr>
        <w:t>Jefa de la Unidad de Información, Planeación, Programación, Evaluación y Transparencia y dirigido al Solicitante</w:t>
      </w:r>
      <w:r w:rsidRPr="0081647F">
        <w:rPr>
          <w:rFonts w:eastAsia="Times New Roman" w:cs="Tahoma"/>
          <w:color w:val="auto"/>
          <w:szCs w:val="24"/>
          <w:lang w:eastAsia="es-ES"/>
        </w:rPr>
        <w:t xml:space="preserve">, </w:t>
      </w:r>
      <w:r>
        <w:rPr>
          <w:rFonts w:eastAsia="Times New Roman" w:cs="Tahoma"/>
          <w:color w:val="auto"/>
          <w:szCs w:val="24"/>
          <w:lang w:eastAsia="es-ES"/>
        </w:rPr>
        <w:t xml:space="preserve">mediante el cual </w:t>
      </w:r>
      <w:r w:rsidR="00EF7E63">
        <w:rPr>
          <w:rFonts w:eastAsia="Times New Roman" w:cs="Tahoma"/>
          <w:color w:val="auto"/>
          <w:szCs w:val="24"/>
          <w:lang w:eastAsia="es-ES"/>
        </w:rPr>
        <w:t xml:space="preserve">remite el diverso DOP/0059/2022, del cuatro de febrero de dos mil veintidós, </w:t>
      </w:r>
      <w:r w:rsidR="005A705D">
        <w:rPr>
          <w:rFonts w:eastAsia="Times New Roman" w:cs="Tahoma"/>
          <w:color w:val="auto"/>
          <w:szCs w:val="24"/>
          <w:lang w:eastAsia="es-ES"/>
        </w:rPr>
        <w:t>por medio del cual proporciona la respuesta entregada por la Tesorería Municipal.</w:t>
      </w:r>
    </w:p>
    <w:p w:rsidR="00EF2ACF" w:rsidP="00A158AB" w:rsidRDefault="00EF2ACF" w14:paraId="6A5E19F2" w14:textId="37163C58">
      <w:pPr>
        <w:autoSpaceDE w:val="0"/>
        <w:autoSpaceDN w:val="0"/>
        <w:adjustRightInd w:val="0"/>
        <w:spacing w:after="0" w:line="360" w:lineRule="auto"/>
        <w:rPr>
          <w:rFonts w:eastAsia="Times New Roman" w:cs="Tahoma"/>
          <w:color w:val="auto"/>
          <w:szCs w:val="24"/>
          <w:lang w:eastAsia="es-ES"/>
        </w:rPr>
      </w:pPr>
    </w:p>
    <w:p w:rsidR="005A705D" w:rsidP="00DF3B64" w:rsidRDefault="00DF3B64" w14:paraId="26B05F77" w14:textId="77777777">
      <w:pPr>
        <w:autoSpaceDE w:val="0"/>
        <w:autoSpaceDN w:val="0"/>
        <w:adjustRightInd w:val="0"/>
        <w:spacing w:after="0" w:line="360" w:lineRule="auto"/>
        <w:rPr>
          <w:rFonts w:eastAsia="Times New Roman" w:cs="Tahoma"/>
          <w:color w:val="auto"/>
          <w:szCs w:val="24"/>
          <w:lang w:eastAsia="es-ES"/>
        </w:rPr>
      </w:pPr>
      <w:r w:rsidRPr="00DF3B64">
        <w:rPr>
          <w:rFonts w:eastAsia="Times New Roman" w:cs="Tahoma"/>
          <w:color w:val="auto"/>
          <w:szCs w:val="24"/>
          <w:lang w:eastAsia="es-ES"/>
        </w:rPr>
        <w:t xml:space="preserve">El Sujeto Obligado </w:t>
      </w:r>
      <w:r>
        <w:rPr>
          <w:rFonts w:eastAsia="Times New Roman" w:cs="Tahoma"/>
          <w:color w:val="auto"/>
          <w:szCs w:val="24"/>
          <w:lang w:eastAsia="es-ES"/>
        </w:rPr>
        <w:t xml:space="preserve">adjuntó </w:t>
      </w:r>
      <w:r w:rsidR="005A705D">
        <w:rPr>
          <w:rFonts w:eastAsia="Times New Roman" w:cs="Tahoma"/>
          <w:color w:val="auto"/>
          <w:szCs w:val="24"/>
          <w:lang w:eastAsia="es-ES"/>
        </w:rPr>
        <w:t>la digitalización de los siguientes documentos:</w:t>
      </w:r>
    </w:p>
    <w:p w:rsidR="005A705D" w:rsidP="00DF3B64" w:rsidRDefault="005A705D" w14:paraId="7A31472F" w14:textId="77777777">
      <w:pPr>
        <w:autoSpaceDE w:val="0"/>
        <w:autoSpaceDN w:val="0"/>
        <w:adjustRightInd w:val="0"/>
        <w:spacing w:after="0" w:line="360" w:lineRule="auto"/>
        <w:rPr>
          <w:rFonts w:eastAsia="Times New Roman" w:cs="Tahoma"/>
          <w:color w:val="auto"/>
          <w:szCs w:val="24"/>
          <w:lang w:eastAsia="es-ES"/>
        </w:rPr>
      </w:pPr>
    </w:p>
    <w:p w:rsidR="005A705D" w:rsidP="00DF3B64" w:rsidRDefault="005A705D" w14:paraId="4D81485C" w14:textId="19E8FDEA">
      <w:pPr>
        <w:autoSpaceDE w:val="0"/>
        <w:autoSpaceDN w:val="0"/>
        <w:adjustRightInd w:val="0"/>
        <w:spacing w:after="0" w:line="360" w:lineRule="auto"/>
        <w:rPr>
          <w:rFonts w:eastAsia="Times New Roman" w:cs="Tahoma"/>
          <w:color w:val="auto"/>
          <w:szCs w:val="24"/>
          <w:lang w:eastAsia="es-ES"/>
        </w:rPr>
      </w:pPr>
      <w:r>
        <w:rPr>
          <w:rFonts w:eastAsia="Times New Roman" w:cs="Tahoma"/>
          <w:color w:val="auto"/>
          <w:szCs w:val="24"/>
          <w:lang w:eastAsia="es-ES"/>
        </w:rPr>
        <w:t>i)</w:t>
      </w:r>
      <w:r w:rsidR="003F3F81">
        <w:rPr>
          <w:rFonts w:eastAsia="Times New Roman" w:cs="Tahoma"/>
          <w:color w:val="auto"/>
          <w:szCs w:val="24"/>
          <w:lang w:eastAsia="es-ES"/>
        </w:rPr>
        <w:t xml:space="preserve"> Oficio número PMTEX/TM/0223/2022, del veintiuno de junio de dos mil veintidós, suscrito por el Tesorero Municipal y dirigido a la </w:t>
      </w:r>
      <w:proofErr w:type="gramStart"/>
      <w:r w:rsidR="003F3F81">
        <w:rPr>
          <w:rFonts w:eastAsia="Times New Roman" w:cs="Tahoma"/>
          <w:color w:val="auto"/>
          <w:szCs w:val="24"/>
          <w:lang w:eastAsia="es-ES"/>
        </w:rPr>
        <w:t>Jefa</w:t>
      </w:r>
      <w:proofErr w:type="gramEnd"/>
      <w:r w:rsidR="003F3F81">
        <w:rPr>
          <w:rFonts w:eastAsia="Times New Roman" w:cs="Tahoma"/>
          <w:color w:val="auto"/>
          <w:szCs w:val="24"/>
          <w:lang w:eastAsia="es-ES"/>
        </w:rPr>
        <w:t xml:space="preserve"> de la Unidad de Información, Planeación, Programación, Evaluación y Transparencia</w:t>
      </w:r>
      <w:r w:rsidR="003F3F81">
        <w:rPr>
          <w:rFonts w:eastAsia="Times New Roman" w:cs="Tahoma"/>
          <w:color w:val="auto"/>
          <w:szCs w:val="24"/>
          <w:lang w:eastAsia="es-ES"/>
        </w:rPr>
        <w:t>, por medio del cual informa que proporciona la información solicitada.</w:t>
      </w:r>
    </w:p>
    <w:p w:rsidR="005A705D" w:rsidP="00DF3B64" w:rsidRDefault="005A705D" w14:paraId="6ADF2F2F" w14:textId="77777777">
      <w:pPr>
        <w:autoSpaceDE w:val="0"/>
        <w:autoSpaceDN w:val="0"/>
        <w:adjustRightInd w:val="0"/>
        <w:spacing w:after="0" w:line="360" w:lineRule="auto"/>
        <w:rPr>
          <w:rFonts w:eastAsia="Times New Roman" w:cs="Tahoma"/>
          <w:color w:val="auto"/>
          <w:szCs w:val="24"/>
          <w:lang w:eastAsia="es-ES"/>
        </w:rPr>
      </w:pPr>
    </w:p>
    <w:p w:rsidR="005A705D" w:rsidP="00DF3B64" w:rsidRDefault="005A705D" w14:paraId="7C9E38A1" w14:textId="1CBE881F">
      <w:pPr>
        <w:autoSpaceDE w:val="0"/>
        <w:autoSpaceDN w:val="0"/>
        <w:adjustRightInd w:val="0"/>
        <w:spacing w:after="0" w:line="360" w:lineRule="auto"/>
        <w:rPr>
          <w:rFonts w:eastAsia="Times New Roman" w:cs="Tahoma"/>
          <w:color w:val="auto"/>
          <w:szCs w:val="24"/>
          <w:lang w:eastAsia="es-ES"/>
        </w:rPr>
      </w:pPr>
      <w:proofErr w:type="spellStart"/>
      <w:r>
        <w:rPr>
          <w:rFonts w:eastAsia="Times New Roman" w:cs="Tahoma"/>
          <w:color w:val="auto"/>
          <w:szCs w:val="24"/>
          <w:lang w:eastAsia="es-ES"/>
        </w:rPr>
        <w:t>ii</w:t>
      </w:r>
      <w:proofErr w:type="spellEnd"/>
      <w:r>
        <w:rPr>
          <w:rFonts w:eastAsia="Times New Roman" w:cs="Tahoma"/>
          <w:color w:val="auto"/>
          <w:szCs w:val="24"/>
          <w:lang w:eastAsia="es-ES"/>
        </w:rPr>
        <w:t>)</w:t>
      </w:r>
      <w:r w:rsidR="003F3F81">
        <w:rPr>
          <w:rFonts w:eastAsia="Times New Roman" w:cs="Tahoma"/>
          <w:color w:val="auto"/>
          <w:szCs w:val="24"/>
          <w:lang w:eastAsia="es-ES"/>
        </w:rPr>
        <w:t xml:space="preserve"> Tabulador de Sueldos del Ayuntamiento de Texcalyacac del primero de enero al treinta y uno de diciembre de dos mil veintidós.</w:t>
      </w:r>
    </w:p>
    <w:p w:rsidRPr="00DF3B64" w:rsidR="00DF3B64" w:rsidP="003F3F81" w:rsidRDefault="00DF3B64" w14:paraId="744233F4" w14:textId="7D848AFA">
      <w:pPr>
        <w:autoSpaceDE w:val="0"/>
        <w:autoSpaceDN w:val="0"/>
        <w:adjustRightInd w:val="0"/>
        <w:spacing w:after="0" w:line="360" w:lineRule="auto"/>
        <w:rPr>
          <w:rFonts w:eastAsia="Times New Roman" w:cs="Tahoma"/>
          <w:color w:val="auto"/>
          <w:szCs w:val="24"/>
          <w:lang w:eastAsia="es-ES"/>
        </w:rPr>
      </w:pPr>
    </w:p>
    <w:p w:rsidRPr="00446963" w:rsidR="00066B31" w:rsidP="00A158AB" w:rsidRDefault="00066B31" w14:paraId="1EB66871" w14:textId="349F3629">
      <w:pPr>
        <w:autoSpaceDE w:val="0"/>
        <w:autoSpaceDN w:val="0"/>
        <w:adjustRightInd w:val="0"/>
        <w:spacing w:after="0" w:line="360" w:lineRule="auto"/>
        <w:rPr>
          <w:rFonts w:cs="Tahoma"/>
          <w:b/>
        </w:rPr>
      </w:pPr>
      <w:r w:rsidRPr="00446963">
        <w:rPr>
          <w:rFonts w:cs="Tahoma"/>
          <w:b/>
        </w:rPr>
        <w:t>I</w:t>
      </w:r>
      <w:r w:rsidR="00EA3060">
        <w:rPr>
          <w:rFonts w:cs="Tahoma"/>
          <w:b/>
        </w:rPr>
        <w:t>V</w:t>
      </w:r>
      <w:r w:rsidRPr="00446963">
        <w:rPr>
          <w:rFonts w:cs="Tahoma"/>
          <w:b/>
        </w:rPr>
        <w:t xml:space="preserve">. Interposición del Recurso de Revisión. </w:t>
      </w:r>
    </w:p>
    <w:p w:rsidRPr="00446963" w:rsidR="00066B31" w:rsidP="00A158AB" w:rsidRDefault="00066B31" w14:paraId="56D17863" w14:textId="77777777">
      <w:pPr>
        <w:autoSpaceDE w:val="0"/>
        <w:autoSpaceDN w:val="0"/>
        <w:adjustRightInd w:val="0"/>
        <w:spacing w:after="0" w:line="360" w:lineRule="auto"/>
        <w:rPr>
          <w:rFonts w:cs="Tahoma"/>
          <w:b/>
        </w:rPr>
      </w:pPr>
    </w:p>
    <w:p w:rsidR="00975497" w:rsidP="00F50A74" w:rsidRDefault="00610C0E" w14:paraId="68E7B7E2" w14:textId="393BE21D">
      <w:pPr>
        <w:tabs>
          <w:tab w:val="left" w:pos="567"/>
        </w:tabs>
        <w:spacing w:line="360" w:lineRule="auto"/>
        <w:rPr>
          <w:rFonts w:eastAsia="Times New Roman" w:cs="Tahoma"/>
          <w:bCs/>
          <w:color w:val="auto"/>
          <w:lang w:eastAsia="es-ES"/>
        </w:rPr>
      </w:pPr>
      <w:r w:rsidRPr="00610C0E">
        <w:rPr>
          <w:rFonts w:eastAsia="Calibri" w:cs="Times New Roman"/>
          <w:bCs/>
        </w:rPr>
        <w:t xml:space="preserve">Con fecha </w:t>
      </w:r>
      <w:r w:rsidR="003F3F81">
        <w:rPr>
          <w:rFonts w:eastAsia="Calibri" w:cs="Times New Roman"/>
          <w:bCs/>
        </w:rPr>
        <w:t>catorce de julio</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C30B5F">
        <w:rPr>
          <w:rFonts w:eastAsia="Calibri" w:cs="Times New Roman"/>
          <w:bCs/>
          <w:lang w:val="es-ES"/>
        </w:rPr>
        <w:t xml:space="preserve"> </w:t>
      </w:r>
      <w:r w:rsidRPr="00610C0E">
        <w:rPr>
          <w:rFonts w:eastAsia="Calibri" w:cs="Times New Roman"/>
          <w:bCs/>
          <w:lang w:val="es-ES"/>
        </w:rPr>
        <w:t>respuesta por el Sujeto Obligado</w:t>
      </w:r>
      <w:r w:rsidR="00043C41">
        <w:rPr>
          <w:rFonts w:eastAsia="Calibri" w:cs="Times New Roman"/>
          <w:bCs/>
          <w:lang w:val="es-ES"/>
        </w:rPr>
        <w:t>,</w:t>
      </w:r>
      <w:r w:rsidRPr="000B12BC" w:rsidR="000B12BC">
        <w:rPr>
          <w:rFonts w:eastAsia="Times New Roman" w:cs="Tahoma"/>
          <w:b/>
          <w:color w:val="auto"/>
          <w:lang w:eastAsia="es-ES"/>
        </w:rPr>
        <w:t xml:space="preserve"> </w:t>
      </w:r>
      <w:r w:rsidRPr="00975497" w:rsidR="00975497">
        <w:rPr>
          <w:rFonts w:eastAsia="Times New Roman" w:cs="Tahoma"/>
          <w:bCs/>
          <w:color w:val="auto"/>
          <w:lang w:eastAsia="es-ES"/>
        </w:rPr>
        <w:t>en los siguientes términos:</w:t>
      </w:r>
    </w:p>
    <w:p w:rsidRPr="000B12BC" w:rsidR="0024120D" w:rsidP="00F50A74" w:rsidRDefault="0024120D" w14:paraId="1E854BE6" w14:textId="77777777">
      <w:pPr>
        <w:tabs>
          <w:tab w:val="left" w:pos="567"/>
        </w:tabs>
        <w:spacing w:line="360" w:lineRule="auto"/>
        <w:rPr>
          <w:rFonts w:eastAsia="Times New Roman" w:cs="Tahoma"/>
          <w:b/>
          <w:color w:val="auto"/>
          <w:lang w:eastAsia="es-ES"/>
        </w:rPr>
      </w:pPr>
    </w:p>
    <w:p w:rsidRPr="005A6E3B" w:rsidR="00066B31" w:rsidP="00F50A74"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lastRenderedPageBreak/>
        <w:t>“ACTO IMPUGNADO</w:t>
      </w:r>
    </w:p>
    <w:p w:rsidR="00066B31" w:rsidP="00A158AB" w:rsidRDefault="003F3F81" w14:paraId="49C43B2D" w14:textId="71868C6B">
      <w:pPr>
        <w:autoSpaceDE w:val="0"/>
        <w:autoSpaceDN w:val="0"/>
        <w:adjustRightInd w:val="0"/>
        <w:spacing w:after="0" w:line="360" w:lineRule="auto"/>
        <w:ind w:left="567" w:right="567"/>
        <w:rPr>
          <w:rFonts w:cs="Tahoma"/>
          <w:i/>
          <w:sz w:val="20"/>
          <w:szCs w:val="20"/>
        </w:rPr>
      </w:pPr>
      <w:r w:rsidRPr="003F3F81">
        <w:rPr>
          <w:i/>
          <w:iCs/>
          <w:sz w:val="20"/>
          <w:szCs w:val="20"/>
        </w:rPr>
        <w:t>la información que se me proporciono no se puede ver con claridad, por lo cual solicito se me vuelva la información que se pueda ver claramente</w:t>
      </w:r>
      <w:r w:rsidRPr="005A6E3B" w:rsidR="00066B31">
        <w:rPr>
          <w:i/>
          <w:sz w:val="20"/>
          <w:szCs w:val="20"/>
        </w:rPr>
        <w:t>”</w:t>
      </w:r>
      <w:r w:rsidRPr="005A6E3B" w:rsidR="00066B31">
        <w:rPr>
          <w:rFonts w:cs="Tahoma"/>
          <w:i/>
          <w:sz w:val="20"/>
          <w:szCs w:val="20"/>
        </w:rPr>
        <w:t xml:space="preserve"> (Sic.)</w:t>
      </w:r>
    </w:p>
    <w:p w:rsidRPr="005A6E3B" w:rsidR="00043C41" w:rsidP="00A158AB" w:rsidRDefault="00043C41" w14:paraId="0CE1073B" w14:textId="77777777">
      <w:pPr>
        <w:autoSpaceDE w:val="0"/>
        <w:autoSpaceDN w:val="0"/>
        <w:adjustRightInd w:val="0"/>
        <w:spacing w:after="0" w:line="360" w:lineRule="auto"/>
        <w:ind w:left="567" w:right="567"/>
        <w:rPr>
          <w:rFonts w:cs="Tahoma"/>
          <w:i/>
          <w:sz w:val="20"/>
          <w:szCs w:val="20"/>
        </w:rPr>
      </w:pPr>
    </w:p>
    <w:p w:rsidRPr="005A6E3B" w:rsidR="00066B31" w:rsidP="00A158AB"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066B31" w:rsidP="00A158AB" w:rsidRDefault="003F3F81" w14:paraId="39D18A41" w14:textId="4F05074E">
      <w:pPr>
        <w:autoSpaceDE w:val="0"/>
        <w:autoSpaceDN w:val="0"/>
        <w:adjustRightInd w:val="0"/>
        <w:spacing w:after="0" w:line="360" w:lineRule="auto"/>
        <w:ind w:left="567" w:right="567"/>
        <w:rPr>
          <w:rFonts w:cs="Tahoma"/>
          <w:i/>
          <w:sz w:val="20"/>
          <w:szCs w:val="20"/>
        </w:rPr>
      </w:pPr>
      <w:r>
        <w:rPr>
          <w:i/>
          <w:iCs/>
          <w:sz w:val="20"/>
          <w:szCs w:val="20"/>
        </w:rPr>
        <w:t>l</w:t>
      </w:r>
      <w:r w:rsidRPr="003F3F81">
        <w:rPr>
          <w:i/>
          <w:iCs/>
          <w:sz w:val="20"/>
          <w:szCs w:val="20"/>
        </w:rPr>
        <w:t>a información no se puede apreciar con claridad</w:t>
      </w:r>
      <w:r w:rsidRPr="005A6E3B" w:rsidR="00066B31">
        <w:rPr>
          <w:rFonts w:cs="Tahoma"/>
          <w:i/>
          <w:sz w:val="20"/>
          <w:szCs w:val="20"/>
        </w:rPr>
        <w:t>” (Sic.)</w:t>
      </w:r>
    </w:p>
    <w:p w:rsidRPr="00446963" w:rsidR="00FC6C9A" w:rsidP="00A158AB" w:rsidRDefault="00FC6C9A" w14:paraId="025E20EB" w14:textId="77777777">
      <w:pPr>
        <w:spacing w:after="0" w:line="360" w:lineRule="auto"/>
        <w:rPr>
          <w:rFonts w:cs="Tahoma"/>
          <w:bCs/>
        </w:rPr>
      </w:pPr>
    </w:p>
    <w:p w:rsidRPr="00446963" w:rsidR="00066B31" w:rsidP="00A158AB" w:rsidRDefault="00043C41" w14:paraId="5B83448B" w14:textId="0E4FFDF2">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p>
    <w:p w:rsidRPr="00446963" w:rsidR="00066B31" w:rsidP="00A158AB" w:rsidRDefault="00066B31" w14:paraId="55E97358" w14:textId="77777777">
      <w:pPr>
        <w:spacing w:after="0" w:line="360" w:lineRule="auto"/>
        <w:rPr>
          <w:rFonts w:eastAsia="Batang" w:cs="Tahoma"/>
          <w:b/>
          <w:bCs/>
        </w:rPr>
      </w:pPr>
    </w:p>
    <w:p w:rsidRPr="00446963" w:rsidR="00066B31" w:rsidP="00A158AB" w:rsidRDefault="00066B31" w14:paraId="77FAD18E" w14:textId="6C9B65F2">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3F3F81">
        <w:rPr>
          <w:rFonts w:eastAsia="Batang" w:cs="Tahoma"/>
          <w:bCs/>
        </w:rPr>
        <w:t xml:space="preserve">catorce de julio </w:t>
      </w:r>
      <w:r w:rsidRPr="00446963">
        <w:rPr>
          <w:rFonts w:eastAsia="Batang" w:cs="Tahoma"/>
          <w:bCs/>
        </w:rPr>
        <w:t xml:space="preserve">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24120D" w:rsidR="0024120D">
        <w:rPr>
          <w:b/>
          <w:bCs/>
        </w:rPr>
        <w:t>11441/INFOEM/IP/RR/2022</w:t>
      </w:r>
      <w:r w:rsidRPr="00446963">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066B31" w:rsidP="00A158AB" w:rsidRDefault="00066B31" w14:paraId="6C462593" w14:textId="77777777">
      <w:pPr>
        <w:spacing w:after="0" w:line="360" w:lineRule="auto"/>
        <w:rPr>
          <w:rFonts w:eastAsia="Batang" w:cs="Tahoma"/>
          <w:bCs/>
        </w:rPr>
      </w:pPr>
    </w:p>
    <w:p w:rsidRPr="00446963" w:rsidR="00066B31" w:rsidP="00A158AB" w:rsidRDefault="00066B31" w14:paraId="5A1C754E" w14:textId="1BFD445F">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3F3F81">
        <w:rPr>
          <w:rFonts w:eastAsia="Batang" w:cs="Tahoma"/>
          <w:bCs/>
          <w:lang w:val="es-ES_tradnl"/>
        </w:rPr>
        <w:t>dos de agosto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w:t>
      </w:r>
      <w:r w:rsidR="00043C41">
        <w:rPr>
          <w:rFonts w:eastAsia="Batang" w:cs="Tahoma"/>
          <w:bCs/>
          <w:lang w:val="es-ES_tradnl"/>
        </w:rPr>
        <w:t xml:space="preserve"> </w:t>
      </w:r>
      <w:r w:rsidR="003F3F81">
        <w:rPr>
          <w:rFonts w:eastAsia="Batang" w:cs="Tahoma"/>
          <w:bCs/>
          <w:lang w:val="es-ES_tradnl"/>
        </w:rPr>
        <w:t>tres de dicho mes y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A158AB" w:rsidRDefault="00066B31" w14:paraId="10CD29C0" w14:textId="77777777">
      <w:pPr>
        <w:spacing w:after="0" w:line="360" w:lineRule="auto"/>
        <w:rPr>
          <w:rFonts w:cs="Tahoma"/>
          <w:bCs/>
        </w:rPr>
      </w:pPr>
    </w:p>
    <w:p w:rsidRPr="00446963" w:rsidR="00066B31" w:rsidP="00A158AB" w:rsidRDefault="00066B31" w14:paraId="29C75A42" w14:textId="649E1641">
      <w:pPr>
        <w:spacing w:after="0" w:line="360" w:lineRule="auto"/>
        <w:rPr>
          <w:rFonts w:cs="Tahoma"/>
          <w:b/>
          <w:lang w:val="es-ES"/>
        </w:rPr>
      </w:pPr>
      <w:r w:rsidRPr="00446963">
        <w:rPr>
          <w:rFonts w:cs="Tahoma"/>
          <w:b/>
        </w:rPr>
        <w:t xml:space="preserve">c) </w:t>
      </w:r>
      <w:r w:rsidRPr="00446963">
        <w:rPr>
          <w:rFonts w:cs="Tahoma"/>
          <w:b/>
          <w:bCs/>
          <w:iCs/>
          <w:lang w:val="es-ES"/>
        </w:rPr>
        <w:t>Informe Justificado o manifestaciones.</w:t>
      </w:r>
      <w:r w:rsidRPr="00446963">
        <w:rPr>
          <w:rFonts w:cs="Tahoma"/>
          <w:bCs/>
          <w:iCs/>
          <w:lang w:val="es-ES"/>
        </w:rPr>
        <w:t xml:space="preserve"> </w:t>
      </w:r>
      <w:r w:rsidR="00497692">
        <w:rPr>
          <w:rFonts w:cs="Tahoma"/>
          <w:lang w:val="es-ES_tradnl"/>
        </w:rPr>
        <w:t>Las partes fueron omisas en emitir manifestaciones o alegatos.</w:t>
      </w:r>
    </w:p>
    <w:p w:rsidRPr="00446963" w:rsidR="00066B31" w:rsidP="00A158AB" w:rsidRDefault="00066B31" w14:paraId="5FDE4F98" w14:textId="77777777">
      <w:pPr>
        <w:spacing w:after="0" w:line="360" w:lineRule="auto"/>
        <w:rPr>
          <w:rFonts w:cs="Tahoma"/>
          <w:b/>
        </w:rPr>
      </w:pPr>
    </w:p>
    <w:p w:rsidRPr="00446963" w:rsidR="00066B31" w:rsidP="00A158AB" w:rsidRDefault="00066B31" w14:paraId="6EA06E35" w14:textId="0DB50E28">
      <w:pPr>
        <w:spacing w:after="0" w:line="360" w:lineRule="auto"/>
        <w:rPr>
          <w:rFonts w:cs="Tahoma"/>
        </w:rPr>
      </w:pPr>
      <w:r w:rsidRPr="00446963">
        <w:rPr>
          <w:rFonts w:cs="Tahoma"/>
          <w:b/>
          <w:bCs/>
        </w:rPr>
        <w:lastRenderedPageBreak/>
        <w:t>d)</w:t>
      </w:r>
      <w:r w:rsidR="00643079">
        <w:rPr>
          <w:rFonts w:cs="Tahoma"/>
          <w:b/>
          <w:bCs/>
        </w:rPr>
        <w:t xml:space="preserve"> </w:t>
      </w:r>
      <w:r w:rsidRPr="00446963">
        <w:rPr>
          <w:rFonts w:cs="Tahoma"/>
          <w:b/>
          <w:bCs/>
        </w:rPr>
        <w:t>Cierre de instrucción.</w:t>
      </w:r>
      <w:r w:rsidRPr="00446963">
        <w:rPr>
          <w:rFonts w:cs="Tahoma"/>
        </w:rPr>
        <w:t xml:space="preserve">  El </w:t>
      </w:r>
      <w:r w:rsidR="003F3F81">
        <w:rPr>
          <w:rFonts w:cs="Tahoma"/>
        </w:rPr>
        <w:t xml:space="preserve">veinticuatro </w:t>
      </w:r>
      <w:r w:rsidR="004161A2">
        <w:rPr>
          <w:rFonts w:cs="Tahoma"/>
        </w:rPr>
        <w:t>de agosto</w:t>
      </w:r>
      <w:r w:rsidRPr="00446963">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w:t>
      </w:r>
      <w:r w:rsidR="008B1873">
        <w:rPr>
          <w:rFonts w:cs="Tahoma"/>
        </w:rPr>
        <w:t xml:space="preserve"> el </w:t>
      </w:r>
      <w:r w:rsidR="002D10E0">
        <w:rPr>
          <w:rFonts w:cs="Tahoma"/>
        </w:rPr>
        <w:t>primero de junio de dos mil veintidós</w:t>
      </w:r>
      <w:r w:rsidRPr="00446963">
        <w:rPr>
          <w:rFonts w:cs="Tahoma"/>
        </w:rPr>
        <w:t xml:space="preserve">, a través del </w:t>
      </w:r>
      <w:r w:rsidRPr="00446963">
        <w:rPr>
          <w:rFonts w:cs="Tahoma"/>
          <w:lang w:val="es-ES"/>
        </w:rPr>
        <w:t>Sistema de Acceso a la Información Mexiquense (SAIMEX)</w:t>
      </w:r>
      <w:r w:rsidR="008B1873">
        <w:rPr>
          <w:rFonts w:cs="Tahoma"/>
          <w:lang w:val="es-ES"/>
        </w:rPr>
        <w:t>.</w:t>
      </w:r>
    </w:p>
    <w:p w:rsidRPr="00446963" w:rsidR="00066B31" w:rsidP="00A158AB" w:rsidRDefault="00066B31" w14:paraId="1BB0C7FD" w14:textId="77777777">
      <w:pPr>
        <w:spacing w:after="0" w:line="360" w:lineRule="auto"/>
        <w:rPr>
          <w:rFonts w:cs="Tahoma"/>
          <w:b/>
          <w:bCs/>
          <w:lang w:val="es-ES"/>
        </w:rPr>
      </w:pPr>
    </w:p>
    <w:p w:rsidR="00066B31" w:rsidP="00A158AB" w:rsidRDefault="00066B31" w14:paraId="3C63CE88" w14:textId="7B539959">
      <w:pPr>
        <w:spacing w:after="0" w:line="360" w:lineRule="auto"/>
        <w:rPr>
          <w:rFonts w:cs="Tahoma"/>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00F55B7E" w:rsidP="00A158AB" w:rsidRDefault="00F55B7E" w14:paraId="589A64B6" w14:textId="77777777">
      <w:pPr>
        <w:spacing w:after="0" w:line="360" w:lineRule="auto"/>
        <w:rPr>
          <w:rFonts w:cs="Tahoma"/>
        </w:rPr>
      </w:pPr>
    </w:p>
    <w:p w:rsidR="00066B31" w:rsidP="00AF2044" w:rsidRDefault="00066B31" w14:paraId="2D6C5172" w14:textId="3569EDDE">
      <w:pPr>
        <w:spacing w:after="0" w:line="360" w:lineRule="auto"/>
        <w:jc w:val="center"/>
        <w:rPr>
          <w:rFonts w:cs="Tahoma"/>
          <w:b/>
          <w:lang w:val="es-ES"/>
        </w:rPr>
      </w:pPr>
      <w:r w:rsidRPr="00446963">
        <w:rPr>
          <w:rFonts w:cs="Tahoma"/>
          <w:b/>
          <w:lang w:val="es-ES"/>
        </w:rPr>
        <w:t>CONSIDERANDOS:</w:t>
      </w:r>
    </w:p>
    <w:p w:rsidRPr="00446963" w:rsidR="005D6213" w:rsidP="00AF2044" w:rsidRDefault="005D6213" w14:paraId="3BD73B02" w14:textId="77777777">
      <w:pPr>
        <w:spacing w:after="0" w:line="360" w:lineRule="auto"/>
        <w:jc w:val="center"/>
        <w:rPr>
          <w:rFonts w:cs="Tahoma"/>
          <w:b/>
          <w:lang w:val="es-ES"/>
        </w:rPr>
      </w:pPr>
    </w:p>
    <w:p w:rsidRPr="009A2169" w:rsidR="009A2169" w:rsidP="009A2169" w:rsidRDefault="009A2169" w14:paraId="3BEB7B58" w14:textId="77777777">
      <w:pPr>
        <w:spacing w:after="0" w:line="360" w:lineRule="auto"/>
        <w:rPr>
          <w:rFonts w:eastAsia="Batang" w:cs="Tahoma"/>
          <w:b/>
          <w:bCs/>
          <w:color w:val="auto"/>
          <w:lang w:eastAsia="es-ES"/>
        </w:rPr>
      </w:pPr>
      <w:r w:rsidRPr="009A2169">
        <w:rPr>
          <w:rFonts w:eastAsia="Batang" w:cs="Tahoma"/>
          <w:b/>
          <w:bCs/>
          <w:color w:val="auto"/>
          <w:lang w:eastAsia="es-ES"/>
        </w:rPr>
        <w:t xml:space="preserve">PRIMERO. Competencia. </w:t>
      </w:r>
    </w:p>
    <w:p w:rsidRPr="009A2169" w:rsidR="009A2169" w:rsidP="009A2169" w:rsidRDefault="009A2169" w14:paraId="53E7BC07" w14:textId="77777777">
      <w:pPr>
        <w:spacing w:after="0" w:line="360" w:lineRule="auto"/>
        <w:rPr>
          <w:rFonts w:eastAsia="Batang" w:cs="Tahoma"/>
          <w:b/>
          <w:bCs/>
          <w:color w:val="auto"/>
          <w:lang w:eastAsia="es-ES"/>
        </w:rPr>
      </w:pPr>
    </w:p>
    <w:p w:rsidRPr="009A2169" w:rsidR="009A2169" w:rsidP="009A2169" w:rsidRDefault="009A2169" w14:paraId="7C25494F" w14:textId="77777777">
      <w:pPr>
        <w:spacing w:after="0" w:line="360" w:lineRule="auto"/>
        <w:rPr>
          <w:rFonts w:eastAsia="Times New Roman" w:cs="Tahoma"/>
          <w:bCs/>
          <w:color w:val="auto"/>
          <w:lang w:eastAsia="es-ES"/>
        </w:rPr>
      </w:pPr>
      <w:bookmarkStart w:name="_Hlk63334754" w:id="0"/>
      <w:r w:rsidRPr="009A2169">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A2169">
        <w:rPr>
          <w:rFonts w:eastAsia="Times New Roman" w:cs="Times New Roman"/>
          <w:bCs/>
          <w:color w:val="auto"/>
          <w:lang w:eastAsia="es-ES"/>
        </w:rPr>
        <w:t xml:space="preserve"> 7°, </w:t>
      </w:r>
      <w:r w:rsidRPr="009A2169">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bookmarkEnd w:id="0"/>
    <w:p w:rsidRPr="009A2169" w:rsidR="009A2169" w:rsidP="009A2169" w:rsidRDefault="009A2169" w14:paraId="3D7A43B3" w14:textId="77777777">
      <w:pPr>
        <w:spacing w:after="0" w:line="360" w:lineRule="auto"/>
        <w:rPr>
          <w:rFonts w:eastAsia="Calibri" w:cs="Tahoma"/>
          <w:bCs/>
          <w:color w:val="000000"/>
          <w:lang w:eastAsia="es-ES_tradnl"/>
        </w:rPr>
      </w:pPr>
    </w:p>
    <w:p w:rsidRPr="009A2169" w:rsidR="009A2169" w:rsidP="009A2169" w:rsidRDefault="009A2169" w14:paraId="1684085D" w14:textId="77777777">
      <w:pPr>
        <w:shd w:val="clear" w:color="auto" w:fill="FFFFFF"/>
        <w:spacing w:after="0" w:line="360" w:lineRule="auto"/>
        <w:rPr>
          <w:rFonts w:eastAsia="Times New Roman" w:cs="Times New Roman"/>
          <w:color w:val="222222"/>
          <w:sz w:val="20"/>
          <w:szCs w:val="20"/>
          <w:lang w:val="es-ES" w:eastAsia="es-ES"/>
        </w:rPr>
      </w:pPr>
      <w:r w:rsidRPr="009A2169">
        <w:rPr>
          <w:rFonts w:eastAsia="Times New Roman" w:cs="Times New Roman"/>
          <w:b/>
          <w:bCs/>
          <w:color w:val="000000"/>
          <w:lang w:val="es-ES" w:eastAsia="es-ES"/>
        </w:rPr>
        <w:lastRenderedPageBreak/>
        <w:t>SEGUNDO. Causales de procedencia y sobreseimiento.</w:t>
      </w:r>
    </w:p>
    <w:p w:rsidRPr="009A2169" w:rsidR="009A2169" w:rsidP="009A2169" w:rsidRDefault="009A2169" w14:paraId="6241A58F" w14:textId="77777777">
      <w:pPr>
        <w:shd w:val="clear" w:color="auto" w:fill="FFFFFF"/>
        <w:spacing w:after="0" w:line="360" w:lineRule="auto"/>
        <w:rPr>
          <w:rFonts w:eastAsia="Times New Roman" w:cs="Times New Roman"/>
          <w:color w:val="222222"/>
          <w:sz w:val="20"/>
          <w:szCs w:val="20"/>
          <w:lang w:val="es-ES" w:eastAsia="es-ES"/>
        </w:rPr>
      </w:pPr>
    </w:p>
    <w:p w:rsidRPr="009A2169" w:rsidR="009A2169" w:rsidP="009A2169" w:rsidRDefault="009A2169" w14:paraId="0B794D9F" w14:textId="77777777">
      <w:pPr>
        <w:shd w:val="clear" w:color="auto" w:fill="FFFFFF"/>
        <w:spacing w:after="0" w:line="360" w:lineRule="auto"/>
        <w:rPr>
          <w:rFonts w:eastAsia="Times New Roman" w:cs="Times New Roman"/>
          <w:color w:val="222222"/>
          <w:sz w:val="20"/>
          <w:szCs w:val="20"/>
          <w:lang w:val="es-ES" w:eastAsia="es-ES"/>
        </w:rPr>
      </w:pPr>
      <w:r w:rsidRPr="009A2169">
        <w:rPr>
          <w:rFonts w:eastAsia="Times New Roman" w:cs="Times New Roman"/>
          <w:color w:val="000000"/>
          <w:lang w:val="es-ES" w:eastAsia="es-ES"/>
        </w:rPr>
        <w:t xml:space="preserve">De las constancias que forman parte de los Recursos de Revisión que se analizan, se advierte que previo al estudio del fondo de la </w:t>
      </w:r>
      <w:r w:rsidRPr="009A2169">
        <w:rPr>
          <w:rFonts w:eastAsia="Times New Roman" w:cs="Times New Roman"/>
          <w:i/>
          <w:color w:val="000000"/>
          <w:lang w:val="es-ES" w:eastAsia="es-ES"/>
        </w:rPr>
        <w:t>litis</w:t>
      </w:r>
      <w:r w:rsidRPr="009A2169">
        <w:rPr>
          <w:rFonts w:eastAsia="Times New Roman" w:cs="Times New Roman"/>
          <w:color w:val="000000"/>
          <w:lang w:val="es-ES" w:eastAsia="es-ES"/>
        </w:rPr>
        <w:t>, es necesario estudiar las causales de improcedencia y sobreseimiento que se adviertan, para determinar lo que en Derecho proceda.</w:t>
      </w:r>
    </w:p>
    <w:p w:rsidRPr="009A2169" w:rsidR="009A2169" w:rsidP="009A2169" w:rsidRDefault="009A2169" w14:paraId="47A38B1A" w14:textId="77777777">
      <w:pPr>
        <w:shd w:val="clear" w:color="auto" w:fill="FFFFFF"/>
        <w:spacing w:after="0" w:line="360" w:lineRule="auto"/>
        <w:rPr>
          <w:rFonts w:eastAsia="Times New Roman" w:cs="Times New Roman"/>
          <w:b/>
          <w:bCs/>
          <w:color w:val="000000"/>
          <w:lang w:val="es-ES" w:eastAsia="es-ES"/>
        </w:rPr>
      </w:pPr>
    </w:p>
    <w:p w:rsidRPr="009A2169" w:rsidR="009A2169" w:rsidP="009A2169" w:rsidRDefault="009A2169" w14:paraId="681C4314" w14:textId="77777777">
      <w:pPr>
        <w:shd w:val="clear" w:color="auto" w:fill="FFFFFF"/>
        <w:spacing w:after="0" w:line="360" w:lineRule="auto"/>
        <w:rPr>
          <w:rFonts w:eastAsia="Times New Roman" w:cs="Times New Roman"/>
          <w:color w:val="222222"/>
          <w:sz w:val="20"/>
          <w:szCs w:val="20"/>
          <w:lang w:val="es-ES" w:eastAsia="es-ES"/>
        </w:rPr>
      </w:pPr>
      <w:r w:rsidRPr="009A2169">
        <w:rPr>
          <w:rFonts w:eastAsia="Times New Roman" w:cs="Times New Roman"/>
          <w:b/>
          <w:bCs/>
          <w:color w:val="000000"/>
          <w:lang w:val="es-ES" w:eastAsia="es-ES"/>
        </w:rPr>
        <w:t>Causales de improcedencia.</w:t>
      </w:r>
    </w:p>
    <w:p w:rsidRPr="009A2169" w:rsidR="009A2169" w:rsidP="009A2169" w:rsidRDefault="009A2169" w14:paraId="1F463FEB" w14:textId="77777777">
      <w:pPr>
        <w:shd w:val="clear" w:color="auto" w:fill="FFFFFF"/>
        <w:spacing w:after="0" w:line="360" w:lineRule="auto"/>
        <w:rPr>
          <w:rFonts w:eastAsia="Times New Roman" w:cs="Times New Roman"/>
          <w:color w:val="222222"/>
          <w:sz w:val="20"/>
          <w:szCs w:val="20"/>
          <w:lang w:val="es-ES" w:eastAsia="es-ES"/>
        </w:rPr>
      </w:pPr>
    </w:p>
    <w:p w:rsidRPr="009A2169" w:rsidR="009A2169" w:rsidP="009A2169" w:rsidRDefault="009A2169" w14:paraId="650ED231" w14:textId="77777777">
      <w:pPr>
        <w:spacing w:after="0" w:line="360" w:lineRule="auto"/>
        <w:rPr>
          <w:rFonts w:eastAsia="Times New Roman" w:cs="Tahoma"/>
          <w:bCs/>
          <w:color w:val="000000"/>
          <w:lang w:eastAsia="es-ES"/>
        </w:rPr>
      </w:pPr>
      <w:r w:rsidRPr="009A2169">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A2169" w:rsidR="009A2169" w:rsidP="009A2169" w:rsidRDefault="009A2169" w14:paraId="04A28802" w14:textId="77777777">
      <w:pPr>
        <w:spacing w:after="0" w:line="360" w:lineRule="auto"/>
        <w:rPr>
          <w:rFonts w:eastAsia="Times New Roman" w:cs="Tahoma"/>
          <w:bCs/>
          <w:color w:val="000000"/>
          <w:lang w:eastAsia="es-ES"/>
        </w:rPr>
      </w:pPr>
    </w:p>
    <w:p w:rsidRPr="009A2169" w:rsidR="009A2169" w:rsidP="009A2169" w:rsidRDefault="009A2169" w14:paraId="6A485EE9" w14:textId="77777777">
      <w:pPr>
        <w:spacing w:after="0" w:line="360" w:lineRule="auto"/>
        <w:rPr>
          <w:rFonts w:eastAsia="Times New Roman" w:cs="Tahoma"/>
          <w:bCs/>
          <w:color w:val="000000"/>
          <w:lang w:eastAsia="es-ES"/>
        </w:rPr>
      </w:pPr>
      <w:r w:rsidRPr="009A2169">
        <w:rPr>
          <w:rFonts w:eastAsia="Times New Roman" w:cs="Tahoma"/>
          <w:bCs/>
          <w:color w:val="000000"/>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9A2169" w:rsidR="009A2169" w:rsidP="009A2169" w:rsidRDefault="009A2169" w14:paraId="756DF499" w14:textId="77777777">
      <w:pPr>
        <w:widowControl w:val="0"/>
        <w:spacing w:after="0" w:line="360" w:lineRule="auto"/>
        <w:rPr>
          <w:rFonts w:eastAsia="Times New Roman" w:cs="Times New Roman"/>
          <w:color w:val="222222"/>
          <w:sz w:val="20"/>
          <w:szCs w:val="20"/>
          <w:lang w:val="es-ES" w:eastAsia="es-ES"/>
        </w:rPr>
      </w:pPr>
    </w:p>
    <w:p w:rsidRPr="009A2169" w:rsidR="009A2169" w:rsidP="009A2169" w:rsidRDefault="009A2169" w14:paraId="164D7743" w14:textId="7ED442B5">
      <w:pPr>
        <w:autoSpaceDE w:val="0"/>
        <w:autoSpaceDN w:val="0"/>
        <w:adjustRightInd w:val="0"/>
        <w:spacing w:after="0" w:line="360" w:lineRule="auto"/>
        <w:rPr>
          <w:rFonts w:eastAsia="Calibri" w:cs="Tahoma"/>
          <w:color w:val="000000"/>
          <w:lang w:eastAsia="es-MX"/>
        </w:rPr>
      </w:pPr>
      <w:r w:rsidRPr="009A2169">
        <w:rPr>
          <w:rFonts w:eastAsia="Calibri" w:cs="Tahoma"/>
          <w:color w:val="000000"/>
          <w:lang w:eastAsia="es-MX"/>
        </w:rPr>
        <w:lastRenderedPageBreak/>
        <w:t xml:space="preserve">Asimismo, se actualiza la causal de procedencia señalada en el artículo 179, fracción </w:t>
      </w:r>
      <w:r w:rsidR="00E67093">
        <w:rPr>
          <w:rFonts w:eastAsia="Calibri" w:cs="Tahoma"/>
          <w:color w:val="000000"/>
          <w:lang w:eastAsia="es-MX"/>
        </w:rPr>
        <w:t>IX</w:t>
      </w:r>
      <w:r w:rsidRPr="009A2169">
        <w:rPr>
          <w:rFonts w:eastAsia="Calibri" w:cs="Tahoma"/>
          <w:color w:val="000000"/>
          <w:lang w:eastAsia="es-MX"/>
        </w:rPr>
        <w:t xml:space="preserve">, de la Ley de la materia, toda vez que el Solicitante se inconformó </w:t>
      </w:r>
      <w:r w:rsidR="00E67093">
        <w:rPr>
          <w:rFonts w:eastAsia="Calibri" w:cs="Tahoma"/>
          <w:color w:val="000000"/>
          <w:lang w:eastAsia="es-MX"/>
        </w:rPr>
        <w:t>con la entrega de información en un formato incomprensible o no accesible</w:t>
      </w:r>
      <w:r w:rsidR="005F3D9F">
        <w:rPr>
          <w:rFonts w:eastAsia="Calibri" w:cs="Tahoma"/>
          <w:color w:val="000000"/>
          <w:lang w:eastAsia="es-MX"/>
        </w:rPr>
        <w:t xml:space="preserve"> para el Particular.</w:t>
      </w:r>
    </w:p>
    <w:p w:rsidRPr="009A2169" w:rsidR="009A2169" w:rsidP="009A2169" w:rsidRDefault="009A2169" w14:paraId="34E50B8C" w14:textId="77777777">
      <w:pPr>
        <w:widowControl w:val="0"/>
        <w:spacing w:after="0" w:line="360" w:lineRule="auto"/>
        <w:rPr>
          <w:rFonts w:eastAsia="Times New Roman" w:cs="Times New Roman"/>
          <w:color w:val="222222"/>
          <w:sz w:val="20"/>
          <w:szCs w:val="20"/>
          <w:lang w:val="es-ES" w:eastAsia="es-ES"/>
        </w:rPr>
      </w:pPr>
    </w:p>
    <w:p w:rsidRPr="009A2169" w:rsidR="009A2169" w:rsidP="009A2169" w:rsidRDefault="009A2169" w14:paraId="51F8DB44" w14:textId="77777777">
      <w:pPr>
        <w:spacing w:after="0" w:line="360" w:lineRule="auto"/>
        <w:rPr>
          <w:rFonts w:eastAsia="Times New Roman" w:cs="Tahoma"/>
          <w:bCs/>
          <w:color w:val="0D0D0D" w:themeColor="text1" w:themeTint="F2"/>
          <w:lang w:eastAsia="es-ES"/>
        </w:rPr>
      </w:pPr>
      <w:r w:rsidRPr="009A2169">
        <w:rPr>
          <w:rFonts w:eastAsia="Times New Roman" w:cs="Tahoma"/>
          <w:b/>
          <w:bCs/>
          <w:color w:val="0D0D0D" w:themeColor="text1" w:themeTint="F2"/>
          <w:lang w:eastAsia="es-ES"/>
        </w:rPr>
        <w:t>Causales de sobreseimiento.</w:t>
      </w:r>
    </w:p>
    <w:p w:rsidRPr="009A2169" w:rsidR="009A2169" w:rsidP="009A2169" w:rsidRDefault="009A2169" w14:paraId="53009EA3" w14:textId="77777777">
      <w:pPr>
        <w:spacing w:after="0" w:line="360" w:lineRule="auto"/>
        <w:rPr>
          <w:rFonts w:eastAsia="Times New Roman" w:cs="Tahoma"/>
          <w:bCs/>
          <w:color w:val="0D0D0D" w:themeColor="text1" w:themeTint="F2"/>
          <w:lang w:eastAsia="es-ES"/>
        </w:rPr>
      </w:pPr>
    </w:p>
    <w:p w:rsidRPr="009A2169" w:rsidR="009A2169" w:rsidP="009A2169" w:rsidRDefault="009A2169" w14:paraId="59D2B25F" w14:textId="77777777">
      <w:pPr>
        <w:spacing w:after="0" w:line="360" w:lineRule="auto"/>
        <w:rPr>
          <w:rFonts w:eastAsia="Times New Roman" w:cs="Tahoma"/>
          <w:bCs/>
          <w:color w:val="0D0D0D" w:themeColor="text1" w:themeTint="F2"/>
          <w:lang w:eastAsia="es-ES"/>
        </w:rPr>
      </w:pPr>
      <w:r w:rsidRPr="009A2169">
        <w:rPr>
          <w:rFonts w:eastAsia="Times New Roman" w:cs="Tahoma"/>
          <w:bCs/>
          <w:color w:val="0D0D0D" w:themeColor="text1" w:themeTint="F2"/>
          <w:lang w:eastAsia="es-ES"/>
        </w:rPr>
        <w:t>Por ser de previo y especial pronunciamiento, este Instituto analiza si se actualiza alguna causal de sobreseimiento.</w:t>
      </w:r>
    </w:p>
    <w:p w:rsidRPr="009A2169" w:rsidR="009A2169" w:rsidP="009A2169" w:rsidRDefault="009A2169" w14:paraId="0311DA94" w14:textId="77777777">
      <w:pPr>
        <w:spacing w:after="0" w:line="360" w:lineRule="auto"/>
        <w:rPr>
          <w:rFonts w:eastAsia="Times New Roman" w:cs="Tahoma"/>
          <w:bCs/>
          <w:color w:val="0D0D0D" w:themeColor="text1" w:themeTint="F2"/>
          <w:lang w:eastAsia="es-ES"/>
        </w:rPr>
      </w:pPr>
    </w:p>
    <w:p w:rsidRPr="009A2169" w:rsidR="009A2169" w:rsidP="009A2169" w:rsidRDefault="009A2169" w14:paraId="5EFB211A" w14:textId="77777777">
      <w:pPr>
        <w:spacing w:after="0" w:line="360" w:lineRule="auto"/>
        <w:rPr>
          <w:rFonts w:eastAsia="Times New Roman" w:cs="Tahoma"/>
          <w:color w:val="auto"/>
          <w:szCs w:val="24"/>
          <w:lang w:eastAsia="es-ES"/>
        </w:rPr>
      </w:pPr>
      <w:r w:rsidRPr="009A2169">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9A2169" w:rsidR="009A2169" w:rsidP="009A2169" w:rsidRDefault="009A2169" w14:paraId="6331CB45" w14:textId="77777777">
      <w:pPr>
        <w:spacing w:after="0" w:line="360" w:lineRule="auto"/>
        <w:rPr>
          <w:rFonts w:eastAsia="Times New Roman" w:cs="Tahoma"/>
          <w:bCs/>
          <w:color w:val="0D0D0D" w:themeColor="text1" w:themeTint="F2"/>
          <w:lang w:eastAsia="es-ES"/>
        </w:rPr>
      </w:pPr>
    </w:p>
    <w:p w:rsidRPr="00446963" w:rsidR="00066B31" w:rsidP="009A2169" w:rsidRDefault="009A2169" w14:paraId="26EA214E" w14:textId="08500B55">
      <w:pPr>
        <w:tabs>
          <w:tab w:val="left" w:pos="4962"/>
        </w:tabs>
        <w:spacing w:after="0" w:line="360" w:lineRule="auto"/>
        <w:rPr>
          <w:rFonts w:cs="Tahoma"/>
          <w:lang w:val="es-ES"/>
        </w:rPr>
      </w:pPr>
      <w:r w:rsidRPr="009A2169">
        <w:rPr>
          <w:rFonts w:eastAsia="Times New Roman" w:cs="Tahoma"/>
          <w:bCs/>
          <w:color w:val="0D0D0D" w:themeColor="text1" w:themeTint="F2"/>
          <w:lang w:eastAsia="es-ES"/>
        </w:rPr>
        <w:t>Por tales motivos, se considera procedente entrar al fondo del presente asunto</w:t>
      </w:r>
      <w:r w:rsidRPr="00446963" w:rsidR="00066B31">
        <w:rPr>
          <w:rFonts w:cs="Tahoma"/>
          <w:lang w:val="es-ES"/>
        </w:rPr>
        <w:t xml:space="preserve">. </w:t>
      </w:r>
    </w:p>
    <w:p w:rsidRPr="00446963" w:rsidR="00066B31" w:rsidP="00A158AB" w:rsidRDefault="00066B31" w14:paraId="7F0C6A66" w14:textId="77777777">
      <w:pPr>
        <w:tabs>
          <w:tab w:val="left" w:pos="4962"/>
        </w:tabs>
        <w:spacing w:after="0" w:line="360" w:lineRule="auto"/>
        <w:rPr>
          <w:rFonts w:cs="Tahoma"/>
          <w:lang w:val="es-ES"/>
        </w:rPr>
      </w:pPr>
    </w:p>
    <w:p w:rsidRPr="00446963" w:rsidR="00066B31" w:rsidP="00A158AB" w:rsidRDefault="00066B31" w14:paraId="1A5ACCAF"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066B31" w:rsidP="00A158AB" w:rsidRDefault="00066B31" w14:paraId="286B1258" w14:textId="77777777">
      <w:pPr>
        <w:spacing w:after="0" w:line="360" w:lineRule="auto"/>
      </w:pPr>
    </w:p>
    <w:p w:rsidR="00066B31" w:rsidP="00A158AB" w:rsidRDefault="00066B31" w14:paraId="035B8B87" w14:textId="744FE1A8">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FE24DD">
        <w:rPr>
          <w:rFonts w:eastAsia="Calibri" w:cs="Tahoma"/>
          <w:iCs/>
          <w:lang w:val="es-ES" w:eastAsia="es-ES_tradnl"/>
        </w:rPr>
        <w:t xml:space="preserve"> </w:t>
      </w:r>
      <w:r w:rsidR="005F3D9F">
        <w:rPr>
          <w:rFonts w:eastAsia="Calibri" w:cs="Tahoma"/>
          <w:iCs/>
          <w:lang w:val="es-ES" w:eastAsia="es-ES_tradnl"/>
        </w:rPr>
        <w:t>el Tabulador de Sueldos del Ayuntamiento de Texcalyacac, del ejercicio fiscal dos mil veintidós.</w:t>
      </w:r>
    </w:p>
    <w:p w:rsidRPr="00446963" w:rsidR="005F3D9F" w:rsidP="00A158AB" w:rsidRDefault="005F3D9F" w14:paraId="528AF618" w14:textId="77777777">
      <w:pPr>
        <w:tabs>
          <w:tab w:val="left" w:pos="4962"/>
        </w:tabs>
        <w:spacing w:after="0" w:line="360" w:lineRule="auto"/>
        <w:rPr>
          <w:rFonts w:eastAsia="Calibri" w:cs="Tahoma"/>
          <w:iCs/>
          <w:lang w:val="es-ES" w:eastAsia="es-ES_tradnl"/>
        </w:rPr>
      </w:pPr>
    </w:p>
    <w:p w:rsidRPr="00EF5D50" w:rsidR="00EF5D50" w:rsidP="00F55B7E" w:rsidRDefault="00FE24DD" w14:paraId="1934417A" w14:textId="3F605FCA">
      <w:pPr>
        <w:spacing w:after="0" w:line="360" w:lineRule="auto"/>
        <w:rPr>
          <w:rFonts w:cs="Tahoma"/>
          <w:bCs/>
          <w:iCs/>
        </w:rPr>
      </w:pPr>
      <w:r>
        <w:rPr>
          <w:rFonts w:cs="Tahoma"/>
          <w:bCs/>
          <w:iCs/>
          <w:lang w:val="es-ES"/>
        </w:rPr>
        <w:lastRenderedPageBreak/>
        <w:t xml:space="preserve">En respuesta, el Sujeto Obligado, a través </w:t>
      </w:r>
      <w:r w:rsidR="00F55B7E">
        <w:rPr>
          <w:rFonts w:cs="Tahoma"/>
          <w:bCs/>
          <w:iCs/>
          <w:lang w:val="es-ES"/>
        </w:rPr>
        <w:t xml:space="preserve">de la </w:t>
      </w:r>
      <w:r w:rsidR="005F3D9F">
        <w:rPr>
          <w:rFonts w:cs="Tahoma"/>
          <w:bCs/>
          <w:iCs/>
          <w:lang w:val="es-ES"/>
        </w:rPr>
        <w:t>Tesorería Municipal</w:t>
      </w:r>
      <w:r w:rsidR="004E2C2D">
        <w:rPr>
          <w:rFonts w:cs="Tahoma"/>
          <w:bCs/>
          <w:iCs/>
          <w:lang w:val="es-ES"/>
        </w:rPr>
        <w:t xml:space="preserve">, </w:t>
      </w:r>
      <w:r w:rsidR="00F55B7E">
        <w:rPr>
          <w:rFonts w:cs="Tahoma"/>
          <w:bCs/>
          <w:iCs/>
          <w:lang w:val="es-ES"/>
        </w:rPr>
        <w:t xml:space="preserve">proporcionó </w:t>
      </w:r>
      <w:r w:rsidR="005F3D9F">
        <w:rPr>
          <w:rFonts w:cs="Tahoma"/>
          <w:bCs/>
          <w:iCs/>
          <w:lang w:val="es-ES"/>
        </w:rPr>
        <w:t>el Tabulador de Sueldos, aplicable del primero de enero al treinta y uno de diciembre de dos mil veintidós</w:t>
      </w:r>
      <w:r w:rsidR="00F55B7E">
        <w:rPr>
          <w:rFonts w:cs="Tahoma"/>
          <w:bCs/>
          <w:iCs/>
          <w:lang w:val="es-ES"/>
        </w:rPr>
        <w:t xml:space="preserve">; ante dicha circunstancia, se inconformó </w:t>
      </w:r>
      <w:r w:rsidR="005F3D9F">
        <w:rPr>
          <w:rFonts w:cs="Tahoma"/>
          <w:bCs/>
          <w:iCs/>
          <w:lang w:val="es-ES"/>
        </w:rPr>
        <w:t>con la entrega de información en un formato incomprensible</w:t>
      </w:r>
      <w:r w:rsidR="00F55B7E">
        <w:rPr>
          <w:rFonts w:cs="Tahoma"/>
          <w:bCs/>
          <w:iCs/>
          <w:lang w:val="es-ES"/>
        </w:rPr>
        <w:t xml:space="preserve">, al señalar que </w:t>
      </w:r>
      <w:r w:rsidR="005F3D9F">
        <w:rPr>
          <w:rFonts w:cs="Tahoma"/>
          <w:bCs/>
          <w:iCs/>
          <w:lang w:val="es-ES"/>
        </w:rPr>
        <w:t>el documento no se podía ver con claridad</w:t>
      </w:r>
      <w:r w:rsidR="00F55B7E">
        <w:rPr>
          <w:rFonts w:cs="Tahoma"/>
          <w:bCs/>
          <w:iCs/>
          <w:lang w:val="es-ES"/>
        </w:rPr>
        <w:t xml:space="preserve">, lo cual actualiza la causal de procedencia establecida en el artículo 179, fracción </w:t>
      </w:r>
      <w:r w:rsidR="005F3D9F">
        <w:rPr>
          <w:rFonts w:cs="Tahoma"/>
          <w:bCs/>
          <w:iCs/>
          <w:lang w:val="es-ES"/>
        </w:rPr>
        <w:t>IX</w:t>
      </w:r>
      <w:r w:rsidR="00F55B7E">
        <w:rPr>
          <w:rFonts w:cs="Tahoma"/>
          <w:bCs/>
          <w:iCs/>
          <w:lang w:val="es-ES"/>
        </w:rPr>
        <w:t>, de la Ley de Transparencia y Acceso a la Información Pública del Estado de México y Municipios.</w:t>
      </w:r>
      <w:r w:rsidRPr="00EF5D50" w:rsidR="00EF5D50">
        <w:rPr>
          <w:rFonts w:cs="Tahoma"/>
          <w:bCs/>
          <w:iCs/>
          <w:lang w:val="es-ES_tradnl"/>
        </w:rPr>
        <w:t xml:space="preserve"> </w:t>
      </w:r>
      <w:r w:rsidRPr="00EF5D50" w:rsidR="00EF5D50">
        <w:rPr>
          <w:rFonts w:cs="Tahoma"/>
          <w:bCs/>
          <w:iCs/>
          <w:lang w:val="es-ES"/>
        </w:rPr>
        <w:t>Así las cosas, una vez admitido y notificado los Recursos de Revisión a las partes, estas fueron omisas en realizar manifestaciones o alegatos.</w:t>
      </w:r>
    </w:p>
    <w:p w:rsidR="008C23E3" w:rsidP="00A158AB" w:rsidRDefault="008C23E3" w14:paraId="0A57C759" w14:textId="04C09E1F">
      <w:pPr>
        <w:pStyle w:val="NormalWeb"/>
        <w:spacing w:after="0" w:line="360" w:lineRule="auto"/>
        <w:ind w:right="-28"/>
        <w:rPr>
          <w:rFonts w:ascii="Palatino Linotype" w:hAnsi="Palatino Linotype" w:cs="Tahoma"/>
          <w:bCs/>
          <w:iCs/>
          <w:color w:val="auto"/>
          <w:sz w:val="22"/>
          <w:szCs w:val="22"/>
          <w:lang w:val="es-ES" w:eastAsia="es-ES"/>
        </w:rPr>
      </w:pPr>
    </w:p>
    <w:p w:rsidRPr="00446963" w:rsidR="00066B31" w:rsidP="00A158AB" w:rsidRDefault="00066B31" w14:paraId="68774A70" w14:textId="7B485831">
      <w:pPr>
        <w:tabs>
          <w:tab w:val="left" w:pos="4962"/>
        </w:tabs>
        <w:spacing w:after="0" w:line="360" w:lineRule="auto"/>
        <w:rPr>
          <w:rFonts w:eastAsia="Calibri" w:cs="Tahoma"/>
          <w:bCs/>
        </w:rPr>
      </w:pPr>
      <w:r w:rsidRPr="00446963">
        <w:rPr>
          <w:rFonts w:eastAsia="Calibri" w:cs="Tahoma"/>
          <w:iCs/>
          <w:lang w:val="es-ES" w:eastAsia="es-ES_tradnl"/>
        </w:rPr>
        <w:t>Lo anterior, se desprende de las documentales que obran en los expedientes de referencia, materia de la presente resolución, consistente en: la solicitud de acceso a la información</w:t>
      </w:r>
      <w:r w:rsidR="00062470">
        <w:rPr>
          <w:rFonts w:eastAsia="Calibri" w:cs="Tahoma"/>
          <w:iCs/>
          <w:lang w:val="es-ES" w:eastAsia="es-ES_tradnl"/>
        </w:rPr>
        <w:t>; la respuesta entregad</w:t>
      </w:r>
      <w:r w:rsidR="00037914">
        <w:rPr>
          <w:rFonts w:eastAsia="Calibri" w:cs="Tahoma"/>
          <w:iCs/>
          <w:lang w:val="es-ES" w:eastAsia="es-ES_tradnl"/>
        </w:rPr>
        <w:t xml:space="preserve">a, </w:t>
      </w:r>
      <w:r w:rsidRPr="00446963">
        <w:rPr>
          <w:rFonts w:eastAsia="Calibri" w:cs="Tahoma"/>
          <w:iCs/>
          <w:lang w:eastAsia="es-ES_tradnl"/>
        </w:rPr>
        <w:t>el escrito recursal</w:t>
      </w:r>
      <w:r w:rsidR="00037914">
        <w:rPr>
          <w:rFonts w:eastAsia="Calibri" w:cs="Tahoma"/>
          <w:iCs/>
          <w:lang w:eastAsia="es-ES_tradnl"/>
        </w:rPr>
        <w:t xml:space="preserve"> y el informe justificado</w:t>
      </w:r>
      <w:r w:rsidRPr="00446963">
        <w:rPr>
          <w:rFonts w:eastAsia="Calibri" w:cs="Tahoma"/>
          <w:iCs/>
          <w:lang w:eastAsia="es-ES_tradnl"/>
        </w:rPr>
        <w:t xml:space="preserve">; </w:t>
      </w:r>
      <w:r w:rsidRPr="00446963">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446963" w:rsidR="00066B31" w:rsidP="00A158AB" w:rsidRDefault="00066B31" w14:paraId="436F8DAB" w14:textId="77777777">
      <w:pPr>
        <w:tabs>
          <w:tab w:val="left" w:pos="4962"/>
        </w:tabs>
        <w:spacing w:after="0" w:line="360" w:lineRule="auto"/>
        <w:rPr>
          <w:rFonts w:eastAsia="Calibri" w:cs="Tahoma"/>
          <w:bCs/>
        </w:rPr>
      </w:pPr>
    </w:p>
    <w:p w:rsidRPr="00446963" w:rsidR="00066B31" w:rsidP="00A158AB" w:rsidRDefault="00066B31" w14:paraId="299AB0F0"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066B31" w:rsidP="00A158AB" w:rsidRDefault="00066B31" w14:paraId="2E82BC88" w14:textId="77777777">
      <w:pPr>
        <w:spacing w:after="0" w:line="360" w:lineRule="auto"/>
        <w:rPr>
          <w:rFonts w:cs="Tahoma"/>
          <w:b/>
        </w:rPr>
      </w:pPr>
    </w:p>
    <w:p w:rsidRPr="00446963" w:rsidR="00066B31" w:rsidP="00A158AB" w:rsidRDefault="00066B31" w14:paraId="688782F9"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446963" w:rsidR="00066B31" w:rsidP="00A158AB" w:rsidRDefault="00066B31" w14:paraId="31B874EE" w14:textId="77777777">
      <w:pPr>
        <w:widowControl w:val="0"/>
        <w:spacing w:after="0" w:line="360" w:lineRule="auto"/>
        <w:rPr>
          <w:rFonts w:eastAsia="Times New Roman" w:cs="Tahoma"/>
          <w:lang w:eastAsia="es-MX"/>
        </w:rPr>
      </w:pPr>
    </w:p>
    <w:p w:rsidRPr="00446963" w:rsidR="00066B31" w:rsidP="00A158AB" w:rsidRDefault="00066B31" w14:paraId="0C6AAC93"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066B31" w:rsidP="00A158AB" w:rsidRDefault="00066B31" w14:paraId="736B3C45" w14:textId="77777777">
      <w:pPr>
        <w:widowControl w:val="0"/>
        <w:spacing w:after="0" w:line="360" w:lineRule="auto"/>
        <w:rPr>
          <w:rFonts w:eastAsia="Times New Roman" w:cs="Tahoma"/>
          <w:lang w:eastAsia="es-MX"/>
        </w:rPr>
      </w:pPr>
    </w:p>
    <w:p w:rsidRPr="00446963" w:rsidR="00066B31" w:rsidP="00A158AB" w:rsidRDefault="00066B31" w14:paraId="73F41E19" w14:textId="77777777">
      <w:pPr>
        <w:spacing w:after="0" w:line="360" w:lineRule="auto"/>
        <w:rPr>
          <w:rFonts w:eastAsia="Times New Roman" w:cs="Tahoma"/>
          <w:lang w:eastAsia="es-MX"/>
        </w:rPr>
      </w:pPr>
      <w:r w:rsidRPr="00446963">
        <w:rPr>
          <w:rFonts w:eastAsia="Times New Roman" w:cs="Tahoma"/>
          <w:lang w:eastAsia="es-MX"/>
        </w:rPr>
        <w:lastRenderedPageBreak/>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066B31" w:rsidP="00A158AB" w:rsidRDefault="00066B31" w14:paraId="773388CF" w14:textId="77777777">
      <w:pPr>
        <w:widowControl w:val="0"/>
        <w:spacing w:after="0" w:line="360" w:lineRule="auto"/>
        <w:rPr>
          <w:rFonts w:eastAsia="Times New Roman" w:cs="Tahoma"/>
          <w:lang w:eastAsia="es-MX"/>
        </w:rPr>
      </w:pPr>
    </w:p>
    <w:p w:rsidRPr="00446963" w:rsidR="00066B31" w:rsidP="00A158AB" w:rsidRDefault="00066B31" w14:paraId="0F14646A"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00066B31" w:rsidP="00A158AB" w:rsidRDefault="00066B31" w14:paraId="1C5CE9B0" w14:textId="7A498C63">
      <w:pPr>
        <w:widowControl w:val="0"/>
        <w:spacing w:after="0" w:line="360" w:lineRule="auto"/>
        <w:rPr>
          <w:rFonts w:eastAsia="Times New Roman" w:cs="Tahoma"/>
          <w:lang w:eastAsia="es-MX"/>
        </w:rPr>
      </w:pPr>
    </w:p>
    <w:p w:rsidRPr="00446963" w:rsidR="00066B31" w:rsidP="00A158AB" w:rsidRDefault="00066B31" w14:paraId="337DBABD"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00066B31" w:rsidP="00A158AB" w:rsidRDefault="00066B31" w14:paraId="7971A82B" w14:textId="77777777">
      <w:pPr>
        <w:widowControl w:val="0"/>
        <w:spacing w:after="0" w:line="360" w:lineRule="auto"/>
        <w:rPr>
          <w:rFonts w:eastAsia="Times New Roman" w:cs="Tahoma"/>
          <w:lang w:eastAsia="es-MX"/>
        </w:rPr>
      </w:pPr>
    </w:p>
    <w:p w:rsidRPr="00446963" w:rsidR="00066B31" w:rsidP="00A158AB" w:rsidRDefault="00066B31" w14:paraId="184D6CB7" w14:textId="77777777">
      <w:pPr>
        <w:widowControl w:val="0"/>
        <w:spacing w:after="0" w:line="360" w:lineRule="auto"/>
        <w:rPr>
          <w:rFonts w:eastAsia="Times New Roman" w:cs="Tahoma"/>
          <w:lang w:eastAsia="es-MX"/>
        </w:rPr>
      </w:pPr>
      <w:r w:rsidRPr="00446963">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446963" w:rsidR="00066B31" w:rsidP="00A158AB" w:rsidRDefault="00066B31" w14:paraId="6D505BF4" w14:textId="77777777">
      <w:pPr>
        <w:widowControl w:val="0"/>
        <w:spacing w:after="0" w:line="360" w:lineRule="auto"/>
        <w:rPr>
          <w:rFonts w:eastAsia="Times New Roman" w:cs="Tahoma"/>
          <w:lang w:eastAsia="es-MX"/>
        </w:rPr>
      </w:pPr>
    </w:p>
    <w:p w:rsidRPr="00446963" w:rsidR="00066B31" w:rsidP="00A158AB" w:rsidRDefault="00066B31" w14:paraId="3EE497AD" w14:textId="77777777">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10C0E" w:rsidP="00A158AB" w:rsidRDefault="00610C0E" w14:paraId="25F65B48" w14:textId="6BC262CC">
      <w:pPr>
        <w:widowControl w:val="0"/>
        <w:spacing w:after="0" w:line="360" w:lineRule="auto"/>
        <w:rPr>
          <w:rFonts w:eastAsia="Times New Roman" w:cs="Tahoma"/>
          <w:lang w:eastAsia="es-MX"/>
        </w:rPr>
      </w:pPr>
    </w:p>
    <w:p w:rsidRPr="00446963" w:rsidR="00066B31" w:rsidP="00A158AB" w:rsidRDefault="00066B31" w14:paraId="078B2F21"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610C0E" w:rsidP="00A158AB" w:rsidRDefault="00610C0E" w14:paraId="1138C427" w14:textId="77777777">
      <w:pPr>
        <w:spacing w:after="0" w:line="360" w:lineRule="auto"/>
        <w:rPr>
          <w:rFonts w:eastAsia="Times New Roman" w:cs="Tahoma"/>
          <w:b/>
          <w:lang w:val="es-ES" w:eastAsia="es-ES"/>
        </w:rPr>
      </w:pPr>
    </w:p>
    <w:p w:rsidRPr="00A158AB" w:rsidR="00A158AB" w:rsidP="00A158AB" w:rsidRDefault="00066B31" w14:paraId="30B3A515" w14:textId="4367429F">
      <w:pPr>
        <w:spacing w:after="0" w:line="360" w:lineRule="auto"/>
        <w:rPr>
          <w:rFonts w:eastAsia="Times New Roman" w:cs="Times New Roman"/>
          <w:color w:val="auto"/>
          <w:lang w:eastAsia="es-ES"/>
        </w:rPr>
      </w:pPr>
      <w:r w:rsidRPr="00446963">
        <w:rPr>
          <w:rFonts w:eastAsia="Times New Roman" w:cs="Tahoma"/>
          <w:lang w:eastAsia="es-MX"/>
        </w:rPr>
        <w:t xml:space="preserve">Expuestas las posturas de las partes, se procede al análisis del agravio hecho valer por el ahora Recurrente, concerniente </w:t>
      </w:r>
      <w:r w:rsidR="00062470">
        <w:rPr>
          <w:rFonts w:eastAsia="Times New Roman" w:cs="Tahoma"/>
          <w:lang w:eastAsia="es-MX"/>
        </w:rPr>
        <w:t>a la entrega de información incompleta</w:t>
      </w:r>
      <w:r w:rsidR="00A158AB">
        <w:rPr>
          <w:rFonts w:eastAsia="Times New Roman" w:cs="Tahoma"/>
          <w:lang w:eastAsia="es-MX"/>
        </w:rPr>
        <w:t xml:space="preserve">; </w:t>
      </w:r>
      <w:r w:rsidRPr="00A158AB" w:rsidR="00A158AB">
        <w:rPr>
          <w:rFonts w:eastAsia="Times New Roman" w:cs="Times New Roman"/>
          <w:color w:val="auto"/>
          <w:lang w:eastAsia="es-ES"/>
        </w:rPr>
        <w:t>sin embargo, para realizar dicha acción, en principio es necesario contextualizar la solicitud de información</w:t>
      </w:r>
      <w:r w:rsidR="00C20AC6">
        <w:rPr>
          <w:rFonts w:eastAsia="Times New Roman" w:cs="Times New Roman"/>
          <w:color w:val="auto"/>
          <w:lang w:eastAsia="es-ES"/>
        </w:rPr>
        <w:t xml:space="preserve"> </w:t>
      </w:r>
      <w:r w:rsidR="00F55B7E">
        <w:rPr>
          <w:rFonts w:eastAsia="Times New Roman" w:cs="Times New Roman"/>
          <w:color w:val="auto"/>
          <w:lang w:eastAsia="es-ES"/>
        </w:rPr>
        <w:t xml:space="preserve">respecto </w:t>
      </w:r>
      <w:r w:rsidR="005F3D9F">
        <w:rPr>
          <w:rFonts w:eastAsia="Times New Roman" w:cs="Times New Roman"/>
          <w:color w:val="auto"/>
          <w:lang w:eastAsia="es-ES"/>
        </w:rPr>
        <w:t>al tabulador de sueldos.</w:t>
      </w:r>
    </w:p>
    <w:p w:rsidR="00EF5D50" w:rsidP="006940FB" w:rsidRDefault="00EF5D50" w14:paraId="35665FFB" w14:textId="6B739D09">
      <w:pPr>
        <w:spacing w:after="0" w:line="360" w:lineRule="auto"/>
        <w:rPr>
          <w:rFonts w:eastAsia="Times New Roman" w:cs="Tahoma"/>
          <w:bCs/>
          <w:iCs/>
          <w:color w:val="auto"/>
          <w:lang w:eastAsia="es-MX"/>
        </w:rPr>
      </w:pPr>
    </w:p>
    <w:p w:rsidRPr="005F3D9F" w:rsidR="005F3D9F" w:rsidP="005F3D9F" w:rsidRDefault="006D7674" w14:paraId="74CE60FA" w14:textId="05DC905A">
      <w:pPr>
        <w:autoSpaceDE w:val="0"/>
        <w:autoSpaceDN w:val="0"/>
        <w:adjustRightInd w:val="0"/>
        <w:spacing w:after="0" w:line="360" w:lineRule="auto"/>
        <w:rPr>
          <w:rFonts w:eastAsia="Calibri" w:cs="Tahoma"/>
          <w:bCs/>
          <w:color w:val="auto"/>
        </w:rPr>
      </w:pPr>
      <w:r>
        <w:rPr>
          <w:rFonts w:eastAsia="Times New Roman" w:cs="Tahoma"/>
          <w:color w:val="auto"/>
          <w:lang w:eastAsia="es-ES"/>
        </w:rPr>
        <w:t>Al respecto</w:t>
      </w:r>
      <w:r w:rsidRPr="005F3D9F" w:rsidR="005F3D9F">
        <w:rPr>
          <w:rFonts w:eastAsia="Times New Roman" w:cs="Tahoma"/>
          <w:color w:val="auto"/>
          <w:lang w:eastAsia="es-ES"/>
        </w:rPr>
        <w:t xml:space="preserve">, </w:t>
      </w:r>
      <w:r w:rsidRPr="005F3D9F" w:rsidR="005F3D9F">
        <w:rPr>
          <w:rFonts w:eastAsia="Calibri" w:cs="Tahoma"/>
          <w:bCs/>
          <w:color w:val="auto"/>
        </w:rPr>
        <w:t xml:space="preserve">el artículo 31, fracción XIX, de la Ley Orgánica Municipal del Estado de México, relacionado con el 285 del Código Financiero del Estado de México y Municipios, establece que los </w:t>
      </w:r>
      <w:r w:rsidRPr="005F3D9F" w:rsidR="005F3D9F">
        <w:rPr>
          <w:rFonts w:eastAsia="Calibri" w:cs="Tahoma"/>
          <w:b/>
          <w:color w:val="auto"/>
        </w:rPr>
        <w:t>Ayuntamientos serán los encargados de aprobar anualmente, el Presupuesto de Egresos, en base a los ingresos presupuestados para el ejercicio que corresponda</w:t>
      </w:r>
      <w:r w:rsidRPr="005F3D9F" w:rsidR="005F3D9F">
        <w:rPr>
          <w:rFonts w:eastAsia="Calibri" w:cs="Tahoma"/>
          <w:bCs/>
          <w:color w:val="auto"/>
        </w:rPr>
        <w:t>.</w:t>
      </w:r>
    </w:p>
    <w:p w:rsidRPr="005F3D9F" w:rsidR="005F3D9F" w:rsidP="005F3D9F" w:rsidRDefault="005F3D9F" w14:paraId="2C6B3FA6" w14:textId="77777777">
      <w:pPr>
        <w:autoSpaceDE w:val="0"/>
        <w:autoSpaceDN w:val="0"/>
        <w:adjustRightInd w:val="0"/>
        <w:spacing w:after="0" w:line="360" w:lineRule="auto"/>
        <w:rPr>
          <w:rFonts w:eastAsia="Calibri" w:cs="Tahoma"/>
          <w:bCs/>
          <w:color w:val="auto"/>
        </w:rPr>
      </w:pPr>
    </w:p>
    <w:p w:rsidRPr="005F3D9F" w:rsidR="005F3D9F" w:rsidP="005F3D9F" w:rsidRDefault="005F3D9F" w14:paraId="29757B47" w14:textId="77777777">
      <w:pPr>
        <w:autoSpaceDE w:val="0"/>
        <w:autoSpaceDN w:val="0"/>
        <w:adjustRightInd w:val="0"/>
        <w:spacing w:after="0" w:line="360" w:lineRule="auto"/>
        <w:rPr>
          <w:rFonts w:eastAsia="Times New Roman" w:cs="Tahoma"/>
          <w:color w:val="auto"/>
          <w:lang w:eastAsia="es-ES"/>
        </w:rPr>
      </w:pPr>
      <w:r w:rsidRPr="005F3D9F">
        <w:rPr>
          <w:rFonts w:eastAsia="Times New Roman" w:cs="Tahoma"/>
          <w:bCs/>
          <w:color w:val="auto"/>
          <w:lang w:eastAsia="es-ES"/>
        </w:rPr>
        <w:t xml:space="preserve">De lo anterior, se logra desprender que anualmente en el Presupuesto de Egresos Municipal, se </w:t>
      </w:r>
      <w:bookmarkStart w:name="_Hlk85628364" w:id="1"/>
      <w:r w:rsidRPr="005F3D9F">
        <w:rPr>
          <w:rFonts w:eastAsia="Times New Roman" w:cs="Tahoma"/>
          <w:bCs/>
          <w:color w:val="auto"/>
          <w:lang w:eastAsia="es-ES"/>
        </w:rPr>
        <w:t xml:space="preserve">deben establecer las remuneraciones de todos los servidores públicos </w:t>
      </w:r>
      <w:bookmarkEnd w:id="1"/>
      <w:r w:rsidRPr="005F3D9F">
        <w:rPr>
          <w:rFonts w:eastAsia="Times New Roman" w:cs="Tahoma"/>
          <w:bCs/>
          <w:color w:val="auto"/>
          <w:lang w:eastAsia="es-ES"/>
        </w:rPr>
        <w:t xml:space="preserve">en general; </w:t>
      </w:r>
      <w:r w:rsidRPr="005F3D9F">
        <w:rPr>
          <w:rFonts w:eastAsia="Times New Roman" w:cs="Tahoma"/>
          <w:color w:val="auto"/>
          <w:lang w:eastAsia="es-ES"/>
        </w:rPr>
        <w:t xml:space="preserve">al respecto, el anexo IV.5 Glosario de Términos, de los Manuales para la Planeación, Programación y Presupuesto de Egresos Municipal para los ejercicios fiscales, dos mil diecinueve, dos mil veinte y dos mil veintiuno, establecen que el </w:t>
      </w:r>
      <w:r w:rsidRPr="005F3D9F">
        <w:rPr>
          <w:rFonts w:eastAsia="Times New Roman" w:cs="Tahoma"/>
          <w:b/>
          <w:bCs/>
          <w:color w:val="auto"/>
          <w:lang w:eastAsia="es-ES"/>
        </w:rPr>
        <w:t xml:space="preserve">Presupuesto de Egresos Municipal </w:t>
      </w:r>
      <w:r w:rsidRPr="005F3D9F">
        <w:rPr>
          <w:rFonts w:eastAsia="Times New Roman" w:cs="Tahoma"/>
          <w:color w:val="auto"/>
          <w:lang w:eastAsia="es-ES"/>
        </w:rPr>
        <w:t>es el documento jurídico y de política económica aprobado por el Cabildo, en que se consigna de acuerdo con su naturaleza y cuantía, el gasto público que ejercerán las dependencias generales y auxiliares, durante un ejercicio fiscal.</w:t>
      </w:r>
    </w:p>
    <w:p w:rsidRPr="005F3D9F" w:rsidR="005F3D9F" w:rsidP="005F3D9F" w:rsidRDefault="005F3D9F" w14:paraId="1B072092" w14:textId="77777777">
      <w:pPr>
        <w:autoSpaceDE w:val="0"/>
        <w:autoSpaceDN w:val="0"/>
        <w:adjustRightInd w:val="0"/>
        <w:spacing w:after="0" w:line="360" w:lineRule="auto"/>
        <w:rPr>
          <w:rFonts w:eastAsia="Times New Roman" w:cs="Tahoma"/>
          <w:bCs/>
          <w:iCs/>
          <w:color w:val="auto"/>
          <w:lang w:eastAsia="es-ES"/>
        </w:rPr>
      </w:pPr>
    </w:p>
    <w:p w:rsidRPr="005F3D9F" w:rsidR="005F3D9F" w:rsidP="005F3D9F" w:rsidRDefault="005F3D9F" w14:paraId="7B794957" w14:textId="799A6DCF">
      <w:pPr>
        <w:spacing w:after="0" w:line="360" w:lineRule="auto"/>
        <w:ind w:right="-28"/>
        <w:contextualSpacing/>
        <w:rPr>
          <w:rFonts w:eastAsia="Times New Roman" w:cs="Tahoma"/>
          <w:color w:val="auto"/>
          <w:lang w:eastAsia="es-ES"/>
        </w:rPr>
      </w:pPr>
      <w:r w:rsidRPr="005F3D9F">
        <w:rPr>
          <w:rFonts w:eastAsia="Times New Roman" w:cs="Tahoma"/>
          <w:color w:val="auto"/>
          <w:lang w:eastAsia="es-ES"/>
        </w:rPr>
        <w:t>En ese orden de ideas, la Guía Técnica 7 Elaboración y Ejercicio de Presupuesto de Egresos del Instituto Nacional para el Federalismo y el Desarrollo Municipal, establece que el Presupuesto de Egresos constituye el programa anual de gastos del municipio, al permitir al Ayuntamiento:</w:t>
      </w:r>
    </w:p>
    <w:p w:rsidRPr="005F3D9F" w:rsidR="005F3D9F" w:rsidP="005F3D9F" w:rsidRDefault="005F3D9F" w14:paraId="76FF99AB" w14:textId="77777777">
      <w:pPr>
        <w:spacing w:after="0" w:line="360" w:lineRule="auto"/>
        <w:ind w:right="-28"/>
        <w:contextualSpacing/>
        <w:rPr>
          <w:rFonts w:eastAsia="Times New Roman" w:cs="Tahoma"/>
          <w:b/>
          <w:bCs/>
          <w:color w:val="auto"/>
          <w:lang w:eastAsia="es-ES"/>
        </w:rPr>
      </w:pPr>
    </w:p>
    <w:p w:rsidRPr="005F3D9F" w:rsidR="005F3D9F" w:rsidP="005F3D9F" w:rsidRDefault="005F3D9F" w14:paraId="46B73A1E" w14:textId="77777777">
      <w:pPr>
        <w:numPr>
          <w:ilvl w:val="0"/>
          <w:numId w:val="13"/>
        </w:numPr>
        <w:spacing w:line="360" w:lineRule="auto"/>
        <w:ind w:right="-28"/>
        <w:contextualSpacing/>
        <w:jc w:val="left"/>
        <w:rPr>
          <w:rFonts w:eastAsia="Times New Roman" w:cs="Tahoma"/>
          <w:color w:val="auto"/>
          <w:lang w:eastAsia="es-ES"/>
        </w:rPr>
      </w:pPr>
      <w:r w:rsidRPr="005F3D9F">
        <w:rPr>
          <w:rFonts w:eastAsia="Times New Roman" w:cs="Tahoma"/>
          <w:color w:val="auto"/>
          <w:lang w:eastAsia="es-ES"/>
        </w:rPr>
        <w:t>Prever los recursos financieros necesarios para la administración municipal;</w:t>
      </w:r>
    </w:p>
    <w:p w:rsidRPr="005F3D9F" w:rsidR="005F3D9F" w:rsidP="005F3D9F" w:rsidRDefault="005F3D9F" w14:paraId="7E3D7A9E" w14:textId="77777777">
      <w:pPr>
        <w:spacing w:after="0" w:line="360" w:lineRule="auto"/>
        <w:ind w:left="720" w:right="-28"/>
        <w:contextualSpacing/>
        <w:jc w:val="left"/>
        <w:rPr>
          <w:rFonts w:eastAsia="Times New Roman" w:cs="Tahoma"/>
          <w:color w:val="auto"/>
          <w:lang w:eastAsia="es-ES"/>
        </w:rPr>
      </w:pPr>
    </w:p>
    <w:p w:rsidRPr="005F3D9F" w:rsidR="005F3D9F" w:rsidP="005F3D9F" w:rsidRDefault="005F3D9F" w14:paraId="17960AEB" w14:textId="77777777">
      <w:pPr>
        <w:numPr>
          <w:ilvl w:val="0"/>
          <w:numId w:val="13"/>
        </w:numPr>
        <w:spacing w:line="360" w:lineRule="auto"/>
        <w:ind w:right="-28"/>
        <w:contextualSpacing/>
        <w:jc w:val="left"/>
        <w:rPr>
          <w:rFonts w:eastAsia="Times New Roman" w:cs="Tahoma"/>
          <w:color w:val="auto"/>
          <w:lang w:eastAsia="es-ES"/>
        </w:rPr>
      </w:pPr>
      <w:r w:rsidRPr="005F3D9F">
        <w:rPr>
          <w:rFonts w:eastAsia="Times New Roman" w:cs="Tahoma"/>
          <w:color w:val="auto"/>
          <w:lang w:eastAsia="es-ES"/>
        </w:rPr>
        <w:t>Llevar el control estricto de los gastos de la administración municipal, y</w:t>
      </w:r>
    </w:p>
    <w:p w:rsidRPr="005F3D9F" w:rsidR="005F3D9F" w:rsidP="005F3D9F" w:rsidRDefault="005F3D9F" w14:paraId="722D953C" w14:textId="77777777">
      <w:pPr>
        <w:spacing w:line="256" w:lineRule="auto"/>
        <w:ind w:left="720"/>
        <w:contextualSpacing/>
        <w:rPr>
          <w:rFonts w:eastAsia="Times New Roman" w:cs="Tahoma"/>
          <w:color w:val="auto"/>
          <w:lang w:eastAsia="es-ES"/>
        </w:rPr>
      </w:pPr>
    </w:p>
    <w:p w:rsidRPr="005F3D9F" w:rsidR="005F3D9F" w:rsidP="005F3D9F" w:rsidRDefault="005F3D9F" w14:paraId="59C32405" w14:textId="77777777">
      <w:pPr>
        <w:numPr>
          <w:ilvl w:val="0"/>
          <w:numId w:val="13"/>
        </w:numPr>
        <w:spacing w:line="360" w:lineRule="auto"/>
        <w:ind w:right="-28"/>
        <w:contextualSpacing/>
        <w:jc w:val="left"/>
        <w:rPr>
          <w:rFonts w:eastAsia="Times New Roman" w:cs="Tahoma"/>
          <w:color w:val="auto"/>
          <w:lang w:eastAsia="es-ES"/>
        </w:rPr>
      </w:pPr>
      <w:r w:rsidRPr="005F3D9F">
        <w:rPr>
          <w:rFonts w:eastAsia="Times New Roman" w:cs="Tahoma"/>
          <w:color w:val="auto"/>
          <w:lang w:eastAsia="es-ES"/>
        </w:rPr>
        <w:t>Manejar adecuada y honestamente los fondos financieros del municipio.</w:t>
      </w:r>
    </w:p>
    <w:p w:rsidRPr="005F3D9F" w:rsidR="005F3D9F" w:rsidP="005F3D9F" w:rsidRDefault="005F3D9F" w14:paraId="2E49AC29" w14:textId="77777777">
      <w:pPr>
        <w:spacing w:after="0" w:line="360" w:lineRule="auto"/>
        <w:rPr>
          <w:rFonts w:eastAsia="Times New Roman" w:cs="Tahoma"/>
          <w:bCs/>
          <w:iCs/>
          <w:color w:val="auto"/>
          <w:lang w:eastAsia="es-ES"/>
        </w:rPr>
      </w:pPr>
    </w:p>
    <w:p w:rsidRPr="005F3D9F" w:rsidR="005F3D9F" w:rsidP="005F3D9F" w:rsidRDefault="005F3D9F" w14:paraId="5B5E5A4A" w14:textId="77777777">
      <w:pPr>
        <w:spacing w:after="0" w:line="360" w:lineRule="auto"/>
        <w:rPr>
          <w:rFonts w:eastAsia="Times New Roman" w:cs="Times New Roman"/>
          <w:bCs/>
          <w:color w:val="auto"/>
          <w:lang w:eastAsia="es-ES"/>
        </w:rPr>
      </w:pPr>
      <w:r w:rsidRPr="005F3D9F">
        <w:rPr>
          <w:rFonts w:eastAsia="Times New Roman" w:cs="Tahoma"/>
          <w:bCs/>
          <w:iCs/>
          <w:color w:val="auto"/>
          <w:lang w:eastAsia="es-ES"/>
        </w:rPr>
        <w:t xml:space="preserve">Además, </w:t>
      </w:r>
      <w:r w:rsidRPr="005F3D9F">
        <w:rPr>
          <w:rFonts w:eastAsia="Times New Roman" w:cs="Times New Roman"/>
          <w:bCs/>
          <w:color w:val="auto"/>
          <w:lang w:eastAsia="es-ES"/>
        </w:rPr>
        <w:t xml:space="preserve">el punto 1.2 Marco Conceptual, en el apartado “Definición del Presupuesto”, de los Manuales mencionados, precisan que el Presupuesto es la estimación financiera anticipada de </w:t>
      </w:r>
      <w:r w:rsidRPr="005F3D9F">
        <w:rPr>
          <w:rFonts w:eastAsia="Times New Roman" w:cs="Times New Roman"/>
          <w:bCs/>
          <w:color w:val="auto"/>
          <w:lang w:eastAsia="es-ES"/>
        </w:rPr>
        <w:lastRenderedPageBreak/>
        <w:t>los ingresos y egresos del gobierno, necesarios para cumplir con los objetivos establecidos; además, que el mismo involucra planes, políticas, programas, proyectos, estrategias y objetivos del municipio.</w:t>
      </w:r>
    </w:p>
    <w:p w:rsidR="005F3D9F" w:rsidP="005F3D9F" w:rsidRDefault="005F3D9F" w14:paraId="4DBAA7F7" w14:textId="3473A958">
      <w:pPr>
        <w:spacing w:after="0" w:line="360" w:lineRule="auto"/>
        <w:rPr>
          <w:rFonts w:eastAsia="Times New Roman" w:cs="Times New Roman"/>
          <w:color w:val="auto"/>
          <w:lang w:val="es-ES" w:eastAsia="es-ES"/>
        </w:rPr>
      </w:pPr>
    </w:p>
    <w:p w:rsidR="005F3D9F" w:rsidP="005F3D9F" w:rsidRDefault="005F3D9F" w14:paraId="0CCA9BD4" w14:textId="3AD2FAF8">
      <w:pPr>
        <w:spacing w:after="0" w:line="360" w:lineRule="auto"/>
        <w:ind w:right="-93"/>
        <w:rPr>
          <w:rFonts w:eastAsia="Calibri" w:cs="Tahoma"/>
          <w:bCs/>
          <w:color w:val="auto"/>
        </w:rPr>
      </w:pPr>
      <w:r w:rsidRPr="005F3D9F">
        <w:rPr>
          <w:rFonts w:eastAsia="Times New Roman" w:cs="Times New Roman"/>
          <w:color w:val="auto"/>
          <w:lang w:val="es-ES" w:eastAsia="es-ES"/>
        </w:rPr>
        <w:t xml:space="preserve">En ese orden e ideas, conforme a </w:t>
      </w:r>
      <w:r w:rsidRPr="005F3D9F">
        <w:rPr>
          <w:rFonts w:eastAsia="Calibri" w:cs="Tahoma"/>
          <w:bCs/>
          <w:color w:val="auto"/>
        </w:rPr>
        <w:t>los diversos 100 y 101, fracción II, de la Ley Orgánica Municipal del Estado de México, prevén que el Presupuesto de Egresos, deberá contener las previsiones de gasto público y se conformará, entre otras cosas, por los programas en que se señalen objetivos, metas y unidades responsables para su ejecución, así como la valuación estimada del programa.</w:t>
      </w:r>
    </w:p>
    <w:p w:rsidR="006D7674" w:rsidP="005F3D9F" w:rsidRDefault="006D7674" w14:paraId="4AF2D6AF" w14:textId="6122C233">
      <w:pPr>
        <w:spacing w:after="0" w:line="360" w:lineRule="auto"/>
        <w:ind w:right="-93"/>
        <w:rPr>
          <w:rFonts w:eastAsia="Calibri" w:cs="Tahoma"/>
          <w:bCs/>
          <w:color w:val="auto"/>
        </w:rPr>
      </w:pPr>
    </w:p>
    <w:p w:rsidRPr="006D7674" w:rsidR="006D7674" w:rsidP="006D7674" w:rsidRDefault="006D7674" w14:paraId="50A2EE74" w14:textId="77777777">
      <w:pPr>
        <w:spacing w:after="0" w:line="360" w:lineRule="auto"/>
        <w:rPr>
          <w:rFonts w:eastAsia="Calibri" w:cs="Times New Roman"/>
          <w:bCs/>
          <w:lang w:val="es-ES"/>
        </w:rPr>
      </w:pPr>
      <w:r w:rsidRPr="006D7674">
        <w:rPr>
          <w:rFonts w:eastAsia="Calibri" w:cs="Times New Roman"/>
          <w:bCs/>
          <w:lang w:val="es-ES"/>
        </w:rPr>
        <w:t xml:space="preserve">En ese contexto, el punto III.4.1 Lineamientos generales, del apartado del Presupuesto de Egresos Municipal (Tercera etapa), del </w:t>
      </w:r>
      <w:r w:rsidRPr="006D7674">
        <w:rPr>
          <w:rFonts w:eastAsia="Calibri" w:cs="Times New Roman"/>
          <w:bCs/>
        </w:rPr>
        <w:t>Manual para la Planeación, Programación y Presupuesto de Egresos Municipal para el Ejercicio Fiscal, dos mil veintidós</w:t>
      </w:r>
      <w:r w:rsidRPr="006D7674">
        <w:rPr>
          <w:rFonts w:eastAsia="Calibri" w:cs="Times New Roman"/>
          <w:bCs/>
          <w:lang w:val="es-ES"/>
        </w:rPr>
        <w:t xml:space="preserve">, establece los Formatos que integran el Proyecto de Presupuesto de Egresos Municipal, entre los cuales se encuentra el </w:t>
      </w:r>
      <w:bookmarkStart w:name="_Hlk84942385" w:id="2"/>
      <w:r w:rsidRPr="006D7674">
        <w:rPr>
          <w:rFonts w:eastAsia="Calibri" w:cs="Times New Roman"/>
          <w:bCs/>
          <w:lang w:val="es-ES"/>
        </w:rPr>
        <w:t xml:space="preserve">(PbRM-05) </w:t>
      </w:r>
      <w:bookmarkEnd w:id="2"/>
      <w:r w:rsidRPr="006D7674">
        <w:rPr>
          <w:rFonts w:eastAsia="Calibri" w:cs="Times New Roman"/>
          <w:bCs/>
          <w:lang w:val="es-ES"/>
        </w:rPr>
        <w:t>Tabulador de Sueldos, que tiene como objetivo registrar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rsidRPr="006D7674" w:rsidR="006D7674" w:rsidP="006D7674" w:rsidRDefault="006D7674" w14:paraId="15A2CB4F" w14:textId="77777777">
      <w:pPr>
        <w:spacing w:after="0" w:line="360" w:lineRule="auto"/>
        <w:rPr>
          <w:rFonts w:eastAsia="Calibri" w:cs="Times New Roman"/>
          <w:bCs/>
          <w:lang w:val="es-ES"/>
        </w:rPr>
      </w:pPr>
    </w:p>
    <w:p w:rsidRPr="006D7674" w:rsidR="006D7674" w:rsidP="006D7674" w:rsidRDefault="006D7674" w14:paraId="215E5025" w14:textId="77777777">
      <w:pPr>
        <w:spacing w:after="0" w:line="360" w:lineRule="auto"/>
        <w:rPr>
          <w:rFonts w:eastAsia="Calibri" w:cs="Times New Roman"/>
          <w:bCs/>
          <w:lang w:val="es-ES"/>
        </w:rPr>
      </w:pPr>
      <w:r w:rsidRPr="006D7674">
        <w:rPr>
          <w:rFonts w:eastAsia="Calibri" w:cs="Times New Roman"/>
          <w:noProof/>
        </w:rPr>
        <w:drawing>
          <wp:inline distT="0" distB="0" distL="0" distR="0" wp14:anchorId="761F0DF6" wp14:editId="20678C02">
            <wp:extent cx="5743575" cy="11525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1152525"/>
                    </a:xfrm>
                    <a:prstGeom prst="rect">
                      <a:avLst/>
                    </a:prstGeom>
                    <a:noFill/>
                    <a:ln>
                      <a:noFill/>
                    </a:ln>
                  </pic:spPr>
                </pic:pic>
              </a:graphicData>
            </a:graphic>
          </wp:inline>
        </w:drawing>
      </w:r>
    </w:p>
    <w:p w:rsidRPr="006D7674" w:rsidR="006D7674" w:rsidP="006D7674" w:rsidRDefault="006D7674" w14:paraId="2A4D64C1" w14:textId="61217E82">
      <w:pPr>
        <w:spacing w:after="0" w:line="360" w:lineRule="auto"/>
        <w:rPr>
          <w:rFonts w:eastAsia="Calibri" w:cs="Times New Roman"/>
          <w:bCs/>
        </w:rPr>
      </w:pPr>
      <w:r w:rsidRPr="006D7674">
        <w:rPr>
          <w:rFonts w:eastAsia="Calibri" w:cs="Times New Roman"/>
          <w:bCs/>
        </w:rPr>
        <w:t xml:space="preserve">En ese contexto, se logra vislumbrar que la pretensión del ahora Recurrente, es obtener </w:t>
      </w:r>
      <w:bookmarkStart w:name="_Hlk84946521" w:id="3"/>
      <w:r>
        <w:rPr>
          <w:rFonts w:eastAsia="Calibri" w:cs="Times New Roman"/>
          <w:bCs/>
        </w:rPr>
        <w:t>T</w:t>
      </w:r>
      <w:r w:rsidRPr="006D7674">
        <w:rPr>
          <w:rFonts w:eastAsia="Calibri" w:cs="Times New Roman"/>
          <w:bCs/>
        </w:rPr>
        <w:t xml:space="preserve">abulador de </w:t>
      </w:r>
      <w:r>
        <w:rPr>
          <w:rFonts w:eastAsia="Calibri" w:cs="Times New Roman"/>
          <w:bCs/>
        </w:rPr>
        <w:t>S</w:t>
      </w:r>
      <w:r w:rsidRPr="006D7674">
        <w:rPr>
          <w:rFonts w:eastAsia="Calibri" w:cs="Times New Roman"/>
          <w:bCs/>
        </w:rPr>
        <w:t xml:space="preserve">ueldos del </w:t>
      </w:r>
      <w:r>
        <w:rPr>
          <w:rFonts w:eastAsia="Calibri" w:cs="Times New Roman"/>
          <w:bCs/>
        </w:rPr>
        <w:t>Ayuntamiento de Texcalyacac</w:t>
      </w:r>
      <w:r w:rsidRPr="006D7674">
        <w:rPr>
          <w:rFonts w:eastAsia="Calibri" w:cs="Times New Roman"/>
          <w:bCs/>
        </w:rPr>
        <w:t xml:space="preserve">, </w:t>
      </w:r>
      <w:bookmarkEnd w:id="3"/>
      <w:r>
        <w:rPr>
          <w:rFonts w:eastAsia="Calibri" w:cs="Times New Roman"/>
          <w:bCs/>
        </w:rPr>
        <w:t>del ejercicio fiscal dos mil veintidós.</w:t>
      </w:r>
    </w:p>
    <w:p w:rsidR="00F55B7E" w:rsidP="006940FB" w:rsidRDefault="00F55B7E" w14:paraId="22002407" w14:textId="77777777">
      <w:pPr>
        <w:spacing w:after="0" w:line="360" w:lineRule="auto"/>
        <w:rPr>
          <w:rFonts w:eastAsia="Times New Roman" w:cs="Tahoma"/>
          <w:bCs/>
          <w:iCs/>
          <w:color w:val="auto"/>
          <w:lang w:eastAsia="es-MX"/>
        </w:rPr>
      </w:pPr>
    </w:p>
    <w:p w:rsidRPr="00F55B7E" w:rsidR="00F55B7E" w:rsidP="00245BCA" w:rsidRDefault="00F55B7E" w14:paraId="3C4B576D" w14:textId="713DE0D4">
      <w:pPr>
        <w:spacing w:after="0" w:line="360" w:lineRule="auto"/>
        <w:rPr>
          <w:rFonts w:eastAsia="Calibri" w:cs="Tahoma"/>
          <w:bCs/>
          <w:iCs/>
          <w:color w:val="000000"/>
          <w:szCs w:val="24"/>
          <w:lang w:val="es-ES_tradnl" w:eastAsia="es-MX"/>
        </w:rPr>
      </w:pPr>
      <w:r w:rsidRPr="00F55B7E">
        <w:rPr>
          <w:rFonts w:eastAsia="Batang" w:cs="Tahoma"/>
          <w:bCs/>
          <w:color w:val="auto"/>
          <w:lang w:val="es-ES" w:eastAsia="es-ES"/>
        </w:rPr>
        <w:t xml:space="preserve">Establecido lo anterior, se procede analizar la información proporcionada por el Sujeto Obligado, para lo cual, en principio, cabe precisar que de las constancias que obran en el expediente, se logra advertir que el Ayuntamiento turno la solicitud de información, a la </w:t>
      </w:r>
      <w:r w:rsidR="006D7674">
        <w:rPr>
          <w:rFonts w:eastAsia="Batang" w:cs="Tahoma"/>
          <w:bCs/>
          <w:color w:val="auto"/>
          <w:lang w:val="es-ES" w:eastAsia="es-ES"/>
        </w:rPr>
        <w:t>Tesorería Municipal</w:t>
      </w:r>
      <w:r w:rsidR="00245BCA">
        <w:rPr>
          <w:rFonts w:eastAsia="Batang" w:cs="Tahoma"/>
          <w:bCs/>
          <w:color w:val="auto"/>
          <w:lang w:val="es-ES" w:eastAsia="es-ES"/>
        </w:rPr>
        <w:t>; por lo que, r</w:t>
      </w:r>
      <w:r w:rsidRPr="00F55B7E">
        <w:rPr>
          <w:rFonts w:eastAsia="Batang" w:cs="Tahoma"/>
          <w:bCs/>
          <w:color w:val="auto"/>
          <w:lang w:val="es-ES" w:eastAsia="es-ES"/>
        </w:rPr>
        <w:t xml:space="preserve">esulta </w:t>
      </w:r>
      <w:r w:rsidRPr="00F55B7E">
        <w:rPr>
          <w:rFonts w:eastAsia="Calibri" w:cs="Tahoma"/>
          <w:bCs/>
          <w:color w:val="000000"/>
          <w:szCs w:val="24"/>
          <w:lang w:val="es-ES_tradnl" w:eastAsia="es-MX"/>
        </w:rPr>
        <w:t xml:space="preserve">necesario hacer referencia </w:t>
      </w:r>
      <w:r w:rsidRPr="00F55B7E">
        <w:rPr>
          <w:rFonts w:eastAsia="Calibri" w:cs="Tahoma"/>
          <w:color w:val="000000"/>
          <w:szCs w:val="24"/>
          <w:lang w:val="es-ES_tradnl" w:eastAsia="es-MX"/>
        </w:rPr>
        <w:t xml:space="preserve">al </w:t>
      </w:r>
      <w:r w:rsidRPr="00F55B7E">
        <w:rPr>
          <w:rFonts w:eastAsia="Calibri" w:cs="Tahoma"/>
          <w:b/>
          <w:color w:val="000000"/>
          <w:szCs w:val="24"/>
          <w:lang w:val="es-ES_tradnl" w:eastAsia="es-MX"/>
        </w:rPr>
        <w:t>procedimiento de búsqueda que deben de seguir los Sujetos Obligados para localizar la información</w:t>
      </w:r>
      <w:r w:rsidRPr="00F55B7E">
        <w:rPr>
          <w:rFonts w:eastAsia="Calibri" w:cs="Tahoma"/>
          <w:color w:val="000000"/>
          <w:szCs w:val="24"/>
          <w:lang w:val="es-ES_tradnl" w:eastAsia="es-MX"/>
        </w:rPr>
        <w:t>, el cual se encuentra previsto en los artículos</w:t>
      </w:r>
      <w:r w:rsidRPr="00F55B7E">
        <w:rPr>
          <w:rFonts w:eastAsia="Calibri" w:cs="Tahoma"/>
          <w:bCs/>
          <w:color w:val="000000"/>
          <w:szCs w:val="24"/>
          <w:lang w:val="es-ES_tradnl" w:eastAsia="es-MX"/>
        </w:rPr>
        <w:t xml:space="preserve"> 160 y 162 de la Ley de Transparencia y Acceso a la Información Pública del Estado de México y Municipios, mismo que es el siguiente:</w:t>
      </w:r>
    </w:p>
    <w:p w:rsidRPr="00F55B7E" w:rsidR="00F55B7E" w:rsidP="00F55B7E" w:rsidRDefault="00F55B7E" w14:paraId="3165C604" w14:textId="77777777">
      <w:pPr>
        <w:autoSpaceDE w:val="0"/>
        <w:autoSpaceDN w:val="0"/>
        <w:adjustRightInd w:val="0"/>
        <w:spacing w:after="0" w:line="360" w:lineRule="auto"/>
        <w:rPr>
          <w:rFonts w:eastAsia="Calibri" w:cs="Tahoma"/>
          <w:bCs/>
          <w:color w:val="000000"/>
          <w:szCs w:val="24"/>
          <w:lang w:val="es-ES_tradnl" w:eastAsia="es-MX"/>
        </w:rPr>
      </w:pPr>
    </w:p>
    <w:p w:rsidRPr="00F55B7E" w:rsidR="00F55B7E" w:rsidP="00245BCA" w:rsidRDefault="00F55B7E" w14:paraId="286A63FE" w14:textId="77777777">
      <w:pPr>
        <w:numPr>
          <w:ilvl w:val="0"/>
          <w:numId w:val="4"/>
        </w:numPr>
        <w:autoSpaceDE w:val="0"/>
        <w:autoSpaceDN w:val="0"/>
        <w:adjustRightInd w:val="0"/>
        <w:spacing w:after="0" w:line="360" w:lineRule="auto"/>
        <w:rPr>
          <w:rFonts w:eastAsia="Calibri" w:cs="Tahoma"/>
          <w:bCs/>
          <w:color w:val="000000"/>
          <w:szCs w:val="24"/>
          <w:lang w:val="es-ES" w:eastAsia="es-MX"/>
        </w:rPr>
      </w:pPr>
      <w:r w:rsidRPr="00F55B7E">
        <w:rPr>
          <w:rFonts w:eastAsia="Calibri" w:cs="Tahoma"/>
          <w:bCs/>
          <w:color w:val="000000"/>
          <w:szCs w:val="24"/>
          <w:lang w:val="es-ES" w:eastAsia="es-MX"/>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F55B7E" w:rsidR="00F55B7E" w:rsidP="00F55B7E" w:rsidRDefault="00F55B7E" w14:paraId="148AC744" w14:textId="77777777">
      <w:pPr>
        <w:autoSpaceDE w:val="0"/>
        <w:autoSpaceDN w:val="0"/>
        <w:adjustRightInd w:val="0"/>
        <w:spacing w:after="0" w:line="360" w:lineRule="auto"/>
        <w:rPr>
          <w:rFonts w:eastAsia="Calibri" w:cs="Tahoma"/>
          <w:bCs/>
          <w:color w:val="000000"/>
          <w:szCs w:val="24"/>
          <w:lang w:val="es-ES" w:eastAsia="es-MX"/>
        </w:rPr>
      </w:pPr>
    </w:p>
    <w:p w:rsidRPr="00F55B7E" w:rsidR="00F55B7E" w:rsidP="00245BCA" w:rsidRDefault="00F55B7E" w14:paraId="2B0B33D3" w14:textId="77777777">
      <w:pPr>
        <w:numPr>
          <w:ilvl w:val="0"/>
          <w:numId w:val="4"/>
        </w:numPr>
        <w:autoSpaceDE w:val="0"/>
        <w:autoSpaceDN w:val="0"/>
        <w:adjustRightInd w:val="0"/>
        <w:spacing w:after="0" w:line="360" w:lineRule="auto"/>
        <w:rPr>
          <w:rFonts w:eastAsia="Calibri" w:cs="Tahoma"/>
          <w:bCs/>
          <w:color w:val="000000"/>
          <w:szCs w:val="24"/>
          <w:lang w:val="es-ES" w:eastAsia="es-MX"/>
        </w:rPr>
      </w:pPr>
      <w:r w:rsidRPr="00F55B7E">
        <w:rPr>
          <w:rFonts w:eastAsia="Calibri" w:cs="Tahoma"/>
          <w:bCs/>
          <w:color w:val="000000"/>
          <w:szCs w:val="24"/>
          <w:lang w:val="es-ES" w:eastAsia="es-MX"/>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F55B7E" w:rsidR="00F55B7E" w:rsidP="00F55B7E" w:rsidRDefault="00F55B7E" w14:paraId="67D0015D" w14:textId="77777777">
      <w:pPr>
        <w:autoSpaceDE w:val="0"/>
        <w:autoSpaceDN w:val="0"/>
        <w:adjustRightInd w:val="0"/>
        <w:spacing w:after="0" w:line="360" w:lineRule="auto"/>
        <w:rPr>
          <w:rFonts w:eastAsia="Calibri" w:cs="Tahoma"/>
          <w:color w:val="000000"/>
          <w:szCs w:val="24"/>
          <w:lang w:val="es-ES_tradnl" w:eastAsia="es-MX"/>
        </w:rPr>
      </w:pPr>
    </w:p>
    <w:p w:rsidRPr="00F55B7E" w:rsidR="00F55B7E" w:rsidP="00F55B7E" w:rsidRDefault="00F55B7E" w14:paraId="31D13337" w14:textId="71F47A9F">
      <w:pPr>
        <w:spacing w:after="0" w:line="360" w:lineRule="auto"/>
        <w:rPr>
          <w:rFonts w:eastAsia="Batang" w:cs="Tahoma"/>
          <w:bCs/>
          <w:color w:val="auto"/>
          <w:lang w:val="es-ES" w:eastAsia="es-ES"/>
        </w:rPr>
      </w:pPr>
      <w:r w:rsidRPr="00F55B7E">
        <w:rPr>
          <w:rFonts w:eastAsia="Calibri" w:cs="Tahoma"/>
          <w:color w:val="000000"/>
          <w:szCs w:val="24"/>
          <w:lang w:val="es-ES" w:eastAsia="es-MX"/>
        </w:rPr>
        <w:t xml:space="preserve">Así, a efecto de determinar si el Sujeto Obligado siguió el procedimiento antes descrito, es necesario traer a colación los artículos </w:t>
      </w:r>
      <w:r w:rsidR="006D7674">
        <w:rPr>
          <w:rFonts w:eastAsia="Calibri" w:cs="Tahoma"/>
          <w:color w:val="000000"/>
          <w:szCs w:val="24"/>
          <w:lang w:val="es-ES" w:eastAsia="es-MX"/>
        </w:rPr>
        <w:t>45 BIS</w:t>
      </w:r>
      <w:r w:rsidR="00245BCA">
        <w:rPr>
          <w:rFonts w:eastAsia="Calibri" w:cs="Tahoma"/>
          <w:color w:val="000000"/>
          <w:szCs w:val="24"/>
          <w:lang w:val="es-ES" w:eastAsia="es-MX"/>
        </w:rPr>
        <w:t xml:space="preserve">, fracción </w:t>
      </w:r>
      <w:r w:rsidR="006D7674">
        <w:rPr>
          <w:rFonts w:eastAsia="Calibri" w:cs="Tahoma"/>
          <w:color w:val="000000"/>
          <w:szCs w:val="24"/>
          <w:lang w:val="es-ES" w:eastAsia="es-MX"/>
        </w:rPr>
        <w:t>I</w:t>
      </w:r>
      <w:r w:rsidR="00245BCA">
        <w:rPr>
          <w:rFonts w:eastAsia="Calibri" w:cs="Tahoma"/>
          <w:color w:val="000000"/>
          <w:szCs w:val="24"/>
          <w:lang w:val="es-ES" w:eastAsia="es-MX"/>
        </w:rPr>
        <w:t>,</w:t>
      </w:r>
      <w:r w:rsidR="006D7674">
        <w:rPr>
          <w:rFonts w:eastAsia="Calibri" w:cs="Tahoma"/>
          <w:color w:val="000000"/>
          <w:szCs w:val="24"/>
          <w:lang w:val="es-ES" w:eastAsia="es-MX"/>
        </w:rPr>
        <w:t xml:space="preserve"> inciso c</w:t>
      </w:r>
      <w:r w:rsidR="00245BCA">
        <w:rPr>
          <w:rFonts w:eastAsia="Calibri" w:cs="Tahoma"/>
          <w:color w:val="000000"/>
          <w:szCs w:val="24"/>
          <w:lang w:val="es-ES" w:eastAsia="es-MX"/>
        </w:rPr>
        <w:t xml:space="preserve"> y </w:t>
      </w:r>
      <w:r w:rsidR="006D7674">
        <w:rPr>
          <w:rFonts w:eastAsia="Calibri" w:cs="Tahoma"/>
          <w:color w:val="000000"/>
          <w:szCs w:val="24"/>
          <w:lang w:val="es-ES" w:eastAsia="es-MX"/>
        </w:rPr>
        <w:t>50 BIS</w:t>
      </w:r>
      <w:r w:rsidRPr="00F55B7E">
        <w:rPr>
          <w:rFonts w:eastAsia="Calibri" w:cs="Tahoma"/>
          <w:color w:val="000000"/>
          <w:szCs w:val="24"/>
          <w:lang w:val="es-ES" w:eastAsia="es-MX"/>
        </w:rPr>
        <w:t>, del Bando Municipal</w:t>
      </w:r>
      <w:r w:rsidR="00245BCA">
        <w:rPr>
          <w:rFonts w:eastAsia="Calibri" w:cs="Tahoma"/>
          <w:color w:val="000000"/>
          <w:szCs w:val="24"/>
          <w:lang w:val="es-ES" w:eastAsia="es-MX"/>
        </w:rPr>
        <w:t xml:space="preserve"> dos mil veintidós,</w:t>
      </w:r>
      <w:r w:rsidRPr="00F55B7E">
        <w:rPr>
          <w:rFonts w:eastAsia="Calibri" w:cs="Tahoma"/>
          <w:color w:val="000000"/>
          <w:szCs w:val="24"/>
          <w:lang w:val="es-ES" w:eastAsia="es-MX"/>
        </w:rPr>
        <w:t xml:space="preserve"> de </w:t>
      </w:r>
      <w:r w:rsidR="006D7674">
        <w:rPr>
          <w:rFonts w:eastAsia="Calibri" w:cs="Tahoma"/>
          <w:color w:val="000000"/>
          <w:szCs w:val="24"/>
          <w:lang w:val="es-ES" w:eastAsia="es-MX"/>
        </w:rPr>
        <w:t>Texcalyacac</w:t>
      </w:r>
      <w:r w:rsidRPr="00F55B7E">
        <w:rPr>
          <w:rFonts w:eastAsia="Calibri" w:cs="Tahoma"/>
          <w:color w:val="000000"/>
          <w:szCs w:val="24"/>
          <w:lang w:val="es-ES" w:eastAsia="es-MX"/>
        </w:rPr>
        <w:t>, que establece</w:t>
      </w:r>
      <w:r w:rsidR="00245BCA">
        <w:rPr>
          <w:rFonts w:eastAsia="Calibri" w:cs="Tahoma"/>
          <w:color w:val="000000"/>
          <w:szCs w:val="24"/>
          <w:lang w:val="es-ES" w:eastAsia="es-MX"/>
        </w:rPr>
        <w:t>n</w:t>
      </w:r>
      <w:r w:rsidRPr="00F55B7E">
        <w:rPr>
          <w:rFonts w:eastAsia="Calibri" w:cs="Tahoma"/>
          <w:color w:val="000000"/>
          <w:szCs w:val="24"/>
          <w:lang w:val="es-ES" w:eastAsia="es-MX"/>
        </w:rPr>
        <w:t xml:space="preserve"> que </w:t>
      </w:r>
      <w:r w:rsidR="00245BCA">
        <w:rPr>
          <w:rFonts w:eastAsia="Batang" w:cs="Tahoma"/>
          <w:bCs/>
          <w:color w:val="auto"/>
          <w:lang w:val="es-ES" w:eastAsia="es-ES"/>
        </w:rPr>
        <w:t xml:space="preserve">el Ayuntamiento para el ejercicio de sus funciones cuenta con diversas unidades administrativas, entre las cuales se encuentra la </w:t>
      </w:r>
      <w:r w:rsidR="006D7674">
        <w:rPr>
          <w:rFonts w:eastAsia="Batang" w:cs="Tahoma"/>
          <w:bCs/>
          <w:color w:val="auto"/>
          <w:lang w:val="es-ES" w:eastAsia="es-ES"/>
        </w:rPr>
        <w:t xml:space="preserve">Tesorería Municipal, encargada de la recaudación de los ingresos y egresos municipales, así como, ser la responsable de las erogaciones que haya el </w:t>
      </w:r>
      <w:r w:rsidR="004D3E35">
        <w:rPr>
          <w:rFonts w:eastAsia="Batang" w:cs="Tahoma"/>
          <w:bCs/>
          <w:color w:val="auto"/>
          <w:lang w:val="es-ES" w:eastAsia="es-ES"/>
        </w:rPr>
        <w:t>Ayuntamiento</w:t>
      </w:r>
      <w:r w:rsidR="006D7674">
        <w:rPr>
          <w:rFonts w:eastAsia="Batang" w:cs="Tahoma"/>
          <w:bCs/>
          <w:color w:val="auto"/>
          <w:lang w:val="es-ES" w:eastAsia="es-ES"/>
        </w:rPr>
        <w:t>.</w:t>
      </w:r>
    </w:p>
    <w:p w:rsidRPr="00F55B7E" w:rsidR="00F55B7E" w:rsidP="00F55B7E" w:rsidRDefault="00F55B7E" w14:paraId="41A68412" w14:textId="77777777">
      <w:pPr>
        <w:spacing w:after="0" w:line="360" w:lineRule="auto"/>
        <w:rPr>
          <w:rFonts w:eastAsia="Batang" w:cs="Tahoma"/>
          <w:bCs/>
          <w:color w:val="auto"/>
          <w:lang w:val="es-ES" w:eastAsia="es-ES"/>
        </w:rPr>
      </w:pPr>
    </w:p>
    <w:p w:rsidRPr="00F55B7E" w:rsidR="00F55B7E" w:rsidP="00F55B7E" w:rsidRDefault="00F55B7E" w14:paraId="2C257E22" w14:textId="5131A6A5">
      <w:pPr>
        <w:autoSpaceDE w:val="0"/>
        <w:autoSpaceDN w:val="0"/>
        <w:adjustRightInd w:val="0"/>
        <w:spacing w:after="0" w:line="360" w:lineRule="auto"/>
        <w:rPr>
          <w:rFonts w:eastAsia="Calibri" w:cs="Tahoma"/>
          <w:color w:val="000000"/>
          <w:szCs w:val="24"/>
          <w:lang w:val="es-ES" w:eastAsia="es-MX"/>
        </w:rPr>
      </w:pPr>
      <w:r w:rsidRPr="00F55B7E">
        <w:rPr>
          <w:rFonts w:eastAsia="Calibri" w:cs="Tahoma"/>
          <w:color w:val="000000"/>
          <w:szCs w:val="24"/>
          <w:lang w:val="es-ES" w:eastAsia="es-MX"/>
        </w:rPr>
        <w:lastRenderedPageBreak/>
        <w:t>Conforme a lo anterior, se colige que el Ente Recurrido, gestion</w:t>
      </w:r>
      <w:r w:rsidR="00245BCA">
        <w:rPr>
          <w:rFonts w:eastAsia="Calibri" w:cs="Tahoma"/>
          <w:color w:val="000000"/>
          <w:szCs w:val="24"/>
          <w:lang w:val="es-ES" w:eastAsia="es-MX"/>
        </w:rPr>
        <w:t>ó</w:t>
      </w:r>
      <w:r w:rsidRPr="00F55B7E">
        <w:rPr>
          <w:rFonts w:eastAsia="Calibri" w:cs="Tahoma"/>
          <w:color w:val="000000"/>
          <w:szCs w:val="24"/>
          <w:lang w:val="es-ES" w:eastAsia="es-MX"/>
        </w:rPr>
        <w:t xml:space="preserve"> la solicitud de información, al área con atribuciones para conocer de lo peticionado, a saber, la </w:t>
      </w:r>
      <w:r w:rsidR="004D3E35">
        <w:rPr>
          <w:rFonts w:eastAsia="Calibri" w:cs="Tahoma"/>
          <w:color w:val="000000"/>
          <w:szCs w:val="24"/>
          <w:lang w:val="es-ES" w:eastAsia="es-MX"/>
        </w:rPr>
        <w:t>Tesorería Municipal</w:t>
      </w:r>
      <w:r w:rsidRPr="00F55B7E">
        <w:rPr>
          <w:rFonts w:eastAsia="Calibri" w:cs="Tahoma"/>
          <w:color w:val="000000"/>
          <w:szCs w:val="24"/>
          <w:lang w:val="es-ES" w:eastAsia="es-MX"/>
        </w:rPr>
        <w:t>, por lo que, se advierte que cumplió con el procedimiento de búsqueda establecido en el artículo 162 de la Ley de Transparencia y Acceso a la Información Pública del Estado de México y Municipios.</w:t>
      </w:r>
    </w:p>
    <w:p w:rsidR="00F55B7E" w:rsidP="006940FB" w:rsidRDefault="00F55B7E" w14:paraId="22A0B4B0" w14:textId="77777777">
      <w:pPr>
        <w:spacing w:after="0" w:line="360" w:lineRule="auto"/>
        <w:rPr>
          <w:rFonts w:eastAsia="Times New Roman" w:cs="Tahoma"/>
          <w:bCs/>
          <w:iCs/>
          <w:color w:val="auto"/>
          <w:lang w:eastAsia="es-MX"/>
        </w:rPr>
      </w:pPr>
    </w:p>
    <w:p w:rsidRPr="00067D1B" w:rsidR="00067D1B" w:rsidP="00067D1B" w:rsidRDefault="004D3E35" w14:paraId="62F8773F" w14:textId="3CDAE6DC">
      <w:pPr>
        <w:autoSpaceDE w:val="0"/>
        <w:autoSpaceDN w:val="0"/>
        <w:adjustRightInd w:val="0"/>
        <w:spacing w:after="0" w:line="360" w:lineRule="auto"/>
        <w:rPr>
          <w:rFonts w:eastAsia="Times New Roman" w:cs="Tahoma"/>
          <w:iCs/>
          <w:color w:val="auto"/>
          <w:lang w:val="es-ES" w:eastAsia="es-ES"/>
        </w:rPr>
      </w:pPr>
      <w:r>
        <w:rPr>
          <w:rFonts w:eastAsia="Times New Roman" w:cs="Tahoma"/>
          <w:bCs/>
          <w:iCs/>
          <w:color w:val="auto"/>
          <w:lang w:eastAsia="es-MX"/>
        </w:rPr>
        <w:t xml:space="preserve">Ahora bien, dicha área proporcionó el </w:t>
      </w:r>
      <w:r>
        <w:rPr>
          <w:rFonts w:eastAsia="Times New Roman" w:cs="Tahoma"/>
          <w:color w:val="auto"/>
          <w:szCs w:val="24"/>
          <w:lang w:eastAsia="es-ES"/>
        </w:rPr>
        <w:t>Tabulador de Sueldos del Ayuntamiento de Texcalyacac del primero de enero al treinta y uno de diciembre de dos mil veintidós</w:t>
      </w:r>
      <w:r w:rsidR="00067D1B">
        <w:rPr>
          <w:rFonts w:eastAsia="Times New Roman" w:cs="Tahoma"/>
          <w:color w:val="auto"/>
          <w:szCs w:val="24"/>
          <w:lang w:eastAsia="es-ES"/>
        </w:rPr>
        <w:t>; por lo que, se logra observar que el Sujeto Obligado proporcionó el documento que obraban en sus archivos y daba cuenta de lo solicitado; d</w:t>
      </w:r>
      <w:proofErr w:type="spellStart"/>
      <w:r w:rsidRPr="00067D1B" w:rsidR="00067D1B">
        <w:rPr>
          <w:rFonts w:eastAsia="Times New Roman" w:cs="Tahoma"/>
          <w:iCs/>
          <w:color w:val="auto"/>
          <w:lang w:val="es-ES" w:eastAsia="es-ES"/>
        </w:rPr>
        <w:t>icha</w:t>
      </w:r>
      <w:proofErr w:type="spellEnd"/>
      <w:r w:rsidRPr="00067D1B" w:rsidR="00067D1B">
        <w:rPr>
          <w:rFonts w:eastAsia="Times New Roman" w:cs="Tahoma"/>
          <w:iCs/>
          <w:color w:val="auto"/>
          <w:lang w:val="es-ES" w:eastAsia="es-ES"/>
        </w:rPr>
        <w:t xml:space="preserve">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067D1B" w:rsidR="00067D1B" w:rsidP="00067D1B" w:rsidRDefault="00067D1B" w14:paraId="7103A56B" w14:textId="77777777">
      <w:pPr>
        <w:spacing w:after="0" w:line="360" w:lineRule="auto"/>
        <w:rPr>
          <w:rFonts w:eastAsia="Times New Roman" w:cs="Tahoma"/>
          <w:iCs/>
          <w:color w:val="auto"/>
          <w:lang w:val="es-ES" w:eastAsia="es-ES"/>
        </w:rPr>
      </w:pPr>
    </w:p>
    <w:p w:rsidRPr="00067D1B" w:rsidR="00067D1B" w:rsidP="00067D1B" w:rsidRDefault="00067D1B" w14:paraId="33EDEB8A" w14:textId="77777777">
      <w:pPr>
        <w:spacing w:after="0" w:line="360" w:lineRule="auto"/>
        <w:rPr>
          <w:rFonts w:eastAsia="Times New Roman" w:cs="Tahoma"/>
          <w:iCs/>
          <w:color w:val="auto"/>
          <w:lang w:val="es-ES" w:eastAsia="es-ES"/>
        </w:rPr>
      </w:pPr>
      <w:r w:rsidRPr="00067D1B">
        <w:rPr>
          <w:rFonts w:eastAsia="Times New Roman" w:cs="Tahoma"/>
          <w:iCs/>
          <w:color w:val="auto"/>
          <w:lang w:val="es-ES" w:eastAsia="es-ES"/>
        </w:rPr>
        <w:t xml:space="preserve">De esta manera, el derecho de acceso a la información pública se satisface en aquellos casos en que se entregue el soporte documental en el que conste la información solicitada, sin necesidad de elaborar documentos </w:t>
      </w:r>
      <w:r w:rsidRPr="00067D1B">
        <w:rPr>
          <w:rFonts w:eastAsia="Times New Roman" w:cs="Tahoma"/>
          <w:i/>
          <w:iCs/>
          <w:color w:val="auto"/>
          <w:lang w:val="es-ES" w:eastAsia="es-ES"/>
        </w:rPr>
        <w:t>“ad hoc”;</w:t>
      </w:r>
      <w:r w:rsidRPr="00067D1B">
        <w:rPr>
          <w:rFonts w:eastAsia="Times New Roman" w:cs="Tahoma"/>
          <w:iCs/>
          <w:color w:val="auto"/>
          <w:lang w:val="es-ES"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Pr="00067D1B" w:rsidR="00067D1B" w:rsidP="00067D1B" w:rsidRDefault="00067D1B" w14:paraId="4971D5BD" w14:textId="77777777">
      <w:pPr>
        <w:spacing w:after="0" w:line="360" w:lineRule="auto"/>
        <w:rPr>
          <w:rFonts w:eastAsia="Times New Roman" w:cs="Tahoma"/>
          <w:iCs/>
          <w:color w:val="auto"/>
          <w:lang w:val="es-ES" w:eastAsia="es-ES"/>
        </w:rPr>
      </w:pPr>
    </w:p>
    <w:p w:rsidRPr="00067D1B" w:rsidR="00067D1B" w:rsidP="00067D1B" w:rsidRDefault="00067D1B" w14:paraId="2F218DE0" w14:textId="77777777">
      <w:pPr>
        <w:spacing w:after="0" w:line="360" w:lineRule="auto"/>
        <w:ind w:left="567" w:right="567"/>
        <w:rPr>
          <w:rFonts w:eastAsia="Times New Roman" w:cs="Tahoma"/>
          <w:i/>
          <w:iCs/>
          <w:color w:val="auto"/>
          <w:sz w:val="20"/>
          <w:szCs w:val="20"/>
          <w:lang w:val="es-ES" w:eastAsia="es-ES"/>
        </w:rPr>
      </w:pPr>
      <w:r w:rsidRPr="00067D1B">
        <w:rPr>
          <w:rFonts w:eastAsia="Times New Roman" w:cs="Tahoma"/>
          <w:b/>
          <w:bCs/>
          <w:i/>
          <w:iCs/>
          <w:color w:val="auto"/>
          <w:sz w:val="20"/>
          <w:szCs w:val="20"/>
          <w:lang w:val="es-ES" w:eastAsia="es-ES"/>
        </w:rPr>
        <w:t>“No existe obligación de elaborar documentos ad hoc para atender las solicitudes de acceso a la información.</w:t>
      </w:r>
      <w:r w:rsidRPr="00067D1B">
        <w:rPr>
          <w:rFonts w:eastAsia="Times New Roman" w:cs="Tahoma"/>
          <w:i/>
          <w:iCs/>
          <w:color w:val="auto"/>
          <w:sz w:val="20"/>
          <w:szCs w:val="20"/>
          <w:lang w:val="es-ES" w:eastAsia="es-ES"/>
        </w:rPr>
        <w:t xml:space="preserve"> Los artículos 129 de la Ley General de Transparencia y Acceso a la Información Pública y 130, párrafo cuarto, de la Ley Federal de Transparencia y Acceso a la Información Pública, </w:t>
      </w:r>
      <w:r w:rsidRPr="00067D1B">
        <w:rPr>
          <w:rFonts w:eastAsia="Times New Roman" w:cs="Tahoma"/>
          <w:i/>
          <w:iCs/>
          <w:color w:val="auto"/>
          <w:sz w:val="20"/>
          <w:szCs w:val="20"/>
          <w:lang w:val="es-ES" w:eastAsia="es-ES"/>
        </w:rPr>
        <w:lastRenderedPageBreak/>
        <w:t>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067D1B" w:rsidR="00067D1B" w:rsidP="00067D1B" w:rsidRDefault="00067D1B" w14:paraId="354C9887" w14:textId="77777777">
      <w:pPr>
        <w:spacing w:after="0" w:line="360" w:lineRule="auto"/>
        <w:rPr>
          <w:rFonts w:eastAsia="Times New Roman" w:cs="Tahoma"/>
          <w:bCs/>
          <w:iCs/>
          <w:color w:val="auto"/>
          <w:lang w:eastAsia="es-ES"/>
        </w:rPr>
      </w:pPr>
    </w:p>
    <w:p w:rsidR="00067D1B" w:rsidP="00067D1B" w:rsidRDefault="00067D1B" w14:paraId="568437D3" w14:textId="1CBD736B">
      <w:pPr>
        <w:tabs>
          <w:tab w:val="left" w:pos="4962"/>
        </w:tabs>
        <w:spacing w:after="0" w:line="360" w:lineRule="auto"/>
        <w:rPr>
          <w:rFonts w:eastAsia="Times New Roman" w:cs="Tahoma"/>
          <w:iCs/>
          <w:color w:val="auto"/>
          <w:lang w:val="es-ES" w:eastAsia="es-ES"/>
        </w:rPr>
      </w:pPr>
      <w:r w:rsidRPr="00067D1B">
        <w:rPr>
          <w:rFonts w:eastAsia="Times New Roman" w:cs="Tahoma"/>
          <w:iCs/>
          <w:color w:val="auto"/>
          <w:lang w:val="es-ES"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Pr>
          <w:rFonts w:eastAsia="Times New Roman" w:cs="Tahoma"/>
          <w:iCs/>
          <w:color w:val="auto"/>
          <w:lang w:val="es-ES" w:eastAsia="es-ES"/>
        </w:rPr>
        <w:t>lo cual aconteció pues le Sujeto Obligado proporcionó el documento que da cuenta de lo peticionado, es decir, el Tabulador de Sueldos.</w:t>
      </w:r>
    </w:p>
    <w:p w:rsidR="00067D1B" w:rsidP="00067D1B" w:rsidRDefault="00067D1B" w14:paraId="2B0198B4" w14:textId="774BFA25">
      <w:pPr>
        <w:tabs>
          <w:tab w:val="left" w:pos="4962"/>
        </w:tabs>
        <w:spacing w:after="0" w:line="360" w:lineRule="auto"/>
        <w:rPr>
          <w:rFonts w:eastAsia="Times New Roman" w:cs="Tahoma"/>
          <w:iCs/>
          <w:color w:val="auto"/>
          <w:lang w:val="es-ES" w:eastAsia="es-ES"/>
        </w:rPr>
      </w:pPr>
    </w:p>
    <w:p w:rsidR="00067D1B" w:rsidP="00067D1B" w:rsidRDefault="00067D1B" w14:paraId="38C84598" w14:textId="6B1DD01A">
      <w:pPr>
        <w:tabs>
          <w:tab w:val="left" w:pos="4962"/>
        </w:tabs>
        <w:spacing w:after="0" w:line="360" w:lineRule="auto"/>
        <w:rPr>
          <w:rFonts w:eastAsia="Times New Roman" w:cs="Tahoma"/>
          <w:iCs/>
          <w:color w:val="auto"/>
          <w:lang w:val="es-ES" w:eastAsia="es-ES"/>
        </w:rPr>
      </w:pPr>
      <w:r>
        <w:rPr>
          <w:rFonts w:eastAsia="Times New Roman" w:cs="Tahoma"/>
          <w:iCs/>
          <w:color w:val="auto"/>
          <w:lang w:val="es-ES" w:eastAsia="es-ES"/>
        </w:rPr>
        <w:t>No obstante, de su revisión se logra observar que contiene información incomprensible y borrosa, tal como se muestra a continuación:</w:t>
      </w:r>
    </w:p>
    <w:p w:rsidR="00067D1B" w:rsidP="00067D1B" w:rsidRDefault="00067D1B" w14:paraId="71C559C6" w14:textId="3B11E329">
      <w:pPr>
        <w:tabs>
          <w:tab w:val="left" w:pos="4962"/>
        </w:tabs>
        <w:spacing w:after="0" w:line="360" w:lineRule="auto"/>
        <w:rPr>
          <w:rFonts w:eastAsia="Times New Roman" w:cs="Tahoma"/>
          <w:iCs/>
          <w:color w:val="auto"/>
          <w:lang w:val="es-ES" w:eastAsia="es-ES"/>
        </w:rPr>
      </w:pPr>
    </w:p>
    <w:p w:rsidRPr="00067D1B" w:rsidR="00067D1B" w:rsidP="00067D1B" w:rsidRDefault="00067D1B" w14:paraId="38447AD4" w14:textId="195FC796">
      <w:pPr>
        <w:tabs>
          <w:tab w:val="left" w:pos="4962"/>
        </w:tabs>
        <w:spacing w:after="0" w:line="360" w:lineRule="auto"/>
        <w:rPr>
          <w:rFonts w:eastAsia="Times New Roman" w:cs="Tahoma"/>
          <w:color w:val="auto"/>
          <w:lang w:eastAsia="es-ES"/>
        </w:rPr>
      </w:pPr>
      <w:r>
        <w:rPr>
          <w:noProof/>
        </w:rPr>
        <w:drawing>
          <wp:inline distT="0" distB="0" distL="0" distR="0" wp14:anchorId="0A787A9F" wp14:editId="1C9BAEFD">
            <wp:extent cx="5791835" cy="13785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78585"/>
                    </a:xfrm>
                    <a:prstGeom prst="rect">
                      <a:avLst/>
                    </a:prstGeom>
                  </pic:spPr>
                </pic:pic>
              </a:graphicData>
            </a:graphic>
          </wp:inline>
        </w:drawing>
      </w:r>
    </w:p>
    <w:p w:rsidR="00067D1B" w:rsidP="00067D1B" w:rsidRDefault="00067D1B" w14:paraId="5976FE56" w14:textId="77777777">
      <w:pPr>
        <w:autoSpaceDE w:val="0"/>
        <w:autoSpaceDN w:val="0"/>
        <w:adjustRightInd w:val="0"/>
        <w:spacing w:after="0" w:line="360" w:lineRule="auto"/>
        <w:rPr>
          <w:rFonts w:eastAsia="Calibri" w:cs="Tahoma"/>
          <w:color w:val="000000"/>
          <w:lang w:eastAsia="es-MX"/>
        </w:rPr>
      </w:pPr>
    </w:p>
    <w:p w:rsidR="00FD6E9F" w:rsidP="00067D1B" w:rsidRDefault="00067D1B" w14:paraId="58844901" w14:textId="76C0C5EA">
      <w:pPr>
        <w:autoSpaceDE w:val="0"/>
        <w:autoSpaceDN w:val="0"/>
        <w:adjustRightInd w:val="0"/>
        <w:spacing w:line="360" w:lineRule="auto"/>
        <w:rPr>
          <w:rFonts w:eastAsia="Calibri" w:cs="Tahoma"/>
          <w:color w:val="000000"/>
          <w:lang w:eastAsia="es-MX"/>
        </w:rPr>
      </w:pPr>
      <w:r>
        <w:rPr>
          <w:rFonts w:eastAsia="Calibri" w:cs="Tahoma"/>
          <w:color w:val="000000"/>
          <w:lang w:eastAsia="es-MX"/>
        </w:rPr>
        <w:t xml:space="preserve">Como se logra observar, la información contenida en el documento se encuentra borrosa, lo cual da como resultado que el agravio resulte </w:t>
      </w:r>
      <w:r>
        <w:rPr>
          <w:rFonts w:eastAsia="Calibri" w:cs="Tahoma"/>
          <w:b/>
          <w:bCs/>
          <w:color w:val="000000"/>
          <w:lang w:eastAsia="es-MX"/>
        </w:rPr>
        <w:t>FUNDADO,</w:t>
      </w:r>
      <w:r w:rsidR="00FD6E9F">
        <w:rPr>
          <w:rFonts w:eastAsia="Calibri" w:cs="Tahoma"/>
          <w:b/>
          <w:bCs/>
          <w:color w:val="000000"/>
          <w:lang w:eastAsia="es-MX"/>
        </w:rPr>
        <w:t xml:space="preserve"> </w:t>
      </w:r>
      <w:r w:rsidR="00FD6E9F">
        <w:rPr>
          <w:rFonts w:eastAsia="Calibri" w:cs="Tahoma"/>
          <w:color w:val="000000"/>
          <w:lang w:eastAsia="es-MX"/>
        </w:rPr>
        <w:t>pues como se precisó, la información proporcionada es ilegible.</w:t>
      </w:r>
    </w:p>
    <w:p w:rsidR="00067D1B" w:rsidP="00067D1B" w:rsidRDefault="00067D1B" w14:paraId="7AC8CDFF" w14:textId="0493989D">
      <w:pPr>
        <w:autoSpaceDE w:val="0"/>
        <w:autoSpaceDN w:val="0"/>
        <w:adjustRightInd w:val="0"/>
        <w:spacing w:line="360" w:lineRule="auto"/>
        <w:rPr>
          <w:rFonts w:eastAsia="Calibri" w:cs="Tahoma"/>
          <w:color w:val="000000"/>
          <w:lang w:eastAsia="es-MX"/>
        </w:rPr>
      </w:pPr>
    </w:p>
    <w:p w:rsidR="00FA05AF" w:rsidP="00FA05AF" w:rsidRDefault="00067D1B" w14:paraId="02EAB453" w14:textId="77777777">
      <w:pPr>
        <w:autoSpaceDE w:val="0"/>
        <w:autoSpaceDN w:val="0"/>
        <w:adjustRightInd w:val="0"/>
        <w:spacing w:after="0" w:line="360" w:lineRule="auto"/>
        <w:rPr>
          <w:rFonts w:eastAsia="Calibri" w:cs="Tahoma"/>
          <w:color w:val="000000"/>
          <w:lang w:eastAsia="es-MX"/>
        </w:rPr>
      </w:pPr>
      <w:r>
        <w:rPr>
          <w:rFonts w:eastAsia="Calibri" w:cs="Tahoma"/>
          <w:color w:val="000000"/>
          <w:lang w:eastAsia="es-MX"/>
        </w:rPr>
        <w:lastRenderedPageBreak/>
        <w:t xml:space="preserve">Situación que toma relevancia, pues conforme al artículo </w:t>
      </w:r>
      <w:r w:rsidR="00FA05AF">
        <w:rPr>
          <w:rFonts w:eastAsia="Calibri" w:cs="Tahoma"/>
          <w:color w:val="000000"/>
          <w:lang w:eastAsia="es-MX"/>
        </w:rPr>
        <w:t>13 de la Ley General de Transparencia y Acceso a la Información Pública y 1 de la Ley de Transparencia y Acceso a la Información Pública del Estado de México y Municipios, en la entrega de la información se deberá garantizar que ésta sea accesible, confiable y completa; esto es que los documentos que entreguen los sujetos obligados deben ser visibles, claros y comprensibles.</w:t>
      </w:r>
    </w:p>
    <w:p w:rsidR="00FA05AF" w:rsidP="00067D1B" w:rsidRDefault="00FA05AF" w14:paraId="1DEEF5DF" w14:textId="735B1CB6">
      <w:pPr>
        <w:autoSpaceDE w:val="0"/>
        <w:autoSpaceDN w:val="0"/>
        <w:adjustRightInd w:val="0"/>
        <w:spacing w:line="360" w:lineRule="auto"/>
        <w:rPr>
          <w:rFonts w:eastAsia="Calibri" w:cs="Tahoma"/>
          <w:color w:val="000000"/>
          <w:lang w:eastAsia="es-MX"/>
        </w:rPr>
      </w:pPr>
    </w:p>
    <w:p w:rsidR="00FA05AF" w:rsidP="00FA05AF" w:rsidRDefault="00FA05AF" w14:paraId="096974DF" w14:textId="28E5607A">
      <w:pPr>
        <w:autoSpaceDE w:val="0"/>
        <w:autoSpaceDN w:val="0"/>
        <w:adjustRightInd w:val="0"/>
        <w:spacing w:after="0" w:line="360" w:lineRule="auto"/>
        <w:rPr>
          <w:rFonts w:eastAsia="Calibri" w:cs="Tahoma"/>
          <w:color w:val="000000"/>
          <w:lang w:eastAsia="es-MX"/>
        </w:rPr>
      </w:pPr>
      <w:r>
        <w:rPr>
          <w:rFonts w:eastAsia="Calibri" w:cs="Tahoma"/>
          <w:color w:val="000000"/>
          <w:lang w:eastAsia="es-MX"/>
        </w:rPr>
        <w:t>Por tal circunstancia, resulta viable ordenar de nueva cuenta el Tabulador entregado en respuesta, de manera visible y comprensible, con el fin de dar cumplimiento a los artículos 11, 12 y 160 de la Ley de Transparencia y Acceso a la Información Pública del Estado de México y Municipios.</w:t>
      </w:r>
    </w:p>
    <w:p w:rsidR="00F86ACE" w:rsidP="00A158AB" w:rsidRDefault="00F86ACE" w14:paraId="4015CAE5" w14:textId="77777777">
      <w:pPr>
        <w:spacing w:after="0" w:line="360" w:lineRule="auto"/>
        <w:rPr>
          <w:rFonts w:eastAsia="Calibri" w:cs="Tahoma"/>
          <w:bCs/>
        </w:rPr>
      </w:pPr>
    </w:p>
    <w:p w:rsidRPr="00446963" w:rsidR="00066B31" w:rsidP="00A158AB" w:rsidRDefault="00066B31" w14:paraId="0C6DF11A"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066B31" w:rsidP="00A158AB" w:rsidRDefault="00066B31" w14:paraId="70C71C07" w14:textId="77777777">
      <w:pPr>
        <w:spacing w:after="0" w:line="360" w:lineRule="auto"/>
        <w:rPr>
          <w:rFonts w:eastAsia="Times New Roman" w:cs="Tahoma"/>
          <w:lang w:eastAsia="es-ES"/>
        </w:rPr>
      </w:pPr>
    </w:p>
    <w:p w:rsidRPr="00BD6C52" w:rsidR="00BD6C52" w:rsidP="00F86ACE" w:rsidRDefault="00BD6C52" w14:paraId="2B7DA36C" w14:textId="4B7DC63D">
      <w:pPr>
        <w:widowControl w:val="0"/>
        <w:spacing w:after="0" w:line="360" w:lineRule="auto"/>
        <w:rPr>
          <w:rFonts w:eastAsia="Calibri" w:cs="Tahoma"/>
          <w:bCs/>
          <w:iCs/>
          <w:color w:val="auto"/>
          <w:lang w:val="es-ES"/>
        </w:rPr>
      </w:pPr>
      <w:r w:rsidRPr="00BD6C52">
        <w:rPr>
          <w:rFonts w:eastAsia="Calibri" w:cs="Tahoma"/>
        </w:rPr>
        <w:t xml:space="preserve">Con fundamento en el artículo 186, fracción III, de la Ley de Transparencia y Acceso a la Información Pública del Estado de México y Municipios, este Instituto considera procedente </w:t>
      </w:r>
      <w:r w:rsidRPr="00BD6C52">
        <w:rPr>
          <w:rFonts w:eastAsia="Calibri" w:cs="Tahoma"/>
          <w:b/>
        </w:rPr>
        <w:t xml:space="preserve">MODIFICAR </w:t>
      </w:r>
      <w:r w:rsidRPr="00BD6C52">
        <w:rPr>
          <w:rFonts w:eastAsia="Calibri" w:cs="Tahoma"/>
          <w:bCs/>
        </w:rPr>
        <w:t>la</w:t>
      </w:r>
      <w:r w:rsidRPr="00BD6C52">
        <w:rPr>
          <w:rFonts w:eastAsia="Calibri" w:cs="Tahoma"/>
        </w:rPr>
        <w:t xml:space="preserve"> respuesta otorgada por el </w:t>
      </w:r>
      <w:r w:rsidR="005A705D">
        <w:rPr>
          <w:rFonts w:eastAsia="Calibri" w:cs="Tahoma"/>
        </w:rPr>
        <w:t>Ayuntamiento de Texcalyacac</w:t>
      </w:r>
      <w:r w:rsidRPr="00BD6C52">
        <w:rPr>
          <w:rFonts w:eastAsia="Calibri" w:cs="Tahoma"/>
        </w:rPr>
        <w:t xml:space="preserve">, a efecto de que, entregue, </w:t>
      </w:r>
      <w:r w:rsidRPr="00BD6C52">
        <w:rPr>
          <w:rFonts w:eastAsia="Calibri" w:cs="Tahoma"/>
          <w:iCs/>
          <w:lang w:eastAsia="es-ES_tradnl"/>
        </w:rPr>
        <w:t xml:space="preserve">a través del Sistema de Acceso a la Información Mexiquense (SAIMEX), </w:t>
      </w:r>
      <w:bookmarkStart w:name="_Hlk104986705" w:id="4"/>
      <w:r w:rsidR="00EA5F1D">
        <w:rPr>
          <w:rFonts w:eastAsia="Calibri" w:cs="Tahoma"/>
          <w:iCs/>
          <w:lang w:eastAsia="es-ES_tradnl"/>
        </w:rPr>
        <w:t xml:space="preserve">de manera visible y comprensible, el </w:t>
      </w:r>
      <w:r w:rsidR="00EA5F1D">
        <w:rPr>
          <w:rFonts w:eastAsia="Times New Roman" w:cs="Tahoma"/>
          <w:color w:val="auto"/>
          <w:szCs w:val="24"/>
          <w:lang w:eastAsia="es-ES"/>
        </w:rPr>
        <w:t>Tabulador de Sueldos del Ayuntamiento de Texcalyacac del primero de enero al treinta y uno de diciembre de dos mil veintidós</w:t>
      </w:r>
      <w:r w:rsidR="00EA5F1D">
        <w:rPr>
          <w:rFonts w:eastAsia="Times New Roman" w:cs="Tahoma"/>
          <w:color w:val="auto"/>
          <w:szCs w:val="24"/>
          <w:lang w:eastAsia="es-ES"/>
        </w:rPr>
        <w:t>.</w:t>
      </w:r>
    </w:p>
    <w:bookmarkEnd w:id="4"/>
    <w:p w:rsidR="00725283" w:rsidP="00A158AB" w:rsidRDefault="00725283" w14:paraId="506BAEBC" w14:textId="2FC13FA0">
      <w:pPr>
        <w:spacing w:after="0" w:line="360" w:lineRule="auto"/>
        <w:rPr>
          <w:rFonts w:eastAsia="Times New Roman" w:cs="Tahoma"/>
          <w:lang w:eastAsia="es-ES"/>
        </w:rPr>
      </w:pPr>
    </w:p>
    <w:p w:rsidR="00066B31" w:rsidP="00A158AB" w:rsidRDefault="00066B31" w14:paraId="5D15EC98"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Pr="00446963" w:rsidR="00F86ACE" w:rsidP="00A158AB" w:rsidRDefault="00F86ACE" w14:paraId="4ADBF508" w14:textId="77777777">
      <w:pPr>
        <w:autoSpaceDE w:val="0"/>
        <w:autoSpaceDN w:val="0"/>
        <w:adjustRightInd w:val="0"/>
        <w:spacing w:after="0" w:line="360" w:lineRule="auto"/>
        <w:rPr>
          <w:rFonts w:eastAsia="Calibri" w:cs="Tahoma"/>
          <w:b/>
          <w:bCs/>
          <w:iCs/>
          <w:lang w:val="es-ES"/>
        </w:rPr>
      </w:pPr>
    </w:p>
    <w:p w:rsidR="00A2185E" w:rsidP="00184934" w:rsidRDefault="00BD6C52" w14:paraId="0CD853EC" w14:textId="64D51F10">
      <w:pPr>
        <w:spacing w:after="0" w:line="360" w:lineRule="auto"/>
        <w:ind w:right="-28"/>
        <w:rPr>
          <w:rFonts w:eastAsia="Calibri" w:cs="Tahoma"/>
        </w:rPr>
      </w:pPr>
      <w:r>
        <w:rPr>
          <w:lang w:eastAsia="es-MX"/>
        </w:rPr>
        <w:t xml:space="preserve">Se le hace del conocimiento al Particular, que, en el presente caso, se le concede la razón, pues el </w:t>
      </w:r>
      <w:r>
        <w:rPr>
          <w:rFonts w:eastAsia="Calibri" w:cs="Tahoma"/>
        </w:rPr>
        <w:t>Sujetó Obligado</w:t>
      </w:r>
      <w:r w:rsidR="00F86ACE">
        <w:rPr>
          <w:rFonts w:eastAsia="Calibri" w:cs="Tahoma"/>
        </w:rPr>
        <w:t xml:space="preserve"> si bien le proporcionó </w:t>
      </w:r>
      <w:r w:rsidR="00EA5F1D">
        <w:rPr>
          <w:rFonts w:eastAsia="Calibri" w:cs="Tahoma"/>
        </w:rPr>
        <w:t>el documento solicitado, lo cierto es que este es incomprensible, por lo que, deberá entregárselo de manera visible.</w:t>
      </w:r>
    </w:p>
    <w:p w:rsidR="00672F00" w:rsidP="00184934" w:rsidRDefault="00672F00" w14:paraId="4DC29AE1" w14:textId="5459E607">
      <w:pPr>
        <w:spacing w:after="0" w:line="360" w:lineRule="auto"/>
        <w:ind w:right="-28"/>
        <w:rPr>
          <w:rFonts w:eastAsia="Calibri" w:cs="Tahoma"/>
        </w:rPr>
      </w:pPr>
    </w:p>
    <w:p w:rsidR="00EA5F1D" w:rsidP="00184934" w:rsidRDefault="00EA5F1D" w14:paraId="17DA74E9" w14:textId="77777777">
      <w:pPr>
        <w:spacing w:after="0" w:line="360" w:lineRule="auto"/>
        <w:ind w:right="-28"/>
        <w:rPr>
          <w:rFonts w:eastAsia="Calibri" w:cs="Tahoma"/>
        </w:rPr>
      </w:pPr>
    </w:p>
    <w:p w:rsidR="00EA5F1D" w:rsidP="00184934" w:rsidRDefault="00EA5F1D" w14:paraId="34EC5DE2" w14:textId="092C9C42">
      <w:pPr>
        <w:spacing w:after="0" w:line="360" w:lineRule="auto"/>
        <w:ind w:right="-28"/>
        <w:rPr>
          <w:rFonts w:eastAsia="Calibri" w:cs="Tahoma"/>
          <w:bCs/>
          <w:iCs/>
          <w:color w:val="auto"/>
          <w:lang w:val="es-ES" w:eastAsia="es-ES_tradnl"/>
        </w:rPr>
      </w:pPr>
      <w:r>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rsidRPr="00672F00" w:rsidR="00EA5F1D" w:rsidP="00184934" w:rsidRDefault="00EA5F1D" w14:paraId="0F73463A" w14:textId="77777777">
      <w:pPr>
        <w:spacing w:after="0" w:line="360" w:lineRule="auto"/>
        <w:ind w:right="-28"/>
        <w:rPr>
          <w:rFonts w:eastAsia="Calibri" w:cs="Tahoma"/>
        </w:rPr>
      </w:pPr>
    </w:p>
    <w:p w:rsidRPr="00F86ACE" w:rsidR="00F86ACE" w:rsidP="00F86ACE" w:rsidRDefault="00F86ACE" w14:paraId="5E56B976" w14:textId="77777777">
      <w:pPr>
        <w:widowControl w:val="0"/>
        <w:spacing w:after="0" w:line="360" w:lineRule="auto"/>
        <w:rPr>
          <w:rFonts w:eastAsia="Calibri" w:cs="Tahoma"/>
          <w:bCs/>
          <w:iCs/>
          <w:color w:val="auto"/>
          <w:lang w:val="es-ES_tradnl"/>
        </w:rPr>
      </w:pPr>
      <w:r w:rsidRPr="00F86ACE">
        <w:rPr>
          <w:rFonts w:eastAsia="Calibri" w:cs="Tahoma"/>
          <w:bCs/>
          <w:iCs/>
          <w:color w:val="auto"/>
          <w:lang w:val="es-ES_tradnl"/>
        </w:rPr>
        <w:t>Finalmente, se le hace del conocimiento que la labor del Instituto de Transparencia, Acceso a la Información Pública y Protección de Datos Personales del Estado de México y Municipios, es apoyar a la población a acceder a la información pública y garantizar la protección de los datos personales.</w:t>
      </w:r>
    </w:p>
    <w:p w:rsidR="00066B31" w:rsidP="00A158AB" w:rsidRDefault="00066B31" w14:paraId="757085B2" w14:textId="77777777">
      <w:pPr>
        <w:spacing w:after="0" w:line="360" w:lineRule="auto"/>
        <w:rPr>
          <w:rFonts w:eastAsia="Calibri" w:cs="Tahoma"/>
          <w:bCs/>
          <w:iCs/>
          <w:lang w:val="es-ES" w:eastAsia="es-ES_tradnl"/>
        </w:rPr>
      </w:pPr>
    </w:p>
    <w:p w:rsidRPr="00446963" w:rsidR="00066B31" w:rsidP="00A158AB" w:rsidRDefault="00066B31" w14:paraId="7685FAAA" w14:textId="77777777">
      <w:pPr>
        <w:spacing w:after="0" w:line="360" w:lineRule="auto"/>
        <w:rPr>
          <w:rFonts w:eastAsia="Calibri" w:cs="Tahoma"/>
          <w:bCs/>
        </w:rPr>
      </w:pPr>
      <w:r w:rsidRPr="00446963">
        <w:rPr>
          <w:rFonts w:eastAsia="Calibri" w:cs="Tahoma"/>
          <w:bCs/>
        </w:rPr>
        <w:t>Por lo expuesto y fundado, este Pleno:</w:t>
      </w:r>
    </w:p>
    <w:p w:rsidR="00ED7E78" w:rsidP="00A158AB" w:rsidRDefault="00ED7E78" w14:paraId="4C1274EF" w14:textId="77777777">
      <w:pPr>
        <w:spacing w:after="0" w:line="360" w:lineRule="auto"/>
        <w:jc w:val="center"/>
        <w:rPr>
          <w:rFonts w:eastAsia="Calibri" w:cs="Tahoma"/>
          <w:b/>
          <w:bCs/>
        </w:rPr>
      </w:pPr>
    </w:p>
    <w:p w:rsidRPr="00446963" w:rsidR="00066B31" w:rsidP="00A158AB" w:rsidRDefault="00066B31" w14:paraId="2CBCAFED" w14:textId="31EF801C">
      <w:pPr>
        <w:spacing w:after="0" w:line="360" w:lineRule="auto"/>
        <w:jc w:val="center"/>
        <w:rPr>
          <w:rFonts w:eastAsia="Calibri" w:cs="Tahoma"/>
          <w:b/>
          <w:bCs/>
        </w:rPr>
      </w:pPr>
      <w:r w:rsidRPr="00446963">
        <w:rPr>
          <w:rFonts w:eastAsia="Calibri" w:cs="Tahoma"/>
          <w:b/>
          <w:bCs/>
        </w:rPr>
        <w:t>R E S U E L V E:</w:t>
      </w:r>
    </w:p>
    <w:p w:rsidRPr="00446963" w:rsidR="00066B31" w:rsidP="00A158AB" w:rsidRDefault="00066B31" w14:paraId="5DB5E46C" w14:textId="77777777">
      <w:pPr>
        <w:spacing w:after="0" w:line="360" w:lineRule="auto"/>
        <w:jc w:val="left"/>
        <w:rPr>
          <w:rFonts w:eastAsia="Calibri" w:cs="Tahoma"/>
          <w:b/>
          <w:bCs/>
        </w:rPr>
      </w:pPr>
    </w:p>
    <w:p w:rsidRPr="00655443" w:rsidR="00655443" w:rsidP="00655443" w:rsidRDefault="00655443" w14:paraId="5CCCA69D" w14:textId="68C019B6">
      <w:pPr>
        <w:spacing w:after="0" w:line="360" w:lineRule="auto"/>
        <w:contextualSpacing/>
        <w:rPr>
          <w:rFonts w:eastAsia="Calibri" w:cs="Tahoma"/>
          <w:bCs/>
        </w:rPr>
      </w:pPr>
      <w:r w:rsidRPr="00655443">
        <w:rPr>
          <w:rFonts w:eastAsia="Calibri" w:cs="Tahoma"/>
          <w:b/>
          <w:bCs/>
        </w:rPr>
        <w:t xml:space="preserve">PRIMERO. </w:t>
      </w:r>
      <w:r w:rsidRPr="00655443">
        <w:rPr>
          <w:rFonts w:eastAsia="Calibri" w:cs="Tahoma"/>
          <w:bCs/>
        </w:rPr>
        <w:t xml:space="preserve">Se </w:t>
      </w:r>
      <w:r w:rsidRPr="00655443">
        <w:rPr>
          <w:rFonts w:eastAsia="Calibri" w:cs="Tahoma"/>
          <w:b/>
          <w:bCs/>
        </w:rPr>
        <w:t>MODIFICA</w:t>
      </w:r>
      <w:r w:rsidRPr="00655443">
        <w:rPr>
          <w:rFonts w:eastAsia="Calibri" w:cs="Tahoma"/>
          <w:bCs/>
        </w:rPr>
        <w:t xml:space="preserve"> la respuesta entregada por el </w:t>
      </w:r>
      <w:r w:rsidR="00F86ACE">
        <w:rPr>
          <w:rFonts w:eastAsia="Calibri" w:cs="Tahoma"/>
        </w:rPr>
        <w:t>Sujeto Obligado</w:t>
      </w:r>
      <w:r w:rsidRPr="00655443">
        <w:rPr>
          <w:rFonts w:eastAsia="Calibri" w:cs="Tahoma"/>
          <w:bCs/>
        </w:rPr>
        <w:t xml:space="preserve"> a la solicitud de </w:t>
      </w:r>
      <w:r w:rsidRPr="00655443">
        <w:rPr>
          <w:rFonts w:eastAsia="Calibri" w:cs="Tahoma"/>
        </w:rPr>
        <w:t xml:space="preserve">información </w:t>
      </w:r>
      <w:r w:rsidR="005A705D">
        <w:t>00055/TEXCALYA/IP/2022</w:t>
      </w:r>
      <w:r w:rsidRPr="00655443">
        <w:rPr>
          <w:rFonts w:eastAsia="Calibri" w:cs="Tahoma"/>
          <w:b/>
          <w:bCs/>
        </w:rPr>
        <w:t xml:space="preserve">, </w:t>
      </w:r>
      <w:r w:rsidRPr="00655443">
        <w:rPr>
          <w:rFonts w:eastAsia="Calibri" w:cs="Times New Roman"/>
        </w:rPr>
        <w:t xml:space="preserve">por resultar </w:t>
      </w:r>
      <w:r w:rsidRPr="00655443">
        <w:rPr>
          <w:rFonts w:eastAsia="Calibri" w:cs="Times New Roman"/>
          <w:b/>
        </w:rPr>
        <w:t>FUNDADAS</w:t>
      </w:r>
      <w:r w:rsidRPr="00655443">
        <w:rPr>
          <w:rFonts w:eastAsia="Calibri" w:cs="Tahoma"/>
        </w:rPr>
        <w:t xml:space="preserve"> las razones o motivos de inconformidad hechos valer por el Particular, en</w:t>
      </w:r>
      <w:r w:rsidRPr="00655443">
        <w:rPr>
          <w:rFonts w:eastAsia="Calibri" w:cs="Tahoma"/>
          <w:bCs/>
        </w:rPr>
        <w:t xml:space="preserve"> términos de los considerandos </w:t>
      </w:r>
      <w:r w:rsidRPr="00195757">
        <w:rPr>
          <w:rFonts w:eastAsia="Calibri" w:cs="Tahoma"/>
        </w:rPr>
        <w:t>QUINTO y SEXTO</w:t>
      </w:r>
      <w:r w:rsidRPr="00655443">
        <w:rPr>
          <w:rFonts w:eastAsia="Calibri" w:cs="Tahoma"/>
          <w:bCs/>
        </w:rPr>
        <w:t xml:space="preserve"> de la presente Resolución.</w:t>
      </w:r>
    </w:p>
    <w:p w:rsidRPr="00655443" w:rsidR="00655443" w:rsidP="00655443" w:rsidRDefault="00655443" w14:paraId="3220CC2C" w14:textId="77777777">
      <w:pPr>
        <w:spacing w:after="0" w:line="360" w:lineRule="auto"/>
        <w:rPr>
          <w:rFonts w:eastAsia="Calibri" w:cs="Tahoma"/>
          <w:bCs/>
        </w:rPr>
      </w:pPr>
    </w:p>
    <w:p w:rsidRPr="00655443" w:rsidR="00655443" w:rsidP="00655443" w:rsidRDefault="00655443" w14:paraId="2F45867B" w14:textId="43A2EE48">
      <w:pPr>
        <w:spacing w:after="0" w:line="360" w:lineRule="auto"/>
        <w:rPr>
          <w:rFonts w:eastAsia="Calibri" w:cs="Tahoma"/>
        </w:rPr>
      </w:pPr>
      <w:r w:rsidRPr="00655443">
        <w:rPr>
          <w:rFonts w:eastAsia="Calibri" w:cs="Tahoma"/>
          <w:b/>
          <w:bCs/>
        </w:rPr>
        <w:t xml:space="preserve">SEGUNDO. </w:t>
      </w:r>
      <w:r w:rsidRPr="00655443">
        <w:rPr>
          <w:rFonts w:eastAsia="Calibri" w:cs="Tahoma"/>
        </w:rPr>
        <w:t xml:space="preserve">Se </w:t>
      </w:r>
      <w:r w:rsidRPr="00655443">
        <w:rPr>
          <w:rFonts w:eastAsia="Calibri" w:cs="Tahoma"/>
          <w:b/>
        </w:rPr>
        <w:t xml:space="preserve">ORDENA </w:t>
      </w:r>
      <w:r w:rsidRPr="00655443">
        <w:rPr>
          <w:rFonts w:eastAsia="Calibri" w:cs="Tahoma"/>
          <w:bCs/>
        </w:rPr>
        <w:t xml:space="preserve">al </w:t>
      </w:r>
      <w:r w:rsidRPr="00655443">
        <w:rPr>
          <w:rFonts w:eastAsia="Calibri" w:cs="Tahoma"/>
        </w:rPr>
        <w:t>Ente Recurrido, a efecto de</w:t>
      </w:r>
      <w:r w:rsidRPr="00655443">
        <w:rPr>
          <w:rFonts w:eastAsia="Calibri" w:cs="Tahoma"/>
          <w:lang w:eastAsia="es-MX"/>
        </w:rPr>
        <w:t xml:space="preserve"> que, entregue</w:t>
      </w:r>
      <w:r w:rsidRPr="00655443">
        <w:rPr>
          <w:rFonts w:eastAsia="Calibri" w:cs="Tahoma"/>
        </w:rPr>
        <w:t xml:space="preserve">, a través del Sistema de Acceso a la Información Mexiquense (SAIMEX), </w:t>
      </w:r>
      <w:r w:rsidR="00EA5F1D">
        <w:rPr>
          <w:rFonts w:eastAsia="Calibri" w:cs="Tahoma"/>
        </w:rPr>
        <w:t>de manera visible y comprensible,</w:t>
      </w:r>
      <w:r w:rsidRPr="00655443">
        <w:rPr>
          <w:rFonts w:eastAsia="Calibri" w:cs="Tahoma"/>
        </w:rPr>
        <w:t xml:space="preserve"> lo siguiente:</w:t>
      </w:r>
    </w:p>
    <w:p w:rsidRPr="00655443" w:rsidR="00655443" w:rsidP="00655443" w:rsidRDefault="00655443" w14:paraId="1944F600" w14:textId="77777777">
      <w:pPr>
        <w:spacing w:after="0" w:line="360" w:lineRule="auto"/>
        <w:rPr>
          <w:rFonts w:eastAsia="Calibri" w:cs="Tahoma"/>
        </w:rPr>
      </w:pPr>
    </w:p>
    <w:p w:rsidRPr="00BD6C52" w:rsidR="00184934" w:rsidP="00184934" w:rsidRDefault="00EA5F1D" w14:paraId="0817DFCC" w14:textId="37F0D71F">
      <w:pPr>
        <w:widowControl w:val="0"/>
        <w:numPr>
          <w:ilvl w:val="0"/>
          <w:numId w:val="8"/>
        </w:numPr>
        <w:spacing w:after="0" w:line="360" w:lineRule="auto"/>
        <w:contextualSpacing/>
        <w:rPr>
          <w:rFonts w:eastAsia="Calibri" w:cs="Tahoma"/>
          <w:iCs/>
          <w:szCs w:val="24"/>
          <w:lang w:eastAsia="es-ES_tradnl"/>
        </w:rPr>
      </w:pPr>
      <w:r>
        <w:rPr>
          <w:rFonts w:eastAsia="Times New Roman" w:cs="Tahoma"/>
          <w:color w:val="auto"/>
          <w:szCs w:val="24"/>
          <w:lang w:eastAsia="es-ES"/>
        </w:rPr>
        <w:t>Tabulador de Sueldos del Ayuntamiento de Texcalyacac del primero de enero al treinta y uno de diciembre de dos mil veintidós</w:t>
      </w:r>
      <w:r>
        <w:rPr>
          <w:rFonts w:eastAsia="Times New Roman" w:cs="Tahoma"/>
          <w:color w:val="auto"/>
          <w:szCs w:val="24"/>
          <w:lang w:eastAsia="es-ES"/>
        </w:rPr>
        <w:t>, entregado en respuesta</w:t>
      </w:r>
      <w:r w:rsidR="004161A2">
        <w:rPr>
          <w:rFonts w:eastAsia="Times New Roman" w:cs="Tahoma"/>
          <w:color w:val="auto"/>
          <w:lang w:val="es-ES" w:eastAsia="es-ES"/>
        </w:rPr>
        <w:t>.</w:t>
      </w:r>
    </w:p>
    <w:p w:rsidR="00886AAA" w:rsidP="00886AAA" w:rsidRDefault="00886AAA" w14:paraId="082C955B" w14:textId="32C3C45F">
      <w:pPr>
        <w:widowControl w:val="0"/>
        <w:spacing w:after="0" w:line="360" w:lineRule="auto"/>
        <w:rPr>
          <w:rFonts w:eastAsia="Calibri" w:cs="Tahoma"/>
          <w:iCs/>
          <w:lang w:eastAsia="es-ES_tradnl"/>
        </w:rPr>
      </w:pPr>
    </w:p>
    <w:p w:rsidR="00EA5F1D" w:rsidP="00886AAA" w:rsidRDefault="00EA5F1D" w14:paraId="1B512D0E" w14:textId="143A42F0">
      <w:pPr>
        <w:widowControl w:val="0"/>
        <w:spacing w:after="0" w:line="360" w:lineRule="auto"/>
        <w:rPr>
          <w:rFonts w:eastAsia="Calibri" w:cs="Tahoma"/>
          <w:iCs/>
          <w:lang w:eastAsia="es-ES_tradnl"/>
        </w:rPr>
      </w:pPr>
    </w:p>
    <w:p w:rsidRPr="00BD6C52" w:rsidR="00EA5F1D" w:rsidP="00886AAA" w:rsidRDefault="00EA5F1D" w14:paraId="1A26A44B" w14:textId="77777777">
      <w:pPr>
        <w:widowControl w:val="0"/>
        <w:spacing w:after="0" w:line="360" w:lineRule="auto"/>
        <w:rPr>
          <w:rFonts w:eastAsia="Calibri" w:cs="Tahoma"/>
          <w:iCs/>
          <w:lang w:eastAsia="es-ES_tradnl"/>
        </w:rPr>
      </w:pPr>
    </w:p>
    <w:p w:rsidRPr="00655443" w:rsidR="00655443" w:rsidP="00655443" w:rsidRDefault="00655443" w14:paraId="0186C2B8" w14:textId="77777777">
      <w:pPr>
        <w:spacing w:after="0" w:line="360" w:lineRule="auto"/>
        <w:rPr>
          <w:rFonts w:eastAsia="Calibri" w:cs="Tahoma"/>
        </w:rPr>
      </w:pPr>
      <w:r w:rsidRPr="00655443">
        <w:rPr>
          <w:rFonts w:eastAsia="Calibri" w:cs="Arial"/>
          <w:b/>
          <w:lang w:val="es-ES_tradnl"/>
        </w:rPr>
        <w:t>TERCERO.</w:t>
      </w:r>
      <w:r w:rsidRPr="00655443">
        <w:rPr>
          <w:rFonts w:eastAsia="Calibri" w:cs="Tahoma"/>
          <w:b/>
        </w:rPr>
        <w:t xml:space="preserve"> NOTIFÍQUESE </w:t>
      </w:r>
      <w:r w:rsidRPr="00655443">
        <w:rPr>
          <w:rFonts w:eastAsia="Calibri" w:cs="Tahoma"/>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655443" w:rsidR="004161A2" w:rsidP="00655443" w:rsidRDefault="004161A2" w14:paraId="1C9AAD26" w14:textId="77777777">
      <w:pPr>
        <w:spacing w:after="0" w:line="360" w:lineRule="auto"/>
        <w:rPr>
          <w:rFonts w:eastAsia="Calibri" w:cs="Tahoma"/>
        </w:rPr>
      </w:pPr>
    </w:p>
    <w:p w:rsidRPr="00655443" w:rsidR="00655443" w:rsidP="00655443" w:rsidRDefault="00655443" w14:paraId="536F392A" w14:textId="77777777">
      <w:pPr>
        <w:spacing w:after="0" w:line="360" w:lineRule="auto"/>
        <w:rPr>
          <w:rFonts w:eastAsia="Calibri" w:cs="Tahoma"/>
          <w:iCs/>
        </w:rPr>
      </w:pPr>
      <w:bookmarkStart w:name="_Hlk61509110" w:id="5"/>
      <w:r w:rsidRPr="00655443">
        <w:rPr>
          <w:rFonts w:eastAsia="Calibri"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5"/>
    </w:p>
    <w:p w:rsidRPr="00655443" w:rsidR="00655443" w:rsidP="00655443" w:rsidRDefault="00655443" w14:paraId="6CF0F046" w14:textId="77777777">
      <w:pPr>
        <w:spacing w:after="0" w:line="360" w:lineRule="auto"/>
        <w:rPr>
          <w:rFonts w:eastAsia="Calibri" w:cs="Tahoma"/>
        </w:rPr>
      </w:pPr>
    </w:p>
    <w:p w:rsidRPr="00655443" w:rsidR="00655443" w:rsidP="00655443" w:rsidRDefault="00655443" w14:paraId="723E9C78" w14:textId="77777777">
      <w:pPr>
        <w:spacing w:after="0" w:line="360" w:lineRule="auto"/>
        <w:rPr>
          <w:rFonts w:eastAsia="Calibri" w:cs="Tahoma"/>
        </w:rPr>
      </w:pPr>
      <w:r w:rsidRPr="00655443">
        <w:rPr>
          <w:rFonts w:eastAsia="Calibri" w:cs="Tahoma"/>
          <w:b/>
        </w:rPr>
        <w:t>CUARTO. NOTIFÍQUESE</w:t>
      </w:r>
      <w:r w:rsidRPr="00655443">
        <w:rPr>
          <w:rFonts w:eastAsia="Calibri" w:cs="Tahoma"/>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725283" w:rsidP="00A158AB" w:rsidRDefault="00725283" w14:paraId="1B12DE24" w14:textId="77777777">
      <w:pPr>
        <w:spacing w:after="0" w:line="360" w:lineRule="auto"/>
        <w:rPr>
          <w:rFonts w:eastAsia="Calibri" w:cs="Tahoma"/>
          <w:bCs/>
        </w:rPr>
      </w:pPr>
    </w:p>
    <w:p w:rsidR="0040526C" w:rsidP="0040526C" w:rsidRDefault="0040526C" w14:paraId="427DAFB5" w14:textId="2D20CF70">
      <w:pPr>
        <w:spacing w:after="0" w:line="360" w:lineRule="auto"/>
        <w:rPr>
          <w:rFonts w:eastAsia="Times New Roman" w:cs="Tahoma"/>
          <w:lang w:eastAsia="es-MX"/>
        </w:rPr>
      </w:pPr>
      <w:r w:rsidRPr="00446963">
        <w:t xml:space="preserve">ASÍ LO RESUELVE, POR </w:t>
      </w:r>
      <w:r w:rsidR="00FA383B">
        <w:rPr>
          <w:b/>
          <w:bCs/>
        </w:rPr>
        <w:t>UNANIMIDAD</w:t>
      </w:r>
      <w:r>
        <w:t xml:space="preserve"> </w:t>
      </w:r>
      <w:r w:rsidRPr="00446963">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t xml:space="preserve"> CON</w:t>
      </w:r>
      <w:r w:rsidRPr="00446963">
        <w:t xml:space="preserve">; EN LA </w:t>
      </w:r>
      <w:r w:rsidR="004161A2">
        <w:t>TRIGÉSIMA</w:t>
      </w:r>
      <w:r w:rsidR="00EA5F1D">
        <w:t xml:space="preserve"> PRIMERA</w:t>
      </w:r>
      <w:r w:rsidRPr="00446963">
        <w:t xml:space="preserve"> SESIÓN ORDINARIA CELEBRADA EL </w:t>
      </w:r>
      <w:r w:rsidR="00EA5F1D">
        <w:t>TREINTA Y UNO</w:t>
      </w:r>
      <w:r w:rsidR="004161A2">
        <w:t xml:space="preserve"> DE AGOSTO</w:t>
      </w:r>
      <w:r w:rsidRPr="00446963">
        <w:t xml:space="preserve"> DE DOS MIL VEINTIDÓS, ANTE EL SECRETARIO TÉCNICO DEL PLENO, ALEXIS TAPIA RAMÍREZ.</w:t>
      </w:r>
      <w:r>
        <w:rPr>
          <w:rFonts w:eastAsia="Times New Roman" w:cs="Tahoma"/>
          <w:lang w:eastAsia="es-MX"/>
        </w:rPr>
        <w:br w:type="page"/>
      </w:r>
    </w:p>
    <w:p w:rsidR="00E439ED" w:rsidP="00A158AB" w:rsidRDefault="00E439ED" w14:paraId="179D3A74" w14:textId="77777777">
      <w:pPr>
        <w:spacing w:after="0" w:line="360" w:lineRule="auto"/>
      </w:pPr>
    </w:p>
    <w:sectPr w:rsidR="00E439ED" w:rsidSect="003E2E42">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5C79" w:rsidP="00066B31" w:rsidRDefault="00A55C79" w14:paraId="165737F2" w14:textId="77777777">
      <w:pPr>
        <w:spacing w:after="0" w:line="240" w:lineRule="auto"/>
      </w:pPr>
      <w:r>
        <w:separator/>
      </w:r>
    </w:p>
  </w:endnote>
  <w:endnote w:type="continuationSeparator" w:id="0">
    <w:p w:rsidR="00A55C79" w:rsidP="00066B31" w:rsidRDefault="00A55C79" w14:paraId="379938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000000"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Content>
      <w:sdt>
        <w:sdtPr>
          <w:id w:val="1890534867"/>
          <w:docPartObj>
            <w:docPartGallery w:val="Page Numbers (Top of Page)"/>
            <w:docPartUnique/>
          </w:docPartObj>
        </w:sdt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61A2">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61A2">
              <w:rPr>
                <w:b/>
                <w:bCs/>
                <w:noProof/>
              </w:rPr>
              <w:t>18</w:t>
            </w:r>
            <w:r>
              <w:rPr>
                <w:b/>
                <w:bCs/>
                <w:sz w:val="24"/>
                <w:szCs w:val="24"/>
              </w:rPr>
              <w:fldChar w:fldCharType="end"/>
            </w:r>
          </w:p>
        </w:sdtContent>
      </w:sdt>
    </w:sdtContent>
  </w:sdt>
  <w:p w:rsidR="008C644E" w:rsidRDefault="00000000"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161A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161A2">
      <w:rPr>
        <w:b/>
        <w:bCs/>
        <w:noProof/>
      </w:rPr>
      <w:t>18</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5C79" w:rsidP="00066B31" w:rsidRDefault="00A55C79" w14:paraId="59EFEBC0" w14:textId="77777777">
      <w:pPr>
        <w:spacing w:after="0" w:line="240" w:lineRule="auto"/>
      </w:pPr>
      <w:r>
        <w:separator/>
      </w:r>
    </w:p>
  </w:footnote>
  <w:footnote w:type="continuationSeparator" w:id="0">
    <w:p w:rsidR="00A55C79" w:rsidP="00066B31" w:rsidRDefault="00A55C79" w14:paraId="3C21DC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000000"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000000"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11AF2492">
                <w:pPr>
                  <w:pStyle w:val="Encabezado"/>
                </w:pPr>
                <w:r w:rsidRPr="008C644E">
                  <w:rPr>
                    <w:lang w:val="es-MX"/>
                  </w:rPr>
                  <w:t>Ayuntamiento</w:t>
                </w:r>
                <w:r>
                  <w:rPr>
                    <w:lang w:val="es-MX"/>
                  </w:rPr>
                  <w:t xml:space="preserve"> de</w:t>
                </w:r>
                <w:r w:rsidRPr="008C644E">
                  <w:rPr>
                    <w:lang w:val="es-MX"/>
                  </w:rPr>
                  <w:t xml:space="preserve"> </w:t>
                </w:r>
                <w:r w:rsidR="00985E40">
                  <w:rPr>
                    <w:lang w:val="es-MX"/>
                  </w:rPr>
                  <w:t>Tezoyuca</w:t>
                </w:r>
              </w:p>
            </w:tc>
            <w:tc>
              <w:tcPr>
                <w:tcW w:w="3402" w:type="dxa"/>
              </w:tcPr>
              <w:p w:rsidRPr="008C644E" w:rsidR="008C644E" w:rsidP="008C644E" w:rsidRDefault="00000000"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000000" w14:paraId="210A329D" w14:textId="77777777">
                <w:pPr>
                  <w:pStyle w:val="Encabezado"/>
                </w:pPr>
              </w:p>
            </w:tc>
          </w:tr>
        </w:tbl>
        <w:p w:rsidRPr="008C644E" w:rsidR="008C644E" w:rsidP="008C644E" w:rsidRDefault="00000000" w14:paraId="1FBF3105" w14:textId="77777777">
          <w:pPr>
            <w:pStyle w:val="Encabezado"/>
            <w:rPr>
              <w:b/>
            </w:rPr>
          </w:pPr>
        </w:p>
      </w:tc>
    </w:tr>
  </w:tbl>
  <w:p w:rsidR="008C644E" w:rsidRDefault="00000000"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000000"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000000" w14:paraId="192B639C" w14:textId="77777777"/>
        <w:tbl>
          <w:tblPr>
            <w:tblStyle w:val="Tablaconcuadrcula"/>
            <w:tblW w:w="9220" w:type="dxa"/>
            <w:tblInd w:w="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7438A1"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6"/>
                <w:r>
                  <w:rPr>
                    <w:rFonts w:eastAsia="Calibri" w:cs="Tahoma"/>
                    <w:b/>
                  </w:rPr>
                  <w:t>Recurso de Revisión:</w:t>
                </w:r>
              </w:p>
            </w:tc>
            <w:tc>
              <w:tcPr>
                <w:tcW w:w="3259" w:type="dxa"/>
                <w:hideMark/>
              </w:tcPr>
              <w:p w:rsidR="008C644E" w:rsidP="008C644E" w:rsidRDefault="007438A1" w14:paraId="79D1E809" w14:textId="2866D6B2">
                <w:pPr>
                  <w:tabs>
                    <w:tab w:val="right" w:pos="8838"/>
                  </w:tabs>
                  <w:ind w:left="-74" w:right="-105"/>
                  <w:rPr>
                    <w:rFonts w:eastAsia="Calibri" w:cs="Tahoma"/>
                    <w:bCs/>
                  </w:rPr>
                </w:pPr>
                <w:r w:rsidRPr="007438A1">
                  <w:t>11441/INFOEM/IP/RR/2022</w:t>
                </w:r>
              </w:p>
            </w:tc>
            <w:tc>
              <w:tcPr>
                <w:tcW w:w="3402" w:type="dxa"/>
              </w:tcPr>
              <w:p w:rsidR="008C644E" w:rsidP="008C644E" w:rsidRDefault="00000000" w14:paraId="04BF926A" w14:textId="77777777">
                <w:pPr>
                  <w:tabs>
                    <w:tab w:val="right" w:pos="8838"/>
                  </w:tabs>
                  <w:ind w:left="-74" w:right="-105"/>
                  <w:rPr>
                    <w:rFonts w:eastAsia="Calibri" w:cs="Tahoma"/>
                    <w:bCs/>
                  </w:rPr>
                </w:pPr>
              </w:p>
            </w:tc>
            <w:bookmarkEnd w:id="6"/>
          </w:tr>
          <w:tr w:rsidR="008C644E" w:rsidTr="007438A1"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5A705D" w14:paraId="2C6EC5FD" w14:textId="5051659F">
                <w:pPr>
                  <w:tabs>
                    <w:tab w:val="left" w:pos="2834"/>
                    <w:tab w:val="right" w:pos="8838"/>
                  </w:tabs>
                  <w:ind w:left="-74" w:right="-105"/>
                  <w:rPr>
                    <w:rFonts w:eastAsia="Calibri" w:cs="Tahoma"/>
                  </w:rPr>
                </w:pPr>
                <w:r>
                  <w:rPr>
                    <w:rFonts w:eastAsia="Calibri" w:cs="Tahoma"/>
                    <w:lang w:val="es-MX"/>
                  </w:rPr>
                  <w:t>Ayuntamiento de Texcalyacac</w:t>
                </w:r>
              </w:p>
            </w:tc>
            <w:tc>
              <w:tcPr>
                <w:tcW w:w="3402" w:type="dxa"/>
              </w:tcPr>
              <w:p w:rsidR="008C644E" w:rsidP="008C644E" w:rsidRDefault="00000000" w14:paraId="30AE58B9" w14:textId="77777777">
                <w:pPr>
                  <w:tabs>
                    <w:tab w:val="left" w:pos="2834"/>
                    <w:tab w:val="right" w:pos="8838"/>
                  </w:tabs>
                  <w:ind w:left="-74" w:right="-105"/>
                  <w:rPr>
                    <w:rFonts w:eastAsia="Calibri" w:cs="Tahoma"/>
                  </w:rPr>
                </w:pPr>
              </w:p>
            </w:tc>
          </w:tr>
          <w:tr w:rsidR="008C644E" w:rsidTr="007438A1"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000000" w14:paraId="5A0D5601" w14:textId="77777777">
                <w:pPr>
                  <w:tabs>
                    <w:tab w:val="right" w:pos="8838"/>
                  </w:tabs>
                  <w:ind w:left="-74" w:right="-105"/>
                  <w:rPr>
                    <w:rFonts w:eastAsia="Calibri" w:cs="Tahoma"/>
                  </w:rPr>
                </w:pPr>
              </w:p>
            </w:tc>
          </w:tr>
        </w:tbl>
        <w:p w:rsidR="008C644E" w:rsidP="008C644E" w:rsidRDefault="00000000" w14:paraId="14C1172F" w14:textId="77777777">
          <w:pPr>
            <w:tabs>
              <w:tab w:val="right" w:pos="8838"/>
            </w:tabs>
            <w:spacing w:line="256" w:lineRule="auto"/>
            <w:ind w:left="-28"/>
            <w:rPr>
              <w:rFonts w:ascii="Arial" w:hAnsi="Arial" w:eastAsia="Calibri" w:cs="Arial"/>
              <w:b/>
            </w:rPr>
          </w:pPr>
        </w:p>
      </w:tc>
    </w:tr>
  </w:tbl>
  <w:p w:rsidR="008C644E" w:rsidRDefault="00000000"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6F69D81D" w14:paraId="7C3509A9" w14:textId="77777777">
      <w:trPr>
        <w:trHeight w:val="1435"/>
      </w:trPr>
      <w:tc>
        <w:tcPr>
          <w:tcW w:w="2127" w:type="dxa"/>
          <w:tcMar/>
        </w:tcPr>
        <w:p w:rsidRPr="008C644E" w:rsidR="008C644E" w:rsidP="008C644E" w:rsidRDefault="00000000" w14:paraId="7A9E3827" w14:textId="77777777">
          <w:pPr>
            <w:pStyle w:val="Encabezado"/>
          </w:pPr>
        </w:p>
      </w:tc>
      <w:tc>
        <w:tcPr>
          <w:tcW w:w="7512" w:type="dxa"/>
          <w:tcMar/>
          <w:hideMark/>
        </w:tcPr>
        <w:tbl>
          <w:tblPr>
            <w:tblStyle w:val="Tablaconcuadrcula"/>
            <w:tblW w:w="12899" w:type="dxa"/>
            <w:tblInd w:w="11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536"/>
            <w:gridCol w:w="3402"/>
            <w:gridCol w:w="3402"/>
          </w:tblGrid>
          <w:tr w:rsidRPr="008C644E" w:rsidR="003F2F0B" w:rsidTr="6F69D81D" w14:paraId="1551C454" w14:textId="77777777">
            <w:trPr>
              <w:trHeight w:val="144"/>
            </w:trPr>
            <w:tc>
              <w:tcPr>
                <w:tcW w:w="2559" w:type="dxa"/>
                <w:tcMar/>
                <w:hideMark/>
              </w:tcPr>
              <w:p w:rsidRPr="008C644E" w:rsidR="003F2F0B" w:rsidP="007438A1" w:rsidRDefault="001D2F08" w14:paraId="189E74D1" w14:textId="77777777">
                <w:pPr>
                  <w:pStyle w:val="Encabezado"/>
                  <w:rPr>
                    <w:b/>
                  </w:rPr>
                </w:pPr>
                <w:r w:rsidRPr="008C644E">
                  <w:rPr>
                    <w:b/>
                  </w:rPr>
                  <w:t>Recurso de Revisión:</w:t>
                </w:r>
              </w:p>
            </w:tc>
            <w:tc>
              <w:tcPr>
                <w:tcW w:w="3536" w:type="dxa"/>
                <w:tcMar/>
                <w:hideMark/>
              </w:tcPr>
              <w:p w:rsidRPr="00AC018A" w:rsidR="003F2F0B" w:rsidP="007438A1" w:rsidRDefault="007438A1" w14:paraId="11F4479A" w14:textId="1A1661FF">
                <w:pPr>
                  <w:pStyle w:val="Encabezado"/>
                </w:pPr>
                <w:r w:rsidRPr="007438A1">
                  <w:rPr>
                    <w:color w:val="000000"/>
                  </w:rPr>
                  <w:t>11441/INFOEM/IP/RR/2022</w:t>
                </w:r>
              </w:p>
            </w:tc>
            <w:tc>
              <w:tcPr>
                <w:tcW w:w="3402" w:type="dxa"/>
                <w:tcMar/>
              </w:tcPr>
              <w:p w:rsidRPr="008C644E" w:rsidR="003F2F0B" w:rsidP="008C644E" w:rsidRDefault="00000000" w14:paraId="636B91F8" w14:textId="77777777">
                <w:pPr>
                  <w:pStyle w:val="Encabezado"/>
                  <w:rPr>
                    <w:bCs/>
                  </w:rPr>
                </w:pPr>
              </w:p>
            </w:tc>
            <w:tc>
              <w:tcPr>
                <w:tcW w:w="3402" w:type="dxa"/>
                <w:tcMar/>
              </w:tcPr>
              <w:p w:rsidRPr="008C644E" w:rsidR="003F2F0B" w:rsidP="008C644E" w:rsidRDefault="00000000" w14:paraId="30CBCBAF" w14:textId="77777777">
                <w:pPr>
                  <w:pStyle w:val="Encabezado"/>
                  <w:rPr>
                    <w:bCs/>
                  </w:rPr>
                </w:pPr>
              </w:p>
            </w:tc>
          </w:tr>
          <w:tr w:rsidRPr="008C644E" w:rsidR="003F2F0B" w:rsidTr="6F69D81D" w14:paraId="61DAE09E" w14:textId="77777777">
            <w:trPr>
              <w:trHeight w:val="144"/>
            </w:trPr>
            <w:tc>
              <w:tcPr>
                <w:tcW w:w="2559" w:type="dxa"/>
                <w:tcMar/>
                <w:hideMark/>
              </w:tcPr>
              <w:p w:rsidRPr="008C644E" w:rsidR="003F2F0B" w:rsidP="007438A1" w:rsidRDefault="001D2F08" w14:paraId="7CE5967D" w14:textId="77777777">
                <w:pPr>
                  <w:pStyle w:val="Encabezado"/>
                  <w:rPr>
                    <w:b/>
                  </w:rPr>
                </w:pPr>
                <w:r w:rsidRPr="008C644E">
                  <w:rPr>
                    <w:b/>
                  </w:rPr>
                  <w:t>Recurrente:</w:t>
                </w:r>
              </w:p>
            </w:tc>
            <w:tc>
              <w:tcPr>
                <w:tcW w:w="3536" w:type="dxa"/>
                <w:tcMar/>
              </w:tcPr>
              <w:p w:rsidRPr="008C644E" w:rsidR="003F2F0B" w:rsidP="007438A1" w:rsidRDefault="005A705D" w14:paraId="0ECB40A9" w14:textId="1AEAF74E">
                <w:pPr>
                  <w:pStyle w:val="Encabezado"/>
                </w:pPr>
                <w:r w:rsidRPr="6F69D81D" w:rsidR="6F69D81D">
                  <w:rPr>
                    <w:highlight w:val="black"/>
                  </w:rPr>
                  <w:t>XXXXXXXXXXXXXXX</w:t>
                </w:r>
              </w:p>
            </w:tc>
            <w:tc>
              <w:tcPr>
                <w:tcW w:w="3402" w:type="dxa"/>
                <w:tcMar/>
              </w:tcPr>
              <w:p w:rsidRPr="008C644E" w:rsidR="003F2F0B" w:rsidP="008C644E" w:rsidRDefault="00000000" w14:paraId="267C41A1" w14:textId="77777777">
                <w:pPr>
                  <w:pStyle w:val="Encabezado"/>
                </w:pPr>
              </w:p>
            </w:tc>
            <w:tc>
              <w:tcPr>
                <w:tcW w:w="3402" w:type="dxa"/>
                <w:tcMar/>
              </w:tcPr>
              <w:p w:rsidRPr="008C644E" w:rsidR="003F2F0B" w:rsidP="008C644E" w:rsidRDefault="00000000" w14:paraId="07EE73BD" w14:textId="77777777">
                <w:pPr>
                  <w:pStyle w:val="Encabezado"/>
                </w:pPr>
              </w:p>
            </w:tc>
          </w:tr>
          <w:tr w:rsidRPr="008C644E" w:rsidR="003F2F0B" w:rsidTr="6F69D81D" w14:paraId="7C378614" w14:textId="77777777">
            <w:trPr>
              <w:trHeight w:val="283"/>
            </w:trPr>
            <w:tc>
              <w:tcPr>
                <w:tcW w:w="2559" w:type="dxa"/>
                <w:tcMar/>
                <w:hideMark/>
              </w:tcPr>
              <w:p w:rsidRPr="008C644E" w:rsidR="003F2F0B" w:rsidP="007438A1" w:rsidRDefault="001D2F08" w14:paraId="24E7E7C4" w14:textId="77777777">
                <w:pPr>
                  <w:pStyle w:val="Encabezado"/>
                  <w:rPr>
                    <w:b/>
                  </w:rPr>
                </w:pPr>
                <w:r w:rsidRPr="008C644E">
                  <w:rPr>
                    <w:b/>
                  </w:rPr>
                  <w:t>Sujeto Obligado:</w:t>
                </w:r>
              </w:p>
            </w:tc>
            <w:tc>
              <w:tcPr>
                <w:tcW w:w="3536" w:type="dxa"/>
                <w:tcMar/>
                <w:hideMark/>
              </w:tcPr>
              <w:p w:rsidRPr="008C644E" w:rsidR="003F2F0B" w:rsidP="007438A1" w:rsidRDefault="005A705D" w14:paraId="6FB2FFED" w14:textId="6E612BCD">
                <w:pPr>
                  <w:pStyle w:val="Encabezado"/>
                </w:pPr>
                <w:r>
                  <w:rPr>
                    <w:lang w:val="es-MX"/>
                  </w:rPr>
                  <w:t>Ayuntamiento de Texcalyacac</w:t>
                </w:r>
              </w:p>
            </w:tc>
            <w:tc>
              <w:tcPr>
                <w:tcW w:w="3402" w:type="dxa"/>
                <w:tcMar/>
              </w:tcPr>
              <w:p w:rsidRPr="008C644E" w:rsidR="003F2F0B" w:rsidP="008C644E" w:rsidRDefault="00000000" w14:paraId="41110A01" w14:textId="77777777">
                <w:pPr>
                  <w:pStyle w:val="Encabezado"/>
                </w:pPr>
              </w:p>
            </w:tc>
            <w:tc>
              <w:tcPr>
                <w:tcW w:w="3402" w:type="dxa"/>
                <w:tcMar/>
              </w:tcPr>
              <w:p w:rsidRPr="008C644E" w:rsidR="003F2F0B" w:rsidP="008C644E" w:rsidRDefault="00000000" w14:paraId="45B99936" w14:textId="77777777">
                <w:pPr>
                  <w:pStyle w:val="Encabezado"/>
                </w:pPr>
              </w:p>
            </w:tc>
          </w:tr>
          <w:tr w:rsidRPr="008C644E" w:rsidR="003F2F0B" w:rsidTr="6F69D81D" w14:paraId="439AC6E2" w14:textId="77777777">
            <w:trPr>
              <w:trHeight w:val="283"/>
            </w:trPr>
            <w:tc>
              <w:tcPr>
                <w:tcW w:w="2559" w:type="dxa"/>
                <w:tcMar/>
                <w:hideMark/>
              </w:tcPr>
              <w:p w:rsidRPr="008C644E" w:rsidR="003F2F0B" w:rsidP="007438A1" w:rsidRDefault="001D2F08" w14:paraId="791FA8D2" w14:textId="77777777">
                <w:pPr>
                  <w:pStyle w:val="Encabezado"/>
                  <w:rPr>
                    <w:b/>
                  </w:rPr>
                </w:pPr>
                <w:r w:rsidRPr="008C644E">
                  <w:rPr>
                    <w:b/>
                  </w:rPr>
                  <w:t xml:space="preserve">Comisionado Ponente: </w:t>
                </w:r>
              </w:p>
            </w:tc>
            <w:tc>
              <w:tcPr>
                <w:tcW w:w="3536" w:type="dxa"/>
                <w:tcMar/>
                <w:hideMark/>
              </w:tcPr>
              <w:p w:rsidRPr="008C644E" w:rsidR="003F2F0B" w:rsidP="007438A1" w:rsidRDefault="001D2F08" w14:paraId="4E9C6E5C" w14:textId="77777777">
                <w:pPr>
                  <w:pStyle w:val="Encabezado"/>
                  <w:rPr>
                    <w:b/>
                  </w:rPr>
                </w:pPr>
                <w:r w:rsidRPr="008C644E">
                  <w:t>Luis Gustavo Parra Noriega</w:t>
                </w:r>
              </w:p>
            </w:tc>
            <w:tc>
              <w:tcPr>
                <w:tcW w:w="3402" w:type="dxa"/>
                <w:tcMar/>
              </w:tcPr>
              <w:p w:rsidRPr="008C644E" w:rsidR="003F2F0B" w:rsidP="008C644E" w:rsidRDefault="00000000" w14:paraId="624292D1" w14:textId="77777777">
                <w:pPr>
                  <w:pStyle w:val="Encabezado"/>
                </w:pPr>
              </w:p>
            </w:tc>
            <w:tc>
              <w:tcPr>
                <w:tcW w:w="3402" w:type="dxa"/>
                <w:tcMar/>
              </w:tcPr>
              <w:p w:rsidRPr="008C644E" w:rsidR="003F2F0B" w:rsidP="008C644E" w:rsidRDefault="00000000" w14:paraId="2F073C23" w14:textId="77777777">
                <w:pPr>
                  <w:pStyle w:val="Encabezado"/>
                </w:pPr>
              </w:p>
            </w:tc>
          </w:tr>
        </w:tbl>
        <w:p w:rsidRPr="008C644E" w:rsidR="008C644E" w:rsidP="008C644E" w:rsidRDefault="00000000" w14:paraId="23CCA079" w14:textId="77777777">
          <w:pPr>
            <w:pStyle w:val="Encabezado"/>
            <w:rPr>
              <w:b/>
            </w:rPr>
          </w:pPr>
        </w:p>
      </w:tc>
    </w:tr>
  </w:tbl>
  <w:p w:rsidR="008C644E" w:rsidRDefault="00000000"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35.5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784F"/>
    <w:multiLevelType w:val="hybridMultilevel"/>
    <w:tmpl w:val="1632F55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1CF385F"/>
    <w:multiLevelType w:val="hybridMultilevel"/>
    <w:tmpl w:val="9E64D05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5" w15:restartNumberingAfterBreak="0">
    <w:nsid w:val="34DC08B9"/>
    <w:multiLevelType w:val="hybridMultilevel"/>
    <w:tmpl w:val="A2C4B1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7A859D6"/>
    <w:multiLevelType w:val="hybridMultilevel"/>
    <w:tmpl w:val="850825A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741293369">
    <w:abstractNumId w:val="3"/>
  </w:num>
  <w:num w:numId="2" w16cid:durableId="1597786684">
    <w:abstractNumId w:val="10"/>
  </w:num>
  <w:num w:numId="3" w16cid:durableId="218711576">
    <w:abstractNumId w:val="1"/>
  </w:num>
  <w:num w:numId="4" w16cid:durableId="2109042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8624422">
    <w:abstractNumId w:val="11"/>
  </w:num>
  <w:num w:numId="6" w16cid:durableId="5017458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3826073">
    <w:abstractNumId w:val="4"/>
  </w:num>
  <w:num w:numId="8" w16cid:durableId="1447695009">
    <w:abstractNumId w:val="6"/>
  </w:num>
  <w:num w:numId="9" w16cid:durableId="1843543043">
    <w:abstractNumId w:val="0"/>
  </w:num>
  <w:num w:numId="10" w16cid:durableId="1533884547">
    <w:abstractNumId w:val="8"/>
  </w:num>
  <w:num w:numId="11" w16cid:durableId="1169754966">
    <w:abstractNumId w:val="5"/>
  </w:num>
  <w:num w:numId="12" w16cid:durableId="447286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425891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37914"/>
    <w:rsid w:val="00043C41"/>
    <w:rsid w:val="00046320"/>
    <w:rsid w:val="00062470"/>
    <w:rsid w:val="00066B31"/>
    <w:rsid w:val="00067D1B"/>
    <w:rsid w:val="00075334"/>
    <w:rsid w:val="00085698"/>
    <w:rsid w:val="000B12BC"/>
    <w:rsid w:val="000C6862"/>
    <w:rsid w:val="000E1C0A"/>
    <w:rsid w:val="000F62E2"/>
    <w:rsid w:val="001004BB"/>
    <w:rsid w:val="00117E3C"/>
    <w:rsid w:val="00134D79"/>
    <w:rsid w:val="001443E6"/>
    <w:rsid w:val="00156D9E"/>
    <w:rsid w:val="001577CA"/>
    <w:rsid w:val="001579B1"/>
    <w:rsid w:val="0017521E"/>
    <w:rsid w:val="00184934"/>
    <w:rsid w:val="00195757"/>
    <w:rsid w:val="001A5045"/>
    <w:rsid w:val="001A7452"/>
    <w:rsid w:val="001B6ECC"/>
    <w:rsid w:val="001C10AC"/>
    <w:rsid w:val="001C4991"/>
    <w:rsid w:val="001C70D9"/>
    <w:rsid w:val="001D2F08"/>
    <w:rsid w:val="001E12EE"/>
    <w:rsid w:val="001F5EEB"/>
    <w:rsid w:val="001F62F3"/>
    <w:rsid w:val="001F7D27"/>
    <w:rsid w:val="002128C8"/>
    <w:rsid w:val="0024120D"/>
    <w:rsid w:val="00245BCA"/>
    <w:rsid w:val="00245F82"/>
    <w:rsid w:val="002609B4"/>
    <w:rsid w:val="002648DF"/>
    <w:rsid w:val="0027112B"/>
    <w:rsid w:val="002A10BA"/>
    <w:rsid w:val="002C77CA"/>
    <w:rsid w:val="002D10E0"/>
    <w:rsid w:val="002D5F76"/>
    <w:rsid w:val="002E21C8"/>
    <w:rsid w:val="002F321B"/>
    <w:rsid w:val="0031422C"/>
    <w:rsid w:val="0032668E"/>
    <w:rsid w:val="00364068"/>
    <w:rsid w:val="00386C97"/>
    <w:rsid w:val="003B1418"/>
    <w:rsid w:val="003C31A0"/>
    <w:rsid w:val="003E17DD"/>
    <w:rsid w:val="003E2E42"/>
    <w:rsid w:val="003F3B06"/>
    <w:rsid w:val="003F3F81"/>
    <w:rsid w:val="0040526C"/>
    <w:rsid w:val="00407871"/>
    <w:rsid w:val="004161A2"/>
    <w:rsid w:val="0043086A"/>
    <w:rsid w:val="00446BCA"/>
    <w:rsid w:val="00456635"/>
    <w:rsid w:val="004730F1"/>
    <w:rsid w:val="00480903"/>
    <w:rsid w:val="00481490"/>
    <w:rsid w:val="004823D7"/>
    <w:rsid w:val="00482EFD"/>
    <w:rsid w:val="004832D6"/>
    <w:rsid w:val="0048610B"/>
    <w:rsid w:val="004907A4"/>
    <w:rsid w:val="00497692"/>
    <w:rsid w:val="00497C8F"/>
    <w:rsid w:val="004B3C2B"/>
    <w:rsid w:val="004D3E35"/>
    <w:rsid w:val="004E2C2D"/>
    <w:rsid w:val="005027D8"/>
    <w:rsid w:val="00514645"/>
    <w:rsid w:val="00544546"/>
    <w:rsid w:val="005447DD"/>
    <w:rsid w:val="00547807"/>
    <w:rsid w:val="00564652"/>
    <w:rsid w:val="00576074"/>
    <w:rsid w:val="00585018"/>
    <w:rsid w:val="00596BCF"/>
    <w:rsid w:val="005A3F30"/>
    <w:rsid w:val="005A705D"/>
    <w:rsid w:val="005D5EBF"/>
    <w:rsid w:val="005D6213"/>
    <w:rsid w:val="005F3D9F"/>
    <w:rsid w:val="00610C0E"/>
    <w:rsid w:val="00613C98"/>
    <w:rsid w:val="00623867"/>
    <w:rsid w:val="00643079"/>
    <w:rsid w:val="00655443"/>
    <w:rsid w:val="006559F2"/>
    <w:rsid w:val="006710D3"/>
    <w:rsid w:val="00672F00"/>
    <w:rsid w:val="00676D85"/>
    <w:rsid w:val="00684F08"/>
    <w:rsid w:val="006940FB"/>
    <w:rsid w:val="006A635A"/>
    <w:rsid w:val="006A6F5E"/>
    <w:rsid w:val="006B2B29"/>
    <w:rsid w:val="006B6642"/>
    <w:rsid w:val="006C2A6E"/>
    <w:rsid w:val="006C7AAE"/>
    <w:rsid w:val="006D7674"/>
    <w:rsid w:val="00725283"/>
    <w:rsid w:val="0072736D"/>
    <w:rsid w:val="00730A1A"/>
    <w:rsid w:val="007438A1"/>
    <w:rsid w:val="00746092"/>
    <w:rsid w:val="00756C7F"/>
    <w:rsid w:val="007636BA"/>
    <w:rsid w:val="00786BB8"/>
    <w:rsid w:val="007944F9"/>
    <w:rsid w:val="00797E95"/>
    <w:rsid w:val="007A23DF"/>
    <w:rsid w:val="007A6CC7"/>
    <w:rsid w:val="007D0449"/>
    <w:rsid w:val="00806C05"/>
    <w:rsid w:val="00810E77"/>
    <w:rsid w:val="00812FEA"/>
    <w:rsid w:val="0081647F"/>
    <w:rsid w:val="00844830"/>
    <w:rsid w:val="008449DD"/>
    <w:rsid w:val="00880564"/>
    <w:rsid w:val="00886AAA"/>
    <w:rsid w:val="00890086"/>
    <w:rsid w:val="008A27FD"/>
    <w:rsid w:val="008A386D"/>
    <w:rsid w:val="008A4B29"/>
    <w:rsid w:val="008B1873"/>
    <w:rsid w:val="008B3837"/>
    <w:rsid w:val="008B3C4E"/>
    <w:rsid w:val="008C23E3"/>
    <w:rsid w:val="008D5408"/>
    <w:rsid w:val="008E1F82"/>
    <w:rsid w:val="009060F7"/>
    <w:rsid w:val="00912D29"/>
    <w:rsid w:val="009325F6"/>
    <w:rsid w:val="00957133"/>
    <w:rsid w:val="00957B55"/>
    <w:rsid w:val="00970BAD"/>
    <w:rsid w:val="00972568"/>
    <w:rsid w:val="00975497"/>
    <w:rsid w:val="00984A9C"/>
    <w:rsid w:val="00985E40"/>
    <w:rsid w:val="009A2169"/>
    <w:rsid w:val="009A6AA7"/>
    <w:rsid w:val="009C210A"/>
    <w:rsid w:val="009C3EFA"/>
    <w:rsid w:val="009E22E8"/>
    <w:rsid w:val="00A0672F"/>
    <w:rsid w:val="00A07373"/>
    <w:rsid w:val="00A158AB"/>
    <w:rsid w:val="00A2185E"/>
    <w:rsid w:val="00A2644F"/>
    <w:rsid w:val="00A463E5"/>
    <w:rsid w:val="00A47A01"/>
    <w:rsid w:val="00A47EB9"/>
    <w:rsid w:val="00A55C79"/>
    <w:rsid w:val="00A61518"/>
    <w:rsid w:val="00A615C8"/>
    <w:rsid w:val="00A63C7D"/>
    <w:rsid w:val="00A70E4E"/>
    <w:rsid w:val="00A730D8"/>
    <w:rsid w:val="00A80686"/>
    <w:rsid w:val="00A8070B"/>
    <w:rsid w:val="00A91161"/>
    <w:rsid w:val="00A94C96"/>
    <w:rsid w:val="00AD4550"/>
    <w:rsid w:val="00AE0905"/>
    <w:rsid w:val="00AF2044"/>
    <w:rsid w:val="00B11EB5"/>
    <w:rsid w:val="00B11F59"/>
    <w:rsid w:val="00B17AC1"/>
    <w:rsid w:val="00B2307A"/>
    <w:rsid w:val="00B2722D"/>
    <w:rsid w:val="00B44AA0"/>
    <w:rsid w:val="00B5786A"/>
    <w:rsid w:val="00B7023A"/>
    <w:rsid w:val="00B904A1"/>
    <w:rsid w:val="00B91C3F"/>
    <w:rsid w:val="00BB0E7F"/>
    <w:rsid w:val="00BB52A9"/>
    <w:rsid w:val="00BD6C52"/>
    <w:rsid w:val="00BE69C6"/>
    <w:rsid w:val="00C0148B"/>
    <w:rsid w:val="00C20AC6"/>
    <w:rsid w:val="00C2316D"/>
    <w:rsid w:val="00C30B5F"/>
    <w:rsid w:val="00C32648"/>
    <w:rsid w:val="00C32FC1"/>
    <w:rsid w:val="00C440EE"/>
    <w:rsid w:val="00C56DF1"/>
    <w:rsid w:val="00C76478"/>
    <w:rsid w:val="00C8149E"/>
    <w:rsid w:val="00C91AFD"/>
    <w:rsid w:val="00C97744"/>
    <w:rsid w:val="00CA1616"/>
    <w:rsid w:val="00CC520F"/>
    <w:rsid w:val="00D23D83"/>
    <w:rsid w:val="00D40B9F"/>
    <w:rsid w:val="00D56577"/>
    <w:rsid w:val="00D658A9"/>
    <w:rsid w:val="00D71437"/>
    <w:rsid w:val="00DC0BAB"/>
    <w:rsid w:val="00DC411A"/>
    <w:rsid w:val="00DD6ABE"/>
    <w:rsid w:val="00DF3B64"/>
    <w:rsid w:val="00DF5DB2"/>
    <w:rsid w:val="00DF6F08"/>
    <w:rsid w:val="00E10673"/>
    <w:rsid w:val="00E11DED"/>
    <w:rsid w:val="00E17462"/>
    <w:rsid w:val="00E27D8C"/>
    <w:rsid w:val="00E32882"/>
    <w:rsid w:val="00E439ED"/>
    <w:rsid w:val="00E4610A"/>
    <w:rsid w:val="00E67093"/>
    <w:rsid w:val="00E95F22"/>
    <w:rsid w:val="00EA3060"/>
    <w:rsid w:val="00EA5F1D"/>
    <w:rsid w:val="00ED7E78"/>
    <w:rsid w:val="00EE0DDB"/>
    <w:rsid w:val="00EF2ACF"/>
    <w:rsid w:val="00EF5D50"/>
    <w:rsid w:val="00EF7E63"/>
    <w:rsid w:val="00F14AA6"/>
    <w:rsid w:val="00F263D2"/>
    <w:rsid w:val="00F50A74"/>
    <w:rsid w:val="00F54281"/>
    <w:rsid w:val="00F55B7E"/>
    <w:rsid w:val="00F616A1"/>
    <w:rsid w:val="00F70FD8"/>
    <w:rsid w:val="00F86ACE"/>
    <w:rsid w:val="00FA05AF"/>
    <w:rsid w:val="00FA383B"/>
    <w:rsid w:val="00FA46A1"/>
    <w:rsid w:val="00FB4093"/>
    <w:rsid w:val="00FB4AE8"/>
    <w:rsid w:val="00FC41CE"/>
    <w:rsid w:val="00FC6C9A"/>
    <w:rsid w:val="00FD0A8F"/>
    <w:rsid w:val="00FD6E9F"/>
    <w:rsid w:val="00FE0ADD"/>
    <w:rsid w:val="00FE24DD"/>
    <w:rsid w:val="6F69D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3E35"/>
    <w:pPr>
      <w:jc w:val="both"/>
    </w:pPr>
    <w:rPr>
      <w:rFonts w:ascii="Palatino Linotype" w:hAnsi="Palatino Linotype"/>
      <w:color w:val="000000" w:themeColor="text1"/>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unhideWhenUsed/>
    <w:rsid w:val="00C8149E"/>
    <w:pPr>
      <w:spacing w:line="256" w:lineRule="auto"/>
    </w:pPr>
    <w:rPr>
      <w:rFonts w:ascii="Times New Roman" w:hAnsi="Times New Roman" w:cs="Times New Roman"/>
      <w:sz w:val="24"/>
      <w:szCs w:val="24"/>
    </w:rPr>
  </w:style>
  <w:style w:type="character" w:styleId="normaltextrun" w:customStyle="1">
    <w:name w:val="normaltextrun"/>
    <w:basedOn w:val="Fuentedeprrafopredeter"/>
    <w:rsid w:val="00810E77"/>
  </w:style>
  <w:style w:type="character" w:styleId="eop" w:customStyle="1">
    <w:name w:val="eop"/>
    <w:basedOn w:val="Fuentedeprrafopredeter"/>
    <w:rsid w:val="0081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65885824">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59263198">
      <w:bodyDiv w:val="1"/>
      <w:marLeft w:val="0"/>
      <w:marRight w:val="0"/>
      <w:marTop w:val="0"/>
      <w:marBottom w:val="0"/>
      <w:divBdr>
        <w:top w:val="none" w:sz="0" w:space="0" w:color="auto"/>
        <w:left w:val="none" w:sz="0" w:space="0" w:color="auto"/>
        <w:bottom w:val="none" w:sz="0" w:space="0" w:color="auto"/>
        <w:right w:val="none" w:sz="0" w:space="0" w:color="auto"/>
      </w:divBdr>
    </w:div>
    <w:div w:id="323628964">
      <w:bodyDiv w:val="1"/>
      <w:marLeft w:val="0"/>
      <w:marRight w:val="0"/>
      <w:marTop w:val="0"/>
      <w:marBottom w:val="0"/>
      <w:divBdr>
        <w:top w:val="none" w:sz="0" w:space="0" w:color="auto"/>
        <w:left w:val="none" w:sz="0" w:space="0" w:color="auto"/>
        <w:bottom w:val="none" w:sz="0" w:space="0" w:color="auto"/>
        <w:right w:val="none" w:sz="0" w:space="0" w:color="auto"/>
      </w:divBdr>
    </w:div>
    <w:div w:id="330521772">
      <w:bodyDiv w:val="1"/>
      <w:marLeft w:val="0"/>
      <w:marRight w:val="0"/>
      <w:marTop w:val="0"/>
      <w:marBottom w:val="0"/>
      <w:divBdr>
        <w:top w:val="none" w:sz="0" w:space="0" w:color="auto"/>
        <w:left w:val="none" w:sz="0" w:space="0" w:color="auto"/>
        <w:bottom w:val="none" w:sz="0" w:space="0" w:color="auto"/>
        <w:right w:val="none" w:sz="0" w:space="0" w:color="auto"/>
      </w:divBdr>
    </w:div>
    <w:div w:id="402797212">
      <w:bodyDiv w:val="1"/>
      <w:marLeft w:val="0"/>
      <w:marRight w:val="0"/>
      <w:marTop w:val="0"/>
      <w:marBottom w:val="0"/>
      <w:divBdr>
        <w:top w:val="none" w:sz="0" w:space="0" w:color="auto"/>
        <w:left w:val="none" w:sz="0" w:space="0" w:color="auto"/>
        <w:bottom w:val="none" w:sz="0" w:space="0" w:color="auto"/>
        <w:right w:val="none" w:sz="0" w:space="0" w:color="auto"/>
      </w:divBdr>
    </w:div>
    <w:div w:id="492448525">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587077372">
      <w:bodyDiv w:val="1"/>
      <w:marLeft w:val="0"/>
      <w:marRight w:val="0"/>
      <w:marTop w:val="0"/>
      <w:marBottom w:val="0"/>
      <w:divBdr>
        <w:top w:val="none" w:sz="0" w:space="0" w:color="auto"/>
        <w:left w:val="none" w:sz="0" w:space="0" w:color="auto"/>
        <w:bottom w:val="none" w:sz="0" w:space="0" w:color="auto"/>
        <w:right w:val="none" w:sz="0" w:space="0" w:color="auto"/>
      </w:divBdr>
    </w:div>
    <w:div w:id="618529355">
      <w:bodyDiv w:val="1"/>
      <w:marLeft w:val="0"/>
      <w:marRight w:val="0"/>
      <w:marTop w:val="0"/>
      <w:marBottom w:val="0"/>
      <w:divBdr>
        <w:top w:val="none" w:sz="0" w:space="0" w:color="auto"/>
        <w:left w:val="none" w:sz="0" w:space="0" w:color="auto"/>
        <w:bottom w:val="none" w:sz="0" w:space="0" w:color="auto"/>
        <w:right w:val="none" w:sz="0" w:space="0" w:color="auto"/>
      </w:divBdr>
    </w:div>
    <w:div w:id="637225551">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689574042">
      <w:bodyDiv w:val="1"/>
      <w:marLeft w:val="0"/>
      <w:marRight w:val="0"/>
      <w:marTop w:val="0"/>
      <w:marBottom w:val="0"/>
      <w:divBdr>
        <w:top w:val="none" w:sz="0" w:space="0" w:color="auto"/>
        <w:left w:val="none" w:sz="0" w:space="0" w:color="auto"/>
        <w:bottom w:val="none" w:sz="0" w:space="0" w:color="auto"/>
        <w:right w:val="none" w:sz="0" w:space="0" w:color="auto"/>
      </w:divBdr>
    </w:div>
    <w:div w:id="841161007">
      <w:bodyDiv w:val="1"/>
      <w:marLeft w:val="0"/>
      <w:marRight w:val="0"/>
      <w:marTop w:val="0"/>
      <w:marBottom w:val="0"/>
      <w:divBdr>
        <w:top w:val="none" w:sz="0" w:space="0" w:color="auto"/>
        <w:left w:val="none" w:sz="0" w:space="0" w:color="auto"/>
        <w:bottom w:val="none" w:sz="0" w:space="0" w:color="auto"/>
        <w:right w:val="none" w:sz="0" w:space="0" w:color="auto"/>
      </w:divBdr>
    </w:div>
    <w:div w:id="947590116">
      <w:bodyDiv w:val="1"/>
      <w:marLeft w:val="0"/>
      <w:marRight w:val="0"/>
      <w:marTop w:val="0"/>
      <w:marBottom w:val="0"/>
      <w:divBdr>
        <w:top w:val="none" w:sz="0" w:space="0" w:color="auto"/>
        <w:left w:val="none" w:sz="0" w:space="0" w:color="auto"/>
        <w:bottom w:val="none" w:sz="0" w:space="0" w:color="auto"/>
        <w:right w:val="none" w:sz="0" w:space="0" w:color="auto"/>
      </w:divBdr>
    </w:div>
    <w:div w:id="995694508">
      <w:bodyDiv w:val="1"/>
      <w:marLeft w:val="0"/>
      <w:marRight w:val="0"/>
      <w:marTop w:val="0"/>
      <w:marBottom w:val="0"/>
      <w:divBdr>
        <w:top w:val="none" w:sz="0" w:space="0" w:color="auto"/>
        <w:left w:val="none" w:sz="0" w:space="0" w:color="auto"/>
        <w:bottom w:val="none" w:sz="0" w:space="0" w:color="auto"/>
        <w:right w:val="none" w:sz="0" w:space="0" w:color="auto"/>
      </w:divBdr>
    </w:div>
    <w:div w:id="1110008480">
      <w:bodyDiv w:val="1"/>
      <w:marLeft w:val="0"/>
      <w:marRight w:val="0"/>
      <w:marTop w:val="0"/>
      <w:marBottom w:val="0"/>
      <w:divBdr>
        <w:top w:val="none" w:sz="0" w:space="0" w:color="auto"/>
        <w:left w:val="none" w:sz="0" w:space="0" w:color="auto"/>
        <w:bottom w:val="none" w:sz="0" w:space="0" w:color="auto"/>
        <w:right w:val="none" w:sz="0" w:space="0" w:color="auto"/>
      </w:divBdr>
    </w:div>
    <w:div w:id="1158501166">
      <w:bodyDiv w:val="1"/>
      <w:marLeft w:val="0"/>
      <w:marRight w:val="0"/>
      <w:marTop w:val="0"/>
      <w:marBottom w:val="0"/>
      <w:divBdr>
        <w:top w:val="none" w:sz="0" w:space="0" w:color="auto"/>
        <w:left w:val="none" w:sz="0" w:space="0" w:color="auto"/>
        <w:bottom w:val="none" w:sz="0" w:space="0" w:color="auto"/>
        <w:right w:val="none" w:sz="0" w:space="0" w:color="auto"/>
      </w:divBdr>
    </w:div>
    <w:div w:id="1178084764">
      <w:bodyDiv w:val="1"/>
      <w:marLeft w:val="0"/>
      <w:marRight w:val="0"/>
      <w:marTop w:val="0"/>
      <w:marBottom w:val="0"/>
      <w:divBdr>
        <w:top w:val="none" w:sz="0" w:space="0" w:color="auto"/>
        <w:left w:val="none" w:sz="0" w:space="0" w:color="auto"/>
        <w:bottom w:val="none" w:sz="0" w:space="0" w:color="auto"/>
        <w:right w:val="none" w:sz="0" w:space="0" w:color="auto"/>
      </w:divBdr>
    </w:div>
    <w:div w:id="1189686220">
      <w:bodyDiv w:val="1"/>
      <w:marLeft w:val="0"/>
      <w:marRight w:val="0"/>
      <w:marTop w:val="0"/>
      <w:marBottom w:val="0"/>
      <w:divBdr>
        <w:top w:val="none" w:sz="0" w:space="0" w:color="auto"/>
        <w:left w:val="none" w:sz="0" w:space="0" w:color="auto"/>
        <w:bottom w:val="none" w:sz="0" w:space="0" w:color="auto"/>
        <w:right w:val="none" w:sz="0" w:space="0" w:color="auto"/>
      </w:divBdr>
    </w:div>
    <w:div w:id="1270821788">
      <w:bodyDiv w:val="1"/>
      <w:marLeft w:val="0"/>
      <w:marRight w:val="0"/>
      <w:marTop w:val="0"/>
      <w:marBottom w:val="0"/>
      <w:divBdr>
        <w:top w:val="none" w:sz="0" w:space="0" w:color="auto"/>
        <w:left w:val="none" w:sz="0" w:space="0" w:color="auto"/>
        <w:bottom w:val="none" w:sz="0" w:space="0" w:color="auto"/>
        <w:right w:val="none" w:sz="0" w:space="0" w:color="auto"/>
      </w:divBdr>
    </w:div>
    <w:div w:id="1316181000">
      <w:bodyDiv w:val="1"/>
      <w:marLeft w:val="0"/>
      <w:marRight w:val="0"/>
      <w:marTop w:val="0"/>
      <w:marBottom w:val="0"/>
      <w:divBdr>
        <w:top w:val="none" w:sz="0" w:space="0" w:color="auto"/>
        <w:left w:val="none" w:sz="0" w:space="0" w:color="auto"/>
        <w:bottom w:val="none" w:sz="0" w:space="0" w:color="auto"/>
        <w:right w:val="none" w:sz="0" w:space="0" w:color="auto"/>
      </w:divBdr>
    </w:div>
    <w:div w:id="1335836703">
      <w:bodyDiv w:val="1"/>
      <w:marLeft w:val="0"/>
      <w:marRight w:val="0"/>
      <w:marTop w:val="0"/>
      <w:marBottom w:val="0"/>
      <w:divBdr>
        <w:top w:val="none" w:sz="0" w:space="0" w:color="auto"/>
        <w:left w:val="none" w:sz="0" w:space="0" w:color="auto"/>
        <w:bottom w:val="none" w:sz="0" w:space="0" w:color="auto"/>
        <w:right w:val="none" w:sz="0" w:space="0" w:color="auto"/>
      </w:divBdr>
    </w:div>
    <w:div w:id="1365132067">
      <w:bodyDiv w:val="1"/>
      <w:marLeft w:val="0"/>
      <w:marRight w:val="0"/>
      <w:marTop w:val="0"/>
      <w:marBottom w:val="0"/>
      <w:divBdr>
        <w:top w:val="none" w:sz="0" w:space="0" w:color="auto"/>
        <w:left w:val="none" w:sz="0" w:space="0" w:color="auto"/>
        <w:bottom w:val="none" w:sz="0" w:space="0" w:color="auto"/>
        <w:right w:val="none" w:sz="0" w:space="0" w:color="auto"/>
      </w:divBdr>
    </w:div>
    <w:div w:id="1391886216">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21868315">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1975403815">
      <w:bodyDiv w:val="1"/>
      <w:marLeft w:val="0"/>
      <w:marRight w:val="0"/>
      <w:marTop w:val="0"/>
      <w:marBottom w:val="0"/>
      <w:divBdr>
        <w:top w:val="none" w:sz="0" w:space="0" w:color="auto"/>
        <w:left w:val="none" w:sz="0" w:space="0" w:color="auto"/>
        <w:bottom w:val="none" w:sz="0" w:space="0" w:color="auto"/>
        <w:right w:val="none" w:sz="0" w:space="0" w:color="auto"/>
      </w:divBdr>
    </w:div>
    <w:div w:id="2046711869">
      <w:bodyDiv w:val="1"/>
      <w:marLeft w:val="0"/>
      <w:marRight w:val="0"/>
      <w:marTop w:val="0"/>
      <w:marBottom w:val="0"/>
      <w:divBdr>
        <w:top w:val="none" w:sz="0" w:space="0" w:color="auto"/>
        <w:left w:val="none" w:sz="0" w:space="0" w:color="auto"/>
        <w:bottom w:val="none" w:sz="0" w:space="0" w:color="auto"/>
        <w:right w:val="none" w:sz="0" w:space="0" w:color="auto"/>
      </w:divBdr>
    </w:div>
    <w:div w:id="2047177800">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065643878">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887b7a1e85a94488"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0ef6f63-5395-4e6f-a218-0059bef5e08e}"/>
      </w:docPartPr>
      <w:docPartBody>
        <w:p w14:paraId="045B5A9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3</revision>
  <dcterms:created xsi:type="dcterms:W3CDTF">2022-08-25T05:34:00.0000000Z</dcterms:created>
  <dcterms:modified xsi:type="dcterms:W3CDTF">2022-09-08T18:57:33.3881562Z</dcterms:modified>
</coreProperties>
</file>