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915" w:rsidRDefault="007321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b/>
        </w:rPr>
        <w:t>dieciséis de febrero de dos mil veintidós</w:t>
      </w:r>
      <w:r>
        <w:rPr>
          <w:rFonts w:ascii="Palatino Linotype" w:eastAsia="Palatino Linotype" w:hAnsi="Palatino Linotype" w:cs="Palatino Linotype"/>
        </w:rPr>
        <w:t xml:space="preserve">. </w:t>
      </w:r>
    </w:p>
    <w:p w:rsidR="00203915" w:rsidRDefault="007321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06264/INFOEM/IP/RR/2021,</w:t>
      </w:r>
      <w:r>
        <w:rPr>
          <w:rFonts w:ascii="Palatino Linotype" w:eastAsia="Palatino Linotype" w:hAnsi="Palatino Linotype" w:cs="Palatino Linotype"/>
        </w:rPr>
        <w:t xml:space="preserve"> interpuesto por</w:t>
      </w:r>
      <w:r>
        <w:rPr>
          <w:rFonts w:ascii="Palatino Linotype" w:eastAsia="Palatino Linotype" w:hAnsi="Palatino Linotype" w:cs="Palatino Linotype"/>
          <w:b/>
        </w:rPr>
        <w:t xml:space="preserve"> </w:t>
      </w:r>
      <w:r w:rsidR="0009622A" w:rsidRPr="0009622A">
        <w:rPr>
          <w:rFonts w:ascii="Palatino Linotype" w:eastAsia="Palatino Linotype" w:hAnsi="Palatino Linotype" w:cs="Palatino Linotype"/>
          <w:b/>
        </w:rPr>
        <w:t>xxxxxx xxxxxx</w:t>
      </w:r>
      <w:bookmarkStart w:id="0" w:name="_GoBack"/>
      <w:bookmarkEnd w:id="0"/>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el Recurrente, </w:t>
      </w:r>
      <w:r>
        <w:rPr>
          <w:rFonts w:ascii="Palatino Linotype" w:eastAsia="Palatino Linotype" w:hAnsi="Palatino Linotype" w:cs="Palatino Linotype"/>
        </w:rPr>
        <w:t xml:space="preserve">en contra de la respuesta por parte del </w:t>
      </w:r>
      <w:r>
        <w:rPr>
          <w:rFonts w:ascii="Palatino Linotype" w:eastAsia="Palatino Linotype" w:hAnsi="Palatino Linotype" w:cs="Palatino Linotype"/>
          <w:b/>
        </w:rPr>
        <w:t xml:space="preserve">Ayuntamiento de Malinalco,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203915" w:rsidRDefault="00732101">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rsidR="00203915" w:rsidRDefault="0073210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Solicitudes de acceso a la información.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veintinueve de noviembre de dos mil veintiuno,</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la solicitud de acceso a la información pública, a la que se le asignó el número</w:t>
      </w:r>
      <w:r>
        <w:rPr>
          <w:rFonts w:ascii="Palatino Linotype" w:eastAsia="Palatino Linotype" w:hAnsi="Palatino Linotype" w:cs="Palatino Linotype"/>
          <w:b/>
        </w:rPr>
        <w:t xml:space="preserve">  00146/MALINAL/IP/2021, </w:t>
      </w:r>
      <w:r>
        <w:rPr>
          <w:rFonts w:ascii="Palatino Linotype" w:eastAsia="Palatino Linotype" w:hAnsi="Palatino Linotype" w:cs="Palatino Linotype"/>
        </w:rPr>
        <w:t xml:space="preserve">mediante las cuales requirió la información siguiente: </w:t>
      </w:r>
    </w:p>
    <w:p w:rsidR="00203915" w:rsidRDefault="00732101">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“Quisiera que se me proporcionen los contratos de este trienio que tengan que ver con trabajos, productos y/o servicios relacionados con el área de catastro Con todo respeto comento lo siguiente: El contenido de esta solicitud ya se les había mandado anteriormente con folio: 00143/MALINAL/IP/2021. Desgraciadamente no me proporcionaron ningún contrato ya que dicha solicitud fue turnada al departamento de catastro y este me contesto que el área de catastro no tiene la facultad ni de elaborar ni resguardar contratos. De favor pido que esta solicitud de </w:t>
      </w:r>
      <w:r>
        <w:rPr>
          <w:rFonts w:ascii="Palatino Linotype" w:eastAsia="Palatino Linotype" w:hAnsi="Palatino Linotype" w:cs="Palatino Linotype"/>
          <w:i/>
          <w:sz w:val="22"/>
          <w:szCs w:val="22"/>
        </w:rPr>
        <w:lastRenderedPageBreak/>
        <w:t>información sea turnada al área correspondiente, es decir al área encargada de resguardar los contratos (como podría ser sindicatura, jurídico, etc) Gracias” (Sic)</w:t>
      </w:r>
    </w:p>
    <w:p w:rsidR="00203915" w:rsidRDefault="0073210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Archivos adjuntos:</w:t>
      </w:r>
      <w:r>
        <w:rPr>
          <w:rFonts w:ascii="Palatino Linotype" w:eastAsia="Palatino Linotype" w:hAnsi="Palatino Linotype" w:cs="Palatino Linotype"/>
        </w:rPr>
        <w:t xml:space="preserve"> Ninguno</w:t>
      </w:r>
    </w:p>
    <w:p w:rsidR="00203915" w:rsidRDefault="0073210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Modalidad de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b/>
        </w:rPr>
        <w:tab/>
      </w:r>
    </w:p>
    <w:p w:rsidR="00203915" w:rsidRDefault="007321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 En fecha</w:t>
      </w:r>
      <w:r>
        <w:rPr>
          <w:rFonts w:ascii="Palatino Linotype" w:eastAsia="Palatino Linotype" w:hAnsi="Palatino Linotype" w:cs="Palatino Linotype"/>
          <w:b/>
        </w:rPr>
        <w:t xml:space="preserve"> seis de diciembre de dos mil veintiuno</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su respuesta a la solicitud de acceso a la información a través del SAIMEX, sustancialmente en los términos siguientes:   </w:t>
      </w:r>
    </w:p>
    <w:p w:rsidR="00203915" w:rsidRDefault="00732101">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“se anexa informacion proporcionada por servidores publicos mencionados</w:t>
      </w:r>
    </w:p>
    <w:p w:rsidR="00203915" w:rsidRDefault="00732101">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203915" w:rsidRDefault="00732101">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MARCIANO CORTÉS GONZÁLEZ” (Sic)</w:t>
      </w:r>
    </w:p>
    <w:p w:rsidR="00203915" w:rsidRDefault="00D21582">
      <w:pPr>
        <w:spacing w:before="240" w:after="240" w:line="360" w:lineRule="auto"/>
        <w:ind w:left="567" w:right="851"/>
        <w:jc w:val="both"/>
        <w:rPr>
          <w:rFonts w:ascii="Palatino Linotype" w:eastAsia="Palatino Linotype" w:hAnsi="Palatino Linotype" w:cs="Palatino Linotype"/>
        </w:rPr>
      </w:pPr>
      <w:r>
        <w:rPr>
          <w:noProof/>
          <w:lang w:val="es-MX"/>
        </w:rPr>
        <mc:AlternateContent>
          <mc:Choice Requires="wps">
            <w:drawing>
              <wp:anchor distT="0" distB="0" distL="114300" distR="114300" simplePos="0" relativeHeight="251658240" behindDoc="0" locked="0" layoutInCell="1" hidden="0" allowOverlap="1" wp14:anchorId="536F71CD" wp14:editId="756DB27E">
                <wp:simplePos x="0" y="0"/>
                <wp:positionH relativeFrom="column">
                  <wp:posOffset>415289</wp:posOffset>
                </wp:positionH>
                <wp:positionV relativeFrom="paragraph">
                  <wp:posOffset>1231265</wp:posOffset>
                </wp:positionV>
                <wp:extent cx="4924425" cy="2886075"/>
                <wp:effectExtent l="0" t="0" r="28575" b="28575"/>
                <wp:wrapNone/>
                <wp:docPr id="47" name="Conector recto de flecha 47"/>
                <wp:cNvGraphicFramePr/>
                <a:graphic xmlns:a="http://schemas.openxmlformats.org/drawingml/2006/main">
                  <a:graphicData uri="http://schemas.microsoft.com/office/word/2010/wordprocessingShape">
                    <wps:wsp>
                      <wps:cNvCnPr/>
                      <wps:spPr>
                        <a:xfrm>
                          <a:off x="0" y="0"/>
                          <a:ext cx="4924425" cy="2886075"/>
                        </a:xfrm>
                        <a:prstGeom prst="straightConnector1">
                          <a:avLst/>
                        </a:prstGeom>
                        <a:noFill/>
                        <a:ln w="9525" cap="flat" cmpd="sng">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222E11AD" id="_x0000_t32" coordsize="21600,21600" o:spt="32" o:oned="t" path="m,l21600,21600e" filled="f">
                <v:path arrowok="t" fillok="f" o:connecttype="none"/>
                <o:lock v:ext="edit" shapetype="t"/>
              </v:shapetype>
              <v:shape id="Conector recto de flecha 47" o:spid="_x0000_s1026" type="#_x0000_t32" style="position:absolute;margin-left:32.7pt;margin-top:96.95pt;width:387.75pt;height:22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" strokecolor="black [3200]">
                <v:stroke startarrowwidth="narrow" startarrowlength="short" endarrowwidth="narrow" endarrowlength="short"/>
              </v:shape>
            </w:pict>
          </mc:Fallback>
        </mc:AlternateContent>
      </w:r>
      <w:r w:rsidR="00732101">
        <w:rPr>
          <w:rFonts w:ascii="Palatino Linotype" w:eastAsia="Palatino Linotype" w:hAnsi="Palatino Linotype" w:cs="Palatino Linotype"/>
          <w:b/>
        </w:rPr>
        <w:t xml:space="preserve">Archivos adjuntos: </w:t>
      </w:r>
      <w:r w:rsidR="00732101">
        <w:rPr>
          <w:rFonts w:ascii="Palatino Linotype" w:eastAsia="Palatino Linotype" w:hAnsi="Palatino Linotype" w:cs="Palatino Linotype"/>
        </w:rPr>
        <w:t xml:space="preserve">El </w:t>
      </w:r>
      <w:r w:rsidR="00732101">
        <w:rPr>
          <w:rFonts w:ascii="Palatino Linotype" w:eastAsia="Palatino Linotype" w:hAnsi="Palatino Linotype" w:cs="Palatino Linotype"/>
          <w:b/>
        </w:rPr>
        <w:t>Sujeto Obligado</w:t>
      </w:r>
      <w:r w:rsidR="00732101">
        <w:rPr>
          <w:rFonts w:ascii="Palatino Linotype" w:eastAsia="Palatino Linotype" w:hAnsi="Palatino Linotype" w:cs="Palatino Linotype"/>
        </w:rPr>
        <w:t xml:space="preserve"> remitió el archivo electrónico </w:t>
      </w:r>
      <w:r w:rsidR="00732101">
        <w:rPr>
          <w:rFonts w:ascii="Palatino Linotype" w:eastAsia="Palatino Linotype" w:hAnsi="Palatino Linotype" w:cs="Palatino Linotype"/>
          <w:b/>
          <w:i/>
        </w:rPr>
        <w:t xml:space="preserve">“146MALINALIP2021.pdf”, </w:t>
      </w:r>
      <w:r w:rsidR="00732101">
        <w:rPr>
          <w:rFonts w:ascii="Palatino Linotype" w:eastAsia="Palatino Linotype" w:hAnsi="Palatino Linotype" w:cs="Palatino Linotype"/>
        </w:rPr>
        <w:t>el cual se compone de tres fojas, para mayor referencia se insertan de manera ilustrativa las siguientes capturas del mismo:</w:t>
      </w:r>
    </w:p>
    <w:p w:rsidR="00203915" w:rsidRDefault="00732101">
      <w:pPr>
        <w:spacing w:before="240" w:after="240" w:line="360" w:lineRule="auto"/>
        <w:ind w:left="567" w:right="851"/>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486400" cy="6677025"/>
            <wp:effectExtent l="0" t="0" r="0" b="0"/>
            <wp:docPr id="5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5486400" cy="6677025"/>
                    </a:xfrm>
                    <a:prstGeom prst="rect">
                      <a:avLst/>
                    </a:prstGeom>
                    <a:ln/>
                  </pic:spPr>
                </pic:pic>
              </a:graphicData>
            </a:graphic>
          </wp:inline>
        </w:drawing>
      </w:r>
    </w:p>
    <w:p w:rsidR="00203915" w:rsidRDefault="00203915">
      <w:pPr>
        <w:spacing w:before="240" w:after="240" w:line="360" w:lineRule="auto"/>
        <w:ind w:right="49"/>
        <w:jc w:val="both"/>
        <w:rPr>
          <w:rFonts w:ascii="Palatino Linotype" w:eastAsia="Palatino Linotype" w:hAnsi="Palatino Linotype" w:cs="Palatino Linotype"/>
          <w:b/>
        </w:rPr>
      </w:pPr>
    </w:p>
    <w:p w:rsidR="00203915" w:rsidRDefault="00732101">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noProof/>
          <w:lang w:val="es-MX"/>
        </w:rPr>
        <w:lastRenderedPageBreak/>
        <w:drawing>
          <wp:inline distT="0" distB="0" distL="0" distR="0">
            <wp:extent cx="5486400" cy="7019925"/>
            <wp:effectExtent l="0" t="0" r="0" b="0"/>
            <wp:docPr id="5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486400" cy="7019925"/>
                    </a:xfrm>
                    <a:prstGeom prst="rect">
                      <a:avLst/>
                    </a:prstGeom>
                    <a:ln/>
                  </pic:spPr>
                </pic:pic>
              </a:graphicData>
            </a:graphic>
          </wp:inline>
        </w:drawing>
      </w:r>
    </w:p>
    <w:p w:rsidR="00203915" w:rsidRDefault="00732101">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noProof/>
          <w:lang w:val="es-MX"/>
        </w:rPr>
        <w:lastRenderedPageBreak/>
        <w:drawing>
          <wp:inline distT="0" distB="0" distL="0" distR="0">
            <wp:extent cx="5486400" cy="4486275"/>
            <wp:effectExtent l="0" t="0" r="0" b="0"/>
            <wp:docPr id="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486400" cy="4486275"/>
                    </a:xfrm>
                    <a:prstGeom prst="rect">
                      <a:avLst/>
                    </a:prstGeom>
                    <a:ln/>
                  </pic:spPr>
                </pic:pic>
              </a:graphicData>
            </a:graphic>
          </wp:inline>
        </w:drawing>
      </w:r>
    </w:p>
    <w:p w:rsidR="00203915" w:rsidRDefault="0073210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trece de diciembre de dos mil veintiuno,</w:t>
      </w:r>
      <w:r>
        <w:rPr>
          <w:rFonts w:ascii="Palatino Linotype" w:eastAsia="Palatino Linotype" w:hAnsi="Palatino Linotype" w:cs="Palatino Linotype"/>
        </w:rPr>
        <w:t xml:space="preserv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rsidR="00203915" w:rsidRDefault="00732101">
      <w:pPr>
        <w:numPr>
          <w:ilvl w:val="0"/>
          <w:numId w:val="7"/>
        </w:numPr>
        <w:pBdr>
          <w:top w:val="nil"/>
          <w:left w:val="nil"/>
          <w:bottom w:val="nil"/>
          <w:right w:val="nil"/>
          <w:between w:val="nil"/>
        </w:pBdr>
        <w:spacing w:before="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Acto impugnado: </w:t>
      </w:r>
    </w:p>
    <w:p w:rsidR="00203915" w:rsidRDefault="00732101">
      <w:pPr>
        <w:pBdr>
          <w:top w:val="nil"/>
          <w:left w:val="nil"/>
          <w:bottom w:val="nil"/>
          <w:right w:val="nil"/>
          <w:between w:val="nil"/>
        </w:pBdr>
        <w:tabs>
          <w:tab w:val="left" w:pos="567"/>
        </w:tabs>
        <w:ind w:left="567"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“solicitud de información numero: 00146/MALINAL/IP/2021 solicitud al municipio de malinalco” (Sic)</w:t>
      </w:r>
    </w:p>
    <w:p w:rsidR="00203915" w:rsidRDefault="00203915">
      <w:pPr>
        <w:pBdr>
          <w:top w:val="nil"/>
          <w:left w:val="nil"/>
          <w:bottom w:val="nil"/>
          <w:right w:val="nil"/>
          <w:between w:val="nil"/>
        </w:pBdr>
        <w:tabs>
          <w:tab w:val="left" w:pos="567"/>
        </w:tabs>
        <w:ind w:left="567" w:right="1041"/>
        <w:jc w:val="both"/>
        <w:rPr>
          <w:rFonts w:ascii="Palatino Linotype" w:eastAsia="Palatino Linotype" w:hAnsi="Palatino Linotype" w:cs="Palatino Linotype"/>
          <w:b/>
          <w:color w:val="000000"/>
        </w:rPr>
      </w:pPr>
    </w:p>
    <w:p w:rsidR="00203915" w:rsidRDefault="00203915">
      <w:pPr>
        <w:pBdr>
          <w:top w:val="nil"/>
          <w:left w:val="nil"/>
          <w:bottom w:val="nil"/>
          <w:right w:val="nil"/>
          <w:between w:val="nil"/>
        </w:pBdr>
        <w:tabs>
          <w:tab w:val="left" w:pos="567"/>
        </w:tabs>
        <w:ind w:left="567" w:right="1041"/>
        <w:jc w:val="both"/>
        <w:rPr>
          <w:rFonts w:ascii="Palatino Linotype" w:eastAsia="Palatino Linotype" w:hAnsi="Palatino Linotype" w:cs="Palatino Linotype"/>
          <w:b/>
          <w:color w:val="000000"/>
        </w:rPr>
      </w:pPr>
    </w:p>
    <w:p w:rsidR="00203915" w:rsidRDefault="00732101">
      <w:pPr>
        <w:numPr>
          <w:ilvl w:val="0"/>
          <w:numId w:val="7"/>
        </w:numPr>
        <w:pBdr>
          <w:top w:val="nil"/>
          <w:left w:val="nil"/>
          <w:bottom w:val="nil"/>
          <w:right w:val="nil"/>
          <w:between w:val="nil"/>
        </w:pBdr>
        <w:tabs>
          <w:tab w:val="left" w:pos="567"/>
        </w:tabs>
        <w:ind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rPr>
        <w:lastRenderedPageBreak/>
        <w:t xml:space="preserve"> Razones o motivos de inconformidad: </w:t>
      </w:r>
    </w:p>
    <w:p w:rsidR="00203915" w:rsidRDefault="00203915">
      <w:pPr>
        <w:pBdr>
          <w:top w:val="nil"/>
          <w:left w:val="nil"/>
          <w:bottom w:val="nil"/>
          <w:right w:val="nil"/>
          <w:between w:val="nil"/>
        </w:pBdr>
        <w:tabs>
          <w:tab w:val="left" w:pos="567"/>
        </w:tabs>
        <w:ind w:left="720" w:right="1041"/>
        <w:jc w:val="both"/>
        <w:rPr>
          <w:rFonts w:ascii="Palatino Linotype" w:eastAsia="Palatino Linotype" w:hAnsi="Palatino Linotype" w:cs="Palatino Linotype"/>
          <w:b/>
          <w:color w:val="000000"/>
        </w:rPr>
      </w:pPr>
    </w:p>
    <w:p w:rsidR="00203915" w:rsidRDefault="00732101">
      <w:pPr>
        <w:pBdr>
          <w:top w:val="nil"/>
          <w:left w:val="nil"/>
          <w:bottom w:val="nil"/>
          <w:right w:val="nil"/>
          <w:between w:val="nil"/>
        </w:pBdr>
        <w:tabs>
          <w:tab w:val="left" w:pos="567"/>
        </w:tabs>
        <w:ind w:left="720"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“Realice una solicitud de información en la que pido se me proporcione los contratos de este trienio que tengan que ver con trabajos, productos y/o servicios con el área de catastro. La búsqueda de estos contratos la han turnado al área de catastro, jurídico y sindicatura. En los 3 casos me contestan que “el área no cuenta con la información solicitada por no ser atribución de la suscrita” Con todo respeto pido que esta solicitud sea turnada al área que tiene las atribuciones de resguardar estos documentos. Creo que es responsabilidad del departamento de la unidad de transparencia turnar esta solicitud al área adecuada” (Sic)</w:t>
      </w:r>
    </w:p>
    <w:p w:rsidR="00203915" w:rsidRDefault="00203915">
      <w:pPr>
        <w:pBdr>
          <w:top w:val="nil"/>
          <w:left w:val="nil"/>
          <w:bottom w:val="nil"/>
          <w:right w:val="nil"/>
          <w:between w:val="nil"/>
        </w:pBdr>
        <w:tabs>
          <w:tab w:val="left" w:pos="567"/>
        </w:tabs>
        <w:spacing w:after="240"/>
        <w:ind w:left="720" w:right="1041"/>
        <w:jc w:val="both"/>
        <w:rPr>
          <w:rFonts w:ascii="Palatino Linotype" w:eastAsia="Palatino Linotype" w:hAnsi="Palatino Linotype" w:cs="Palatino Linotype"/>
          <w:i/>
          <w:color w:val="000000"/>
          <w:sz w:val="22"/>
          <w:szCs w:val="22"/>
        </w:rPr>
      </w:pPr>
    </w:p>
    <w:p w:rsidR="00203915" w:rsidRDefault="007321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De conformidad con el artículo 185 fracción I de la Ley de Transparencia y Acceso a la Información Pública del Estado de México y Municipios vigente, los presentes recursos de revisión se turnó por el sistema electrónico del Instituto</w:t>
      </w:r>
      <w:r>
        <w:rPr>
          <w:rFonts w:ascii="Palatino Linotype" w:eastAsia="Palatino Linotype" w:hAnsi="Palatino Linotype" w:cs="Palatino Linotype"/>
          <w:b/>
        </w:rPr>
        <w:t xml:space="preserve"> </w:t>
      </w:r>
      <w:r>
        <w:rPr>
          <w:rFonts w:ascii="Palatino Linotype" w:eastAsia="Palatino Linotype" w:hAnsi="Palatino Linotype" w:cs="Palatino Linotype"/>
        </w:rPr>
        <w:t>de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Transparencia, Acceso a la Información Pública y Protección de Datos Personales del Estado de México y Municipios, a la </w:t>
      </w:r>
      <w:r>
        <w:rPr>
          <w:rFonts w:ascii="Palatino Linotype" w:eastAsia="Palatino Linotype" w:hAnsi="Palatino Linotype" w:cs="Palatino Linotype"/>
          <w:b/>
        </w:rPr>
        <w:t xml:space="preserve">Comisionada Guadalupe Ramírez Peña, </w:t>
      </w:r>
      <w:r>
        <w:rPr>
          <w:rFonts w:ascii="Palatino Linotype" w:eastAsia="Palatino Linotype" w:hAnsi="Palatino Linotype" w:cs="Palatino Linotype"/>
        </w:rPr>
        <w:t>a efecto de que analizara sobre su admisión o su desechamiento.</w:t>
      </w:r>
    </w:p>
    <w:p w:rsidR="00203915" w:rsidRDefault="007321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Con fecha</w:t>
      </w:r>
      <w:r>
        <w:rPr>
          <w:rFonts w:ascii="Palatino Linotype" w:eastAsia="Palatino Linotype" w:hAnsi="Palatino Linotype" w:cs="Palatino Linotype"/>
          <w:b/>
        </w:rPr>
        <w:t xml:space="preserve"> dieciséis de diciembre de dos mil veintiuno, </w:t>
      </w:r>
      <w:r>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rsidR="00203915" w:rsidRDefault="0073210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De las constancias que obran agregadas en el expediente electrónico al rubro citado, se tiene que en esta etapa,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los archivos digitales denominados </w:t>
      </w:r>
      <w:r>
        <w:rPr>
          <w:rFonts w:ascii="Palatino Linotype" w:eastAsia="Palatino Linotype" w:hAnsi="Palatino Linotype" w:cs="Palatino Linotype"/>
          <w:b/>
          <w:i/>
          <w:sz w:val="22"/>
          <w:szCs w:val="22"/>
        </w:rPr>
        <w:t>“146malinalip2021 (2).pdf” y “146malinalip2021 (2) (4).pdf”</w:t>
      </w:r>
      <w:r>
        <w:rPr>
          <w:rFonts w:ascii="Palatino Linotype" w:eastAsia="Palatino Linotype" w:hAnsi="Palatino Linotype" w:cs="Palatino Linotype"/>
        </w:rPr>
        <w:t xml:space="preserve">, en fechas </w:t>
      </w:r>
      <w:r>
        <w:rPr>
          <w:rFonts w:ascii="Palatino Linotype" w:eastAsia="Palatino Linotype" w:hAnsi="Palatino Linotype" w:cs="Palatino Linotype"/>
          <w:b/>
        </w:rPr>
        <w:t>veintisiete de diciembre de dos mil veintiuno y uno de febrero de dos mil veintidós</w:t>
      </w:r>
      <w:r>
        <w:rPr>
          <w:rFonts w:ascii="Palatino Linotype" w:eastAsia="Palatino Linotype" w:hAnsi="Palatino Linotype" w:cs="Palatino Linotype"/>
        </w:rPr>
        <w:t xml:space="preserve">, los cuales se pusieron a la vista del particular el </w:t>
      </w:r>
      <w:r>
        <w:rPr>
          <w:rFonts w:ascii="Palatino Linotype" w:eastAsia="Palatino Linotype" w:hAnsi="Palatino Linotype" w:cs="Palatino Linotype"/>
          <w:b/>
        </w:rPr>
        <w:t>ocho de febrero de dos mil veintidós</w:t>
      </w:r>
      <w:r>
        <w:rPr>
          <w:rFonts w:ascii="Palatino Linotype" w:eastAsia="Palatino Linotype" w:hAnsi="Palatino Linotype" w:cs="Palatino Linotype"/>
        </w:rPr>
        <w:t>, asimismo por cuanto hace al impetrante, se tiene que fue omiso en presentar manifestaciones, pruebas y/o alegatos.</w:t>
      </w:r>
    </w:p>
    <w:p w:rsidR="00203915" w:rsidRDefault="007321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rPr>
        <w:t>catorce de febrero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D21582" w:rsidRPr="00D21582" w:rsidRDefault="00D21582" w:rsidP="00D21582">
      <w:pPr>
        <w:spacing w:before="240" w:after="240" w:line="360" w:lineRule="auto"/>
        <w:jc w:val="both"/>
        <w:rPr>
          <w:rFonts w:ascii="Palatino Linotype" w:hAnsi="Palatino Linotype"/>
          <w:lang w:eastAsia="es-ES"/>
        </w:rPr>
      </w:pPr>
      <w:r w:rsidRPr="00D21582">
        <w:rPr>
          <w:rFonts w:ascii="Palatino Linotype" w:hAnsi="Palatino Linotype"/>
          <w:b/>
          <w:lang w:eastAsia="es-ES"/>
        </w:rPr>
        <w:t>7.- Ampliación del plazo para emitir resolución.</w:t>
      </w:r>
      <w:r w:rsidRPr="00D21582">
        <w:rPr>
          <w:rFonts w:ascii="Palatino Linotype" w:hAnsi="Palatino Linotype"/>
          <w:bCs/>
          <w:lang w:eastAsia="es-ES"/>
        </w:rPr>
        <w:t xml:space="preserve"> El </w:t>
      </w:r>
      <w:r>
        <w:rPr>
          <w:rFonts w:ascii="Palatino Linotype" w:hAnsi="Palatino Linotype"/>
          <w:b/>
          <w:bCs/>
          <w:lang w:eastAsia="es-ES"/>
        </w:rPr>
        <w:t>quince</w:t>
      </w:r>
      <w:r w:rsidRPr="00D21582">
        <w:rPr>
          <w:rFonts w:ascii="Palatino Linotype" w:hAnsi="Palatino Linotype"/>
          <w:b/>
          <w:bCs/>
          <w:lang w:eastAsia="es-ES"/>
        </w:rPr>
        <w:t xml:space="preserve"> de febrero de dos mil veintidós</w:t>
      </w:r>
      <w:r w:rsidRPr="00D21582">
        <w:rPr>
          <w:rFonts w:ascii="Palatino Linotype" w:hAnsi="Palatino Linotype"/>
          <w:bCs/>
          <w:lang w:eastAsia="es-ES"/>
        </w:rPr>
        <w:t xml:space="preserve">, </w:t>
      </w:r>
      <w:r w:rsidRPr="00D21582">
        <w:rPr>
          <w:rFonts w:ascii="Palatino Linotype" w:hAnsi="Palatino Linotype"/>
          <w:lang w:eastAsia="es-ES"/>
        </w:rPr>
        <w:t>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dado el incremento en el número de recursos de revisión promovidos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rsidR="00D21582" w:rsidRDefault="00D21582">
      <w:pPr>
        <w:spacing w:before="240" w:after="240" w:line="360" w:lineRule="auto"/>
        <w:jc w:val="both"/>
        <w:rPr>
          <w:rFonts w:ascii="Palatino Linotype" w:eastAsia="Palatino Linotype" w:hAnsi="Palatino Linotype" w:cs="Palatino Linotype"/>
        </w:rPr>
      </w:pPr>
    </w:p>
    <w:p w:rsidR="00203915" w:rsidRDefault="007321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203915" w:rsidRDefault="00732101">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rsidR="00203915" w:rsidRDefault="00732101">
      <w:pPr>
        <w:spacing w:before="240" w:after="240" w:line="360" w:lineRule="auto"/>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203915" w:rsidRDefault="007321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203915" w:rsidRDefault="007321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Sujeto Obligado remitió la respuesta a la solicitud de información el día </w:t>
      </w:r>
      <w:r>
        <w:rPr>
          <w:rFonts w:ascii="Palatino Linotype" w:eastAsia="Palatino Linotype" w:hAnsi="Palatino Linotype" w:cs="Palatino Linotype"/>
          <w:b/>
        </w:rPr>
        <w:t xml:space="preserve">seis de diciembre de dos mil veintiuno, </w:t>
      </w:r>
      <w:r>
        <w:rPr>
          <w:rFonts w:ascii="Palatino Linotype" w:eastAsia="Palatino Linotype" w:hAnsi="Palatino Linotype" w:cs="Palatino Linotype"/>
        </w:rPr>
        <w:t xml:space="preserve">mientras que el recurso de revisión interpuesto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se tuvo por presentado el día </w:t>
      </w:r>
      <w:r>
        <w:rPr>
          <w:rFonts w:ascii="Palatino Linotype" w:eastAsia="Palatino Linotype" w:hAnsi="Palatino Linotype" w:cs="Palatino Linotype"/>
          <w:b/>
        </w:rPr>
        <w:t>trece de diciembre de dos mil veintiuno</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quinto día hábil</w:t>
      </w:r>
      <w:r>
        <w:rPr>
          <w:rFonts w:ascii="Palatino Linotype" w:eastAsia="Palatino Linotype" w:hAnsi="Palatino Linotype" w:cs="Palatino Linotype"/>
        </w:rPr>
        <w:t xml:space="preserve"> en que tuvo conocimiento de las respuestas impugnadas.</w:t>
      </w:r>
    </w:p>
    <w:p w:rsidR="007D2FCE" w:rsidRDefault="007D2F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203915" w:rsidRDefault="007D2FCE">
      <w:pPr>
        <w:spacing w:before="240" w:after="240"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rPr>
        <w:t>Finalmente</w:t>
      </w:r>
      <w:r w:rsidR="00732101">
        <w:rPr>
          <w:rFonts w:ascii="Palatino Linotype" w:eastAsia="Palatino Linotype" w:hAnsi="Palatino Linotype" w:cs="Palatino Linotype"/>
        </w:rPr>
        <w:t>, se advierte que resulta procedente la interposición del recurso, según lo manifestado por el recurrente en sus motivos de inconformidad, de acuerdo al artículo 179, fracción I del ordenamiento legal citado, que a la letra dice: </w:t>
      </w:r>
    </w:p>
    <w:p w:rsidR="00203915" w:rsidRDefault="007321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203915" w:rsidRDefault="007321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03915" w:rsidRDefault="007321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La negativa a la información solicitada</w:t>
      </w:r>
      <w:r>
        <w:rPr>
          <w:rFonts w:ascii="Palatino Linotype" w:eastAsia="Palatino Linotype" w:hAnsi="Palatino Linotype" w:cs="Palatino Linotype"/>
          <w:i/>
          <w:sz w:val="22"/>
          <w:szCs w:val="22"/>
        </w:rPr>
        <w:t>;</w:t>
      </w:r>
    </w:p>
    <w:p w:rsidR="00203915" w:rsidRDefault="007321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03915" w:rsidRDefault="007321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203915" w:rsidRDefault="00203915">
      <w:pPr>
        <w:spacing w:before="120" w:after="120"/>
        <w:ind w:left="851" w:right="902"/>
        <w:jc w:val="both"/>
        <w:rPr>
          <w:rFonts w:ascii="Palatino Linotype" w:eastAsia="Palatino Linotype" w:hAnsi="Palatino Linotype" w:cs="Palatino Linotype"/>
          <w:i/>
          <w:sz w:val="22"/>
          <w:szCs w:val="22"/>
        </w:rPr>
      </w:pPr>
    </w:p>
    <w:p w:rsidR="00203915" w:rsidRDefault="00732101">
      <w:pPr>
        <w:spacing w:before="280" w:after="280" w:line="360" w:lineRule="auto"/>
        <w:jc w:val="both"/>
        <w:rPr>
          <w:rFonts w:ascii="Palatino Linotype" w:eastAsia="Palatino Linotype" w:hAnsi="Palatino Linotype" w:cs="Palatino Linotype"/>
        </w:rPr>
      </w:pPr>
      <w:bookmarkStart w:id="3" w:name="_heading=h.1fob9te" w:colFirst="0" w:colLast="0"/>
      <w:bookmarkEnd w:id="3"/>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rsidR="00203915" w:rsidRDefault="007321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Previo al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le proporcionara la siguiente información:</w:t>
      </w:r>
    </w:p>
    <w:p w:rsidR="00203915" w:rsidRDefault="00732101">
      <w:pPr>
        <w:numPr>
          <w:ilvl w:val="0"/>
          <w:numId w:val="3"/>
        </w:numPr>
        <w:pBdr>
          <w:top w:val="nil"/>
          <w:left w:val="nil"/>
          <w:bottom w:val="nil"/>
          <w:right w:val="nil"/>
          <w:between w:val="nil"/>
        </w:pBdr>
        <w:spacing w:before="240" w:line="360" w:lineRule="auto"/>
        <w:ind w:left="567" w:right="709"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contratos de este trienio que tengan que ver con trabajos, productos y/o servicios relacionados con el área de catastro.</w:t>
      </w:r>
    </w:p>
    <w:p w:rsidR="00203915" w:rsidRDefault="0020391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03915" w:rsidRDefault="007321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a la solicitud, la Síndico Municipal manifestó no contar con la información requerida por no obrar entre sus atribuciones, fundamentando esto con el artículo 52 de la Ley Orgánica Municipal. </w:t>
      </w:r>
    </w:p>
    <w:p w:rsidR="00203915" w:rsidRDefault="00732101">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276850" cy="1009650"/>
            <wp:effectExtent l="0" t="0" r="0" b="0"/>
            <wp:docPr id="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276850" cy="1009650"/>
                    </a:xfrm>
                    <a:prstGeom prst="rect">
                      <a:avLst/>
                    </a:prstGeom>
                    <a:ln/>
                  </pic:spPr>
                </pic:pic>
              </a:graphicData>
            </a:graphic>
          </wp:inline>
        </w:drawing>
      </w:r>
    </w:p>
    <w:p w:rsidR="00203915" w:rsidRDefault="007321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la Coordinadora Jurídica del Ayuntamiento de Malinalco, México refirió que dicha área no cuenta con los contratos que tengan que ver con trabajos, productos y/o servicios relacionados con el área de catastro municipal: </w:t>
      </w:r>
    </w:p>
    <w:p w:rsidR="00203915" w:rsidRDefault="00203915">
      <w:pPr>
        <w:spacing w:line="360" w:lineRule="auto"/>
        <w:jc w:val="both"/>
        <w:rPr>
          <w:rFonts w:ascii="Palatino Linotype" w:eastAsia="Palatino Linotype" w:hAnsi="Palatino Linotype" w:cs="Palatino Linotype"/>
        </w:rPr>
      </w:pPr>
    </w:p>
    <w:p w:rsidR="00203915" w:rsidRDefault="00732101" w:rsidP="002735C6">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010150" cy="3295650"/>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010150" cy="3295650"/>
                    </a:xfrm>
                    <a:prstGeom prst="rect">
                      <a:avLst/>
                    </a:prstGeom>
                    <a:ln/>
                  </pic:spPr>
                </pic:pic>
              </a:graphicData>
            </a:graphic>
          </wp:inline>
        </w:drawing>
      </w:r>
    </w:p>
    <w:p w:rsidR="00203915" w:rsidRDefault="00732101">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648200" cy="1447800"/>
            <wp:effectExtent l="0" t="0" r="0" b="0"/>
            <wp:docPr id="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648200" cy="1447800"/>
                    </a:xfrm>
                    <a:prstGeom prst="rect">
                      <a:avLst/>
                    </a:prstGeom>
                    <a:ln/>
                  </pic:spPr>
                </pic:pic>
              </a:graphicData>
            </a:graphic>
          </wp:inline>
        </w:drawing>
      </w:r>
    </w:p>
    <w:p w:rsidR="00203915" w:rsidRDefault="00203915">
      <w:pPr>
        <w:spacing w:line="360" w:lineRule="auto"/>
        <w:rPr>
          <w:rFonts w:ascii="Palatino Linotype" w:eastAsia="Palatino Linotype" w:hAnsi="Palatino Linotype" w:cs="Palatino Linotype"/>
        </w:rPr>
      </w:pPr>
    </w:p>
    <w:p w:rsidR="00203915" w:rsidRDefault="007321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estos argumentos nace la inconformidad del particular, quien al momento de interponer el recurso de revisión que nos ocupa, expresó como ra</w:t>
      </w:r>
      <w:r w:rsidR="007D2FCE">
        <w:rPr>
          <w:rFonts w:ascii="Palatino Linotype" w:eastAsia="Palatino Linotype" w:hAnsi="Palatino Linotype" w:cs="Palatino Linotype"/>
        </w:rPr>
        <w:t xml:space="preserve">zones o medios de inconformidad medularmente por que la solicitud no fue turnada al área competente para contar los la información. </w:t>
      </w:r>
    </w:p>
    <w:p w:rsidR="00203915" w:rsidRDefault="00732101">
      <w:pPr>
        <w:spacing w:before="240" w:after="240" w:line="360" w:lineRule="auto"/>
        <w:jc w:val="both"/>
        <w:rPr>
          <w:rFonts w:ascii="Palatino Linotype" w:eastAsia="Palatino Linotype" w:hAnsi="Palatino Linotype" w:cs="Palatino Linotype"/>
        </w:rPr>
      </w:pPr>
      <w:bookmarkStart w:id="4" w:name="_heading=h.3znysh7" w:colFirst="0" w:colLast="0"/>
      <w:bookmarkEnd w:id="4"/>
      <w:r>
        <w:rPr>
          <w:rFonts w:ascii="Palatino Linotype" w:eastAsia="Palatino Linotype" w:hAnsi="Palatino Linotype" w:cs="Palatino Linotype"/>
        </w:rPr>
        <w:t xml:space="preserve">Es de precisar que el Sujeto Obligado remitió su informe justificado, consistente en los archivos digitales denominados </w:t>
      </w:r>
      <w:r>
        <w:rPr>
          <w:rFonts w:ascii="Palatino Linotype" w:eastAsia="Palatino Linotype" w:hAnsi="Palatino Linotype" w:cs="Palatino Linotype"/>
          <w:b/>
          <w:i/>
          <w:sz w:val="22"/>
          <w:szCs w:val="22"/>
        </w:rPr>
        <w:t>“146malinalip2021 (2).pdf” y “146malinalip2021 (2) (4).pdf”</w:t>
      </w:r>
      <w:r>
        <w:rPr>
          <w:rFonts w:ascii="Palatino Linotype" w:eastAsia="Palatino Linotype" w:hAnsi="Palatino Linotype" w:cs="Palatino Linotype"/>
        </w:rPr>
        <w:t xml:space="preserve">, los cuales consisten en el mismo oficio, </w:t>
      </w:r>
      <w:r w:rsidR="007D2FCE">
        <w:rPr>
          <w:rFonts w:ascii="Palatino Linotype" w:eastAsia="Palatino Linotype" w:hAnsi="Palatino Linotype" w:cs="Palatino Linotype"/>
        </w:rPr>
        <w:t xml:space="preserve">a través del cual el Director General de Administración y Finanzas, informa que del periodo 2019 a 2021 y en relación a lo solicitado, se firmó un contrato con la empresa GEODESICION, señalando el monto del contrato, asimismo refirió que no se puede proporcionar dicha información porque contiene datos personales, pero que se está a disposición en la Tesorería para su consulta, </w:t>
      </w:r>
      <w:r>
        <w:rPr>
          <w:rFonts w:ascii="Palatino Linotype" w:eastAsia="Palatino Linotype" w:hAnsi="Palatino Linotype" w:cs="Palatino Linotype"/>
        </w:rPr>
        <w:t>se insertan capturas de pantalla del contenido medular de estos soportes documentales:</w:t>
      </w:r>
    </w:p>
    <w:p w:rsidR="00203915" w:rsidRDefault="007321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484872" cy="3304295"/>
            <wp:effectExtent l="0" t="0" r="1905" b="0"/>
            <wp:docPr id="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5"/>
                    <a:srcRect t="27671" b="6321"/>
                    <a:stretch/>
                  </pic:blipFill>
                  <pic:spPr bwMode="auto">
                    <a:xfrm>
                      <a:off x="0" y="0"/>
                      <a:ext cx="5496049" cy="3311028"/>
                    </a:xfrm>
                    <a:prstGeom prst="rect">
                      <a:avLst/>
                    </a:prstGeom>
                    <a:ln>
                      <a:noFill/>
                    </a:ln>
                    <a:extLst>
                      <a:ext uri="{53640926-AAD7-44D8-BBD7-CCE9431645EC}">
                        <a14:shadowObscured xmlns:a14="http://schemas.microsoft.com/office/drawing/2010/main"/>
                      </a:ext>
                    </a:extLst>
                  </pic:spPr>
                </pic:pic>
              </a:graphicData>
            </a:graphic>
          </wp:inline>
        </w:drawing>
      </w:r>
    </w:p>
    <w:p w:rsidR="00203915" w:rsidRDefault="00732101">
      <w:pP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esta tesitura, debe precisarse que </w:t>
      </w:r>
      <w:r>
        <w:rPr>
          <w:rFonts w:ascii="Palatino Linotype" w:eastAsia="Palatino Linotype" w:hAnsi="Palatino Linotype" w:cs="Palatino Linotype"/>
          <w:color w:val="000000"/>
        </w:rPr>
        <w:t xml:space="preserve">el Derecho de Acceso a la Información Pública consiste en que la información solicitada conste en un soporte documental en cualquiera de sus formas, a saber: </w:t>
      </w:r>
      <w:r>
        <w:rPr>
          <w:rFonts w:ascii="Palatino Linotype" w:eastAsia="Palatino Linotype" w:hAnsi="Palatino Linotype" w:cs="Palatino Linotype"/>
        </w:rPr>
        <w:t xml:space="preserve">expedientes, reportes, estudios, actas, resoluciones, oficios, correspondencia, acuerdos, directivas, directrices, circulares, </w:t>
      </w:r>
      <w:r>
        <w:rPr>
          <w:rFonts w:ascii="Palatino Linotype" w:eastAsia="Palatino Linotype" w:hAnsi="Palatino Linotype" w:cs="Palatino Linotype"/>
          <w:b/>
        </w:rPr>
        <w:t>contratos</w:t>
      </w:r>
      <w:r>
        <w:rPr>
          <w:rFonts w:ascii="Palatino Linotype" w:eastAsia="Palatino Linotype" w:hAnsi="Palatino Linotype" w:cs="Palatino Linotype"/>
        </w:rPr>
        <w:t>, convenios, instructivos, notas, memorandos, estadísticas, o bien, cualquier otro registro que documente el ejercicio de las facultades, funciones y competencias de los Sujetos Obligados</w:t>
      </w:r>
      <w:r>
        <w:rPr>
          <w:rFonts w:ascii="Palatino Linotype" w:eastAsia="Palatino Linotype" w:hAnsi="Palatino Linotype" w:cs="Palatino Linotype"/>
          <w:color w:val="000000"/>
        </w:rPr>
        <w:t xml:space="preserve">; los que, </w:t>
      </w:r>
      <w:r>
        <w:rPr>
          <w:rFonts w:ascii="Palatino Linotype" w:eastAsia="Palatino Linotype" w:hAnsi="Palatino Linotype" w:cs="Palatino Linotype"/>
        </w:rPr>
        <w:t>podrán estar en cualquier medio, sea escrito, impreso, sonoro, visual, electrónico, informático u holográfico</w:t>
      </w:r>
      <w:r>
        <w:rPr>
          <w:rFonts w:ascii="Palatino Linotype" w:eastAsia="Palatino Linotype" w:hAnsi="Palatino Linotype" w:cs="Palatino Linotype"/>
          <w:color w:val="000000"/>
        </w:rPr>
        <w:t xml:space="preserve">, de conformidad con el artículo 3, fracción XI de la Ley de la materia, el cual dispone lo siguiente: </w:t>
      </w:r>
    </w:p>
    <w:p w:rsidR="00203915" w:rsidRDefault="00203915">
      <w:pPr>
        <w:ind w:left="851" w:right="901"/>
        <w:jc w:val="both"/>
        <w:rPr>
          <w:rFonts w:ascii="Palatino Linotype" w:eastAsia="Palatino Linotype" w:hAnsi="Palatino Linotype" w:cs="Palatino Linotype"/>
          <w:i/>
          <w:color w:val="000000"/>
          <w:sz w:val="22"/>
          <w:szCs w:val="22"/>
        </w:rPr>
      </w:pPr>
    </w:p>
    <w:p w:rsidR="00203915" w:rsidRDefault="00732101">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3. </w:t>
      </w:r>
      <w:r>
        <w:rPr>
          <w:rFonts w:ascii="Palatino Linotype" w:eastAsia="Palatino Linotype" w:hAnsi="Palatino Linotype" w:cs="Palatino Linotype"/>
          <w:i/>
          <w:color w:val="000000"/>
          <w:sz w:val="22"/>
          <w:szCs w:val="22"/>
        </w:rPr>
        <w:t>Para los efectos de la presente Ley se entenderá por:</w:t>
      </w:r>
    </w:p>
    <w:p w:rsidR="00203915" w:rsidRDefault="00732101">
      <w:pPr>
        <w:ind w:left="851" w:right="85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203915" w:rsidRDefault="00732101">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w:t>
      </w:r>
      <w:r>
        <w:rPr>
          <w:rFonts w:ascii="Palatino Linotype" w:eastAsia="Palatino Linotype" w:hAnsi="Palatino Linotype" w:cs="Palatino Linotype"/>
          <w:b/>
          <w:i/>
          <w:color w:val="000000"/>
          <w:sz w:val="22"/>
          <w:szCs w:val="22"/>
          <w:u w:val="single"/>
        </w:rPr>
        <w:t>contratos,</w:t>
      </w:r>
      <w:r>
        <w:rPr>
          <w:rFonts w:ascii="Palatino Linotype" w:eastAsia="Palatino Linotype" w:hAnsi="Palatino Linotype" w:cs="Palatino Linotype"/>
          <w:i/>
          <w:color w:val="000000"/>
          <w:sz w:val="22"/>
          <w:szCs w:val="22"/>
        </w:rPr>
        <w:t xml:space="preserve">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03915" w:rsidRDefault="00732101">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w:t>
      </w:r>
    </w:p>
    <w:p w:rsidR="00203915" w:rsidRDefault="00732101">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rsidR="00203915" w:rsidRDefault="00203915">
      <w:pPr>
        <w:ind w:left="851" w:right="850"/>
        <w:jc w:val="both"/>
        <w:rPr>
          <w:rFonts w:ascii="Palatino Linotype" w:eastAsia="Palatino Linotype" w:hAnsi="Palatino Linotype" w:cs="Palatino Linotype"/>
          <w:sz w:val="22"/>
          <w:szCs w:val="22"/>
        </w:rPr>
      </w:pPr>
    </w:p>
    <w:p w:rsidR="00203915" w:rsidRDefault="007321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203915" w:rsidRDefault="00203915">
      <w:pPr>
        <w:ind w:left="851" w:right="850"/>
        <w:jc w:val="both"/>
        <w:rPr>
          <w:rFonts w:ascii="Palatino Linotype" w:eastAsia="Palatino Linotype" w:hAnsi="Palatino Linotype" w:cs="Palatino Linotype"/>
          <w:sz w:val="20"/>
          <w:szCs w:val="20"/>
        </w:rPr>
      </w:pPr>
    </w:p>
    <w:p w:rsidR="00203915" w:rsidRDefault="00732101">
      <w:pPr>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203915" w:rsidRDefault="0073210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03915" w:rsidRDefault="00732101">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203915" w:rsidRDefault="00732101">
      <w:pPr>
        <w:ind w:left="851" w:right="90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1) Que se trate de información registrada en cualquier soporte documental, que en ejercicio de las atribuciones conferidas, sea generada por los Sujetos Obligados;</w:t>
      </w:r>
    </w:p>
    <w:p w:rsidR="00203915" w:rsidRDefault="00732101">
      <w:pPr>
        <w:ind w:left="851" w:right="90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2) Que se trate de información registrada en cualquier soporte documental, que en ejercicio de las atribuciones conferidas, sea administrada por los Sujetos Obligados, y</w:t>
      </w:r>
    </w:p>
    <w:p w:rsidR="00203915" w:rsidRDefault="0073210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3) Que se trate de información registrada en cualquier soporte documental, que en ejercicio de las atribuciones conferidas, se encuentre en posesión de los Sujetos Obligados</w:t>
      </w:r>
      <w:r>
        <w:rPr>
          <w:rFonts w:ascii="Palatino Linotype" w:eastAsia="Palatino Linotype" w:hAnsi="Palatino Linotype" w:cs="Palatino Linotype"/>
          <w:i/>
          <w:sz w:val="22"/>
          <w:szCs w:val="22"/>
        </w:rPr>
        <w:t>.” (Sic)</w:t>
      </w:r>
    </w:p>
    <w:p w:rsidR="00203915" w:rsidRDefault="00203915">
      <w:pPr>
        <w:ind w:left="851" w:right="901"/>
        <w:jc w:val="both"/>
        <w:rPr>
          <w:rFonts w:ascii="Palatino Linotype" w:eastAsia="Palatino Linotype" w:hAnsi="Palatino Linotype" w:cs="Palatino Linotype"/>
          <w:i/>
          <w:sz w:val="22"/>
          <w:szCs w:val="22"/>
        </w:rPr>
      </w:pPr>
    </w:p>
    <w:p w:rsidR="00203915" w:rsidRDefault="0073210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203915" w:rsidRDefault="00203915">
      <w:pPr>
        <w:spacing w:line="360" w:lineRule="auto"/>
        <w:jc w:val="both"/>
        <w:rPr>
          <w:rFonts w:ascii="Palatino Linotype" w:eastAsia="Palatino Linotype" w:hAnsi="Palatino Linotype" w:cs="Palatino Linotype"/>
        </w:rPr>
      </w:pPr>
    </w:p>
    <w:p w:rsidR="00203915" w:rsidRDefault="007321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es importante señalar que, de conformidad con el artículo 18 de la Ley de Transparencia y Acceso a la Información Pública del Estado de México y Municipios, </w:t>
      </w:r>
      <w:r>
        <w:rPr>
          <w:rFonts w:ascii="Palatino Linotype" w:eastAsia="Palatino Linotype" w:hAnsi="Palatino Linotype" w:cs="Palatino Linotype"/>
          <w:b/>
          <w:i/>
          <w:u w:val="single"/>
        </w:rPr>
        <w:t>los Sujetos Obligados deben documentar todos sus actos que realicen derivado del ejercicio de sus atribuciones</w:t>
      </w:r>
      <w:r>
        <w:rPr>
          <w:rFonts w:ascii="Palatino Linotype" w:eastAsia="Palatino Linotype" w:hAnsi="Palatino Linotype" w:cs="Palatino Linotype"/>
        </w:rPr>
        <w:t>, como se aprecia de la lectura del precepto legal en comento:</w:t>
      </w:r>
    </w:p>
    <w:p w:rsidR="00203915" w:rsidRDefault="00203915">
      <w:pPr>
        <w:ind w:left="851" w:right="902"/>
        <w:jc w:val="both"/>
        <w:rPr>
          <w:rFonts w:ascii="Palatino Linotype" w:eastAsia="Palatino Linotype" w:hAnsi="Palatino Linotype" w:cs="Palatino Linotype"/>
          <w:b/>
          <w:i/>
          <w:sz w:val="22"/>
          <w:szCs w:val="22"/>
        </w:rPr>
      </w:pPr>
    </w:p>
    <w:p w:rsidR="00203915" w:rsidRDefault="00732101">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18. </w:t>
      </w:r>
      <w:r>
        <w:rPr>
          <w:rFonts w:ascii="Palatino Linotype" w:eastAsia="Palatino Linotype" w:hAnsi="Palatino Linotype" w:cs="Palatino Linotype"/>
          <w:i/>
          <w:sz w:val="22"/>
          <w:szCs w:val="22"/>
        </w:rPr>
        <w:t xml:space="preserve">Los </w:t>
      </w:r>
      <w:r>
        <w:rPr>
          <w:rFonts w:ascii="Palatino Linotype" w:eastAsia="Palatino Linotype" w:hAnsi="Palatino Linotype" w:cs="Palatino Linotype"/>
          <w:b/>
          <w:i/>
          <w:sz w:val="22"/>
          <w:szCs w:val="22"/>
        </w:rPr>
        <w:t>sujetos obligados deberán documentar todo acto que derive del ejercicio de sus facultades, competencias o funciones, considerando desde su origen la eventual publicidad y reutilización de la información que generen</w:t>
      </w:r>
      <w:r>
        <w:rPr>
          <w:rFonts w:ascii="Palatino Linotype" w:eastAsia="Palatino Linotype" w:hAnsi="Palatino Linotype" w:cs="Palatino Linotype"/>
          <w:i/>
          <w:sz w:val="22"/>
          <w:szCs w:val="22"/>
        </w:rPr>
        <w:t>.” (Sic)</w:t>
      </w:r>
    </w:p>
    <w:p w:rsidR="00203915" w:rsidRDefault="00732101">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la misma forma, se cita el contenido del artículo 160 de la Ley General de Transparencia y Acceso a la Información Pública que a la letra dispone:</w:t>
      </w:r>
    </w:p>
    <w:p w:rsidR="00203915" w:rsidRDefault="00732101">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(Sic)</w:t>
      </w:r>
    </w:p>
    <w:p w:rsidR="00203915" w:rsidRDefault="00732101">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para que el Derecho de Acceso a la Información Pública que asiste al particular se estime colmado, deberá hacerse entrega de un documento en el que obre la información requerida, esto, en virtud 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encuentra constreñido a generarla por ser parte de sus atribuciones. </w:t>
      </w:r>
    </w:p>
    <w:p w:rsidR="00203915" w:rsidRDefault="00203915">
      <w:pPr>
        <w:spacing w:line="360" w:lineRule="auto"/>
        <w:jc w:val="both"/>
        <w:rPr>
          <w:rFonts w:ascii="Palatino Linotype" w:eastAsia="Palatino Linotype" w:hAnsi="Palatino Linotype" w:cs="Palatino Linotype"/>
        </w:rPr>
      </w:pPr>
    </w:p>
    <w:p w:rsidR="007D2FCE" w:rsidRDefault="00D748A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caso, </w:t>
      </w:r>
      <w:r w:rsidR="007D2FCE">
        <w:rPr>
          <w:rFonts w:ascii="Palatino Linotype" w:eastAsia="Palatino Linotype" w:hAnsi="Palatino Linotype" w:cs="Palatino Linotype"/>
        </w:rPr>
        <w:t>el sujeto obligado mediante informe justificado no niega la existencia de la información ya que refiere que en efecto existe un contrato en los términos de la solicitud no obstante señala que</w:t>
      </w:r>
      <w:r>
        <w:rPr>
          <w:rFonts w:ascii="Palatino Linotype" w:eastAsia="Palatino Linotype" w:hAnsi="Palatino Linotype" w:cs="Palatino Linotype"/>
        </w:rPr>
        <w:t>:</w:t>
      </w:r>
    </w:p>
    <w:p w:rsidR="00D748A8" w:rsidRDefault="00D748A8">
      <w:pPr>
        <w:spacing w:line="360" w:lineRule="auto"/>
        <w:jc w:val="both"/>
        <w:rPr>
          <w:rFonts w:ascii="Palatino Linotype" w:eastAsia="Palatino Linotype" w:hAnsi="Palatino Linotype" w:cs="Palatino Linotype"/>
        </w:rPr>
      </w:pPr>
    </w:p>
    <w:p w:rsidR="007D2FCE" w:rsidRDefault="007D2FCE" w:rsidP="00D748A8">
      <w:pPr>
        <w:pStyle w:val="Prrafodelista"/>
        <w:numPr>
          <w:ilvl w:val="3"/>
          <w:numId w:val="7"/>
        </w:num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xml:space="preserve">No se puede dar acceso al mismo por contener datos personales </w:t>
      </w:r>
    </w:p>
    <w:p w:rsidR="007D2FCE" w:rsidRPr="007D2FCE" w:rsidRDefault="007D2FCE" w:rsidP="00D748A8">
      <w:pPr>
        <w:pStyle w:val="Prrafodelista"/>
        <w:numPr>
          <w:ilvl w:val="3"/>
          <w:numId w:val="7"/>
        </w:num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xml:space="preserve">Se encuentra disponible en la tesorería para su consulta </w:t>
      </w:r>
    </w:p>
    <w:p w:rsidR="007D2FCE" w:rsidRDefault="007D2FCE">
      <w:pPr>
        <w:spacing w:line="360" w:lineRule="auto"/>
        <w:jc w:val="both"/>
        <w:rPr>
          <w:rFonts w:ascii="Palatino Linotype" w:eastAsia="Palatino Linotype" w:hAnsi="Palatino Linotype" w:cs="Palatino Linotype"/>
        </w:rPr>
      </w:pPr>
    </w:p>
    <w:p w:rsidR="007D2FCE" w:rsidRDefault="00732101">
      <w:pPr>
        <w:spacing w:line="360" w:lineRule="auto"/>
        <w:ind w:right="49"/>
        <w:jc w:val="both"/>
        <w:rPr>
          <w:rFonts w:ascii="Palatino Linotype" w:eastAsia="Palatino Linotype" w:hAnsi="Palatino Linotype" w:cs="Palatino Linotype"/>
        </w:rPr>
      </w:pPr>
      <w:r w:rsidRPr="00EF0BB8">
        <w:rPr>
          <w:rFonts w:ascii="Palatino Linotype" w:eastAsia="Palatino Linotype" w:hAnsi="Palatino Linotype" w:cs="Palatino Linotype"/>
        </w:rPr>
        <w:t>Ahora bien, con el propósito de garantizar el efectivo ejercicio del derecho de acceso a la información pública que asiste al particular, r</w:t>
      </w:r>
      <w:r w:rsidR="007D2FCE" w:rsidRPr="00EF0BB8">
        <w:rPr>
          <w:rFonts w:ascii="Palatino Linotype" w:eastAsia="Palatino Linotype" w:hAnsi="Palatino Linotype" w:cs="Palatino Linotype"/>
        </w:rPr>
        <w:t xml:space="preserve">esulta conveniente expresar en primer lugar que </w:t>
      </w:r>
      <w:r w:rsidRPr="00EF0BB8">
        <w:rPr>
          <w:rFonts w:ascii="Palatino Linotype" w:eastAsia="Palatino Linotype" w:hAnsi="Palatino Linotype" w:cs="Palatino Linotype"/>
        </w:rPr>
        <w:t xml:space="preserve">del análisis a la respuesta, </w:t>
      </w:r>
      <w:r w:rsidR="007D2FCE" w:rsidRPr="00EF0BB8">
        <w:rPr>
          <w:rFonts w:ascii="Palatino Linotype" w:eastAsia="Palatino Linotype" w:hAnsi="Palatino Linotype" w:cs="Palatino Linotype"/>
        </w:rPr>
        <w:t xml:space="preserve">se advierte que en efecto la solicitud no fue turnada a todas las áreas competentes ya que únicamente se </w:t>
      </w:r>
      <w:r w:rsidR="00D748A8" w:rsidRPr="00EF0BB8">
        <w:rPr>
          <w:rFonts w:ascii="Palatino Linotype" w:eastAsia="Palatino Linotype" w:hAnsi="Palatino Linotype" w:cs="Palatino Linotype"/>
        </w:rPr>
        <w:t xml:space="preserve">pronunció </w:t>
      </w:r>
      <w:r>
        <w:rPr>
          <w:rFonts w:ascii="Palatino Linotype" w:eastAsia="Palatino Linotype" w:hAnsi="Palatino Linotype" w:cs="Palatino Linotype"/>
        </w:rPr>
        <w:t xml:space="preserve"> la Síndico Municipal y la Coordinadora Jurídica del Ayuntamiento refirieron no contar con la información solicitada</w:t>
      </w:r>
      <w:r w:rsidR="00EF0BB8">
        <w:rPr>
          <w:rFonts w:ascii="Palatino Linotype" w:eastAsia="Palatino Linotype" w:hAnsi="Palatino Linotype" w:cs="Palatino Linotype"/>
        </w:rPr>
        <w:t>; e</w:t>
      </w:r>
      <w:r w:rsidR="00EF0BB8" w:rsidRPr="00EF0BB8">
        <w:rPr>
          <w:rFonts w:ascii="Palatino Linotype" w:eastAsia="Palatino Linotype" w:hAnsi="Palatino Linotype" w:cs="Palatino Linotype"/>
        </w:rPr>
        <w:t>s hasta el momento d</w:t>
      </w:r>
      <w:r w:rsidR="007D2FCE" w:rsidRPr="00EF0BB8">
        <w:rPr>
          <w:rFonts w:ascii="Palatino Linotype" w:eastAsia="Palatino Linotype" w:hAnsi="Palatino Linotype" w:cs="Palatino Linotype"/>
        </w:rPr>
        <w:t xml:space="preserve">el informe </w:t>
      </w:r>
      <w:r w:rsidR="00EF0BB8" w:rsidRPr="00EF0BB8">
        <w:rPr>
          <w:rFonts w:ascii="Palatino Linotype" w:eastAsia="Palatino Linotype" w:hAnsi="Palatino Linotype" w:cs="Palatino Linotype"/>
        </w:rPr>
        <w:t>justificado</w:t>
      </w:r>
      <w:r w:rsidR="007D2FCE" w:rsidRPr="00EF0BB8">
        <w:rPr>
          <w:rFonts w:ascii="Palatino Linotype" w:eastAsia="Palatino Linotype" w:hAnsi="Palatino Linotype" w:cs="Palatino Linotype"/>
        </w:rPr>
        <w:t xml:space="preserve"> </w:t>
      </w:r>
      <w:r w:rsidR="00EF0BB8" w:rsidRPr="00EF0BB8">
        <w:rPr>
          <w:rFonts w:ascii="Palatino Linotype" w:eastAsia="Palatino Linotype" w:hAnsi="Palatino Linotype" w:cs="Palatino Linotype"/>
        </w:rPr>
        <w:t xml:space="preserve">que </w:t>
      </w:r>
      <w:r w:rsidR="007D2FCE" w:rsidRPr="00EF0BB8">
        <w:rPr>
          <w:rFonts w:ascii="Palatino Linotype" w:eastAsia="Palatino Linotype" w:hAnsi="Palatino Linotype" w:cs="Palatino Linotype"/>
        </w:rPr>
        <w:t xml:space="preserve">se obtuvo </w:t>
      </w:r>
      <w:r w:rsidR="00EF0BB8" w:rsidRPr="00EF0BB8">
        <w:rPr>
          <w:rFonts w:ascii="Palatino Linotype" w:eastAsia="Palatino Linotype" w:hAnsi="Palatino Linotype" w:cs="Palatino Linotype"/>
        </w:rPr>
        <w:t>respuesta por parte del Director General de Administración y Finanzas</w:t>
      </w:r>
      <w:r w:rsidR="00EF0BB8">
        <w:rPr>
          <w:rFonts w:ascii="Palatino Linotype" w:eastAsia="Palatino Linotype" w:hAnsi="Palatino Linotype" w:cs="Palatino Linotype"/>
        </w:rPr>
        <w:t>.</w:t>
      </w:r>
    </w:p>
    <w:p w:rsidR="002735C6" w:rsidRPr="002735C6" w:rsidRDefault="007D2FCE" w:rsidP="002735C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conviene señalar al </w:t>
      </w:r>
      <w:r w:rsidR="00EF0BB8" w:rsidRPr="00EF0BB8">
        <w:rPr>
          <w:rFonts w:ascii="Palatino Linotype" w:eastAsia="Palatino Linotype" w:hAnsi="Palatino Linotype" w:cs="Palatino Linotype"/>
          <w:b/>
        </w:rPr>
        <w:t>Sujeto Obligado</w:t>
      </w:r>
      <w:r w:rsidR="00EF0BB8">
        <w:rPr>
          <w:rFonts w:ascii="Palatino Linotype" w:eastAsia="Palatino Linotype" w:hAnsi="Palatino Linotype" w:cs="Palatino Linotype"/>
        </w:rPr>
        <w:t xml:space="preserve"> </w:t>
      </w:r>
      <w:r w:rsidR="002735C6">
        <w:rPr>
          <w:rFonts w:ascii="Palatino Linotype" w:hAnsi="Palatino Linotype"/>
          <w:lang w:val="es-MX" w:eastAsia="es-ES"/>
        </w:rPr>
        <w:t xml:space="preserve">que </w:t>
      </w:r>
      <w:r w:rsidR="002735C6" w:rsidRPr="002735C6">
        <w:rPr>
          <w:rFonts w:ascii="Palatino Linotype" w:eastAsia="Palatino Linotype" w:hAnsi="Palatino Linotype" w:cs="Palatino Linotype"/>
        </w:rPr>
        <w:t xml:space="preserve">de conformidad con el artículo 162 de la Ley de Transparencia y Acceso a la Información Pública del Estado de México y Municipios, el cual establece que la solicitud debe turnarse a todas las áreas competentes que pudieran generar la información, esto con el propósito de otorgar mayor certeza jurídica al particular sobre la realización de una búsqueda exhaustiva y razonable al interior de los archivos del </w:t>
      </w:r>
      <w:r w:rsidR="002735C6" w:rsidRPr="002735C6">
        <w:rPr>
          <w:rFonts w:ascii="Palatino Linotype" w:eastAsia="Palatino Linotype" w:hAnsi="Palatino Linotype" w:cs="Palatino Linotype"/>
          <w:b/>
        </w:rPr>
        <w:t>Sujeto Obligado</w:t>
      </w:r>
      <w:r w:rsidR="002735C6" w:rsidRPr="002735C6">
        <w:rPr>
          <w:rFonts w:ascii="Palatino Linotype" w:eastAsia="Palatino Linotype" w:hAnsi="Palatino Linotype" w:cs="Palatino Linotype"/>
        </w:rPr>
        <w:t xml:space="preserve">, la solicitud debió turnarse </w:t>
      </w:r>
      <w:r w:rsidR="002735C6">
        <w:rPr>
          <w:rFonts w:ascii="Palatino Linotype" w:eastAsia="Palatino Linotype" w:hAnsi="Palatino Linotype" w:cs="Palatino Linotype"/>
        </w:rPr>
        <w:t xml:space="preserve">en primer momento </w:t>
      </w:r>
      <w:r w:rsidR="002735C6" w:rsidRPr="002735C6">
        <w:rPr>
          <w:rFonts w:ascii="Palatino Linotype" w:eastAsia="Palatino Linotype" w:hAnsi="Palatino Linotype" w:cs="Palatino Linotype"/>
        </w:rPr>
        <w:t xml:space="preserve">a la </w:t>
      </w:r>
      <w:r w:rsidR="002735C6" w:rsidRPr="002735C6">
        <w:rPr>
          <w:rFonts w:ascii="Palatino Linotype" w:eastAsia="Palatino Linotype" w:hAnsi="Palatino Linotype" w:cs="Palatino Linotype"/>
          <w:b/>
        </w:rPr>
        <w:t>Dirección General de Administración y Finanzas</w:t>
      </w:r>
      <w:r w:rsidR="002735C6" w:rsidRPr="002735C6">
        <w:rPr>
          <w:rFonts w:ascii="Palatino Linotype" w:eastAsia="Palatino Linotype" w:hAnsi="Palatino Linotype" w:cs="Palatino Linotype"/>
        </w:rPr>
        <w:t>, lo anterior es así en virtud de que el párrafo segundo del artículo 85 del Bando Municipal del Ayuntamiento de Malinalco prevé que esta unidad administrativa adscrita a la Administración Pública Municipal es la competente al interior del Sujeto Obligado, para mejor proveer resulta pertinente traer a colación el contenido del citado precepto legal:</w:t>
      </w:r>
    </w:p>
    <w:p w:rsidR="002735C6" w:rsidRPr="002735C6" w:rsidRDefault="002735C6" w:rsidP="002735C6">
      <w:pPr>
        <w:ind w:left="567" w:right="707"/>
        <w:jc w:val="both"/>
        <w:rPr>
          <w:rFonts w:ascii="Palatino Linotype" w:eastAsia="Palatino Linotype" w:hAnsi="Palatino Linotype" w:cs="Palatino Linotype"/>
          <w:i/>
          <w:sz w:val="22"/>
          <w:szCs w:val="22"/>
        </w:rPr>
      </w:pPr>
    </w:p>
    <w:p w:rsidR="002735C6" w:rsidRPr="002735C6" w:rsidRDefault="002735C6" w:rsidP="002735C6">
      <w:pPr>
        <w:ind w:left="567" w:right="707"/>
        <w:jc w:val="both"/>
        <w:rPr>
          <w:rFonts w:ascii="Palatino Linotype" w:eastAsia="Palatino Linotype" w:hAnsi="Palatino Linotype" w:cs="Palatino Linotype"/>
          <w:i/>
          <w:sz w:val="22"/>
          <w:szCs w:val="22"/>
        </w:rPr>
      </w:pPr>
      <w:r w:rsidRPr="002735C6">
        <w:rPr>
          <w:rFonts w:ascii="Palatino Linotype" w:eastAsia="Palatino Linotype" w:hAnsi="Palatino Linotype" w:cs="Palatino Linotype"/>
          <w:i/>
          <w:sz w:val="22"/>
          <w:szCs w:val="22"/>
        </w:rPr>
        <w:t xml:space="preserve">“ARTÍCULO 85.- La Dirección General de Administración y Finanzas, es el único órgano de la Administración Pública, autorizado para la recaudación de los impuestos y demás contribuciones de los particulares de acuerdo con la Ley de Ingresos del Estado de México y Municipios y del Código Financiero del Estado de México vigentes y demás Leyes aplicables. </w:t>
      </w:r>
    </w:p>
    <w:p w:rsidR="002735C6" w:rsidRPr="002735C6" w:rsidRDefault="002735C6" w:rsidP="002735C6">
      <w:pPr>
        <w:ind w:left="567" w:right="707"/>
        <w:jc w:val="both"/>
        <w:rPr>
          <w:rFonts w:ascii="Palatino Linotype" w:eastAsia="Palatino Linotype" w:hAnsi="Palatino Linotype" w:cs="Palatino Linotype"/>
          <w:i/>
          <w:sz w:val="22"/>
          <w:szCs w:val="22"/>
        </w:rPr>
      </w:pPr>
    </w:p>
    <w:p w:rsidR="002735C6" w:rsidRDefault="002735C6" w:rsidP="002735C6">
      <w:pPr>
        <w:ind w:left="567" w:right="707"/>
        <w:jc w:val="both"/>
        <w:rPr>
          <w:rFonts w:ascii="Palatino Linotype" w:eastAsia="Palatino Linotype" w:hAnsi="Palatino Linotype" w:cs="Palatino Linotype"/>
          <w:i/>
          <w:sz w:val="22"/>
          <w:szCs w:val="22"/>
        </w:rPr>
      </w:pPr>
      <w:r w:rsidRPr="002735C6">
        <w:rPr>
          <w:rFonts w:ascii="Palatino Linotype" w:eastAsia="Palatino Linotype" w:hAnsi="Palatino Linotype" w:cs="Palatino Linotype"/>
          <w:b/>
          <w:i/>
          <w:sz w:val="22"/>
          <w:szCs w:val="22"/>
        </w:rPr>
        <w:t>La Dirección General de Administración y Finanzas</w:t>
      </w:r>
      <w:r w:rsidRPr="002735C6">
        <w:rPr>
          <w:rFonts w:ascii="Palatino Linotype" w:eastAsia="Palatino Linotype" w:hAnsi="Palatino Linotype" w:cs="Palatino Linotype"/>
          <w:i/>
          <w:sz w:val="22"/>
          <w:szCs w:val="22"/>
        </w:rPr>
        <w:t xml:space="preserve"> </w:t>
      </w:r>
      <w:r w:rsidRPr="002735C6">
        <w:rPr>
          <w:rFonts w:ascii="Palatino Linotype" w:eastAsia="Palatino Linotype" w:hAnsi="Palatino Linotype" w:cs="Palatino Linotype"/>
          <w:b/>
          <w:i/>
          <w:sz w:val="22"/>
          <w:szCs w:val="22"/>
        </w:rPr>
        <w:t>es el órgano</w:t>
      </w:r>
      <w:r w:rsidRPr="002735C6">
        <w:rPr>
          <w:rFonts w:ascii="Palatino Linotype" w:eastAsia="Palatino Linotype" w:hAnsi="Palatino Linotype" w:cs="Palatino Linotype"/>
          <w:i/>
          <w:sz w:val="22"/>
          <w:szCs w:val="22"/>
        </w:rPr>
        <w:t xml:space="preserve"> encargado de la recaudación de los ingresos municipales y </w:t>
      </w:r>
      <w:r w:rsidRPr="002735C6">
        <w:rPr>
          <w:rFonts w:ascii="Palatino Linotype" w:eastAsia="Palatino Linotype" w:hAnsi="Palatino Linotype" w:cs="Palatino Linotype"/>
          <w:b/>
          <w:i/>
          <w:sz w:val="22"/>
          <w:szCs w:val="22"/>
        </w:rPr>
        <w:t>responsable de realizar las erogaciones que haga el Ayuntamiento</w:t>
      </w:r>
      <w:r w:rsidRPr="002735C6">
        <w:rPr>
          <w:rFonts w:ascii="Palatino Linotype" w:eastAsia="Palatino Linotype" w:hAnsi="Palatino Linotype" w:cs="Palatino Linotype"/>
          <w:i/>
          <w:sz w:val="22"/>
          <w:szCs w:val="22"/>
        </w:rPr>
        <w:t xml:space="preserve">; </w:t>
      </w:r>
      <w:r w:rsidRPr="002735C6">
        <w:rPr>
          <w:rFonts w:ascii="Palatino Linotype" w:eastAsia="Palatino Linotype" w:hAnsi="Palatino Linotype" w:cs="Palatino Linotype"/>
          <w:b/>
          <w:i/>
          <w:sz w:val="22"/>
          <w:szCs w:val="22"/>
        </w:rPr>
        <w:t xml:space="preserve">estará a cargo un Director General con funciones de Tesorero Municipal, </w:t>
      </w:r>
      <w:r w:rsidRPr="002735C6">
        <w:rPr>
          <w:rFonts w:ascii="Palatino Linotype" w:eastAsia="Palatino Linotype" w:hAnsi="Palatino Linotype" w:cs="Palatino Linotype"/>
          <w:i/>
          <w:sz w:val="22"/>
          <w:szCs w:val="22"/>
        </w:rPr>
        <w:t>el cual al tomar posesión de su cargo, recibirá la hacienda pública de acuerdo con las previsiones a que se refiere el artículo 19 de la Ley Orgánica y remitirá un ejemplar de dicha documentación al Ayuntamiento, al Órgano Superior de Fiscalización del Estado de México y al archivo de la Dirección General de Administración y Finanzas (tesorería municipal).”</w:t>
      </w:r>
    </w:p>
    <w:p w:rsidR="002735C6" w:rsidRPr="002735C6" w:rsidRDefault="002735C6" w:rsidP="002735C6">
      <w:pPr>
        <w:ind w:left="567" w:right="707"/>
        <w:jc w:val="both"/>
        <w:rPr>
          <w:rFonts w:ascii="Palatino Linotype" w:eastAsia="Palatino Linotype" w:hAnsi="Palatino Linotype" w:cs="Palatino Linotype"/>
          <w:i/>
          <w:sz w:val="22"/>
          <w:szCs w:val="22"/>
        </w:rPr>
      </w:pPr>
    </w:p>
    <w:p w:rsidR="002735C6" w:rsidRPr="002735C6" w:rsidRDefault="002735C6" w:rsidP="002735C6">
      <w:pPr>
        <w:ind w:left="567" w:right="707"/>
        <w:jc w:val="both"/>
        <w:rPr>
          <w:rFonts w:ascii="Palatino Linotype" w:eastAsia="Palatino Linotype" w:hAnsi="Palatino Linotype" w:cs="Palatino Linotype"/>
          <w:i/>
          <w:sz w:val="22"/>
          <w:szCs w:val="22"/>
        </w:rPr>
      </w:pPr>
      <w:r w:rsidRPr="002735C6">
        <w:rPr>
          <w:rFonts w:ascii="Palatino Linotype" w:eastAsia="Palatino Linotype" w:hAnsi="Palatino Linotype" w:cs="Palatino Linotype"/>
          <w:i/>
          <w:sz w:val="22"/>
          <w:szCs w:val="22"/>
        </w:rPr>
        <w:t>(Énfasis añadido)</w:t>
      </w:r>
    </w:p>
    <w:p w:rsidR="002735C6" w:rsidRPr="002735C6" w:rsidRDefault="002735C6" w:rsidP="002735C6">
      <w:pPr>
        <w:spacing w:line="360" w:lineRule="auto"/>
        <w:ind w:right="49"/>
        <w:jc w:val="both"/>
        <w:rPr>
          <w:rFonts w:ascii="Palatino Linotype" w:eastAsia="Palatino Linotype" w:hAnsi="Palatino Linotype" w:cs="Palatino Linotype"/>
        </w:rPr>
      </w:pPr>
    </w:p>
    <w:p w:rsidR="002735C6" w:rsidRPr="002735C6" w:rsidRDefault="002735C6" w:rsidP="002735C6">
      <w:pPr>
        <w:spacing w:line="360" w:lineRule="auto"/>
        <w:ind w:right="49"/>
        <w:jc w:val="both"/>
        <w:rPr>
          <w:rFonts w:ascii="Palatino Linotype" w:eastAsia="Palatino Linotype" w:hAnsi="Palatino Linotype" w:cs="Palatino Linotype"/>
        </w:rPr>
      </w:pPr>
      <w:r w:rsidRPr="002735C6">
        <w:rPr>
          <w:rFonts w:ascii="Palatino Linotype" w:eastAsia="Palatino Linotype" w:hAnsi="Palatino Linotype" w:cs="Palatino Linotype"/>
        </w:rPr>
        <w:t xml:space="preserve">A su vez esta Dirección se subdividirá para una mejor atención de los asuntos de su competencia en Subdirección de Administración y Subdirección de Tesorería Municipal, revistiendo interés para el presente estudio, la naturaleza de la primera toda vez que dentro de su estructura se encuentra la Jefatura de Servicios Generales, unidades en las cuales puede obrar lo requerido por </w:t>
      </w:r>
      <w:r w:rsidRPr="002735C6">
        <w:rPr>
          <w:rFonts w:ascii="Palatino Linotype" w:eastAsia="Palatino Linotype" w:hAnsi="Palatino Linotype" w:cs="Palatino Linotype"/>
          <w:b/>
        </w:rPr>
        <w:t>el Recurrente</w:t>
      </w:r>
      <w:r w:rsidRPr="002735C6">
        <w:rPr>
          <w:rFonts w:ascii="Palatino Linotype" w:eastAsia="Palatino Linotype" w:hAnsi="Palatino Linotype" w:cs="Palatino Linotype"/>
        </w:rPr>
        <w:t xml:space="preserve">, para ello se debe traer a colación el siguiente artículo: </w:t>
      </w:r>
    </w:p>
    <w:p w:rsidR="002735C6" w:rsidRPr="002735C6" w:rsidRDefault="002735C6" w:rsidP="002735C6">
      <w:pPr>
        <w:spacing w:line="360" w:lineRule="auto"/>
        <w:ind w:left="567" w:right="707"/>
        <w:jc w:val="both"/>
        <w:rPr>
          <w:rFonts w:ascii="Palatino Linotype" w:eastAsia="Palatino Linotype" w:hAnsi="Palatino Linotype" w:cs="Palatino Linotype"/>
        </w:rPr>
      </w:pPr>
    </w:p>
    <w:p w:rsidR="002735C6" w:rsidRPr="002735C6" w:rsidRDefault="002735C6" w:rsidP="002735C6">
      <w:pPr>
        <w:ind w:left="567" w:right="707"/>
        <w:jc w:val="both"/>
        <w:rPr>
          <w:rFonts w:ascii="Palatino Linotype" w:eastAsia="Palatino Linotype" w:hAnsi="Palatino Linotype" w:cs="Palatino Linotype"/>
          <w:i/>
          <w:sz w:val="22"/>
          <w:szCs w:val="22"/>
        </w:rPr>
      </w:pPr>
      <w:r w:rsidRPr="002735C6">
        <w:rPr>
          <w:rFonts w:ascii="Palatino Linotype" w:eastAsia="Palatino Linotype" w:hAnsi="Palatino Linotype" w:cs="Palatino Linotype"/>
          <w:i/>
          <w:sz w:val="22"/>
          <w:szCs w:val="22"/>
        </w:rPr>
        <w:t>“SECCIÓN IV-</w:t>
      </w:r>
      <w:r w:rsidRPr="002735C6">
        <w:rPr>
          <w:rFonts w:ascii="Palatino Linotype" w:eastAsia="Palatino Linotype" w:hAnsi="Palatino Linotype" w:cs="Palatino Linotype"/>
          <w:b/>
          <w:i/>
          <w:sz w:val="22"/>
          <w:szCs w:val="22"/>
        </w:rPr>
        <w:t>DE LAS ATRIBUCIONES DE LA SUBDIRECCIÓN DE ADMINISTRACIÓN</w:t>
      </w:r>
      <w:r w:rsidRPr="002735C6">
        <w:rPr>
          <w:rFonts w:ascii="Palatino Linotype" w:eastAsia="Palatino Linotype" w:hAnsi="Palatino Linotype" w:cs="Palatino Linotype"/>
          <w:i/>
          <w:sz w:val="22"/>
          <w:szCs w:val="22"/>
        </w:rPr>
        <w:t xml:space="preserve"> </w:t>
      </w:r>
    </w:p>
    <w:p w:rsidR="002735C6" w:rsidRPr="002735C6" w:rsidRDefault="002735C6" w:rsidP="002735C6">
      <w:pPr>
        <w:ind w:left="567" w:right="707"/>
        <w:jc w:val="both"/>
        <w:rPr>
          <w:rFonts w:ascii="Palatino Linotype" w:eastAsia="Palatino Linotype" w:hAnsi="Palatino Linotype" w:cs="Palatino Linotype"/>
          <w:b/>
          <w:i/>
          <w:sz w:val="22"/>
          <w:szCs w:val="22"/>
        </w:rPr>
      </w:pPr>
      <w:r w:rsidRPr="002735C6">
        <w:rPr>
          <w:rFonts w:ascii="Palatino Linotype" w:eastAsia="Palatino Linotype" w:hAnsi="Palatino Linotype" w:cs="Palatino Linotype"/>
          <w:b/>
          <w:i/>
          <w:sz w:val="22"/>
          <w:szCs w:val="22"/>
        </w:rPr>
        <w:t xml:space="preserve">ARTÍCULO 92.- Son atribuciones de la Subdirección de Administración las siguientes: </w:t>
      </w:r>
    </w:p>
    <w:p w:rsidR="002735C6" w:rsidRPr="002735C6" w:rsidRDefault="002735C6" w:rsidP="002735C6">
      <w:pPr>
        <w:numPr>
          <w:ilvl w:val="0"/>
          <w:numId w:val="2"/>
        </w:numPr>
        <w:pBdr>
          <w:top w:val="nil"/>
          <w:left w:val="nil"/>
          <w:bottom w:val="nil"/>
          <w:right w:val="nil"/>
          <w:between w:val="nil"/>
        </w:pBdr>
        <w:ind w:left="567" w:right="707" w:hanging="141"/>
        <w:jc w:val="both"/>
        <w:rPr>
          <w:rFonts w:ascii="Palatino Linotype" w:eastAsia="Palatino Linotype" w:hAnsi="Palatino Linotype" w:cs="Palatino Linotype"/>
          <w:i/>
          <w:color w:val="000000"/>
          <w:sz w:val="22"/>
          <w:szCs w:val="22"/>
        </w:rPr>
      </w:pPr>
      <w:r w:rsidRPr="002735C6">
        <w:rPr>
          <w:rFonts w:ascii="Palatino Linotype" w:eastAsia="Palatino Linotype" w:hAnsi="Palatino Linotype" w:cs="Palatino Linotype"/>
          <w:i/>
          <w:color w:val="000000"/>
          <w:sz w:val="22"/>
          <w:szCs w:val="22"/>
        </w:rPr>
        <w:t xml:space="preserve">Contratar y asignar a las Dependencias de la Administración Pública Municipal el personal necesario para el ejercicio de sus atribuciones, suscribiendo los contratos respectivos en conjunto con la Coordinación de Recursos Humanos; </w:t>
      </w:r>
    </w:p>
    <w:p w:rsidR="002735C6" w:rsidRPr="002735C6" w:rsidRDefault="002735C6" w:rsidP="002735C6">
      <w:pPr>
        <w:numPr>
          <w:ilvl w:val="0"/>
          <w:numId w:val="2"/>
        </w:numPr>
        <w:pBdr>
          <w:top w:val="nil"/>
          <w:left w:val="nil"/>
          <w:bottom w:val="nil"/>
          <w:right w:val="nil"/>
          <w:between w:val="nil"/>
        </w:pBdr>
        <w:ind w:left="567" w:right="707" w:hanging="141"/>
        <w:jc w:val="both"/>
        <w:rPr>
          <w:rFonts w:ascii="Palatino Linotype" w:eastAsia="Palatino Linotype" w:hAnsi="Palatino Linotype" w:cs="Palatino Linotype"/>
          <w:b/>
          <w:i/>
          <w:color w:val="000000"/>
          <w:sz w:val="22"/>
          <w:szCs w:val="22"/>
        </w:rPr>
      </w:pPr>
      <w:r w:rsidRPr="002735C6">
        <w:rPr>
          <w:rFonts w:ascii="Palatino Linotype" w:eastAsia="Palatino Linotype" w:hAnsi="Palatino Linotype" w:cs="Palatino Linotype"/>
          <w:b/>
          <w:i/>
          <w:color w:val="000000"/>
          <w:sz w:val="22"/>
          <w:szCs w:val="22"/>
        </w:rPr>
        <w:t xml:space="preserve">Dar cumplimiento a lo señalado por las leyes aplicables en lo referente a las adquisiciones, enajenaciones, arrendamientos y servicios, en coordinación con las dependencias y unidades administrativas interesadas; </w:t>
      </w:r>
    </w:p>
    <w:p w:rsidR="002735C6" w:rsidRPr="002735C6" w:rsidRDefault="002735C6" w:rsidP="002735C6">
      <w:pPr>
        <w:numPr>
          <w:ilvl w:val="0"/>
          <w:numId w:val="2"/>
        </w:numPr>
        <w:pBdr>
          <w:top w:val="nil"/>
          <w:left w:val="nil"/>
          <w:bottom w:val="nil"/>
          <w:right w:val="nil"/>
          <w:between w:val="nil"/>
        </w:pBdr>
        <w:ind w:left="567" w:right="707" w:hanging="283"/>
        <w:jc w:val="both"/>
        <w:rPr>
          <w:rFonts w:ascii="Palatino Linotype" w:eastAsia="Palatino Linotype" w:hAnsi="Palatino Linotype" w:cs="Palatino Linotype"/>
          <w:i/>
          <w:color w:val="000000"/>
          <w:sz w:val="22"/>
          <w:szCs w:val="22"/>
        </w:rPr>
      </w:pPr>
      <w:r w:rsidRPr="002735C6">
        <w:rPr>
          <w:rFonts w:ascii="Palatino Linotype" w:eastAsia="Palatino Linotype" w:hAnsi="Palatino Linotype" w:cs="Palatino Linotype"/>
          <w:i/>
          <w:color w:val="000000"/>
          <w:sz w:val="22"/>
          <w:szCs w:val="22"/>
        </w:rPr>
        <w:t xml:space="preserve">Apoyar, con la Coordinación de Eventos Especiales y en conjunto con las demás dependencias administrativas, la celebración de eventos; </w:t>
      </w:r>
    </w:p>
    <w:p w:rsidR="002735C6" w:rsidRPr="002735C6" w:rsidRDefault="002735C6" w:rsidP="002735C6">
      <w:pPr>
        <w:numPr>
          <w:ilvl w:val="0"/>
          <w:numId w:val="2"/>
        </w:numPr>
        <w:pBdr>
          <w:top w:val="nil"/>
          <w:left w:val="nil"/>
          <w:bottom w:val="nil"/>
          <w:right w:val="nil"/>
          <w:between w:val="nil"/>
        </w:pBdr>
        <w:ind w:left="567" w:right="707" w:hanging="283"/>
        <w:jc w:val="both"/>
        <w:rPr>
          <w:rFonts w:ascii="Palatino Linotype" w:eastAsia="Palatino Linotype" w:hAnsi="Palatino Linotype" w:cs="Palatino Linotype"/>
          <w:i/>
          <w:color w:val="000000"/>
          <w:sz w:val="22"/>
          <w:szCs w:val="22"/>
        </w:rPr>
      </w:pPr>
      <w:r w:rsidRPr="002735C6">
        <w:rPr>
          <w:rFonts w:ascii="Palatino Linotype" w:eastAsia="Palatino Linotype" w:hAnsi="Palatino Linotype" w:cs="Palatino Linotype"/>
          <w:i/>
          <w:color w:val="000000"/>
          <w:sz w:val="22"/>
          <w:szCs w:val="22"/>
        </w:rPr>
        <w:t xml:space="preserve">Desarrollar programas de sistematización, mejoramiento y modernización de la administración municipal, en coordinación con las demás dependencias; </w:t>
      </w:r>
    </w:p>
    <w:p w:rsidR="002735C6" w:rsidRPr="002735C6" w:rsidRDefault="002735C6" w:rsidP="002735C6">
      <w:pPr>
        <w:numPr>
          <w:ilvl w:val="0"/>
          <w:numId w:val="2"/>
        </w:numPr>
        <w:pBdr>
          <w:top w:val="nil"/>
          <w:left w:val="nil"/>
          <w:bottom w:val="nil"/>
          <w:right w:val="nil"/>
          <w:between w:val="nil"/>
        </w:pBdr>
        <w:ind w:left="567" w:right="707" w:hanging="283"/>
        <w:jc w:val="both"/>
        <w:rPr>
          <w:rFonts w:ascii="Palatino Linotype" w:eastAsia="Palatino Linotype" w:hAnsi="Palatino Linotype" w:cs="Palatino Linotype"/>
          <w:i/>
          <w:color w:val="000000"/>
          <w:sz w:val="22"/>
          <w:szCs w:val="22"/>
        </w:rPr>
      </w:pPr>
      <w:r w:rsidRPr="002735C6">
        <w:rPr>
          <w:rFonts w:ascii="Palatino Linotype" w:eastAsia="Palatino Linotype" w:hAnsi="Palatino Linotype" w:cs="Palatino Linotype"/>
          <w:i/>
          <w:color w:val="000000"/>
          <w:sz w:val="22"/>
          <w:szCs w:val="22"/>
        </w:rPr>
        <w:t xml:space="preserve">Coordinarse con las demás dependencias de la administración municipal para la elaboración y actualización de reglamentos y manuales de organización; </w:t>
      </w:r>
    </w:p>
    <w:p w:rsidR="002735C6" w:rsidRPr="002735C6" w:rsidRDefault="002735C6" w:rsidP="002735C6">
      <w:pPr>
        <w:numPr>
          <w:ilvl w:val="0"/>
          <w:numId w:val="2"/>
        </w:numPr>
        <w:pBdr>
          <w:top w:val="nil"/>
          <w:left w:val="nil"/>
          <w:bottom w:val="nil"/>
          <w:right w:val="nil"/>
          <w:between w:val="nil"/>
        </w:pBdr>
        <w:ind w:left="567" w:right="707" w:hanging="283"/>
        <w:jc w:val="both"/>
        <w:rPr>
          <w:rFonts w:ascii="Palatino Linotype" w:eastAsia="Palatino Linotype" w:hAnsi="Palatino Linotype" w:cs="Palatino Linotype"/>
          <w:i/>
          <w:color w:val="000000"/>
          <w:sz w:val="22"/>
          <w:szCs w:val="22"/>
        </w:rPr>
      </w:pPr>
      <w:r w:rsidRPr="002735C6">
        <w:rPr>
          <w:rFonts w:ascii="Palatino Linotype" w:eastAsia="Palatino Linotype" w:hAnsi="Palatino Linotype" w:cs="Palatino Linotype"/>
          <w:i/>
          <w:color w:val="000000"/>
          <w:sz w:val="22"/>
          <w:szCs w:val="22"/>
        </w:rPr>
        <w:t xml:space="preserve">Elaborar las Actas Administrativas, por faltas cometidas por los servidores públicos, mediante la Jefatura de Recursos Humanos; y </w:t>
      </w:r>
    </w:p>
    <w:p w:rsidR="002735C6" w:rsidRPr="002735C6" w:rsidRDefault="002735C6" w:rsidP="002735C6">
      <w:pPr>
        <w:numPr>
          <w:ilvl w:val="0"/>
          <w:numId w:val="2"/>
        </w:numPr>
        <w:pBdr>
          <w:top w:val="nil"/>
          <w:left w:val="nil"/>
          <w:bottom w:val="nil"/>
          <w:right w:val="nil"/>
          <w:between w:val="nil"/>
        </w:pBdr>
        <w:ind w:left="567" w:right="707" w:hanging="425"/>
        <w:jc w:val="both"/>
        <w:rPr>
          <w:rFonts w:ascii="Palatino Linotype" w:eastAsia="Palatino Linotype" w:hAnsi="Palatino Linotype" w:cs="Palatino Linotype"/>
          <w:i/>
          <w:color w:val="000000"/>
          <w:sz w:val="22"/>
          <w:szCs w:val="22"/>
        </w:rPr>
      </w:pPr>
      <w:r w:rsidRPr="002735C6">
        <w:rPr>
          <w:rFonts w:ascii="Palatino Linotype" w:eastAsia="Palatino Linotype" w:hAnsi="Palatino Linotype" w:cs="Palatino Linotype"/>
          <w:i/>
          <w:color w:val="000000"/>
          <w:sz w:val="22"/>
          <w:szCs w:val="22"/>
        </w:rPr>
        <w:t xml:space="preserve">Realizar todas aquellas atribuciones que sean de su competencia, para el desarrollo institucional de la administración pública municipal. </w:t>
      </w:r>
    </w:p>
    <w:p w:rsidR="002735C6" w:rsidRPr="002735C6" w:rsidRDefault="002735C6" w:rsidP="002735C6">
      <w:pPr>
        <w:numPr>
          <w:ilvl w:val="0"/>
          <w:numId w:val="2"/>
        </w:numPr>
        <w:pBdr>
          <w:top w:val="nil"/>
          <w:left w:val="nil"/>
          <w:bottom w:val="nil"/>
          <w:right w:val="nil"/>
          <w:between w:val="nil"/>
        </w:pBdr>
        <w:ind w:left="567" w:right="707" w:hanging="425"/>
        <w:jc w:val="both"/>
        <w:rPr>
          <w:rFonts w:ascii="Palatino Linotype" w:eastAsia="Palatino Linotype" w:hAnsi="Palatino Linotype" w:cs="Palatino Linotype"/>
          <w:i/>
          <w:color w:val="000000"/>
          <w:sz w:val="22"/>
          <w:szCs w:val="22"/>
        </w:rPr>
      </w:pPr>
      <w:r w:rsidRPr="002735C6">
        <w:rPr>
          <w:rFonts w:ascii="Palatino Linotype" w:eastAsia="Palatino Linotype" w:hAnsi="Palatino Linotype" w:cs="Palatino Linotype"/>
          <w:i/>
          <w:color w:val="000000"/>
          <w:sz w:val="22"/>
          <w:szCs w:val="22"/>
        </w:rPr>
        <w:t xml:space="preserve">En su caso, rescindir las relaciones laborales de los trabajadores del ayuntamiento. </w:t>
      </w:r>
    </w:p>
    <w:p w:rsidR="002735C6" w:rsidRPr="002735C6" w:rsidRDefault="002735C6" w:rsidP="002735C6">
      <w:pPr>
        <w:numPr>
          <w:ilvl w:val="0"/>
          <w:numId w:val="2"/>
        </w:numPr>
        <w:pBdr>
          <w:top w:val="nil"/>
          <w:left w:val="nil"/>
          <w:bottom w:val="nil"/>
          <w:right w:val="nil"/>
          <w:between w:val="nil"/>
        </w:pBdr>
        <w:ind w:left="567" w:right="707" w:hanging="283"/>
        <w:jc w:val="both"/>
        <w:rPr>
          <w:rFonts w:ascii="Palatino Linotype" w:eastAsia="Palatino Linotype" w:hAnsi="Palatino Linotype" w:cs="Palatino Linotype"/>
          <w:i/>
          <w:color w:val="000000"/>
          <w:sz w:val="22"/>
          <w:szCs w:val="22"/>
        </w:rPr>
      </w:pPr>
      <w:r w:rsidRPr="002735C6">
        <w:rPr>
          <w:rFonts w:ascii="Palatino Linotype" w:eastAsia="Palatino Linotype" w:hAnsi="Palatino Linotype" w:cs="Palatino Linotype"/>
          <w:i/>
          <w:color w:val="000000"/>
          <w:sz w:val="22"/>
          <w:szCs w:val="22"/>
        </w:rPr>
        <w:t xml:space="preserve">Las demás que les señalen las demás disposiciones legales aplicables. </w:t>
      </w:r>
    </w:p>
    <w:p w:rsidR="002735C6" w:rsidRPr="002735C6" w:rsidRDefault="002735C6" w:rsidP="002735C6">
      <w:pPr>
        <w:ind w:left="567" w:right="707"/>
        <w:jc w:val="both"/>
        <w:rPr>
          <w:rFonts w:ascii="Palatino Linotype" w:eastAsia="Palatino Linotype" w:hAnsi="Palatino Linotype" w:cs="Palatino Linotype"/>
          <w:i/>
          <w:sz w:val="22"/>
          <w:szCs w:val="22"/>
        </w:rPr>
      </w:pPr>
      <w:r w:rsidRPr="002735C6">
        <w:rPr>
          <w:rFonts w:ascii="Palatino Linotype" w:eastAsia="Palatino Linotype" w:hAnsi="Palatino Linotype" w:cs="Palatino Linotype"/>
          <w:i/>
          <w:sz w:val="22"/>
          <w:szCs w:val="22"/>
        </w:rPr>
        <w:t xml:space="preserve"> (Énfasis añadido)</w:t>
      </w:r>
    </w:p>
    <w:p w:rsidR="002735C6" w:rsidRPr="002735C6" w:rsidRDefault="002735C6" w:rsidP="002735C6">
      <w:pPr>
        <w:spacing w:line="360" w:lineRule="auto"/>
        <w:ind w:right="49"/>
        <w:jc w:val="both"/>
        <w:rPr>
          <w:rFonts w:ascii="Palatino Linotype" w:eastAsia="Palatino Linotype" w:hAnsi="Palatino Linotype" w:cs="Palatino Linotype"/>
        </w:rPr>
      </w:pPr>
    </w:p>
    <w:p w:rsidR="002735C6" w:rsidRDefault="002735C6" w:rsidP="002735C6">
      <w:pPr>
        <w:spacing w:line="360" w:lineRule="auto"/>
        <w:ind w:right="49"/>
        <w:jc w:val="both"/>
        <w:rPr>
          <w:rFonts w:ascii="Palatino Linotype" w:eastAsia="Palatino Linotype" w:hAnsi="Palatino Linotype" w:cs="Palatino Linotype"/>
        </w:rPr>
      </w:pPr>
      <w:r w:rsidRPr="002735C6">
        <w:rPr>
          <w:rFonts w:ascii="Palatino Linotype" w:eastAsia="Palatino Linotype" w:hAnsi="Palatino Linotype" w:cs="Palatino Linotype"/>
        </w:rPr>
        <w:t xml:space="preserve">De lo anteriormente citado se concluye que dentro de la estructura de la Dirección General de Administración y Finanzas del </w:t>
      </w:r>
      <w:r w:rsidRPr="002735C6">
        <w:rPr>
          <w:rFonts w:ascii="Palatino Linotype" w:eastAsia="Palatino Linotype" w:hAnsi="Palatino Linotype" w:cs="Palatino Linotype"/>
          <w:b/>
        </w:rPr>
        <w:t xml:space="preserve">Sujeto Obligado </w:t>
      </w:r>
      <w:r w:rsidRPr="002735C6">
        <w:rPr>
          <w:rFonts w:ascii="Palatino Linotype" w:eastAsia="Palatino Linotype" w:hAnsi="Palatino Linotype" w:cs="Palatino Linotype"/>
        </w:rPr>
        <w:t>existen unidades administrativas cuyas funciones consisten en realizar las adquisiciones, enajenaciones, arrendamientos y servicios, esto en coordinación con las unidades administrativas interesadas en realizar estas operaciones.</w:t>
      </w:r>
    </w:p>
    <w:p w:rsidR="002430E6" w:rsidRDefault="002430E6" w:rsidP="002430E6">
      <w:pPr>
        <w:spacing w:line="360" w:lineRule="auto"/>
        <w:ind w:right="49"/>
        <w:jc w:val="both"/>
        <w:rPr>
          <w:rFonts w:ascii="Palatino Linotype" w:eastAsia="Palatino Linotype" w:hAnsi="Palatino Linotype" w:cs="Palatino Linotype"/>
        </w:rPr>
      </w:pPr>
    </w:p>
    <w:p w:rsidR="002430E6" w:rsidRPr="002430E6" w:rsidRDefault="002430E6" w:rsidP="002430E6">
      <w:pPr>
        <w:spacing w:line="360" w:lineRule="auto"/>
        <w:ind w:right="49"/>
        <w:jc w:val="both"/>
        <w:rPr>
          <w:rFonts w:ascii="Palatino Linotype" w:eastAsia="Palatino Linotype" w:hAnsi="Palatino Linotype" w:cs="Palatino Linotype"/>
        </w:rPr>
      </w:pPr>
      <w:r w:rsidRPr="002430E6">
        <w:rPr>
          <w:rFonts w:ascii="Palatino Linotype" w:eastAsia="Palatino Linotype" w:hAnsi="Palatino Linotype" w:cs="Palatino Linotype"/>
        </w:rPr>
        <w:t xml:space="preserve">En esta tesitura, el artículo 26 de la Ley de Contratación Pública del Estado de México prevé que también las adquisiciones, arrendamientos y servicios pueden adjudicarse mediante licitación pública, esto previa emisión de una convocatoria pública, asimismo la legislación en análisis regula lo siguiente sobre el tópico en estudio: </w:t>
      </w:r>
    </w:p>
    <w:p w:rsidR="002430E6" w:rsidRPr="002430E6" w:rsidRDefault="002430E6" w:rsidP="002430E6">
      <w:pPr>
        <w:ind w:left="567" w:right="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“Artículo 35.- </w:t>
      </w:r>
      <w:r w:rsidRPr="002430E6">
        <w:rPr>
          <w:rFonts w:ascii="Palatino Linotype" w:eastAsia="Palatino Linotype" w:hAnsi="Palatino Linotype" w:cs="Palatino Linotype"/>
          <w:i/>
          <w:sz w:val="22"/>
          <w:szCs w:val="22"/>
        </w:rPr>
        <w:t xml:space="preserve">En los procedimientos de licitación pública se observará lo siguiente: </w:t>
      </w:r>
    </w:p>
    <w:p w:rsidR="002430E6" w:rsidRPr="002430E6" w:rsidRDefault="002430E6" w:rsidP="002430E6">
      <w:pPr>
        <w:ind w:left="567" w:right="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I. </w:t>
      </w:r>
      <w:r w:rsidRPr="002430E6">
        <w:rPr>
          <w:rFonts w:ascii="Palatino Linotype" w:eastAsia="Palatino Linotype" w:hAnsi="Palatino Linotype" w:cs="Palatino Linotype"/>
          <w:i/>
          <w:sz w:val="22"/>
          <w:szCs w:val="22"/>
        </w:rPr>
        <w:t xml:space="preserve">El acto de presentación y apertura de propuestas se llevará a cabo por el servidor público que designe la convocante, conforme al procedimiento que se establezca en el reglamento de esta Ley. </w:t>
      </w:r>
    </w:p>
    <w:p w:rsidR="002430E6" w:rsidRPr="002430E6" w:rsidRDefault="002430E6" w:rsidP="002430E6">
      <w:pPr>
        <w:ind w:left="567" w:right="51"/>
        <w:jc w:val="both"/>
        <w:rPr>
          <w:rFonts w:ascii="Palatino Linotype" w:eastAsia="Palatino Linotype" w:hAnsi="Palatino Linotype" w:cs="Palatino Linotype"/>
          <w:b/>
          <w:i/>
          <w:sz w:val="22"/>
          <w:szCs w:val="22"/>
          <w:u w:val="single"/>
        </w:rPr>
      </w:pPr>
      <w:r w:rsidRPr="002430E6">
        <w:rPr>
          <w:rFonts w:ascii="Palatino Linotype" w:eastAsia="Palatino Linotype" w:hAnsi="Palatino Linotype" w:cs="Palatino Linotype"/>
          <w:b/>
          <w:i/>
          <w:sz w:val="22"/>
          <w:szCs w:val="22"/>
        </w:rPr>
        <w:t xml:space="preserve">II. </w:t>
      </w:r>
      <w:r w:rsidRPr="002430E6">
        <w:rPr>
          <w:rFonts w:ascii="Palatino Linotype" w:eastAsia="Palatino Linotype" w:hAnsi="Palatino Linotype" w:cs="Palatino Linotype"/>
          <w:i/>
          <w:sz w:val="22"/>
          <w:szCs w:val="22"/>
        </w:rPr>
        <w:t>El comité de adquisiciones y servicios evaluará y analizará las propuestas técnicas y económicas presentadas por los licitantes en el ámbito de las respectivas competencias de sus integrantes, y emitirá el dictamen de adjudicación.</w:t>
      </w:r>
      <w:r w:rsidRPr="002430E6">
        <w:rPr>
          <w:rFonts w:ascii="Palatino Linotype" w:eastAsia="Palatino Linotype" w:hAnsi="Palatino Linotype" w:cs="Palatino Linotype"/>
          <w:b/>
          <w:i/>
          <w:sz w:val="22"/>
          <w:szCs w:val="22"/>
          <w:u w:val="single"/>
        </w:rPr>
        <w:t xml:space="preserve"> </w:t>
      </w:r>
    </w:p>
    <w:p w:rsidR="002430E6" w:rsidRPr="002430E6" w:rsidRDefault="002430E6" w:rsidP="002430E6">
      <w:pPr>
        <w:ind w:left="567" w:right="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III. </w:t>
      </w:r>
      <w:r w:rsidRPr="002430E6">
        <w:rPr>
          <w:rFonts w:ascii="Palatino Linotype" w:eastAsia="Palatino Linotype" w:hAnsi="Palatino Linotype" w:cs="Palatino Linotype"/>
          <w:i/>
          <w:sz w:val="22"/>
          <w:szCs w:val="22"/>
        </w:rPr>
        <w:t xml:space="preserve">Las bases de licitación se pondrán a la venta a partir de la fecha de publicación de la convocatoria y hasta el día hábil anterior a la fecha de celebración de la junta de aclaraciones o, en su defecto, del acto de presentación y apertura de propuestas. </w:t>
      </w:r>
    </w:p>
    <w:p w:rsidR="002430E6" w:rsidRPr="002430E6" w:rsidRDefault="002430E6" w:rsidP="002430E6">
      <w:pPr>
        <w:ind w:left="567" w:right="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IV. </w:t>
      </w:r>
      <w:r w:rsidRPr="002430E6">
        <w:rPr>
          <w:rFonts w:ascii="Palatino Linotype" w:eastAsia="Palatino Linotype" w:hAnsi="Palatino Linotype" w:cs="Palatino Linotype"/>
          <w:i/>
          <w:sz w:val="22"/>
          <w:szCs w:val="22"/>
        </w:rPr>
        <w:t>Las convocantes podrán modificar los plazos y términos establecidos en la convocatoria o en las bases de licitación, hasta cinco días hábiles anteriores a la fecha de la celebración del acto de presentación y apertura de propuestas.</w:t>
      </w:r>
    </w:p>
    <w:p w:rsidR="002430E6" w:rsidRPr="002430E6" w:rsidRDefault="002430E6" w:rsidP="002430E6">
      <w:pPr>
        <w:ind w:left="567" w:right="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V. </w:t>
      </w:r>
      <w:r w:rsidRPr="002430E6">
        <w:rPr>
          <w:rFonts w:ascii="Palatino Linotype" w:eastAsia="Palatino Linotype" w:hAnsi="Palatino Linotype" w:cs="Palatino Linotype"/>
          <w:i/>
          <w:sz w:val="22"/>
          <w:szCs w:val="22"/>
        </w:rPr>
        <w:t xml:space="preserve">Las modificaciones no podrán limitar el número de licitantes, sustituir o variar sustancialmente los bienes o servicios convocados originalmente, ni adicionar otros distintos. </w:t>
      </w:r>
    </w:p>
    <w:p w:rsidR="002430E6" w:rsidRPr="002430E6" w:rsidRDefault="002430E6" w:rsidP="002430E6">
      <w:pPr>
        <w:ind w:left="567" w:right="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VI. </w:t>
      </w:r>
      <w:r w:rsidRPr="002430E6">
        <w:rPr>
          <w:rFonts w:ascii="Palatino Linotype" w:eastAsia="Palatino Linotype" w:hAnsi="Palatino Linotype" w:cs="Palatino Linotype"/>
          <w:i/>
          <w:sz w:val="22"/>
          <w:szCs w:val="22"/>
        </w:rPr>
        <w:t xml:space="preserve">Las modificaciones a la convocatoria o a las bases se harán del conocimiento de los interesados hasta tres días hábiles antes de la fecha señalada para el acto de presentación y apertura de propuestas. </w:t>
      </w:r>
    </w:p>
    <w:p w:rsidR="002430E6" w:rsidRPr="002430E6" w:rsidRDefault="002430E6" w:rsidP="002430E6">
      <w:pPr>
        <w:ind w:left="567" w:right="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VII. </w:t>
      </w:r>
      <w:r w:rsidRPr="002430E6">
        <w:rPr>
          <w:rFonts w:ascii="Palatino Linotype" w:eastAsia="Palatino Linotype" w:hAnsi="Palatino Linotype" w:cs="Palatino Linotype"/>
          <w:i/>
          <w:sz w:val="22"/>
          <w:szCs w:val="22"/>
        </w:rPr>
        <w:t xml:space="preserve">Se emitirá el fallo dentro de los 15 días hábiles siguientes a la publicación de la convocatoria. </w:t>
      </w:r>
    </w:p>
    <w:p w:rsidR="002430E6" w:rsidRPr="002430E6" w:rsidRDefault="002430E6" w:rsidP="002430E6">
      <w:pPr>
        <w:ind w:left="567" w:right="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VIII. </w:t>
      </w:r>
      <w:r w:rsidRPr="002430E6">
        <w:rPr>
          <w:rFonts w:ascii="Palatino Linotype" w:eastAsia="Palatino Linotype" w:hAnsi="Palatino Linotype" w:cs="Palatino Linotype"/>
          <w:i/>
          <w:sz w:val="22"/>
          <w:szCs w:val="22"/>
        </w:rPr>
        <w:t>Los licitantes se podrán registrar hasta el día y la hora fijados para el acto de presentación y apertura de propuestas.</w:t>
      </w:r>
    </w:p>
    <w:p w:rsidR="002430E6" w:rsidRPr="002430E6" w:rsidRDefault="002430E6" w:rsidP="002430E6">
      <w:pPr>
        <w:tabs>
          <w:tab w:val="left" w:pos="6915"/>
        </w:tabs>
        <w:spacing w:line="360" w:lineRule="auto"/>
        <w:ind w:right="49"/>
        <w:jc w:val="both"/>
        <w:rPr>
          <w:rFonts w:ascii="Palatino Linotype" w:eastAsia="Palatino Linotype" w:hAnsi="Palatino Linotype" w:cs="Palatino Linotype"/>
        </w:rPr>
      </w:pPr>
      <w:r w:rsidRPr="002430E6">
        <w:rPr>
          <w:rFonts w:ascii="Palatino Linotype" w:eastAsia="Palatino Linotype" w:hAnsi="Palatino Linotype" w:cs="Palatino Linotype"/>
        </w:rPr>
        <w:tab/>
      </w:r>
    </w:p>
    <w:p w:rsidR="002430E6" w:rsidRPr="002430E6" w:rsidRDefault="002430E6" w:rsidP="002430E6">
      <w:pPr>
        <w:spacing w:line="360" w:lineRule="auto"/>
        <w:ind w:right="49"/>
        <w:jc w:val="both"/>
        <w:rPr>
          <w:rFonts w:ascii="Palatino Linotype" w:eastAsia="Palatino Linotype" w:hAnsi="Palatino Linotype" w:cs="Palatino Linotype"/>
        </w:rPr>
      </w:pPr>
      <w:r w:rsidRPr="002430E6">
        <w:rPr>
          <w:rFonts w:ascii="Palatino Linotype" w:eastAsia="Palatino Linotype" w:hAnsi="Palatino Linotype" w:cs="Palatino Linotype"/>
        </w:rPr>
        <w:t xml:space="preserve">Posteriormente los entes públicos deberán ceñirse al procedimiento dispuesto por el Reglamento de la legislación en referencia, el cual se cita a continuación para mejor proveer del estudio: </w:t>
      </w:r>
    </w:p>
    <w:p w:rsidR="002430E6" w:rsidRPr="002430E6" w:rsidRDefault="002430E6" w:rsidP="002430E6">
      <w:pPr>
        <w:ind w:right="51"/>
        <w:jc w:val="center"/>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“TÍTULO SEXTO</w:t>
      </w:r>
    </w:p>
    <w:p w:rsidR="002430E6" w:rsidRPr="002430E6" w:rsidRDefault="002430E6" w:rsidP="002430E6">
      <w:pPr>
        <w:ind w:right="51"/>
        <w:jc w:val="center"/>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DE LOS PROCEDIMIENTOS DE ADQUISICIÓN</w:t>
      </w:r>
    </w:p>
    <w:p w:rsidR="002430E6" w:rsidRPr="002430E6" w:rsidRDefault="002430E6" w:rsidP="002430E6">
      <w:pPr>
        <w:ind w:right="51"/>
        <w:jc w:val="center"/>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CAPÍTULO PRIMERO</w:t>
      </w:r>
    </w:p>
    <w:p w:rsidR="002430E6" w:rsidRPr="002430E6" w:rsidRDefault="002430E6" w:rsidP="002430E6">
      <w:pPr>
        <w:ind w:right="51"/>
        <w:jc w:val="center"/>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DE LA LICITACIÓN PÚBLICA</w:t>
      </w:r>
    </w:p>
    <w:p w:rsidR="002430E6" w:rsidRPr="002430E6" w:rsidRDefault="002430E6" w:rsidP="002430E6">
      <w:pPr>
        <w:ind w:right="51"/>
        <w:jc w:val="center"/>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SECCIÓN PRIMERA</w:t>
      </w:r>
    </w:p>
    <w:p w:rsidR="002430E6" w:rsidRPr="002430E6" w:rsidRDefault="002430E6" w:rsidP="002430E6">
      <w:pPr>
        <w:ind w:right="51"/>
        <w:jc w:val="center"/>
        <w:rPr>
          <w:rFonts w:ascii="Palatino Linotype" w:eastAsia="Palatino Linotype" w:hAnsi="Palatino Linotype" w:cs="Palatino Linotype"/>
          <w:b/>
          <w:i/>
          <w:sz w:val="22"/>
          <w:szCs w:val="22"/>
        </w:rPr>
      </w:pPr>
      <w:r w:rsidRPr="002430E6">
        <w:rPr>
          <w:rFonts w:ascii="Palatino Linotype" w:eastAsia="Palatino Linotype" w:hAnsi="Palatino Linotype" w:cs="Palatino Linotype"/>
          <w:b/>
          <w:i/>
          <w:sz w:val="22"/>
          <w:szCs w:val="22"/>
        </w:rPr>
        <w:t>GENERALIDADES</w:t>
      </w:r>
    </w:p>
    <w:p w:rsidR="002430E6" w:rsidRPr="002430E6" w:rsidRDefault="002430E6" w:rsidP="002430E6">
      <w:pPr>
        <w:ind w:right="51"/>
        <w:rPr>
          <w:rFonts w:ascii="Palatino Linotype" w:eastAsia="Palatino Linotype" w:hAnsi="Palatino Linotype" w:cs="Palatino Linotype"/>
          <w:i/>
          <w:sz w:val="22"/>
          <w:szCs w:val="22"/>
        </w:rPr>
      </w:pPr>
    </w:p>
    <w:p w:rsidR="002430E6" w:rsidRPr="002430E6" w:rsidRDefault="002430E6" w:rsidP="002430E6">
      <w:pPr>
        <w:ind w:left="567" w:right="851"/>
        <w:jc w:val="both"/>
        <w:rPr>
          <w:rFonts w:ascii="Palatino Linotype" w:eastAsia="Palatino Linotype" w:hAnsi="Palatino Linotype" w:cs="Palatino Linotype"/>
          <w:b/>
          <w:i/>
          <w:sz w:val="22"/>
          <w:szCs w:val="22"/>
          <w:u w:val="single"/>
        </w:rPr>
      </w:pPr>
      <w:r w:rsidRPr="002430E6">
        <w:rPr>
          <w:rFonts w:ascii="Palatino Linotype" w:eastAsia="Palatino Linotype" w:hAnsi="Palatino Linotype" w:cs="Palatino Linotype"/>
          <w:b/>
          <w:i/>
          <w:sz w:val="22"/>
          <w:szCs w:val="22"/>
        </w:rPr>
        <w:t xml:space="preserve">Artículo 61.- </w:t>
      </w:r>
      <w:r w:rsidRPr="002430E6">
        <w:rPr>
          <w:rFonts w:ascii="Palatino Linotype" w:eastAsia="Palatino Linotype" w:hAnsi="Palatino Linotype" w:cs="Palatino Linotype"/>
          <w:i/>
          <w:sz w:val="22"/>
          <w:szCs w:val="22"/>
        </w:rPr>
        <w:t xml:space="preserve">La Secretaría, organismos auxiliares, tribunales administrativos y </w:t>
      </w:r>
      <w:r w:rsidRPr="002430E6">
        <w:rPr>
          <w:rFonts w:ascii="Palatino Linotype" w:eastAsia="Palatino Linotype" w:hAnsi="Palatino Linotype" w:cs="Palatino Linotype"/>
          <w:b/>
          <w:i/>
          <w:sz w:val="22"/>
          <w:szCs w:val="22"/>
          <w:u w:val="single"/>
        </w:rPr>
        <w:t xml:space="preserve">municipios podrán realizar licitaciones públicas, para la adquisición, arrendamiento de bienes y la contratación de servicios de cualquier naturaleza, conforme a las previsiones y disposiciones presupuestarias respectivas. </w:t>
      </w:r>
    </w:p>
    <w:p w:rsidR="002430E6" w:rsidRPr="002430E6" w:rsidRDefault="002430E6" w:rsidP="002430E6">
      <w:pPr>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Artículo 62.- </w:t>
      </w:r>
      <w:r w:rsidRPr="002430E6">
        <w:rPr>
          <w:rFonts w:ascii="Palatino Linotype" w:eastAsia="Palatino Linotype" w:hAnsi="Palatino Linotype" w:cs="Palatino Linotype"/>
          <w:b/>
          <w:i/>
          <w:sz w:val="22"/>
          <w:szCs w:val="22"/>
          <w:u w:val="single"/>
        </w:rPr>
        <w:t>Las personas que participen en los procedimientos licitatorios que convoquen la Secretaría, organismos auxiliares, tribunales administrativos y municipios, tendrán igual acceso a la información relacionada con éstos; cumplirán los mismos requisitos y participarán bajo las mismas condiciones</w:t>
      </w:r>
      <w:r w:rsidRPr="002430E6">
        <w:rPr>
          <w:rFonts w:ascii="Palatino Linotype" w:eastAsia="Palatino Linotype" w:hAnsi="Palatino Linotype" w:cs="Palatino Linotype"/>
          <w:i/>
          <w:sz w:val="22"/>
          <w:szCs w:val="22"/>
        </w:rPr>
        <w:t xml:space="preserve">. </w:t>
      </w:r>
    </w:p>
    <w:p w:rsidR="002430E6" w:rsidRPr="002430E6" w:rsidRDefault="002430E6" w:rsidP="002430E6">
      <w:pPr>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w:t>
      </w:r>
    </w:p>
    <w:p w:rsidR="002430E6" w:rsidRPr="002430E6" w:rsidRDefault="002430E6" w:rsidP="002430E6">
      <w:pPr>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Artículo 67.- </w:t>
      </w:r>
      <w:r w:rsidRPr="002430E6">
        <w:rPr>
          <w:rFonts w:ascii="Palatino Linotype" w:eastAsia="Palatino Linotype" w:hAnsi="Palatino Linotype" w:cs="Palatino Linotype"/>
          <w:i/>
          <w:sz w:val="22"/>
          <w:szCs w:val="22"/>
        </w:rPr>
        <w:t xml:space="preserve">El procedimiento de licitación pública comprende las siguientes fases: </w:t>
      </w:r>
    </w:p>
    <w:p w:rsidR="002430E6" w:rsidRPr="002430E6" w:rsidRDefault="002430E6" w:rsidP="002430E6">
      <w:pPr>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 xml:space="preserve">I. Publicación de la convocatoria; </w:t>
      </w:r>
    </w:p>
    <w:p w:rsidR="002430E6" w:rsidRPr="002430E6" w:rsidRDefault="002430E6" w:rsidP="002430E6">
      <w:pPr>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 xml:space="preserve">II. Venta de las bases de licitación; </w:t>
      </w:r>
    </w:p>
    <w:p w:rsidR="002430E6" w:rsidRPr="002430E6" w:rsidRDefault="002430E6" w:rsidP="002430E6">
      <w:pPr>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 xml:space="preserve">III. Visita, en su caso, al sitio donde se vayan a suministrar los bienes o a prestar los servicios; </w:t>
      </w:r>
    </w:p>
    <w:p w:rsidR="002430E6" w:rsidRPr="002430E6" w:rsidRDefault="002430E6" w:rsidP="002430E6">
      <w:pPr>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 xml:space="preserve">IV. Junta de aclaraciones, en su caso; </w:t>
      </w:r>
    </w:p>
    <w:p w:rsidR="002430E6" w:rsidRPr="002430E6" w:rsidRDefault="002430E6" w:rsidP="002430E6">
      <w:pPr>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 xml:space="preserve">V. Acto de presentación y apertura de propuestas; </w:t>
      </w:r>
    </w:p>
    <w:p w:rsidR="002430E6" w:rsidRPr="002430E6" w:rsidRDefault="002430E6" w:rsidP="002430E6">
      <w:pPr>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 xml:space="preserve">VI. Análisis y evaluación de propuestas; </w:t>
      </w:r>
    </w:p>
    <w:p w:rsidR="002430E6" w:rsidRPr="002430E6" w:rsidRDefault="002430E6" w:rsidP="002430E6">
      <w:pPr>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 xml:space="preserve">VII. Dictamen de adjudicación; </w:t>
      </w:r>
    </w:p>
    <w:p w:rsidR="002430E6" w:rsidRPr="002430E6" w:rsidRDefault="002430E6" w:rsidP="002430E6">
      <w:pPr>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 xml:space="preserve">VIII. Fallo; </w:t>
      </w:r>
    </w:p>
    <w:p w:rsidR="002430E6" w:rsidRPr="002430E6" w:rsidRDefault="002430E6" w:rsidP="002430E6">
      <w:pPr>
        <w:ind w:left="567" w:right="851"/>
        <w:jc w:val="both"/>
        <w:rPr>
          <w:rFonts w:ascii="Palatino Linotype" w:eastAsia="Palatino Linotype" w:hAnsi="Palatino Linotype" w:cs="Palatino Linotype"/>
          <w:b/>
          <w:i/>
          <w:sz w:val="22"/>
          <w:szCs w:val="22"/>
          <w:u w:val="single"/>
        </w:rPr>
      </w:pPr>
      <w:r w:rsidRPr="002430E6">
        <w:rPr>
          <w:rFonts w:ascii="Palatino Linotype" w:eastAsia="Palatino Linotype" w:hAnsi="Palatino Linotype" w:cs="Palatino Linotype"/>
          <w:b/>
          <w:i/>
          <w:sz w:val="22"/>
          <w:szCs w:val="22"/>
          <w:u w:val="single"/>
        </w:rPr>
        <w:t xml:space="preserve">IX. Suscripción del contrato; y </w:t>
      </w:r>
    </w:p>
    <w:p w:rsidR="002430E6" w:rsidRPr="002430E6" w:rsidRDefault="002430E6" w:rsidP="002430E6">
      <w:pPr>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 xml:space="preserve">X. Suministro de los bienes o inicio de la prestación del servicio. </w:t>
      </w:r>
    </w:p>
    <w:p w:rsidR="002430E6" w:rsidRPr="002430E6" w:rsidRDefault="002430E6" w:rsidP="002430E6">
      <w:pPr>
        <w:ind w:left="567" w:right="851"/>
        <w:jc w:val="both"/>
        <w:rPr>
          <w:rFonts w:ascii="Palatino Linotype" w:eastAsia="Palatino Linotype" w:hAnsi="Palatino Linotype" w:cs="Palatino Linotype"/>
          <w:i/>
          <w:sz w:val="22"/>
          <w:szCs w:val="22"/>
        </w:rPr>
      </w:pPr>
    </w:p>
    <w:p w:rsidR="002430E6" w:rsidRPr="002430E6" w:rsidRDefault="002430E6" w:rsidP="002430E6">
      <w:pPr>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Artículo 68.- </w:t>
      </w:r>
      <w:r w:rsidRPr="002430E6">
        <w:rPr>
          <w:rFonts w:ascii="Palatino Linotype" w:eastAsia="Palatino Linotype" w:hAnsi="Palatino Linotype" w:cs="Palatino Linotype"/>
          <w:i/>
          <w:sz w:val="22"/>
          <w:szCs w:val="22"/>
        </w:rPr>
        <w:t xml:space="preserve">En el procedimiento de licitación pública se observará lo siguiente: </w:t>
      </w:r>
    </w:p>
    <w:p w:rsidR="002430E6" w:rsidRPr="002430E6" w:rsidRDefault="002430E6" w:rsidP="002430E6">
      <w:pPr>
        <w:ind w:left="567" w:right="851"/>
        <w:jc w:val="both"/>
        <w:rPr>
          <w:rFonts w:ascii="Palatino Linotype" w:eastAsia="Palatino Linotype" w:hAnsi="Palatino Linotype" w:cs="Palatino Linotype"/>
          <w:i/>
          <w:sz w:val="22"/>
          <w:szCs w:val="22"/>
        </w:rPr>
      </w:pPr>
    </w:p>
    <w:p w:rsidR="002430E6" w:rsidRPr="002430E6" w:rsidRDefault="002430E6" w:rsidP="002430E6">
      <w:pPr>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 xml:space="preserve">I. La convocante con base en las necesidades de las unidades administrativas solicitantes de la adquisición de bienes o la contratación de servicios, y atendiendo a las características de los mismos, programará las fechas en que tendrá verificativo la junta de aclaraciones, en su caso, y el acto de presentación y apertura de propuestas, y fallo, dentro del plazo de quince días hábiles siguientes a la publicación de la convocatoria; </w:t>
      </w:r>
    </w:p>
    <w:p w:rsidR="002430E6" w:rsidRPr="002430E6" w:rsidRDefault="002430E6" w:rsidP="002430E6">
      <w:pPr>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 xml:space="preserve">II. La venta de bases iniciará a partir del día de publicación de la convocatoria y concluirá el día hábil anterior al día de celebración de la junta de aclaraciones. </w:t>
      </w:r>
    </w:p>
    <w:p w:rsidR="002430E6" w:rsidRPr="002430E6" w:rsidRDefault="002430E6" w:rsidP="002430E6">
      <w:pPr>
        <w:jc w:val="both"/>
        <w:rPr>
          <w:rFonts w:ascii="Palatino Linotype" w:eastAsia="Palatino Linotype" w:hAnsi="Palatino Linotype" w:cs="Palatino Linotype"/>
          <w:i/>
          <w:sz w:val="22"/>
          <w:szCs w:val="22"/>
        </w:rPr>
      </w:pPr>
    </w:p>
    <w:p w:rsidR="002430E6" w:rsidRPr="002430E6" w:rsidRDefault="002430E6" w:rsidP="002430E6">
      <w:pPr>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 xml:space="preserve">Cuando no se celebre junta de aclaraciones, la venta de bases concluirá el día hábil anterior a la celebración del acto de presentación y apertura de propuestas. </w:t>
      </w:r>
    </w:p>
    <w:p w:rsidR="002430E6" w:rsidRPr="002430E6" w:rsidRDefault="002430E6" w:rsidP="002430E6">
      <w:pPr>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 xml:space="preserve">En todo caso, el plazo de venta de bases no será menor a tres días hábiles contados a partir del día de la publicación de la convocatoria; </w:t>
      </w:r>
    </w:p>
    <w:p w:rsidR="002430E6" w:rsidRPr="002430E6" w:rsidRDefault="002430E6" w:rsidP="002430E6">
      <w:pPr>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 xml:space="preserve">III. La convocante podrá modificar la convocatoria o las bases dentro de los cinco días hábiles anteriores a la fecha de la celebración del acto de presentación y apertura de propuestas. En caso de que no se celebre junta de aclaraciones y se hagan modificaciones a la convocatoria o a las bases, se ajustará el plazo programado para la celebración del acto de presentación y apertura de propuestas; </w:t>
      </w:r>
    </w:p>
    <w:p w:rsidR="002430E6" w:rsidRPr="002430E6" w:rsidRDefault="002430E6" w:rsidP="002430E6">
      <w:pPr>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 xml:space="preserve">IV. Tales modificaciones se harán del conocimiento de los interesados tres días hábiles anteriores a la fecha señalada para la celebración del acto de presentación y apertura de propuestas, lo cual podrá ser a través del sistema COMPRAMEX; y </w:t>
      </w:r>
    </w:p>
    <w:p w:rsidR="002430E6" w:rsidRPr="002430E6" w:rsidRDefault="002430E6" w:rsidP="002430E6">
      <w:pPr>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 xml:space="preserve">V. La junta de aclaraciones deberá realizarse tres días hábiles antes de la celebración del acto de presentación y apertura de propuestas. Las modificaciones que se deriven de la junta de aclaraciones formarán parte integral de las bases y se entregará copia simple del acta correspondiente a las personas que acrediten haberlas adquirido. </w:t>
      </w:r>
    </w:p>
    <w:p w:rsidR="002430E6" w:rsidRPr="002430E6" w:rsidRDefault="002430E6" w:rsidP="002430E6">
      <w:pPr>
        <w:ind w:left="567" w:right="851"/>
        <w:jc w:val="both"/>
        <w:rPr>
          <w:rFonts w:ascii="Palatino Linotype" w:eastAsia="Palatino Linotype" w:hAnsi="Palatino Linotype" w:cs="Palatino Linotype"/>
          <w:i/>
          <w:sz w:val="22"/>
          <w:szCs w:val="22"/>
        </w:rPr>
      </w:pPr>
    </w:p>
    <w:p w:rsidR="002430E6" w:rsidRPr="002430E6" w:rsidRDefault="002430E6" w:rsidP="002430E6">
      <w:pPr>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Artículo 69.- </w:t>
      </w:r>
      <w:r w:rsidRPr="002430E6">
        <w:rPr>
          <w:rFonts w:ascii="Palatino Linotype" w:eastAsia="Palatino Linotype" w:hAnsi="Palatino Linotype" w:cs="Palatino Linotype"/>
          <w:i/>
          <w:sz w:val="22"/>
          <w:szCs w:val="22"/>
        </w:rPr>
        <w:t>En los procedimientos de licitación pública cuyo monto rebase el equivalente a dos millones de salario mínimo general vigente en la Capital del Estado y en aquellos casos en los que el área solicitante así lo determine por su complejidad o impacto que tenga en sus programas sustantivos, será obligatoria la participación de testigos sociales, en términos del Título Décimo del Libro Primero del Código Administrativo del Estado de México.</w:t>
      </w:r>
    </w:p>
    <w:p w:rsidR="002430E6" w:rsidRPr="002430E6" w:rsidRDefault="002430E6" w:rsidP="002430E6">
      <w:pPr>
        <w:tabs>
          <w:tab w:val="left" w:pos="5775"/>
        </w:tabs>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ab/>
      </w:r>
    </w:p>
    <w:p w:rsidR="002430E6" w:rsidRPr="002430E6" w:rsidRDefault="002430E6" w:rsidP="002430E6">
      <w:pPr>
        <w:spacing w:before="240" w:after="240" w:line="360" w:lineRule="auto"/>
        <w:jc w:val="both"/>
        <w:rPr>
          <w:rFonts w:ascii="Palatino Linotype" w:eastAsia="Palatino Linotype" w:hAnsi="Palatino Linotype" w:cs="Palatino Linotype"/>
        </w:rPr>
      </w:pPr>
      <w:r w:rsidRPr="002430E6">
        <w:rPr>
          <w:rFonts w:ascii="Palatino Linotype" w:eastAsia="Palatino Linotype" w:hAnsi="Palatino Linotype" w:cs="Palatino Linotype"/>
        </w:rPr>
        <w:t xml:space="preserve">Ahora bien, una vez notificado el fallo, deberá suscribirse el respectivo contrato, para ello la Ley de Contratación Pública del Estado de México y Municipios, prevé al respecto lo siguiente sobre los contratos celebrados por la adquisición de bienes y servicios: </w:t>
      </w:r>
    </w:p>
    <w:p w:rsidR="002430E6" w:rsidRPr="002430E6" w:rsidRDefault="002430E6" w:rsidP="002430E6">
      <w:pPr>
        <w:spacing w:before="240" w:after="240"/>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w:t>
      </w:r>
      <w:r w:rsidRPr="002430E6">
        <w:rPr>
          <w:rFonts w:ascii="Palatino Linotype" w:eastAsia="Palatino Linotype" w:hAnsi="Palatino Linotype" w:cs="Palatino Linotype"/>
          <w:b/>
          <w:i/>
          <w:sz w:val="22"/>
          <w:szCs w:val="22"/>
        </w:rPr>
        <w:t>TÍTULO NOVENO</w:t>
      </w:r>
    </w:p>
    <w:p w:rsidR="002430E6" w:rsidRPr="002430E6" w:rsidRDefault="002430E6" w:rsidP="002430E6">
      <w:pPr>
        <w:spacing w:before="240" w:after="240"/>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DE LOS CONTRATOS </w:t>
      </w:r>
    </w:p>
    <w:p w:rsidR="002430E6" w:rsidRPr="002430E6" w:rsidRDefault="002430E6" w:rsidP="002430E6">
      <w:pPr>
        <w:spacing w:before="240" w:after="240"/>
        <w:ind w:left="567" w:right="851"/>
        <w:jc w:val="both"/>
        <w:rPr>
          <w:rFonts w:ascii="Palatino Linotype" w:eastAsia="Palatino Linotype" w:hAnsi="Palatino Linotype" w:cs="Palatino Linotype"/>
          <w:b/>
          <w:i/>
          <w:sz w:val="22"/>
          <w:szCs w:val="22"/>
          <w:u w:val="single"/>
        </w:rPr>
      </w:pPr>
      <w:r w:rsidRPr="002430E6">
        <w:rPr>
          <w:rFonts w:ascii="Palatino Linotype" w:eastAsia="Palatino Linotype" w:hAnsi="Palatino Linotype" w:cs="Palatino Linotype"/>
          <w:b/>
          <w:i/>
          <w:sz w:val="22"/>
          <w:szCs w:val="22"/>
        </w:rPr>
        <w:t xml:space="preserve">Artículo 65.- </w:t>
      </w:r>
      <w:r w:rsidRPr="002430E6">
        <w:rPr>
          <w:rFonts w:ascii="Palatino Linotype" w:eastAsia="Palatino Linotype" w:hAnsi="Palatino Linotype" w:cs="Palatino Linotype"/>
          <w:b/>
          <w:i/>
          <w:sz w:val="22"/>
          <w:szCs w:val="22"/>
          <w:u w:val="single"/>
        </w:rPr>
        <w:t>La adjudicación de los contratos derivados de los procedimientos de adquisiciones de bienes o servicios, obligará a la convocante y al licitante ganador a suscribir el contrato respectivo</w:t>
      </w:r>
      <w:r w:rsidRPr="002430E6">
        <w:rPr>
          <w:rFonts w:ascii="Palatino Linotype" w:eastAsia="Palatino Linotype" w:hAnsi="Palatino Linotype" w:cs="Palatino Linotype"/>
          <w:i/>
          <w:sz w:val="22"/>
          <w:szCs w:val="22"/>
        </w:rPr>
        <w:t>, dentro de los diez días hábiles siguientes al de la notificación del fallo</w:t>
      </w:r>
      <w:r w:rsidRPr="002430E6">
        <w:rPr>
          <w:rFonts w:ascii="Palatino Linotype" w:eastAsia="Palatino Linotype" w:hAnsi="Palatino Linotype" w:cs="Palatino Linotype"/>
          <w:b/>
          <w:i/>
          <w:sz w:val="22"/>
          <w:szCs w:val="22"/>
          <w:u w:val="single"/>
        </w:rPr>
        <w:t xml:space="preserve">. Los contratos podrán suscribirse mediante el uso de la firma electrónica, en apego a las disposiciones de la Ley de Medios Electrónicos y de su Reglamento. </w:t>
      </w:r>
    </w:p>
    <w:p w:rsidR="002430E6" w:rsidRPr="002430E6" w:rsidRDefault="002430E6" w:rsidP="002430E6">
      <w:pPr>
        <w:spacing w:before="240" w:after="240"/>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Artículo 66.- </w:t>
      </w:r>
      <w:r w:rsidRPr="002430E6">
        <w:rPr>
          <w:rFonts w:ascii="Palatino Linotype" w:eastAsia="Palatino Linotype" w:hAnsi="Palatino Linotype" w:cs="Palatino Linotype"/>
          <w:i/>
          <w:sz w:val="22"/>
          <w:szCs w:val="22"/>
        </w:rPr>
        <w:t xml:space="preserve">Los derechos y las obligaciones que se deriven del contrato no podrán cederse en forma parcial ni total, con excepción de los derechos de cobro, en cuyo caso se deberá contar con el consentimiento de la dependencia, de la entidad o del ayuntamiento. </w:t>
      </w:r>
    </w:p>
    <w:p w:rsidR="002430E6" w:rsidRPr="002430E6" w:rsidRDefault="002430E6" w:rsidP="002430E6">
      <w:pPr>
        <w:spacing w:before="240" w:after="240"/>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 xml:space="preserve">El proveedor o el prestador de servicios no podrá subcontratar, total o parcialmente, el suministro de bienes o la prestación de servicios, salvo que cuente con la autorización previa y expresa de la contratante, en cuyo caso el proveedor o prestador de servicios será el único responsable del cumplimiento de las obligaciones a su cargo. </w:t>
      </w:r>
    </w:p>
    <w:p w:rsidR="002430E6" w:rsidRPr="002430E6" w:rsidRDefault="002430E6" w:rsidP="002430E6">
      <w:pPr>
        <w:spacing w:before="240" w:after="240"/>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Artículo 67.- </w:t>
      </w:r>
      <w:r w:rsidRPr="002430E6">
        <w:rPr>
          <w:rFonts w:ascii="Palatino Linotype" w:eastAsia="Palatino Linotype" w:hAnsi="Palatino Linotype" w:cs="Palatino Linotype"/>
          <w:i/>
          <w:sz w:val="22"/>
          <w:szCs w:val="22"/>
        </w:rPr>
        <w:t xml:space="preserve">En los contratos se pactarán penas convencionales, a cargo del proveedor o prestador de servicios, por incumplimiento de sus obligaciones. En los contratos en que se pacte ajuste de precios, la penalización se calculará sobre el precio ajustado. </w:t>
      </w:r>
    </w:p>
    <w:p w:rsidR="002430E6" w:rsidRPr="002430E6" w:rsidRDefault="002430E6" w:rsidP="002430E6">
      <w:pPr>
        <w:spacing w:before="240" w:after="240"/>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 xml:space="preserve">El proveedor o prestador de servicios estará obligado a responder de los defectos y vicios ocultos de los bienes y servicios. </w:t>
      </w:r>
    </w:p>
    <w:p w:rsidR="002430E6" w:rsidRPr="002430E6" w:rsidRDefault="002430E6" w:rsidP="002430E6">
      <w:pPr>
        <w:spacing w:before="240" w:after="240"/>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Artículo 68.- </w:t>
      </w:r>
      <w:r w:rsidRPr="002430E6">
        <w:rPr>
          <w:rFonts w:ascii="Palatino Linotype" w:eastAsia="Palatino Linotype" w:hAnsi="Palatino Linotype" w:cs="Palatino Linotype"/>
          <w:b/>
          <w:i/>
          <w:sz w:val="22"/>
          <w:szCs w:val="22"/>
          <w:u w:val="single"/>
        </w:rPr>
        <w:t>En los contratos se estipularán las diversas consecuencias de la cancelación, de la terminación anticipada o de la rescisión por causas imputables al proveedor o prestador de servicios.</w:t>
      </w:r>
      <w:r w:rsidRPr="002430E6">
        <w:rPr>
          <w:rFonts w:ascii="Palatino Linotype" w:eastAsia="Palatino Linotype" w:hAnsi="Palatino Linotype" w:cs="Palatino Linotype"/>
          <w:i/>
          <w:sz w:val="22"/>
          <w:szCs w:val="22"/>
        </w:rPr>
        <w:t xml:space="preserve"> </w:t>
      </w:r>
    </w:p>
    <w:p w:rsidR="002430E6" w:rsidRPr="002430E6" w:rsidRDefault="002430E6" w:rsidP="002430E6">
      <w:pPr>
        <w:spacing w:before="240" w:after="240"/>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 xml:space="preserve">Los contratos contendrán los elementos que establezca el reglamento de esta Ley y se elaborarán conforme con los modelos que establezca la Secretaría o los ayuntamientos, en su caso. </w:t>
      </w:r>
    </w:p>
    <w:p w:rsidR="002430E6" w:rsidRPr="002430E6" w:rsidRDefault="002430E6" w:rsidP="002430E6">
      <w:pPr>
        <w:spacing w:before="240" w:after="240"/>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Artículo 69.- </w:t>
      </w:r>
      <w:r w:rsidRPr="002430E6">
        <w:rPr>
          <w:rFonts w:ascii="Palatino Linotype" w:eastAsia="Palatino Linotype" w:hAnsi="Palatino Linotype" w:cs="Palatino Linotype"/>
          <w:i/>
          <w:sz w:val="22"/>
          <w:szCs w:val="22"/>
        </w:rPr>
        <w:t xml:space="preserve">En los contratos deberá pactarse la condición de precio fijo. </w:t>
      </w:r>
    </w:p>
    <w:p w:rsidR="002430E6" w:rsidRPr="002430E6" w:rsidRDefault="002430E6" w:rsidP="002430E6">
      <w:pPr>
        <w:spacing w:before="240" w:after="240"/>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 xml:space="preserve">Cuando con posterioridad a la celebración de los contratos, se presenten circunstancias económicas de tipo general ajenas a la responsabilidad de las partes y que incidan en las condiciones pactadas, la Secretaría, las entidades, los tribunales administrativos y los ayuntamientos podrán, dentro de su presupuesto autorizado, reconocer incrementos o exigir reducciones en monto o plazo, la convocante podrá acordar incrementos en la cantidad de bienes adquiridos mediante modificación a sus contratos vigentes, dentro de los doce meses posteriores a su suscripción, siempre que el monto total de la modificación no rebase en conjunto el treinta por ciento del importe original y el precio de los bienes sea igual al pactado inicialmente. </w:t>
      </w:r>
    </w:p>
    <w:p w:rsidR="002430E6" w:rsidRPr="002430E6" w:rsidRDefault="002430E6" w:rsidP="002430E6">
      <w:pPr>
        <w:spacing w:before="240" w:after="240"/>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 xml:space="preserve">En los contratos abiertos podrán pactarse ajustes al importe de los bienes o de los servicios contratados, en caso de aumento o decremento en los precios, dentro del presupuesto autorizado. </w:t>
      </w:r>
    </w:p>
    <w:p w:rsidR="002430E6" w:rsidRPr="002430E6" w:rsidRDefault="002430E6" w:rsidP="002430E6">
      <w:pPr>
        <w:spacing w:before="240" w:after="240"/>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Artículo 70.- El área usuaria deberá verificar e informar a la contratante que el proveedor o prestador de servicios cumpla con la entrega de los bienes o servicios en las condiciones pactadas. Podrá recibir bienes o servicios que superen o mejoren las especificaciones estipuladas, siempre que se respete el precio de los contratados.</w:t>
      </w:r>
      <w:r w:rsidRPr="002430E6">
        <w:rPr>
          <w:rFonts w:ascii="Palatino Linotype" w:eastAsia="Palatino Linotype" w:hAnsi="Palatino Linotype" w:cs="Palatino Linotype"/>
          <w:i/>
          <w:sz w:val="22"/>
          <w:szCs w:val="22"/>
        </w:rPr>
        <w:t xml:space="preserve"> </w:t>
      </w:r>
    </w:p>
    <w:p w:rsidR="002430E6" w:rsidRPr="002430E6" w:rsidRDefault="002430E6" w:rsidP="002430E6">
      <w:pPr>
        <w:spacing w:before="240" w:after="240"/>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Artículo 71.- </w:t>
      </w:r>
      <w:r w:rsidRPr="002430E6">
        <w:rPr>
          <w:rFonts w:ascii="Palatino Linotype" w:eastAsia="Palatino Linotype" w:hAnsi="Palatino Linotype" w:cs="Palatino Linotype"/>
          <w:i/>
          <w:sz w:val="22"/>
          <w:szCs w:val="22"/>
        </w:rPr>
        <w:t xml:space="preserve">Los contratos pueden ser rescindidos: </w:t>
      </w:r>
    </w:p>
    <w:p w:rsidR="002430E6" w:rsidRPr="002430E6" w:rsidRDefault="002430E6" w:rsidP="002430E6">
      <w:pPr>
        <w:spacing w:before="240" w:after="240"/>
        <w:ind w:left="567" w:right="709"/>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I. </w:t>
      </w:r>
      <w:r w:rsidRPr="002430E6">
        <w:rPr>
          <w:rFonts w:ascii="Palatino Linotype" w:eastAsia="Palatino Linotype" w:hAnsi="Palatino Linotype" w:cs="Palatino Linotype"/>
          <w:i/>
          <w:sz w:val="22"/>
          <w:szCs w:val="22"/>
        </w:rPr>
        <w:t xml:space="preserve">Sin responsabilidad para la contratante, cuando el proveedor o prestador de servicios incumpla con alguna de las obligaciones a su cargo, o </w:t>
      </w:r>
    </w:p>
    <w:p w:rsidR="002430E6" w:rsidRPr="002430E6" w:rsidRDefault="002430E6" w:rsidP="002430E6">
      <w:pPr>
        <w:spacing w:before="240" w:after="240"/>
        <w:ind w:left="567" w:right="709"/>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II. </w:t>
      </w:r>
      <w:r w:rsidRPr="002430E6">
        <w:rPr>
          <w:rFonts w:ascii="Palatino Linotype" w:eastAsia="Palatino Linotype" w:hAnsi="Palatino Linotype" w:cs="Palatino Linotype"/>
          <w:i/>
          <w:sz w:val="22"/>
          <w:szCs w:val="22"/>
        </w:rPr>
        <w:t xml:space="preserve">Sin responsabilidad para el proveedor o prestador de servicios, cuando la contratante incumpla con las obligaciones contractuales a su cargo. </w:t>
      </w:r>
    </w:p>
    <w:p w:rsidR="002430E6" w:rsidRPr="002430E6" w:rsidRDefault="002430E6" w:rsidP="002430E6">
      <w:pPr>
        <w:spacing w:before="240" w:after="240"/>
        <w:ind w:left="567" w:right="709"/>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 xml:space="preserve">En el caso de la fracción I, la contratante estará facultada para rescindir el contrato en forma administrativa, otorgando garantía de previa audiencia al proveedor o prestador de servicios en términos del Código de Procedimientos Administrativos del Estado de México. </w:t>
      </w:r>
    </w:p>
    <w:p w:rsidR="002430E6" w:rsidRPr="002430E6" w:rsidRDefault="002430E6" w:rsidP="002430E6">
      <w:pPr>
        <w:spacing w:before="240" w:after="240"/>
        <w:ind w:left="567" w:right="709"/>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 xml:space="preserve">En el supuesto de la fracción II, el proveedor o prestador de servicios afectado podrá demandar la rescisión del contrato ante el Tribunal de lo Contencioso Administrativo. </w:t>
      </w:r>
    </w:p>
    <w:p w:rsidR="002430E6" w:rsidRPr="002430E6" w:rsidRDefault="002430E6" w:rsidP="002430E6">
      <w:pPr>
        <w:spacing w:before="240" w:after="240"/>
        <w:ind w:left="567" w:right="709"/>
        <w:jc w:val="both"/>
        <w:rPr>
          <w:rFonts w:ascii="Palatino Linotype" w:eastAsia="Palatino Linotype" w:hAnsi="Palatino Linotype" w:cs="Palatino Linotype"/>
          <w:b/>
          <w:i/>
          <w:sz w:val="22"/>
          <w:szCs w:val="22"/>
          <w:u w:val="single"/>
        </w:rPr>
      </w:pPr>
      <w:r w:rsidRPr="002430E6">
        <w:rPr>
          <w:rFonts w:ascii="Palatino Linotype" w:eastAsia="Palatino Linotype" w:hAnsi="Palatino Linotype" w:cs="Palatino Linotype"/>
          <w:b/>
          <w:i/>
          <w:sz w:val="22"/>
          <w:szCs w:val="22"/>
        </w:rPr>
        <w:t xml:space="preserve">Artículo 72.- </w:t>
      </w:r>
      <w:r w:rsidRPr="002430E6">
        <w:rPr>
          <w:rFonts w:ascii="Palatino Linotype" w:eastAsia="Palatino Linotype" w:hAnsi="Palatino Linotype" w:cs="Palatino Linotype"/>
          <w:i/>
          <w:sz w:val="22"/>
          <w:szCs w:val="22"/>
        </w:rPr>
        <w:t xml:space="preserve">La Secretaría, las dependencias, las entidades, los tribunales administrativos y </w:t>
      </w:r>
      <w:r w:rsidRPr="002430E6">
        <w:rPr>
          <w:rFonts w:ascii="Palatino Linotype" w:eastAsia="Palatino Linotype" w:hAnsi="Palatino Linotype" w:cs="Palatino Linotype"/>
          <w:b/>
          <w:i/>
          <w:sz w:val="22"/>
          <w:szCs w:val="22"/>
          <w:u w:val="single"/>
        </w:rPr>
        <w:t xml:space="preserve">los ayuntamientos podrán dar por terminados, anticipadamente, los contratos cuando concurran razones de interés general o bien, cuando por causas justificadas, se extinga la necesidad de requerir los bienes o los servicios originalmente contratados, y se demuestre que de continuar con el cumplimiento de las obligaciones pactadas se ocasionará algún daño o perjuicio al Estado, o se determine la nulidad de los actos que dieron origen al contrato, con motivo de la resolución de una inconformidad. </w:t>
      </w:r>
    </w:p>
    <w:p w:rsidR="002430E6" w:rsidRPr="002430E6" w:rsidRDefault="002430E6" w:rsidP="002430E6">
      <w:pPr>
        <w:spacing w:before="240" w:after="240"/>
        <w:ind w:left="567" w:right="709"/>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Artículo 73.- </w:t>
      </w:r>
      <w:r w:rsidRPr="002430E6">
        <w:rPr>
          <w:rFonts w:ascii="Palatino Linotype" w:eastAsia="Palatino Linotype" w:hAnsi="Palatino Linotype" w:cs="Palatino Linotype"/>
          <w:i/>
          <w:sz w:val="22"/>
          <w:szCs w:val="22"/>
        </w:rPr>
        <w:t xml:space="preserve">En los casos de rescisión o terminación anticipada del contrato, el saldo por amortizar del anticipo otorgado se reintegrará a las contratantes en un plazo no mayor de treinta días hábiles, contado a partir de la fecha en que le sea notificada la rescisión o la terminación anticipada al proveedor o prestador de servicios. </w:t>
      </w:r>
    </w:p>
    <w:p w:rsidR="002430E6" w:rsidRPr="002430E6" w:rsidRDefault="002430E6" w:rsidP="002430E6">
      <w:pPr>
        <w:spacing w:before="240" w:after="240"/>
        <w:ind w:left="567" w:right="709"/>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 xml:space="preserve">Si el proveedor o prestador de servicios no reintegra el saldo por amortizar en el plazo señalado en el párrafo anterior, deberá pagar gastos financieros, conforme a una tasa que será igual a la establecida anualmente en la Ley de Ingresos del Estado de México o en la Ley de Ingresos de los Municipios del Estado de México, para los casos de prórroga en el pago de créditos fiscales. </w:t>
      </w:r>
    </w:p>
    <w:p w:rsidR="002430E6" w:rsidRPr="002430E6" w:rsidRDefault="002430E6" w:rsidP="002430E6">
      <w:pPr>
        <w:spacing w:before="240" w:after="240"/>
        <w:ind w:left="567" w:right="709"/>
        <w:jc w:val="both"/>
        <w:rPr>
          <w:rFonts w:ascii="Palatino Linotype" w:eastAsia="Palatino Linotype" w:hAnsi="Palatino Linotype" w:cs="Palatino Linotype"/>
          <w:b/>
          <w:i/>
          <w:sz w:val="22"/>
          <w:szCs w:val="22"/>
          <w:u w:val="single"/>
        </w:rPr>
      </w:pPr>
      <w:r w:rsidRPr="002430E6">
        <w:rPr>
          <w:rFonts w:ascii="Palatino Linotype" w:eastAsia="Palatino Linotype" w:hAnsi="Palatino Linotype" w:cs="Palatino Linotype"/>
          <w:b/>
          <w:i/>
          <w:sz w:val="22"/>
          <w:szCs w:val="22"/>
        </w:rPr>
        <w:t xml:space="preserve">Artículo 74.- </w:t>
      </w:r>
      <w:r w:rsidRPr="002430E6">
        <w:rPr>
          <w:rFonts w:ascii="Palatino Linotype" w:eastAsia="Palatino Linotype" w:hAnsi="Palatino Linotype" w:cs="Palatino Linotype"/>
          <w:i/>
          <w:sz w:val="22"/>
          <w:szCs w:val="22"/>
        </w:rPr>
        <w:t xml:space="preserve">La Secretaría, las dependencias, las entidades, los Órganos Autónomos Constitucionales, los Tribunales Administrativos, </w:t>
      </w:r>
      <w:r w:rsidRPr="002430E6">
        <w:rPr>
          <w:rFonts w:ascii="Palatino Linotype" w:eastAsia="Palatino Linotype" w:hAnsi="Palatino Linotype" w:cs="Palatino Linotype"/>
          <w:b/>
          <w:i/>
          <w:sz w:val="22"/>
          <w:szCs w:val="22"/>
          <w:u w:val="single"/>
        </w:rPr>
        <w:t xml:space="preserve">los Ayuntamientos y los Organismos Auxiliares, se abstendrán de recibir propuestas o de celebrar contratos con las personas siguientes: </w:t>
      </w:r>
    </w:p>
    <w:p w:rsidR="002430E6" w:rsidRPr="002430E6" w:rsidRDefault="002430E6" w:rsidP="002430E6">
      <w:pPr>
        <w:spacing w:before="240" w:after="240"/>
        <w:ind w:left="567" w:right="709"/>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I. </w:t>
      </w:r>
      <w:r w:rsidRPr="002430E6">
        <w:rPr>
          <w:rFonts w:ascii="Palatino Linotype" w:eastAsia="Palatino Linotype" w:hAnsi="Palatino Linotype" w:cs="Palatino Linotype"/>
          <w:i/>
          <w:sz w:val="22"/>
          <w:szCs w:val="22"/>
        </w:rPr>
        <w:t xml:space="preserve">Aquellas con las que el servidor público, que intervenga en cualquier etapa del procedimiento de adquisición o de la contratación, tenga interés personal, familiar o de negocios, incluyendo las que pueda obtener algún beneficio para él, su cónyuge o sus parientes consanguíneos hasta el cuarto grado, por afinidad o civiles, o terceros con los que tenga relaciones profesionales, laborales o de negocios, o socios o sociedades de las que las personas antes referidas formen parte, durante los dos años previos a la fecha de la celebración del procedimiento de que se trate. </w:t>
      </w:r>
    </w:p>
    <w:p w:rsidR="002430E6" w:rsidRPr="002430E6" w:rsidRDefault="002430E6" w:rsidP="002430E6">
      <w:pPr>
        <w:spacing w:before="240" w:after="240"/>
        <w:ind w:left="567" w:right="709"/>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II. </w:t>
      </w:r>
      <w:r w:rsidRPr="002430E6">
        <w:rPr>
          <w:rFonts w:ascii="Palatino Linotype" w:eastAsia="Palatino Linotype" w:hAnsi="Palatino Linotype" w:cs="Palatino Linotype"/>
          <w:i/>
          <w:sz w:val="22"/>
          <w:szCs w:val="22"/>
        </w:rPr>
        <w:t xml:space="preserve">Los proveedores o prestadores de servicios que por causas imputables a ellos, tengan un atraso en la entrega de los bienes o en la prestación de los servicios. </w:t>
      </w:r>
    </w:p>
    <w:p w:rsidR="002430E6" w:rsidRPr="002430E6" w:rsidRDefault="002430E6" w:rsidP="002430E6">
      <w:pPr>
        <w:spacing w:before="240" w:after="240"/>
        <w:ind w:left="567" w:right="709"/>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III. </w:t>
      </w:r>
      <w:r w:rsidRPr="002430E6">
        <w:rPr>
          <w:rFonts w:ascii="Palatino Linotype" w:eastAsia="Palatino Linotype" w:hAnsi="Palatino Linotype" w:cs="Palatino Linotype"/>
          <w:i/>
          <w:sz w:val="22"/>
          <w:szCs w:val="22"/>
        </w:rPr>
        <w:t xml:space="preserve">Las que por causas imputables a ellas mismas, no formalicen, en el plazo que establece la presente Ley, los contratos que se les hayan adjudicado. </w:t>
      </w:r>
    </w:p>
    <w:p w:rsidR="002430E6" w:rsidRPr="002430E6" w:rsidRDefault="002430E6" w:rsidP="002430E6">
      <w:pPr>
        <w:spacing w:before="240" w:after="240"/>
        <w:ind w:left="567" w:right="709"/>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IV. </w:t>
      </w:r>
      <w:r w:rsidRPr="002430E6">
        <w:rPr>
          <w:rFonts w:ascii="Palatino Linotype" w:eastAsia="Palatino Linotype" w:hAnsi="Palatino Linotype" w:cs="Palatino Linotype"/>
          <w:i/>
          <w:sz w:val="22"/>
          <w:szCs w:val="22"/>
        </w:rPr>
        <w:t>Aquellas que, por causas imputables a ellas mismas, se les hubiere rescindido un contrato.</w:t>
      </w:r>
      <w:r w:rsidRPr="002430E6">
        <w:rPr>
          <w:rFonts w:ascii="Palatino Linotype" w:eastAsia="Palatino Linotype" w:hAnsi="Palatino Linotype" w:cs="Palatino Linotype"/>
          <w:b/>
          <w:i/>
          <w:sz w:val="22"/>
          <w:szCs w:val="22"/>
        </w:rPr>
        <w:t xml:space="preserve"> </w:t>
      </w:r>
    </w:p>
    <w:p w:rsidR="002430E6" w:rsidRPr="002430E6" w:rsidRDefault="002430E6" w:rsidP="002430E6">
      <w:pPr>
        <w:spacing w:before="240" w:after="240"/>
        <w:ind w:left="567" w:right="709"/>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V. </w:t>
      </w:r>
      <w:r w:rsidRPr="002430E6">
        <w:rPr>
          <w:rFonts w:ascii="Palatino Linotype" w:eastAsia="Palatino Linotype" w:hAnsi="Palatino Linotype" w:cs="Palatino Linotype"/>
          <w:i/>
          <w:sz w:val="22"/>
          <w:szCs w:val="22"/>
        </w:rPr>
        <w:t xml:space="preserve">Las que se encuentren en situación de mora o adeudo en la entrega de los bienes o en la prestación de los servicios o, en general, hayan incumplido con sus obligaciones contractuales respecto a las materias objeto de esta Ley, por causas imputables a ellas mismas. </w:t>
      </w:r>
    </w:p>
    <w:p w:rsidR="002430E6" w:rsidRPr="002430E6" w:rsidRDefault="002430E6" w:rsidP="002430E6">
      <w:pPr>
        <w:spacing w:before="240" w:after="240"/>
        <w:ind w:left="567" w:right="709"/>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VI. </w:t>
      </w:r>
      <w:r w:rsidRPr="002430E6">
        <w:rPr>
          <w:rFonts w:ascii="Palatino Linotype" w:eastAsia="Palatino Linotype" w:hAnsi="Palatino Linotype" w:cs="Palatino Linotype"/>
          <w:i/>
          <w:sz w:val="22"/>
          <w:szCs w:val="22"/>
        </w:rPr>
        <w:t xml:space="preserve">Las que hubieren proporcionado información que resulte falsa, o que hayan actuado con dolo o mala fe en alguna etapa del procedimiento para la adjudicación de un contrato, en su celebración, durante su vigencia o en el trámite de alguna inconformidad administrativa. </w:t>
      </w:r>
    </w:p>
    <w:p w:rsidR="002430E6" w:rsidRPr="002430E6" w:rsidRDefault="002430E6" w:rsidP="002430E6">
      <w:pPr>
        <w:spacing w:before="240" w:after="240"/>
        <w:ind w:left="567" w:right="709"/>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VII. </w:t>
      </w:r>
      <w:r w:rsidRPr="002430E6">
        <w:rPr>
          <w:rFonts w:ascii="Palatino Linotype" w:eastAsia="Palatino Linotype" w:hAnsi="Palatino Linotype" w:cs="Palatino Linotype"/>
          <w:i/>
          <w:sz w:val="22"/>
          <w:szCs w:val="22"/>
        </w:rPr>
        <w:t xml:space="preserve">Las que en virtud de la información con que cuenten los órganos de control interno, hayan celebrado contratos en contravención a lo dispuesto por esta Ley. </w:t>
      </w:r>
    </w:p>
    <w:p w:rsidR="002430E6" w:rsidRPr="002430E6" w:rsidRDefault="002430E6" w:rsidP="002430E6">
      <w:pPr>
        <w:spacing w:before="240" w:after="240"/>
        <w:ind w:left="567" w:right="709"/>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VIII. </w:t>
      </w:r>
      <w:r w:rsidRPr="002430E6">
        <w:rPr>
          <w:rFonts w:ascii="Palatino Linotype" w:eastAsia="Palatino Linotype" w:hAnsi="Palatino Linotype" w:cs="Palatino Linotype"/>
          <w:i/>
          <w:sz w:val="22"/>
          <w:szCs w:val="22"/>
        </w:rPr>
        <w:t xml:space="preserve">Aquellas que hayan sido declaradas en suspensión de pagos, estado de quiebra o sujetas a concurso de acreedores. </w:t>
      </w:r>
    </w:p>
    <w:p w:rsidR="002430E6" w:rsidRPr="002430E6" w:rsidRDefault="002430E6" w:rsidP="002430E6">
      <w:pPr>
        <w:spacing w:before="240" w:after="240"/>
        <w:ind w:left="567" w:right="709"/>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IX. </w:t>
      </w:r>
      <w:r w:rsidRPr="002430E6">
        <w:rPr>
          <w:rFonts w:ascii="Palatino Linotype" w:eastAsia="Palatino Linotype" w:hAnsi="Palatino Linotype" w:cs="Palatino Linotype"/>
          <w:i/>
          <w:sz w:val="22"/>
          <w:szCs w:val="22"/>
        </w:rPr>
        <w:t xml:space="preserve">Las que participen en un procedimiento de adquisición perteneciendo a un mismo grupo empresarial o se encuentren vinculadas por algún socio o socios comunes. </w:t>
      </w:r>
    </w:p>
    <w:p w:rsidR="002430E6" w:rsidRPr="002430E6" w:rsidRDefault="002430E6" w:rsidP="002430E6">
      <w:pPr>
        <w:spacing w:before="240" w:after="240"/>
        <w:ind w:left="567" w:right="709"/>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X. </w:t>
      </w:r>
      <w:r w:rsidRPr="002430E6">
        <w:rPr>
          <w:rFonts w:ascii="Palatino Linotype" w:eastAsia="Palatino Linotype" w:hAnsi="Palatino Linotype" w:cs="Palatino Linotype"/>
          <w:i/>
          <w:sz w:val="22"/>
          <w:szCs w:val="22"/>
        </w:rPr>
        <w:t xml:space="preserve">Las que desempeñen un empleo, cargo o comisión en el servicio público o bien, las sociedades de las que dichas personas formen parte, sin la autorización previa y específica de la Secretaría de la Contraloría. </w:t>
      </w:r>
    </w:p>
    <w:p w:rsidR="002430E6" w:rsidRPr="002430E6" w:rsidRDefault="002430E6" w:rsidP="002430E6">
      <w:pPr>
        <w:spacing w:before="240" w:after="240"/>
        <w:ind w:left="567" w:right="709"/>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XI. </w:t>
      </w:r>
      <w:r w:rsidRPr="002430E6">
        <w:rPr>
          <w:rFonts w:ascii="Palatino Linotype" w:eastAsia="Palatino Linotype" w:hAnsi="Palatino Linotype" w:cs="Palatino Linotype"/>
          <w:i/>
          <w:sz w:val="22"/>
          <w:szCs w:val="22"/>
        </w:rPr>
        <w:t xml:space="preserve">Las que se encuentren inhabilitadas por resolución de la autoridad competente. </w:t>
      </w:r>
    </w:p>
    <w:p w:rsidR="002430E6" w:rsidRPr="002430E6" w:rsidRDefault="002430E6" w:rsidP="002430E6">
      <w:pPr>
        <w:spacing w:before="240" w:after="240"/>
        <w:ind w:left="567" w:right="709"/>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XII. </w:t>
      </w:r>
      <w:r w:rsidRPr="002430E6">
        <w:rPr>
          <w:rFonts w:ascii="Palatino Linotype" w:eastAsia="Palatino Linotype" w:hAnsi="Palatino Linotype" w:cs="Palatino Linotype"/>
          <w:i/>
          <w:sz w:val="22"/>
          <w:szCs w:val="22"/>
        </w:rPr>
        <w:t xml:space="preserve">Aquellas que presenten propuestas en una misma partida de un bien o servicio, en un procedimiento de contratación que se encuentren vinculadas entre sí por algún socio o asociado común. Se entenderá que es socio o asociado común, aquella persona física o moral que es reconocida como tal en las actas constitutivas, estatutos o en sus reformas o modificaciones de dos o más empresas licitantes, por tener una participación accionaria en el capital social, que le otorgue el derecho de intervenir en la toma de decisiones o en la administración de dichas personas morales. </w:t>
      </w:r>
    </w:p>
    <w:p w:rsidR="002430E6" w:rsidRPr="002430E6" w:rsidRDefault="002430E6" w:rsidP="002430E6">
      <w:pPr>
        <w:spacing w:before="240" w:after="240"/>
        <w:ind w:left="567" w:right="709"/>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XIII. </w:t>
      </w:r>
      <w:r w:rsidRPr="002430E6">
        <w:rPr>
          <w:rFonts w:ascii="Palatino Linotype" w:eastAsia="Palatino Linotype" w:hAnsi="Palatino Linotype" w:cs="Palatino Linotype"/>
          <w:i/>
          <w:sz w:val="22"/>
          <w:szCs w:val="22"/>
        </w:rPr>
        <w:t xml:space="preserve">Las que previamente hayan realizado o se encuentren realizando, por sí o a través de empresas que formen parte del mismo grupo empresarial, trabajos de análisis y control de calidad, preparación de especificaciones, presupuesto o la elaboración de cualquier documento vinculado con el procedimiento en que se encuentran interesadas en participar, cuando hubieren tenido acceso a información privilegiada que no se diera a conocer a los licitantes para la elaboración de sus propuestas. </w:t>
      </w:r>
    </w:p>
    <w:p w:rsidR="002430E6" w:rsidRPr="002430E6" w:rsidRDefault="002430E6" w:rsidP="002430E6">
      <w:pPr>
        <w:spacing w:before="240" w:after="240"/>
        <w:ind w:left="567" w:right="850"/>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XIV. </w:t>
      </w:r>
      <w:r w:rsidRPr="002430E6">
        <w:rPr>
          <w:rFonts w:ascii="Palatino Linotype" w:eastAsia="Palatino Linotype" w:hAnsi="Palatino Linotype" w:cs="Palatino Linotype"/>
          <w:i/>
          <w:sz w:val="22"/>
          <w:szCs w:val="22"/>
        </w:rPr>
        <w:t xml:space="preserve">Aquellas que por sí o a través de empresas que formen parte del mismo grupo empresarial, pretendan ser contratadas para elaboración de dictámenes, peritajes y avalúos, cuando éstos hayan de ser utilizados para resolver discrepancias derivadas de los contratos en los que dichas personas o empresas sean parte. </w:t>
      </w:r>
    </w:p>
    <w:p w:rsidR="002430E6" w:rsidRPr="002430E6" w:rsidRDefault="002430E6" w:rsidP="002430E6">
      <w:pPr>
        <w:spacing w:before="240" w:after="240"/>
        <w:ind w:left="567" w:right="850"/>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XV. </w:t>
      </w:r>
      <w:r w:rsidRPr="002430E6">
        <w:rPr>
          <w:rFonts w:ascii="Palatino Linotype" w:eastAsia="Palatino Linotype" w:hAnsi="Palatino Linotype" w:cs="Palatino Linotype"/>
          <w:i/>
          <w:sz w:val="22"/>
          <w:szCs w:val="22"/>
        </w:rPr>
        <w:t xml:space="preserve">Las que hayan utilizado información privilegiada, proporcionada indebidamente por cualquier medio. </w:t>
      </w:r>
    </w:p>
    <w:p w:rsidR="002430E6" w:rsidRPr="002430E6" w:rsidRDefault="002430E6" w:rsidP="002430E6">
      <w:pPr>
        <w:spacing w:before="240" w:after="240"/>
        <w:ind w:left="567" w:right="850"/>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XVI. </w:t>
      </w:r>
      <w:r w:rsidRPr="002430E6">
        <w:rPr>
          <w:rFonts w:ascii="Palatino Linotype" w:eastAsia="Palatino Linotype" w:hAnsi="Palatino Linotype" w:cs="Palatino Linotype"/>
          <w:i/>
          <w:sz w:val="22"/>
          <w:szCs w:val="22"/>
        </w:rPr>
        <w:t xml:space="preserve">Los proveedores, contratistas o particulares, sujetos a procedimiento por responsabilidad administrativa resarcitoria, con independencia de que se afecten recursos económicos del Estado o de los concertados o convenidos con la Federación y los municipios, que se traduzcan en daños y perjuicios causados a la Hacienda Pública del Estado, del Municipio o al patrimonio de sus Organismos Auxiliares y Fideicomisos Públicos. </w:t>
      </w:r>
    </w:p>
    <w:p w:rsidR="002430E6" w:rsidRPr="002430E6" w:rsidRDefault="002430E6" w:rsidP="002430E6">
      <w:pPr>
        <w:spacing w:before="240" w:after="240"/>
        <w:ind w:left="567" w:right="850"/>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XVII. </w:t>
      </w:r>
      <w:r w:rsidRPr="002430E6">
        <w:rPr>
          <w:rFonts w:ascii="Palatino Linotype" w:eastAsia="Palatino Linotype" w:hAnsi="Palatino Linotype" w:cs="Palatino Linotype"/>
          <w:i/>
          <w:sz w:val="22"/>
          <w:szCs w:val="22"/>
        </w:rPr>
        <w:t xml:space="preserve">Los proveedores, contratistas o particulares, a quienes se les haya impuesto responsabilidad administrativa resarcitoria, entre tanto no realicen la indemnización respectiva. </w:t>
      </w:r>
    </w:p>
    <w:p w:rsidR="002430E6" w:rsidRPr="002430E6" w:rsidRDefault="002430E6" w:rsidP="002430E6">
      <w:pPr>
        <w:spacing w:before="240" w:after="240"/>
        <w:ind w:left="567" w:right="850"/>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XVIII. </w:t>
      </w:r>
      <w:r w:rsidRPr="002430E6">
        <w:rPr>
          <w:rFonts w:ascii="Palatino Linotype" w:eastAsia="Palatino Linotype" w:hAnsi="Palatino Linotype" w:cs="Palatino Linotype"/>
          <w:i/>
          <w:sz w:val="22"/>
          <w:szCs w:val="22"/>
        </w:rPr>
        <w:t xml:space="preserve">Las demás que por cualquier causa se encuentren impedidas para ello por disposición de ley. </w:t>
      </w:r>
    </w:p>
    <w:p w:rsidR="002430E6" w:rsidRPr="002430E6" w:rsidRDefault="002430E6" w:rsidP="002430E6">
      <w:pPr>
        <w:spacing w:before="240" w:after="240"/>
        <w:ind w:left="567" w:right="850"/>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 xml:space="preserve">En los términos que se precisarán en el reglamento de esta Ley, la Secretaría de la Contraloría llevará el registro de las personas que se encuentren en cualquiera de los supuestos a que se refieren las fracciones II, IV, VI y VII, dará a conocer a las dependencias y entidades y recibirá de éstas la información correspondiente para la integración y difusión de dicho registro. </w:t>
      </w:r>
    </w:p>
    <w:p w:rsidR="002430E6" w:rsidRPr="002430E6" w:rsidRDefault="002430E6" w:rsidP="002430E6">
      <w:pPr>
        <w:spacing w:before="240" w:after="240"/>
        <w:ind w:left="567" w:right="850"/>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 xml:space="preserve">Los ayuntamientos podrán establecer en su reglamentación, el registro a que se refiere el párrafo anterior. </w:t>
      </w:r>
    </w:p>
    <w:p w:rsidR="002430E6" w:rsidRPr="002430E6" w:rsidRDefault="002430E6" w:rsidP="002430E6">
      <w:pPr>
        <w:spacing w:before="240" w:after="240"/>
        <w:ind w:left="567" w:right="850"/>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 xml:space="preserve">Es aplicable a las enajenaciones, lo dispuesto en las fracciones I, III, IV, V, VI, IX y X de este artículo. Asimismo, será aplicable lo señalado en la fracción VIII, cuando se pacte a plazos la obligación de pago. </w:t>
      </w:r>
    </w:p>
    <w:p w:rsidR="002430E6" w:rsidRPr="002430E6" w:rsidRDefault="002430E6" w:rsidP="002430E6">
      <w:pPr>
        <w:spacing w:before="240" w:after="240"/>
        <w:ind w:left="567" w:right="709"/>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Artículo 75.- </w:t>
      </w:r>
      <w:r w:rsidRPr="002430E6">
        <w:rPr>
          <w:rFonts w:ascii="Palatino Linotype" w:eastAsia="Palatino Linotype" w:hAnsi="Palatino Linotype" w:cs="Palatino Linotype"/>
          <w:i/>
          <w:sz w:val="22"/>
          <w:szCs w:val="22"/>
        </w:rPr>
        <w:t>En las adquisiciones y arrendamientos de los bienes inmuebles y en la enajenación de bienes muebles e inmuebles, el otorgamiento del contrato se sujetará a las normas, políticas o lineamientos que expida la Secretaría y, supletoriamente, a las disposiciones del Código Civil del Estado de México.”</w:t>
      </w:r>
    </w:p>
    <w:p w:rsidR="002430E6" w:rsidRPr="002430E6" w:rsidRDefault="002430E6" w:rsidP="002430E6">
      <w:pPr>
        <w:spacing w:line="360" w:lineRule="auto"/>
        <w:ind w:right="49"/>
        <w:jc w:val="both"/>
        <w:rPr>
          <w:rFonts w:ascii="Palatino Linotype" w:eastAsia="Palatino Linotype" w:hAnsi="Palatino Linotype" w:cs="Palatino Linotype"/>
        </w:rPr>
      </w:pPr>
      <w:r w:rsidRPr="002430E6">
        <w:rPr>
          <w:rFonts w:ascii="Palatino Linotype" w:eastAsia="Palatino Linotype" w:hAnsi="Palatino Linotype" w:cs="Palatino Linotype"/>
        </w:rPr>
        <w:t xml:space="preserve">Ahora bien, por cuanto hace a los contratos que emanan de los procedimientos expuestos que regula la legislación en materia de contratación pública estatal, el Reglamento de la Ley de Contratación Pública del Estado de México y Municipios establece que los instrumentos jurídicos vinculantes deberán reunir los siguientes elementos: </w:t>
      </w:r>
    </w:p>
    <w:p w:rsidR="002430E6" w:rsidRPr="002430E6" w:rsidRDefault="002430E6" w:rsidP="002430E6">
      <w:pPr>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“TÍTULO NOVENO </w:t>
      </w:r>
    </w:p>
    <w:p w:rsidR="002430E6" w:rsidRPr="002430E6" w:rsidRDefault="002430E6" w:rsidP="002430E6">
      <w:pPr>
        <w:ind w:left="567" w:right="851"/>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DE LOS CONTRATOS </w:t>
      </w:r>
    </w:p>
    <w:p w:rsidR="002430E6" w:rsidRPr="002430E6" w:rsidRDefault="002430E6" w:rsidP="002430E6">
      <w:pPr>
        <w:ind w:left="567" w:right="851"/>
        <w:jc w:val="both"/>
        <w:rPr>
          <w:rFonts w:ascii="Palatino Linotype" w:eastAsia="Palatino Linotype" w:hAnsi="Palatino Linotype" w:cs="Palatino Linotype"/>
          <w:b/>
          <w:i/>
          <w:sz w:val="22"/>
          <w:szCs w:val="22"/>
        </w:rPr>
      </w:pPr>
      <w:r w:rsidRPr="002430E6">
        <w:rPr>
          <w:rFonts w:ascii="Palatino Linotype" w:eastAsia="Palatino Linotype" w:hAnsi="Palatino Linotype" w:cs="Palatino Linotype"/>
          <w:b/>
          <w:i/>
          <w:sz w:val="22"/>
          <w:szCs w:val="22"/>
        </w:rPr>
        <w:t xml:space="preserve">Artículo 120.- Los contratos relacionados con las materias reguladas por la Ley referirán, como mínimo, lo siguiente: </w:t>
      </w:r>
    </w:p>
    <w:p w:rsidR="002430E6" w:rsidRPr="002430E6" w:rsidRDefault="002430E6" w:rsidP="002430E6">
      <w:pPr>
        <w:ind w:left="567" w:right="851"/>
        <w:jc w:val="both"/>
        <w:rPr>
          <w:rFonts w:ascii="Palatino Linotype" w:eastAsia="Palatino Linotype" w:hAnsi="Palatino Linotype" w:cs="Palatino Linotype"/>
          <w:b/>
          <w:i/>
          <w:sz w:val="22"/>
          <w:szCs w:val="22"/>
        </w:rPr>
      </w:pPr>
      <w:r w:rsidRPr="002430E6">
        <w:rPr>
          <w:rFonts w:ascii="Palatino Linotype" w:eastAsia="Palatino Linotype" w:hAnsi="Palatino Linotype" w:cs="Palatino Linotype"/>
          <w:b/>
          <w:i/>
          <w:sz w:val="22"/>
          <w:szCs w:val="22"/>
        </w:rPr>
        <w:t xml:space="preserve">I. Objeto; </w:t>
      </w:r>
    </w:p>
    <w:p w:rsidR="002430E6" w:rsidRPr="002430E6" w:rsidRDefault="002430E6" w:rsidP="002430E6">
      <w:pPr>
        <w:ind w:left="567" w:right="851"/>
        <w:jc w:val="both"/>
        <w:rPr>
          <w:rFonts w:ascii="Palatino Linotype" w:eastAsia="Palatino Linotype" w:hAnsi="Palatino Linotype" w:cs="Palatino Linotype"/>
          <w:b/>
          <w:i/>
          <w:sz w:val="22"/>
          <w:szCs w:val="22"/>
        </w:rPr>
      </w:pPr>
      <w:r w:rsidRPr="002430E6">
        <w:rPr>
          <w:rFonts w:ascii="Palatino Linotype" w:eastAsia="Palatino Linotype" w:hAnsi="Palatino Linotype" w:cs="Palatino Linotype"/>
          <w:b/>
          <w:i/>
          <w:sz w:val="22"/>
          <w:szCs w:val="22"/>
        </w:rPr>
        <w:t xml:space="preserve">II. Fecha de suministro de los bienes o período de prestación del servicio; </w:t>
      </w:r>
    </w:p>
    <w:p w:rsidR="002430E6" w:rsidRPr="002430E6" w:rsidRDefault="002430E6" w:rsidP="002430E6">
      <w:pPr>
        <w:ind w:left="567" w:right="851"/>
        <w:jc w:val="both"/>
        <w:rPr>
          <w:rFonts w:ascii="Palatino Linotype" w:eastAsia="Palatino Linotype" w:hAnsi="Palatino Linotype" w:cs="Palatino Linotype"/>
          <w:b/>
          <w:i/>
          <w:sz w:val="22"/>
          <w:szCs w:val="22"/>
        </w:rPr>
      </w:pPr>
      <w:r w:rsidRPr="002430E6">
        <w:rPr>
          <w:rFonts w:ascii="Palatino Linotype" w:eastAsia="Palatino Linotype" w:hAnsi="Palatino Linotype" w:cs="Palatino Linotype"/>
          <w:b/>
          <w:i/>
          <w:sz w:val="22"/>
          <w:szCs w:val="22"/>
        </w:rPr>
        <w:t xml:space="preserve">III. Datos del procedimiento que dio origen al contrato; </w:t>
      </w:r>
    </w:p>
    <w:p w:rsidR="002430E6" w:rsidRPr="002430E6" w:rsidRDefault="002430E6" w:rsidP="002430E6">
      <w:pPr>
        <w:ind w:left="567" w:right="851"/>
        <w:jc w:val="both"/>
        <w:rPr>
          <w:rFonts w:ascii="Palatino Linotype" w:eastAsia="Palatino Linotype" w:hAnsi="Palatino Linotype" w:cs="Palatino Linotype"/>
          <w:b/>
          <w:i/>
          <w:sz w:val="22"/>
          <w:szCs w:val="22"/>
        </w:rPr>
      </w:pPr>
      <w:r w:rsidRPr="002430E6">
        <w:rPr>
          <w:rFonts w:ascii="Palatino Linotype" w:eastAsia="Palatino Linotype" w:hAnsi="Palatino Linotype" w:cs="Palatino Linotype"/>
          <w:b/>
          <w:i/>
          <w:sz w:val="22"/>
          <w:szCs w:val="22"/>
        </w:rPr>
        <w:t xml:space="preserve">IV. Importe total; </w:t>
      </w:r>
    </w:p>
    <w:p w:rsidR="002430E6" w:rsidRPr="002430E6" w:rsidRDefault="002430E6" w:rsidP="002430E6">
      <w:pPr>
        <w:ind w:left="567" w:right="851"/>
        <w:jc w:val="both"/>
        <w:rPr>
          <w:rFonts w:ascii="Palatino Linotype" w:eastAsia="Palatino Linotype" w:hAnsi="Palatino Linotype" w:cs="Palatino Linotype"/>
          <w:b/>
          <w:i/>
          <w:sz w:val="22"/>
          <w:szCs w:val="22"/>
        </w:rPr>
      </w:pPr>
      <w:r w:rsidRPr="002430E6">
        <w:rPr>
          <w:rFonts w:ascii="Palatino Linotype" w:eastAsia="Palatino Linotype" w:hAnsi="Palatino Linotype" w:cs="Palatino Linotype"/>
          <w:b/>
          <w:i/>
          <w:sz w:val="22"/>
          <w:szCs w:val="22"/>
        </w:rPr>
        <w:t xml:space="preserve">V. Porcentajes, número y fechas de las exhibiciones y amortización de los anticipos que se otorguen; </w:t>
      </w:r>
    </w:p>
    <w:p w:rsidR="002430E6" w:rsidRPr="002430E6" w:rsidRDefault="002430E6" w:rsidP="002430E6">
      <w:pPr>
        <w:ind w:left="567" w:right="851"/>
        <w:jc w:val="both"/>
        <w:rPr>
          <w:rFonts w:ascii="Palatino Linotype" w:eastAsia="Palatino Linotype" w:hAnsi="Palatino Linotype" w:cs="Palatino Linotype"/>
          <w:b/>
          <w:i/>
          <w:sz w:val="22"/>
          <w:szCs w:val="22"/>
        </w:rPr>
      </w:pPr>
      <w:r w:rsidRPr="002430E6">
        <w:rPr>
          <w:rFonts w:ascii="Palatino Linotype" w:eastAsia="Palatino Linotype" w:hAnsi="Palatino Linotype" w:cs="Palatino Linotype"/>
          <w:b/>
          <w:i/>
          <w:sz w:val="22"/>
          <w:szCs w:val="22"/>
        </w:rPr>
        <w:t xml:space="preserve">VI. Formalidades para el otorgamiento y cobro de garantías; </w:t>
      </w:r>
    </w:p>
    <w:p w:rsidR="002430E6" w:rsidRPr="002430E6" w:rsidRDefault="002430E6" w:rsidP="002430E6">
      <w:pPr>
        <w:ind w:left="567" w:right="851"/>
        <w:jc w:val="both"/>
        <w:rPr>
          <w:rFonts w:ascii="Palatino Linotype" w:eastAsia="Palatino Linotype" w:hAnsi="Palatino Linotype" w:cs="Palatino Linotype"/>
          <w:b/>
          <w:i/>
          <w:sz w:val="22"/>
          <w:szCs w:val="22"/>
        </w:rPr>
      </w:pPr>
      <w:r w:rsidRPr="002430E6">
        <w:rPr>
          <w:rFonts w:ascii="Palatino Linotype" w:eastAsia="Palatino Linotype" w:hAnsi="Palatino Linotype" w:cs="Palatino Linotype"/>
          <w:b/>
          <w:i/>
          <w:sz w:val="22"/>
          <w:szCs w:val="22"/>
        </w:rPr>
        <w:t xml:space="preserve">VII. Penas convencionales por causas imputables al proveedor o prestador del servicio, las que se determinarán en función del incumplimiento de las condiciones convenidas, y que en ningún caso podrán ser superiores, en su conjunto, al monto de la garantía de cumplimiento. Las dependencias, organismos auxiliares, tribunales administrativos y municipios deberán fijar los términos, forma y porcentajes para aplicar las penas convencionales; </w:t>
      </w:r>
    </w:p>
    <w:p w:rsidR="002430E6" w:rsidRPr="002430E6" w:rsidRDefault="002430E6" w:rsidP="002430E6">
      <w:pPr>
        <w:ind w:left="567" w:right="851"/>
        <w:jc w:val="both"/>
        <w:rPr>
          <w:rFonts w:ascii="Palatino Linotype" w:eastAsia="Palatino Linotype" w:hAnsi="Palatino Linotype" w:cs="Palatino Linotype"/>
          <w:b/>
          <w:i/>
          <w:sz w:val="22"/>
          <w:szCs w:val="22"/>
        </w:rPr>
      </w:pPr>
      <w:r w:rsidRPr="002430E6">
        <w:rPr>
          <w:rFonts w:ascii="Palatino Linotype" w:eastAsia="Palatino Linotype" w:hAnsi="Palatino Linotype" w:cs="Palatino Linotype"/>
          <w:b/>
          <w:i/>
          <w:sz w:val="22"/>
          <w:szCs w:val="22"/>
        </w:rPr>
        <w:t xml:space="preserve">VIII. Términos en que el proveedor o prestador del servicio, en su caso, reintegrará las cantidades que, en cualquier forma, hubiere recibido en exceso por la contratación; </w:t>
      </w:r>
    </w:p>
    <w:p w:rsidR="002430E6" w:rsidRPr="002430E6" w:rsidRDefault="002430E6" w:rsidP="002430E6">
      <w:pPr>
        <w:ind w:left="567" w:right="851"/>
        <w:jc w:val="both"/>
        <w:rPr>
          <w:rFonts w:ascii="Palatino Linotype" w:eastAsia="Palatino Linotype" w:hAnsi="Palatino Linotype" w:cs="Palatino Linotype"/>
          <w:b/>
          <w:i/>
          <w:sz w:val="22"/>
          <w:szCs w:val="22"/>
          <w:u w:val="single"/>
        </w:rPr>
      </w:pPr>
      <w:r w:rsidRPr="002430E6">
        <w:rPr>
          <w:rFonts w:ascii="Palatino Linotype" w:eastAsia="Palatino Linotype" w:hAnsi="Palatino Linotype" w:cs="Palatino Linotype"/>
          <w:b/>
          <w:i/>
          <w:sz w:val="22"/>
          <w:szCs w:val="22"/>
          <w:u w:val="single"/>
        </w:rPr>
        <w:t xml:space="preserve">IX. Causales por las que la Secretaría, organismos auxiliares, tribunales administrativos o municipios podrán dar por rescindido el contrato y sus efectos; </w:t>
      </w:r>
    </w:p>
    <w:p w:rsidR="002430E6" w:rsidRPr="002430E6" w:rsidRDefault="002430E6" w:rsidP="002430E6">
      <w:pPr>
        <w:ind w:left="567" w:right="851"/>
        <w:jc w:val="both"/>
        <w:rPr>
          <w:rFonts w:ascii="Palatino Linotype" w:eastAsia="Palatino Linotype" w:hAnsi="Palatino Linotype" w:cs="Palatino Linotype"/>
          <w:b/>
          <w:i/>
          <w:sz w:val="22"/>
          <w:szCs w:val="22"/>
          <w:u w:val="single"/>
        </w:rPr>
      </w:pPr>
      <w:r w:rsidRPr="002430E6">
        <w:rPr>
          <w:rFonts w:ascii="Palatino Linotype" w:eastAsia="Palatino Linotype" w:hAnsi="Palatino Linotype" w:cs="Palatino Linotype"/>
          <w:b/>
          <w:i/>
          <w:sz w:val="22"/>
          <w:szCs w:val="22"/>
          <w:u w:val="single"/>
        </w:rPr>
        <w:t xml:space="preserve">X. Las consecuencias de la cancelación o terminación anticipada por causas imputables al proveedor o prestador del servicio; </w:t>
      </w:r>
    </w:p>
    <w:p w:rsidR="002430E6" w:rsidRPr="002430E6" w:rsidRDefault="002430E6" w:rsidP="002430E6">
      <w:pPr>
        <w:ind w:left="567" w:right="851"/>
        <w:jc w:val="both"/>
        <w:rPr>
          <w:rFonts w:ascii="Palatino Linotype" w:eastAsia="Palatino Linotype" w:hAnsi="Palatino Linotype" w:cs="Palatino Linotype"/>
          <w:b/>
          <w:i/>
          <w:sz w:val="22"/>
          <w:szCs w:val="22"/>
          <w:u w:val="single"/>
        </w:rPr>
      </w:pPr>
      <w:r w:rsidRPr="002430E6">
        <w:rPr>
          <w:rFonts w:ascii="Palatino Linotype" w:eastAsia="Palatino Linotype" w:hAnsi="Palatino Linotype" w:cs="Palatino Linotype"/>
          <w:b/>
          <w:i/>
          <w:sz w:val="22"/>
          <w:szCs w:val="22"/>
          <w:u w:val="single"/>
        </w:rPr>
        <w:t xml:space="preserve">XI. Señalamiento del domicilio de las partes, ubicado en el territorio del Estado, o bien, domicilio para oír y recibir notificaciones; y </w:t>
      </w:r>
    </w:p>
    <w:p w:rsidR="002430E6" w:rsidRPr="002430E6" w:rsidRDefault="002430E6" w:rsidP="002430E6">
      <w:pPr>
        <w:ind w:left="567" w:right="709"/>
        <w:jc w:val="both"/>
        <w:rPr>
          <w:rFonts w:ascii="Palatino Linotype" w:eastAsia="Palatino Linotype" w:hAnsi="Palatino Linotype" w:cs="Palatino Linotype"/>
          <w:b/>
          <w:i/>
          <w:sz w:val="22"/>
          <w:szCs w:val="22"/>
          <w:u w:val="single"/>
        </w:rPr>
      </w:pPr>
      <w:r w:rsidRPr="002430E6">
        <w:rPr>
          <w:rFonts w:ascii="Palatino Linotype" w:eastAsia="Palatino Linotype" w:hAnsi="Palatino Linotype" w:cs="Palatino Linotype"/>
          <w:b/>
          <w:i/>
          <w:sz w:val="22"/>
          <w:szCs w:val="22"/>
          <w:u w:val="single"/>
        </w:rPr>
        <w:t xml:space="preserve">XII. Renuncia expresa al fuero que les pudiera corresponder en función de su domicilio o vecindad presente o futuro. </w:t>
      </w:r>
    </w:p>
    <w:p w:rsidR="002430E6" w:rsidRPr="002430E6" w:rsidRDefault="002430E6" w:rsidP="002430E6">
      <w:pPr>
        <w:ind w:left="567" w:right="709"/>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Artículo 121.- </w:t>
      </w:r>
      <w:r w:rsidRPr="002430E6">
        <w:rPr>
          <w:rFonts w:ascii="Palatino Linotype" w:eastAsia="Palatino Linotype" w:hAnsi="Palatino Linotype" w:cs="Palatino Linotype"/>
          <w:i/>
          <w:sz w:val="22"/>
          <w:szCs w:val="22"/>
        </w:rPr>
        <w:t xml:space="preserve">Cuando el contrato sea adjudicado a varios participantes, deberá ser firmado por todos, especificando las obligaciones que a cada uno correspondan. </w:t>
      </w:r>
    </w:p>
    <w:p w:rsidR="002430E6" w:rsidRPr="002430E6" w:rsidRDefault="002430E6" w:rsidP="002430E6">
      <w:pPr>
        <w:ind w:left="567" w:right="709"/>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Artículo 122.- </w:t>
      </w:r>
      <w:r w:rsidRPr="002430E6">
        <w:rPr>
          <w:rFonts w:ascii="Palatino Linotype" w:eastAsia="Palatino Linotype" w:hAnsi="Palatino Linotype" w:cs="Palatino Linotype"/>
          <w:i/>
          <w:sz w:val="22"/>
          <w:szCs w:val="22"/>
        </w:rPr>
        <w:t xml:space="preserve">Cuando dentro del término establecido para ello, el contrato no sea firmado por la persona que resulte adjudicada, la convocante podrá adjudicarlo al oferente que haya presentado la propuesta económica solvente más cercana a la ganadora, y así sucesivamente; en todo caso, la diferencia de precio no deberá ser superior al diez por ciento, incluyendo el Impuesto al Valor Agregado, respecto de la propuesta ganadora. </w:t>
      </w:r>
    </w:p>
    <w:p w:rsidR="002430E6" w:rsidRPr="002430E6" w:rsidRDefault="002430E6" w:rsidP="002430E6">
      <w:pPr>
        <w:ind w:left="567" w:right="709"/>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Artículo 123.- </w:t>
      </w:r>
      <w:r w:rsidRPr="002430E6">
        <w:rPr>
          <w:rFonts w:ascii="Palatino Linotype" w:eastAsia="Palatino Linotype" w:hAnsi="Palatino Linotype" w:cs="Palatino Linotype"/>
          <w:i/>
          <w:sz w:val="22"/>
          <w:szCs w:val="22"/>
        </w:rPr>
        <w:t xml:space="preserve">El proveedor o prestador del servicio que desee transmitir sus derechos de cobro, deberá solicitar por escrito el consentimiento de la contratante, misma que resolverá lo procedente en un término de quince días naturales contados a partir de la presentación de dicha solicitud. </w:t>
      </w:r>
    </w:p>
    <w:p w:rsidR="002430E6" w:rsidRPr="002430E6" w:rsidRDefault="002430E6" w:rsidP="002430E6">
      <w:pPr>
        <w:ind w:left="567" w:right="709"/>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 xml:space="preserve">No se generará el pago de gastos o recargos por parte de la contratante, si durante el plazo para emitir la resolución de la transmisión de los derechos de cobro, se origina un retraso en el pago pactado. </w:t>
      </w:r>
    </w:p>
    <w:p w:rsidR="002430E6" w:rsidRPr="002430E6" w:rsidRDefault="002430E6" w:rsidP="002430E6">
      <w:pPr>
        <w:ind w:left="567" w:right="709"/>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Artículo 124.- </w:t>
      </w:r>
      <w:r w:rsidRPr="002430E6">
        <w:rPr>
          <w:rFonts w:ascii="Palatino Linotype" w:eastAsia="Palatino Linotype" w:hAnsi="Palatino Linotype" w:cs="Palatino Linotype"/>
          <w:i/>
          <w:sz w:val="22"/>
          <w:szCs w:val="22"/>
        </w:rPr>
        <w:t xml:space="preserve">En los contratos se establecerán los casos concretos en los que procederá la subcontratación, la cual invariablemente deberá ser autorizada de manera previa por la contratante; en el entendido de que en ningún caso los licitantes que hayan resultado adjudicados podrán subcontratar a personas físicas o jurídicas colectivas que hayan participado por sí mismos o a través de otros, en el mismo procedimiento licitatorio del que se derive dicho contrato. </w:t>
      </w:r>
    </w:p>
    <w:p w:rsidR="002430E6" w:rsidRPr="002430E6" w:rsidRDefault="002430E6" w:rsidP="002430E6">
      <w:pPr>
        <w:ind w:left="567" w:right="709"/>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Artículo 125.- </w:t>
      </w:r>
      <w:r w:rsidRPr="002430E6">
        <w:rPr>
          <w:rFonts w:ascii="Palatino Linotype" w:eastAsia="Palatino Linotype" w:hAnsi="Palatino Linotype" w:cs="Palatino Linotype"/>
          <w:i/>
          <w:sz w:val="22"/>
          <w:szCs w:val="22"/>
        </w:rPr>
        <w:t xml:space="preserve">La contratante en caso de ser necesario y se aseguren las mejores condiciones disponibles en cuanto precio, calidad, financiamiento, oportunidad y demás circunstancias pertinentes, podrá acordar conforme a las previsiones y disposiciones presupuestarias respectivas, incrementos en la cantidad de bienes adquiridos mediante modificaciones a sus contratos vigentes, dentro de los doce meses posteriores a su suscripción, siempre que el monto total de la modificación no rebase, en su conjunto, el treinta por ciento del importe original y el precio de los bienes sea igual al pactado inicialmente. El incremento se aplicará al importe total del contrato, independientemente de la cantidad de partidas que decidan ampliarse. </w:t>
      </w:r>
    </w:p>
    <w:p w:rsidR="002430E6" w:rsidRPr="002430E6" w:rsidRDefault="002430E6" w:rsidP="002430E6">
      <w:pPr>
        <w:ind w:left="567" w:right="709"/>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 xml:space="preserve">Igual porcentaje se aplicará a las modificaciones o prórrogas que se hagan respecto a la vigencia de los contratos de prestación de servicios. </w:t>
      </w:r>
    </w:p>
    <w:p w:rsidR="002430E6" w:rsidRPr="002430E6" w:rsidRDefault="002430E6" w:rsidP="002430E6">
      <w:pPr>
        <w:ind w:left="567" w:right="709"/>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Artículo 126.- </w:t>
      </w:r>
      <w:r w:rsidRPr="002430E6">
        <w:rPr>
          <w:rFonts w:ascii="Palatino Linotype" w:eastAsia="Palatino Linotype" w:hAnsi="Palatino Linotype" w:cs="Palatino Linotype"/>
          <w:i/>
          <w:sz w:val="22"/>
          <w:szCs w:val="22"/>
        </w:rPr>
        <w:t xml:space="preserve">Los contratos de inmuebles del dominio privado se regularán por las disposiciones de la Ley, este Reglamento, las normas, políticas, bases o lineamientos que expida la Secretaría y, supletoriamente, las del Código Civil del Estado de México, en lo conducente. </w:t>
      </w:r>
    </w:p>
    <w:p w:rsidR="002430E6" w:rsidRPr="002430E6" w:rsidRDefault="002430E6" w:rsidP="002430E6">
      <w:pPr>
        <w:ind w:left="567" w:right="709"/>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b/>
          <w:i/>
          <w:sz w:val="22"/>
          <w:szCs w:val="22"/>
        </w:rPr>
        <w:t xml:space="preserve">Artículo 127.- </w:t>
      </w:r>
      <w:r w:rsidRPr="002430E6">
        <w:rPr>
          <w:rFonts w:ascii="Palatino Linotype" w:eastAsia="Palatino Linotype" w:hAnsi="Palatino Linotype" w:cs="Palatino Linotype"/>
          <w:i/>
          <w:sz w:val="22"/>
          <w:szCs w:val="22"/>
        </w:rPr>
        <w:t xml:space="preserve">Las unidades administrativas usuarias deberán informar por escrito a la contratante, dentro de los cinco días hábiles siguientes contados a partir de la fecha indicada para el suministro de los bienes o prestación del servicio, sobre el cumplimiento o incumplimiento a las condiciones, características y especificaciones técnicas pactadas en los contratos respectivos. </w:t>
      </w:r>
    </w:p>
    <w:p w:rsidR="002430E6" w:rsidRPr="002430E6" w:rsidRDefault="002430E6" w:rsidP="002430E6">
      <w:pPr>
        <w:ind w:left="567" w:right="709"/>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 xml:space="preserve">Al escrito por medio del cual se informe el cumplimiento o incumplimiento del proveedor o prestador del servicio, se adjuntarán copia de las facturas que acrediten el suministro de los bienes o prestación de los servicios relativos. </w:t>
      </w:r>
    </w:p>
    <w:p w:rsidR="002430E6" w:rsidRPr="002430E6" w:rsidRDefault="002430E6" w:rsidP="002430E6">
      <w:pPr>
        <w:ind w:left="567" w:right="709"/>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Lo anterior, podrá ser informado a través del sistema COMPRAMEX.”</w:t>
      </w:r>
    </w:p>
    <w:p w:rsidR="002430E6" w:rsidRPr="002430E6" w:rsidRDefault="002430E6" w:rsidP="002430E6">
      <w:pPr>
        <w:ind w:left="567" w:right="709"/>
        <w:jc w:val="both"/>
        <w:rPr>
          <w:rFonts w:ascii="Palatino Linotype" w:eastAsia="Palatino Linotype" w:hAnsi="Palatino Linotype" w:cs="Palatino Linotype"/>
          <w:i/>
          <w:sz w:val="22"/>
          <w:szCs w:val="22"/>
        </w:rPr>
      </w:pPr>
    </w:p>
    <w:p w:rsidR="002430E6" w:rsidRPr="002430E6" w:rsidRDefault="002430E6" w:rsidP="002430E6">
      <w:pPr>
        <w:ind w:left="567" w:right="709"/>
        <w:jc w:val="both"/>
        <w:rPr>
          <w:rFonts w:ascii="Palatino Linotype" w:eastAsia="Palatino Linotype" w:hAnsi="Palatino Linotype" w:cs="Palatino Linotype"/>
          <w:i/>
          <w:sz w:val="22"/>
          <w:szCs w:val="22"/>
        </w:rPr>
      </w:pPr>
      <w:r w:rsidRPr="002430E6">
        <w:rPr>
          <w:rFonts w:ascii="Palatino Linotype" w:eastAsia="Palatino Linotype" w:hAnsi="Palatino Linotype" w:cs="Palatino Linotype"/>
          <w:i/>
          <w:sz w:val="22"/>
          <w:szCs w:val="22"/>
        </w:rPr>
        <w:t>(Énfasis añadido)</w:t>
      </w:r>
    </w:p>
    <w:p w:rsidR="002430E6" w:rsidRPr="002430E6" w:rsidRDefault="002430E6" w:rsidP="002430E6">
      <w:pPr>
        <w:spacing w:line="360" w:lineRule="auto"/>
        <w:ind w:right="49"/>
        <w:jc w:val="both"/>
        <w:rPr>
          <w:rFonts w:ascii="Palatino Linotype" w:eastAsia="Palatino Linotype" w:hAnsi="Palatino Linotype" w:cs="Palatino Linotype"/>
        </w:rPr>
      </w:pPr>
    </w:p>
    <w:p w:rsidR="002430E6" w:rsidRPr="002430E6" w:rsidRDefault="002430E6" w:rsidP="002430E6">
      <w:pPr>
        <w:spacing w:line="360" w:lineRule="auto"/>
        <w:ind w:right="49"/>
        <w:jc w:val="both"/>
        <w:rPr>
          <w:rFonts w:ascii="Palatino Linotype" w:eastAsia="Palatino Linotype" w:hAnsi="Palatino Linotype" w:cs="Palatino Linotype"/>
        </w:rPr>
      </w:pPr>
      <w:r w:rsidRPr="002430E6">
        <w:rPr>
          <w:rFonts w:ascii="Palatino Linotype" w:eastAsia="Palatino Linotype" w:hAnsi="Palatino Linotype" w:cs="Palatino Linotype"/>
        </w:rPr>
        <w:t xml:space="preserve">De lo anteriormente expuesto se arriban a las siguientes conclusiones: </w:t>
      </w:r>
    </w:p>
    <w:p w:rsidR="002430E6" w:rsidRPr="002430E6" w:rsidRDefault="002430E6" w:rsidP="002430E6">
      <w:pPr>
        <w:spacing w:line="360" w:lineRule="auto"/>
        <w:ind w:right="49"/>
        <w:jc w:val="both"/>
        <w:rPr>
          <w:rFonts w:ascii="Palatino Linotype" w:eastAsia="Palatino Linotype" w:hAnsi="Palatino Linotype" w:cs="Palatino Linotype"/>
        </w:rPr>
      </w:pPr>
    </w:p>
    <w:p w:rsidR="002430E6" w:rsidRPr="002430E6" w:rsidRDefault="002430E6" w:rsidP="002430E6">
      <w:pPr>
        <w:numPr>
          <w:ilvl w:val="0"/>
          <w:numId w:val="4"/>
        </w:numPr>
        <w:pBdr>
          <w:top w:val="nil"/>
          <w:left w:val="nil"/>
          <w:bottom w:val="nil"/>
          <w:right w:val="nil"/>
          <w:between w:val="nil"/>
        </w:pBdr>
        <w:spacing w:after="160" w:line="360" w:lineRule="auto"/>
        <w:ind w:right="851"/>
        <w:jc w:val="both"/>
        <w:rPr>
          <w:rFonts w:ascii="Palatino Linotype" w:eastAsia="Palatino Linotype" w:hAnsi="Palatino Linotype" w:cs="Palatino Linotype"/>
          <w:color w:val="000000"/>
        </w:rPr>
      </w:pPr>
      <w:r w:rsidRPr="002430E6">
        <w:rPr>
          <w:rFonts w:ascii="Palatino Linotype" w:eastAsia="Palatino Linotype" w:hAnsi="Palatino Linotype" w:cs="Palatino Linotype"/>
          <w:color w:val="000000"/>
        </w:rPr>
        <w:t>Las adquisiciones, arrendamientos y servicios pueden adjudicarse mediante licitación pública, esto previa emisión de una convocatoria pública y culminará con la suscripción de un contrato.</w:t>
      </w:r>
    </w:p>
    <w:p w:rsidR="002430E6" w:rsidRPr="002430E6" w:rsidRDefault="002430E6" w:rsidP="002430E6">
      <w:pPr>
        <w:numPr>
          <w:ilvl w:val="0"/>
          <w:numId w:val="4"/>
        </w:numPr>
        <w:pBdr>
          <w:top w:val="nil"/>
          <w:left w:val="nil"/>
          <w:bottom w:val="nil"/>
          <w:right w:val="nil"/>
          <w:between w:val="nil"/>
        </w:pBdr>
        <w:spacing w:after="160" w:line="360" w:lineRule="auto"/>
        <w:ind w:right="851"/>
        <w:jc w:val="both"/>
        <w:rPr>
          <w:rFonts w:ascii="Palatino Linotype" w:eastAsia="Palatino Linotype" w:hAnsi="Palatino Linotype" w:cs="Palatino Linotype"/>
          <w:color w:val="000000"/>
        </w:rPr>
      </w:pPr>
      <w:r w:rsidRPr="002430E6">
        <w:rPr>
          <w:rFonts w:ascii="Palatino Linotype" w:eastAsia="Palatino Linotype" w:hAnsi="Palatino Linotype" w:cs="Palatino Linotype"/>
          <w:color w:val="000000"/>
        </w:rPr>
        <w:t>Los Ayuntamientos podrán celebrar contratos por enajenaciones, arrendamientos, servicios y adquisiciones mediante la Dirección General de Administración y Finanzas.</w:t>
      </w:r>
    </w:p>
    <w:p w:rsidR="002430E6" w:rsidRPr="002430E6" w:rsidRDefault="002430E6" w:rsidP="002430E6">
      <w:pPr>
        <w:numPr>
          <w:ilvl w:val="0"/>
          <w:numId w:val="4"/>
        </w:numPr>
        <w:pBdr>
          <w:top w:val="nil"/>
          <w:left w:val="nil"/>
          <w:bottom w:val="nil"/>
          <w:right w:val="nil"/>
          <w:between w:val="nil"/>
        </w:pBdr>
        <w:spacing w:after="160" w:line="360" w:lineRule="auto"/>
        <w:ind w:right="851"/>
        <w:jc w:val="both"/>
        <w:rPr>
          <w:rFonts w:ascii="Palatino Linotype" w:eastAsia="Palatino Linotype" w:hAnsi="Palatino Linotype" w:cs="Palatino Linotype"/>
          <w:color w:val="000000"/>
        </w:rPr>
      </w:pPr>
      <w:r w:rsidRPr="002430E6">
        <w:rPr>
          <w:rFonts w:ascii="Palatino Linotype" w:eastAsia="Palatino Linotype" w:hAnsi="Palatino Linotype" w:cs="Palatino Linotype"/>
          <w:color w:val="000000"/>
        </w:rPr>
        <w:t xml:space="preserve">La adjudicación de los contratos derivados de los procedimientos de adquisiciones de bienes o servicios, obligará a la convocante y al licitante ganador a suscribir el contrato respectivo, dentro de los diez días hábiles siguientes al de la notificación del fallo. </w:t>
      </w:r>
    </w:p>
    <w:p w:rsidR="002430E6" w:rsidRPr="002430E6" w:rsidRDefault="002430E6" w:rsidP="002430E6">
      <w:pPr>
        <w:jc w:val="both"/>
        <w:rPr>
          <w:rFonts w:ascii="Palatino Linotype" w:eastAsia="Palatino Linotype" w:hAnsi="Palatino Linotype" w:cs="Palatino Linotype"/>
        </w:rPr>
      </w:pPr>
    </w:p>
    <w:p w:rsidR="002430E6" w:rsidRPr="002430E6" w:rsidRDefault="002430E6" w:rsidP="002430E6">
      <w:pPr>
        <w:numPr>
          <w:ilvl w:val="0"/>
          <w:numId w:val="4"/>
        </w:numPr>
        <w:pBdr>
          <w:top w:val="nil"/>
          <w:left w:val="nil"/>
          <w:bottom w:val="nil"/>
          <w:right w:val="nil"/>
          <w:between w:val="nil"/>
        </w:pBdr>
        <w:spacing w:after="160" w:line="360" w:lineRule="auto"/>
        <w:ind w:right="851"/>
        <w:jc w:val="both"/>
        <w:rPr>
          <w:rFonts w:ascii="Palatino Linotype" w:eastAsia="Palatino Linotype" w:hAnsi="Palatino Linotype" w:cs="Palatino Linotype"/>
          <w:color w:val="000000"/>
        </w:rPr>
      </w:pPr>
      <w:r w:rsidRPr="002430E6">
        <w:rPr>
          <w:rFonts w:ascii="Palatino Linotype" w:eastAsia="Palatino Linotype" w:hAnsi="Palatino Linotype" w:cs="Palatino Linotype"/>
          <w:color w:val="000000"/>
        </w:rPr>
        <w:t>Dentro de los requisitos para la licitación se prevé la suscripción de un contrato en el que se establezcan como elementos mínimos: el objeto, fecha de suministro de los servicios o bienes, datos del procedimiento que dio origen al contrato, importe, etc.</w:t>
      </w:r>
    </w:p>
    <w:p w:rsidR="002430E6" w:rsidRPr="002430E6" w:rsidRDefault="002430E6" w:rsidP="002430E6">
      <w:pPr>
        <w:spacing w:after="160" w:line="360" w:lineRule="auto"/>
        <w:jc w:val="both"/>
        <w:rPr>
          <w:rFonts w:ascii="Calibri" w:eastAsia="Calibri" w:hAnsi="Calibri"/>
          <w:sz w:val="22"/>
          <w:szCs w:val="22"/>
          <w:lang w:val="es-MX" w:eastAsia="en-US"/>
        </w:rPr>
      </w:pPr>
      <w:r w:rsidRPr="002430E6">
        <w:rPr>
          <w:rFonts w:ascii="Palatino Linotype" w:eastAsia="Palatino Linotype" w:hAnsi="Palatino Linotype" w:cs="Palatino Linotype"/>
          <w:color w:val="000000"/>
        </w:rPr>
        <w:t>De tal suerte que como se analizó,  la legislación local en materia de contratación pública regula el actuar de los ayuntamientos para efectuar las adquisiciones por medio de contratos; no debe olvidarse que en el asunto que nos ocupa, la unidad administrativa responsable es la Dirección General de Administración y Finanzas, toda vez que como se apuntó en líneas argumentativas, es la encargada de efectuar las erogaciones del Ayuntamiento.</w:t>
      </w:r>
    </w:p>
    <w:p w:rsidR="00732101" w:rsidRDefault="00732101">
      <w:pPr>
        <w:spacing w:line="360" w:lineRule="auto"/>
        <w:ind w:right="49"/>
        <w:jc w:val="both"/>
        <w:rPr>
          <w:rFonts w:ascii="Palatino Linotype" w:eastAsia="Palatino Linotype" w:hAnsi="Palatino Linotype" w:cs="Palatino Linotype"/>
        </w:rPr>
      </w:pPr>
    </w:p>
    <w:p w:rsidR="00203915" w:rsidRDefault="00732101" w:rsidP="00CC16F6">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Continuando con el análisis de las constancias que obran en el expediente electrónico, se advierte que mediante informe justificado, el Director General de Administración y Finanzas, refirió que el proveedor que presta los servicios es GEODESICION S.A de C.V, el cual se erogó como un proyecto, sin embargo, precisa que no se proporciona la información, ello en razón de que </w:t>
      </w:r>
      <w:r w:rsidRPr="00CC16F6">
        <w:rPr>
          <w:rFonts w:ascii="Palatino Linotype" w:eastAsia="Palatino Linotype" w:hAnsi="Palatino Linotype" w:cs="Palatino Linotype"/>
        </w:rPr>
        <w:t>contiene información personal</w:t>
      </w:r>
      <w:r>
        <w:rPr>
          <w:rFonts w:ascii="Palatino Linotype" w:eastAsia="Palatino Linotype" w:hAnsi="Palatino Linotype" w:cs="Palatino Linotype"/>
        </w:rPr>
        <w:t xml:space="preserve"> que puede ocasionar un daño al proveedor</w:t>
      </w:r>
      <w:r w:rsidR="00CC16F6">
        <w:rPr>
          <w:rFonts w:ascii="Palatino Linotype" w:eastAsia="Palatino Linotype" w:hAnsi="Palatino Linotype" w:cs="Palatino Linotype"/>
        </w:rPr>
        <w:t>.</w:t>
      </w:r>
    </w:p>
    <w:p w:rsidR="00203915" w:rsidRPr="00CC16F6" w:rsidRDefault="00732101">
      <w:pPr>
        <w:shd w:val="clear" w:color="auto" w:fill="FFFFFF"/>
        <w:spacing w:before="240" w:after="240" w:line="360" w:lineRule="auto"/>
        <w:ind w:right="51"/>
        <w:jc w:val="both"/>
        <w:rPr>
          <w:rFonts w:ascii="Palatino Linotype" w:eastAsia="Palatino Linotype" w:hAnsi="Palatino Linotype" w:cs="Palatino Linotype"/>
        </w:rPr>
      </w:pPr>
      <w:r w:rsidRPr="00CC16F6">
        <w:rPr>
          <w:rFonts w:ascii="Palatino Linotype" w:eastAsia="Palatino Linotype" w:hAnsi="Palatino Linotype" w:cs="Palatino Linotype"/>
          <w:color w:val="222222"/>
        </w:rPr>
        <w:t xml:space="preserve">Respecto a la negativa de entregar la información por contener datos personales  debe precisarse al Sujeto Obligado que toda negativa de información por encuadrar en cualquiera de los supuestos de clasificación, deberá estar debidamente fundada y motivada en términos de lo establecido en la Ley en la materia.  </w:t>
      </w:r>
    </w:p>
    <w:p w:rsidR="00203915" w:rsidRPr="00CC16F6" w:rsidRDefault="00732101">
      <w:pPr>
        <w:spacing w:before="280" w:after="280"/>
        <w:ind w:left="567" w:right="902"/>
        <w:jc w:val="both"/>
        <w:rPr>
          <w:rFonts w:ascii="Palatino Linotype" w:eastAsia="Palatino Linotype" w:hAnsi="Palatino Linotype" w:cs="Palatino Linotype"/>
          <w:i/>
          <w:sz w:val="22"/>
          <w:szCs w:val="22"/>
        </w:rPr>
      </w:pPr>
      <w:r w:rsidRPr="00CC16F6">
        <w:rPr>
          <w:rFonts w:ascii="Palatino Linotype" w:eastAsia="Palatino Linotype" w:hAnsi="Palatino Linotype" w:cs="Palatino Linotype"/>
          <w:b/>
          <w:i/>
          <w:sz w:val="22"/>
          <w:szCs w:val="22"/>
        </w:rPr>
        <w:t>“Artículo 131</w:t>
      </w:r>
      <w:r w:rsidRPr="00CC16F6">
        <w:rPr>
          <w:rFonts w:ascii="Palatino Linotype" w:eastAsia="Palatino Linotype" w:hAnsi="Palatino Linotype" w:cs="Palatino Linotype"/>
          <w:i/>
          <w:sz w:val="22"/>
          <w:szCs w:val="22"/>
        </w:rPr>
        <w:t xml:space="preserve">. </w:t>
      </w:r>
      <w:r w:rsidRPr="00CC16F6">
        <w:rPr>
          <w:rFonts w:ascii="Palatino Linotype" w:eastAsia="Palatino Linotype" w:hAnsi="Palatino Linotype" w:cs="Palatino Linotype"/>
          <w:b/>
          <w:i/>
          <w:sz w:val="22"/>
          <w:szCs w:val="22"/>
        </w:rPr>
        <w:t>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w:t>
      </w:r>
      <w:r w:rsidRPr="00CC16F6">
        <w:rPr>
          <w:rFonts w:ascii="Palatino Linotype" w:eastAsia="Palatino Linotype" w:hAnsi="Palatino Linotype" w:cs="Palatino Linotype"/>
          <w:i/>
          <w:sz w:val="22"/>
          <w:szCs w:val="22"/>
        </w:rPr>
        <w:t>, de conformidad con lo previsto en la presente Ley.”</w:t>
      </w:r>
    </w:p>
    <w:p w:rsidR="00732101" w:rsidRPr="00CC16F6" w:rsidRDefault="00CC16F6" w:rsidP="00732101">
      <w:pPr>
        <w:spacing w:line="360" w:lineRule="auto"/>
        <w:jc w:val="both"/>
        <w:rPr>
          <w:rFonts w:ascii="Palatino Linotype" w:hAnsi="Palatino Linotype" w:cs="Arial"/>
        </w:rPr>
      </w:pPr>
      <w:r w:rsidRPr="00CC16F6">
        <w:rPr>
          <w:rFonts w:ascii="Palatino Linotype" w:hAnsi="Palatino Linotype" w:cs="Arial"/>
        </w:rPr>
        <w:t>Por lo que el Sujeto Obligado</w:t>
      </w:r>
      <w:r w:rsidR="00D748A8" w:rsidRPr="00CC16F6">
        <w:rPr>
          <w:rFonts w:ascii="Palatino Linotype" w:hAnsi="Palatino Linotype" w:cs="Arial"/>
        </w:rPr>
        <w:t xml:space="preserve"> incumplió</w:t>
      </w:r>
      <w:r w:rsidR="00732101" w:rsidRPr="00CC16F6">
        <w:rPr>
          <w:rFonts w:ascii="Palatino Linotype" w:hAnsi="Palatino Linotype" w:cs="Arial"/>
        </w:rPr>
        <w:t xml:space="preserve"> </w:t>
      </w:r>
      <w:r w:rsidR="00732101" w:rsidRPr="00CC16F6">
        <w:rPr>
          <w:rFonts w:ascii="Palatino Linotype" w:hAnsi="Palatino Linotype"/>
        </w:rPr>
        <w:t xml:space="preserve">con las formalidades previstas en los artículos </w:t>
      </w:r>
      <w:r w:rsidR="00732101" w:rsidRPr="00CC16F6">
        <w:rPr>
          <w:rFonts w:ascii="Palatino Linotype" w:hAnsi="Palatino Linotype" w:cs="Arial"/>
        </w:rPr>
        <w:t>49, fracción VIII y 132, fracciones I, II y III ya citadas de la Ley de Transparencia y Acceso a la Información Pública del Estado de México y Municipios en vigor, así como el numeral Cuarto al Décimo Primero de los Lineamientos Generales en materia de Clasificación y Desclasificación de la Información, así como para la elaboración de Versiones Públicas, que literalmente expresan:</w:t>
      </w:r>
    </w:p>
    <w:p w:rsidR="00732101" w:rsidRPr="00CC16F6" w:rsidRDefault="00732101" w:rsidP="00732101">
      <w:pPr>
        <w:jc w:val="both"/>
        <w:rPr>
          <w:rFonts w:ascii="Palatino Linotype" w:hAnsi="Palatino Linotype" w:cs="Arial"/>
        </w:rPr>
      </w:pPr>
    </w:p>
    <w:p w:rsidR="00732101" w:rsidRPr="00CC16F6" w:rsidRDefault="00732101" w:rsidP="00732101">
      <w:pPr>
        <w:ind w:left="851" w:right="902"/>
        <w:jc w:val="both"/>
        <w:rPr>
          <w:rFonts w:ascii="Palatino Linotype" w:hAnsi="Palatino Linotype" w:cs="Arial"/>
          <w:i/>
          <w:sz w:val="22"/>
          <w:szCs w:val="22"/>
        </w:rPr>
      </w:pPr>
      <w:r w:rsidRPr="00CC16F6">
        <w:rPr>
          <w:rFonts w:ascii="Palatino Linotype" w:hAnsi="Palatino Linotype" w:cs="Arial"/>
          <w:i/>
          <w:sz w:val="22"/>
          <w:szCs w:val="22"/>
        </w:rPr>
        <w:t>“</w:t>
      </w:r>
      <w:r w:rsidRPr="00CC16F6">
        <w:rPr>
          <w:rFonts w:ascii="Palatino Linotype" w:hAnsi="Palatino Linotype" w:cs="Arial"/>
          <w:b/>
          <w:i/>
          <w:sz w:val="22"/>
          <w:szCs w:val="22"/>
        </w:rPr>
        <w:t xml:space="preserve">Artículo 49. </w:t>
      </w:r>
      <w:r w:rsidRPr="00CC16F6">
        <w:rPr>
          <w:rFonts w:ascii="Palatino Linotype" w:hAnsi="Palatino Linotype" w:cs="Arial"/>
          <w:i/>
          <w:sz w:val="22"/>
          <w:szCs w:val="22"/>
        </w:rPr>
        <w:t>Los Comités de Transparencia tendrán las siguientes atribuciones:</w:t>
      </w:r>
    </w:p>
    <w:p w:rsidR="00732101" w:rsidRPr="00CC16F6" w:rsidRDefault="00732101" w:rsidP="00732101">
      <w:pPr>
        <w:ind w:left="851" w:right="902"/>
        <w:jc w:val="both"/>
        <w:rPr>
          <w:rFonts w:ascii="Palatino Linotype" w:hAnsi="Palatino Linotype" w:cs="Arial"/>
          <w:i/>
          <w:sz w:val="22"/>
          <w:szCs w:val="22"/>
        </w:rPr>
      </w:pPr>
      <w:r w:rsidRPr="00CC16F6">
        <w:rPr>
          <w:rFonts w:ascii="Palatino Linotype" w:hAnsi="Palatino Linotype" w:cs="Arial"/>
          <w:b/>
          <w:i/>
          <w:sz w:val="22"/>
          <w:szCs w:val="22"/>
        </w:rPr>
        <w:t>VIII.</w:t>
      </w:r>
      <w:r w:rsidRPr="00CC16F6">
        <w:rPr>
          <w:rFonts w:ascii="Palatino Linotype" w:hAnsi="Palatino Linotype" w:cs="Arial"/>
          <w:i/>
          <w:sz w:val="22"/>
          <w:szCs w:val="22"/>
        </w:rPr>
        <w:t xml:space="preserve"> Aprobar, modificar o revocar la clasificación de la información;</w:t>
      </w:r>
    </w:p>
    <w:p w:rsidR="00732101" w:rsidRPr="00CC16F6" w:rsidRDefault="00732101" w:rsidP="00732101">
      <w:pPr>
        <w:ind w:left="851" w:right="902"/>
        <w:jc w:val="both"/>
        <w:rPr>
          <w:rFonts w:ascii="Palatino Linotype" w:hAnsi="Palatino Linotype" w:cs="Arial"/>
          <w:i/>
          <w:sz w:val="22"/>
          <w:szCs w:val="22"/>
        </w:rPr>
      </w:pPr>
      <w:r w:rsidRPr="00CC16F6">
        <w:rPr>
          <w:rFonts w:ascii="Palatino Linotype" w:hAnsi="Palatino Linotype" w:cs="Arial"/>
          <w:b/>
          <w:i/>
          <w:sz w:val="22"/>
          <w:szCs w:val="22"/>
        </w:rPr>
        <w:t>Artículo 132.</w:t>
      </w:r>
      <w:r w:rsidRPr="00CC16F6">
        <w:rPr>
          <w:rFonts w:ascii="Palatino Linotype" w:hAnsi="Palatino Linotype" w:cs="Arial"/>
          <w:i/>
          <w:sz w:val="22"/>
          <w:szCs w:val="22"/>
        </w:rPr>
        <w:t xml:space="preserve"> La clasificación de la información se llevará a cabo en el momento en que:</w:t>
      </w:r>
    </w:p>
    <w:p w:rsidR="00732101" w:rsidRPr="00CC16F6" w:rsidRDefault="00732101" w:rsidP="00732101">
      <w:pPr>
        <w:ind w:left="851" w:right="902"/>
        <w:jc w:val="both"/>
        <w:rPr>
          <w:rFonts w:ascii="Palatino Linotype" w:hAnsi="Palatino Linotype" w:cs="Arial"/>
          <w:i/>
          <w:sz w:val="22"/>
          <w:szCs w:val="22"/>
        </w:rPr>
      </w:pPr>
      <w:r w:rsidRPr="00CC16F6">
        <w:rPr>
          <w:rFonts w:ascii="Palatino Linotype" w:hAnsi="Palatino Linotype" w:cs="Arial"/>
          <w:b/>
          <w:i/>
          <w:sz w:val="22"/>
          <w:szCs w:val="22"/>
        </w:rPr>
        <w:t>I.</w:t>
      </w:r>
      <w:r w:rsidRPr="00CC16F6">
        <w:rPr>
          <w:rFonts w:ascii="Palatino Linotype" w:hAnsi="Palatino Linotype" w:cs="Arial"/>
          <w:i/>
          <w:sz w:val="22"/>
          <w:szCs w:val="22"/>
        </w:rPr>
        <w:t xml:space="preserve"> Se reciba una solicitud de acceso a la información;</w:t>
      </w:r>
    </w:p>
    <w:p w:rsidR="00732101" w:rsidRPr="00CC16F6" w:rsidRDefault="00732101" w:rsidP="00732101">
      <w:pPr>
        <w:ind w:left="851" w:right="902"/>
        <w:jc w:val="both"/>
        <w:rPr>
          <w:rFonts w:ascii="Palatino Linotype" w:hAnsi="Palatino Linotype" w:cs="Arial"/>
          <w:i/>
          <w:sz w:val="22"/>
          <w:szCs w:val="22"/>
        </w:rPr>
      </w:pPr>
      <w:r w:rsidRPr="00CC16F6">
        <w:rPr>
          <w:rFonts w:ascii="Palatino Linotype" w:hAnsi="Palatino Linotype" w:cs="Arial"/>
          <w:b/>
          <w:i/>
          <w:sz w:val="22"/>
          <w:szCs w:val="22"/>
        </w:rPr>
        <w:t>II.</w:t>
      </w:r>
      <w:r w:rsidRPr="00CC16F6">
        <w:rPr>
          <w:rFonts w:ascii="Palatino Linotype" w:hAnsi="Palatino Linotype" w:cs="Arial"/>
          <w:i/>
          <w:sz w:val="22"/>
          <w:szCs w:val="22"/>
        </w:rPr>
        <w:t xml:space="preserve"> Se determine mediante resolución de autoridad competente; o</w:t>
      </w:r>
    </w:p>
    <w:p w:rsidR="00732101" w:rsidRPr="00CC16F6" w:rsidRDefault="00732101" w:rsidP="00732101">
      <w:pPr>
        <w:ind w:left="851" w:right="902"/>
        <w:jc w:val="both"/>
        <w:rPr>
          <w:rFonts w:ascii="Palatino Linotype" w:hAnsi="Palatino Linotype" w:cs="Arial"/>
          <w:b/>
          <w:i/>
          <w:sz w:val="22"/>
          <w:szCs w:val="22"/>
        </w:rPr>
      </w:pPr>
      <w:r w:rsidRPr="00CC16F6">
        <w:rPr>
          <w:rFonts w:ascii="Palatino Linotype" w:hAnsi="Palatino Linotype" w:cs="Arial"/>
          <w:i/>
          <w:sz w:val="22"/>
          <w:szCs w:val="22"/>
        </w:rPr>
        <w:t>III. Se generen versiones públicas para dar cumplimiento a las obligaciones de transparencia previstas en esta Ley.</w:t>
      </w:r>
      <w:r w:rsidRPr="00CC16F6">
        <w:rPr>
          <w:rFonts w:ascii="Palatino Linotype" w:hAnsi="Palatino Linotype" w:cs="Arial"/>
          <w:b/>
          <w:i/>
          <w:sz w:val="22"/>
          <w:szCs w:val="22"/>
        </w:rPr>
        <w:t>”</w:t>
      </w:r>
    </w:p>
    <w:p w:rsidR="00732101" w:rsidRPr="00CC16F6" w:rsidRDefault="00732101" w:rsidP="00732101">
      <w:pPr>
        <w:ind w:left="851" w:right="902"/>
        <w:jc w:val="both"/>
        <w:rPr>
          <w:rFonts w:ascii="Palatino Linotype" w:hAnsi="Palatino Linotype" w:cs="Arial"/>
          <w:i/>
          <w:sz w:val="22"/>
          <w:szCs w:val="22"/>
        </w:rPr>
      </w:pPr>
      <w:r w:rsidRPr="00CC16F6">
        <w:rPr>
          <w:rFonts w:ascii="Palatino Linotype" w:hAnsi="Palatino Linotype" w:cs="Arial"/>
          <w:b/>
          <w:i/>
          <w:sz w:val="22"/>
          <w:szCs w:val="22"/>
        </w:rPr>
        <w:t>Cuarto.</w:t>
      </w:r>
      <w:r w:rsidRPr="00CC16F6">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32101" w:rsidRPr="00CC16F6" w:rsidRDefault="00732101" w:rsidP="00732101">
      <w:pPr>
        <w:ind w:left="851" w:right="902"/>
        <w:jc w:val="both"/>
        <w:rPr>
          <w:rFonts w:ascii="Palatino Linotype" w:hAnsi="Palatino Linotype" w:cs="Arial"/>
          <w:i/>
          <w:sz w:val="22"/>
          <w:szCs w:val="22"/>
        </w:rPr>
      </w:pPr>
      <w:r w:rsidRPr="00CC16F6">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732101" w:rsidRPr="00CC16F6" w:rsidRDefault="00732101" w:rsidP="00732101">
      <w:pPr>
        <w:ind w:left="851" w:right="902"/>
        <w:jc w:val="both"/>
        <w:rPr>
          <w:rFonts w:ascii="Palatino Linotype" w:hAnsi="Palatino Linotype" w:cs="Arial"/>
          <w:i/>
          <w:sz w:val="22"/>
          <w:szCs w:val="22"/>
        </w:rPr>
      </w:pPr>
      <w:r w:rsidRPr="00CC16F6">
        <w:rPr>
          <w:rFonts w:ascii="Palatino Linotype" w:hAnsi="Palatino Linotype" w:cs="Arial"/>
          <w:b/>
          <w:i/>
          <w:sz w:val="22"/>
          <w:szCs w:val="22"/>
        </w:rPr>
        <w:t>Quinto.</w:t>
      </w:r>
      <w:r w:rsidRPr="00CC16F6">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32101" w:rsidRPr="00CC16F6" w:rsidRDefault="00732101" w:rsidP="00732101">
      <w:pPr>
        <w:ind w:left="851" w:right="902"/>
        <w:jc w:val="both"/>
        <w:rPr>
          <w:rFonts w:ascii="Palatino Linotype" w:hAnsi="Palatino Linotype" w:cs="Arial"/>
          <w:i/>
          <w:sz w:val="22"/>
          <w:szCs w:val="22"/>
        </w:rPr>
      </w:pPr>
      <w:r w:rsidRPr="00CC16F6">
        <w:rPr>
          <w:rFonts w:ascii="Palatino Linotype" w:hAnsi="Palatino Linotype" w:cs="Arial"/>
          <w:b/>
          <w:i/>
          <w:sz w:val="22"/>
          <w:szCs w:val="22"/>
        </w:rPr>
        <w:t>Sexto.</w:t>
      </w:r>
      <w:r w:rsidRPr="00CC16F6">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732101" w:rsidRPr="00CC16F6" w:rsidRDefault="00732101" w:rsidP="00732101">
      <w:pPr>
        <w:ind w:left="851" w:right="902"/>
        <w:jc w:val="both"/>
        <w:rPr>
          <w:rFonts w:ascii="Palatino Linotype" w:hAnsi="Palatino Linotype" w:cs="Arial"/>
          <w:i/>
          <w:sz w:val="22"/>
          <w:szCs w:val="22"/>
        </w:rPr>
      </w:pPr>
      <w:r w:rsidRPr="00CC16F6">
        <w:rPr>
          <w:rFonts w:ascii="Palatino Linotype" w:hAnsi="Palatino Linotype" w:cs="Arial"/>
          <w:i/>
          <w:sz w:val="22"/>
          <w:szCs w:val="22"/>
        </w:rPr>
        <w:t>La clasificación de información se realizará conforme a un análisis caso por caso, mediante la aplicación de la prueba de daño y de interés público.</w:t>
      </w:r>
    </w:p>
    <w:p w:rsidR="00732101" w:rsidRPr="00CC16F6" w:rsidRDefault="00732101" w:rsidP="00732101">
      <w:pPr>
        <w:ind w:left="851" w:right="902"/>
        <w:jc w:val="both"/>
        <w:rPr>
          <w:rFonts w:ascii="Palatino Linotype" w:hAnsi="Palatino Linotype" w:cs="Arial"/>
          <w:i/>
          <w:sz w:val="22"/>
          <w:szCs w:val="22"/>
        </w:rPr>
      </w:pPr>
      <w:r w:rsidRPr="00CC16F6">
        <w:rPr>
          <w:rFonts w:ascii="Palatino Linotype" w:hAnsi="Palatino Linotype" w:cs="Arial"/>
          <w:b/>
          <w:i/>
          <w:sz w:val="22"/>
          <w:szCs w:val="22"/>
        </w:rPr>
        <w:t>Séptimo.</w:t>
      </w:r>
      <w:r w:rsidRPr="00CC16F6">
        <w:rPr>
          <w:rFonts w:ascii="Palatino Linotype" w:hAnsi="Palatino Linotype" w:cs="Arial"/>
          <w:i/>
          <w:sz w:val="22"/>
          <w:szCs w:val="22"/>
        </w:rPr>
        <w:t xml:space="preserve"> La clasificación de la información se llevará a cabo en el momento en que:</w:t>
      </w:r>
    </w:p>
    <w:p w:rsidR="00732101" w:rsidRPr="00CC16F6" w:rsidRDefault="00732101" w:rsidP="00732101">
      <w:pPr>
        <w:ind w:left="851" w:right="902"/>
        <w:jc w:val="both"/>
        <w:rPr>
          <w:rFonts w:ascii="Palatino Linotype" w:hAnsi="Palatino Linotype" w:cs="Arial"/>
          <w:i/>
          <w:sz w:val="22"/>
          <w:szCs w:val="22"/>
        </w:rPr>
      </w:pPr>
      <w:r w:rsidRPr="00CC16F6">
        <w:rPr>
          <w:rFonts w:ascii="Palatino Linotype" w:hAnsi="Palatino Linotype" w:cs="Arial"/>
          <w:b/>
          <w:i/>
          <w:sz w:val="22"/>
          <w:szCs w:val="22"/>
        </w:rPr>
        <w:t>I.</w:t>
      </w:r>
      <w:r w:rsidRPr="00CC16F6">
        <w:rPr>
          <w:rFonts w:ascii="Palatino Linotype" w:hAnsi="Palatino Linotype" w:cs="Arial"/>
          <w:i/>
          <w:sz w:val="22"/>
          <w:szCs w:val="22"/>
        </w:rPr>
        <w:t xml:space="preserve"> Se reciba una solicitud de acceso a la información;</w:t>
      </w:r>
    </w:p>
    <w:p w:rsidR="00732101" w:rsidRPr="00CC16F6" w:rsidRDefault="00732101" w:rsidP="00732101">
      <w:pPr>
        <w:ind w:left="851" w:right="902"/>
        <w:jc w:val="both"/>
        <w:rPr>
          <w:rFonts w:ascii="Palatino Linotype" w:hAnsi="Palatino Linotype" w:cs="Arial"/>
          <w:i/>
          <w:sz w:val="22"/>
          <w:szCs w:val="22"/>
        </w:rPr>
      </w:pPr>
      <w:r w:rsidRPr="00CC16F6">
        <w:rPr>
          <w:rFonts w:ascii="Palatino Linotype" w:hAnsi="Palatino Linotype" w:cs="Arial"/>
          <w:b/>
          <w:i/>
          <w:sz w:val="22"/>
          <w:szCs w:val="22"/>
        </w:rPr>
        <w:t>II.</w:t>
      </w:r>
      <w:r w:rsidRPr="00CC16F6">
        <w:rPr>
          <w:rFonts w:ascii="Palatino Linotype" w:hAnsi="Palatino Linotype" w:cs="Arial"/>
          <w:i/>
          <w:sz w:val="22"/>
          <w:szCs w:val="22"/>
        </w:rPr>
        <w:t xml:space="preserve"> Se determine mediante resolución de autoridad competente, o</w:t>
      </w:r>
    </w:p>
    <w:p w:rsidR="00732101" w:rsidRPr="00CC16F6" w:rsidRDefault="00732101" w:rsidP="00732101">
      <w:pPr>
        <w:ind w:left="851" w:right="902"/>
        <w:jc w:val="both"/>
        <w:rPr>
          <w:rFonts w:ascii="Palatino Linotype" w:hAnsi="Palatino Linotype" w:cs="Arial"/>
          <w:i/>
          <w:sz w:val="22"/>
          <w:szCs w:val="22"/>
        </w:rPr>
      </w:pPr>
      <w:r w:rsidRPr="00CC16F6">
        <w:rPr>
          <w:rFonts w:ascii="Palatino Linotype" w:hAnsi="Palatino Linotype" w:cs="Arial"/>
          <w:b/>
          <w:i/>
          <w:sz w:val="22"/>
          <w:szCs w:val="22"/>
        </w:rPr>
        <w:t>III.</w:t>
      </w:r>
      <w:r w:rsidRPr="00CC16F6">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732101" w:rsidRPr="00CC16F6" w:rsidRDefault="00732101" w:rsidP="00732101">
      <w:pPr>
        <w:ind w:left="851" w:right="902"/>
        <w:jc w:val="both"/>
        <w:rPr>
          <w:rFonts w:ascii="Palatino Linotype" w:hAnsi="Palatino Linotype" w:cs="Arial"/>
          <w:i/>
          <w:sz w:val="22"/>
          <w:szCs w:val="22"/>
        </w:rPr>
      </w:pPr>
      <w:r w:rsidRPr="00CC16F6">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732101" w:rsidRPr="00CC16F6" w:rsidRDefault="00732101" w:rsidP="00732101">
      <w:pPr>
        <w:ind w:left="851" w:right="902"/>
        <w:jc w:val="both"/>
        <w:rPr>
          <w:rFonts w:ascii="Palatino Linotype" w:hAnsi="Palatino Linotype" w:cs="Arial"/>
          <w:i/>
          <w:sz w:val="22"/>
          <w:szCs w:val="22"/>
        </w:rPr>
      </w:pPr>
      <w:r w:rsidRPr="00CC16F6">
        <w:rPr>
          <w:rFonts w:ascii="Palatino Linotype" w:hAnsi="Palatino Linotype" w:cs="Arial"/>
          <w:b/>
          <w:i/>
          <w:sz w:val="22"/>
          <w:szCs w:val="22"/>
        </w:rPr>
        <w:t>Octavo.</w:t>
      </w:r>
      <w:r w:rsidRPr="00CC16F6">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732101" w:rsidRPr="00CC16F6" w:rsidRDefault="00732101" w:rsidP="00732101">
      <w:pPr>
        <w:ind w:left="851" w:right="902"/>
        <w:jc w:val="both"/>
        <w:rPr>
          <w:rFonts w:ascii="Palatino Linotype" w:hAnsi="Palatino Linotype" w:cs="Arial"/>
          <w:i/>
          <w:sz w:val="22"/>
          <w:szCs w:val="22"/>
        </w:rPr>
      </w:pPr>
      <w:r w:rsidRPr="00CC16F6">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732101" w:rsidRPr="00CC16F6" w:rsidRDefault="00732101" w:rsidP="00732101">
      <w:pPr>
        <w:ind w:left="851" w:right="902"/>
        <w:jc w:val="both"/>
        <w:rPr>
          <w:rFonts w:ascii="Palatino Linotype" w:hAnsi="Palatino Linotype" w:cs="Arial"/>
          <w:i/>
          <w:sz w:val="22"/>
          <w:szCs w:val="22"/>
        </w:rPr>
      </w:pPr>
      <w:r w:rsidRPr="00CC16F6">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732101" w:rsidRPr="00CC16F6" w:rsidRDefault="00732101" w:rsidP="00732101">
      <w:pPr>
        <w:ind w:left="851" w:right="902"/>
        <w:jc w:val="both"/>
        <w:rPr>
          <w:rFonts w:ascii="Palatino Linotype" w:hAnsi="Palatino Linotype" w:cs="Arial"/>
          <w:i/>
          <w:sz w:val="22"/>
          <w:szCs w:val="22"/>
        </w:rPr>
      </w:pPr>
      <w:r w:rsidRPr="00CC16F6">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732101" w:rsidRPr="00CC16F6" w:rsidRDefault="00732101" w:rsidP="00732101">
      <w:pPr>
        <w:ind w:left="851" w:right="902"/>
        <w:jc w:val="both"/>
        <w:rPr>
          <w:rFonts w:ascii="Palatino Linotype" w:hAnsi="Palatino Linotype" w:cs="Arial"/>
          <w:i/>
          <w:sz w:val="22"/>
          <w:szCs w:val="22"/>
        </w:rPr>
      </w:pPr>
      <w:r w:rsidRPr="00CC16F6">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732101" w:rsidRPr="00CC16F6" w:rsidRDefault="00732101" w:rsidP="00732101">
      <w:pPr>
        <w:ind w:left="851" w:right="902"/>
        <w:jc w:val="both"/>
        <w:rPr>
          <w:rFonts w:ascii="Palatino Linotype" w:hAnsi="Palatino Linotype" w:cs="Arial"/>
          <w:i/>
          <w:sz w:val="22"/>
          <w:szCs w:val="22"/>
        </w:rPr>
      </w:pPr>
      <w:r w:rsidRPr="00CC16F6">
        <w:rPr>
          <w:rFonts w:ascii="Palatino Linotype" w:hAnsi="Palatino Linotype" w:cs="Arial"/>
          <w:b/>
          <w:i/>
          <w:sz w:val="22"/>
          <w:szCs w:val="22"/>
        </w:rPr>
        <w:t>Noveno.</w:t>
      </w:r>
      <w:r w:rsidRPr="00CC16F6">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32101" w:rsidRPr="00CC16F6" w:rsidRDefault="00732101" w:rsidP="00732101">
      <w:pPr>
        <w:ind w:left="851" w:right="902"/>
        <w:jc w:val="both"/>
        <w:rPr>
          <w:rFonts w:ascii="Palatino Linotype" w:hAnsi="Palatino Linotype" w:cs="Arial"/>
          <w:i/>
          <w:sz w:val="22"/>
          <w:szCs w:val="22"/>
        </w:rPr>
      </w:pPr>
      <w:r w:rsidRPr="00CC16F6">
        <w:rPr>
          <w:rFonts w:ascii="Palatino Linotype" w:hAnsi="Palatino Linotype" w:cs="Arial"/>
          <w:b/>
          <w:i/>
          <w:sz w:val="22"/>
          <w:szCs w:val="22"/>
        </w:rPr>
        <w:t>Décimo.</w:t>
      </w:r>
      <w:r w:rsidRPr="00CC16F6">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32101" w:rsidRPr="00CC16F6" w:rsidRDefault="00732101" w:rsidP="00732101">
      <w:pPr>
        <w:ind w:left="851" w:right="902"/>
        <w:jc w:val="both"/>
        <w:rPr>
          <w:rFonts w:ascii="Palatino Linotype" w:hAnsi="Palatino Linotype" w:cs="Arial"/>
          <w:i/>
          <w:sz w:val="22"/>
          <w:szCs w:val="22"/>
        </w:rPr>
      </w:pPr>
      <w:r w:rsidRPr="00CC16F6">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732101" w:rsidRPr="00817B7A" w:rsidRDefault="00732101" w:rsidP="00732101">
      <w:pPr>
        <w:ind w:left="851" w:right="902"/>
        <w:jc w:val="both"/>
        <w:rPr>
          <w:rFonts w:ascii="Palatino Linotype" w:hAnsi="Palatino Linotype" w:cs="Arial"/>
          <w:i/>
          <w:sz w:val="22"/>
          <w:szCs w:val="22"/>
        </w:rPr>
      </w:pPr>
      <w:r w:rsidRPr="00CC16F6">
        <w:rPr>
          <w:rFonts w:ascii="Palatino Linotype" w:hAnsi="Palatino Linotype" w:cs="Arial"/>
          <w:b/>
          <w:i/>
          <w:sz w:val="22"/>
          <w:szCs w:val="22"/>
        </w:rPr>
        <w:t>Décimo primero.</w:t>
      </w:r>
      <w:r w:rsidRPr="00CC16F6">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CC16F6">
        <w:rPr>
          <w:rFonts w:ascii="Palatino Linotype" w:hAnsi="Palatino Linotype" w:cs="Arial"/>
          <w:b/>
          <w:i/>
          <w:sz w:val="22"/>
          <w:szCs w:val="22"/>
        </w:rPr>
        <w:t xml:space="preserve"> </w:t>
      </w:r>
      <w:r w:rsidRPr="00CC16F6">
        <w:rPr>
          <w:rFonts w:ascii="Palatino Linotype" w:hAnsi="Palatino Linotype" w:cs="Arial"/>
          <w:i/>
          <w:sz w:val="22"/>
          <w:szCs w:val="22"/>
        </w:rPr>
        <w:t>(Sic)</w:t>
      </w:r>
    </w:p>
    <w:p w:rsidR="00CC16F6" w:rsidRDefault="00CC16F6" w:rsidP="00732101">
      <w:pPr>
        <w:spacing w:line="360" w:lineRule="auto"/>
        <w:jc w:val="both"/>
        <w:rPr>
          <w:rFonts w:ascii="Palatino Linotype" w:eastAsia="Arial Unicode MS" w:hAnsi="Palatino Linotype" w:cs="Arial"/>
        </w:rPr>
      </w:pPr>
    </w:p>
    <w:p w:rsidR="00732101" w:rsidRPr="00817B7A" w:rsidRDefault="00D748A8" w:rsidP="00732101">
      <w:pPr>
        <w:spacing w:line="360" w:lineRule="auto"/>
        <w:jc w:val="both"/>
        <w:rPr>
          <w:rFonts w:ascii="Palatino Linotype" w:hAnsi="Palatino Linotype" w:cs="Arial"/>
        </w:rPr>
      </w:pPr>
      <w:r>
        <w:rPr>
          <w:rFonts w:ascii="Palatino Linotype" w:eastAsia="Arial Unicode MS" w:hAnsi="Palatino Linotype" w:cs="Arial"/>
        </w:rPr>
        <w:t xml:space="preserve">Como se advierte </w:t>
      </w:r>
      <w:r w:rsidR="00732101" w:rsidRPr="00817B7A">
        <w:rPr>
          <w:rFonts w:ascii="Palatino Linotype" w:eastAsia="Arial Unicode MS" w:hAnsi="Palatino Linotype" w:cs="Arial"/>
        </w:rPr>
        <w:t>dicho Acuerdo debe</w:t>
      </w:r>
      <w:r w:rsidR="00CC16F6">
        <w:rPr>
          <w:rFonts w:ascii="Palatino Linotype" w:hAnsi="Palatino Linotype" w:cs="Arial"/>
        </w:rPr>
        <w:t xml:space="preserve"> exponer de manera clara las razones por las que</w:t>
      </w:r>
      <w:r w:rsidR="00732101" w:rsidRPr="00817B7A">
        <w:rPr>
          <w:rFonts w:ascii="Palatino Linotype" w:hAnsi="Palatino Linotype" w:cs="Arial"/>
        </w:rPr>
        <w:t xml:space="preserv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los cuales para mayor referencia en la parte que nos interesa, señalan:</w:t>
      </w:r>
    </w:p>
    <w:p w:rsidR="00732101" w:rsidRPr="00817B7A" w:rsidRDefault="00732101" w:rsidP="00732101">
      <w:pPr>
        <w:ind w:left="851" w:right="901"/>
        <w:jc w:val="both"/>
        <w:rPr>
          <w:rFonts w:ascii="Palatino Linotype" w:hAnsi="Palatino Linotype" w:cs="Arial"/>
          <w:i/>
          <w:sz w:val="22"/>
          <w:szCs w:val="22"/>
        </w:rPr>
      </w:pPr>
    </w:p>
    <w:p w:rsidR="00732101" w:rsidRPr="00817B7A" w:rsidRDefault="00732101" w:rsidP="00732101">
      <w:pPr>
        <w:ind w:left="851" w:right="901"/>
        <w:jc w:val="both"/>
        <w:rPr>
          <w:rFonts w:ascii="Palatino Linotype" w:hAnsi="Palatino Linotype" w:cs="Arial"/>
          <w:i/>
          <w:sz w:val="22"/>
          <w:szCs w:val="22"/>
        </w:rPr>
      </w:pPr>
      <w:r w:rsidRPr="00817B7A">
        <w:rPr>
          <w:rFonts w:ascii="Palatino Linotype" w:hAnsi="Palatino Linotype" w:cs="Arial"/>
          <w:i/>
          <w:sz w:val="22"/>
          <w:szCs w:val="22"/>
        </w:rPr>
        <w:t>“</w:t>
      </w:r>
      <w:r w:rsidRPr="00817B7A">
        <w:rPr>
          <w:rFonts w:ascii="Palatino Linotype" w:hAnsi="Palatino Linotype" w:cs="Arial"/>
          <w:b/>
          <w:i/>
          <w:sz w:val="22"/>
          <w:szCs w:val="22"/>
        </w:rPr>
        <w:t>Artículo 135.</w:t>
      </w:r>
      <w:r w:rsidRPr="00817B7A">
        <w:rPr>
          <w:rFonts w:ascii="Palatino Linotype" w:hAnsi="Palatino Linotype" w:cs="Arial"/>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rsidR="00732101" w:rsidRPr="00817B7A" w:rsidRDefault="00732101" w:rsidP="00732101">
      <w:pPr>
        <w:ind w:left="851" w:right="901"/>
        <w:jc w:val="both"/>
        <w:rPr>
          <w:rFonts w:ascii="Palatino Linotype" w:hAnsi="Palatino Linotype" w:cs="Arial"/>
          <w:i/>
          <w:sz w:val="22"/>
          <w:szCs w:val="22"/>
        </w:rPr>
      </w:pPr>
      <w:r w:rsidRPr="00817B7A">
        <w:rPr>
          <w:rFonts w:ascii="Palatino Linotype" w:hAnsi="Palatino Linotype" w:cs="Arial"/>
          <w:i/>
          <w:sz w:val="22"/>
          <w:szCs w:val="22"/>
        </w:rPr>
        <w:t>…”</w:t>
      </w:r>
    </w:p>
    <w:p w:rsidR="00732101" w:rsidRPr="00817B7A" w:rsidRDefault="00732101" w:rsidP="00732101">
      <w:pPr>
        <w:widowControl w:val="0"/>
        <w:autoSpaceDE w:val="0"/>
        <w:autoSpaceDN w:val="0"/>
        <w:adjustRightInd w:val="0"/>
        <w:ind w:right="49"/>
        <w:jc w:val="both"/>
        <w:rPr>
          <w:rFonts w:ascii="Palatino Linotype" w:hAnsi="Palatino Linotype" w:cs="Arial"/>
          <w:sz w:val="22"/>
          <w:szCs w:val="22"/>
        </w:rPr>
      </w:pPr>
    </w:p>
    <w:p w:rsidR="00732101" w:rsidRPr="00817B7A" w:rsidRDefault="00732101" w:rsidP="00732101">
      <w:pPr>
        <w:autoSpaceDE w:val="0"/>
        <w:autoSpaceDN w:val="0"/>
        <w:adjustRightInd w:val="0"/>
        <w:spacing w:line="360" w:lineRule="auto"/>
        <w:jc w:val="both"/>
        <w:rPr>
          <w:rFonts w:ascii="Palatino Linotype" w:eastAsia="Arial Unicode MS" w:hAnsi="Palatino Linotype" w:cs="Arial"/>
        </w:rPr>
      </w:pPr>
      <w:r w:rsidRPr="00817B7A">
        <w:rPr>
          <w:rFonts w:ascii="Palatino Linotype" w:eastAsia="Arial Unicode MS" w:hAnsi="Palatino Linotype" w:cs="Arial"/>
        </w:rPr>
        <w:t xml:space="preserve">Concluyendo entonces que,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00CC16F6" w:rsidRPr="00817B7A">
        <w:rPr>
          <w:rFonts w:ascii="Palatino Linotype" w:eastAsia="Arial Unicode MS" w:hAnsi="Palatino Linotype" w:cs="Arial"/>
          <w:b/>
        </w:rPr>
        <w:t>El Sujeto Obligado</w:t>
      </w:r>
      <w:r w:rsidRPr="00817B7A">
        <w:rPr>
          <w:rFonts w:ascii="Palatino Linotype" w:eastAsia="Arial Unicode MS" w:hAnsi="Palatino Linotype" w:cs="Arial"/>
        </w:rPr>
        <w:t xml:space="preserve">, en ese contexto, todo dato personal susceptible de clasificación debe ser protegido. </w:t>
      </w:r>
    </w:p>
    <w:p w:rsidR="00732101" w:rsidRPr="00817B7A" w:rsidRDefault="00732101" w:rsidP="00732101">
      <w:pPr>
        <w:autoSpaceDE w:val="0"/>
        <w:autoSpaceDN w:val="0"/>
        <w:adjustRightInd w:val="0"/>
        <w:spacing w:line="360" w:lineRule="auto"/>
        <w:jc w:val="both"/>
        <w:rPr>
          <w:rFonts w:ascii="Palatino Linotype" w:eastAsia="Arial Unicode MS" w:hAnsi="Palatino Linotype" w:cs="Arial"/>
        </w:rPr>
      </w:pPr>
    </w:p>
    <w:p w:rsidR="00732101" w:rsidRPr="00817B7A" w:rsidRDefault="00732101" w:rsidP="00732101">
      <w:pPr>
        <w:autoSpaceDE w:val="0"/>
        <w:autoSpaceDN w:val="0"/>
        <w:adjustRightInd w:val="0"/>
        <w:spacing w:line="360" w:lineRule="auto"/>
        <w:jc w:val="both"/>
        <w:rPr>
          <w:rFonts w:ascii="Palatino Linotype" w:hAnsi="Palatino Linotype" w:cs="Arial"/>
        </w:rPr>
      </w:pPr>
      <w:r w:rsidRPr="00817B7A">
        <w:rPr>
          <w:rFonts w:ascii="Palatino Linotype" w:hAnsi="Palatino Linotype" w:cs="Arial"/>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732101" w:rsidRPr="00817B7A" w:rsidRDefault="00732101" w:rsidP="00732101">
      <w:pPr>
        <w:autoSpaceDE w:val="0"/>
        <w:autoSpaceDN w:val="0"/>
        <w:adjustRightInd w:val="0"/>
        <w:jc w:val="both"/>
        <w:rPr>
          <w:rFonts w:ascii="Palatino Linotype" w:hAnsi="Palatino Linotype" w:cs="Arial"/>
        </w:rPr>
      </w:pPr>
    </w:p>
    <w:p w:rsidR="00732101" w:rsidRPr="00817B7A" w:rsidRDefault="00732101" w:rsidP="00732101">
      <w:pPr>
        <w:ind w:left="851" w:right="901"/>
        <w:jc w:val="both"/>
        <w:rPr>
          <w:rFonts w:ascii="Palatino Linotype" w:hAnsi="Palatino Linotype" w:cs="Arial"/>
          <w:b/>
          <w:i/>
          <w:sz w:val="22"/>
        </w:rPr>
      </w:pPr>
      <w:r w:rsidRPr="00817B7A">
        <w:rPr>
          <w:rFonts w:ascii="Palatino Linotype" w:hAnsi="Palatino Linotype" w:cs="Arial"/>
          <w:b/>
          <w:i/>
          <w:sz w:val="22"/>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817B7A">
        <w:rPr>
          <w:rFonts w:ascii="Palatino Linotype" w:hAnsi="Palatino Linotype" w:cs="Arial"/>
          <w:i/>
          <w:sz w:val="22"/>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r w:rsidRPr="00817B7A">
        <w:rPr>
          <w:rFonts w:ascii="Palatino Linotype" w:hAnsi="Palatino Linotype" w:cs="Arial"/>
          <w:b/>
          <w:i/>
          <w:sz w:val="22"/>
        </w:rPr>
        <w:t>"</w:t>
      </w:r>
    </w:p>
    <w:p w:rsidR="00732101" w:rsidRPr="00817B7A" w:rsidRDefault="00732101" w:rsidP="00732101">
      <w:pPr>
        <w:jc w:val="both"/>
        <w:rPr>
          <w:rFonts w:ascii="Palatino Linotype" w:hAnsi="Palatino Linotype" w:cs="Arial"/>
          <w:i/>
        </w:rPr>
      </w:pPr>
    </w:p>
    <w:p w:rsidR="00732101" w:rsidRPr="00817B7A" w:rsidRDefault="00732101" w:rsidP="00732101">
      <w:pPr>
        <w:spacing w:line="360" w:lineRule="auto"/>
        <w:jc w:val="both"/>
        <w:rPr>
          <w:rFonts w:ascii="Palatino Linotype" w:hAnsi="Palatino Linotype" w:cs="Arial"/>
        </w:rPr>
      </w:pPr>
      <w:r w:rsidRPr="00817B7A">
        <w:rPr>
          <w:rFonts w:ascii="Palatino Linotype" w:hAnsi="Palatino Linotype" w:cs="Arial"/>
        </w:rPr>
        <w:t xml:space="preserve">Por ende, en el presente caso, </w:t>
      </w:r>
      <w:r w:rsidR="00CC16F6" w:rsidRPr="00817B7A">
        <w:rPr>
          <w:rFonts w:ascii="Palatino Linotype" w:hAnsi="Palatino Linotype" w:cs="Arial"/>
          <w:b/>
        </w:rPr>
        <w:t>El Sujeto Obligado</w:t>
      </w:r>
      <w:r w:rsidR="00CC16F6" w:rsidRPr="00817B7A">
        <w:rPr>
          <w:rFonts w:ascii="Palatino Linotype" w:hAnsi="Palatino Linotype" w:cs="Arial"/>
        </w:rPr>
        <w:t xml:space="preserve"> </w:t>
      </w:r>
      <w:r w:rsidRPr="00817B7A">
        <w:rPr>
          <w:rFonts w:ascii="Palatino Linotype" w:hAnsi="Palatino Linotype" w:cs="Arial"/>
        </w:rPr>
        <w:t>d</w:t>
      </w:r>
      <w:r>
        <w:rPr>
          <w:rFonts w:ascii="Palatino Linotype" w:hAnsi="Palatino Linotype" w:cs="Arial"/>
        </w:rPr>
        <w:t xml:space="preserve">ebió en su caso </w:t>
      </w:r>
      <w:r w:rsidRPr="00817B7A">
        <w:rPr>
          <w:rFonts w:ascii="Palatino Linotype" w:hAnsi="Palatino Linotype" w:cs="Arial"/>
        </w:rPr>
        <w:t xml:space="preserve">atender las disposiciones en materia de protección de datos, a fin de salvaguardar los datos </w:t>
      </w:r>
      <w:r>
        <w:rPr>
          <w:rFonts w:ascii="Palatino Linotype" w:hAnsi="Palatino Linotype" w:cs="Arial"/>
        </w:rPr>
        <w:t xml:space="preserve">personales </w:t>
      </w:r>
      <w:r w:rsidRPr="00817B7A">
        <w:rPr>
          <w:rFonts w:ascii="Palatino Linotype" w:hAnsi="Palatino Linotype" w:cs="Arial"/>
        </w:rPr>
        <w:t xml:space="preserve">y </w:t>
      </w:r>
      <w:r w:rsidR="00D748A8">
        <w:rPr>
          <w:rFonts w:ascii="Palatino Linotype" w:hAnsi="Palatino Linotype" w:cs="Arial"/>
        </w:rPr>
        <w:t xml:space="preserve">en su caso, </w:t>
      </w:r>
      <w:r w:rsidRPr="00817B7A">
        <w:rPr>
          <w:rFonts w:ascii="Palatino Linotype" w:hAnsi="Palatino Linotype" w:cs="Arial"/>
        </w:rPr>
        <w:t xml:space="preserve">emitir el debido Acuerdo que sustente la clasificación que se genere, ya que ésta no se da por el simple mandato de la Ley, sino que es necesario que </w:t>
      </w:r>
      <w:r w:rsidR="00CC16F6" w:rsidRPr="00817B7A">
        <w:rPr>
          <w:rFonts w:ascii="Palatino Linotype" w:hAnsi="Palatino Linotype" w:cs="Arial"/>
          <w:b/>
        </w:rPr>
        <w:t>El Sujeto Obligado</w:t>
      </w:r>
      <w:r w:rsidR="00CC16F6" w:rsidRPr="00817B7A">
        <w:rPr>
          <w:rFonts w:ascii="Palatino Linotype" w:hAnsi="Palatino Linotype" w:cs="Arial"/>
        </w:rPr>
        <w:t xml:space="preserve"> </w:t>
      </w:r>
      <w:r w:rsidRPr="00817B7A">
        <w:rPr>
          <w:rFonts w:ascii="Palatino Linotype" w:hAnsi="Palatino Linotype" w:cs="Arial"/>
        </w:rPr>
        <w:t xml:space="preserve">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00CC16F6" w:rsidRPr="00817B7A">
        <w:rPr>
          <w:rFonts w:ascii="Palatino Linotype" w:hAnsi="Palatino Linotype" w:cs="Arial"/>
          <w:b/>
        </w:rPr>
        <w:t>Sujeto Obligado</w:t>
      </w:r>
      <w:r w:rsidRPr="00817B7A">
        <w:rPr>
          <w:rFonts w:ascii="Palatino Linotype" w:hAnsi="Palatino Linotype" w:cs="Arial"/>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732101" w:rsidRPr="00817B7A" w:rsidRDefault="00732101" w:rsidP="00732101">
      <w:pPr>
        <w:spacing w:line="360" w:lineRule="auto"/>
        <w:jc w:val="both"/>
        <w:rPr>
          <w:rFonts w:ascii="Palatino Linotype" w:hAnsi="Palatino Linotype" w:cs="Arial"/>
        </w:rPr>
      </w:pPr>
    </w:p>
    <w:p w:rsidR="00732101" w:rsidRPr="00817B7A" w:rsidRDefault="00CC16F6" w:rsidP="00732101">
      <w:pPr>
        <w:spacing w:line="360" w:lineRule="auto"/>
        <w:jc w:val="both"/>
        <w:rPr>
          <w:rFonts w:ascii="Palatino Linotype" w:hAnsi="Palatino Linotype" w:cs="Arial"/>
        </w:rPr>
      </w:pPr>
      <w:r>
        <w:rPr>
          <w:rFonts w:ascii="Palatino Linotype" w:eastAsia="Calibri" w:hAnsi="Palatino Linotype"/>
        </w:rPr>
        <w:t xml:space="preserve">De tal suerte que </w:t>
      </w:r>
      <w:r w:rsidRPr="00817B7A">
        <w:rPr>
          <w:rFonts w:ascii="Palatino Linotype" w:eastAsia="Calibri" w:hAnsi="Palatino Linotype"/>
          <w:b/>
        </w:rPr>
        <w:t>El Sujeto Obligado</w:t>
      </w:r>
      <w:r w:rsidRPr="00817B7A">
        <w:rPr>
          <w:rFonts w:ascii="Palatino Linotype" w:eastAsia="Calibri" w:hAnsi="Palatino Linotype"/>
        </w:rPr>
        <w:t xml:space="preserve"> </w:t>
      </w:r>
      <w:r w:rsidR="00732101">
        <w:rPr>
          <w:rFonts w:ascii="Palatino Linotype" w:eastAsia="Calibri" w:hAnsi="Palatino Linotype"/>
        </w:rPr>
        <w:t xml:space="preserve">incumplió con los </w:t>
      </w:r>
      <w:r w:rsidR="00732101" w:rsidRPr="00817B7A">
        <w:rPr>
          <w:rFonts w:ascii="Palatino Linotype" w:eastAsia="Calibri" w:hAnsi="Palatino Linotype"/>
        </w:rPr>
        <w:t xml:space="preserve">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w:t>
      </w:r>
      <w:r w:rsidR="00732101">
        <w:rPr>
          <w:rFonts w:ascii="Palatino Linotype" w:eastAsia="Calibri" w:hAnsi="Palatino Linotype"/>
        </w:rPr>
        <w:t>pues se limitó a señalar que no se podía proporcionar la información por contener datos personales, sin</w:t>
      </w:r>
      <w:r w:rsidR="00732101" w:rsidRPr="00817B7A">
        <w:rPr>
          <w:rFonts w:ascii="Palatino Linotype" w:eastAsia="Calibri" w:hAnsi="Palatino Linotype"/>
        </w:rPr>
        <w:t xml:space="preserve"> fundar la </w:t>
      </w:r>
      <w:r w:rsidR="00732101">
        <w:rPr>
          <w:rFonts w:ascii="Palatino Linotype" w:eastAsia="Calibri" w:hAnsi="Palatino Linotype"/>
        </w:rPr>
        <w:t xml:space="preserve">clasificación de la información, esto es no señaló el </w:t>
      </w:r>
      <w:r w:rsidR="00732101" w:rsidRPr="00817B7A">
        <w:rPr>
          <w:rFonts w:ascii="Palatino Linotype" w:eastAsia="Calibri" w:hAnsi="Palatino Linotype"/>
        </w:rPr>
        <w:t>artículo, fracción, inciso, párrafo o numeral de la Ley que expresamente le otorga el carácter de confidencial, pues</w:t>
      </w:r>
      <w:r w:rsidR="00732101" w:rsidRPr="00817B7A">
        <w:rPr>
          <w:rFonts w:ascii="Palatino Linotype" w:hAnsi="Palatino Linotype" w:cs="Arial"/>
        </w:rPr>
        <w:t xml:space="preserve">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732101" w:rsidRPr="00817B7A" w:rsidRDefault="00732101" w:rsidP="00732101">
      <w:pPr>
        <w:spacing w:line="360" w:lineRule="auto"/>
        <w:jc w:val="both"/>
        <w:rPr>
          <w:rFonts w:ascii="Palatino Linotype" w:hAnsi="Palatino Linotype" w:cs="Arial"/>
        </w:rPr>
      </w:pPr>
    </w:p>
    <w:p w:rsidR="00732101" w:rsidRPr="00817B7A" w:rsidRDefault="00732101" w:rsidP="00732101">
      <w:pPr>
        <w:spacing w:line="360" w:lineRule="auto"/>
        <w:jc w:val="both"/>
        <w:rPr>
          <w:rFonts w:ascii="Palatino Linotype" w:hAnsi="Palatino Linotype" w:cs="Arial"/>
        </w:rPr>
      </w:pPr>
      <w:r w:rsidRPr="00817B7A">
        <w:rPr>
          <w:rFonts w:ascii="Palatino Linotype" w:hAnsi="Palatino Linotype" w:cs="Arial"/>
        </w:rPr>
        <w:t>Lo anterior, atiendo lo señalado en el artículo 149 de la Ley de Transparencia Local, cuyo contenido es de la literalidad siguiente:</w:t>
      </w:r>
    </w:p>
    <w:p w:rsidR="00732101" w:rsidRPr="00817B7A" w:rsidRDefault="00732101" w:rsidP="00732101">
      <w:pPr>
        <w:jc w:val="both"/>
        <w:rPr>
          <w:rFonts w:ascii="Palatino Linotype" w:hAnsi="Palatino Linotype"/>
          <w:color w:val="000000"/>
        </w:rPr>
      </w:pPr>
    </w:p>
    <w:p w:rsidR="00732101" w:rsidRPr="00817B7A" w:rsidRDefault="00732101" w:rsidP="00732101">
      <w:pPr>
        <w:ind w:left="993" w:right="1041"/>
        <w:jc w:val="both"/>
        <w:rPr>
          <w:rFonts w:ascii="Palatino Linotype" w:hAnsi="Palatino Linotype"/>
          <w:i/>
          <w:sz w:val="22"/>
          <w:szCs w:val="22"/>
        </w:rPr>
      </w:pPr>
      <w:r w:rsidRPr="00817B7A">
        <w:rPr>
          <w:rFonts w:ascii="Palatino Linotype" w:hAnsi="Palatino Linotype"/>
          <w:i/>
          <w:color w:val="000000"/>
          <w:sz w:val="22"/>
          <w:szCs w:val="22"/>
        </w:rPr>
        <w:t>“</w:t>
      </w:r>
      <w:r w:rsidRPr="00817B7A">
        <w:rPr>
          <w:rFonts w:ascii="Palatino Linotype" w:hAnsi="Palatino Linotype"/>
          <w:b/>
          <w:i/>
          <w:sz w:val="22"/>
          <w:szCs w:val="22"/>
        </w:rPr>
        <w:t>Artículo 149.</w:t>
      </w:r>
      <w:r w:rsidRPr="00817B7A">
        <w:rPr>
          <w:rFonts w:ascii="Palatino Linotype" w:hAnsi="Palatino Linotype"/>
          <w:i/>
          <w:sz w:val="22"/>
          <w:szCs w:val="22"/>
        </w:rPr>
        <w:t xml:space="preserve"> El </w:t>
      </w:r>
      <w:r w:rsidRPr="00817B7A">
        <w:rPr>
          <w:rFonts w:ascii="Palatino Linotype" w:hAnsi="Palatino Linotype"/>
          <w:b/>
          <w:i/>
          <w:sz w:val="22"/>
          <w:szCs w:val="22"/>
        </w:rPr>
        <w:t>acuerdo que clasifique la información como confidencial</w:t>
      </w:r>
      <w:r w:rsidRPr="00817B7A">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rsidR="00732101" w:rsidRPr="00817B7A" w:rsidRDefault="00732101" w:rsidP="00732101">
      <w:pPr>
        <w:jc w:val="both"/>
        <w:rPr>
          <w:rFonts w:ascii="Palatino Linotype" w:hAnsi="Palatino Linotype" w:cs="Arial"/>
        </w:rPr>
      </w:pPr>
    </w:p>
    <w:p w:rsidR="00732101" w:rsidRPr="00817B7A" w:rsidRDefault="00732101" w:rsidP="00732101">
      <w:pPr>
        <w:spacing w:line="360" w:lineRule="auto"/>
        <w:jc w:val="both"/>
        <w:rPr>
          <w:rFonts w:ascii="Palatino Linotype" w:hAnsi="Palatino Linotype" w:cs="Arial"/>
        </w:rPr>
      </w:pPr>
      <w:r w:rsidRPr="00817B7A">
        <w:rPr>
          <w:rFonts w:ascii="Palatino Linotype" w:hAnsi="Palatino Linotype" w:cs="Arial"/>
        </w:rPr>
        <w:t>Atento a ello, es importante referir que la fundamentación y motivación consiste en la obligación que tiene todo ente público de expresar los preceptos jurídicos aplicables al asunto motivo del acto y las razones o argumentos de su actuar.</w:t>
      </w:r>
    </w:p>
    <w:p w:rsidR="00732101" w:rsidRPr="00817B7A" w:rsidRDefault="00732101" w:rsidP="00732101">
      <w:pPr>
        <w:spacing w:line="360" w:lineRule="auto"/>
        <w:jc w:val="both"/>
        <w:rPr>
          <w:rFonts w:ascii="Palatino Linotype" w:hAnsi="Palatino Linotype" w:cs="Arial"/>
        </w:rPr>
      </w:pPr>
    </w:p>
    <w:p w:rsidR="00732101" w:rsidRPr="00817B7A" w:rsidRDefault="00732101" w:rsidP="00732101">
      <w:pPr>
        <w:spacing w:line="360" w:lineRule="auto"/>
        <w:contextualSpacing/>
        <w:jc w:val="both"/>
        <w:rPr>
          <w:rFonts w:ascii="Palatino Linotype" w:hAnsi="Palatino Linotype" w:cs="Arial"/>
        </w:rPr>
      </w:pPr>
      <w:r w:rsidRPr="00817B7A">
        <w:rPr>
          <w:rFonts w:ascii="Palatino Linotype" w:hAnsi="Palatino Linotype" w:cs="Arial"/>
        </w:rPr>
        <w:t>Al respecto, el máximo tribunal del país ha establecido jurisprudencia respecto a qué debe entenderse por fundamentación y motivación, en los siguientes términos:</w:t>
      </w:r>
    </w:p>
    <w:p w:rsidR="00732101" w:rsidRPr="00817B7A" w:rsidRDefault="00732101" w:rsidP="00732101">
      <w:pPr>
        <w:contextualSpacing/>
        <w:jc w:val="both"/>
        <w:rPr>
          <w:rFonts w:ascii="Palatino Linotype" w:hAnsi="Palatino Linotype" w:cs="Arial"/>
        </w:rPr>
      </w:pPr>
    </w:p>
    <w:p w:rsidR="00732101" w:rsidRPr="00817B7A" w:rsidRDefault="00732101" w:rsidP="00732101">
      <w:pPr>
        <w:ind w:left="851" w:right="901"/>
        <w:jc w:val="both"/>
        <w:rPr>
          <w:rFonts w:ascii="Palatino Linotype" w:hAnsi="Palatino Linotype" w:cs="Arial"/>
          <w:i/>
          <w:sz w:val="22"/>
        </w:rPr>
      </w:pPr>
      <w:r w:rsidRPr="00817B7A">
        <w:rPr>
          <w:rFonts w:ascii="Palatino Linotype" w:hAnsi="Palatino Linotype" w:cs="Arial"/>
          <w:i/>
          <w:sz w:val="22"/>
        </w:rPr>
        <w:t>“</w:t>
      </w:r>
      <w:r w:rsidRPr="00817B7A">
        <w:rPr>
          <w:rFonts w:ascii="Palatino Linotype" w:hAnsi="Palatino Linotype" w:cs="Arial"/>
          <w:b/>
          <w:i/>
          <w:sz w:val="22"/>
        </w:rPr>
        <w:t xml:space="preserve">FUNDAMENTACIÓN Y MOTIVACIÓN. </w:t>
      </w:r>
      <w:r w:rsidRPr="00817B7A">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732101" w:rsidRPr="00817B7A" w:rsidRDefault="00732101" w:rsidP="00732101">
      <w:pPr>
        <w:ind w:left="851" w:right="899"/>
        <w:contextualSpacing/>
        <w:jc w:val="both"/>
        <w:rPr>
          <w:rFonts w:ascii="Palatino Linotype" w:hAnsi="Palatino Linotype" w:cs="Arial"/>
          <w:i/>
          <w:sz w:val="22"/>
        </w:rPr>
      </w:pPr>
    </w:p>
    <w:p w:rsidR="00732101" w:rsidRPr="00817B7A" w:rsidRDefault="00732101" w:rsidP="00732101">
      <w:pPr>
        <w:spacing w:line="360" w:lineRule="auto"/>
        <w:jc w:val="both"/>
        <w:rPr>
          <w:rFonts w:ascii="Palatino Linotype" w:hAnsi="Palatino Linotype" w:cs="Arial"/>
        </w:rPr>
      </w:pPr>
      <w:r w:rsidRPr="00817B7A">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732101" w:rsidRPr="00817B7A" w:rsidRDefault="00732101" w:rsidP="00732101">
      <w:pPr>
        <w:spacing w:line="360" w:lineRule="auto"/>
        <w:jc w:val="both"/>
        <w:rPr>
          <w:rFonts w:ascii="Palatino Linotype" w:hAnsi="Palatino Linotype" w:cs="Arial"/>
        </w:rPr>
      </w:pPr>
    </w:p>
    <w:p w:rsidR="00732101" w:rsidRPr="00817B7A" w:rsidRDefault="00732101" w:rsidP="00732101">
      <w:pPr>
        <w:spacing w:line="360" w:lineRule="auto"/>
        <w:jc w:val="both"/>
        <w:rPr>
          <w:rFonts w:ascii="Palatino Linotype" w:hAnsi="Palatino Linotype" w:cs="Arial"/>
        </w:rPr>
      </w:pPr>
      <w:r w:rsidRPr="00817B7A">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732101" w:rsidRPr="00817B7A" w:rsidRDefault="00732101" w:rsidP="00732101">
      <w:pPr>
        <w:jc w:val="both"/>
        <w:rPr>
          <w:rFonts w:ascii="Palatino Linotype" w:hAnsi="Palatino Linotype" w:cs="Arial"/>
        </w:rPr>
      </w:pPr>
    </w:p>
    <w:p w:rsidR="00732101" w:rsidRPr="00817B7A" w:rsidRDefault="00732101" w:rsidP="00732101">
      <w:pPr>
        <w:ind w:left="851" w:right="901"/>
        <w:jc w:val="both"/>
        <w:rPr>
          <w:rFonts w:ascii="Palatino Linotype" w:hAnsi="Palatino Linotype" w:cs="Arial"/>
          <w:i/>
          <w:sz w:val="22"/>
        </w:rPr>
      </w:pPr>
      <w:r w:rsidRPr="00817B7A">
        <w:rPr>
          <w:rFonts w:ascii="Palatino Linotype" w:hAnsi="Palatino Linotype" w:cs="Arial"/>
          <w:b/>
          <w:i/>
          <w:sz w:val="22"/>
        </w:rPr>
        <w:t>“FUNDAMENTACIÓN Y MOTIVACIÓN. EL ASPECTO FORMAL DE LA GARANTÍA Y SU FINALIDAD SE TRADUCEN EN EXPLICAR, JUSTIFICAR, POSIBILITAR LA DEFENSA Y COMUNICAR LA DECISIÓN</w:t>
      </w:r>
      <w:r w:rsidRPr="00817B7A">
        <w:rPr>
          <w:rFonts w:ascii="Palatino Linotype" w:hAnsi="Palatino Linotype" w:cs="Arial"/>
          <w:i/>
          <w:sz w:val="22"/>
        </w:rPr>
        <w:t xml:space="preserve">. El contenido formal de la garantía de legalidad prevista en el artículo 16 constitucional relativa a la </w:t>
      </w:r>
      <w:r w:rsidRPr="00817B7A">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17B7A">
        <w:rPr>
          <w:rFonts w:ascii="Palatino Linotype" w:hAnsi="Palatino Linotype" w:cs="Arial"/>
          <w:i/>
          <w:sz w:val="22"/>
        </w:rPr>
        <w:t xml:space="preserve">. Por tanto, </w:t>
      </w:r>
      <w:r w:rsidRPr="00817B7A">
        <w:rPr>
          <w:rFonts w:ascii="Palatino Linotype" w:hAnsi="Palatino Linotype" w:cs="Arial"/>
          <w:b/>
          <w:i/>
          <w:sz w:val="22"/>
        </w:rPr>
        <w:t>no basta que el acto de autoridad apenas observe una motivación pro forma pero de una manera incongruente, insuficiente o imprecisa</w:t>
      </w:r>
      <w:r w:rsidRPr="00817B7A">
        <w:rPr>
          <w:rFonts w:ascii="Palatino Linotype" w:hAnsi="Palatino Linotype" w:cs="Arial"/>
          <w:i/>
          <w:sz w:val="22"/>
        </w:rPr>
        <w:t>, que impida la finalidad del conocimiento, comprobación y defensa pertinente</w:t>
      </w:r>
      <w:r w:rsidRPr="00817B7A">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817B7A">
        <w:rPr>
          <w:rFonts w:ascii="Palatino Linotype" w:hAnsi="Palatino Linotype" w:cs="Arial"/>
          <w:i/>
          <w:sz w:val="22"/>
        </w:rPr>
        <w:t>.”(Sic)</w:t>
      </w:r>
    </w:p>
    <w:p w:rsidR="00732101" w:rsidRPr="00817B7A" w:rsidRDefault="00732101" w:rsidP="00732101">
      <w:pPr>
        <w:ind w:left="851" w:right="899"/>
        <w:contextualSpacing/>
        <w:jc w:val="both"/>
        <w:rPr>
          <w:rFonts w:ascii="Palatino Linotype" w:hAnsi="Palatino Linotype" w:cs="Arial"/>
          <w:i/>
          <w:sz w:val="22"/>
        </w:rPr>
      </w:pPr>
    </w:p>
    <w:p w:rsidR="00732101" w:rsidRPr="00817B7A" w:rsidRDefault="00732101" w:rsidP="00732101">
      <w:pPr>
        <w:spacing w:line="360" w:lineRule="auto"/>
        <w:jc w:val="both"/>
        <w:rPr>
          <w:rFonts w:ascii="Palatino Linotype" w:hAnsi="Palatino Linotype" w:cs="Arial"/>
        </w:rPr>
      </w:pPr>
      <w:r w:rsidRPr="00817B7A">
        <w:rPr>
          <w:rFonts w:ascii="Palatino Linotype" w:hAnsi="Palatino Linotype" w:cs="Arial"/>
        </w:rPr>
        <w:t>Por lo que,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732101" w:rsidRDefault="00732101" w:rsidP="00732101">
      <w:pPr>
        <w:spacing w:line="360" w:lineRule="auto"/>
        <w:ind w:right="49"/>
        <w:jc w:val="both"/>
        <w:rPr>
          <w:rFonts w:ascii="Palatino Linotype" w:hAnsi="Palatino Linotype"/>
        </w:rPr>
      </w:pPr>
    </w:p>
    <w:p w:rsidR="00BF3D97" w:rsidRDefault="00732101" w:rsidP="00BF3D97">
      <w:pPr>
        <w:spacing w:line="360" w:lineRule="auto"/>
        <w:ind w:right="49"/>
        <w:jc w:val="both"/>
        <w:rPr>
          <w:rFonts w:ascii="Palatino Linotype" w:hAnsi="Palatino Linotype" w:cs="Arial"/>
        </w:rPr>
      </w:pPr>
      <w:r>
        <w:rPr>
          <w:rFonts w:ascii="Palatino Linotype" w:hAnsi="Palatino Linotype"/>
        </w:rPr>
        <w:t>Por lo que</w:t>
      </w:r>
      <w:r w:rsidR="00D748A8">
        <w:rPr>
          <w:rFonts w:ascii="Palatino Linotype" w:hAnsi="Palatino Linotype"/>
        </w:rPr>
        <w:t xml:space="preserve"> con</w:t>
      </w:r>
      <w:r>
        <w:rPr>
          <w:rFonts w:ascii="Palatino Linotype" w:hAnsi="Palatino Linotype"/>
        </w:rPr>
        <w:t xml:space="preserve"> la respuesta proporcionada por el Sujeto Obligado mediante informe justificado, se </w:t>
      </w:r>
      <w:r w:rsidR="00BF3D97" w:rsidRPr="00817B7A">
        <w:rPr>
          <w:rFonts w:ascii="Palatino Linotype" w:hAnsi="Palatino Linotype" w:cs="Arial"/>
        </w:rPr>
        <w:t>de</w:t>
      </w:r>
      <w:r w:rsidR="00BF3D97">
        <w:rPr>
          <w:rFonts w:ascii="Palatino Linotype" w:hAnsi="Palatino Linotype" w:cs="Arial"/>
        </w:rPr>
        <w:t>jó</w:t>
      </w:r>
      <w:r w:rsidR="00BF3D97" w:rsidRPr="00817B7A">
        <w:rPr>
          <w:rFonts w:ascii="Palatino Linotype" w:hAnsi="Palatino Linotype" w:cs="Arial"/>
        </w:rPr>
        <w:t xml:space="preserve"> al solicitante en estado de incertidumbre, al no conocer o comprender </w:t>
      </w:r>
      <w:r w:rsidR="00D748A8">
        <w:rPr>
          <w:rFonts w:ascii="Palatino Linotype" w:hAnsi="Palatino Linotype" w:cs="Arial"/>
        </w:rPr>
        <w:t>por qué</w:t>
      </w:r>
      <w:r w:rsidR="00BF3D97">
        <w:rPr>
          <w:rFonts w:ascii="Palatino Linotype" w:hAnsi="Palatino Linotype" w:cs="Arial"/>
        </w:rPr>
        <w:t xml:space="preserve"> se le negó el acceso a los documentos, </w:t>
      </w:r>
      <w:r w:rsidR="00BF3D97" w:rsidRPr="00817B7A">
        <w:rPr>
          <w:rFonts w:ascii="Palatino Linotype" w:hAnsi="Palatino Linotype" w:cs="Arial"/>
        </w:rPr>
        <w:t xml:space="preserve">violentando </w:t>
      </w:r>
      <w:r w:rsidR="00BF3D97">
        <w:rPr>
          <w:rFonts w:ascii="Palatino Linotype" w:hAnsi="Palatino Linotype" w:cs="Arial"/>
        </w:rPr>
        <w:t xml:space="preserve">con ello </w:t>
      </w:r>
      <w:r w:rsidR="00BF3D97" w:rsidRPr="00817B7A">
        <w:rPr>
          <w:rFonts w:ascii="Palatino Linotype" w:hAnsi="Palatino Linotype" w:cs="Arial"/>
        </w:rPr>
        <w:t>el derecho de acceso a la información de</w:t>
      </w:r>
      <w:r w:rsidR="00BF3D97">
        <w:rPr>
          <w:rFonts w:ascii="Palatino Linotype" w:hAnsi="Palatino Linotype" w:cs="Arial"/>
        </w:rPr>
        <w:t>l</w:t>
      </w:r>
      <w:r w:rsidR="00BF3D97" w:rsidRPr="00817B7A">
        <w:rPr>
          <w:rFonts w:ascii="Palatino Linotype" w:hAnsi="Palatino Linotype" w:cs="Arial"/>
        </w:rPr>
        <w:t xml:space="preserve"> solicitante.</w:t>
      </w:r>
    </w:p>
    <w:p w:rsidR="00BF3D97" w:rsidRDefault="00BF3D97" w:rsidP="00BF3D97">
      <w:pPr>
        <w:spacing w:line="360" w:lineRule="auto"/>
        <w:ind w:right="49"/>
        <w:jc w:val="both"/>
        <w:rPr>
          <w:rFonts w:ascii="Palatino Linotype" w:hAnsi="Palatino Linotype" w:cs="Arial"/>
        </w:rPr>
      </w:pPr>
    </w:p>
    <w:p w:rsidR="00203915" w:rsidRPr="00BF3D97" w:rsidRDefault="00BF3D97" w:rsidP="00BF3D97">
      <w:pPr>
        <w:spacing w:line="360" w:lineRule="auto"/>
        <w:ind w:right="49"/>
        <w:jc w:val="both"/>
        <w:rPr>
          <w:rFonts w:ascii="Palatino Linotype" w:hAnsi="Palatino Linotype" w:cs="Arial"/>
        </w:rPr>
      </w:pPr>
      <w:r>
        <w:rPr>
          <w:rFonts w:ascii="Palatino Linotype" w:hAnsi="Palatino Linotype" w:cs="Arial"/>
        </w:rPr>
        <w:t>Precisado lo anterior, conviene mencionar  además que la información solicitada tiene el carácter de pública en términos de lo dispuesto por el</w:t>
      </w:r>
      <w:r w:rsidR="00732101">
        <w:rPr>
          <w:rFonts w:ascii="Palatino Linotype" w:eastAsia="Palatino Linotype" w:hAnsi="Palatino Linotype" w:cs="Palatino Linotype"/>
          <w:sz w:val="22"/>
          <w:szCs w:val="22"/>
        </w:rPr>
        <w:t xml:space="preserve"> artículo 143 de la ley de transparencia establece los supuestos en los que la información tiene el carácter de confidencial: </w:t>
      </w:r>
    </w:p>
    <w:p w:rsidR="00203915" w:rsidRDefault="00732101">
      <w:pPr>
        <w:spacing w:before="280" w:after="28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143. </w:t>
      </w:r>
      <w:r>
        <w:rPr>
          <w:rFonts w:ascii="Palatino Linotype" w:eastAsia="Palatino Linotype" w:hAnsi="Palatino Linotype" w:cs="Palatino Linotype"/>
          <w:b/>
          <w:i/>
          <w:sz w:val="22"/>
          <w:szCs w:val="22"/>
        </w:rPr>
        <w:t>Para los efectos de esta Ley se considera información confidencial, la clasificada como tal, de manera permanente, por su naturaleza, cuando</w:t>
      </w:r>
      <w:r>
        <w:rPr>
          <w:rFonts w:ascii="Palatino Linotype" w:eastAsia="Palatino Linotype" w:hAnsi="Palatino Linotype" w:cs="Palatino Linotype"/>
          <w:i/>
          <w:sz w:val="22"/>
          <w:szCs w:val="22"/>
        </w:rPr>
        <w:t xml:space="preserve">: </w:t>
      </w:r>
    </w:p>
    <w:p w:rsidR="00203915" w:rsidRDefault="00732101">
      <w:pPr>
        <w:numPr>
          <w:ilvl w:val="0"/>
          <w:numId w:val="1"/>
        </w:numPr>
        <w:spacing w:before="280"/>
        <w:ind w:right="900" w:hanging="1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Se refiera a la información privada y los datos personales concernientes a una persona física o jurídico colectiva identificada o identificable; </w:t>
      </w:r>
    </w:p>
    <w:p w:rsidR="00203915" w:rsidRDefault="00732101">
      <w:pPr>
        <w:numPr>
          <w:ilvl w:val="0"/>
          <w:numId w:val="1"/>
        </w:numPr>
        <w:ind w:right="900" w:hanging="29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203915" w:rsidRDefault="00732101">
      <w:pPr>
        <w:numPr>
          <w:ilvl w:val="0"/>
          <w:numId w:val="1"/>
        </w:numPr>
        <w:spacing w:after="280"/>
        <w:ind w:right="900" w:hanging="29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que presenten los particulares a los sujetos obligados, de conformidad con lo dispuesto por las leyes o los tratados internacionales. La información confidencial no estará sujeta a temporalidad alguna y sólo podrán tener acceso a ella los titulares de la misma, sus representantes y los servidores públicos facultados para ello. </w:t>
      </w:r>
    </w:p>
    <w:p w:rsidR="00203915" w:rsidRPr="00BF3D97" w:rsidRDefault="00732101">
      <w:pPr>
        <w:spacing w:before="280" w:after="280"/>
        <w:ind w:left="1287" w:right="900"/>
        <w:jc w:val="both"/>
        <w:rPr>
          <w:rFonts w:ascii="Palatino Linotype" w:eastAsia="Palatino Linotype" w:hAnsi="Palatino Linotype" w:cs="Palatino Linotype"/>
          <w:b/>
          <w:i/>
          <w:sz w:val="22"/>
          <w:szCs w:val="22"/>
        </w:rPr>
      </w:pPr>
      <w:r w:rsidRPr="00BF3D97">
        <w:rPr>
          <w:rFonts w:ascii="Palatino Linotype" w:eastAsia="Palatino Linotype" w:hAnsi="Palatino Linotype" w:cs="Palatino Linotype"/>
          <w:b/>
          <w:i/>
          <w:sz w:val="22"/>
          <w:szCs w:val="22"/>
          <w:u w:val="single"/>
        </w:rPr>
        <w:t>No se considerará confidencial la información que se encuentre en los registros públicos o en fuentes de acceso público, ni tampoco la que sea considerada por la presente ley como información pública</w:t>
      </w:r>
      <w:r w:rsidRPr="00BF3D97">
        <w:rPr>
          <w:rFonts w:ascii="Palatino Linotype" w:eastAsia="Palatino Linotype" w:hAnsi="Palatino Linotype" w:cs="Palatino Linotype"/>
          <w:b/>
          <w:i/>
          <w:sz w:val="22"/>
          <w:szCs w:val="22"/>
        </w:rPr>
        <w:t>.”</w:t>
      </w:r>
    </w:p>
    <w:p w:rsidR="00203915" w:rsidRDefault="00732101">
      <w:pPr>
        <w:spacing w:before="280" w:after="280"/>
        <w:ind w:left="128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BF3D97" w:rsidRDefault="00BF3D9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Como se advierte, </w:t>
      </w:r>
      <w:r w:rsidR="00732101">
        <w:rPr>
          <w:rFonts w:ascii="Palatino Linotype" w:eastAsia="Palatino Linotype" w:hAnsi="Palatino Linotype" w:cs="Palatino Linotype"/>
          <w:color w:val="000000"/>
        </w:rPr>
        <w:t xml:space="preserve">el último párrafo del artículo 143 </w:t>
      </w:r>
      <w:r>
        <w:rPr>
          <w:rFonts w:ascii="Palatino Linotype" w:eastAsia="Palatino Linotype" w:hAnsi="Palatino Linotype" w:cs="Palatino Linotype"/>
          <w:color w:val="000000"/>
        </w:rPr>
        <w:t xml:space="preserve">señala </w:t>
      </w:r>
      <w:r w:rsidR="00732101">
        <w:rPr>
          <w:rFonts w:ascii="Palatino Linotype" w:eastAsia="Palatino Linotype" w:hAnsi="Palatino Linotype" w:cs="Palatino Linotype"/>
          <w:color w:val="000000"/>
        </w:rPr>
        <w:t xml:space="preserve">que no se considerará como información confidencial aquella que </w:t>
      </w:r>
      <w:r w:rsidR="00732101">
        <w:rPr>
          <w:rFonts w:ascii="Palatino Linotype" w:eastAsia="Palatino Linotype" w:hAnsi="Palatino Linotype" w:cs="Palatino Linotype"/>
        </w:rPr>
        <w:t>sea considerada por la Ley en la materia como información pública.</w:t>
      </w:r>
    </w:p>
    <w:p w:rsidR="00CC16F6" w:rsidRPr="00CC16F6" w:rsidRDefault="00CC16F6" w:rsidP="00CC16F6">
      <w:pPr>
        <w:spacing w:before="240" w:after="240" w:line="360" w:lineRule="auto"/>
        <w:jc w:val="both"/>
        <w:rPr>
          <w:rFonts w:ascii="Palatino Linotype" w:eastAsia="Palatino Linotype" w:hAnsi="Palatino Linotype" w:cs="Palatino Linotype"/>
          <w:color w:val="000000"/>
        </w:rPr>
      </w:pPr>
      <w:r w:rsidRPr="00CC16F6">
        <w:rPr>
          <w:rFonts w:ascii="Palatino Linotype" w:eastAsia="Palatino Linotype" w:hAnsi="Palatino Linotype" w:cs="Palatino Linotype"/>
        </w:rPr>
        <w:t>A</w:t>
      </w:r>
      <w:r w:rsidR="00BF3D97" w:rsidRPr="00CC16F6">
        <w:rPr>
          <w:rFonts w:ascii="Palatino Linotype" w:eastAsia="Palatino Linotype" w:hAnsi="Palatino Linotype" w:cs="Palatino Linotype"/>
        </w:rPr>
        <w:t>l  respect</w:t>
      </w:r>
      <w:r w:rsidRPr="00CC16F6">
        <w:rPr>
          <w:rFonts w:ascii="Palatino Linotype" w:eastAsia="Palatino Linotype" w:hAnsi="Palatino Linotype" w:cs="Palatino Linotype"/>
        </w:rPr>
        <w:t>o la ley de trasparencia señala que la información requerida constituye una obligación de transparencia común par</w:t>
      </w:r>
      <w:r w:rsidR="007159BB">
        <w:rPr>
          <w:rFonts w:ascii="Palatino Linotype" w:eastAsia="Palatino Linotype" w:hAnsi="Palatino Linotype" w:cs="Palatino Linotype"/>
        </w:rPr>
        <w:t xml:space="preserve">a </w:t>
      </w:r>
      <w:r w:rsidR="007159BB" w:rsidRPr="007159BB">
        <w:rPr>
          <w:rFonts w:ascii="Palatino Linotype" w:eastAsia="Palatino Linotype" w:hAnsi="Palatino Linotype" w:cs="Palatino Linotype"/>
          <w:b/>
        </w:rPr>
        <w:t>el Sujeto Obligado</w:t>
      </w:r>
      <w:r w:rsidRPr="00CC16F6">
        <w:rPr>
          <w:rFonts w:ascii="Palatino Linotype" w:eastAsia="Palatino Linotype" w:hAnsi="Palatino Linotype" w:cs="Palatino Linotype"/>
        </w:rPr>
        <w:t xml:space="preserve">, por así determinarlo el artículo 92, </w:t>
      </w:r>
      <w:r>
        <w:rPr>
          <w:rFonts w:ascii="Palatino Linotype" w:eastAsia="Palatino Linotype" w:hAnsi="Palatino Linotype" w:cs="Palatino Linotype"/>
          <w:color w:val="000000"/>
        </w:rPr>
        <w:t xml:space="preserve">fracciones XXIX y XXXII que reporta información de los contratos suscritos por el Ayuntamiento de Malinalco, como es la relativa a  las concesiones, contratos, convenios, permisos, licencias o autorizaciones otorgados, así como de la información sobre los procesos y resultados sobre procedimientos de adjudicación directa, invitación restringida y licitación de cualquier naturaleza, incluyendo la versión pública del expediente respectivo y de los contratos celebrados. </w:t>
      </w:r>
    </w:p>
    <w:p w:rsidR="00CC16F6" w:rsidRPr="00CC16F6" w:rsidRDefault="00CC16F6" w:rsidP="00CC16F6">
      <w:pPr>
        <w:ind w:left="851" w:right="851"/>
        <w:jc w:val="both"/>
        <w:rPr>
          <w:rFonts w:ascii="Palatino Linotype" w:eastAsia="Palatino Linotype" w:hAnsi="Palatino Linotype" w:cs="Palatino Linotype"/>
          <w:i/>
          <w:sz w:val="22"/>
          <w:szCs w:val="22"/>
        </w:rPr>
      </w:pPr>
      <w:r w:rsidRPr="00CC16F6">
        <w:rPr>
          <w:rFonts w:ascii="Palatino Linotype" w:eastAsia="Palatino Linotype" w:hAnsi="Palatino Linotype" w:cs="Palatino Linotype"/>
          <w:i/>
          <w:sz w:val="22"/>
          <w:szCs w:val="22"/>
        </w:rPr>
        <w:t>“</w:t>
      </w:r>
      <w:r w:rsidRPr="00CC16F6">
        <w:rPr>
          <w:rFonts w:ascii="Palatino Linotype" w:eastAsia="Palatino Linotype" w:hAnsi="Palatino Linotype" w:cs="Palatino Linotype"/>
          <w:b/>
          <w:i/>
          <w:sz w:val="22"/>
          <w:szCs w:val="22"/>
        </w:rPr>
        <w:t>Artículo 92.</w:t>
      </w:r>
      <w:r w:rsidRPr="00CC16F6">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C16F6" w:rsidRPr="00CC16F6" w:rsidRDefault="00CC16F6" w:rsidP="00CC16F6">
      <w:pPr>
        <w:tabs>
          <w:tab w:val="left" w:pos="2940"/>
        </w:tabs>
        <w:ind w:left="851" w:right="851"/>
        <w:jc w:val="both"/>
        <w:rPr>
          <w:rFonts w:ascii="Palatino Linotype" w:eastAsia="Palatino Linotype" w:hAnsi="Palatino Linotype" w:cs="Palatino Linotype"/>
          <w:i/>
          <w:sz w:val="22"/>
          <w:szCs w:val="22"/>
        </w:rPr>
      </w:pPr>
      <w:r w:rsidRPr="00CC16F6">
        <w:rPr>
          <w:rFonts w:ascii="Palatino Linotype" w:eastAsia="Palatino Linotype" w:hAnsi="Palatino Linotype" w:cs="Palatino Linotype"/>
          <w:i/>
          <w:sz w:val="22"/>
          <w:szCs w:val="22"/>
        </w:rPr>
        <w:t>…</w:t>
      </w:r>
    </w:p>
    <w:p w:rsidR="00CC16F6" w:rsidRPr="00CC16F6" w:rsidRDefault="00CC16F6" w:rsidP="00CC16F6">
      <w:pPr>
        <w:tabs>
          <w:tab w:val="left" w:pos="2940"/>
        </w:tabs>
        <w:ind w:left="851" w:right="851"/>
        <w:jc w:val="both"/>
        <w:rPr>
          <w:rFonts w:ascii="Palatino Linotype" w:eastAsia="Palatino Linotype" w:hAnsi="Palatino Linotype" w:cs="Palatino Linotype"/>
          <w:b/>
          <w:i/>
          <w:sz w:val="22"/>
          <w:szCs w:val="22"/>
          <w:u w:val="single"/>
        </w:rPr>
      </w:pPr>
      <w:r w:rsidRPr="00CC16F6">
        <w:rPr>
          <w:rFonts w:ascii="Palatino Linotype" w:eastAsia="Palatino Linotype" w:hAnsi="Palatino Linotype" w:cs="Palatino Linotype"/>
          <w:i/>
          <w:sz w:val="22"/>
          <w:szCs w:val="22"/>
        </w:rPr>
        <w:t xml:space="preserve">XXIX. </w:t>
      </w:r>
      <w:r w:rsidRPr="00CC16F6">
        <w:rPr>
          <w:rFonts w:ascii="Palatino Linotype" w:eastAsia="Palatino Linotype" w:hAnsi="Palatino Linotype" w:cs="Palatino Linotype"/>
          <w:b/>
          <w:i/>
          <w:sz w:val="22"/>
          <w:szCs w:val="22"/>
        </w:rPr>
        <w:t xml:space="preserve">La información sobre los procesos y resultados sobre procedimientos de adjudicación directa, invitación restringida y </w:t>
      </w:r>
      <w:r w:rsidRPr="00CC16F6">
        <w:rPr>
          <w:rFonts w:ascii="Palatino Linotype" w:eastAsia="Palatino Linotype" w:hAnsi="Palatino Linotype" w:cs="Palatino Linotype"/>
          <w:b/>
          <w:i/>
          <w:sz w:val="22"/>
          <w:szCs w:val="22"/>
          <w:u w:val="single"/>
        </w:rPr>
        <w:t>licitación de cualquier naturaleza, incluyendo la versión pública del expediente respectivo y de los contratos celebrados, que deberán contener, por los menos, lo siguiente:</w:t>
      </w:r>
    </w:p>
    <w:p w:rsidR="00CC16F6" w:rsidRPr="00CC16F6" w:rsidRDefault="00CC16F6" w:rsidP="00CC16F6">
      <w:pPr>
        <w:tabs>
          <w:tab w:val="left" w:pos="2940"/>
        </w:tabs>
        <w:ind w:left="851" w:right="851"/>
        <w:jc w:val="both"/>
        <w:rPr>
          <w:rFonts w:ascii="Palatino Linotype" w:eastAsia="Palatino Linotype" w:hAnsi="Palatino Linotype" w:cs="Palatino Linotype"/>
          <w:b/>
          <w:i/>
          <w:sz w:val="22"/>
          <w:szCs w:val="22"/>
          <w:u w:val="single"/>
        </w:rPr>
      </w:pPr>
      <w:r w:rsidRPr="00CC16F6">
        <w:rPr>
          <w:rFonts w:ascii="Palatino Linotype" w:eastAsia="Palatino Linotype" w:hAnsi="Palatino Linotype" w:cs="Palatino Linotype"/>
          <w:b/>
          <w:i/>
          <w:sz w:val="22"/>
          <w:szCs w:val="22"/>
          <w:u w:val="single"/>
        </w:rPr>
        <w:t xml:space="preserve">a) De licitaciones públicas o procedimientos de invitación restringida: </w:t>
      </w:r>
    </w:p>
    <w:p w:rsidR="00CC16F6" w:rsidRPr="00CC16F6" w:rsidRDefault="00CC16F6" w:rsidP="00CC16F6">
      <w:pPr>
        <w:tabs>
          <w:tab w:val="left" w:pos="2940"/>
        </w:tabs>
        <w:ind w:left="851" w:right="851"/>
        <w:jc w:val="both"/>
        <w:rPr>
          <w:rFonts w:ascii="Palatino Linotype" w:eastAsia="Palatino Linotype" w:hAnsi="Palatino Linotype" w:cs="Palatino Linotype"/>
          <w:i/>
          <w:sz w:val="22"/>
          <w:szCs w:val="22"/>
        </w:rPr>
      </w:pPr>
      <w:r w:rsidRPr="00CC16F6">
        <w:rPr>
          <w:rFonts w:ascii="Palatino Linotype" w:eastAsia="Palatino Linotype" w:hAnsi="Palatino Linotype" w:cs="Palatino Linotype"/>
          <w:i/>
          <w:sz w:val="22"/>
          <w:szCs w:val="22"/>
        </w:rPr>
        <w:t xml:space="preserve">1) La convocatoria o invitación emitida, así como los fundamentos legales aplicados para llevarla a cabo; </w:t>
      </w:r>
    </w:p>
    <w:p w:rsidR="00CC16F6" w:rsidRPr="00CC16F6" w:rsidRDefault="00CC16F6" w:rsidP="00CC16F6">
      <w:pPr>
        <w:tabs>
          <w:tab w:val="left" w:pos="2940"/>
        </w:tabs>
        <w:ind w:left="851" w:right="851"/>
        <w:jc w:val="both"/>
        <w:rPr>
          <w:rFonts w:ascii="Palatino Linotype" w:eastAsia="Palatino Linotype" w:hAnsi="Palatino Linotype" w:cs="Palatino Linotype"/>
          <w:i/>
          <w:sz w:val="22"/>
          <w:szCs w:val="22"/>
        </w:rPr>
      </w:pPr>
      <w:r w:rsidRPr="00CC16F6">
        <w:rPr>
          <w:rFonts w:ascii="Palatino Linotype" w:eastAsia="Palatino Linotype" w:hAnsi="Palatino Linotype" w:cs="Palatino Linotype"/>
          <w:i/>
          <w:sz w:val="22"/>
          <w:szCs w:val="22"/>
        </w:rPr>
        <w:t xml:space="preserve">2) Los nombres de los participantes o invitados; </w:t>
      </w:r>
    </w:p>
    <w:p w:rsidR="00CC16F6" w:rsidRPr="00CC16F6" w:rsidRDefault="00CC16F6" w:rsidP="00CC16F6">
      <w:pPr>
        <w:tabs>
          <w:tab w:val="left" w:pos="2940"/>
        </w:tabs>
        <w:ind w:left="851" w:right="851"/>
        <w:jc w:val="both"/>
        <w:rPr>
          <w:rFonts w:ascii="Palatino Linotype" w:eastAsia="Palatino Linotype" w:hAnsi="Palatino Linotype" w:cs="Palatino Linotype"/>
          <w:i/>
          <w:sz w:val="22"/>
          <w:szCs w:val="22"/>
        </w:rPr>
      </w:pPr>
      <w:r w:rsidRPr="00CC16F6">
        <w:rPr>
          <w:rFonts w:ascii="Palatino Linotype" w:eastAsia="Palatino Linotype" w:hAnsi="Palatino Linotype" w:cs="Palatino Linotype"/>
          <w:i/>
          <w:sz w:val="22"/>
          <w:szCs w:val="22"/>
        </w:rPr>
        <w:t>3) El nombre del ganador y las razones que lo justifican;</w:t>
      </w:r>
    </w:p>
    <w:p w:rsidR="00CC16F6" w:rsidRPr="00CC16F6" w:rsidRDefault="00CC16F6" w:rsidP="00CC16F6">
      <w:pPr>
        <w:tabs>
          <w:tab w:val="left" w:pos="2940"/>
        </w:tabs>
        <w:ind w:left="851" w:right="851"/>
        <w:jc w:val="both"/>
        <w:rPr>
          <w:rFonts w:ascii="Palatino Linotype" w:eastAsia="Palatino Linotype" w:hAnsi="Palatino Linotype" w:cs="Palatino Linotype"/>
          <w:i/>
          <w:sz w:val="22"/>
          <w:szCs w:val="22"/>
        </w:rPr>
      </w:pPr>
      <w:r w:rsidRPr="00CC16F6">
        <w:rPr>
          <w:rFonts w:ascii="Palatino Linotype" w:eastAsia="Palatino Linotype" w:hAnsi="Palatino Linotype" w:cs="Palatino Linotype"/>
          <w:i/>
          <w:sz w:val="22"/>
          <w:szCs w:val="22"/>
        </w:rPr>
        <w:t>4) El área solicitante y la responsable de su ejecución;</w:t>
      </w:r>
    </w:p>
    <w:p w:rsidR="00CC16F6" w:rsidRPr="00CC16F6" w:rsidRDefault="00CC16F6" w:rsidP="00CC16F6">
      <w:pPr>
        <w:tabs>
          <w:tab w:val="left" w:pos="2940"/>
        </w:tabs>
        <w:ind w:left="851" w:right="851"/>
        <w:jc w:val="both"/>
        <w:rPr>
          <w:rFonts w:ascii="Palatino Linotype" w:eastAsia="Palatino Linotype" w:hAnsi="Palatino Linotype" w:cs="Palatino Linotype"/>
          <w:i/>
          <w:sz w:val="22"/>
          <w:szCs w:val="22"/>
        </w:rPr>
      </w:pPr>
      <w:r w:rsidRPr="00CC16F6">
        <w:rPr>
          <w:rFonts w:ascii="Palatino Linotype" w:eastAsia="Palatino Linotype" w:hAnsi="Palatino Linotype" w:cs="Palatino Linotype"/>
          <w:i/>
          <w:sz w:val="22"/>
          <w:szCs w:val="22"/>
        </w:rPr>
        <w:t>5) Las convocatorias e invitaciones emitidas;</w:t>
      </w:r>
    </w:p>
    <w:p w:rsidR="00CC16F6" w:rsidRPr="00CC16F6" w:rsidRDefault="00CC16F6" w:rsidP="00CC16F6">
      <w:pPr>
        <w:tabs>
          <w:tab w:val="left" w:pos="2940"/>
        </w:tabs>
        <w:ind w:left="851" w:right="851"/>
        <w:jc w:val="both"/>
        <w:rPr>
          <w:rFonts w:ascii="Palatino Linotype" w:eastAsia="Palatino Linotype" w:hAnsi="Palatino Linotype" w:cs="Palatino Linotype"/>
          <w:i/>
          <w:sz w:val="22"/>
          <w:szCs w:val="22"/>
        </w:rPr>
      </w:pPr>
      <w:r w:rsidRPr="00CC16F6">
        <w:rPr>
          <w:rFonts w:ascii="Palatino Linotype" w:eastAsia="Palatino Linotype" w:hAnsi="Palatino Linotype" w:cs="Palatino Linotype"/>
          <w:i/>
          <w:sz w:val="22"/>
          <w:szCs w:val="22"/>
        </w:rPr>
        <w:t xml:space="preserve">6) Los dictámenes y fallo de adjudicación; </w:t>
      </w:r>
    </w:p>
    <w:p w:rsidR="00CC16F6" w:rsidRPr="00CC16F6" w:rsidRDefault="00CC16F6" w:rsidP="00CC16F6">
      <w:pPr>
        <w:tabs>
          <w:tab w:val="left" w:pos="2940"/>
        </w:tabs>
        <w:ind w:left="851" w:right="851"/>
        <w:jc w:val="both"/>
        <w:rPr>
          <w:rFonts w:ascii="Palatino Linotype" w:eastAsia="Palatino Linotype" w:hAnsi="Palatino Linotype" w:cs="Palatino Linotype"/>
          <w:b/>
          <w:i/>
          <w:sz w:val="22"/>
          <w:szCs w:val="22"/>
          <w:u w:val="single"/>
        </w:rPr>
      </w:pPr>
      <w:r w:rsidRPr="00CC16F6">
        <w:rPr>
          <w:rFonts w:ascii="Palatino Linotype" w:eastAsia="Palatino Linotype" w:hAnsi="Palatino Linotype" w:cs="Palatino Linotype"/>
          <w:b/>
          <w:i/>
          <w:sz w:val="22"/>
          <w:szCs w:val="22"/>
          <w:u w:val="single"/>
        </w:rPr>
        <w:t xml:space="preserve">7) El contrato y, en su caso, sus anexos; </w:t>
      </w:r>
    </w:p>
    <w:p w:rsidR="00CC16F6" w:rsidRPr="00CC16F6" w:rsidRDefault="00CC16F6" w:rsidP="00CC16F6">
      <w:pPr>
        <w:tabs>
          <w:tab w:val="left" w:pos="2940"/>
        </w:tabs>
        <w:ind w:left="851" w:right="851"/>
        <w:jc w:val="both"/>
        <w:rPr>
          <w:rFonts w:ascii="Palatino Linotype" w:eastAsia="Palatino Linotype" w:hAnsi="Palatino Linotype" w:cs="Palatino Linotype"/>
          <w:i/>
          <w:sz w:val="22"/>
          <w:szCs w:val="22"/>
        </w:rPr>
      </w:pPr>
      <w:r w:rsidRPr="00CC16F6">
        <w:rPr>
          <w:rFonts w:ascii="Palatino Linotype" w:eastAsia="Palatino Linotype" w:hAnsi="Palatino Linotype" w:cs="Palatino Linotype"/>
          <w:i/>
          <w:sz w:val="22"/>
          <w:szCs w:val="22"/>
        </w:rPr>
        <w:t>8) Los mecanismos de vigilancia y supervisión, incluyendo en su caso, los estudios de impacto urbano y ambiental, según corresponda;</w:t>
      </w:r>
    </w:p>
    <w:p w:rsidR="00CC16F6" w:rsidRPr="00CC16F6" w:rsidRDefault="00CC16F6" w:rsidP="00CC16F6">
      <w:pPr>
        <w:tabs>
          <w:tab w:val="left" w:pos="2940"/>
        </w:tabs>
        <w:ind w:left="851" w:right="851"/>
        <w:jc w:val="both"/>
        <w:rPr>
          <w:rFonts w:ascii="Palatino Linotype" w:eastAsia="Palatino Linotype" w:hAnsi="Palatino Linotype" w:cs="Palatino Linotype"/>
          <w:i/>
          <w:sz w:val="22"/>
          <w:szCs w:val="22"/>
        </w:rPr>
      </w:pPr>
      <w:r w:rsidRPr="00CC16F6">
        <w:rPr>
          <w:rFonts w:ascii="Palatino Linotype" w:eastAsia="Palatino Linotype" w:hAnsi="Palatino Linotype" w:cs="Palatino Linotype"/>
          <w:i/>
          <w:sz w:val="22"/>
          <w:szCs w:val="22"/>
        </w:rPr>
        <w:t>9) La partida presupuestal, de conformidad con el clasificador por objeto del gasto, en el caso de ser aplicable;</w:t>
      </w:r>
    </w:p>
    <w:p w:rsidR="00CC16F6" w:rsidRPr="00CC16F6" w:rsidRDefault="00CC16F6" w:rsidP="00CC16F6">
      <w:pPr>
        <w:tabs>
          <w:tab w:val="left" w:pos="2940"/>
        </w:tabs>
        <w:ind w:left="851" w:right="851"/>
        <w:jc w:val="both"/>
        <w:rPr>
          <w:rFonts w:ascii="Palatino Linotype" w:eastAsia="Palatino Linotype" w:hAnsi="Palatino Linotype" w:cs="Palatino Linotype"/>
          <w:i/>
          <w:sz w:val="22"/>
          <w:szCs w:val="22"/>
        </w:rPr>
      </w:pPr>
      <w:r w:rsidRPr="00CC16F6">
        <w:rPr>
          <w:rFonts w:ascii="Palatino Linotype" w:eastAsia="Palatino Linotype" w:hAnsi="Palatino Linotype" w:cs="Palatino Linotype"/>
          <w:i/>
          <w:sz w:val="22"/>
          <w:szCs w:val="22"/>
        </w:rPr>
        <w:t>10) Origen de los recursos especificando si son federales, estatales o municipales, así como el tipo de fondo de participación o aportación respectiva;</w:t>
      </w:r>
    </w:p>
    <w:p w:rsidR="00CC16F6" w:rsidRPr="00CC16F6" w:rsidRDefault="00CC16F6" w:rsidP="00CC16F6">
      <w:pPr>
        <w:tabs>
          <w:tab w:val="left" w:pos="2940"/>
        </w:tabs>
        <w:ind w:left="851" w:right="851"/>
        <w:jc w:val="both"/>
        <w:rPr>
          <w:rFonts w:ascii="Palatino Linotype" w:eastAsia="Palatino Linotype" w:hAnsi="Palatino Linotype" w:cs="Palatino Linotype"/>
          <w:i/>
          <w:sz w:val="22"/>
          <w:szCs w:val="22"/>
        </w:rPr>
      </w:pPr>
      <w:r w:rsidRPr="00CC16F6">
        <w:rPr>
          <w:rFonts w:ascii="Palatino Linotype" w:eastAsia="Palatino Linotype" w:hAnsi="Palatino Linotype" w:cs="Palatino Linotype"/>
          <w:i/>
          <w:sz w:val="22"/>
          <w:szCs w:val="22"/>
        </w:rPr>
        <w:t>11) Los convenios modificatorios que, en su caso, sean firmados, precisando el objeto y la fecha de celebración;</w:t>
      </w:r>
    </w:p>
    <w:p w:rsidR="00CC16F6" w:rsidRPr="00CC16F6" w:rsidRDefault="00CC16F6" w:rsidP="00CC16F6">
      <w:pPr>
        <w:tabs>
          <w:tab w:val="left" w:pos="2940"/>
        </w:tabs>
        <w:ind w:left="851" w:right="851"/>
        <w:jc w:val="both"/>
        <w:rPr>
          <w:rFonts w:ascii="Palatino Linotype" w:eastAsia="Palatino Linotype" w:hAnsi="Palatino Linotype" w:cs="Palatino Linotype"/>
          <w:i/>
          <w:sz w:val="22"/>
          <w:szCs w:val="22"/>
        </w:rPr>
      </w:pPr>
      <w:r w:rsidRPr="00CC16F6">
        <w:rPr>
          <w:rFonts w:ascii="Palatino Linotype" w:eastAsia="Palatino Linotype" w:hAnsi="Palatino Linotype" w:cs="Palatino Linotype"/>
          <w:i/>
          <w:sz w:val="22"/>
          <w:szCs w:val="22"/>
        </w:rPr>
        <w:t>12) Los informes de avance físico y financiero sobre las obras o servicios contratados;</w:t>
      </w:r>
    </w:p>
    <w:p w:rsidR="00CC16F6" w:rsidRPr="00CC16F6" w:rsidRDefault="00CC16F6" w:rsidP="00CC16F6">
      <w:pPr>
        <w:tabs>
          <w:tab w:val="left" w:pos="2940"/>
        </w:tabs>
        <w:ind w:left="851" w:right="851"/>
        <w:jc w:val="both"/>
        <w:rPr>
          <w:rFonts w:ascii="Palatino Linotype" w:eastAsia="Palatino Linotype" w:hAnsi="Palatino Linotype" w:cs="Palatino Linotype"/>
          <w:i/>
          <w:sz w:val="22"/>
          <w:szCs w:val="22"/>
        </w:rPr>
      </w:pPr>
      <w:r w:rsidRPr="00CC16F6">
        <w:rPr>
          <w:rFonts w:ascii="Palatino Linotype" w:eastAsia="Palatino Linotype" w:hAnsi="Palatino Linotype" w:cs="Palatino Linotype"/>
          <w:i/>
          <w:sz w:val="22"/>
          <w:szCs w:val="22"/>
        </w:rPr>
        <w:t>13) El convenio de terminación; y</w:t>
      </w:r>
    </w:p>
    <w:p w:rsidR="00CC16F6" w:rsidRPr="00CC16F6" w:rsidRDefault="00CC16F6" w:rsidP="00CC16F6">
      <w:pPr>
        <w:tabs>
          <w:tab w:val="left" w:pos="2940"/>
        </w:tabs>
        <w:ind w:left="851" w:right="851"/>
        <w:jc w:val="both"/>
        <w:rPr>
          <w:rFonts w:ascii="Palatino Linotype" w:eastAsia="Palatino Linotype" w:hAnsi="Palatino Linotype" w:cs="Palatino Linotype"/>
          <w:i/>
          <w:sz w:val="22"/>
          <w:szCs w:val="22"/>
        </w:rPr>
      </w:pPr>
      <w:r w:rsidRPr="00CC16F6">
        <w:rPr>
          <w:rFonts w:ascii="Palatino Linotype" w:eastAsia="Palatino Linotype" w:hAnsi="Palatino Linotype" w:cs="Palatino Linotype"/>
          <w:i/>
          <w:sz w:val="22"/>
          <w:szCs w:val="22"/>
        </w:rPr>
        <w:t>14) El finiquito.</w:t>
      </w:r>
    </w:p>
    <w:p w:rsidR="00CC16F6" w:rsidRPr="00CC16F6" w:rsidRDefault="00CC16F6" w:rsidP="00CC16F6">
      <w:pPr>
        <w:tabs>
          <w:tab w:val="left" w:pos="2940"/>
        </w:tabs>
        <w:ind w:left="851" w:right="851"/>
        <w:jc w:val="both"/>
        <w:rPr>
          <w:rFonts w:ascii="Palatino Linotype" w:eastAsia="Palatino Linotype" w:hAnsi="Palatino Linotype" w:cs="Palatino Linotype"/>
          <w:i/>
          <w:sz w:val="22"/>
          <w:szCs w:val="22"/>
        </w:rPr>
      </w:pPr>
      <w:r w:rsidRPr="00CC16F6">
        <w:rPr>
          <w:rFonts w:ascii="Palatino Linotype" w:eastAsia="Palatino Linotype" w:hAnsi="Palatino Linotype" w:cs="Palatino Linotype"/>
          <w:i/>
          <w:sz w:val="22"/>
          <w:szCs w:val="22"/>
        </w:rPr>
        <w:t xml:space="preserve">b) De las adjudicaciones directas: </w:t>
      </w:r>
    </w:p>
    <w:p w:rsidR="00CC16F6" w:rsidRPr="00CC16F6" w:rsidRDefault="00CC16F6" w:rsidP="00CC16F6">
      <w:pPr>
        <w:tabs>
          <w:tab w:val="left" w:pos="2940"/>
        </w:tabs>
        <w:ind w:left="851" w:right="851"/>
        <w:jc w:val="both"/>
        <w:rPr>
          <w:rFonts w:ascii="Palatino Linotype" w:eastAsia="Palatino Linotype" w:hAnsi="Palatino Linotype" w:cs="Palatino Linotype"/>
          <w:i/>
          <w:sz w:val="22"/>
          <w:szCs w:val="22"/>
        </w:rPr>
      </w:pPr>
      <w:r w:rsidRPr="00CC16F6">
        <w:rPr>
          <w:rFonts w:ascii="Palatino Linotype" w:eastAsia="Palatino Linotype" w:hAnsi="Palatino Linotype" w:cs="Palatino Linotype"/>
          <w:i/>
          <w:sz w:val="22"/>
          <w:szCs w:val="22"/>
        </w:rPr>
        <w:t>1) La propuesta enviada por el participante;</w:t>
      </w:r>
    </w:p>
    <w:p w:rsidR="00CC16F6" w:rsidRPr="00CC16F6" w:rsidRDefault="00CC16F6" w:rsidP="00CC16F6">
      <w:pPr>
        <w:tabs>
          <w:tab w:val="left" w:pos="2940"/>
        </w:tabs>
        <w:ind w:left="851" w:right="851"/>
        <w:jc w:val="both"/>
        <w:rPr>
          <w:rFonts w:ascii="Palatino Linotype" w:eastAsia="Palatino Linotype" w:hAnsi="Palatino Linotype" w:cs="Palatino Linotype"/>
          <w:i/>
          <w:sz w:val="22"/>
          <w:szCs w:val="22"/>
        </w:rPr>
      </w:pPr>
      <w:r w:rsidRPr="00CC16F6">
        <w:rPr>
          <w:rFonts w:ascii="Palatino Linotype" w:eastAsia="Palatino Linotype" w:hAnsi="Palatino Linotype" w:cs="Palatino Linotype"/>
          <w:i/>
          <w:sz w:val="22"/>
          <w:szCs w:val="22"/>
        </w:rPr>
        <w:t>2) Los motivos y fundamentos legales aplicados para llevarla a cabo;</w:t>
      </w:r>
    </w:p>
    <w:p w:rsidR="00CC16F6" w:rsidRPr="00CC16F6" w:rsidRDefault="00CC16F6" w:rsidP="00CC16F6">
      <w:pPr>
        <w:tabs>
          <w:tab w:val="left" w:pos="2940"/>
        </w:tabs>
        <w:ind w:left="851" w:right="851"/>
        <w:jc w:val="both"/>
        <w:rPr>
          <w:rFonts w:ascii="Palatino Linotype" w:eastAsia="Palatino Linotype" w:hAnsi="Palatino Linotype" w:cs="Palatino Linotype"/>
          <w:i/>
          <w:sz w:val="22"/>
          <w:szCs w:val="22"/>
        </w:rPr>
      </w:pPr>
      <w:r w:rsidRPr="00CC16F6">
        <w:rPr>
          <w:rFonts w:ascii="Palatino Linotype" w:eastAsia="Palatino Linotype" w:hAnsi="Palatino Linotype" w:cs="Palatino Linotype"/>
          <w:i/>
          <w:sz w:val="22"/>
          <w:szCs w:val="22"/>
        </w:rPr>
        <w:t>3) La autorización del ejercicio de la opción;</w:t>
      </w:r>
    </w:p>
    <w:p w:rsidR="00CC16F6" w:rsidRPr="00CC16F6" w:rsidRDefault="00CC16F6" w:rsidP="00CC16F6">
      <w:pPr>
        <w:tabs>
          <w:tab w:val="left" w:pos="2940"/>
        </w:tabs>
        <w:ind w:left="851" w:right="851"/>
        <w:jc w:val="both"/>
        <w:rPr>
          <w:rFonts w:ascii="Palatino Linotype" w:eastAsia="Palatino Linotype" w:hAnsi="Palatino Linotype" w:cs="Palatino Linotype"/>
          <w:i/>
          <w:sz w:val="22"/>
          <w:szCs w:val="22"/>
        </w:rPr>
      </w:pPr>
      <w:r w:rsidRPr="00CC16F6">
        <w:rPr>
          <w:rFonts w:ascii="Palatino Linotype" w:eastAsia="Palatino Linotype" w:hAnsi="Palatino Linotype" w:cs="Palatino Linotype"/>
          <w:i/>
          <w:sz w:val="22"/>
          <w:szCs w:val="22"/>
        </w:rPr>
        <w:t>4) En su caso, las cotizaciones consideradas, especificando los nombres de los proveedores y sus montos;</w:t>
      </w:r>
    </w:p>
    <w:p w:rsidR="00CC16F6" w:rsidRPr="00CC16F6" w:rsidRDefault="00CC16F6" w:rsidP="00CC16F6">
      <w:pPr>
        <w:tabs>
          <w:tab w:val="left" w:pos="2940"/>
        </w:tabs>
        <w:ind w:left="851" w:right="851"/>
        <w:jc w:val="both"/>
        <w:rPr>
          <w:rFonts w:ascii="Palatino Linotype" w:eastAsia="Palatino Linotype" w:hAnsi="Palatino Linotype" w:cs="Palatino Linotype"/>
          <w:i/>
          <w:sz w:val="22"/>
          <w:szCs w:val="22"/>
        </w:rPr>
      </w:pPr>
      <w:r w:rsidRPr="00CC16F6">
        <w:rPr>
          <w:rFonts w:ascii="Palatino Linotype" w:eastAsia="Palatino Linotype" w:hAnsi="Palatino Linotype" w:cs="Palatino Linotype"/>
          <w:i/>
          <w:sz w:val="22"/>
          <w:szCs w:val="22"/>
        </w:rPr>
        <w:t>5) El nombre de la persona física o jurídica colectiva adjudicada;</w:t>
      </w:r>
    </w:p>
    <w:p w:rsidR="00CC16F6" w:rsidRPr="00CC16F6" w:rsidRDefault="00CC16F6" w:rsidP="00CC16F6">
      <w:pPr>
        <w:tabs>
          <w:tab w:val="left" w:pos="2940"/>
        </w:tabs>
        <w:ind w:left="851" w:right="851"/>
        <w:jc w:val="both"/>
        <w:rPr>
          <w:rFonts w:ascii="Palatino Linotype" w:eastAsia="Palatino Linotype" w:hAnsi="Palatino Linotype" w:cs="Palatino Linotype"/>
          <w:i/>
          <w:sz w:val="22"/>
          <w:szCs w:val="22"/>
        </w:rPr>
      </w:pPr>
      <w:r w:rsidRPr="00CC16F6">
        <w:rPr>
          <w:rFonts w:ascii="Palatino Linotype" w:eastAsia="Palatino Linotype" w:hAnsi="Palatino Linotype" w:cs="Palatino Linotype"/>
          <w:i/>
          <w:sz w:val="22"/>
          <w:szCs w:val="22"/>
        </w:rPr>
        <w:t>6) La unidad administrativa solicitante y la responsable de su ejecución;</w:t>
      </w:r>
    </w:p>
    <w:p w:rsidR="00CC16F6" w:rsidRPr="00CC16F6" w:rsidRDefault="00CC16F6" w:rsidP="00CC16F6">
      <w:pPr>
        <w:tabs>
          <w:tab w:val="left" w:pos="2940"/>
        </w:tabs>
        <w:ind w:left="851" w:right="851"/>
        <w:jc w:val="both"/>
        <w:rPr>
          <w:rFonts w:ascii="Palatino Linotype" w:eastAsia="Palatino Linotype" w:hAnsi="Palatino Linotype" w:cs="Palatino Linotype"/>
          <w:i/>
          <w:sz w:val="22"/>
          <w:szCs w:val="22"/>
        </w:rPr>
      </w:pPr>
      <w:r w:rsidRPr="00CC16F6">
        <w:rPr>
          <w:rFonts w:ascii="Palatino Linotype" w:eastAsia="Palatino Linotype" w:hAnsi="Palatino Linotype" w:cs="Palatino Linotype"/>
          <w:i/>
          <w:sz w:val="22"/>
          <w:szCs w:val="22"/>
        </w:rPr>
        <w:t>7) El número, fecha, el monto del contrato y el plazo de entrega o de ejecución de los servicios u obra;</w:t>
      </w:r>
    </w:p>
    <w:p w:rsidR="00CC16F6" w:rsidRPr="00CC16F6" w:rsidRDefault="00CC16F6" w:rsidP="00CC16F6">
      <w:pPr>
        <w:tabs>
          <w:tab w:val="left" w:pos="2940"/>
        </w:tabs>
        <w:ind w:left="851" w:right="851"/>
        <w:jc w:val="both"/>
        <w:rPr>
          <w:rFonts w:ascii="Palatino Linotype" w:eastAsia="Palatino Linotype" w:hAnsi="Palatino Linotype" w:cs="Palatino Linotype"/>
          <w:i/>
          <w:sz w:val="22"/>
          <w:szCs w:val="22"/>
        </w:rPr>
      </w:pPr>
      <w:r w:rsidRPr="00CC16F6">
        <w:rPr>
          <w:rFonts w:ascii="Palatino Linotype" w:eastAsia="Palatino Linotype" w:hAnsi="Palatino Linotype" w:cs="Palatino Linotype"/>
          <w:i/>
          <w:sz w:val="22"/>
          <w:szCs w:val="22"/>
        </w:rPr>
        <w:t>8) Los mecanismos de vigilancia y supervisión, incluyendo, en su caso, los estudios de impacto urbano y ambiental, según corresponda;</w:t>
      </w:r>
    </w:p>
    <w:p w:rsidR="00CC16F6" w:rsidRPr="00CC16F6" w:rsidRDefault="00CC16F6" w:rsidP="00CC16F6">
      <w:pPr>
        <w:tabs>
          <w:tab w:val="left" w:pos="2940"/>
        </w:tabs>
        <w:ind w:left="851" w:right="851"/>
        <w:jc w:val="both"/>
        <w:rPr>
          <w:rFonts w:ascii="Palatino Linotype" w:eastAsia="Palatino Linotype" w:hAnsi="Palatino Linotype" w:cs="Palatino Linotype"/>
          <w:i/>
          <w:sz w:val="22"/>
          <w:szCs w:val="22"/>
        </w:rPr>
      </w:pPr>
      <w:r w:rsidRPr="00CC16F6">
        <w:rPr>
          <w:rFonts w:ascii="Palatino Linotype" w:eastAsia="Palatino Linotype" w:hAnsi="Palatino Linotype" w:cs="Palatino Linotype"/>
          <w:i/>
          <w:sz w:val="22"/>
          <w:szCs w:val="22"/>
        </w:rPr>
        <w:t>9) Los informes de avance sobre las obras o servicios contratados;</w:t>
      </w:r>
    </w:p>
    <w:p w:rsidR="00CC16F6" w:rsidRPr="00CC16F6" w:rsidRDefault="00CC16F6" w:rsidP="00CC16F6">
      <w:pPr>
        <w:tabs>
          <w:tab w:val="left" w:pos="2940"/>
        </w:tabs>
        <w:ind w:left="851" w:right="851"/>
        <w:jc w:val="both"/>
        <w:rPr>
          <w:rFonts w:ascii="Palatino Linotype" w:eastAsia="Palatino Linotype" w:hAnsi="Palatino Linotype" w:cs="Palatino Linotype"/>
          <w:i/>
          <w:sz w:val="22"/>
          <w:szCs w:val="22"/>
        </w:rPr>
      </w:pPr>
      <w:r w:rsidRPr="00CC16F6">
        <w:rPr>
          <w:rFonts w:ascii="Palatino Linotype" w:eastAsia="Palatino Linotype" w:hAnsi="Palatino Linotype" w:cs="Palatino Linotype"/>
          <w:i/>
          <w:sz w:val="22"/>
          <w:szCs w:val="22"/>
        </w:rPr>
        <w:t>10) El convenio de terminación; y</w:t>
      </w:r>
    </w:p>
    <w:p w:rsidR="00CC16F6" w:rsidRPr="00CC16F6" w:rsidRDefault="00CC16F6" w:rsidP="00CC16F6">
      <w:pPr>
        <w:tabs>
          <w:tab w:val="left" w:pos="2940"/>
        </w:tabs>
        <w:ind w:left="851" w:right="851"/>
        <w:jc w:val="both"/>
        <w:rPr>
          <w:rFonts w:ascii="Palatino Linotype" w:eastAsia="Palatino Linotype" w:hAnsi="Palatino Linotype" w:cs="Palatino Linotype"/>
          <w:i/>
          <w:sz w:val="22"/>
          <w:szCs w:val="22"/>
        </w:rPr>
      </w:pPr>
      <w:r w:rsidRPr="00CC16F6">
        <w:rPr>
          <w:rFonts w:ascii="Palatino Linotype" w:eastAsia="Palatino Linotype" w:hAnsi="Palatino Linotype" w:cs="Palatino Linotype"/>
          <w:i/>
          <w:sz w:val="22"/>
          <w:szCs w:val="22"/>
        </w:rPr>
        <w:t>11) El finiquito… (Sic)</w:t>
      </w:r>
    </w:p>
    <w:p w:rsidR="00CC16F6" w:rsidRPr="00CC16F6" w:rsidRDefault="00CC16F6" w:rsidP="00CC16F6">
      <w:pPr>
        <w:tabs>
          <w:tab w:val="left" w:pos="2940"/>
        </w:tabs>
        <w:ind w:left="851" w:right="851"/>
        <w:jc w:val="both"/>
        <w:rPr>
          <w:rFonts w:ascii="Palatino Linotype" w:eastAsia="Palatino Linotype" w:hAnsi="Palatino Linotype" w:cs="Palatino Linotype"/>
          <w:i/>
          <w:sz w:val="22"/>
          <w:szCs w:val="22"/>
        </w:rPr>
      </w:pPr>
      <w:r w:rsidRPr="00CC16F6">
        <w:rPr>
          <w:rFonts w:ascii="Palatino Linotype" w:eastAsia="Palatino Linotype" w:hAnsi="Palatino Linotype" w:cs="Palatino Linotype"/>
          <w:i/>
          <w:sz w:val="22"/>
          <w:szCs w:val="22"/>
        </w:rPr>
        <w:t>…</w:t>
      </w:r>
      <w:r w:rsidRPr="00CC16F6">
        <w:rPr>
          <w:rFonts w:ascii="Palatino Linotype" w:eastAsia="Palatino Linotype" w:hAnsi="Palatino Linotype" w:cs="Palatino Linotype"/>
          <w:i/>
          <w:sz w:val="22"/>
          <w:szCs w:val="22"/>
        </w:rPr>
        <w:tab/>
      </w:r>
    </w:p>
    <w:p w:rsidR="007A6A3B" w:rsidRPr="002430E6" w:rsidRDefault="00CC16F6" w:rsidP="002430E6">
      <w:pPr>
        <w:ind w:left="851" w:right="851"/>
        <w:jc w:val="both"/>
        <w:rPr>
          <w:rFonts w:ascii="Palatino Linotype" w:eastAsia="Palatino Linotype" w:hAnsi="Palatino Linotype" w:cs="Palatino Linotype"/>
          <w:i/>
          <w:sz w:val="22"/>
          <w:szCs w:val="22"/>
        </w:rPr>
      </w:pPr>
      <w:r w:rsidRPr="00CC16F6">
        <w:rPr>
          <w:rFonts w:ascii="Palatino Linotype" w:eastAsia="Palatino Linotype" w:hAnsi="Palatino Linotype" w:cs="Palatino Linotype"/>
          <w:i/>
          <w:sz w:val="22"/>
          <w:szCs w:val="22"/>
        </w:rPr>
        <w:t xml:space="preserve">XXXII. Las concesiones, </w:t>
      </w:r>
      <w:r w:rsidRPr="00CC16F6">
        <w:rPr>
          <w:rFonts w:ascii="Palatino Linotype" w:eastAsia="Palatino Linotype" w:hAnsi="Palatino Linotype" w:cs="Palatino Linotype"/>
          <w:b/>
          <w:i/>
          <w:sz w:val="22"/>
          <w:szCs w:val="22"/>
        </w:rPr>
        <w:t>contratos,</w:t>
      </w:r>
      <w:r w:rsidRPr="00CC16F6">
        <w:rPr>
          <w:rFonts w:ascii="Palatino Linotype" w:eastAsia="Palatino Linotype" w:hAnsi="Palatino Linotype" w:cs="Palatino Linotype"/>
          <w:i/>
          <w:sz w:val="22"/>
          <w:szCs w:val="22"/>
        </w:rPr>
        <w:t xml:space="preserve"> convenios, permisos, licencias o autorizaciones otorgados, </w:t>
      </w:r>
      <w:r w:rsidRPr="00CC16F6">
        <w:rPr>
          <w:rFonts w:ascii="Palatino Linotype" w:eastAsia="Palatino Linotype" w:hAnsi="Palatino Linotype" w:cs="Palatino Linotype"/>
          <w:b/>
          <w:i/>
          <w:sz w:val="22"/>
          <w:szCs w:val="22"/>
        </w:rPr>
        <w:t>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CC16F6">
        <w:rPr>
          <w:rFonts w:ascii="Palatino Linotype" w:eastAsia="Palatino Linotype" w:hAnsi="Palatino Linotype" w:cs="Palatino Linotype"/>
          <w:i/>
          <w:sz w:val="22"/>
          <w:szCs w:val="22"/>
        </w:rPr>
        <w:t>;</w:t>
      </w:r>
      <w:r w:rsidRPr="00CC16F6">
        <w:rPr>
          <w:sz w:val="22"/>
          <w:szCs w:val="22"/>
        </w:rPr>
        <w:t xml:space="preserve"> </w:t>
      </w:r>
      <w:r w:rsidRPr="00CC16F6">
        <w:rPr>
          <w:rFonts w:ascii="Palatino Linotype" w:eastAsia="Palatino Linotype" w:hAnsi="Palatino Linotype" w:cs="Palatino Linotype"/>
          <w:i/>
          <w:sz w:val="22"/>
          <w:szCs w:val="22"/>
        </w:rPr>
        <w:t>… (Sic)</w:t>
      </w:r>
    </w:p>
    <w:p w:rsidR="007A6A3B" w:rsidRDefault="007A6A3B" w:rsidP="007A6A3B">
      <w:pPr>
        <w:spacing w:before="280" w:after="280" w:line="360" w:lineRule="auto"/>
        <w:jc w:val="center"/>
        <w:rPr>
          <w:rFonts w:ascii="Palatino Linotype" w:eastAsia="Palatino Linotype" w:hAnsi="Palatino Linotype" w:cs="Palatino Linotype"/>
        </w:rPr>
      </w:pPr>
      <w:r>
        <w:rPr>
          <w:rFonts w:ascii="Palatino Linotype" w:hAnsi="Palatino Linotype"/>
          <w:bCs/>
          <w:noProof/>
          <w:color w:val="000000"/>
          <w:szCs w:val="22"/>
          <w:lang w:val="es-MX"/>
        </w:rPr>
        <w:drawing>
          <wp:inline distT="0" distB="0" distL="0" distR="0" wp14:anchorId="732E9609" wp14:editId="5D3EBD8C">
            <wp:extent cx="4980878" cy="3190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7188" cy="3194917"/>
                    </a:xfrm>
                    <a:prstGeom prst="rect">
                      <a:avLst/>
                    </a:prstGeom>
                    <a:noFill/>
                    <a:ln>
                      <a:noFill/>
                    </a:ln>
                  </pic:spPr>
                </pic:pic>
              </a:graphicData>
            </a:graphic>
          </wp:inline>
        </w:drawing>
      </w:r>
    </w:p>
    <w:p w:rsidR="007A6A3B" w:rsidRDefault="007A6A3B" w:rsidP="007A6A3B">
      <w:pPr>
        <w:spacing w:before="280" w:after="280" w:line="360" w:lineRule="auto"/>
        <w:jc w:val="center"/>
        <w:rPr>
          <w:rFonts w:ascii="Palatino Linotype" w:eastAsia="Palatino Linotype" w:hAnsi="Palatino Linotype" w:cs="Palatino Linotype"/>
        </w:rPr>
      </w:pPr>
      <w:r>
        <w:rPr>
          <w:rFonts w:ascii="Palatino Linotype" w:hAnsi="Palatino Linotype"/>
          <w:bCs/>
          <w:noProof/>
          <w:color w:val="000000"/>
          <w:szCs w:val="22"/>
          <w:lang w:val="es-MX"/>
        </w:rPr>
        <w:drawing>
          <wp:inline distT="0" distB="0" distL="0" distR="0" wp14:anchorId="66880DDF" wp14:editId="0C8916CE">
            <wp:extent cx="4076700" cy="30433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7061" cy="3058570"/>
                    </a:xfrm>
                    <a:prstGeom prst="rect">
                      <a:avLst/>
                    </a:prstGeom>
                    <a:noFill/>
                    <a:ln>
                      <a:noFill/>
                    </a:ln>
                  </pic:spPr>
                </pic:pic>
              </a:graphicData>
            </a:graphic>
          </wp:inline>
        </w:drawing>
      </w:r>
    </w:p>
    <w:p w:rsidR="00CC16F6" w:rsidRPr="00CC16F6" w:rsidRDefault="00CC16F6" w:rsidP="00CC16F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este Órgano Garante procedió a </w:t>
      </w:r>
      <w:r w:rsidRPr="00CC16F6">
        <w:rPr>
          <w:rFonts w:ascii="Palatino Linotype" w:eastAsia="Palatino Linotype" w:hAnsi="Palatino Linotype" w:cs="Palatino Linotype"/>
        </w:rPr>
        <w:t xml:space="preserve">la consulta a la tabla de aplicabilidad, </w:t>
      </w:r>
      <w:r>
        <w:rPr>
          <w:rFonts w:ascii="Palatino Linotype" w:eastAsia="Palatino Linotype" w:hAnsi="Palatino Linotype" w:cs="Palatino Linotype"/>
        </w:rPr>
        <w:t xml:space="preserve">mediante la cual </w:t>
      </w:r>
      <w:r w:rsidRPr="00CC16F6">
        <w:rPr>
          <w:rFonts w:ascii="Palatino Linotype" w:eastAsia="Palatino Linotype" w:hAnsi="Palatino Linotype" w:cs="Palatino Linotype"/>
        </w:rPr>
        <w:t>se puede vislumbrar que esta</w:t>
      </w:r>
      <w:r>
        <w:rPr>
          <w:rFonts w:ascii="Palatino Linotype" w:eastAsia="Palatino Linotype" w:hAnsi="Palatino Linotype" w:cs="Palatino Linotype"/>
        </w:rPr>
        <w:t>s obligaciones</w:t>
      </w:r>
      <w:r w:rsidRPr="00CC16F6">
        <w:rPr>
          <w:rFonts w:ascii="Palatino Linotype" w:eastAsia="Palatino Linotype" w:hAnsi="Palatino Linotype" w:cs="Palatino Linotype"/>
        </w:rPr>
        <w:t xml:space="preserve"> de transparencia</w:t>
      </w:r>
      <w:r>
        <w:rPr>
          <w:rFonts w:ascii="Palatino Linotype" w:eastAsia="Palatino Linotype" w:hAnsi="Palatino Linotype" w:cs="Palatino Linotype"/>
        </w:rPr>
        <w:t xml:space="preserve"> común son</w:t>
      </w:r>
      <w:r w:rsidRPr="00CC16F6">
        <w:rPr>
          <w:rFonts w:ascii="Palatino Linotype" w:eastAsia="Palatino Linotype" w:hAnsi="Palatino Linotype" w:cs="Palatino Linotype"/>
        </w:rPr>
        <w:t xml:space="preserve"> aplicable</w:t>
      </w:r>
      <w:r>
        <w:rPr>
          <w:rFonts w:ascii="Palatino Linotype" w:eastAsia="Palatino Linotype" w:hAnsi="Palatino Linotype" w:cs="Palatino Linotype"/>
        </w:rPr>
        <w:t>s</w:t>
      </w:r>
      <w:r w:rsidRPr="00CC16F6">
        <w:rPr>
          <w:rFonts w:ascii="Palatino Linotype" w:eastAsia="Palatino Linotype" w:hAnsi="Palatino Linotype" w:cs="Palatino Linotype"/>
        </w:rPr>
        <w:t xml:space="preserve"> al Sujeto Obligado, por lo tanto, la entrega del soporte documental referido en la solicitud es procedente:  </w:t>
      </w:r>
    </w:p>
    <w:p w:rsidR="00CC16F6" w:rsidRPr="00BF3D97" w:rsidRDefault="00CC16F6" w:rsidP="00CC16F6">
      <w:pPr>
        <w:tabs>
          <w:tab w:val="left" w:pos="709"/>
        </w:tabs>
        <w:spacing w:after="160" w:line="360" w:lineRule="auto"/>
        <w:jc w:val="both"/>
        <w:rPr>
          <w:rFonts w:ascii="Palatino Linotype" w:eastAsia="Palatino Linotype" w:hAnsi="Palatino Linotype" w:cs="Palatino Linotype"/>
          <w:highlight w:val="green"/>
        </w:rPr>
      </w:pPr>
      <w:r w:rsidRPr="00BF3D97">
        <w:rPr>
          <w:rFonts w:ascii="Palatino Linotype" w:eastAsia="Palatino Linotype" w:hAnsi="Palatino Linotype" w:cs="Palatino Linotype"/>
          <w:noProof/>
          <w:highlight w:val="green"/>
          <w:lang w:val="es-MX"/>
        </w:rPr>
        <w:drawing>
          <wp:inline distT="0" distB="0" distL="0" distR="0" wp14:anchorId="7F4D4CB2" wp14:editId="538451C8">
            <wp:extent cx="5257800" cy="95250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257800" cy="952500"/>
                    </a:xfrm>
                    <a:prstGeom prst="rect">
                      <a:avLst/>
                    </a:prstGeom>
                    <a:ln/>
                  </pic:spPr>
                </pic:pic>
              </a:graphicData>
            </a:graphic>
          </wp:inline>
        </w:drawing>
      </w:r>
      <w:r w:rsidRPr="00BF3D97">
        <w:rPr>
          <w:noProof/>
          <w:highlight w:val="green"/>
          <w:lang w:val="es-MX"/>
        </w:rPr>
        <mc:AlternateContent>
          <mc:Choice Requires="wps">
            <w:drawing>
              <wp:anchor distT="0" distB="0" distL="114300" distR="114300" simplePos="0" relativeHeight="251666432" behindDoc="0" locked="0" layoutInCell="1" hidden="0" allowOverlap="1" wp14:anchorId="16424F15" wp14:editId="08E0A1EA">
                <wp:simplePos x="0" y="0"/>
                <wp:positionH relativeFrom="column">
                  <wp:posOffset>-12699</wp:posOffset>
                </wp:positionH>
                <wp:positionV relativeFrom="paragraph">
                  <wp:posOffset>1130300</wp:posOffset>
                </wp:positionV>
                <wp:extent cx="5324475" cy="228600"/>
                <wp:effectExtent l="0" t="0" r="0" b="0"/>
                <wp:wrapNone/>
                <wp:docPr id="1" name="Rectángulo 1"/>
                <wp:cNvGraphicFramePr/>
                <a:graphic xmlns:a="http://schemas.openxmlformats.org/drawingml/2006/main">
                  <a:graphicData uri="http://schemas.microsoft.com/office/word/2010/wordprocessingShape">
                    <wps:wsp>
                      <wps:cNvSpPr/>
                      <wps:spPr>
                        <a:xfrm>
                          <a:off x="2702813" y="3684750"/>
                          <a:ext cx="5286375" cy="190500"/>
                        </a:xfrm>
                        <a:prstGeom prst="rect">
                          <a:avLst/>
                        </a:prstGeom>
                        <a:noFill/>
                        <a:ln w="38100" cap="flat" cmpd="sng">
                          <a:solidFill>
                            <a:srgbClr val="002060"/>
                          </a:solidFill>
                          <a:prstDash val="solid"/>
                          <a:round/>
                          <a:headEnd type="none" w="sm" len="sm"/>
                          <a:tailEnd type="none" w="sm" len="sm"/>
                        </a:ln>
                      </wps:spPr>
                      <wps:txbx>
                        <w:txbxContent>
                          <w:p w:rsidR="006759C5" w:rsidRDefault="006759C5" w:rsidP="00CC16F6">
                            <w:pPr>
                              <w:textDirection w:val="btLr"/>
                            </w:pPr>
                          </w:p>
                        </w:txbxContent>
                      </wps:txbx>
                      <wps:bodyPr spcFirstLastPara="1" wrap="square" lIns="91425" tIns="91425" rIns="91425" bIns="91425" anchor="ctr" anchorCtr="0">
                        <a:noAutofit/>
                      </wps:bodyPr>
                    </wps:wsp>
                  </a:graphicData>
                </a:graphic>
              </wp:anchor>
            </w:drawing>
          </mc:Choice>
          <mc:Fallback>
            <w:pict>
              <v:rect w14:anchorId="16424F15" id="Rectángulo 1" o:spid="_x0000_s1026" style="position:absolute;left:0;text-align:left;margin-left:-1pt;margin-top:89pt;width:419.25pt;height:1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" filled="f" strokecolor="#002060" strokeweight="3pt">
                <v:stroke startarrowwidth="narrow" startarrowlength="short" endarrowwidth="narrow" endarrowlength="short" joinstyle="round"/>
                <v:textbox inset="2.53958mm,2.53958mm,2.53958mm,2.53958mm">
                  <w:txbxContent>
                    <w:p w:rsidR="006759C5" w:rsidRDefault="006759C5" w:rsidP="00CC16F6">
                      <w:pPr>
                        <w:textDirection w:val="btLr"/>
                      </w:pPr>
                    </w:p>
                  </w:txbxContent>
                </v:textbox>
              </v:rect>
            </w:pict>
          </mc:Fallback>
        </mc:AlternateContent>
      </w:r>
    </w:p>
    <w:p w:rsidR="00203915" w:rsidRPr="00CC16F6" w:rsidRDefault="00CC16F6" w:rsidP="00CC16F6">
      <w:pPr>
        <w:tabs>
          <w:tab w:val="left" w:pos="709"/>
        </w:tabs>
        <w:spacing w:after="160" w:line="360" w:lineRule="auto"/>
        <w:jc w:val="both"/>
        <w:rPr>
          <w:rFonts w:ascii="Palatino Linotype" w:eastAsia="Palatino Linotype" w:hAnsi="Palatino Linotype" w:cs="Palatino Linotype"/>
        </w:rPr>
      </w:pPr>
      <w:r w:rsidRPr="00BF3D97">
        <w:rPr>
          <w:rFonts w:ascii="Palatino Linotype" w:eastAsia="Palatino Linotype" w:hAnsi="Palatino Linotype" w:cs="Palatino Linotype"/>
          <w:noProof/>
          <w:highlight w:val="green"/>
          <w:lang w:val="es-MX"/>
        </w:rPr>
        <w:drawing>
          <wp:inline distT="0" distB="0" distL="0" distR="0" wp14:anchorId="2CB033D9" wp14:editId="7EC1DB41">
            <wp:extent cx="5286375" cy="1152525"/>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5286375" cy="1152525"/>
                    </a:xfrm>
                    <a:prstGeom prst="rect">
                      <a:avLst/>
                    </a:prstGeom>
                    <a:ln/>
                  </pic:spPr>
                </pic:pic>
              </a:graphicData>
            </a:graphic>
          </wp:inline>
        </w:drawing>
      </w:r>
      <w:r w:rsidRPr="00BF3D97">
        <w:rPr>
          <w:noProof/>
          <w:highlight w:val="green"/>
          <w:lang w:val="es-MX"/>
        </w:rPr>
        <mc:AlternateContent>
          <mc:Choice Requires="wps">
            <w:drawing>
              <wp:anchor distT="0" distB="0" distL="114300" distR="114300" simplePos="0" relativeHeight="251667456" behindDoc="0" locked="0" layoutInCell="1" hidden="0" allowOverlap="1" wp14:anchorId="6E053B21" wp14:editId="59BA5E31">
                <wp:simplePos x="0" y="0"/>
                <wp:positionH relativeFrom="column">
                  <wp:posOffset>-63499</wp:posOffset>
                </wp:positionH>
                <wp:positionV relativeFrom="paragraph">
                  <wp:posOffset>774700</wp:posOffset>
                </wp:positionV>
                <wp:extent cx="5362575" cy="209550"/>
                <wp:effectExtent l="0" t="0" r="0" b="0"/>
                <wp:wrapNone/>
                <wp:docPr id="2" name="Rectángulo 2"/>
                <wp:cNvGraphicFramePr/>
                <a:graphic xmlns:a="http://schemas.openxmlformats.org/drawingml/2006/main">
                  <a:graphicData uri="http://schemas.microsoft.com/office/word/2010/wordprocessingShape">
                    <wps:wsp>
                      <wps:cNvSpPr/>
                      <wps:spPr>
                        <a:xfrm>
                          <a:off x="2679000" y="3689513"/>
                          <a:ext cx="5334000" cy="180975"/>
                        </a:xfrm>
                        <a:prstGeom prst="rect">
                          <a:avLst/>
                        </a:prstGeom>
                        <a:noFill/>
                        <a:ln w="28575" cap="flat" cmpd="sng">
                          <a:solidFill>
                            <a:srgbClr val="002060"/>
                          </a:solidFill>
                          <a:prstDash val="solid"/>
                          <a:round/>
                          <a:headEnd type="none" w="sm" len="sm"/>
                          <a:tailEnd type="none" w="sm" len="sm"/>
                        </a:ln>
                      </wps:spPr>
                      <wps:txbx>
                        <w:txbxContent>
                          <w:p w:rsidR="006759C5" w:rsidRDefault="006759C5" w:rsidP="00CC16F6">
                            <w:pPr>
                              <w:textDirection w:val="btLr"/>
                            </w:pPr>
                          </w:p>
                        </w:txbxContent>
                      </wps:txbx>
                      <wps:bodyPr spcFirstLastPara="1" wrap="square" lIns="91425" tIns="91425" rIns="91425" bIns="91425" anchor="ctr" anchorCtr="0">
                        <a:noAutofit/>
                      </wps:bodyPr>
                    </wps:wsp>
                  </a:graphicData>
                </a:graphic>
              </wp:anchor>
            </w:drawing>
          </mc:Choice>
          <mc:Fallback>
            <w:pict>
              <v:rect w14:anchorId="6E053B21" id="Rectángulo 2" o:spid="_x0000_s1027" style="position:absolute;left:0;text-align:left;margin-left:-5pt;margin-top:61pt;width:422.25pt;height:1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" filled="f" strokecolor="#002060" strokeweight="2.25pt">
                <v:stroke startarrowwidth="narrow" startarrowlength="short" endarrowwidth="narrow" endarrowlength="short" joinstyle="round"/>
                <v:textbox inset="2.53958mm,2.53958mm,2.53958mm,2.53958mm">
                  <w:txbxContent>
                    <w:p w:rsidR="006759C5" w:rsidRDefault="006759C5" w:rsidP="00CC16F6">
                      <w:pPr>
                        <w:textDirection w:val="btLr"/>
                      </w:pPr>
                    </w:p>
                  </w:txbxContent>
                </v:textbox>
              </v:rect>
            </w:pict>
          </mc:Fallback>
        </mc:AlternateContent>
      </w:r>
      <w:r w:rsidR="00732101" w:rsidRPr="00BF3D97">
        <w:rPr>
          <w:rFonts w:ascii="Palatino Linotype" w:eastAsia="Palatino Linotype" w:hAnsi="Palatino Linotype" w:cs="Palatino Linotype"/>
          <w:strike/>
          <w:color w:val="000000"/>
        </w:rPr>
        <w:t xml:space="preserve"> </w:t>
      </w:r>
    </w:p>
    <w:p w:rsidR="002430E6" w:rsidRPr="002430E6" w:rsidRDefault="00BF3D97" w:rsidP="002430E6">
      <w:pPr>
        <w:tabs>
          <w:tab w:val="left" w:pos="709"/>
        </w:tabs>
        <w:spacing w:before="240" w:after="240" w:line="360" w:lineRule="auto"/>
        <w:jc w:val="both"/>
        <w:rPr>
          <w:rFonts w:ascii="Palatino Linotype" w:eastAsia="Calibri" w:hAnsi="Palatino Linotype"/>
          <w:lang w:val="es-MX" w:eastAsia="en-US"/>
        </w:rPr>
      </w:pPr>
      <w:r w:rsidRPr="002430E6">
        <w:rPr>
          <w:rFonts w:ascii="Palatino Linotype" w:eastAsia="Palatino Linotype" w:hAnsi="Palatino Linotype" w:cs="Palatino Linotype"/>
          <w:color w:val="000000"/>
        </w:rPr>
        <w:t>Finalmente no pasa inadvertido que el servidor púb</w:t>
      </w:r>
      <w:r w:rsidR="002430E6" w:rsidRPr="002430E6">
        <w:rPr>
          <w:rFonts w:ascii="Palatino Linotype" w:eastAsia="Palatino Linotype" w:hAnsi="Palatino Linotype" w:cs="Palatino Linotype"/>
          <w:color w:val="000000"/>
        </w:rPr>
        <w:t>lico habilitado señala que  la información se encuentra disponible en la tesorería para su consulta</w:t>
      </w:r>
      <w:r w:rsidR="002430E6">
        <w:rPr>
          <w:rFonts w:ascii="Palatino Linotype" w:eastAsia="Palatino Linotype" w:hAnsi="Palatino Linotype" w:cs="Palatino Linotype"/>
          <w:color w:val="000000"/>
        </w:rPr>
        <w:t xml:space="preserve">, por lo que en el caso de </w:t>
      </w:r>
      <w:r w:rsidRPr="002430E6">
        <w:rPr>
          <w:rFonts w:ascii="Palatino Linotype" w:eastAsia="Palatino Linotype" w:hAnsi="Palatino Linotype" w:cs="Palatino Linotype"/>
          <w:color w:val="000000"/>
        </w:rPr>
        <w:t xml:space="preserve">que se refiera al particular conviene mencionar que </w:t>
      </w:r>
      <w:r w:rsidR="002430E6" w:rsidRPr="002430E6">
        <w:rPr>
          <w:rFonts w:ascii="Palatino Linotype" w:eastAsia="Calibri" w:hAnsi="Palatino Linotype"/>
          <w:bCs/>
          <w:lang w:val="es-MX" w:eastAsia="en-US"/>
        </w:rPr>
        <w:t>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002430E6" w:rsidRPr="002430E6" w:rsidRDefault="002430E6" w:rsidP="002430E6">
      <w:pPr>
        <w:numPr>
          <w:ilvl w:val="0"/>
          <w:numId w:val="8"/>
        </w:numPr>
        <w:spacing w:before="120" w:after="120"/>
        <w:ind w:left="568" w:right="709" w:hanging="284"/>
        <w:jc w:val="both"/>
        <w:rPr>
          <w:rFonts w:ascii="Palatino Linotype" w:eastAsia="Calibri" w:hAnsi="Palatino Linotype"/>
          <w:sz w:val="21"/>
          <w:szCs w:val="21"/>
          <w:lang w:eastAsia="es-ES"/>
        </w:rPr>
      </w:pPr>
      <w:r w:rsidRPr="002430E6">
        <w:rPr>
          <w:rFonts w:ascii="Palatino Linotype" w:eastAsia="Calibri" w:hAnsi="Palatino Linotype"/>
          <w:bCs/>
          <w:i/>
          <w:sz w:val="21"/>
          <w:szCs w:val="21"/>
          <w:lang w:eastAsia="es-E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rsidR="002430E6" w:rsidRPr="002430E6" w:rsidRDefault="002430E6" w:rsidP="002430E6">
      <w:pPr>
        <w:numPr>
          <w:ilvl w:val="0"/>
          <w:numId w:val="8"/>
        </w:numPr>
        <w:spacing w:before="120" w:after="120"/>
        <w:ind w:left="568" w:right="709" w:hanging="284"/>
        <w:jc w:val="both"/>
        <w:rPr>
          <w:rFonts w:ascii="Palatino Linotype" w:eastAsia="Calibri" w:hAnsi="Palatino Linotype"/>
          <w:sz w:val="21"/>
          <w:szCs w:val="21"/>
          <w:lang w:eastAsia="es-ES"/>
        </w:rPr>
      </w:pPr>
      <w:r w:rsidRPr="002430E6">
        <w:rPr>
          <w:rFonts w:ascii="Palatino Linotype" w:eastAsia="Calibri" w:hAnsi="Palatino Linotype"/>
          <w:bCs/>
          <w:i/>
          <w:sz w:val="21"/>
          <w:szCs w:val="21"/>
          <w:lang w:eastAsia="es-ES"/>
        </w:rPr>
        <w:t>La respuesta a los requerimientos informativos deberán notificarse al interesado en el menor tiempo posible, que no podrá exceder de quince días, contados a partir del día siguiente a la presentación de ésta. Excepcionalmente, el plazo referido podrá ampliarse por siete días hábiles más, cuando existan razones fundadas y motivadas, a través del Comité de Transparencia;</w:t>
      </w:r>
    </w:p>
    <w:p w:rsidR="002430E6" w:rsidRPr="002430E6" w:rsidRDefault="002430E6" w:rsidP="002430E6">
      <w:pPr>
        <w:numPr>
          <w:ilvl w:val="0"/>
          <w:numId w:val="8"/>
        </w:numPr>
        <w:spacing w:before="120" w:after="120"/>
        <w:ind w:left="568" w:right="709" w:hanging="284"/>
        <w:jc w:val="both"/>
        <w:rPr>
          <w:rFonts w:ascii="Palatino Linotype" w:eastAsia="Calibri" w:hAnsi="Palatino Linotype"/>
          <w:sz w:val="21"/>
          <w:szCs w:val="21"/>
          <w:lang w:eastAsia="es-ES"/>
        </w:rPr>
      </w:pPr>
      <w:r w:rsidRPr="002430E6">
        <w:rPr>
          <w:rFonts w:ascii="Palatino Linotype" w:eastAsia="Calibri" w:hAnsi="Palatino Linotype"/>
          <w:bCs/>
          <w:i/>
          <w:sz w:val="21"/>
          <w:szCs w:val="21"/>
          <w:lang w:eastAsia="es-E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w:t>
      </w:r>
      <w:r w:rsidRPr="002430E6">
        <w:rPr>
          <w:rFonts w:ascii="Palatino Linotype" w:eastAsia="Calibri" w:hAnsi="Palatino Linotype"/>
          <w:b/>
          <w:bCs/>
          <w:i/>
          <w:sz w:val="21"/>
          <w:szCs w:val="21"/>
          <w:lang w:eastAsia="es-ES"/>
        </w:rPr>
        <w:t>proporcionen las expresiones documentales que se encuentren en sus archivos o que estén constreñidos a elaborar;</w:t>
      </w:r>
    </w:p>
    <w:p w:rsidR="002430E6" w:rsidRPr="002430E6" w:rsidRDefault="002430E6" w:rsidP="002430E6">
      <w:pPr>
        <w:numPr>
          <w:ilvl w:val="0"/>
          <w:numId w:val="8"/>
        </w:numPr>
        <w:spacing w:before="120" w:after="120"/>
        <w:ind w:left="568" w:right="709" w:hanging="284"/>
        <w:jc w:val="both"/>
        <w:rPr>
          <w:rFonts w:ascii="Palatino Linotype" w:eastAsia="Calibri" w:hAnsi="Palatino Linotype"/>
          <w:sz w:val="21"/>
          <w:szCs w:val="21"/>
          <w:lang w:eastAsia="es-ES"/>
        </w:rPr>
      </w:pPr>
      <w:r w:rsidRPr="002430E6">
        <w:rPr>
          <w:rFonts w:ascii="Palatino Linotype" w:eastAsia="Calibri" w:hAnsi="Palatino Linotype"/>
          <w:bCs/>
          <w:i/>
          <w:sz w:val="21"/>
          <w:szCs w:val="21"/>
          <w:lang w:eastAsia="es-ES"/>
        </w:rPr>
        <w:t>El acceso se dará en la modalidad de entrega y en su caso, de envío elegido por la solicitante</w:t>
      </w:r>
      <w:r w:rsidRPr="002430E6">
        <w:rPr>
          <w:rFonts w:ascii="Palatino Linotype" w:eastAsia="Calibri" w:hAnsi="Palatino Linotype"/>
          <w:b/>
          <w:bCs/>
          <w:i/>
          <w:sz w:val="21"/>
          <w:szCs w:val="21"/>
          <w:lang w:eastAsia="es-ES"/>
        </w:rPr>
        <w:t>, cuando no pueda entregarse en dicha modalidad, el Sujeto Obligado deberá ofrecer otras; por lo cual, deberá fundar y motivar la necesidad de modificar el medio de entrega</w:t>
      </w:r>
      <w:r w:rsidRPr="002430E6">
        <w:rPr>
          <w:rFonts w:ascii="Palatino Linotype" w:eastAsia="Calibri" w:hAnsi="Palatino Linotype"/>
          <w:bCs/>
          <w:i/>
          <w:sz w:val="21"/>
          <w:szCs w:val="21"/>
          <w:lang w:eastAsia="es-ES"/>
        </w:rPr>
        <w:t>, y</w:t>
      </w:r>
    </w:p>
    <w:p w:rsidR="002430E6" w:rsidRPr="002430E6" w:rsidRDefault="002430E6" w:rsidP="002430E6">
      <w:pPr>
        <w:numPr>
          <w:ilvl w:val="0"/>
          <w:numId w:val="8"/>
        </w:numPr>
        <w:tabs>
          <w:tab w:val="left" w:pos="567"/>
        </w:tabs>
        <w:spacing w:before="120" w:after="120"/>
        <w:ind w:left="568" w:right="709" w:hanging="284"/>
        <w:jc w:val="both"/>
        <w:rPr>
          <w:rFonts w:ascii="Palatino Linotype" w:eastAsia="Calibri" w:hAnsi="Palatino Linotype"/>
          <w:sz w:val="21"/>
          <w:szCs w:val="21"/>
          <w:lang w:eastAsia="es-ES"/>
        </w:rPr>
      </w:pPr>
      <w:r w:rsidRPr="002430E6">
        <w:rPr>
          <w:rFonts w:ascii="Palatino Linotype" w:eastAsia="Calibri" w:hAnsi="Palatino Linotype"/>
          <w:bCs/>
          <w:i/>
          <w:sz w:val="21"/>
          <w:szCs w:val="21"/>
          <w:lang w:eastAsia="es-ES"/>
        </w:rPr>
        <w:t xml:space="preserve">Las </w:t>
      </w:r>
      <w:r w:rsidRPr="002430E6">
        <w:rPr>
          <w:rFonts w:ascii="Palatino Linotype" w:eastAsia="Calibri" w:hAnsi="Palatino Linotype"/>
          <w:b/>
          <w:bCs/>
          <w:i/>
          <w:sz w:val="21"/>
          <w:szCs w:val="21"/>
          <w:lang w:eastAsia="es-ES"/>
        </w:rPr>
        <w:t>Unidades de Transparencia, tendrán disponible la información requerida durante un plazo mínimo de sesenta días hábiles</w:t>
      </w:r>
      <w:r w:rsidRPr="002430E6">
        <w:rPr>
          <w:rFonts w:ascii="Palatino Linotype" w:eastAsia="Calibri" w:hAnsi="Palatino Linotype"/>
          <w:bCs/>
          <w:i/>
          <w:sz w:val="21"/>
          <w:szCs w:val="21"/>
          <w:lang w:eastAsia="es-ES"/>
        </w:rPr>
        <w:t>,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2430E6" w:rsidRPr="002430E6" w:rsidRDefault="002430E6" w:rsidP="002430E6">
      <w:pPr>
        <w:spacing w:before="240" w:after="240" w:line="360" w:lineRule="auto"/>
        <w:jc w:val="both"/>
        <w:rPr>
          <w:rFonts w:ascii="Palatino Linotype" w:eastAsia="Palatino Linotype" w:hAnsi="Palatino Linotype" w:cs="Palatino Linotype"/>
          <w:color w:val="000000"/>
        </w:rPr>
      </w:pPr>
      <w:r w:rsidRPr="002430E6">
        <w:rPr>
          <w:rFonts w:ascii="Palatino Linotype" w:eastAsia="Palatino Linotype" w:hAnsi="Palatino Linotype" w:cs="Palatino Linotype"/>
          <w:color w:val="000000"/>
        </w:rPr>
        <w:t xml:space="preserve">En ese orden de ideas, </w:t>
      </w:r>
      <w:r>
        <w:rPr>
          <w:rFonts w:ascii="Palatino Linotype" w:eastAsia="Palatino Linotype" w:hAnsi="Palatino Linotype" w:cs="Palatino Linotype"/>
          <w:color w:val="000000"/>
        </w:rPr>
        <w:t xml:space="preserve">lo anteriormente citado </w:t>
      </w:r>
      <w:r w:rsidRPr="002430E6">
        <w:rPr>
          <w:rFonts w:ascii="Palatino Linotype" w:eastAsia="Palatino Linotype" w:hAnsi="Palatino Linotype" w:cs="Palatino Linotype"/>
          <w:color w:val="000000"/>
        </w:rPr>
        <w:t>prevé que el acceso se dará en la modalidad de entrega y, en su caso, de envío elegidos por al solicitante. Cuando la información no pueda entregarse o enviarse en la modalidad elegida, el sujeto obligado deberá ofrecer otra u otras modalidades de entrega. En cualquier caso, se deberá fundar y motivar la necesidad de ofrecer otras modalidades.</w:t>
      </w:r>
    </w:p>
    <w:p w:rsidR="002430E6" w:rsidRPr="002430E6" w:rsidRDefault="002430E6" w:rsidP="002430E6">
      <w:pPr>
        <w:spacing w:before="240" w:after="240" w:line="360" w:lineRule="auto"/>
        <w:jc w:val="both"/>
        <w:rPr>
          <w:rFonts w:ascii="Palatino Linotype" w:eastAsia="Palatino Linotype" w:hAnsi="Palatino Linotype" w:cs="Palatino Linotype"/>
          <w:color w:val="000000"/>
        </w:rPr>
      </w:pPr>
      <w:r w:rsidRPr="002430E6">
        <w:rPr>
          <w:rFonts w:ascii="Palatino Linotype" w:eastAsia="Palatino Linotype" w:hAnsi="Palatino Linotype" w:cs="Palatino Linotype"/>
          <w:color w:val="000000"/>
        </w:rPr>
        <w:t>Así, cuando se justifique el impedimento, los Sujetos Obligados deberán ofrecer al particular otras modalidades de entrega que permita la información,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rsidR="002430E6" w:rsidRPr="008A5208" w:rsidRDefault="002430E6" w:rsidP="008A5208">
      <w:pPr>
        <w:spacing w:before="240" w:after="240"/>
        <w:ind w:left="567" w:right="707"/>
        <w:jc w:val="both"/>
        <w:rPr>
          <w:rFonts w:ascii="Palatino Linotype" w:eastAsia="Palatino Linotype" w:hAnsi="Palatino Linotype" w:cs="Palatino Linotype"/>
          <w:i/>
          <w:color w:val="000000"/>
          <w:sz w:val="22"/>
        </w:rPr>
      </w:pPr>
      <w:r w:rsidRPr="008A5208">
        <w:rPr>
          <w:rFonts w:ascii="Palatino Linotype" w:eastAsia="Palatino Linotype" w:hAnsi="Palatino Linotype" w:cs="Palatino Linotype"/>
          <w:i/>
          <w:color w:val="000000"/>
          <w:sz w:val="22"/>
        </w:rPr>
        <w:t>“</w:t>
      </w:r>
      <w:r w:rsidRPr="008A5208">
        <w:rPr>
          <w:rFonts w:ascii="Palatino Linotype" w:eastAsia="Palatino Linotype" w:hAnsi="Palatino Linotype" w:cs="Palatino Linotype"/>
          <w:b/>
          <w:i/>
          <w:color w:val="000000"/>
          <w:sz w:val="22"/>
        </w:rPr>
        <w:t>Modalidad de entrega. Procedencia de proporcionar la información solicitada en una diversa a la elegida por el solicitante.</w:t>
      </w:r>
      <w:r w:rsidRPr="008A5208">
        <w:rPr>
          <w:rFonts w:ascii="Palatino Linotype" w:eastAsia="Palatino Linotype" w:hAnsi="Palatino Linotype" w:cs="Palatino Linotype"/>
          <w:i/>
          <w:color w:val="000000"/>
          <w:sz w:val="22"/>
        </w:rPr>
        <w:t xml:space="preserve"> De una interpretación a los artículos 133 de la Ley General de Transparencia y Acceso a la Información Pública y 136 de la Ley Federal de Transparencia y Acceso a la Información Pública, </w:t>
      </w:r>
      <w:r w:rsidRPr="008A5208">
        <w:rPr>
          <w:rFonts w:ascii="Palatino Linotype" w:eastAsia="Palatino Linotype" w:hAnsi="Palatino Linotype" w:cs="Palatino Linotype"/>
          <w:b/>
          <w:i/>
          <w:color w:val="000000"/>
          <w:sz w:val="22"/>
        </w:rPr>
        <w:t>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r w:rsidRPr="008A5208">
        <w:rPr>
          <w:rFonts w:ascii="Palatino Linotype" w:eastAsia="Palatino Linotype" w:hAnsi="Palatino Linotype" w:cs="Palatino Linotype"/>
          <w:i/>
          <w:color w:val="000000"/>
          <w:sz w:val="22"/>
        </w:rPr>
        <w:t>.”</w:t>
      </w:r>
    </w:p>
    <w:p w:rsidR="008A5208" w:rsidRDefault="008A5208" w:rsidP="008A5208">
      <w:pPr>
        <w:tabs>
          <w:tab w:val="left" w:pos="709"/>
        </w:tabs>
        <w:spacing w:after="160" w:line="360" w:lineRule="auto"/>
        <w:jc w:val="both"/>
        <w:rPr>
          <w:rFonts w:ascii="Palatino Linotype" w:eastAsia="Calibri" w:hAnsi="Palatino Linotype" w:cs="Tahoma"/>
          <w:iCs/>
          <w:lang w:val="es-MX" w:eastAsia="en-US"/>
        </w:rPr>
      </w:pPr>
      <w:r w:rsidRPr="008A5208">
        <w:rPr>
          <w:rFonts w:ascii="Palatino Linotype" w:eastAsia="Calibri" w:hAnsi="Palatino Linotype" w:cs="Tahoma"/>
          <w:iCs/>
          <w:lang w:val="es-MX" w:eastAsia="en-US"/>
        </w:rPr>
        <w:t xml:space="preserve">Por lo anterior, no resultaba justificable el cambio de modalidad en la entrega de la información en las instalaciones del </w:t>
      </w:r>
      <w:r w:rsidRPr="008A5208">
        <w:rPr>
          <w:rFonts w:ascii="Palatino Linotype" w:eastAsia="Calibri" w:hAnsi="Palatino Linotype" w:cs="Tahoma"/>
          <w:b/>
          <w:iCs/>
          <w:lang w:val="es-MX" w:eastAsia="en-US"/>
        </w:rPr>
        <w:t>Sujeto Obligado</w:t>
      </w:r>
      <w:r w:rsidRPr="008A5208">
        <w:rPr>
          <w:rFonts w:ascii="Palatino Linotype" w:eastAsia="Calibri" w:hAnsi="Palatino Linotype" w:cs="Tahoma"/>
          <w:iCs/>
          <w:lang w:val="es-MX" w:eastAsia="en-US"/>
        </w:rPr>
        <w:t xml:space="preserve"> pues como ha quedado precisado, la obligación de tenerla pública </w:t>
      </w:r>
      <w:r>
        <w:rPr>
          <w:rFonts w:ascii="Palatino Linotype" w:eastAsia="Calibri" w:hAnsi="Palatino Linotype" w:cs="Tahoma"/>
          <w:iCs/>
          <w:lang w:val="es-MX" w:eastAsia="en-US"/>
        </w:rPr>
        <w:t xml:space="preserve">deriva de que constituye una obligación de transparencia común, aunado a que no obra la debida fundamentación y motivación para justificar el cambio de modalidad de la entrega de información. </w:t>
      </w:r>
    </w:p>
    <w:p w:rsidR="008A5208" w:rsidRPr="008A5208" w:rsidRDefault="008A5208" w:rsidP="008A5208">
      <w:pPr>
        <w:tabs>
          <w:tab w:val="left" w:pos="709"/>
        </w:tabs>
        <w:spacing w:after="160" w:line="360" w:lineRule="auto"/>
        <w:jc w:val="both"/>
        <w:rPr>
          <w:rFonts w:ascii="Palatino Linotype" w:eastAsia="Calibri" w:hAnsi="Palatino Linotype" w:cs="Tahoma"/>
          <w:iCs/>
          <w:sz w:val="22"/>
          <w:szCs w:val="22"/>
          <w:lang w:eastAsia="en-US"/>
        </w:rPr>
      </w:pPr>
      <w:r w:rsidRPr="008A5208">
        <w:rPr>
          <w:rFonts w:ascii="Palatino Linotype" w:eastAsia="Calibri" w:hAnsi="Palatino Linotype" w:cs="Tahoma"/>
          <w:iCs/>
          <w:lang w:val="es-MX" w:eastAsia="en-US"/>
        </w:rPr>
        <w:t xml:space="preserve">En este sentido, consentir el cambio de modalidad por parte del pleno es de manera directa justificar la omisión del </w:t>
      </w:r>
      <w:r>
        <w:rPr>
          <w:rFonts w:ascii="Palatino Linotype" w:eastAsia="Calibri" w:hAnsi="Palatino Linotype" w:cs="Tahoma"/>
          <w:b/>
          <w:iCs/>
          <w:lang w:val="es-MX" w:eastAsia="en-US"/>
        </w:rPr>
        <w:t xml:space="preserve">Ayuntamiento de Malinalco </w:t>
      </w:r>
      <w:r w:rsidRPr="008A5208">
        <w:rPr>
          <w:rFonts w:ascii="Palatino Linotype" w:eastAsia="Calibri" w:hAnsi="Palatino Linotype" w:cs="Tahoma"/>
          <w:iCs/>
          <w:lang w:val="es-MX" w:eastAsia="en-US"/>
        </w:rPr>
        <w:t>en dar atención</w:t>
      </w:r>
      <w:r>
        <w:rPr>
          <w:rFonts w:ascii="Palatino Linotype" w:eastAsia="Calibri" w:hAnsi="Palatino Linotype" w:cs="Tahoma"/>
          <w:iCs/>
          <w:lang w:val="es-MX" w:eastAsia="en-US"/>
        </w:rPr>
        <w:t xml:space="preserve"> a la solicitud del </w:t>
      </w:r>
      <w:r w:rsidRPr="008A5208">
        <w:rPr>
          <w:rFonts w:ascii="Palatino Linotype" w:eastAsia="Calibri" w:hAnsi="Palatino Linotype" w:cs="Tahoma"/>
          <w:b/>
          <w:iCs/>
          <w:lang w:val="es-MX" w:eastAsia="en-US"/>
        </w:rPr>
        <w:t>Recurrente</w:t>
      </w:r>
      <w:r w:rsidRPr="008A5208">
        <w:rPr>
          <w:rFonts w:ascii="Palatino Linotype" w:eastAsia="Calibri" w:hAnsi="Palatino Linotype" w:cs="Tahoma"/>
          <w:iCs/>
          <w:sz w:val="22"/>
          <w:szCs w:val="22"/>
          <w:lang w:eastAsia="en-US"/>
        </w:rPr>
        <w:t xml:space="preserve">. </w:t>
      </w:r>
    </w:p>
    <w:p w:rsidR="00203915" w:rsidRDefault="0073210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color w:val="000000"/>
        </w:rPr>
        <w:t xml:space="preserve">Por todo lo anteriormente expuesto, este Órgano Garante considera que el derecho de acceso a la información solamente puede tenerse por satisfecho en el momento en que el particular tenga en su poder los soportes documentales con la información solicitada, por ello se determina ordenar al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la entrega al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de</w:t>
      </w:r>
      <w:r>
        <w:rPr>
          <w:rFonts w:ascii="Palatino Linotype" w:eastAsia="Palatino Linotype" w:hAnsi="Palatino Linotype" w:cs="Palatino Linotype"/>
        </w:rPr>
        <w:t xml:space="preserve"> </w:t>
      </w:r>
      <w:r w:rsidR="008A5208">
        <w:rPr>
          <w:rFonts w:ascii="Palatino Linotype" w:eastAsia="Palatino Linotype" w:hAnsi="Palatino Linotype" w:cs="Palatino Linotype"/>
        </w:rPr>
        <w:t>la información referida</w:t>
      </w:r>
      <w:r w:rsidR="000B6584">
        <w:rPr>
          <w:rFonts w:ascii="Palatino Linotype" w:eastAsia="Palatino Linotype" w:hAnsi="Palatino Linotype" w:cs="Palatino Linotype"/>
        </w:rPr>
        <w:t xml:space="preserve"> en inf</w:t>
      </w:r>
      <w:r w:rsidR="008A5208">
        <w:rPr>
          <w:rFonts w:ascii="Palatino Linotype" w:eastAsia="Palatino Linotype" w:hAnsi="Palatino Linotype" w:cs="Palatino Linotype"/>
        </w:rPr>
        <w:t>orme</w:t>
      </w:r>
      <w:r w:rsidR="000B6584">
        <w:rPr>
          <w:rFonts w:ascii="Palatino Linotype" w:eastAsia="Palatino Linotype" w:hAnsi="Palatino Linotype" w:cs="Palatino Linotype"/>
        </w:rPr>
        <w:t xml:space="preserve"> just</w:t>
      </w:r>
      <w:r w:rsidR="008A5208">
        <w:rPr>
          <w:rFonts w:ascii="Palatino Linotype" w:eastAsia="Palatino Linotype" w:hAnsi="Palatino Linotype" w:cs="Palatino Linotype"/>
        </w:rPr>
        <w:t>ificado, de</w:t>
      </w:r>
      <w:r w:rsidR="000B6584">
        <w:rPr>
          <w:rFonts w:ascii="Palatino Linotype" w:eastAsia="Palatino Linotype" w:hAnsi="Palatino Linotype" w:cs="Palatino Linotype"/>
        </w:rPr>
        <w:t xml:space="preserve"> </w:t>
      </w:r>
      <w:r>
        <w:rPr>
          <w:rFonts w:ascii="Palatino Linotype" w:eastAsia="Palatino Linotype" w:hAnsi="Palatino Linotype" w:cs="Palatino Linotype"/>
        </w:rPr>
        <w:t xml:space="preserve">ser procedente en </w:t>
      </w:r>
      <w:r>
        <w:rPr>
          <w:rFonts w:ascii="Palatino Linotype" w:eastAsia="Palatino Linotype" w:hAnsi="Palatino Linotype" w:cs="Palatino Linotype"/>
          <w:b/>
        </w:rPr>
        <w:t xml:space="preserve">versión pública, </w:t>
      </w:r>
      <w:r>
        <w:rPr>
          <w:rFonts w:ascii="Palatino Linotype" w:eastAsia="Palatino Linotype" w:hAnsi="Palatino Linotype" w:cs="Palatino Linotype"/>
        </w:rPr>
        <w:t>tal como se detallará en el considerando siguiente</w:t>
      </w:r>
      <w:r>
        <w:rPr>
          <w:rFonts w:ascii="Palatino Linotype" w:eastAsia="Palatino Linotype" w:hAnsi="Palatino Linotype" w:cs="Palatino Linotype"/>
          <w:b/>
        </w:rPr>
        <w:t>.</w:t>
      </w:r>
    </w:p>
    <w:p w:rsidR="00203915" w:rsidRDefault="0073210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Finalmente para la entrega de los soportes documentales que en todo caso deberá proporcionar el sujeto obligado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203915" w:rsidRDefault="00732101">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rsidR="00203915" w:rsidRDefault="007321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rsidR="00203915" w:rsidRDefault="007321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03915" w:rsidRDefault="007321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203915" w:rsidRDefault="007321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rsidR="00203915" w:rsidRDefault="007321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203915" w:rsidRDefault="007321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203915" w:rsidRDefault="007321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03915" w:rsidRDefault="007321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203915" w:rsidRDefault="007321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132. </w:t>
      </w:r>
      <w:r>
        <w:rPr>
          <w:rFonts w:ascii="Palatino Linotype" w:eastAsia="Palatino Linotype" w:hAnsi="Palatino Linotype" w:cs="Palatino Linotype"/>
          <w:i/>
          <w:sz w:val="22"/>
          <w:szCs w:val="22"/>
        </w:rPr>
        <w:t>La clasificación de la información se llevará a cabo en el momento en que:</w:t>
      </w:r>
    </w:p>
    <w:p w:rsidR="00203915" w:rsidRDefault="007321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rsidR="00203915" w:rsidRDefault="007321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determine mediante resolución de autoridad competente; o</w:t>
      </w:r>
    </w:p>
    <w:p w:rsidR="00203915" w:rsidRDefault="007321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rsidR="00203915" w:rsidRDefault="007321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03915" w:rsidRDefault="007321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203915" w:rsidRDefault="007321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rsidR="00203915" w:rsidRDefault="007321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203915" w:rsidRDefault="007321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203915" w:rsidRDefault="007321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203915" w:rsidRDefault="007321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203915" w:rsidRDefault="007321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203915" w:rsidRDefault="007321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203915" w:rsidRDefault="007321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203915" w:rsidRDefault="007321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203915" w:rsidRDefault="007321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203915" w:rsidRDefault="007321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203915" w:rsidRDefault="007321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203915" w:rsidRDefault="007321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203915" w:rsidRDefault="007321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203915" w:rsidRDefault="007321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203915" w:rsidRDefault="007321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119"/>
        <w:gridCol w:w="1129"/>
        <w:gridCol w:w="3446"/>
      </w:tblGrid>
      <w:tr w:rsidR="00203915" w:rsidTr="002039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il"/>
              <w:left w:val="nil"/>
              <w:right w:val="nil"/>
            </w:tcBorders>
          </w:tcPr>
          <w:p w:rsidR="00203915" w:rsidRDefault="00732101">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Parcial</w:t>
            </w:r>
          </w:p>
        </w:tc>
        <w:tc>
          <w:tcPr>
            <w:tcW w:w="4575" w:type="dxa"/>
            <w:gridSpan w:val="2"/>
            <w:tcBorders>
              <w:top w:val="nil"/>
              <w:left w:val="nil"/>
              <w:right w:val="nil"/>
            </w:tcBorders>
          </w:tcPr>
          <w:p w:rsidR="00203915" w:rsidRDefault="00732101">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Total</w:t>
            </w:r>
          </w:p>
        </w:tc>
      </w:tr>
      <w:tr w:rsidR="00203915" w:rsidTr="002039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203915" w:rsidRDefault="00732101">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Concepto</w:t>
            </w:r>
          </w:p>
        </w:tc>
        <w:tc>
          <w:tcPr>
            <w:tcW w:w="3119" w:type="dxa"/>
          </w:tcPr>
          <w:p w:rsidR="00203915" w:rsidRDefault="00732101">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1129" w:type="dxa"/>
          </w:tcPr>
          <w:p w:rsidR="00203915" w:rsidRDefault="00732101">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rsidR="00203915" w:rsidRDefault="00732101">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203915" w:rsidTr="00203915">
        <w:tc>
          <w:tcPr>
            <w:cnfStyle w:val="001000000000" w:firstRow="0" w:lastRow="0" w:firstColumn="1" w:lastColumn="0" w:oddVBand="0" w:evenVBand="0" w:oddHBand="0" w:evenHBand="0" w:firstRowFirstColumn="0" w:firstRowLastColumn="0" w:lastRowFirstColumn="0" w:lastRowLastColumn="0"/>
            <w:tcW w:w="8828" w:type="dxa"/>
            <w:gridSpan w:val="4"/>
          </w:tcPr>
          <w:p w:rsidR="00203915" w:rsidRDefault="00732101">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Sello oficial o logotipo del sujeto obligado</w:t>
            </w:r>
          </w:p>
        </w:tc>
      </w:tr>
      <w:tr w:rsidR="00203915" w:rsidTr="002039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203915" w:rsidRDefault="00732101">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Fecha de clasificación</w:t>
            </w:r>
          </w:p>
        </w:tc>
        <w:tc>
          <w:tcPr>
            <w:tcW w:w="3119" w:type="dxa"/>
          </w:tcPr>
          <w:p w:rsidR="00203915" w:rsidRDefault="0073210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rsidR="00203915" w:rsidRDefault="0073210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rsidR="00203915" w:rsidRDefault="0073210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203915" w:rsidTr="00203915">
        <w:tc>
          <w:tcPr>
            <w:cnfStyle w:val="001000000000" w:firstRow="0" w:lastRow="0" w:firstColumn="1" w:lastColumn="0" w:oddVBand="0" w:evenVBand="0" w:oddHBand="0" w:evenHBand="0" w:firstRowFirstColumn="0" w:firstRowLastColumn="0" w:lastRowFirstColumn="0" w:lastRowLastColumn="0"/>
            <w:tcW w:w="1134" w:type="dxa"/>
          </w:tcPr>
          <w:p w:rsidR="00203915" w:rsidRDefault="00732101">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Área</w:t>
            </w:r>
          </w:p>
        </w:tc>
        <w:tc>
          <w:tcPr>
            <w:tcW w:w="3119" w:type="dxa"/>
          </w:tcPr>
          <w:p w:rsidR="00203915" w:rsidRDefault="0073210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1129" w:type="dxa"/>
          </w:tcPr>
          <w:p w:rsidR="00203915" w:rsidRDefault="0073210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rsidR="00203915" w:rsidRDefault="0073210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203915" w:rsidTr="002039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203915" w:rsidRDefault="00732101">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Información reservada</w:t>
            </w:r>
          </w:p>
        </w:tc>
        <w:tc>
          <w:tcPr>
            <w:tcW w:w="3119" w:type="dxa"/>
          </w:tcPr>
          <w:p w:rsidR="00203915" w:rsidRDefault="0073210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rsidR="00203915" w:rsidRDefault="0073210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rsidR="00203915" w:rsidRDefault="0073210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203915" w:rsidTr="00203915">
        <w:tc>
          <w:tcPr>
            <w:cnfStyle w:val="001000000000" w:firstRow="0" w:lastRow="0" w:firstColumn="1" w:lastColumn="0" w:oddVBand="0" w:evenVBand="0" w:oddHBand="0" w:evenHBand="0" w:firstRowFirstColumn="0" w:firstRowLastColumn="0" w:lastRowFirstColumn="0" w:lastRowLastColumn="0"/>
            <w:tcW w:w="1134" w:type="dxa"/>
          </w:tcPr>
          <w:p w:rsidR="00203915" w:rsidRDefault="00732101">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Fundamento legal</w:t>
            </w:r>
          </w:p>
        </w:tc>
        <w:tc>
          <w:tcPr>
            <w:tcW w:w="3119" w:type="dxa"/>
          </w:tcPr>
          <w:p w:rsidR="00203915" w:rsidRDefault="0073210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rsidR="00203915" w:rsidRDefault="0073210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rsidR="00203915" w:rsidRDefault="0073210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203915" w:rsidTr="002039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203915" w:rsidRDefault="00732101">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Ampliación del periodo de reserva</w:t>
            </w:r>
          </w:p>
        </w:tc>
        <w:tc>
          <w:tcPr>
            <w:tcW w:w="3119" w:type="dxa"/>
          </w:tcPr>
          <w:p w:rsidR="00203915" w:rsidRDefault="0073210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rsidR="00203915" w:rsidRDefault="0073210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203915" w:rsidRDefault="0073210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203915" w:rsidTr="00203915">
        <w:tc>
          <w:tcPr>
            <w:cnfStyle w:val="001000000000" w:firstRow="0" w:lastRow="0" w:firstColumn="1" w:lastColumn="0" w:oddVBand="0" w:evenVBand="0" w:oddHBand="0" w:evenHBand="0" w:firstRowFirstColumn="0" w:firstRowLastColumn="0" w:lastRowFirstColumn="0" w:lastRowLastColumn="0"/>
            <w:tcW w:w="1134" w:type="dxa"/>
          </w:tcPr>
          <w:p w:rsidR="00203915" w:rsidRDefault="00732101">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Confidencial</w:t>
            </w:r>
          </w:p>
        </w:tc>
        <w:tc>
          <w:tcPr>
            <w:tcW w:w="3119" w:type="dxa"/>
          </w:tcPr>
          <w:p w:rsidR="00203915" w:rsidRDefault="0073210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rsidR="00203915" w:rsidRDefault="0073210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rsidR="00203915" w:rsidRDefault="0073210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203915" w:rsidTr="002039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203915" w:rsidRDefault="00732101">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Fundamento legal</w:t>
            </w:r>
          </w:p>
        </w:tc>
        <w:tc>
          <w:tcPr>
            <w:tcW w:w="3119" w:type="dxa"/>
          </w:tcPr>
          <w:p w:rsidR="00203915" w:rsidRDefault="0073210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rsidR="00203915" w:rsidRDefault="0073210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rsidR="00203915" w:rsidRDefault="0073210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203915" w:rsidTr="00203915">
        <w:tc>
          <w:tcPr>
            <w:cnfStyle w:val="001000000000" w:firstRow="0" w:lastRow="0" w:firstColumn="1" w:lastColumn="0" w:oddVBand="0" w:evenVBand="0" w:oddHBand="0" w:evenHBand="0" w:firstRowFirstColumn="0" w:firstRowLastColumn="0" w:lastRowFirstColumn="0" w:lastRowLastColumn="0"/>
            <w:tcW w:w="1134" w:type="dxa"/>
          </w:tcPr>
          <w:p w:rsidR="00203915" w:rsidRDefault="00732101">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Rúbrica del titular del área</w:t>
            </w:r>
          </w:p>
        </w:tc>
        <w:tc>
          <w:tcPr>
            <w:tcW w:w="3119" w:type="dxa"/>
          </w:tcPr>
          <w:p w:rsidR="00203915" w:rsidRDefault="0073210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1129" w:type="dxa"/>
          </w:tcPr>
          <w:p w:rsidR="00203915" w:rsidRDefault="0073210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203915" w:rsidRDefault="0073210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203915" w:rsidTr="002039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203915" w:rsidRDefault="00732101">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Fecha de desclasificación</w:t>
            </w:r>
          </w:p>
        </w:tc>
        <w:tc>
          <w:tcPr>
            <w:tcW w:w="3119" w:type="dxa"/>
          </w:tcPr>
          <w:p w:rsidR="00203915" w:rsidRDefault="0073210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1129" w:type="dxa"/>
          </w:tcPr>
          <w:p w:rsidR="00203915" w:rsidRDefault="0073210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rsidR="00203915" w:rsidRDefault="0073210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203915" w:rsidTr="00203915">
        <w:tc>
          <w:tcPr>
            <w:cnfStyle w:val="001000000000" w:firstRow="0" w:lastRow="0" w:firstColumn="1" w:lastColumn="0" w:oddVBand="0" w:evenVBand="0" w:oddHBand="0" w:evenHBand="0" w:firstRowFirstColumn="0" w:firstRowLastColumn="0" w:lastRowFirstColumn="0" w:lastRowLastColumn="0"/>
            <w:tcW w:w="1134" w:type="dxa"/>
          </w:tcPr>
          <w:p w:rsidR="00203915" w:rsidRDefault="00732101">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Rúbrica y cargo del servidor público</w:t>
            </w:r>
          </w:p>
        </w:tc>
        <w:tc>
          <w:tcPr>
            <w:tcW w:w="3119" w:type="dxa"/>
          </w:tcPr>
          <w:p w:rsidR="00203915" w:rsidRDefault="0073210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1129" w:type="dxa"/>
          </w:tcPr>
          <w:p w:rsidR="00203915" w:rsidRDefault="0073210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rsidR="00203915" w:rsidRDefault="0073210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203915" w:rsidTr="002039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203915" w:rsidRDefault="00203915">
            <w:pPr>
              <w:jc w:val="both"/>
              <w:rPr>
                <w:rFonts w:ascii="Palatino Linotype" w:eastAsia="Palatino Linotype" w:hAnsi="Palatino Linotype" w:cs="Palatino Linotype"/>
                <w:sz w:val="12"/>
                <w:szCs w:val="12"/>
              </w:rPr>
            </w:pPr>
          </w:p>
        </w:tc>
        <w:tc>
          <w:tcPr>
            <w:tcW w:w="3119" w:type="dxa"/>
          </w:tcPr>
          <w:p w:rsidR="00203915" w:rsidRDefault="0020391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1129" w:type="dxa"/>
          </w:tcPr>
          <w:p w:rsidR="00203915" w:rsidRDefault="0073210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rsidR="00203915" w:rsidRDefault="0073210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203915" w:rsidTr="00203915">
        <w:tc>
          <w:tcPr>
            <w:cnfStyle w:val="001000000000" w:firstRow="0" w:lastRow="0" w:firstColumn="1" w:lastColumn="0" w:oddVBand="0" w:evenVBand="0" w:oddHBand="0" w:evenHBand="0" w:firstRowFirstColumn="0" w:firstRowLastColumn="0" w:lastRowFirstColumn="0" w:lastRowLastColumn="0"/>
            <w:tcW w:w="1134" w:type="dxa"/>
          </w:tcPr>
          <w:p w:rsidR="00203915" w:rsidRDefault="00203915">
            <w:pPr>
              <w:jc w:val="both"/>
              <w:rPr>
                <w:rFonts w:ascii="Palatino Linotype" w:eastAsia="Palatino Linotype" w:hAnsi="Palatino Linotype" w:cs="Palatino Linotype"/>
                <w:sz w:val="12"/>
                <w:szCs w:val="12"/>
              </w:rPr>
            </w:pPr>
          </w:p>
        </w:tc>
        <w:tc>
          <w:tcPr>
            <w:tcW w:w="3119" w:type="dxa"/>
          </w:tcPr>
          <w:p w:rsidR="00203915" w:rsidRDefault="00203915">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1129" w:type="dxa"/>
          </w:tcPr>
          <w:p w:rsidR="00203915" w:rsidRDefault="0073210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rsidR="00203915" w:rsidRDefault="0073210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rsidR="00203915" w:rsidRDefault="00732101">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rsidR="00203915" w:rsidRDefault="00732101">
      <w:pPr>
        <w:numPr>
          <w:ilvl w:val="0"/>
          <w:numId w:val="6"/>
        </w:numPr>
        <w:pBdr>
          <w:top w:val="nil"/>
          <w:left w:val="nil"/>
          <w:bottom w:val="nil"/>
          <w:right w:val="nil"/>
          <w:between w:val="nil"/>
        </w:pBdr>
        <w:spacing w:before="240" w:after="240" w:line="360" w:lineRule="auto"/>
        <w:ind w:left="284" w:hanging="568"/>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203915" w:rsidRDefault="0073210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fundados</w:t>
      </w:r>
      <w:r>
        <w:rPr>
          <w:rFonts w:ascii="Palatino Linotype" w:eastAsia="Palatino Linotype" w:hAnsi="Palatino Linotype" w:cs="Palatino Linotype"/>
        </w:rPr>
        <w:t xml:space="preserve"> los motivos de inconformidad hechos valer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 xml:space="preserve">06264/INFOEM/IP/RR/2021, </w:t>
      </w:r>
      <w:r>
        <w:rPr>
          <w:rFonts w:ascii="Palatino Linotype" w:eastAsia="Palatino Linotype" w:hAnsi="Palatino Linotype" w:cs="Palatino Linotype"/>
        </w:rPr>
        <w:t>por lo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del Considerando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la presente resolución, se </w:t>
      </w:r>
      <w:r>
        <w:rPr>
          <w:rFonts w:ascii="Palatino Linotype" w:eastAsia="Palatino Linotype" w:hAnsi="Palatino Linotype" w:cs="Palatino Linotype"/>
          <w:b/>
        </w:rPr>
        <w:t>MODIFICA</w:t>
      </w:r>
      <w:r>
        <w:rPr>
          <w:rFonts w:ascii="Palatino Linotype" w:eastAsia="Palatino Linotype" w:hAnsi="Palatino Linotype" w:cs="Palatino Linotype"/>
        </w:rPr>
        <w:t xml:space="preserve"> la respuesta emitida por el </w:t>
      </w:r>
      <w:r>
        <w:rPr>
          <w:rFonts w:ascii="Palatino Linotype" w:eastAsia="Palatino Linotype" w:hAnsi="Palatino Linotype" w:cs="Palatino Linotype"/>
          <w:b/>
        </w:rPr>
        <w:t>Sujeto Obligado.</w:t>
      </w:r>
    </w:p>
    <w:p w:rsidR="00203915" w:rsidRDefault="00732101">
      <w:pPr>
        <w:spacing w:before="240" w:after="240" w:line="360" w:lineRule="auto"/>
        <w:jc w:val="both"/>
        <w:rPr>
          <w:rFonts w:ascii="Palatino Linotype" w:eastAsia="Palatino Linotype" w:hAnsi="Palatino Linotype" w:cs="Palatino Linotype"/>
        </w:rPr>
      </w:pPr>
      <w:bookmarkStart w:id="5" w:name="_heading=h.2et92p0" w:colFirst="0" w:colLast="0"/>
      <w:bookmarkEnd w:id="5"/>
      <w:r>
        <w:rPr>
          <w:rFonts w:ascii="Palatino Linotype" w:eastAsia="Palatino Linotype" w:hAnsi="Palatino Linotype" w:cs="Palatino Linotype"/>
          <w:b/>
        </w:rPr>
        <w:t>Segundo.</w:t>
      </w:r>
      <w:r>
        <w:rPr>
          <w:rFonts w:ascii="Palatino Linotype" w:eastAsia="Palatino Linotype" w:hAnsi="Palatino Linotype" w:cs="Palatino Linotype"/>
        </w:rPr>
        <w:t xml:space="preserve"> 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al Sujeto Obligado, que haga entrega 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w:t>
      </w:r>
      <w:r>
        <w:rPr>
          <w:rFonts w:ascii="Palatino Linotype" w:eastAsia="Palatino Linotype" w:hAnsi="Palatino Linotype" w:cs="Palatino Linotype"/>
          <w:b/>
        </w:rPr>
        <w:t>versión pública</w:t>
      </w:r>
      <w:r>
        <w:rPr>
          <w:rFonts w:ascii="Palatino Linotype" w:eastAsia="Palatino Linotype" w:hAnsi="Palatino Linotype" w:cs="Palatino Linotype"/>
        </w:rPr>
        <w:t xml:space="preserve">, en términos de los Considerandos </w:t>
      </w:r>
      <w:r>
        <w:rPr>
          <w:rFonts w:ascii="Palatino Linotype" w:eastAsia="Palatino Linotype" w:hAnsi="Palatino Linotype" w:cs="Palatino Linotype"/>
          <w:b/>
        </w:rPr>
        <w:t>Cuarto y Quinto</w:t>
      </w:r>
      <w:r>
        <w:rPr>
          <w:rFonts w:ascii="Palatino Linotype" w:eastAsia="Palatino Linotype" w:hAnsi="Palatino Linotype" w:cs="Palatino Linotype"/>
        </w:rPr>
        <w:t xml:space="preserve"> de esta resolución, lo siguiente: </w:t>
      </w:r>
    </w:p>
    <w:p w:rsidR="00A27C0D" w:rsidRDefault="000B6584" w:rsidP="008A5208">
      <w:pPr>
        <w:pStyle w:val="Prrafodelista"/>
        <w:numPr>
          <w:ilvl w:val="0"/>
          <w:numId w:val="9"/>
        </w:numPr>
        <w:pBdr>
          <w:top w:val="nil"/>
          <w:left w:val="nil"/>
          <w:bottom w:val="nil"/>
          <w:right w:val="nil"/>
          <w:between w:val="nil"/>
        </w:pBdr>
        <w:spacing w:before="120"/>
        <w:ind w:left="567" w:right="707" w:hanging="141"/>
        <w:jc w:val="both"/>
        <w:rPr>
          <w:rFonts w:ascii="Palatino Linotype" w:eastAsia="Palatino Linotype" w:hAnsi="Palatino Linotype" w:cs="Palatino Linotype"/>
          <w:i/>
          <w:color w:val="000000"/>
        </w:rPr>
      </w:pPr>
      <w:r w:rsidRPr="008A5208">
        <w:rPr>
          <w:rFonts w:ascii="Palatino Linotype" w:eastAsia="Palatino Linotype" w:hAnsi="Palatino Linotype" w:cs="Palatino Linotype"/>
          <w:i/>
          <w:color w:val="000000"/>
        </w:rPr>
        <w:t xml:space="preserve">El contrato </w:t>
      </w:r>
      <w:r w:rsidR="008A5208" w:rsidRPr="008A5208">
        <w:rPr>
          <w:rFonts w:ascii="Palatino Linotype" w:eastAsia="Palatino Linotype" w:hAnsi="Palatino Linotype" w:cs="Palatino Linotype"/>
          <w:i/>
          <w:color w:val="000000"/>
        </w:rPr>
        <w:t>celebrado con el pr</w:t>
      </w:r>
      <w:r w:rsidR="00080B22">
        <w:rPr>
          <w:rFonts w:ascii="Palatino Linotype" w:eastAsia="Palatino Linotype" w:hAnsi="Palatino Linotype" w:cs="Palatino Linotype"/>
          <w:i/>
          <w:color w:val="000000"/>
        </w:rPr>
        <w:t>oveedor GEODESICION S.A de C.V</w:t>
      </w:r>
      <w:r w:rsidR="008A5208">
        <w:rPr>
          <w:rFonts w:ascii="Palatino Linotype" w:eastAsia="Palatino Linotype" w:hAnsi="Palatino Linotype" w:cs="Palatino Linotype"/>
          <w:i/>
          <w:color w:val="000000"/>
        </w:rPr>
        <w:t xml:space="preserve">, </w:t>
      </w:r>
      <w:r w:rsidRPr="008A5208">
        <w:rPr>
          <w:rFonts w:ascii="Palatino Linotype" w:eastAsia="Palatino Linotype" w:hAnsi="Palatino Linotype" w:cs="Palatino Linotype"/>
          <w:i/>
          <w:color w:val="000000"/>
        </w:rPr>
        <w:t>referido en informe justificado.</w:t>
      </w:r>
    </w:p>
    <w:p w:rsidR="008A5208" w:rsidRPr="008A5208" w:rsidRDefault="008A5208" w:rsidP="008A5208">
      <w:pPr>
        <w:pStyle w:val="Prrafodelista"/>
        <w:pBdr>
          <w:top w:val="nil"/>
          <w:left w:val="nil"/>
          <w:bottom w:val="nil"/>
          <w:right w:val="nil"/>
          <w:between w:val="nil"/>
        </w:pBdr>
        <w:spacing w:before="120"/>
        <w:ind w:left="567" w:right="707"/>
        <w:jc w:val="both"/>
        <w:rPr>
          <w:rFonts w:ascii="Palatino Linotype" w:eastAsia="Palatino Linotype" w:hAnsi="Palatino Linotype" w:cs="Palatino Linotype"/>
          <w:i/>
          <w:color w:val="000000"/>
        </w:rPr>
      </w:pPr>
    </w:p>
    <w:p w:rsidR="00203915" w:rsidRDefault="00732101" w:rsidP="008A5208">
      <w:pPr>
        <w:pBdr>
          <w:top w:val="nil"/>
          <w:left w:val="nil"/>
          <w:bottom w:val="nil"/>
          <w:right w:val="nil"/>
          <w:between w:val="nil"/>
        </w:pBdr>
        <w:spacing w:after="120"/>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mismo que también hará de conocimiento </w:t>
      </w:r>
      <w:r>
        <w:rPr>
          <w:rFonts w:ascii="Palatino Linotype" w:eastAsia="Palatino Linotype" w:hAnsi="Palatino Linotype" w:cs="Palatino Linotype"/>
          <w:b/>
          <w:i/>
          <w:color w:val="000000"/>
        </w:rPr>
        <w:t>del particular</w:t>
      </w:r>
      <w:r>
        <w:rPr>
          <w:rFonts w:ascii="Palatino Linotype" w:eastAsia="Palatino Linotype" w:hAnsi="Palatino Linotype" w:cs="Palatino Linotype"/>
          <w:i/>
          <w:color w:val="000000"/>
        </w:rPr>
        <w:t>.</w:t>
      </w:r>
    </w:p>
    <w:p w:rsidR="00203915" w:rsidRDefault="007321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 xml:space="preserve">vía Sistema de Acceso a la Información Mexiquense (SAIMEX), </w:t>
      </w:r>
      <w:r>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203915" w:rsidRDefault="007321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203915" w:rsidRDefault="007321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rPr>
        <w:t>al recurrente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presente resolución, </w:t>
      </w:r>
      <w:r>
        <w:rPr>
          <w:rFonts w:ascii="Palatino Linotype" w:eastAsia="Palatino Linotype" w:hAnsi="Palatino Linotype" w:cs="Palatino Linotype"/>
          <w:b/>
        </w:rPr>
        <w:t xml:space="preserve">vía Sistema de Acceso a la Información Mexiquense (SAIMEX), </w:t>
      </w:r>
      <w:r>
        <w:rPr>
          <w:rFonts w:ascii="Palatino Linotype" w:eastAsia="Palatino Linotype" w:hAnsi="Palatino Linotype" w:cs="Palatino Linotype"/>
        </w:rPr>
        <w:t xml:space="preserve">así como que podrá impugnarla vía </w:t>
      </w:r>
      <w:r>
        <w:rPr>
          <w:rFonts w:ascii="Palatino Linotype" w:eastAsia="Palatino Linotype" w:hAnsi="Palatino Linotype" w:cs="Palatino Linotype"/>
          <w:b/>
        </w:rPr>
        <w:t>Juicio de Amparo</w:t>
      </w:r>
      <w:r>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 </w:t>
      </w:r>
    </w:p>
    <w:p w:rsidR="00203915" w:rsidRDefault="00732101">
      <w:pPr>
        <w:spacing w:before="240" w:after="240" w:line="360" w:lineRule="auto"/>
        <w:jc w:val="both"/>
        <w:rPr>
          <w:rFonts w:ascii="Palatino Linotype" w:eastAsia="Palatino Linotype" w:hAnsi="Palatino Linotype" w:cs="Palatino Linotype"/>
          <w:color w:val="000000"/>
          <w:sz w:val="22"/>
          <w:szCs w:val="22"/>
        </w:rPr>
      </w:pPr>
      <w:bookmarkStart w:id="6" w:name="_heading=h.tyjcwt" w:colFirst="0" w:colLast="0"/>
      <w:bookmarkEnd w:id="6"/>
      <w:r>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(AUNSENCIA JUSTIFICADA), LUIS GUSTAVO PARRA NORIEGA Y GUADALUPE RAMÍREZ PEÑA; EN LA SEXTA SESIÓN ORDINARIA CELEBRADA EL DIECISEIS</w:t>
      </w:r>
      <w:r>
        <w:rPr>
          <w:rFonts w:ascii="Palatino Linotype" w:eastAsia="Palatino Linotype" w:hAnsi="Palatino Linotype" w:cs="Palatino Linotype"/>
        </w:rPr>
        <w:t xml:space="preserve"> DE FEBRERO DE DOS MIL VEINTIDÓS, ANTE EL SECRETARIO TÉCNICO DEL PLENO ALEXIS TAPIA RAMÍREZ.</w:t>
      </w:r>
    </w:p>
    <w:p w:rsidR="00203915" w:rsidRDefault="00203915">
      <w:pPr>
        <w:spacing w:before="240" w:after="240" w:line="360" w:lineRule="auto"/>
        <w:jc w:val="both"/>
        <w:rPr>
          <w:rFonts w:ascii="Palatino Linotype" w:eastAsia="Palatino Linotype" w:hAnsi="Palatino Linotype" w:cs="Palatino Linotype"/>
        </w:rPr>
      </w:pPr>
    </w:p>
    <w:p w:rsidR="00203915" w:rsidRDefault="00732101">
      <w:pPr>
        <w:spacing w:before="240" w:after="240" w:line="360" w:lineRule="auto"/>
        <w:jc w:val="both"/>
        <w:rPr>
          <w:rFonts w:ascii="Palatino Linotype" w:eastAsia="Palatino Linotype" w:hAnsi="Palatino Linotype" w:cs="Palatino Linotype"/>
        </w:rPr>
        <w:sectPr w:rsidR="00203915">
          <w:headerReference w:type="default" r:id="rId20"/>
          <w:footerReference w:type="default" r:id="rId21"/>
          <w:headerReference w:type="first" r:id="rId22"/>
          <w:footerReference w:type="first" r:id="rId23"/>
          <w:pgSz w:w="12240" w:h="15840"/>
          <w:pgMar w:top="1077" w:right="1894" w:bottom="1701" w:left="1701" w:header="709" w:footer="709" w:gutter="0"/>
          <w:pgNumType w:start="1"/>
          <w:cols w:space="720"/>
          <w:titlePg/>
        </w:sectPr>
      </w:pPr>
      <w:r>
        <w:rPr>
          <w:rFonts w:ascii="Palatino Linotype" w:eastAsia="Palatino Linotype" w:hAnsi="Palatino Linotype" w:cs="Palatino Linotype"/>
        </w:rPr>
        <w:t xml:space="preserve"> </w:t>
      </w:r>
    </w:p>
    <w:p w:rsidR="00203915" w:rsidRDefault="00203915">
      <w:pPr>
        <w:spacing w:before="240" w:after="240" w:line="360" w:lineRule="auto"/>
        <w:jc w:val="both"/>
        <w:rPr>
          <w:rFonts w:ascii="Palatino Linotype" w:eastAsia="Palatino Linotype" w:hAnsi="Palatino Linotype" w:cs="Palatino Linotype"/>
        </w:rPr>
      </w:pPr>
    </w:p>
    <w:sectPr w:rsidR="00203915">
      <w:headerReference w:type="first" r:id="rId24"/>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0F9" w:rsidRDefault="003B30F9">
      <w:r>
        <w:separator/>
      </w:r>
    </w:p>
  </w:endnote>
  <w:endnote w:type="continuationSeparator" w:id="0">
    <w:p w:rsidR="003B30F9" w:rsidRDefault="003B3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Palatino">
    <w:altName w:val="Palatino"/>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9C5" w:rsidRDefault="006759C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9622A">
      <w:rPr>
        <w:rFonts w:ascii="Palatino Linotype" w:eastAsia="Palatino Linotype" w:hAnsi="Palatino Linotype" w:cs="Palatino Linotype"/>
        <w:b/>
        <w:noProof/>
        <w:color w:val="000000"/>
        <w:sz w:val="20"/>
        <w:szCs w:val="20"/>
      </w:rPr>
      <w:t>50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9622A">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rsidR="006759C5" w:rsidRDefault="006759C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9C5" w:rsidRDefault="006759C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9622A">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9622A">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rsidR="006759C5" w:rsidRDefault="006759C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0F9" w:rsidRDefault="003B30F9">
      <w:r>
        <w:separator/>
      </w:r>
    </w:p>
  </w:footnote>
  <w:footnote w:type="continuationSeparator" w:id="0">
    <w:p w:rsidR="003B30F9" w:rsidRDefault="003B30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9C5" w:rsidRDefault="006759C5">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-1121409</wp:posOffset>
          </wp:positionH>
          <wp:positionV relativeFrom="paragraph">
            <wp:posOffset>-415289</wp:posOffset>
          </wp:positionV>
          <wp:extent cx="7809865" cy="10165715"/>
          <wp:effectExtent l="0" t="0" r="0" b="0"/>
          <wp:wrapNone/>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6759C5">
      <w:tc>
        <w:tcPr>
          <w:tcW w:w="2489" w:type="dxa"/>
          <w:shd w:val="clear" w:color="auto" w:fill="auto"/>
        </w:tcPr>
        <w:p w:rsidR="006759C5" w:rsidRDefault="006759C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6759C5" w:rsidRDefault="006759C5">
          <w:pPr>
            <w:ind w:left="-46" w:right="38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06264/INFOEM/IP/RR/2021 </w:t>
          </w:r>
        </w:p>
      </w:tc>
    </w:tr>
    <w:tr w:rsidR="006759C5">
      <w:trPr>
        <w:trHeight w:val="228"/>
      </w:trPr>
      <w:tc>
        <w:tcPr>
          <w:tcW w:w="2489" w:type="dxa"/>
          <w:shd w:val="clear" w:color="auto" w:fill="auto"/>
          <w:vAlign w:val="center"/>
        </w:tcPr>
        <w:p w:rsidR="006759C5" w:rsidRDefault="006759C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6759C5" w:rsidRDefault="006759C5">
          <w:pPr>
            <w:ind w:left="-45" w:right="130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Malinalco</w:t>
          </w:r>
        </w:p>
      </w:tc>
    </w:tr>
    <w:tr w:rsidR="006759C5">
      <w:tc>
        <w:tcPr>
          <w:tcW w:w="2489" w:type="dxa"/>
          <w:shd w:val="clear" w:color="auto" w:fill="auto"/>
          <w:vAlign w:val="center"/>
        </w:tcPr>
        <w:p w:rsidR="006759C5" w:rsidRDefault="006759C5">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6759C5" w:rsidRDefault="006759C5">
          <w:pPr>
            <w:ind w:left="-46" w:right="38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6759C5" w:rsidRDefault="006759C5">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9C5" w:rsidRDefault="006759C5">
    <w:pPr>
      <w:widowControl w:val="0"/>
      <w:pBdr>
        <w:top w:val="nil"/>
        <w:left w:val="nil"/>
        <w:bottom w:val="nil"/>
        <w:right w:val="nil"/>
        <w:between w:val="nil"/>
      </w:pBdr>
      <w:spacing w:line="276" w:lineRule="auto"/>
      <w:rPr>
        <w:rFonts w:ascii="Palatino Linotype" w:eastAsia="Palatino Linotype" w:hAnsi="Palatino Linotype" w:cs="Palatino Linotype"/>
      </w:rPr>
    </w:pPr>
  </w:p>
  <w:tbl>
    <w:tblPr>
      <w:tblStyle w:val="a0"/>
      <w:tblW w:w="5670" w:type="dxa"/>
      <w:tblInd w:w="3261" w:type="dxa"/>
      <w:tblLayout w:type="fixed"/>
      <w:tblLook w:val="0400" w:firstRow="0" w:lastRow="0" w:firstColumn="0" w:lastColumn="0" w:noHBand="0" w:noVBand="1"/>
    </w:tblPr>
    <w:tblGrid>
      <w:gridCol w:w="2551"/>
      <w:gridCol w:w="3119"/>
    </w:tblGrid>
    <w:tr w:rsidR="006759C5">
      <w:tc>
        <w:tcPr>
          <w:tcW w:w="2551" w:type="dxa"/>
          <w:shd w:val="clear" w:color="auto" w:fill="auto"/>
          <w:vAlign w:val="center"/>
        </w:tcPr>
        <w:p w:rsidR="006759C5" w:rsidRDefault="006759C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6759C5" w:rsidRDefault="006759C5">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06264/INFOEM/IP/RR/2021 </w:t>
          </w:r>
        </w:p>
      </w:tc>
    </w:tr>
    <w:tr w:rsidR="006759C5">
      <w:trPr>
        <w:trHeight w:val="130"/>
      </w:trPr>
      <w:tc>
        <w:tcPr>
          <w:tcW w:w="2551" w:type="dxa"/>
          <w:shd w:val="clear" w:color="auto" w:fill="auto"/>
          <w:vAlign w:val="center"/>
        </w:tcPr>
        <w:p w:rsidR="006759C5" w:rsidRDefault="006759C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6759C5" w:rsidRDefault="0009622A">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xxxxxx</w:t>
          </w:r>
        </w:p>
      </w:tc>
    </w:tr>
    <w:tr w:rsidR="006759C5">
      <w:trPr>
        <w:trHeight w:val="228"/>
      </w:trPr>
      <w:tc>
        <w:tcPr>
          <w:tcW w:w="2551" w:type="dxa"/>
          <w:shd w:val="clear" w:color="auto" w:fill="auto"/>
          <w:vAlign w:val="center"/>
        </w:tcPr>
        <w:p w:rsidR="006759C5" w:rsidRDefault="006759C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6759C5" w:rsidRDefault="006759C5">
          <w:pPr>
            <w:ind w:left="-45" w:right="116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Malinalco</w:t>
          </w:r>
        </w:p>
      </w:tc>
    </w:tr>
    <w:tr w:rsidR="006759C5">
      <w:tc>
        <w:tcPr>
          <w:tcW w:w="2551" w:type="dxa"/>
          <w:shd w:val="clear" w:color="auto" w:fill="auto"/>
          <w:vAlign w:val="center"/>
        </w:tcPr>
        <w:p w:rsidR="006759C5" w:rsidRDefault="006759C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6759C5" w:rsidRDefault="006759C5">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6759C5" w:rsidRDefault="006759C5">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-1080134</wp:posOffset>
          </wp:positionH>
          <wp:positionV relativeFrom="paragraph">
            <wp:posOffset>-1322704</wp:posOffset>
          </wp:positionV>
          <wp:extent cx="7809876" cy="10165823"/>
          <wp:effectExtent l="0" t="0" r="0" b="0"/>
          <wp:wrapNone/>
          <wp:docPr id="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9C5" w:rsidRDefault="006759C5">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609F9"/>
    <w:multiLevelType w:val="multilevel"/>
    <w:tmpl w:val="86DAC1FA"/>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140B1202"/>
    <w:multiLevelType w:val="multilevel"/>
    <w:tmpl w:val="38906D10"/>
    <w:lvl w:ilvl="0">
      <w:start w:val="1"/>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4BC2930"/>
    <w:multiLevelType w:val="hybridMultilevel"/>
    <w:tmpl w:val="892E3F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1980200"/>
    <w:multiLevelType w:val="multilevel"/>
    <w:tmpl w:val="AFA4A2C8"/>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AFA6D0B"/>
    <w:multiLevelType w:val="hybridMultilevel"/>
    <w:tmpl w:val="3B14D544"/>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5">
    <w:nsid w:val="31A5543F"/>
    <w:multiLevelType w:val="multilevel"/>
    <w:tmpl w:val="5ACCD8C4"/>
    <w:lvl w:ilvl="0">
      <w:start w:val="1"/>
      <w:numFmt w:val="lowerLetter"/>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2911397"/>
    <w:multiLevelType w:val="multilevel"/>
    <w:tmpl w:val="8904E45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
    <w:nsid w:val="65A81B30"/>
    <w:multiLevelType w:val="multilevel"/>
    <w:tmpl w:val="84C87E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7A7E04FA"/>
    <w:multiLevelType w:val="multilevel"/>
    <w:tmpl w:val="5748E36C"/>
    <w:lvl w:ilvl="0">
      <w:start w:val="1"/>
      <w:numFmt w:val="lowerLetter"/>
      <w:lvlText w:val="%1)"/>
      <w:lvlJc w:val="left"/>
      <w:pPr>
        <w:ind w:left="786" w:hanging="360"/>
      </w:pPr>
      <w:rPr>
        <w:rFonts w:ascii="Palatino Linotype" w:eastAsia="Palatino Linotype" w:hAnsi="Palatino Linotype" w:cs="Palatino Linotype"/>
        <w:b w:val="0"/>
        <w:i/>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abstractNumId w:val="0"/>
  </w:num>
  <w:num w:numId="2">
    <w:abstractNumId w:val="1"/>
  </w:num>
  <w:num w:numId="3">
    <w:abstractNumId w:val="6"/>
  </w:num>
  <w:num w:numId="4">
    <w:abstractNumId w:val="7"/>
  </w:num>
  <w:num w:numId="5">
    <w:abstractNumId w:val="8"/>
  </w:num>
  <w:num w:numId="6">
    <w:abstractNumId w:val="3"/>
  </w:num>
  <w:num w:numId="7">
    <w:abstractNumId w:val="5"/>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915"/>
    <w:rsid w:val="00080B22"/>
    <w:rsid w:val="0009622A"/>
    <w:rsid w:val="000B6584"/>
    <w:rsid w:val="00203915"/>
    <w:rsid w:val="002430E6"/>
    <w:rsid w:val="002735C6"/>
    <w:rsid w:val="003B30F9"/>
    <w:rsid w:val="006759C5"/>
    <w:rsid w:val="007159BB"/>
    <w:rsid w:val="00732101"/>
    <w:rsid w:val="007A6A3B"/>
    <w:rsid w:val="007D2FCE"/>
    <w:rsid w:val="007D5DB3"/>
    <w:rsid w:val="008500F5"/>
    <w:rsid w:val="008A5208"/>
    <w:rsid w:val="00A27C0D"/>
    <w:rsid w:val="00BF3D97"/>
    <w:rsid w:val="00CC16F6"/>
    <w:rsid w:val="00D21582"/>
    <w:rsid w:val="00D748A8"/>
    <w:rsid w:val="00E53A65"/>
    <w:rsid w:val="00EF0B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F666C3-1837-4EA5-8E63-534BF48C8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58C5"/>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style>
  <w:style w:type="numbering" w:customStyle="1" w:styleId="Estiloimportado1">
    <w:name w:val="Estilo importado 1"/>
    <w:rsid w:val="005D54F5"/>
  </w:style>
  <w:style w:type="paragraph" w:customStyle="1" w:styleId="INCISO">
    <w:name w:val="INCISO"/>
    <w:basedOn w:val="Normal"/>
    <w:rsid w:val="005D54F5"/>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5D54F5"/>
    <w:pPr>
      <w:spacing w:before="100" w:beforeAutospacing="1" w:after="100" w:afterAutospacing="1"/>
    </w:pPr>
    <w:rPr>
      <w:lang w:val="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rPr>
  </w:style>
  <w:style w:type="table" w:customStyle="1" w:styleId="Tablaconcuadrcula11">
    <w:name w:val="Tabla con cuadrícula11"/>
    <w:basedOn w:val="Tablanormal"/>
    <w:next w:val="Tablaconcuadrcula"/>
    <w:uiPriority w:val="59"/>
    <w:rsid w:val="005D54F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EE+mi39SY4mqiVHhnNgRWwwuBQ==">AMUW2mXWT3IK9QWdw7namsVh8iXP8IdE3I/N7XqWCHzcD5jFMUqATircgmsOMSnEslo7FmpPkuZr/wemMbFry/35n8TuF41qXLZ055EA4ch+dpE2nVPskX6pszgkeycpqnrCwpyJnPvL7lyrce5PsjFfq3bgFH2AC1B8RY2pG8ePGjsmoUMCbEp3yB3ud6ZFrL1mG4xlEKeo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6228AEE-DFED-4A51-9E24-02511B414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12880</Words>
  <Characters>70844</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83557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Cuenta Microsoft</cp:lastModifiedBy>
  <cp:revision>2</cp:revision>
  <dcterms:created xsi:type="dcterms:W3CDTF">2022-02-25T20:35:00Z</dcterms:created>
  <dcterms:modified xsi:type="dcterms:W3CDTF">2022-02-25T20:35:00Z</dcterms:modified>
</cp:coreProperties>
</file>