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60" w:rsidRDefault="00C8223F">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once de mayo del dos mil veintidós.</w:t>
      </w:r>
    </w:p>
    <w:p w:rsidR="00D27960" w:rsidRDefault="00C8223F">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 xml:space="preserve">04594/INFOEM/IP/RR/2022, 04661/INFOEM/IP/RR/2022, 04676/INFOEM/IP/RR/2022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04683/INFOEM/IP/RR/2022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acumulados</w:t>
      </w:r>
      <w:r>
        <w:rPr>
          <w:rFonts w:ascii="Palatino Linotype" w:eastAsia="Palatino Linotype" w:hAnsi="Palatino Linotype" w:cs="Palatino Linotype"/>
        </w:rPr>
        <w:t>, interpuestos por</w:t>
      </w:r>
      <w:r>
        <w:rPr>
          <w:rFonts w:ascii="Palatino Linotype" w:eastAsia="Palatino Linotype" w:hAnsi="Palatino Linotype" w:cs="Palatino Linotype"/>
          <w:b/>
        </w:rPr>
        <w:t xml:space="preserve"> </w:t>
      </w:r>
      <w:r w:rsidR="00805157" w:rsidRPr="00805157">
        <w:rPr>
          <w:rFonts w:ascii="Palatino Linotype" w:eastAsia="Palatino Linotype" w:hAnsi="Palatino Linotype" w:cs="Palatino Linotype"/>
          <w:b/>
        </w:rPr>
        <w:t>Xxxx Xxxxxx 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sus solicitudes de información por parte de </w:t>
      </w:r>
      <w:r>
        <w:rPr>
          <w:rFonts w:ascii="Palatino Linotype" w:eastAsia="Palatino Linotype" w:hAnsi="Palatino Linotype" w:cs="Palatino Linotype"/>
          <w:b/>
        </w:rPr>
        <w:t>Ayuntamiento de Temamatla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bookmarkStart w:id="2" w:name="_GoBack"/>
      <w:bookmarkEnd w:id="2"/>
    </w:p>
    <w:p w:rsidR="00D27960" w:rsidRDefault="00C8223F">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Con fechas </w:t>
      </w:r>
      <w:r>
        <w:rPr>
          <w:rFonts w:ascii="Palatino Linotype" w:eastAsia="Palatino Linotype" w:hAnsi="Palatino Linotype" w:cs="Palatino Linotype"/>
          <w:b/>
        </w:rPr>
        <w:t xml:space="preserve">diecisiete y veintidós de febrero de dos mil veintidós,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solicitudes de acceso a la información pública, a las que se les asignaron los números </w:t>
      </w:r>
      <w:r>
        <w:rPr>
          <w:rFonts w:ascii="Palatino Linotype" w:eastAsia="Palatino Linotype" w:hAnsi="Palatino Linotype" w:cs="Palatino Linotype"/>
          <w:b/>
        </w:rPr>
        <w:t xml:space="preserve"> 00028/TEMAMATL/IP/2022, 00037/TEMAMATL/IP/2022,   00053/TEMAMATL/IP/2022 </w:t>
      </w:r>
      <w:r>
        <w:rPr>
          <w:rFonts w:ascii="Palatino Linotype" w:eastAsia="Palatino Linotype" w:hAnsi="Palatino Linotype" w:cs="Palatino Linotype"/>
        </w:rPr>
        <w:t>y</w:t>
      </w:r>
      <w:r>
        <w:rPr>
          <w:rFonts w:ascii="Palatino Linotype" w:eastAsia="Palatino Linotype" w:hAnsi="Palatino Linotype" w:cs="Palatino Linotype"/>
          <w:b/>
        </w:rPr>
        <w:t xml:space="preserve"> 00117/TEMAMATL/IP/2022, </w:t>
      </w:r>
      <w:r>
        <w:rPr>
          <w:rFonts w:ascii="Palatino Linotype" w:eastAsia="Palatino Linotype" w:hAnsi="Palatino Linotype" w:cs="Palatino Linotype"/>
        </w:rPr>
        <w:t>mediante las cuales requirió la información siguiente:</w:t>
      </w:r>
    </w:p>
    <w:tbl>
      <w:tblPr>
        <w:tblStyle w:val="a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D27960">
        <w:trPr>
          <w:jc w:val="center"/>
        </w:trPr>
        <w:tc>
          <w:tcPr>
            <w:tcW w:w="2830" w:type="dxa"/>
            <w:vAlign w:val="center"/>
          </w:tcPr>
          <w:p w:rsidR="00D27960" w:rsidRDefault="00C8223F">
            <w:pPr>
              <w:jc w:val="center"/>
              <w:rPr>
                <w:rFonts w:ascii="Palatino Linotype" w:eastAsia="Palatino Linotype" w:hAnsi="Palatino Linotype" w:cs="Palatino Linotype"/>
                <w:b/>
                <w:sz w:val="20"/>
                <w:szCs w:val="20"/>
              </w:rPr>
            </w:pPr>
            <w:bookmarkStart w:id="3" w:name="_heading=h.2et92p0" w:colFirst="0" w:colLast="0"/>
            <w:bookmarkEnd w:id="3"/>
            <w:r>
              <w:rPr>
                <w:rFonts w:ascii="Palatino Linotype" w:eastAsia="Palatino Linotype" w:hAnsi="Palatino Linotype" w:cs="Palatino Linotype"/>
                <w:b/>
                <w:sz w:val="20"/>
                <w:szCs w:val="20"/>
              </w:rPr>
              <w:t>Solicitud</w:t>
            </w:r>
          </w:p>
          <w:p w:rsidR="00D27960" w:rsidRDefault="00C8223F">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00028/TEMAMATL/IP/2022</w:t>
            </w:r>
          </w:p>
        </w:tc>
        <w:tc>
          <w:tcPr>
            <w:tcW w:w="5998" w:type="dxa"/>
            <w:vAlign w:val="center"/>
          </w:tcPr>
          <w:p w:rsidR="00D27960" w:rsidRDefault="00C8223F">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“Pólizas contables con su soporte de ingresos, cheques y diario del mes de enero a febrero del año 2022.” (sic)</w:t>
            </w:r>
          </w:p>
        </w:tc>
      </w:tr>
      <w:tr w:rsidR="00D27960">
        <w:trPr>
          <w:jc w:val="center"/>
        </w:trPr>
        <w:tc>
          <w:tcPr>
            <w:tcW w:w="2830" w:type="dxa"/>
            <w:vAlign w:val="center"/>
          </w:tcPr>
          <w:p w:rsidR="00D27960" w:rsidRDefault="00C8223F">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Solicitud 00037/TEMAMATL/IP/2022</w:t>
            </w:r>
          </w:p>
        </w:tc>
        <w:tc>
          <w:tcPr>
            <w:tcW w:w="5998" w:type="dxa"/>
            <w:vAlign w:val="center"/>
          </w:tcPr>
          <w:p w:rsidR="00D27960" w:rsidRDefault="00C8223F">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“Copias de la pólizas de los ingresos, egresos y diario del año 2015 al 2022.” (sic)</w:t>
            </w:r>
          </w:p>
        </w:tc>
      </w:tr>
      <w:tr w:rsidR="00D27960">
        <w:trPr>
          <w:jc w:val="center"/>
        </w:trPr>
        <w:tc>
          <w:tcPr>
            <w:tcW w:w="2830" w:type="dxa"/>
            <w:vAlign w:val="center"/>
          </w:tcPr>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Solicitud</w:t>
            </w:r>
          </w:p>
          <w:p w:rsidR="00D27960" w:rsidRDefault="00C8223F">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00053/TEMAMATL/IP/2022</w:t>
            </w:r>
          </w:p>
        </w:tc>
        <w:tc>
          <w:tcPr>
            <w:tcW w:w="5998" w:type="dxa"/>
            <w:vAlign w:val="center"/>
          </w:tcPr>
          <w:p w:rsidR="00D27960" w:rsidRDefault="00C8223F">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“POLIZAS DE CHEQUE, INGRESOS Y DIARIO DEL 1 DE ENERO AL 17 DE FEBREO DEL AÑO 2022 CON SU DEVIDO SOPORTE.” (sic)</w:t>
            </w:r>
          </w:p>
        </w:tc>
      </w:tr>
      <w:tr w:rsidR="00D27960">
        <w:trPr>
          <w:jc w:val="center"/>
        </w:trPr>
        <w:tc>
          <w:tcPr>
            <w:tcW w:w="2830" w:type="dxa"/>
            <w:vAlign w:val="center"/>
          </w:tcPr>
          <w:p w:rsidR="00D27960" w:rsidRDefault="00C8223F">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Solicitud 00117/TEMAMATL/IP/2022</w:t>
            </w:r>
          </w:p>
        </w:tc>
        <w:tc>
          <w:tcPr>
            <w:tcW w:w="5998" w:type="dxa"/>
            <w:vAlign w:val="center"/>
          </w:tcPr>
          <w:p w:rsidR="00D27960" w:rsidRDefault="00C8223F">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“Pólizas de ingresos, diario y cheques del 01 de enero al 22 de febrero del 2022.” (sic)</w:t>
            </w:r>
          </w:p>
        </w:tc>
      </w:tr>
    </w:tbl>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 en todos los casos.</w:t>
      </w:r>
    </w:p>
    <w:p w:rsidR="00D27960" w:rsidRDefault="00C8223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de información formuladas por la parte </w:t>
      </w:r>
      <w:r>
        <w:rPr>
          <w:rFonts w:ascii="Palatino Linotype" w:eastAsia="Palatino Linotype" w:hAnsi="Palatino Linotype" w:cs="Palatino Linotype"/>
          <w:b/>
        </w:rPr>
        <w:t>Recurrente.</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recursos de revisión a través de SAIMEX en fecha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expresando lo siguiente:</w:t>
      </w:r>
    </w:p>
    <w:p w:rsidR="00D27960" w:rsidRDefault="00C8223F">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D27960">
        <w:trPr>
          <w:jc w:val="center"/>
        </w:trPr>
        <w:tc>
          <w:tcPr>
            <w:tcW w:w="2830" w:type="dxa"/>
            <w:vAlign w:val="center"/>
          </w:tcPr>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00028/TEMAMATL/IP/2022</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04683/INFOEM/IP/RR/2022</w:t>
            </w:r>
          </w:p>
        </w:tc>
        <w:tc>
          <w:tcPr>
            <w:tcW w:w="5998" w:type="dxa"/>
            <w:vAlign w:val="center"/>
          </w:tcPr>
          <w:p w:rsidR="00D27960" w:rsidRDefault="00C8223F">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“Pólizas contables con su soporte de ingresos, cheques y diario del mes de enero a febrero del año 2022.” (sic)</w:t>
            </w:r>
          </w:p>
        </w:tc>
      </w:tr>
      <w:tr w:rsidR="00D27960">
        <w:trPr>
          <w:jc w:val="center"/>
        </w:trPr>
        <w:tc>
          <w:tcPr>
            <w:tcW w:w="2830" w:type="dxa"/>
            <w:vAlign w:val="center"/>
          </w:tcPr>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00037/TEMAMATL/IP/2022</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D27960" w:rsidRDefault="00C8223F">
            <w:pPr>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04676/INFOEM/IP/RR/2022</w:t>
            </w:r>
          </w:p>
        </w:tc>
        <w:tc>
          <w:tcPr>
            <w:tcW w:w="5998" w:type="dxa"/>
            <w:vAlign w:val="center"/>
          </w:tcPr>
          <w:p w:rsidR="00D27960" w:rsidRDefault="00C8223F">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“Copias de la pólizas de los ingresos, egresos y diario del año 2015 al 2022.” (sic)</w:t>
            </w:r>
          </w:p>
        </w:tc>
      </w:tr>
      <w:tr w:rsidR="00D27960">
        <w:trPr>
          <w:jc w:val="center"/>
        </w:trPr>
        <w:tc>
          <w:tcPr>
            <w:tcW w:w="2830" w:type="dxa"/>
            <w:vAlign w:val="center"/>
          </w:tcPr>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00053/TEMAMATL/IP/2022</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D27960" w:rsidRDefault="00C8223F">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04661/INFOEM/IP/RR/2022</w:t>
            </w:r>
          </w:p>
        </w:tc>
        <w:tc>
          <w:tcPr>
            <w:tcW w:w="5998" w:type="dxa"/>
            <w:vAlign w:val="center"/>
          </w:tcPr>
          <w:p w:rsidR="00D27960" w:rsidRDefault="00C8223F">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“POLIZAS DE CHEQUE, INGRESOS Y DIARIO DEL 1 DE ENERO AL 17 DE FEBREO DEL AÑO 2022 CON SU DEVIDO SOPORTE.” (sic)</w:t>
            </w:r>
          </w:p>
        </w:tc>
      </w:tr>
      <w:tr w:rsidR="00D27960">
        <w:trPr>
          <w:jc w:val="center"/>
        </w:trPr>
        <w:tc>
          <w:tcPr>
            <w:tcW w:w="2830" w:type="dxa"/>
            <w:vAlign w:val="center"/>
          </w:tcPr>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 00117/TEMAMATL/IP/2022</w:t>
            </w:r>
          </w:p>
          <w:p w:rsidR="00D27960" w:rsidRDefault="00C8223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D27960" w:rsidRDefault="00C8223F">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lastRenderedPageBreak/>
              <w:t>04594/INFOEM/IP/RR/2022</w:t>
            </w:r>
          </w:p>
        </w:tc>
        <w:tc>
          <w:tcPr>
            <w:tcW w:w="5998" w:type="dxa"/>
            <w:vAlign w:val="center"/>
          </w:tcPr>
          <w:p w:rsidR="00D27960" w:rsidRDefault="00C8223F">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lastRenderedPageBreak/>
              <w:t>“Pólizas de ingresos, diario y cheques del 01 de enero al 22 de febrero del 2022.” (sic)</w:t>
            </w:r>
          </w:p>
        </w:tc>
      </w:tr>
    </w:tbl>
    <w:p w:rsidR="00D27960" w:rsidRDefault="00D27960">
      <w:pPr>
        <w:spacing w:line="360" w:lineRule="auto"/>
        <w:jc w:val="both"/>
        <w:rPr>
          <w:rFonts w:ascii="Palatino Linotype" w:eastAsia="Palatino Linotype" w:hAnsi="Palatino Linotype" w:cs="Palatino Linotype"/>
          <w:b/>
        </w:rPr>
      </w:pPr>
    </w:p>
    <w:p w:rsidR="00D27960" w:rsidRDefault="00C8223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b) Motivos de inconformidad, </w:t>
      </w:r>
      <w:r>
        <w:rPr>
          <w:rFonts w:ascii="Palatino Linotype" w:eastAsia="Palatino Linotype" w:hAnsi="Palatino Linotype" w:cs="Palatino Linotype"/>
        </w:rPr>
        <w:t xml:space="preserve"> en todos los casos:</w:t>
      </w:r>
    </w:p>
    <w:p w:rsidR="00D27960" w:rsidRDefault="00C8223F">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NEGATIVA A LA INFORMACION SOLICITADA.” (Sic)</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la Comisionada</w:t>
      </w:r>
      <w:r>
        <w:rPr>
          <w:rFonts w:ascii="Palatino Linotype" w:eastAsia="Palatino Linotype" w:hAnsi="Palatino Linotype" w:cs="Palatino Linotype"/>
          <w:b/>
        </w:rPr>
        <w:t xml:space="preserve"> Guadalupe Ramírez Peña, Luis Gustavo Parra Noriega</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María del Rosario Mejía Ayala, </w:t>
      </w:r>
      <w:r>
        <w:rPr>
          <w:rFonts w:ascii="Palatino Linotype" w:eastAsia="Palatino Linotype" w:hAnsi="Palatino Linotype" w:cs="Palatino Linotype"/>
        </w:rPr>
        <w:t xml:space="preserve">a efecto de que analizaran sobre su admisión o su desechamiento. </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 los Recursos de Revisión.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veintinueve y treinta y uno de marzo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rsidR="00D27960" w:rsidRDefault="00C8223F">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6. Acumulación de los recursos de revisión. </w:t>
      </w:r>
      <w:r>
        <w:rPr>
          <w:rFonts w:ascii="Palatino Linotype" w:eastAsia="Palatino Linotype" w:hAnsi="Palatino Linotype" w:cs="Palatino Linotype"/>
          <w:color w:val="000000"/>
        </w:rPr>
        <w:t xml:space="preserve">Al respecto cabe señalar, que el Pleno de este Instituto, en la </w:t>
      </w:r>
      <w:r>
        <w:rPr>
          <w:rFonts w:ascii="Palatino Linotype" w:eastAsia="Palatino Linotype" w:hAnsi="Palatino Linotype" w:cs="Palatino Linotype"/>
          <w:b/>
          <w:color w:val="000000"/>
        </w:rPr>
        <w:t>Décimo Tercera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Sesión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Ordinaria</w:t>
      </w:r>
      <w:r>
        <w:rPr>
          <w:rFonts w:ascii="Palatino Linotype" w:eastAsia="Palatino Linotype" w:hAnsi="Palatino Linotype" w:cs="Palatino Linotype"/>
          <w:color w:val="000000"/>
        </w:rPr>
        <w:t xml:space="preserve"> de fecha</w:t>
      </w:r>
      <w:r>
        <w:rPr>
          <w:rFonts w:ascii="Palatino Linotype" w:eastAsia="Palatino Linotype" w:hAnsi="Palatino Linotype" w:cs="Palatino Linotype"/>
          <w:b/>
          <w:color w:val="000000"/>
        </w:rPr>
        <w:t xml:space="preserve"> siete de abril de dos mil veintidós</w:t>
      </w:r>
      <w:r>
        <w:rPr>
          <w:rFonts w:ascii="Palatino Linotype" w:eastAsia="Palatino Linotype" w:hAnsi="Palatino Linotype" w:cs="Palatino Linotype"/>
          <w:color w:val="000000"/>
        </w:rPr>
        <w:t xml:space="preserve">, ordenó la acumulación de los expedientes citados, a efecto de que la Comisionada </w:t>
      </w:r>
      <w:r>
        <w:rPr>
          <w:rFonts w:ascii="Palatino Linotype" w:eastAsia="Palatino Linotype" w:hAnsi="Palatino Linotype" w:cs="Palatino Linotype"/>
          <w:b/>
          <w:color w:val="000000"/>
        </w:rPr>
        <w:t xml:space="preserve">Guadalupe Ramírez Peña </w:t>
      </w:r>
      <w:r>
        <w:rPr>
          <w:rFonts w:ascii="Palatino Linotype" w:eastAsia="Palatino Linotype" w:hAnsi="Palatino Linotype" w:cs="Palatino Linotype"/>
          <w:color w:val="000000"/>
        </w:rPr>
        <w:t xml:space="preserve">formulara y presentara el proyecto de resolución correspondiente, de conformidad con lo dispuesto en el artículo 18 del Código de Procedimientos Administrativos del Estado de México, de aplicación </w:t>
      </w:r>
      <w:r>
        <w:rPr>
          <w:rFonts w:ascii="Palatino Linotype" w:eastAsia="Palatino Linotype" w:hAnsi="Palatino Linotype" w:cs="Palatino Linotype"/>
          <w:color w:val="000000"/>
        </w:rPr>
        <w:lastRenderedPageBreak/>
        <w:t>supletoria en términos del artículo 195 de la Ley de Transparencia y Acceso a la Información Pública del Estado de México y Municipios, que a la letra señalan:  </w:t>
      </w:r>
    </w:p>
    <w:p w:rsidR="00D27960" w:rsidRDefault="00C8223F">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Código de Procedimientos Administrativos del Estado de México</w:t>
      </w:r>
    </w:p>
    <w:p w:rsidR="00D27960" w:rsidRDefault="00C8223F">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“Artículo 18.-</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autoridad administrativa o el Tribunal acordarán la acumulación de los expedientes del procedimiento y proceso administrativo que ante ellos se sigan, de oficio</w:t>
      </w:r>
      <w:r>
        <w:rPr>
          <w:rFonts w:ascii="Palatino Linotype" w:eastAsia="Palatino Linotype" w:hAnsi="Palatino Linotype" w:cs="Palatino Linotype"/>
          <w:i/>
          <w:color w:val="000000"/>
          <w:sz w:val="22"/>
          <w:szCs w:val="22"/>
        </w:rPr>
        <w:t xml:space="preserve"> o a petición de parte, </w:t>
      </w:r>
      <w:r>
        <w:rPr>
          <w:rFonts w:ascii="Palatino Linotype" w:eastAsia="Palatino Linotype" w:hAnsi="Palatino Linotype" w:cs="Palatino Linotype"/>
          <w:b/>
          <w:i/>
          <w:color w:val="000000"/>
          <w:sz w:val="22"/>
          <w:szCs w:val="22"/>
        </w:rPr>
        <w:t>cuando las partes</w:t>
      </w:r>
      <w:r>
        <w:rPr>
          <w:rFonts w:ascii="Palatino Linotype" w:eastAsia="Palatino Linotype" w:hAnsi="Palatino Linotype" w:cs="Palatino Linotype"/>
          <w:i/>
          <w:color w:val="000000"/>
          <w:sz w:val="22"/>
          <w:szCs w:val="22"/>
        </w:rPr>
        <w:t xml:space="preserve"> o los actos administrativos sean iguales, se trate de actos conexos o </w:t>
      </w:r>
      <w:r>
        <w:rPr>
          <w:rFonts w:ascii="Palatino Linotype" w:eastAsia="Palatino Linotype" w:hAnsi="Palatino Linotype" w:cs="Palatino Linotype"/>
          <w:b/>
          <w:i/>
          <w:color w:val="000000"/>
          <w:sz w:val="22"/>
          <w:szCs w:val="22"/>
        </w:rPr>
        <w:t>resulte conveniente el trámite unificado de los asuntos, para evitar la emisión de resoluciones contradictorias</w:t>
      </w:r>
      <w:r>
        <w:rPr>
          <w:rFonts w:ascii="Palatino Linotype" w:eastAsia="Palatino Linotype" w:hAnsi="Palatino Linotype" w:cs="Palatino Linotype"/>
          <w:i/>
          <w:color w:val="000000"/>
          <w:sz w:val="22"/>
          <w:szCs w:val="22"/>
        </w:rPr>
        <w:t>. La misma regla se aplicará, en lo conducente, para la separación de los expedientes.”</w:t>
      </w:r>
    </w:p>
    <w:p w:rsidR="00D27960" w:rsidRDefault="00C8223F">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Ley de Transparencia y Acceso a la Información Pública del Estado de México y Municipios</w:t>
      </w:r>
    </w:p>
    <w:p w:rsidR="00D27960" w:rsidRDefault="00C8223F">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“Artículo 195.-</w:t>
      </w:r>
      <w:r>
        <w:rPr>
          <w:rFonts w:ascii="Palatino Linotype" w:eastAsia="Palatino Linotype" w:hAnsi="Palatino Linotype" w:cs="Palatino Linotype"/>
          <w:i/>
          <w:color w:val="000000"/>
          <w:sz w:val="22"/>
          <w:szCs w:val="22"/>
        </w:rPr>
        <w:t xml:space="preserve"> En la tramitación del recurso de revisión se aplicará supletoriamente las disposiciones contenidas en el Código de Procedimientos Administrativos del Estado de México.”</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0" distB="0" distL="0" distR="0">
            <wp:extent cx="5610225" cy="197167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971675"/>
                    </a:xfrm>
                    <a:prstGeom prst="rect">
                      <a:avLst/>
                    </a:prstGeom>
                    <a:ln/>
                  </pic:spPr>
                </pic:pic>
              </a:graphicData>
            </a:graphic>
          </wp:inline>
        </w:drawing>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extent cx="5610225" cy="19621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0225" cy="1962150"/>
                    </a:xfrm>
                    <a:prstGeom prst="rect">
                      <a:avLst/>
                    </a:prstGeom>
                    <a:ln/>
                  </pic:spPr>
                </pic:pic>
              </a:graphicData>
            </a:graphic>
          </wp:inline>
        </w:drawing>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0" distB="0" distL="0" distR="0">
            <wp:extent cx="5610225" cy="193357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10225" cy="1933575"/>
                    </a:xfrm>
                    <a:prstGeom prst="rect">
                      <a:avLst/>
                    </a:prstGeom>
                    <a:ln/>
                  </pic:spPr>
                </pic:pic>
              </a:graphicData>
            </a:graphic>
          </wp:inline>
        </w:drawing>
      </w:r>
      <w:r>
        <w:rPr>
          <w:rFonts w:ascii="Palatino Linotype" w:eastAsia="Palatino Linotype" w:hAnsi="Palatino Linotype" w:cs="Palatino Linotype"/>
          <w:noProof/>
          <w:lang w:eastAsia="es-MX"/>
        </w:rPr>
        <w:drawing>
          <wp:inline distT="0" distB="0" distL="0" distR="0">
            <wp:extent cx="5610225" cy="195262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0225" cy="1952625"/>
                    </a:xfrm>
                    <a:prstGeom prst="rect">
                      <a:avLst/>
                    </a:prstGeom>
                    <a:ln/>
                  </pic:spPr>
                </pic:pic>
              </a:graphicData>
            </a:graphic>
          </wp:inline>
        </w:drawing>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ocho y veintinueve de abril de dos mil veintidós</w:t>
      </w:r>
      <w:r>
        <w:rPr>
          <w:rFonts w:ascii="Palatino Linotype" w:eastAsia="Palatino Linotype" w:hAnsi="Palatino Linotype" w:cs="Palatino Linotype"/>
        </w:rPr>
        <w:t xml:space="preserve">, con fundamento en lo establecido en los artículos 185, fracción VI de la </w:t>
      </w:r>
      <w:r>
        <w:rPr>
          <w:rFonts w:ascii="Palatino Linotype" w:eastAsia="Palatino Linotype" w:hAnsi="Palatino Linotype" w:cs="Palatino Linotype"/>
        </w:rPr>
        <w:lastRenderedPageBreak/>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D27960" w:rsidRDefault="00C8223F">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D27960" w:rsidRDefault="00C8223F">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Pr>
          <w:rFonts w:ascii="Palatino Linotype" w:eastAsia="Palatino Linotype" w:hAnsi="Palatino Linotype" w:cs="Palatino Linotype"/>
        </w:rPr>
        <w:lastRenderedPageBreak/>
        <w:t>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D27960" w:rsidRDefault="00C8223F">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 los recursos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D27960" w:rsidRDefault="00C8223F">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D27960" w:rsidRDefault="00C8223F">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D27960" w:rsidRDefault="00C8223F">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 los expedientes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las solicitudes de información planteadas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de información, dentro del plazo legal previsto para ello.</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D27960" w:rsidRDefault="00C8223F">
      <w:pPr>
        <w:spacing w:before="240" w:after="240" w:line="360" w:lineRule="auto"/>
        <w:ind w:left="567"/>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1. Copias de las pólizas de cheque, de ingresos, egresos y diario del año 2015 al 22 de febrero del 2022, con su debido soporte.</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 los presentes recursos, así como al contenido íntegro de las actuaciones que obran en los expedientes electrónicos, para </w:t>
      </w:r>
      <w:r>
        <w:rPr>
          <w:rFonts w:ascii="Palatino Linotype" w:eastAsia="Palatino Linotype" w:hAnsi="Palatino Linotype" w:cs="Palatino Linotype"/>
        </w:rPr>
        <w:lastRenderedPageBreak/>
        <w:t>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27960" w:rsidRDefault="00C8223F">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27960" w:rsidRDefault="00D27960">
      <w:pPr>
        <w:tabs>
          <w:tab w:val="left" w:pos="709"/>
        </w:tabs>
        <w:ind w:left="851" w:right="850"/>
        <w:jc w:val="both"/>
        <w:rPr>
          <w:rFonts w:ascii="Palatino Linotype" w:eastAsia="Palatino Linotype" w:hAnsi="Palatino Linotype" w:cs="Palatino Linotype"/>
        </w:rPr>
      </w:pPr>
    </w:p>
    <w:p w:rsidR="00D27960" w:rsidRDefault="00C8223F">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27960" w:rsidRDefault="00C8223F">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27960" w:rsidRDefault="00C8223F">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27960" w:rsidRDefault="00C8223F">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D27960" w:rsidRDefault="00C8223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D27960" w:rsidRDefault="00C8223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27960" w:rsidRDefault="00C8223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D27960" w:rsidRDefault="00C8223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27960" w:rsidRDefault="00C8223F">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27960" w:rsidRDefault="00D27960">
      <w:pPr>
        <w:ind w:left="1134" w:right="851"/>
        <w:jc w:val="both"/>
        <w:rPr>
          <w:rFonts w:ascii="Palatino Linotype" w:eastAsia="Palatino Linotype" w:hAnsi="Palatino Linotype" w:cs="Palatino Linotype"/>
          <w:i/>
          <w:sz w:val="22"/>
          <w:szCs w:val="22"/>
        </w:rPr>
      </w:pP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27960" w:rsidRDefault="00C8223F">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D27960" w:rsidRDefault="00C8223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D27960" w:rsidRDefault="00C8223F">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D27960" w:rsidRDefault="00C8223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D27960" w:rsidRDefault="00C8223F">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D27960" w:rsidRDefault="00C8223F">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D27960" w:rsidRDefault="00C8223F">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27960" w:rsidRDefault="00C8223F">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rsidR="00D27960" w:rsidRDefault="00C8223F">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27960" w:rsidRDefault="00C8223F">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D27960" w:rsidRDefault="00C8223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D27960" w:rsidRDefault="00C8223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el particular.</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w:t>
      </w:r>
      <w:r>
        <w:rPr>
          <w:rFonts w:ascii="Palatino Linotype" w:eastAsia="Palatino Linotype" w:hAnsi="Palatino Linotype" w:cs="Palatino Linotype"/>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las solicitudes del particular.</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D27960" w:rsidRDefault="00C8223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rsidR="00D27960" w:rsidRDefault="00C8223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D27960" w:rsidRDefault="00C8223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D27960" w:rsidRDefault="00C8223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D27960" w:rsidRDefault="00C8223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D27960" w:rsidRDefault="00C8223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27960" w:rsidRDefault="00C8223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D27960" w:rsidRDefault="00C8223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D27960" w:rsidRDefault="00C8223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D27960" w:rsidRDefault="00C8223F">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27960" w:rsidRDefault="00C8223F">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D27960" w:rsidRDefault="00C8223F">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D27960" w:rsidRDefault="00C8223F">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generen versiones públicas para dar cumplimiento a las obligaciones de transparencia previstas en la Ley.</w:t>
      </w:r>
    </w:p>
    <w:p w:rsidR="00D27960" w:rsidRDefault="00C8223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w:t>
      </w:r>
      <w:r>
        <w:rPr>
          <w:rFonts w:ascii="Palatino Linotype" w:eastAsia="Palatino Linotype" w:hAnsi="Palatino Linotype" w:cs="Palatino Linotype"/>
        </w:rPr>
        <w:lastRenderedPageBreak/>
        <w:t xml:space="preserve">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27960" w:rsidRDefault="00C8223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w:t>
      </w:r>
      <w:r>
        <w:rPr>
          <w:rFonts w:ascii="Palatino Linotype" w:eastAsia="Palatino Linotype" w:hAnsi="Palatino Linotype" w:cs="Palatino Linotype"/>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D27960" w:rsidRDefault="00C8223F">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D27960" w:rsidRDefault="00C8223F">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D27960" w:rsidRDefault="00C8223F">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D27960" w:rsidRDefault="00C8223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D27960" w:rsidRDefault="00C8223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Pr>
          <w:rFonts w:ascii="Palatino Linotype" w:eastAsia="Palatino Linotype" w:hAnsi="Palatino Linotype" w:cs="Palatino Linotype"/>
          <w:i/>
          <w:sz w:val="22"/>
          <w:szCs w:val="22"/>
        </w:rPr>
        <w:lastRenderedPageBreak/>
        <w:t>ex officio, con el propósito de obtener una versión que sea pública para la parte interesada.”</w:t>
      </w:r>
    </w:p>
    <w:p w:rsidR="00D27960" w:rsidRDefault="00C8223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D27960" w:rsidRDefault="00C8223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w:t>
      </w:r>
      <w:r>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D27960" w:rsidRDefault="00C8223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D27960" w:rsidRDefault="00C8223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rsidR="00D27960" w:rsidRDefault="00C8223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D27960" w:rsidRDefault="00C8223F">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27960" w:rsidRDefault="00C8223F">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D27960" w:rsidRDefault="00C8223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las solicitudes de acceso a la información pública </w:t>
      </w:r>
      <w:r>
        <w:rPr>
          <w:rFonts w:ascii="Palatino Linotype" w:eastAsia="Palatino Linotype" w:hAnsi="Palatino Linotype" w:cs="Palatino Linotype"/>
          <w:b/>
        </w:rPr>
        <w:t xml:space="preserve">00028/TEMAMATL/IP/2022, 00037/TEMAMATL/IP/2022,   00053/TEMAMATL/IP/2022 y 00117/TEMAMATL/IP/2022, </w:t>
      </w:r>
      <w:r>
        <w:rPr>
          <w:rFonts w:ascii="Palatino Linotype" w:eastAsia="Palatino Linotype" w:hAnsi="Palatino Linotype" w:cs="Palatino Linotype"/>
        </w:rPr>
        <w:t>que dieron origen a los recursos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w:t>
      </w:r>
      <w:r>
        <w:rPr>
          <w:rFonts w:ascii="Palatino Linotype" w:eastAsia="Palatino Linotype" w:hAnsi="Palatino Linotype" w:cs="Palatino Linotype"/>
        </w:rPr>
        <w:lastRenderedPageBreak/>
        <w:t>emita respuesta, debiendo observar las excepciones contenidas en la Ley de Transparencia y Acceso a la Información Pública del Estado de México y Municipios.</w:t>
      </w:r>
    </w:p>
    <w:p w:rsidR="00D27960" w:rsidRDefault="00C8223F">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27960" w:rsidRDefault="00C822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27960" w:rsidRDefault="00C8223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27960" w:rsidRDefault="00C8223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w:t>
      </w:r>
      <w:r>
        <w:rPr>
          <w:rFonts w:ascii="Palatino Linotype" w:eastAsia="Palatino Linotype" w:hAnsi="Palatino Linotype" w:cs="Palatino Linotype"/>
        </w:rPr>
        <w:lastRenderedPageBreak/>
        <w:t>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D27960" w:rsidRDefault="00C8223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D27960" w:rsidRDefault="00C8223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ONCE DE MAYO DE DOS MIL VEINTIDÓS, ANTE EL SECRETARIO TÉCNICO DEL PLENO ALEXIS TAPIA RAMÍREZ.</w:t>
      </w:r>
    </w:p>
    <w:p w:rsidR="00D27960" w:rsidRDefault="00D27960">
      <w:pPr>
        <w:tabs>
          <w:tab w:val="left" w:pos="8647"/>
        </w:tabs>
        <w:spacing w:line="360" w:lineRule="auto"/>
        <w:ind w:right="49"/>
        <w:jc w:val="both"/>
        <w:rPr>
          <w:rFonts w:ascii="Palatino Linotype" w:eastAsia="Palatino Linotype" w:hAnsi="Palatino Linotype" w:cs="Palatino Linotype"/>
        </w:rPr>
      </w:pPr>
    </w:p>
    <w:p w:rsidR="00D27960" w:rsidRDefault="00D27960">
      <w:pPr>
        <w:spacing w:line="360" w:lineRule="auto"/>
        <w:ind w:right="49"/>
        <w:jc w:val="both"/>
        <w:rPr>
          <w:rFonts w:ascii="Palatino Linotype" w:eastAsia="Palatino Linotype" w:hAnsi="Palatino Linotype" w:cs="Palatino Linotype"/>
        </w:rPr>
        <w:sectPr w:rsidR="00D27960">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p>
    <w:p w:rsidR="00D27960" w:rsidRDefault="00D27960">
      <w:pPr>
        <w:tabs>
          <w:tab w:val="left" w:pos="709"/>
        </w:tabs>
        <w:spacing w:before="240" w:after="240" w:line="360" w:lineRule="auto"/>
        <w:jc w:val="both"/>
        <w:rPr>
          <w:rFonts w:ascii="Palatino Linotype" w:eastAsia="Palatino Linotype" w:hAnsi="Palatino Linotype" w:cs="Palatino Linotype"/>
        </w:rPr>
      </w:pPr>
      <w:bookmarkStart w:id="6" w:name="_heading=h.tyjcwt" w:colFirst="0" w:colLast="0"/>
      <w:bookmarkEnd w:id="6"/>
    </w:p>
    <w:p w:rsidR="00D27960" w:rsidRDefault="00D27960"/>
    <w:p w:rsidR="00D27960" w:rsidRDefault="00D27960"/>
    <w:sectPr w:rsidR="00D27960">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23F" w:rsidRDefault="00C8223F">
      <w:r>
        <w:separator/>
      </w:r>
    </w:p>
  </w:endnote>
  <w:endnote w:type="continuationSeparator" w:id="0">
    <w:p w:rsidR="00C8223F" w:rsidRDefault="00C8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60" w:rsidRDefault="00C822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515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5157">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D27960" w:rsidRDefault="00D27960">
    <w:pPr>
      <w:pBdr>
        <w:top w:val="nil"/>
        <w:left w:val="nil"/>
        <w:bottom w:val="nil"/>
        <w:right w:val="nil"/>
        <w:between w:val="nil"/>
      </w:pBdr>
      <w:tabs>
        <w:tab w:val="center" w:pos="4252"/>
        <w:tab w:val="right" w:pos="8504"/>
      </w:tabs>
      <w:rPr>
        <w:color w:val="000000"/>
      </w:rPr>
    </w:pPr>
  </w:p>
  <w:p w:rsidR="00D27960" w:rsidRDefault="00D2796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60" w:rsidRDefault="00C822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515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5157">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D27960" w:rsidRDefault="00D279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23F" w:rsidRDefault="00C8223F">
      <w:r>
        <w:separator/>
      </w:r>
    </w:p>
  </w:footnote>
  <w:footnote w:type="continuationSeparator" w:id="0">
    <w:p w:rsidR="00C8223F" w:rsidRDefault="00C8223F">
      <w:r>
        <w:continuationSeparator/>
      </w:r>
    </w:p>
  </w:footnote>
  <w:footnote w:id="1">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D27960" w:rsidRDefault="00C8223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60" w:rsidRDefault="00C8223F">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-990599</wp:posOffset>
          </wp:positionH>
          <wp:positionV relativeFrom="paragraph">
            <wp:posOffset>-412749</wp:posOffset>
          </wp:positionV>
          <wp:extent cx="7635163" cy="9944100"/>
          <wp:effectExtent l="0" t="0" r="0" b="0"/>
          <wp:wrapNone/>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4"/>
      <w:tblW w:w="5528" w:type="dxa"/>
      <w:tblInd w:w="3261" w:type="dxa"/>
      <w:tblLayout w:type="fixed"/>
      <w:tblLook w:val="0400" w:firstRow="0" w:lastRow="0" w:firstColumn="0" w:lastColumn="0" w:noHBand="0" w:noVBand="1"/>
    </w:tblPr>
    <w:tblGrid>
      <w:gridCol w:w="2552"/>
      <w:gridCol w:w="2976"/>
    </w:tblGrid>
    <w:tr w:rsidR="00D27960">
      <w:tc>
        <w:tcPr>
          <w:tcW w:w="2552" w:type="dxa"/>
          <w:vAlign w:val="center"/>
        </w:tcPr>
        <w:p w:rsidR="00D27960" w:rsidRDefault="00C822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D27960" w:rsidRDefault="00C822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04594/INFOEM/IP/RR/2022 Y ACUMULADOS</w:t>
          </w:r>
        </w:p>
      </w:tc>
    </w:tr>
    <w:tr w:rsidR="00D27960">
      <w:trPr>
        <w:trHeight w:val="228"/>
      </w:trPr>
      <w:tc>
        <w:tcPr>
          <w:tcW w:w="2552" w:type="dxa"/>
          <w:vAlign w:val="center"/>
        </w:tcPr>
        <w:p w:rsidR="00D27960" w:rsidRDefault="00C822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D27960" w:rsidRDefault="00C822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D27960">
      <w:tc>
        <w:tcPr>
          <w:tcW w:w="2552" w:type="dxa"/>
          <w:vAlign w:val="center"/>
        </w:tcPr>
        <w:p w:rsidR="00D27960" w:rsidRDefault="00C822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D27960" w:rsidRDefault="00C822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27960" w:rsidRDefault="00C8223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60" w:rsidRDefault="00C8223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simplePos x="0" y="0"/>
          <wp:positionH relativeFrom="column">
            <wp:posOffset>-1022349</wp:posOffset>
          </wp:positionH>
          <wp:positionV relativeFrom="paragraph">
            <wp:posOffset>-371474</wp:posOffset>
          </wp:positionV>
          <wp:extent cx="7635240" cy="9942830"/>
          <wp:effectExtent l="0" t="0" r="0" b="0"/>
          <wp:wrapNone/>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D27960">
      <w:tc>
        <w:tcPr>
          <w:tcW w:w="2551" w:type="dxa"/>
          <w:vAlign w:val="center"/>
        </w:tcPr>
        <w:p w:rsidR="00D27960" w:rsidRDefault="00C822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D27960" w:rsidRDefault="00C822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04594/INFOEM/IP/RR/2022 Y ACUMULADOS</w:t>
          </w:r>
        </w:p>
      </w:tc>
    </w:tr>
    <w:tr w:rsidR="00D27960">
      <w:tc>
        <w:tcPr>
          <w:tcW w:w="2551" w:type="dxa"/>
          <w:vAlign w:val="center"/>
        </w:tcPr>
        <w:p w:rsidR="00D27960" w:rsidRDefault="00C8223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D27960" w:rsidRDefault="00805157" w:rsidP="0080515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w:t>
          </w:r>
          <w:r w:rsidR="00C8223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D27960">
      <w:trPr>
        <w:trHeight w:val="228"/>
      </w:trPr>
      <w:tc>
        <w:tcPr>
          <w:tcW w:w="2551" w:type="dxa"/>
          <w:vAlign w:val="center"/>
        </w:tcPr>
        <w:p w:rsidR="00D27960" w:rsidRDefault="00C822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D27960" w:rsidRDefault="00C822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D27960">
      <w:tc>
        <w:tcPr>
          <w:tcW w:w="2551" w:type="dxa"/>
          <w:vAlign w:val="center"/>
        </w:tcPr>
        <w:p w:rsidR="00D27960" w:rsidRDefault="00C822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D27960" w:rsidRDefault="00C822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27960" w:rsidRDefault="00D2796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60" w:rsidRDefault="00C8223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D27960" w:rsidRDefault="00D2796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FC6"/>
    <w:multiLevelType w:val="multilevel"/>
    <w:tmpl w:val="93B048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1E2ACF"/>
    <w:multiLevelType w:val="multilevel"/>
    <w:tmpl w:val="0DA0F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932178"/>
    <w:multiLevelType w:val="multilevel"/>
    <w:tmpl w:val="7E888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60"/>
    <w:rsid w:val="00805157"/>
    <w:rsid w:val="00C8223F"/>
    <w:rsid w:val="00D27960"/>
    <w:rsid w:val="00D32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2935B-8E0B-47CF-B759-259EED22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48oguCv91Gxw8rUfX0AKoxUftg==">AMUW2mVkf2CP+/Qk9B1020MNI261DKLV0C4HOYhRYJFTn4/OKWJwXe+1aSZyI/0+qIlkeDRwiL+tgGAFhWZa4PuUBI3L53w1v4vZCKnogm+LGJ+Qgcn8s+IS8s8aI+bnAhSkxPNLzWDGj20mL3zwRD1TzUlcv4JkEB1aMLTY8XXNqlOmcKncr7K92vOolrF1I0vZ4AAABFgZ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7699</Words>
  <Characters>42345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2022-06-06T18:49:00Z</dcterms:created>
  <dcterms:modified xsi:type="dcterms:W3CDTF">2022-06-06T18:49:00Z</dcterms:modified>
</cp:coreProperties>
</file>