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553A6310"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AB24E7">
        <w:rPr>
          <w:rFonts w:ascii="Palatino Linotype" w:eastAsia="Times New Roman" w:hAnsi="Palatino Linotype" w:cs="Arial"/>
          <w:color w:val="000000"/>
          <w:sz w:val="24"/>
          <w:szCs w:val="24"/>
          <w:lang w:eastAsia="es-MX"/>
        </w:rPr>
        <w:t xml:space="preserve">veinticuatro de marzo de dos mil veintidós.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5A990F11"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01525</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82325">
        <w:rPr>
          <w:rFonts w:ascii="Palatino Linotype" w:hAnsi="Palatino Linotype" w:cs="Arial"/>
          <w:sz w:val="24"/>
        </w:rPr>
        <w:t xml:space="preserve">un particular,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w:t>
      </w:r>
      <w:r w:rsidR="00AB24E7">
        <w:rPr>
          <w:rFonts w:ascii="Palatino Linotype" w:hAnsi="Palatino Linotype" w:cs="Arial"/>
          <w:b/>
          <w:sz w:val="24"/>
        </w:rPr>
        <w:t>Metepec</w:t>
      </w:r>
      <w:r w:rsidR="00682325">
        <w:rPr>
          <w:rFonts w:ascii="Palatino Linotype" w:hAnsi="Palatino Linotype" w:cs="Arial"/>
          <w:b/>
          <w:sz w:val="24"/>
        </w:rPr>
        <w:t xml:space="preserve">, </w:t>
      </w:r>
      <w:r w:rsidR="00F90F72">
        <w:rPr>
          <w:rFonts w:ascii="Palatino Linotype" w:hAnsi="Palatino Linotype" w:cs="Arial"/>
          <w:sz w:val="24"/>
        </w:rPr>
        <w:t xml:space="preserve">en lo </w:t>
      </w:r>
      <w:bookmarkStart w:id="0" w:name="_GoBack"/>
      <w:bookmarkEnd w:id="0"/>
      <w:r w:rsidR="00F90F72">
        <w:rPr>
          <w:rFonts w:ascii="Palatino Linotype" w:hAnsi="Palatino Linotype" w:cs="Arial"/>
          <w:sz w:val="24"/>
        </w:rPr>
        <w:t xml:space="preserve">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493910D" w14:textId="77777777" w:rsidR="00AB24E7" w:rsidRPr="00682325"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AB24E7">
        <w:rPr>
          <w:rFonts w:ascii="Palatino Linotype" w:hAnsi="Palatino Linotype" w:cs="Arial"/>
          <w:sz w:val="24"/>
        </w:rPr>
        <w:t xml:space="preserve">diez de enero de dos mil veintidós, </w:t>
      </w:r>
      <w:r w:rsidR="00AB24E7">
        <w:rPr>
          <w:rFonts w:ascii="Palatino Linotype" w:hAnsi="Palatino Linotype" w:cs="Arial"/>
          <w:b/>
          <w:sz w:val="24"/>
        </w:rPr>
        <w:t xml:space="preserve">El Recurrente, </w:t>
      </w:r>
      <w:r w:rsidR="00AB24E7">
        <w:rPr>
          <w:rFonts w:ascii="Palatino Linotype" w:hAnsi="Palatino Linotype" w:cs="Arial"/>
          <w:sz w:val="24"/>
        </w:rPr>
        <w:t>presentó a través del Sistema de Acceso de Información Mexiquense (</w:t>
      </w:r>
      <w:r w:rsidR="00AB24E7">
        <w:rPr>
          <w:rFonts w:ascii="Palatino Linotype" w:hAnsi="Palatino Linotype" w:cs="Arial"/>
          <w:b/>
          <w:sz w:val="24"/>
        </w:rPr>
        <w:t>SAIMEX)</w:t>
      </w:r>
      <w:r w:rsidR="00AB24E7">
        <w:rPr>
          <w:rFonts w:ascii="Palatino Linotype" w:hAnsi="Palatino Linotype" w:cs="Arial"/>
          <w:sz w:val="24"/>
        </w:rPr>
        <w:t xml:space="preserve"> ante </w:t>
      </w:r>
      <w:r w:rsidR="00AB24E7">
        <w:rPr>
          <w:rFonts w:ascii="Palatino Linotype" w:hAnsi="Palatino Linotype" w:cs="Arial"/>
          <w:b/>
          <w:sz w:val="24"/>
        </w:rPr>
        <w:t>El Sujeto Obligado</w:t>
      </w:r>
      <w:r w:rsidR="00AB24E7">
        <w:rPr>
          <w:rFonts w:ascii="Palatino Linotype" w:hAnsi="Palatino Linotype" w:cs="Arial"/>
          <w:sz w:val="24"/>
        </w:rPr>
        <w:t xml:space="preserve">, solicitud de acceso a la información pública, registrada bajo el número de expediente </w:t>
      </w:r>
      <w:r w:rsidR="00AB24E7">
        <w:rPr>
          <w:rFonts w:ascii="Palatino Linotype" w:hAnsi="Palatino Linotype" w:cs="Arial"/>
          <w:b/>
          <w:sz w:val="24"/>
        </w:rPr>
        <w:t xml:space="preserve">00684/METEPEC/IP/2022, </w:t>
      </w:r>
      <w:r w:rsidR="00AB24E7">
        <w:rPr>
          <w:rFonts w:ascii="Palatino Linotype" w:hAnsi="Palatino Linotype" w:cs="Arial"/>
          <w:sz w:val="24"/>
        </w:rPr>
        <w:t xml:space="preserve">mediante la cual solicitó información en el tenor siguiente: </w:t>
      </w:r>
    </w:p>
    <w:p w14:paraId="41807ECC" w14:textId="4E4136CE" w:rsidR="00682325" w:rsidRPr="00AB24E7" w:rsidRDefault="00AB24E7" w:rsidP="00AB24E7">
      <w:pPr>
        <w:pStyle w:val="Citas"/>
        <w:rPr>
          <w:rStyle w:val="Caracteresdenotaalpie"/>
          <w:b/>
        </w:rPr>
      </w:pPr>
      <w:r>
        <w:rPr>
          <w:rStyle w:val="Caracteresdenotaalpie"/>
        </w:rPr>
        <w:t>“</w:t>
      </w:r>
      <w:r w:rsidRPr="00AB24E7">
        <w:rPr>
          <w:rStyle w:val="Caracteresdenotaalpie"/>
        </w:rPr>
        <w:t>Se solicita por este medio copia de los diseños de todos los sellos institucionales y sellos de recibido de todas las dependencias del Ayuntamiento de Metepec elaborados por la Coordinación de Comunicación Social o dependencia responsable.</w:t>
      </w:r>
      <w:r>
        <w:rPr>
          <w:rStyle w:val="Caracteresdenotaalpie"/>
        </w:rPr>
        <w:t xml:space="preserve">” </w:t>
      </w:r>
      <w:r>
        <w:rPr>
          <w:rStyle w:val="Caracteresdenotaalpie"/>
          <w:b/>
        </w:rPr>
        <w:t>[Sic]</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2560EB79" w14:textId="77777777" w:rsidR="00AB24E7" w:rsidRDefault="00AB24E7" w:rsidP="00AB24E7">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12364299" w14:textId="44A974E3" w:rsidR="00AB24E7" w:rsidRPr="001B4FAB" w:rsidRDefault="00AB24E7" w:rsidP="00AB24E7">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 a la solicitud de información </w:t>
      </w:r>
      <w:r>
        <w:rPr>
          <w:rFonts w:ascii="Palatino Linotype" w:hAnsi="Palatino Linotype" w:cs="Arial"/>
          <w:b/>
          <w:sz w:val="24"/>
          <w:szCs w:val="24"/>
        </w:rPr>
        <w:t xml:space="preserve">00684/METEPEC/IP/2022, </w:t>
      </w:r>
      <w:r>
        <w:rPr>
          <w:rFonts w:ascii="Palatino Linotype" w:hAnsi="Palatino Linotype" w:cs="Arial"/>
          <w:sz w:val="24"/>
          <w:szCs w:val="24"/>
        </w:rPr>
        <w:t xml:space="preserve">se advierte que en fecha veintinueve de enero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sidRPr="00B86269">
        <w:rPr>
          <w:rFonts w:ascii="Palatino Linotype" w:hAnsi="Palatino Linotype"/>
          <w:sz w:val="24"/>
          <w:szCs w:val="24"/>
        </w:rPr>
        <w:t xml:space="preserve">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7EF8EE63" w14:textId="77777777" w:rsidR="00AB24E7" w:rsidRDefault="00AB24E7" w:rsidP="006D5803">
      <w:pPr>
        <w:spacing w:before="240" w:line="360" w:lineRule="auto"/>
        <w:jc w:val="both"/>
        <w:rPr>
          <w:rFonts w:ascii="Palatino Linotype" w:hAnsi="Palatino Linotype" w:cs="Arial"/>
          <w:b/>
          <w:sz w:val="28"/>
        </w:rPr>
      </w:pPr>
    </w:p>
    <w:p w14:paraId="7CD08A2D" w14:textId="583EB2F3" w:rsidR="006D5803" w:rsidRPr="00523CF0" w:rsidRDefault="00AB24E7"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00AEF168" w:rsidR="006D5803" w:rsidRPr="00523CF0" w:rsidRDefault="00AB24E7" w:rsidP="006D5803">
      <w:pPr>
        <w:spacing w:before="240" w:line="360" w:lineRule="auto"/>
        <w:jc w:val="both"/>
        <w:rPr>
          <w:rFonts w:ascii="Palatino Linotype" w:hAnsi="Palatino Linotype" w:cs="Arial"/>
          <w:b/>
          <w:sz w:val="28"/>
        </w:rPr>
      </w:pPr>
      <w:r>
        <w:rPr>
          <w:rFonts w:ascii="Palatino Linotype" w:hAnsi="Palatino Linotype" w:cs="Arial"/>
          <w:b/>
          <w:sz w:val="28"/>
        </w:rPr>
        <w:t>CUARTO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526FDD26" w14:textId="41FC7262" w:rsidR="00AB24E7" w:rsidRPr="00AB24E7"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AB24E7">
        <w:rPr>
          <w:rFonts w:ascii="Palatino Linotype" w:hAnsi="Palatino Linotype" w:cs="Arial"/>
          <w:sz w:val="24"/>
          <w:szCs w:val="24"/>
        </w:rPr>
        <w:t xml:space="preserve">veintitrés de febrero de dos mil veintidós, el cual fue </w:t>
      </w:r>
      <w:r w:rsidR="00AB24E7">
        <w:rPr>
          <w:rFonts w:ascii="Palatino Linotype" w:hAnsi="Palatino Linotype" w:cs="Arial"/>
          <w:sz w:val="24"/>
          <w:szCs w:val="24"/>
        </w:rPr>
        <w:lastRenderedPageBreak/>
        <w:t xml:space="preserve">registrado con el expediente número </w:t>
      </w:r>
      <w:r w:rsidR="00AB24E7">
        <w:rPr>
          <w:rFonts w:ascii="Palatino Linotype" w:hAnsi="Palatino Linotype" w:cs="Arial"/>
          <w:b/>
          <w:sz w:val="24"/>
          <w:szCs w:val="24"/>
        </w:rPr>
        <w:t xml:space="preserve">01525/INFOEM/IP/RR/2022, </w:t>
      </w:r>
      <w:r w:rsidR="00AB24E7">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30FDAEF0" w:rsidR="00315C28" w:rsidRPr="00315C28" w:rsidRDefault="00284441" w:rsidP="00315C28">
      <w:pPr>
        <w:pStyle w:val="Citas"/>
        <w:rPr>
          <w:b/>
          <w:sz w:val="24"/>
          <w:szCs w:val="24"/>
        </w:rPr>
      </w:pPr>
      <w:r w:rsidRPr="00AB24E7">
        <w:t>“</w:t>
      </w:r>
      <w:r w:rsidR="00AB24E7" w:rsidRPr="00AB24E7">
        <w:t>La falta de respuesta del sujeto obligado.</w:t>
      </w:r>
      <w:r w:rsidR="00315C28" w:rsidRPr="00AB24E7">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5F4BC262" w:rsidR="005C3CD1" w:rsidRDefault="00672112" w:rsidP="00792E0C">
      <w:pPr>
        <w:pStyle w:val="Citas"/>
        <w:rPr>
          <w:b/>
        </w:rPr>
      </w:pPr>
      <w:r w:rsidRPr="00AB24E7">
        <w:t>“</w:t>
      </w:r>
      <w:r w:rsidR="00AB24E7" w:rsidRPr="00AB24E7">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w:t>
      </w:r>
      <w:r w:rsidR="00AB24E7" w:rsidRPr="00AB24E7">
        <w:lastRenderedPageBreak/>
        <w:t>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B24E7">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0DE6F827" w:rsidR="006D5803" w:rsidRDefault="00AB24E7" w:rsidP="006D5803">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56139EAE"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AB24E7">
        <w:rPr>
          <w:rFonts w:ascii="Palatino Linotype" w:hAnsi="Palatino Linotype" w:cs="Arial"/>
          <w:sz w:val="24"/>
          <w:szCs w:val="24"/>
        </w:rPr>
        <w:t>veintiocho de febrero de dos mil veintidós 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319934F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AB24E7">
        <w:rPr>
          <w:rFonts w:ascii="Palatino Linotype" w:hAnsi="Palatino Linotype" w:cs="Arial"/>
          <w:b/>
          <w:sz w:val="28"/>
        </w:rPr>
        <w:t>SEXTO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3B5FD3DA"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B24E7">
        <w:rPr>
          <w:rFonts w:ascii="Palatino Linotype" w:hAnsi="Palatino Linotype" w:cs="Arial"/>
          <w:b/>
          <w:sz w:val="24"/>
          <w:szCs w:val="24"/>
        </w:rPr>
        <w:t>catorce</w:t>
      </w:r>
      <w:r w:rsidR="00682325">
        <w:rPr>
          <w:rFonts w:ascii="Palatino Linotype" w:hAnsi="Palatino Linotype" w:cs="Arial"/>
          <w:b/>
          <w:sz w:val="24"/>
          <w:szCs w:val="24"/>
        </w:rPr>
        <w:t xml:space="preserve">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64F1601" w14:textId="77777777" w:rsidR="00AB24E7" w:rsidRPr="00C12209" w:rsidRDefault="00AB24E7" w:rsidP="00F55016">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582D89">
        <w:rPr>
          <w:rFonts w:ascii="Palatino Linotype" w:hAnsi="Palatino Linotype" w:cs="Arial"/>
          <w:sz w:val="24"/>
          <w:szCs w:val="24"/>
          <w:lang w:val="es-ES"/>
        </w:rPr>
        <w:lastRenderedPageBreak/>
        <w:t xml:space="preserve">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4B84743" w14:textId="77777777" w:rsidR="00682325" w:rsidRPr="009B74C2" w:rsidRDefault="00682325" w:rsidP="00682325">
      <w:pPr>
        <w:spacing w:before="240" w:line="360" w:lineRule="auto"/>
        <w:ind w:left="851" w:right="851"/>
        <w:jc w:val="both"/>
        <w:rPr>
          <w:rFonts w:ascii="Palatino Linotype" w:eastAsia="Calibri" w:hAnsi="Palatino Linotype" w:cs="Arial"/>
          <w:b/>
          <w:i/>
          <w:lang w:val="es-ES" w:eastAsia="es-ES"/>
        </w:rPr>
      </w:pP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C4BA51A" w14:textId="77777777" w:rsidR="00682325" w:rsidRPr="00E71AB2" w:rsidRDefault="00682325" w:rsidP="00682325">
      <w:pPr>
        <w:spacing w:before="240" w:line="360" w:lineRule="auto"/>
        <w:ind w:left="851" w:right="851"/>
        <w:jc w:val="both"/>
        <w:rPr>
          <w:rFonts w:ascii="Palatino Linotype" w:eastAsia="Times New Roman" w:hAnsi="Palatino Linotype" w:cs="Times New Roman"/>
          <w:b/>
          <w:i/>
          <w:lang w:val="es-ES" w:eastAsia="es-ES"/>
        </w:rPr>
      </w:pP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w:t>
      </w:r>
      <w:r w:rsidR="00E55C65">
        <w:rPr>
          <w:rFonts w:ascii="Palatino Linotype" w:eastAsia="Times New Roman" w:hAnsi="Palatino Linotype" w:cs="Times New Roman"/>
          <w:sz w:val="24"/>
          <w:szCs w:val="24"/>
          <w:lang w:eastAsia="es-ES"/>
        </w:rPr>
        <w:lastRenderedPageBreak/>
        <w:t xml:space="preserve">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D51ADA1" w14:textId="107C39EC" w:rsidR="000C6D4F" w:rsidRPr="000C6D4F" w:rsidRDefault="000C6D4F" w:rsidP="000C6D4F">
      <w:pPr>
        <w:spacing w:before="240" w:line="360" w:lineRule="auto"/>
        <w:jc w:val="both"/>
        <w:rPr>
          <w:rFonts w:ascii="Palatino Linotype" w:hAnsi="Palatino Linotype"/>
          <w:b/>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Pr>
          <w:rFonts w:ascii="Palatino Linotype" w:hAnsi="Palatino Linotype"/>
          <w:b/>
          <w:sz w:val="24"/>
          <w:szCs w:val="24"/>
        </w:rPr>
        <w:t xml:space="preserve">00684/METEPEC/IP/2022 </w:t>
      </w:r>
      <w:r>
        <w:rPr>
          <w:rFonts w:ascii="Palatino Linotype" w:hAnsi="Palatino Linotype"/>
          <w:sz w:val="24"/>
          <w:szCs w:val="24"/>
        </w:rPr>
        <w:t xml:space="preserve">fue formulado </w:t>
      </w:r>
      <w:r>
        <w:rPr>
          <w:rFonts w:ascii="Palatino Linotype" w:hAnsi="Palatino Linotype"/>
          <w:b/>
          <w:sz w:val="24"/>
          <w:szCs w:val="24"/>
        </w:rPr>
        <w:t xml:space="preserve">1 –un- </w:t>
      </w:r>
      <w:r>
        <w:rPr>
          <w:rFonts w:ascii="Palatino Linotype" w:hAnsi="Palatino Linotype"/>
          <w:sz w:val="24"/>
          <w:szCs w:val="24"/>
        </w:rPr>
        <w:t xml:space="preserve">requerimiento, respecto del cual se desprende que </w:t>
      </w:r>
      <w:r>
        <w:rPr>
          <w:rFonts w:ascii="Palatino Linotype" w:hAnsi="Palatino Linotype"/>
          <w:b/>
          <w:sz w:val="24"/>
          <w:szCs w:val="24"/>
        </w:rPr>
        <w:t xml:space="preserve">El Recurrente </w:t>
      </w:r>
      <w:r>
        <w:rPr>
          <w:rFonts w:ascii="Palatino Linotype" w:hAnsi="Palatino Linotype"/>
          <w:sz w:val="24"/>
          <w:szCs w:val="24"/>
        </w:rPr>
        <w:t xml:space="preserve">fue omiso en señalar elemento temporal debiendo de ser delimitado a la fecha en que se ejerció el derecho de acceso a la información pública, es decir al diez de enero de dos mil veintidós. </w:t>
      </w:r>
    </w:p>
    <w:p w14:paraId="7671A2CF" w14:textId="77777777" w:rsidR="000C6D4F" w:rsidRPr="0051062B" w:rsidRDefault="000C6D4F" w:rsidP="000C6D4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007FC3D5" w14:textId="77777777" w:rsidR="000C6D4F" w:rsidRPr="0051062B" w:rsidRDefault="000C6D4F" w:rsidP="000C6D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08873C2" w14:textId="77777777" w:rsidR="000C6D4F" w:rsidRPr="0051062B" w:rsidRDefault="000C6D4F" w:rsidP="000C6D4F">
      <w:pPr>
        <w:pStyle w:val="Citas"/>
        <w:rPr>
          <w:b/>
        </w:rPr>
      </w:pPr>
      <w:r w:rsidRPr="0051062B">
        <w:rPr>
          <w:b/>
        </w:rPr>
        <w:t xml:space="preserve">Artículo 181. … </w:t>
      </w:r>
    </w:p>
    <w:p w14:paraId="4DCDA7DA" w14:textId="77777777" w:rsidR="000C6D4F" w:rsidRPr="0051062B" w:rsidRDefault="000C6D4F" w:rsidP="000C6D4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BDC93E7" w14:textId="77777777" w:rsidR="000C6D4F" w:rsidRDefault="000C6D4F" w:rsidP="000C6D4F">
      <w:pPr>
        <w:spacing w:before="240" w:line="360" w:lineRule="auto"/>
        <w:jc w:val="both"/>
        <w:rPr>
          <w:rFonts w:ascii="Palatino Linotype" w:hAnsi="Palatino Linotype"/>
          <w:sz w:val="24"/>
          <w:szCs w:val="24"/>
        </w:rPr>
      </w:pP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9FBAA2B" w14:textId="38E8A9CA" w:rsidR="00682325" w:rsidRPr="00682325" w:rsidRDefault="00AB24E7"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Diseños de sellos institucionales y </w:t>
      </w:r>
      <w:r w:rsidR="000C6D4F">
        <w:rPr>
          <w:rFonts w:ascii="Palatino Linotype" w:hAnsi="Palatino Linotype" w:cs="Arial"/>
        </w:rPr>
        <w:t xml:space="preserve">sellos de recibido de todas las dependencias del Ayuntamiento de Metepec elaborados por la Coordinación de Comunicación Social y/o equivalente, al diez de enero de dos mil veintidós. </w:t>
      </w:r>
    </w:p>
    <w:p w14:paraId="1822D2AE" w14:textId="77777777" w:rsidR="00682325" w:rsidRDefault="00682325" w:rsidP="00BB4C07">
      <w:pPr>
        <w:pStyle w:val="Prrafodelista"/>
        <w:autoSpaceDE w:val="0"/>
        <w:autoSpaceDN w:val="0"/>
        <w:adjustRightInd w:val="0"/>
        <w:spacing w:before="240" w:after="160" w:line="360" w:lineRule="auto"/>
        <w:ind w:left="0"/>
        <w:jc w:val="both"/>
        <w:rPr>
          <w:rFonts w:ascii="Palatino Linotype" w:hAnsi="Palatino Linotype" w:cs="Arial"/>
        </w:rPr>
      </w:pPr>
    </w:p>
    <w:p w14:paraId="37C71261" w14:textId="1977EF1F" w:rsidR="00FD6FD8" w:rsidRDefault="00FF4B25" w:rsidP="000C6D4F">
      <w:pPr>
        <w:pStyle w:val="Sinespaciado"/>
        <w:spacing w:line="360" w:lineRule="auto"/>
        <w:jc w:val="both"/>
        <w:rPr>
          <w:rFonts w:ascii="Palatino Linotype" w:hAnsi="Palatino Linotype"/>
          <w:bCs/>
        </w:rPr>
      </w:pPr>
      <w:r>
        <w:rPr>
          <w:rFonts w:ascii="Palatino Linotype" w:hAnsi="Palatino Linotype"/>
          <w:bCs/>
        </w:rPr>
        <w:t xml:space="preserve">En este tenor, en alusión al requerimiento formulado por la particular, resulta oportuno traer a colación </w:t>
      </w:r>
      <w:r w:rsidR="00793B70">
        <w:rPr>
          <w:rFonts w:ascii="Palatino Linotype" w:hAnsi="Palatino Linotype"/>
          <w:bCs/>
        </w:rPr>
        <w:t>los</w:t>
      </w:r>
      <w:r w:rsidR="000C6D4F">
        <w:rPr>
          <w:rFonts w:ascii="Palatino Linotype" w:hAnsi="Palatino Linotype"/>
          <w:bCs/>
        </w:rPr>
        <w:t xml:space="preserve"> numeral</w:t>
      </w:r>
      <w:r w:rsidR="00793B70">
        <w:rPr>
          <w:rFonts w:ascii="Palatino Linotype" w:hAnsi="Palatino Linotype"/>
          <w:bCs/>
        </w:rPr>
        <w:t>es</w:t>
      </w:r>
      <w:r w:rsidR="000C6D4F">
        <w:rPr>
          <w:rFonts w:ascii="Palatino Linotype" w:hAnsi="Palatino Linotype"/>
          <w:bCs/>
        </w:rPr>
        <w:t xml:space="preserve"> 29 </w:t>
      </w:r>
      <w:r w:rsidR="00793B70">
        <w:rPr>
          <w:rFonts w:ascii="Palatino Linotype" w:hAnsi="Palatino Linotype"/>
          <w:bCs/>
        </w:rPr>
        <w:t xml:space="preserve">y 35 </w:t>
      </w:r>
      <w:r w:rsidR="000C6D4F">
        <w:rPr>
          <w:rFonts w:ascii="Palatino Linotype" w:hAnsi="Palatino Linotype"/>
          <w:bCs/>
        </w:rPr>
        <w:t xml:space="preserve">del Bando Municipal 2021,  </w:t>
      </w:r>
      <w:r w:rsidR="00793B70">
        <w:rPr>
          <w:rFonts w:ascii="Palatino Linotype" w:hAnsi="Palatino Linotype"/>
          <w:bCs/>
        </w:rPr>
        <w:t>así como los numerales 3.18, 3.19 y 3.42, fracciones IV y VII del Código de Reglamentación Municipal de Metepec, porciones normativas que disponen a la literalidad lo siguiente:</w:t>
      </w:r>
    </w:p>
    <w:p w14:paraId="11D100E4" w14:textId="26E3BBFC" w:rsidR="00793B70" w:rsidRPr="00793B70" w:rsidRDefault="00793B70" w:rsidP="00793B70">
      <w:pPr>
        <w:pStyle w:val="Citas"/>
        <w:jc w:val="center"/>
        <w:rPr>
          <w:b/>
        </w:rPr>
      </w:pPr>
      <w:r w:rsidRPr="00793B70">
        <w:rPr>
          <w:b/>
        </w:rPr>
        <w:t>Bando Municipal de Metepec</w:t>
      </w:r>
    </w:p>
    <w:p w14:paraId="09AF85DF" w14:textId="59954C00" w:rsidR="00793B70" w:rsidRDefault="00793B70" w:rsidP="00793B70">
      <w:pPr>
        <w:pStyle w:val="Citas"/>
      </w:pPr>
      <w:r>
        <w:t>“</w:t>
      </w:r>
      <w:r w:rsidR="000C6D4F">
        <w:t xml:space="preserve">ARTÍCULO 29.- La Presidencia Municipal para el ejercicio de sus funciones, se auxiliará de las siguientes: </w:t>
      </w:r>
    </w:p>
    <w:p w14:paraId="0B48FCF5" w14:textId="77777777" w:rsidR="00793B70" w:rsidRDefault="000C6D4F" w:rsidP="00793B70">
      <w:pPr>
        <w:pStyle w:val="Citas"/>
      </w:pPr>
      <w:r>
        <w:t xml:space="preserve">I. Unidades de: </w:t>
      </w:r>
    </w:p>
    <w:p w14:paraId="14EC1590" w14:textId="77777777" w:rsidR="00793B70" w:rsidRDefault="000C6D4F" w:rsidP="00793B70">
      <w:pPr>
        <w:pStyle w:val="Citas"/>
      </w:pPr>
      <w:r>
        <w:t xml:space="preserve">a) Oficina de Presidencia; y </w:t>
      </w:r>
    </w:p>
    <w:p w14:paraId="3E3DE11E" w14:textId="40040303" w:rsidR="00793B70" w:rsidRDefault="000C6D4F" w:rsidP="00793B70">
      <w:pPr>
        <w:pStyle w:val="Citas"/>
      </w:pPr>
      <w:r>
        <w:t xml:space="preserve">b) Transparencia; </w:t>
      </w:r>
    </w:p>
    <w:p w14:paraId="74F471CA" w14:textId="77777777" w:rsidR="00793B70" w:rsidRDefault="000C6D4F" w:rsidP="00793B70">
      <w:pPr>
        <w:pStyle w:val="Citas"/>
      </w:pPr>
      <w:r>
        <w:t xml:space="preserve">II. Coordinaciones de: </w:t>
      </w:r>
    </w:p>
    <w:p w14:paraId="7CF23E96" w14:textId="77777777" w:rsidR="00793B70" w:rsidRPr="00793B70" w:rsidRDefault="000C6D4F" w:rsidP="00793B70">
      <w:pPr>
        <w:pStyle w:val="Citas"/>
        <w:rPr>
          <w:b/>
          <w:u w:val="single"/>
        </w:rPr>
      </w:pPr>
      <w:r w:rsidRPr="00793B70">
        <w:rPr>
          <w:b/>
          <w:u w:val="single"/>
        </w:rPr>
        <w:t xml:space="preserve">a) Comunicación Social; </w:t>
      </w:r>
    </w:p>
    <w:p w14:paraId="6D50B34E" w14:textId="77777777" w:rsidR="00793B70" w:rsidRDefault="000C6D4F" w:rsidP="00793B70">
      <w:pPr>
        <w:pStyle w:val="Citas"/>
      </w:pPr>
      <w:r>
        <w:t xml:space="preserve">b) Giras, Logística y Eventos Especiales; </w:t>
      </w:r>
    </w:p>
    <w:p w14:paraId="54D7A6B0" w14:textId="77777777" w:rsidR="00793B70" w:rsidRDefault="000C6D4F" w:rsidP="00793B70">
      <w:pPr>
        <w:pStyle w:val="Citas"/>
      </w:pPr>
      <w:r>
        <w:lastRenderedPageBreak/>
        <w:t xml:space="preserve">c) Gobierno Digital y Electrónico; </w:t>
      </w:r>
    </w:p>
    <w:p w14:paraId="10B79229" w14:textId="70228E38" w:rsidR="00793B70" w:rsidRDefault="000C6D4F" w:rsidP="00793B70">
      <w:pPr>
        <w:pStyle w:val="Citas"/>
      </w:pPr>
      <w:r>
        <w:t xml:space="preserve">d) Protección Civil y Bomberos; y </w:t>
      </w:r>
    </w:p>
    <w:p w14:paraId="6EC6B9A5" w14:textId="5F7B6255" w:rsidR="00682325" w:rsidRDefault="000C6D4F" w:rsidP="00793B70">
      <w:pPr>
        <w:pStyle w:val="Citas"/>
      </w:pPr>
      <w:r>
        <w:t>e) Las demás que determine crear el Ayuntamiento, a propuesta de la Presidenta Municipal. La Presidencia Municipal contará ademá</w:t>
      </w:r>
      <w:r w:rsidR="00793B70">
        <w:t>s con una Secretaría Particular.</w:t>
      </w:r>
    </w:p>
    <w:p w14:paraId="61504531" w14:textId="58D04B89" w:rsidR="00793B70" w:rsidRDefault="00793B70" w:rsidP="00793B70">
      <w:pPr>
        <w:pStyle w:val="Citas"/>
      </w:pPr>
      <w:r>
        <w:t>ARTÍCULO 35.- La Administración Pública Centralizada, es una forma de organización de la Administración Pública del Municipio, la cual se integra por:</w:t>
      </w:r>
    </w:p>
    <w:p w14:paraId="49EE996A" w14:textId="2CE81E69" w:rsidR="00793B70" w:rsidRDefault="00793B70" w:rsidP="00793B70">
      <w:pPr>
        <w:pStyle w:val="Citas"/>
      </w:pPr>
      <w:r>
        <w:t>(…)</w:t>
      </w:r>
    </w:p>
    <w:p w14:paraId="3DB7A5F1" w14:textId="77777777" w:rsidR="00793B70" w:rsidRDefault="00793B70" w:rsidP="00793B70">
      <w:pPr>
        <w:pStyle w:val="Citas"/>
      </w:pPr>
      <w:r>
        <w:t xml:space="preserve">V. Direcciones de: </w:t>
      </w:r>
    </w:p>
    <w:p w14:paraId="5FE368A7" w14:textId="4965D5F5" w:rsidR="00793B70" w:rsidRPr="00793B70" w:rsidRDefault="00793B70" w:rsidP="00793B70">
      <w:pPr>
        <w:pStyle w:val="Citas"/>
        <w:rPr>
          <w:b/>
          <w:u w:val="single"/>
        </w:rPr>
      </w:pPr>
      <w:r w:rsidRPr="00793B70">
        <w:rPr>
          <w:b/>
          <w:u w:val="single"/>
        </w:rPr>
        <w:t>a) Administración;</w:t>
      </w:r>
    </w:p>
    <w:p w14:paraId="62CDF5D0" w14:textId="33C21C3D" w:rsidR="00793B70" w:rsidRPr="00793B70" w:rsidRDefault="00793B70" w:rsidP="00793B70">
      <w:pPr>
        <w:pStyle w:val="Citas"/>
        <w:rPr>
          <w:b/>
        </w:rPr>
      </w:pPr>
      <w:r>
        <w:t xml:space="preserve">(…)” </w:t>
      </w:r>
      <w:r>
        <w:rPr>
          <w:b/>
        </w:rPr>
        <w:t xml:space="preserve">[Sic] </w:t>
      </w:r>
    </w:p>
    <w:p w14:paraId="58CCD6B7" w14:textId="77777777" w:rsidR="00682325" w:rsidRDefault="00682325" w:rsidP="00FD6FD8">
      <w:pPr>
        <w:autoSpaceDE w:val="0"/>
        <w:autoSpaceDN w:val="0"/>
        <w:adjustRightInd w:val="0"/>
        <w:spacing w:line="360" w:lineRule="auto"/>
        <w:jc w:val="both"/>
        <w:rPr>
          <w:rFonts w:ascii="Palatino Linotype" w:hAnsi="Palatino Linotype" w:cs="Arial"/>
        </w:rPr>
      </w:pPr>
    </w:p>
    <w:p w14:paraId="45561A59" w14:textId="20A2FC14" w:rsidR="00682325" w:rsidRPr="00066F7C" w:rsidRDefault="00066F7C" w:rsidP="00066F7C">
      <w:pPr>
        <w:pStyle w:val="Citas"/>
        <w:jc w:val="center"/>
        <w:rPr>
          <w:b/>
        </w:rPr>
      </w:pPr>
      <w:r w:rsidRPr="00066F7C">
        <w:rPr>
          <w:b/>
        </w:rPr>
        <w:t>Código de Reglamentación Municipal de Metepec</w:t>
      </w:r>
    </w:p>
    <w:p w14:paraId="291D3E8C" w14:textId="35EE8926" w:rsidR="00793B70" w:rsidRDefault="00066F7C" w:rsidP="00066F7C">
      <w:pPr>
        <w:pStyle w:val="Citas"/>
      </w:pPr>
      <w:r>
        <w:t>“</w:t>
      </w:r>
      <w:r w:rsidR="00793B70">
        <w:t xml:space="preserve">Artículo 3.18. A la Coordinación de Comunicación Social le corresponde: </w:t>
      </w:r>
    </w:p>
    <w:p w14:paraId="19133FD4" w14:textId="77777777" w:rsidR="00793B70" w:rsidRDefault="00793B70" w:rsidP="00066F7C">
      <w:pPr>
        <w:pStyle w:val="Citas"/>
      </w:pPr>
      <w:r>
        <w:t>I. Informar oportunamente de las gestiones y acciones que el Ayuntamiento, sus áreas, entidades y demás autoridades auxiliares realizan para el bienestar general;</w:t>
      </w:r>
    </w:p>
    <w:p w14:paraId="6B0FE9F6" w14:textId="77777777" w:rsidR="00066F7C" w:rsidRDefault="00793B70" w:rsidP="00066F7C">
      <w:pPr>
        <w:pStyle w:val="Citas"/>
      </w:pPr>
      <w:r>
        <w:t xml:space="preserve"> II. Difundir el acontecer de la vida municipal, en un marco de respeto a la pluralidad, promoviendo las relaciones públicas, tanto internas como externas, propiciando y fortaleciendo la armonía entre los habitantes y el gobierno municipal; y </w:t>
      </w:r>
    </w:p>
    <w:p w14:paraId="4DD17B01" w14:textId="5C8F7C0D" w:rsidR="00793B70" w:rsidRDefault="00793B70" w:rsidP="00066F7C">
      <w:pPr>
        <w:pStyle w:val="Citas"/>
      </w:pPr>
      <w:r>
        <w:t xml:space="preserve">III. Diseñar, implementar y ejecutar las políticas de comunicación social y difusión de acciones del gobierno municipal y fungirá como receptor de quejas y demandas </w:t>
      </w:r>
      <w:r>
        <w:lastRenderedPageBreak/>
        <w:t xml:space="preserve">ciudadanas en los medios de comunicación, para canalizarlas a los órganos y dependencias administrativas competentes. </w:t>
      </w:r>
    </w:p>
    <w:p w14:paraId="61DCDDA8" w14:textId="77777777" w:rsidR="00793B70" w:rsidRDefault="00793B70" w:rsidP="00066F7C">
      <w:pPr>
        <w:pStyle w:val="Citas"/>
      </w:pPr>
      <w:r>
        <w:t>Artículo 3.19. La Coordinación de Comunicación Social tendrá las atribuciones las siguientes:</w:t>
      </w:r>
    </w:p>
    <w:p w14:paraId="697A0162" w14:textId="77777777" w:rsidR="00793B70" w:rsidRDefault="00793B70" w:rsidP="00066F7C">
      <w:pPr>
        <w:pStyle w:val="Citas"/>
      </w:pPr>
      <w:r>
        <w:t xml:space="preserve"> I. Coordinar la cobertura informativa de giras y eventos del Ayuntamiento, de las dependencias y organismos descentralizados y autónomos, que se lleven a cabo dentro y fuera del Municipio; </w:t>
      </w:r>
    </w:p>
    <w:p w14:paraId="1A58D4C9" w14:textId="77777777" w:rsidR="00793B70" w:rsidRDefault="00793B70" w:rsidP="00066F7C">
      <w:pPr>
        <w:pStyle w:val="Citas"/>
      </w:pPr>
      <w:r>
        <w:t xml:space="preserve">II. Elaborar boletines informativos; </w:t>
      </w:r>
    </w:p>
    <w:p w14:paraId="4991C477" w14:textId="77777777" w:rsidR="00793B70" w:rsidRDefault="00793B70" w:rsidP="00066F7C">
      <w:pPr>
        <w:pStyle w:val="Citas"/>
      </w:pPr>
      <w:r>
        <w:t xml:space="preserve">III. Difundir las acciones y actos de gobierno; </w:t>
      </w:r>
    </w:p>
    <w:p w14:paraId="224D0495" w14:textId="77777777" w:rsidR="00793B70" w:rsidRDefault="00793B70" w:rsidP="00066F7C">
      <w:pPr>
        <w:pStyle w:val="Citas"/>
      </w:pPr>
      <w:r>
        <w:t xml:space="preserve">IV. Elaborar mapas de la influencia de los medios de comunicación por regiones o sectores de la población, para determinar una adecuada estrategia de difusión y jerarquizar su empleo; </w:t>
      </w:r>
    </w:p>
    <w:p w14:paraId="716D6E4E" w14:textId="77777777" w:rsidR="00793B70" w:rsidRDefault="00793B70" w:rsidP="00066F7C">
      <w:pPr>
        <w:pStyle w:val="Citas"/>
      </w:pPr>
      <w:r>
        <w:t xml:space="preserve">V. Instrumentar una política de relaciones públicas entre la administración municipal y los medios de comunicación; </w:t>
      </w:r>
    </w:p>
    <w:p w14:paraId="05417194" w14:textId="77777777" w:rsidR="00793B70" w:rsidRDefault="00793B70" w:rsidP="00066F7C">
      <w:pPr>
        <w:pStyle w:val="Citas"/>
      </w:pPr>
      <w:r>
        <w:t xml:space="preserve">VI. Priorizar la difusión de aquellos actos y gestiones de gobierno que tengan mayor trascendencia para la vida social y política de Metepec; </w:t>
      </w:r>
    </w:p>
    <w:p w14:paraId="62EB3E39" w14:textId="77777777" w:rsidR="00793B70" w:rsidRDefault="00793B70" w:rsidP="00066F7C">
      <w:pPr>
        <w:pStyle w:val="Citas"/>
      </w:pPr>
      <w:r>
        <w:t xml:space="preserve">VII. Organizar y sistematizar la información relativa a los actos, ceremonias y conferencias en las que participen las autoridades municipales; </w:t>
      </w:r>
    </w:p>
    <w:p w14:paraId="08F19928" w14:textId="77777777" w:rsidR="00793B70" w:rsidRDefault="00793B70" w:rsidP="00066F7C">
      <w:pPr>
        <w:pStyle w:val="Citas"/>
      </w:pPr>
      <w:r>
        <w:t>VIII. Definir que los recursos de comunicación social coadyuven en la opinión pública;</w:t>
      </w:r>
    </w:p>
    <w:p w14:paraId="38192FF4" w14:textId="378D4F06" w:rsidR="00793B70" w:rsidRDefault="00793B70" w:rsidP="00066F7C">
      <w:pPr>
        <w:pStyle w:val="Citas"/>
      </w:pPr>
      <w:r>
        <w:lastRenderedPageBreak/>
        <w:t xml:space="preserve"> IX. Proporcionar a los medios de comunicación información de las actividades realizadas por las áreas, organismos y entidades de la administración pública municipal; </w:t>
      </w:r>
    </w:p>
    <w:p w14:paraId="07449DFB" w14:textId="77777777" w:rsidR="00793B70" w:rsidRDefault="00793B70" w:rsidP="00066F7C">
      <w:pPr>
        <w:pStyle w:val="Citas"/>
      </w:pPr>
      <w:r>
        <w:t xml:space="preserve">X. Difundir los proyectos, programas y actividades del Presidente; </w:t>
      </w:r>
    </w:p>
    <w:p w14:paraId="716958D8" w14:textId="77777777" w:rsidR="00793B70" w:rsidRDefault="00793B70" w:rsidP="00066F7C">
      <w:pPr>
        <w:pStyle w:val="Citas"/>
      </w:pPr>
      <w:r w:rsidRPr="00066F7C">
        <w:t>XI. Diseñar y producir campañas de difusión de las acciones del gobierno municipal;</w:t>
      </w:r>
      <w:r>
        <w:t xml:space="preserve"> y </w:t>
      </w:r>
    </w:p>
    <w:p w14:paraId="133DA971" w14:textId="71824596" w:rsidR="00682325" w:rsidRPr="00066F7C" w:rsidRDefault="00793B70" w:rsidP="00066F7C">
      <w:pPr>
        <w:pStyle w:val="Citas"/>
        <w:rPr>
          <w:b/>
          <w:u w:val="single"/>
        </w:rPr>
      </w:pPr>
      <w:r w:rsidRPr="00066F7C">
        <w:rPr>
          <w:b/>
          <w:u w:val="single"/>
        </w:rPr>
        <w:t>XII. Las demás que le señalen otros ordenamientos jurídicos aplicables, o aquellas que el Presidente le confiera.</w:t>
      </w:r>
    </w:p>
    <w:p w14:paraId="2DB473B8" w14:textId="65C67133" w:rsidR="00793B70" w:rsidRDefault="00793B70" w:rsidP="00066F7C">
      <w:pPr>
        <w:pStyle w:val="Citas"/>
      </w:pPr>
      <w:r>
        <w:t>Artículo 3.42. La Dirección de Administración tiene a su cargo las siguientes atribuciones:</w:t>
      </w:r>
    </w:p>
    <w:p w14:paraId="63B00CF1" w14:textId="651CE5A6" w:rsidR="00066F7C" w:rsidRDefault="00066F7C" w:rsidP="00066F7C">
      <w:pPr>
        <w:pStyle w:val="Citas"/>
      </w:pPr>
      <w:r>
        <w:t>(…)</w:t>
      </w:r>
    </w:p>
    <w:p w14:paraId="7EC826CB" w14:textId="33FDE558" w:rsidR="00793B70" w:rsidRDefault="00793B70" w:rsidP="00066F7C">
      <w:pPr>
        <w:pStyle w:val="Citas"/>
      </w:pPr>
      <w:r>
        <w:t>IV. Llevar a cabo las adquisiciones de bienes, arrendamiento de bienes muebles y la contratación de servicios que requieran las distintas áreas, ajustándose en su caso a las decisiones del Comité de Adquisiciones vigilando su cumplimiento, en estricto apego a las disposiciones legales de la materia;</w:t>
      </w:r>
    </w:p>
    <w:p w14:paraId="2E54290D" w14:textId="1D8C79D1" w:rsidR="00793B70" w:rsidRDefault="00793B70" w:rsidP="00066F7C">
      <w:pPr>
        <w:pStyle w:val="Citas"/>
      </w:pPr>
      <w:r>
        <w:t>(…)</w:t>
      </w:r>
    </w:p>
    <w:p w14:paraId="312A11DB" w14:textId="4F51EDC9" w:rsidR="00793B70" w:rsidRDefault="00793B70" w:rsidP="00066F7C">
      <w:pPr>
        <w:pStyle w:val="Citas"/>
      </w:pPr>
      <w:r>
        <w:t>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1B104C4D" w14:textId="6499D3E6" w:rsidR="00066F7C" w:rsidRPr="00066F7C" w:rsidRDefault="00066F7C" w:rsidP="00066F7C">
      <w:pPr>
        <w:pStyle w:val="Citas"/>
        <w:rPr>
          <w:b/>
        </w:rPr>
      </w:pPr>
      <w:r>
        <w:lastRenderedPageBreak/>
        <w:t xml:space="preserve">(…)” </w:t>
      </w:r>
      <w:r>
        <w:rPr>
          <w:b/>
        </w:rPr>
        <w:t>[Sic]</w:t>
      </w:r>
    </w:p>
    <w:p w14:paraId="5F85287D" w14:textId="77777777" w:rsidR="00793B70" w:rsidRDefault="00793B70" w:rsidP="00FD6FD8">
      <w:pPr>
        <w:autoSpaceDE w:val="0"/>
        <w:autoSpaceDN w:val="0"/>
        <w:adjustRightInd w:val="0"/>
        <w:spacing w:line="360" w:lineRule="auto"/>
        <w:jc w:val="both"/>
      </w:pPr>
    </w:p>
    <w:p w14:paraId="0CEA7CB8" w14:textId="3F69EBB0" w:rsidR="00AF6103" w:rsidRDefault="00AF6103" w:rsidP="00AF61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efecto, de la normatividad plasmada con anterioridad se desprende que la esfera competencial del Coordinador de Comunicación Social le constriñe a autorizar la imagen pública municipal, difundir las acciones y actos de gobierno, así como producir campañas de difusión de resultados. En contraste, uno de los ejes rectores de la Dirección de Administración estriba en las adquisiciones de bienes y servicios, así como la celebración de licitaciones públi</w:t>
      </w:r>
      <w:r w:rsidR="00562ABA">
        <w:rPr>
          <w:rFonts w:ascii="Palatino Linotype" w:hAnsi="Palatino Linotype" w:cs="Arial"/>
        </w:rPr>
        <w:t xml:space="preserve">cas o invitaciones restringidas, atribuciones que engloban procedimientos adquisitivos de sellos con base en la imagen institucional aprobada por la Coordinación competente. </w:t>
      </w:r>
      <w:r>
        <w:rPr>
          <w:rFonts w:ascii="Palatino Linotype" w:hAnsi="Palatino Linotype" w:cs="Arial"/>
        </w:rPr>
        <w:t xml:space="preserve"> </w:t>
      </w:r>
      <w:r>
        <w:rPr>
          <w:rFonts w:ascii="Palatino Linotype" w:hAnsi="Palatino Linotype" w:cs="Arial"/>
        </w:rPr>
        <w:tab/>
      </w:r>
    </w:p>
    <w:p w14:paraId="0AFB9807" w14:textId="77777777" w:rsidR="00AF6103" w:rsidRDefault="00AF6103" w:rsidP="00AF61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público </w:t>
      </w:r>
    </w:p>
    <w:p w14:paraId="7103F133" w14:textId="77777777" w:rsidR="00AF6103" w:rsidRDefault="00AF6103" w:rsidP="00AF6103">
      <w:pPr>
        <w:pStyle w:val="Prrafodelista"/>
        <w:autoSpaceDE w:val="0"/>
        <w:autoSpaceDN w:val="0"/>
        <w:adjustRightInd w:val="0"/>
        <w:spacing w:line="360" w:lineRule="auto"/>
        <w:ind w:left="0"/>
        <w:jc w:val="both"/>
        <w:rPr>
          <w:rFonts w:ascii="Palatino Linotype" w:hAnsi="Palatino Linotype"/>
          <w:bCs/>
        </w:rPr>
      </w:pPr>
    </w:p>
    <w:p w14:paraId="3F491542" w14:textId="081DDAE5"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w:t>
      </w:r>
      <w:r w:rsidR="001F4FD1">
        <w:rPr>
          <w:rFonts w:ascii="Palatino Linotype" w:eastAsia="Times New Roman" w:hAnsi="Palatino Linotype" w:cs="Arial"/>
          <w:sz w:val="24"/>
          <w:szCs w:val="24"/>
          <w:lang w:val="es-ES" w:eastAsia="es-ES"/>
        </w:rPr>
        <w:t>tercero</w:t>
      </w:r>
      <w:r>
        <w:rPr>
          <w:rFonts w:ascii="Palatino Linotype" w:eastAsia="Times New Roman" w:hAnsi="Palatino Linotype" w:cs="Arial"/>
          <w:sz w:val="24"/>
          <w:szCs w:val="24"/>
          <w:lang w:val="es-ES" w:eastAsia="es-ES"/>
        </w:rPr>
        <w:t xml:space="preserve"> y </w:t>
      </w:r>
      <w:r w:rsidR="00F25B98">
        <w:rPr>
          <w:rFonts w:ascii="Palatino Linotype" w:eastAsia="Times New Roman" w:hAnsi="Palatino Linotype" w:cs="Arial"/>
          <w:sz w:val="24"/>
          <w:szCs w:val="24"/>
          <w:lang w:val="es-ES" w:eastAsia="es-ES"/>
        </w:rPr>
        <w:t>sexto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71C155D2" w14:textId="77777777"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106591E" w14:textId="77777777" w:rsidR="00AF6103" w:rsidRPr="00904608" w:rsidRDefault="00AF6103" w:rsidP="00AF6103">
      <w:pPr>
        <w:spacing w:line="360" w:lineRule="auto"/>
        <w:jc w:val="both"/>
        <w:rPr>
          <w:rFonts w:ascii="Palatino Linotype" w:hAnsi="Palatino Linotype"/>
          <w:bCs/>
          <w:sz w:val="24"/>
          <w:szCs w:val="24"/>
        </w:rPr>
      </w:pPr>
      <w:r w:rsidRPr="00904608">
        <w:rPr>
          <w:rFonts w:ascii="Palatino Linotype" w:hAnsi="Palatino Linotype"/>
          <w:bCs/>
          <w:sz w:val="24"/>
          <w:szCs w:val="24"/>
        </w:rPr>
        <w:lastRenderedPageBreak/>
        <w:t xml:space="preserve">En virtud de lo anterior, resulta viable la entrega, en versión pública de ser procedente, acompañada del acuerdo de clasificación correspondiente, de la siguiente información: </w:t>
      </w:r>
    </w:p>
    <w:p w14:paraId="27B77570" w14:textId="77777777" w:rsidR="00AF6103" w:rsidRPr="00682325" w:rsidRDefault="00AF6103" w:rsidP="00AF6103">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Diseños de sellos institucionales y sellos de recibido de todas las dependencias del Ayuntamiento de Metepec elaborados por la Coordinación de Comunicación Social y/o equivalente, al diez de enero de dos mil veintidós. </w:t>
      </w:r>
    </w:p>
    <w:p w14:paraId="0821ED66" w14:textId="77777777" w:rsidR="00AF6103" w:rsidRDefault="00AF6103" w:rsidP="00AF6103">
      <w:pPr>
        <w:pStyle w:val="Prrafodelista"/>
        <w:autoSpaceDE w:val="0"/>
        <w:autoSpaceDN w:val="0"/>
        <w:adjustRightInd w:val="0"/>
        <w:spacing w:line="360" w:lineRule="auto"/>
        <w:ind w:left="0"/>
        <w:jc w:val="both"/>
        <w:rPr>
          <w:rFonts w:ascii="Palatino Linotype" w:hAnsi="Palatino Linotype" w:cs="Arial"/>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F7B832D" w14:textId="77777777" w:rsidR="00692345" w:rsidRPr="001571EB" w:rsidRDefault="00692345" w:rsidP="006F60C5">
      <w:pPr>
        <w:tabs>
          <w:tab w:val="left" w:pos="7938"/>
        </w:tabs>
        <w:spacing w:before="240" w:after="240" w:line="360" w:lineRule="auto"/>
        <w:jc w:val="both"/>
        <w:rPr>
          <w:rFonts w:ascii="Palatino Linotype" w:eastAsia="Arial Unicode MS" w:hAnsi="Palatino Linotype" w:cs="Arial"/>
          <w:sz w:val="24"/>
          <w:szCs w:val="24"/>
        </w:rPr>
      </w:pP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82331D2" w14:textId="77777777" w:rsidR="006F60C5" w:rsidRPr="003A5A19" w:rsidRDefault="006F60C5" w:rsidP="006F60C5">
      <w:pPr>
        <w:pStyle w:val="Citas"/>
        <w:rPr>
          <w:shd w:val="clear" w:color="auto" w:fill="FFFFFF"/>
        </w:rPr>
      </w:pP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4AFE5A6F"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AF6103">
        <w:rPr>
          <w:rFonts w:ascii="Palatino Linotype" w:hAnsi="Palatino Linotype" w:cs="Arial"/>
          <w:b/>
          <w:sz w:val="24"/>
          <w:szCs w:val="24"/>
          <w:lang w:eastAsia="es-MX"/>
        </w:rPr>
        <w:t>00684/METEPEC/IP/2022</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292B6C05" w:rsidR="006F60C5" w:rsidRPr="00A96773" w:rsidRDefault="006F60C5" w:rsidP="006F60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AF6103">
        <w:rPr>
          <w:rFonts w:ascii="Palatino Linotype" w:hAnsi="Palatino Linotype" w:cs="Arial"/>
          <w:b/>
          <w:lang w:eastAsia="es-MX"/>
        </w:rPr>
        <w:t>00684/METEPEC/IP/2022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w:t>
      </w:r>
      <w:r w:rsidRPr="00BE383C">
        <w:rPr>
          <w:rFonts w:ascii="Palatino Linotype" w:hAnsi="Palatino Linotype" w:cstheme="minorHAnsi"/>
          <w:color w:val="222222"/>
          <w:lang w:eastAsia="es-ES_tradnl"/>
        </w:rPr>
        <w:lastRenderedPageBreak/>
        <w:t xml:space="preserve">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3EF5360D" w14:textId="66F45A24"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E06D9E">
        <w:rPr>
          <w:rFonts w:ascii="Palatino Linotype" w:hAnsi="Palatino Linotype" w:cs="Arial"/>
        </w:rPr>
        <w:t xml:space="preserve"> (AUSENCIA JUSTIFICADA)</w:t>
      </w:r>
      <w:r w:rsidRPr="00266B85">
        <w:rPr>
          <w:rFonts w:ascii="Palatino Linotype" w:hAnsi="Palatino Linotype" w:cs="Arial"/>
        </w:rPr>
        <w:t xml:space="preserve"> Y GUADALUPE RAMÍREZ PEÑA; EN LA </w:t>
      </w:r>
      <w:r>
        <w:rPr>
          <w:rFonts w:ascii="Palatino Linotype" w:hAnsi="Palatino Linotype" w:cs="Arial"/>
        </w:rPr>
        <w:t>DÉCIMA</w:t>
      </w:r>
      <w:r w:rsidRPr="00266B85">
        <w:rPr>
          <w:rFonts w:ascii="Palatino Linotype" w:hAnsi="Palatino Linotype" w:cs="Arial"/>
        </w:rPr>
        <w:t xml:space="preserve">  </w:t>
      </w:r>
      <w:r w:rsidR="00B47359">
        <w:rPr>
          <w:rFonts w:ascii="Palatino Linotype" w:hAnsi="Palatino Linotype" w:cs="Arial"/>
        </w:rPr>
        <w:t xml:space="preserve">PRIMERA </w:t>
      </w:r>
      <w:r w:rsidRPr="00266B85">
        <w:rPr>
          <w:rFonts w:ascii="Palatino Linotype" w:hAnsi="Palatino Linotype" w:cs="Arial"/>
        </w:rPr>
        <w:t xml:space="preserve">SESIÓN ORDINARIA CELEBRADA EL </w:t>
      </w:r>
      <w:r w:rsidR="00B47359">
        <w:rPr>
          <w:rFonts w:ascii="Palatino Linotype" w:hAnsi="Palatino Linotype" w:cs="Arial"/>
        </w:rPr>
        <w:t>VEINTICUATRO</w:t>
      </w:r>
      <w:r>
        <w:rPr>
          <w:rFonts w:ascii="Palatino Linotype" w:hAnsi="Palatino Linotype" w:cs="Arial"/>
        </w:rPr>
        <w:t xml:space="preserve"> DE MARZO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60277979" w14:textId="1CA7D8D3" w:rsidR="006F60C5" w:rsidRDefault="00435B8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2816" behindDoc="0" locked="0" layoutInCell="1" allowOverlap="1" wp14:anchorId="3D69A8C4" wp14:editId="0D486B79">
                <wp:simplePos x="0" y="0"/>
                <wp:positionH relativeFrom="column">
                  <wp:posOffset>-231049</wp:posOffset>
                </wp:positionH>
                <wp:positionV relativeFrom="paragraph">
                  <wp:posOffset>428856</wp:posOffset>
                </wp:positionV>
                <wp:extent cx="6444623" cy="1278304"/>
                <wp:effectExtent l="0" t="0" r="32385" b="36195"/>
                <wp:wrapNone/>
                <wp:docPr id="4" name="Conector recto 4"/>
                <wp:cNvGraphicFramePr/>
                <a:graphic xmlns:a="http://schemas.openxmlformats.org/drawingml/2006/main">
                  <a:graphicData uri="http://schemas.microsoft.com/office/word/2010/wordprocessingShape">
                    <wps:wsp>
                      <wps:cNvCnPr/>
                      <wps:spPr>
                        <a:xfrm>
                          <a:off x="0" y="0"/>
                          <a:ext cx="6444623" cy="1278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289C6" id="Conector recto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33.75pt" to="489.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" strokecolor="#5b9bd5 [3204]" strokeweight=".5pt">
                <v:stroke joinstyle="miter"/>
              </v:line>
            </w:pict>
          </mc:Fallback>
        </mc:AlternateContent>
      </w:r>
      <w:r w:rsidR="006F60C5">
        <w:rPr>
          <w:rFonts w:ascii="Palatino Linotype" w:hAnsi="Palatino Linotype"/>
          <w:bCs/>
          <w:sz w:val="18"/>
          <w:szCs w:val="18"/>
        </w:rPr>
        <w:t>CCR/J</w:t>
      </w:r>
      <w:r w:rsidR="006F60C5" w:rsidRPr="00280B8B">
        <w:rPr>
          <w:rFonts w:ascii="Palatino Linotype" w:hAnsi="Palatino Linotype"/>
          <w:bCs/>
          <w:sz w:val="18"/>
          <w:szCs w:val="18"/>
        </w:rPr>
        <w:t>CMA</w:t>
      </w:r>
    </w:p>
    <w:p w14:paraId="656BEE3F" w14:textId="5D13C6F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21CEDA98" w14:textId="77777777" w:rsidR="001A319E" w:rsidRDefault="001A319E" w:rsidP="00FD6FD8">
      <w:pPr>
        <w:autoSpaceDE w:val="0"/>
        <w:autoSpaceDN w:val="0"/>
        <w:adjustRightInd w:val="0"/>
        <w:spacing w:line="360" w:lineRule="auto"/>
        <w:jc w:val="both"/>
        <w:rPr>
          <w:rFonts w:ascii="Palatino Linotype" w:hAnsi="Palatino Linotype" w:cs="Arial"/>
        </w:rPr>
      </w:pPr>
    </w:p>
    <w:p w14:paraId="17A4B457" w14:textId="77777777" w:rsidR="001A319E" w:rsidRDefault="001A319E" w:rsidP="00FD6FD8">
      <w:pPr>
        <w:autoSpaceDE w:val="0"/>
        <w:autoSpaceDN w:val="0"/>
        <w:adjustRightInd w:val="0"/>
        <w:spacing w:line="360" w:lineRule="auto"/>
        <w:jc w:val="both"/>
        <w:rPr>
          <w:rFonts w:ascii="Palatino Linotype" w:hAnsi="Palatino Linotype" w:cs="Arial"/>
        </w:rPr>
      </w:pPr>
    </w:p>
    <w:p w14:paraId="24A72D26" w14:textId="77777777" w:rsidR="001A319E" w:rsidRDefault="001A319E" w:rsidP="00FD6FD8">
      <w:pPr>
        <w:autoSpaceDE w:val="0"/>
        <w:autoSpaceDN w:val="0"/>
        <w:adjustRightInd w:val="0"/>
        <w:spacing w:line="360" w:lineRule="auto"/>
        <w:jc w:val="both"/>
        <w:rPr>
          <w:rFonts w:ascii="Palatino Linotype" w:hAnsi="Palatino Linotype" w:cs="Arial"/>
        </w:rPr>
      </w:pPr>
    </w:p>
    <w:p w14:paraId="1848070F" w14:textId="77777777" w:rsidR="001A319E" w:rsidRDefault="001A319E" w:rsidP="00FD6FD8">
      <w:pPr>
        <w:autoSpaceDE w:val="0"/>
        <w:autoSpaceDN w:val="0"/>
        <w:adjustRightInd w:val="0"/>
        <w:spacing w:line="360" w:lineRule="auto"/>
        <w:jc w:val="both"/>
        <w:rPr>
          <w:rFonts w:ascii="Palatino Linotype" w:hAnsi="Palatino Linotype" w:cs="Arial"/>
        </w:rPr>
      </w:pPr>
    </w:p>
    <w:p w14:paraId="1E438798" w14:textId="77777777" w:rsidR="001A319E" w:rsidRDefault="001A319E" w:rsidP="00FD6FD8">
      <w:pPr>
        <w:autoSpaceDE w:val="0"/>
        <w:autoSpaceDN w:val="0"/>
        <w:adjustRightInd w:val="0"/>
        <w:spacing w:line="360" w:lineRule="auto"/>
        <w:jc w:val="both"/>
        <w:rPr>
          <w:rFonts w:ascii="Palatino Linotype" w:hAnsi="Palatino Linotype" w:cs="Arial"/>
        </w:rPr>
      </w:pPr>
    </w:p>
    <w:p w14:paraId="1FB58E17" w14:textId="77777777" w:rsidR="001A319E" w:rsidRDefault="001A319E" w:rsidP="00FD6FD8">
      <w:pPr>
        <w:autoSpaceDE w:val="0"/>
        <w:autoSpaceDN w:val="0"/>
        <w:adjustRightInd w:val="0"/>
        <w:spacing w:line="360" w:lineRule="auto"/>
        <w:jc w:val="both"/>
        <w:rPr>
          <w:rFonts w:ascii="Palatino Linotype" w:hAnsi="Palatino Linotype" w:cs="Arial"/>
        </w:rPr>
      </w:pPr>
    </w:p>
    <w:p w14:paraId="31EF4C59" w14:textId="77777777" w:rsidR="001A319E" w:rsidRDefault="001A319E" w:rsidP="00FD6FD8">
      <w:pPr>
        <w:autoSpaceDE w:val="0"/>
        <w:autoSpaceDN w:val="0"/>
        <w:adjustRightInd w:val="0"/>
        <w:spacing w:line="360" w:lineRule="auto"/>
        <w:jc w:val="both"/>
        <w:rPr>
          <w:rFonts w:ascii="Palatino Linotype" w:hAnsi="Palatino Linotype" w:cs="Arial"/>
        </w:rPr>
      </w:pPr>
    </w:p>
    <w:p w14:paraId="4450B851"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63A68" w14:textId="77777777" w:rsidR="00D42C3F" w:rsidRDefault="00D42C3F" w:rsidP="006168E4">
      <w:pPr>
        <w:spacing w:after="0" w:line="240" w:lineRule="auto"/>
      </w:pPr>
      <w:r>
        <w:separator/>
      </w:r>
    </w:p>
  </w:endnote>
  <w:endnote w:type="continuationSeparator" w:id="0">
    <w:p w14:paraId="7C1F4B7C" w14:textId="77777777" w:rsidR="00D42C3F" w:rsidRDefault="00D42C3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19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319D">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1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319D">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A162" w14:textId="77777777" w:rsidR="00D42C3F" w:rsidRDefault="00D42C3F" w:rsidP="006168E4">
      <w:pPr>
        <w:spacing w:after="0" w:line="240" w:lineRule="auto"/>
      </w:pPr>
      <w:r>
        <w:separator/>
      </w:r>
    </w:p>
  </w:footnote>
  <w:footnote w:type="continuationSeparator" w:id="0">
    <w:p w14:paraId="26925D8A" w14:textId="77777777" w:rsidR="00D42C3F" w:rsidRDefault="00D42C3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6B42253"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01525</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604C07B" w:rsidR="009745ED" w:rsidRPr="00F06FED" w:rsidRDefault="009745ED" w:rsidP="00AB24E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6C428DD"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01525</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A90755" w:rsidR="009745ED" w:rsidRPr="00F06FED" w:rsidRDefault="0065319D"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10FE386" w:rsidR="009745ED" w:rsidRDefault="009745ED" w:rsidP="00AB24E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B24E7">
            <w:rPr>
              <w:rFonts w:ascii="Palatino Linotype" w:hAnsi="Palatino Linotype" w:cs="Arial"/>
              <w:szCs w:val="20"/>
            </w:rPr>
            <w:t>Metepec</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8"/>
  </w:num>
  <w:num w:numId="5">
    <w:abstractNumId w:val="0"/>
  </w:num>
  <w:num w:numId="6">
    <w:abstractNumId w:val="14"/>
  </w:num>
  <w:num w:numId="7">
    <w:abstractNumId w:val="13"/>
  </w:num>
  <w:num w:numId="8">
    <w:abstractNumId w:val="4"/>
  </w:num>
  <w:num w:numId="9">
    <w:abstractNumId w:val="1"/>
  </w:num>
  <w:num w:numId="10">
    <w:abstractNumId w:val="2"/>
  </w:num>
  <w:num w:numId="11">
    <w:abstractNumId w:val="3"/>
  </w:num>
  <w:num w:numId="12">
    <w:abstractNumId w:val="9"/>
  </w:num>
  <w:num w:numId="13">
    <w:abstractNumId w:val="10"/>
  </w:num>
  <w:num w:numId="14">
    <w:abstractNumId w:val="6"/>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F7C"/>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372"/>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78B2"/>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D6D74"/>
    <w:rsid w:val="001E0C3F"/>
    <w:rsid w:val="001E11BF"/>
    <w:rsid w:val="001E3960"/>
    <w:rsid w:val="001E5168"/>
    <w:rsid w:val="001E58D8"/>
    <w:rsid w:val="001E78AA"/>
    <w:rsid w:val="001F2101"/>
    <w:rsid w:val="001F2360"/>
    <w:rsid w:val="001F3969"/>
    <w:rsid w:val="001F4FD1"/>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906C8"/>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4025"/>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319D"/>
    <w:rsid w:val="00655735"/>
    <w:rsid w:val="00661404"/>
    <w:rsid w:val="00661753"/>
    <w:rsid w:val="006646AC"/>
    <w:rsid w:val="00664D5B"/>
    <w:rsid w:val="0067097E"/>
    <w:rsid w:val="00671D7C"/>
    <w:rsid w:val="00672112"/>
    <w:rsid w:val="00676C2E"/>
    <w:rsid w:val="00681802"/>
    <w:rsid w:val="00682225"/>
    <w:rsid w:val="006822F4"/>
    <w:rsid w:val="00682325"/>
    <w:rsid w:val="00682B6F"/>
    <w:rsid w:val="00683417"/>
    <w:rsid w:val="00684893"/>
    <w:rsid w:val="006848B7"/>
    <w:rsid w:val="00684CBE"/>
    <w:rsid w:val="00686FC2"/>
    <w:rsid w:val="00687BF9"/>
    <w:rsid w:val="00692345"/>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0EA3"/>
    <w:rsid w:val="00A61900"/>
    <w:rsid w:val="00A625E2"/>
    <w:rsid w:val="00A62AA3"/>
    <w:rsid w:val="00A62B55"/>
    <w:rsid w:val="00A64C80"/>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2C3F"/>
    <w:rsid w:val="00D44A9E"/>
    <w:rsid w:val="00D46910"/>
    <w:rsid w:val="00D475A2"/>
    <w:rsid w:val="00D5015D"/>
    <w:rsid w:val="00D5180F"/>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9DE"/>
    <w:rsid w:val="00DB037C"/>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
    <w:rsid w:val="006F60C5"/>
    <w:tblPr>
      <w:tblStyleRowBandSize w:val="1"/>
      <w:tblStyleColBandSize w:val="1"/>
      <w:tblCellMar>
        <w:top w:w="0" w:type="dxa"/>
        <w:left w:w="115" w:type="dxa"/>
        <w:bottom w:w="0" w:type="dxa"/>
        <w:right w:w="115" w:type="dxa"/>
      </w:tblCellMar>
    </w:tblPr>
  </w:style>
  <w:style w:type="table" w:customStyle="1" w:styleId="7">
    <w:name w:val="7"/>
    <w:basedOn w:val="TableNormal"/>
    <w:rsid w:val="006F60C5"/>
    <w:tblPr>
      <w:tblStyleRowBandSize w:val="1"/>
      <w:tblStyleColBandSize w:val="1"/>
      <w:tblCellMar>
        <w:top w:w="0" w:type="dxa"/>
        <w:left w:w="115" w:type="dxa"/>
        <w:bottom w:w="0" w:type="dxa"/>
        <w:right w:w="115" w:type="dxa"/>
      </w:tblCellMar>
    </w:tblPr>
  </w:style>
  <w:style w:type="table" w:customStyle="1" w:styleId="6">
    <w:name w:val="6"/>
    <w:basedOn w:val="TableNormal"/>
    <w:rsid w:val="006F60C5"/>
    <w:tblPr>
      <w:tblStyleRowBandSize w:val="1"/>
      <w:tblStyleColBandSize w:val="1"/>
      <w:tblCellMar>
        <w:top w:w="0" w:type="dxa"/>
        <w:left w:w="115" w:type="dxa"/>
        <w:bottom w:w="0" w:type="dxa"/>
        <w:right w:w="115" w:type="dxa"/>
      </w:tblCellMar>
    </w:tblPr>
  </w:style>
  <w:style w:type="table" w:customStyle="1" w:styleId="5">
    <w:name w:val="5"/>
    <w:basedOn w:val="TableNormal"/>
    <w:rsid w:val="006F60C5"/>
    <w:tblPr>
      <w:tblStyleRowBandSize w:val="1"/>
      <w:tblStyleColBandSize w:val="1"/>
      <w:tblCellMar>
        <w:top w:w="0" w:type="dxa"/>
        <w:left w:w="115" w:type="dxa"/>
        <w:bottom w:w="0" w:type="dxa"/>
        <w:right w:w="115" w:type="dxa"/>
      </w:tblCellMar>
    </w:tblPr>
  </w:style>
  <w:style w:type="table" w:customStyle="1" w:styleId="4">
    <w:name w:val="4"/>
    <w:basedOn w:val="TableNormal"/>
    <w:rsid w:val="006F60C5"/>
    <w:tblPr>
      <w:tblStyleRowBandSize w:val="1"/>
      <w:tblStyleColBandSize w:val="1"/>
      <w:tblCellMar>
        <w:top w:w="0" w:type="dxa"/>
        <w:left w:w="115" w:type="dxa"/>
        <w:bottom w:w="0" w:type="dxa"/>
        <w:right w:w="115" w:type="dxa"/>
      </w:tblCellMar>
    </w:tblPr>
  </w:style>
  <w:style w:type="table" w:customStyle="1" w:styleId="3">
    <w:name w:val="3"/>
    <w:basedOn w:val="TableNormal"/>
    <w:rsid w:val="006F60C5"/>
    <w:tblPr>
      <w:tblStyleRowBandSize w:val="1"/>
      <w:tblStyleColBandSize w:val="1"/>
      <w:tblCellMar>
        <w:top w:w="0" w:type="dxa"/>
        <w:left w:w="115" w:type="dxa"/>
        <w:bottom w:w="0" w:type="dxa"/>
        <w:right w:w="115" w:type="dxa"/>
      </w:tblCellMar>
    </w:tblPr>
  </w:style>
  <w:style w:type="table" w:customStyle="1" w:styleId="2">
    <w:name w:val="2"/>
    <w:basedOn w:val="TableNormal"/>
    <w:rsid w:val="006F60C5"/>
    <w:tblPr>
      <w:tblStyleRowBandSize w:val="1"/>
      <w:tblStyleColBandSize w:val="1"/>
      <w:tblCellMar>
        <w:top w:w="0" w:type="dxa"/>
        <w:left w:w="115" w:type="dxa"/>
        <w:bottom w:w="0" w:type="dxa"/>
        <w:right w:w="115" w:type="dxa"/>
      </w:tblCellMar>
    </w:tblPr>
  </w:style>
  <w:style w:type="table" w:customStyle="1" w:styleId="1">
    <w:name w:val="1"/>
    <w:basedOn w:val="TableNormal"/>
    <w:rsid w:val="006F60C5"/>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6F60C5"/>
    <w:tblPr>
      <w:tblStyleRowBandSize w:val="1"/>
      <w:tblStyleColBandSize w:val="1"/>
      <w:tblCellMar>
        <w:top w:w="0" w:type="dxa"/>
        <w:left w:w="115" w:type="dxa"/>
        <w:bottom w:w="0" w:type="dxa"/>
        <w:right w:w="115" w:type="dxa"/>
      </w:tblCellMar>
    </w:tblPr>
  </w:style>
  <w:style w:type="table" w:customStyle="1" w:styleId="71">
    <w:name w:val="71"/>
    <w:basedOn w:val="TableNormal"/>
    <w:rsid w:val="006F60C5"/>
    <w:tblPr>
      <w:tblStyleRowBandSize w:val="1"/>
      <w:tblStyleColBandSize w:val="1"/>
      <w:tblCellMar>
        <w:top w:w="0" w:type="dxa"/>
        <w:left w:w="115" w:type="dxa"/>
        <w:bottom w:w="0" w:type="dxa"/>
        <w:right w:w="115" w:type="dxa"/>
      </w:tblCellMar>
    </w:tblPr>
  </w:style>
  <w:style w:type="table" w:customStyle="1" w:styleId="61">
    <w:name w:val="61"/>
    <w:basedOn w:val="TableNormal"/>
    <w:rsid w:val="006F60C5"/>
    <w:tblPr>
      <w:tblStyleRowBandSize w:val="1"/>
      <w:tblStyleColBandSize w:val="1"/>
      <w:tblCellMar>
        <w:top w:w="0" w:type="dxa"/>
        <w:left w:w="115" w:type="dxa"/>
        <w:bottom w:w="0" w:type="dxa"/>
        <w:right w:w="115" w:type="dxa"/>
      </w:tblCellMar>
    </w:tblPr>
  </w:style>
  <w:style w:type="table" w:customStyle="1" w:styleId="51">
    <w:name w:val="51"/>
    <w:basedOn w:val="TableNormal"/>
    <w:rsid w:val="006F60C5"/>
    <w:tblPr>
      <w:tblStyleRowBandSize w:val="1"/>
      <w:tblStyleColBandSize w:val="1"/>
      <w:tblCellMar>
        <w:top w:w="0" w:type="dxa"/>
        <w:left w:w="115" w:type="dxa"/>
        <w:bottom w:w="0" w:type="dxa"/>
        <w:right w:w="115" w:type="dxa"/>
      </w:tblCellMar>
    </w:tblPr>
  </w:style>
  <w:style w:type="table" w:customStyle="1" w:styleId="41">
    <w:name w:val="41"/>
    <w:basedOn w:val="TableNormal"/>
    <w:rsid w:val="006F60C5"/>
    <w:tblPr>
      <w:tblStyleRowBandSize w:val="1"/>
      <w:tblStyleColBandSize w:val="1"/>
      <w:tblCellMar>
        <w:top w:w="0" w:type="dxa"/>
        <w:left w:w="115" w:type="dxa"/>
        <w:bottom w:w="0" w:type="dxa"/>
        <w:right w:w="115" w:type="dxa"/>
      </w:tblCellMar>
    </w:tblPr>
  </w:style>
  <w:style w:type="table" w:customStyle="1" w:styleId="31">
    <w:name w:val="31"/>
    <w:basedOn w:val="TableNormal"/>
    <w:rsid w:val="006F60C5"/>
    <w:tblPr>
      <w:tblStyleRowBandSize w:val="1"/>
      <w:tblStyleColBandSize w:val="1"/>
      <w:tblCellMar>
        <w:top w:w="0" w:type="dxa"/>
        <w:left w:w="115" w:type="dxa"/>
        <w:bottom w:w="0" w:type="dxa"/>
        <w:right w:w="115" w:type="dxa"/>
      </w:tblCellMar>
    </w:tblPr>
  </w:style>
  <w:style w:type="table" w:customStyle="1" w:styleId="21">
    <w:name w:val="21"/>
    <w:basedOn w:val="TableNormal"/>
    <w:rsid w:val="006F60C5"/>
    <w:tblPr>
      <w:tblStyleRowBandSize w:val="1"/>
      <w:tblStyleColBandSize w:val="1"/>
      <w:tblCellMar>
        <w:top w:w="0" w:type="dxa"/>
        <w:left w:w="115" w:type="dxa"/>
        <w:bottom w:w="0" w:type="dxa"/>
        <w:right w:w="115" w:type="dxa"/>
      </w:tblCellMar>
    </w:tblPr>
  </w:style>
  <w:style w:type="table" w:customStyle="1" w:styleId="11">
    <w:name w:val="11"/>
    <w:basedOn w:val="TableNormal"/>
    <w:rsid w:val="006F60C5"/>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F995-E789-4A48-B5A0-E4D87B27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33</Pages>
  <Words>6742</Words>
  <Characters>37085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2018-12-04T20:35:00Z</cp:lastPrinted>
  <dcterms:created xsi:type="dcterms:W3CDTF">2022-02-28T16:08:00Z</dcterms:created>
  <dcterms:modified xsi:type="dcterms:W3CDTF">2022-04-06T03:05:00Z</dcterms:modified>
</cp:coreProperties>
</file>