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351224" w14:textId="538FF399" w:rsidR="00BC0E3B" w:rsidRPr="008A6ABF" w:rsidRDefault="00BC0E3B" w:rsidP="00CF227C">
      <w:pPr>
        <w:spacing w:line="360" w:lineRule="auto"/>
        <w:jc w:val="both"/>
        <w:rPr>
          <w:rFonts w:ascii="Palatino Linotype" w:hAnsi="Palatino Linotype" w:cs="Arial"/>
          <w:sz w:val="22"/>
        </w:rPr>
      </w:pPr>
      <w:bookmarkStart w:id="0" w:name="_GoBack"/>
      <w:bookmarkEnd w:id="0"/>
      <w:r w:rsidRPr="008A6ABF">
        <w:rPr>
          <w:rFonts w:ascii="Palatino Linotype" w:hAnsi="Palatino Linotype" w:cs="Arial"/>
          <w:sz w:val="22"/>
        </w:rPr>
        <w:t xml:space="preserve">Resolución del Pleno del Instituto de Transparencia, Acceso a la </w:t>
      </w:r>
      <w:r w:rsidR="008258F9" w:rsidRPr="008A6ABF">
        <w:rPr>
          <w:rFonts w:ascii="Palatino Linotype" w:hAnsi="Palatino Linotype" w:cs="Arial"/>
          <w:sz w:val="22"/>
        </w:rPr>
        <w:t>Información Pública</w:t>
      </w:r>
      <w:r w:rsidRPr="008A6ABF">
        <w:rPr>
          <w:rFonts w:ascii="Palatino Linotype" w:hAnsi="Palatino Linotype" w:cs="Arial"/>
          <w:sz w:val="22"/>
        </w:rPr>
        <w:t xml:space="preserve"> y Protección de Datos Personales del Estado de México y Municipios, con domicilio en Metepec, Estado de México, de fecha tres de marzo de dos mil veintidós.</w:t>
      </w:r>
    </w:p>
    <w:p w14:paraId="4405CB3D" w14:textId="77777777" w:rsidR="00BC0E3B" w:rsidRPr="008A6ABF" w:rsidRDefault="00BC0E3B" w:rsidP="00CF227C">
      <w:pPr>
        <w:spacing w:line="360" w:lineRule="auto"/>
        <w:jc w:val="both"/>
        <w:rPr>
          <w:rFonts w:ascii="Palatino Linotype" w:hAnsi="Palatino Linotype" w:cs="Arial"/>
          <w:sz w:val="22"/>
        </w:rPr>
      </w:pPr>
    </w:p>
    <w:p w14:paraId="2D52CD09" w14:textId="76F16B4E" w:rsidR="00BC0E3B" w:rsidRPr="008A6ABF" w:rsidRDefault="5291C05A" w:rsidP="5291C05A">
      <w:pPr>
        <w:spacing w:line="360" w:lineRule="auto"/>
        <w:jc w:val="both"/>
        <w:rPr>
          <w:rFonts w:ascii="Palatino Linotype" w:hAnsi="Palatino Linotype" w:cs="Arial"/>
          <w:sz w:val="22"/>
          <w:szCs w:val="22"/>
          <w:lang w:val="es-ES"/>
        </w:rPr>
      </w:pPr>
      <w:r w:rsidRPr="5291C05A">
        <w:rPr>
          <w:rFonts w:ascii="Palatino Linotype" w:hAnsi="Palatino Linotype" w:cs="Arial"/>
          <w:b/>
          <w:bCs/>
        </w:rPr>
        <w:t>VISTO</w:t>
      </w:r>
      <w:r w:rsidRPr="5291C05A">
        <w:rPr>
          <w:rFonts w:ascii="Palatino Linotype" w:hAnsi="Palatino Linotype" w:cs="Arial"/>
          <w:sz w:val="22"/>
          <w:szCs w:val="22"/>
        </w:rPr>
        <w:t xml:space="preserve"> el expediente formado con motivo del Recurso de Revisión </w:t>
      </w:r>
      <w:r w:rsidRPr="5291C05A">
        <w:rPr>
          <w:rFonts w:ascii="Palatino Linotype" w:hAnsi="Palatino Linotype" w:cs="Arial"/>
          <w:b/>
          <w:bCs/>
          <w:sz w:val="22"/>
          <w:szCs w:val="22"/>
        </w:rPr>
        <w:t xml:space="preserve">00192/INFOEM/IP/RR/2022, </w:t>
      </w:r>
      <w:r w:rsidRPr="5291C05A">
        <w:rPr>
          <w:rFonts w:ascii="Palatino Linotype" w:hAnsi="Palatino Linotype" w:cs="Arial"/>
          <w:sz w:val="22"/>
          <w:szCs w:val="22"/>
        </w:rPr>
        <w:t xml:space="preserve">promovido por un particular quien se identificó con las iniciales </w:t>
      </w:r>
      <w:r w:rsidRPr="5291C05A">
        <w:rPr>
          <w:rFonts w:ascii="Palatino Linotype" w:hAnsi="Palatino Linotype" w:cs="Arial"/>
          <w:sz w:val="22"/>
          <w:szCs w:val="22"/>
          <w:highlight w:val="black"/>
          <w:lang w:val="es-ES"/>
        </w:rPr>
        <w:t>XXXX</w:t>
      </w:r>
      <w:r w:rsidRPr="5291C05A">
        <w:rPr>
          <w:rFonts w:ascii="Palatino Linotype" w:hAnsi="Palatino Linotype" w:cs="Arial"/>
          <w:b/>
          <w:bCs/>
          <w:sz w:val="22"/>
          <w:szCs w:val="22"/>
        </w:rPr>
        <w:t xml:space="preserve">, </w:t>
      </w:r>
      <w:r w:rsidRPr="5291C05A">
        <w:rPr>
          <w:rFonts w:ascii="Palatino Linotype" w:hAnsi="Palatino Linotype"/>
          <w:sz w:val="22"/>
          <w:szCs w:val="22"/>
        </w:rPr>
        <w:t xml:space="preserve">a quien en lo sucesivo se le denominará </w:t>
      </w:r>
      <w:r w:rsidRPr="5291C05A">
        <w:rPr>
          <w:rFonts w:ascii="Palatino Linotype" w:hAnsi="Palatino Linotype" w:cs="Arial"/>
          <w:b/>
          <w:bCs/>
          <w:sz w:val="22"/>
          <w:szCs w:val="22"/>
          <w:lang w:val="es-ES"/>
        </w:rPr>
        <w:t>EL RECURRENTE,</w:t>
      </w:r>
      <w:r w:rsidRPr="5291C05A">
        <w:rPr>
          <w:rFonts w:ascii="Palatino Linotype" w:hAnsi="Palatino Linotype" w:cs="Arial"/>
          <w:sz w:val="22"/>
          <w:szCs w:val="22"/>
          <w:lang w:val="es-ES"/>
        </w:rPr>
        <w:t xml:space="preserve"> en contra de la respuesta del </w:t>
      </w:r>
      <w:r w:rsidRPr="5291C05A">
        <w:rPr>
          <w:rFonts w:ascii="Palatino Linotype" w:hAnsi="Palatino Linotype" w:cs="Arial"/>
          <w:b/>
          <w:bCs/>
          <w:sz w:val="22"/>
          <w:szCs w:val="22"/>
          <w:lang w:val="es-ES"/>
        </w:rPr>
        <w:t xml:space="preserve">Ayuntamiento de Amecameca, </w:t>
      </w:r>
      <w:r w:rsidRPr="5291C05A">
        <w:rPr>
          <w:rFonts w:ascii="Palatino Linotype" w:hAnsi="Palatino Linotype" w:cs="Arial"/>
          <w:sz w:val="22"/>
          <w:szCs w:val="22"/>
          <w:lang w:val="es-ES"/>
        </w:rPr>
        <w:t>a quien</w:t>
      </w:r>
      <w:r w:rsidRPr="5291C05A">
        <w:rPr>
          <w:rFonts w:ascii="Palatino Linotype" w:hAnsi="Palatino Linotype" w:cs="Arial"/>
          <w:b/>
          <w:bCs/>
          <w:sz w:val="22"/>
          <w:szCs w:val="22"/>
          <w:lang w:val="es-ES"/>
        </w:rPr>
        <w:t xml:space="preserve"> </w:t>
      </w:r>
      <w:r w:rsidRPr="5291C05A">
        <w:rPr>
          <w:rFonts w:ascii="Palatino Linotype" w:hAnsi="Palatino Linotype"/>
          <w:sz w:val="22"/>
          <w:szCs w:val="22"/>
        </w:rPr>
        <w:t xml:space="preserve">en lo subsecuente se le denominará </w:t>
      </w:r>
      <w:r w:rsidRPr="5291C05A">
        <w:rPr>
          <w:rFonts w:ascii="Palatino Linotype" w:hAnsi="Palatino Linotype" w:cs="Arial"/>
          <w:b/>
          <w:bCs/>
          <w:sz w:val="22"/>
          <w:szCs w:val="22"/>
          <w:lang w:val="es-ES"/>
        </w:rPr>
        <w:t xml:space="preserve">EL SUJETO OBLIGADO, </w:t>
      </w:r>
      <w:r w:rsidRPr="5291C05A">
        <w:rPr>
          <w:rFonts w:ascii="Palatino Linotype" w:hAnsi="Palatino Linotype" w:cs="Arial"/>
          <w:sz w:val="22"/>
          <w:szCs w:val="22"/>
          <w:lang w:val="es-ES"/>
        </w:rPr>
        <w:t>se procede a dictar la presente resolución con base en los siguientes:</w:t>
      </w:r>
    </w:p>
    <w:p w14:paraId="5C909EFF" w14:textId="77777777" w:rsidR="00BC0E3B" w:rsidRPr="008A6ABF" w:rsidRDefault="00BC0E3B" w:rsidP="00CF227C">
      <w:pPr>
        <w:spacing w:line="360" w:lineRule="auto"/>
        <w:jc w:val="both"/>
        <w:rPr>
          <w:rFonts w:ascii="Palatino Linotype" w:hAnsi="Palatino Linotype" w:cs="Arial"/>
          <w:sz w:val="22"/>
          <w:lang w:val="es-ES"/>
        </w:rPr>
      </w:pPr>
    </w:p>
    <w:p w14:paraId="3330767A" w14:textId="77777777" w:rsidR="00BC0E3B" w:rsidRPr="008A6ABF" w:rsidRDefault="00BC0E3B" w:rsidP="00CF227C">
      <w:pPr>
        <w:spacing w:line="360" w:lineRule="auto"/>
        <w:jc w:val="center"/>
        <w:rPr>
          <w:rFonts w:ascii="Palatino Linotype" w:hAnsi="Palatino Linotype" w:cs="Arial"/>
          <w:b/>
          <w:bCs/>
          <w:spacing w:val="60"/>
        </w:rPr>
      </w:pPr>
      <w:r w:rsidRPr="008A6ABF">
        <w:rPr>
          <w:rFonts w:ascii="Palatino Linotype" w:hAnsi="Palatino Linotype" w:cs="Arial"/>
          <w:b/>
          <w:bCs/>
          <w:spacing w:val="60"/>
        </w:rPr>
        <w:t>RESULTANDOS</w:t>
      </w:r>
    </w:p>
    <w:p w14:paraId="653DF7FD" w14:textId="77777777" w:rsidR="00BC0E3B" w:rsidRPr="008A6ABF" w:rsidRDefault="00BC0E3B" w:rsidP="00F302E7">
      <w:pPr>
        <w:spacing w:line="360" w:lineRule="auto"/>
        <w:jc w:val="both"/>
        <w:rPr>
          <w:rFonts w:ascii="Palatino Linotype" w:hAnsi="Palatino Linotype" w:cs="Arial"/>
          <w:b/>
          <w:bCs/>
          <w:spacing w:val="60"/>
        </w:rPr>
      </w:pPr>
    </w:p>
    <w:p w14:paraId="155FA4AA" w14:textId="177E5C6B" w:rsidR="00BC0E3B" w:rsidRPr="008A6ABF" w:rsidRDefault="00BC0E3B" w:rsidP="00CF227C">
      <w:pPr>
        <w:spacing w:line="360" w:lineRule="auto"/>
        <w:jc w:val="both"/>
        <w:rPr>
          <w:rFonts w:ascii="Palatino Linotype" w:eastAsia="MS Mincho" w:hAnsi="Palatino Linotype" w:cs="Arial"/>
          <w:bCs/>
          <w:sz w:val="22"/>
        </w:rPr>
      </w:pPr>
      <w:r w:rsidRPr="008A6ABF">
        <w:rPr>
          <w:rFonts w:ascii="Palatino Linotype" w:eastAsia="Calibri" w:hAnsi="Palatino Linotype" w:cs="Arial"/>
          <w:b/>
          <w:szCs w:val="28"/>
          <w:lang w:val="es-ES" w:eastAsia="en-US"/>
        </w:rPr>
        <w:t xml:space="preserve">I. </w:t>
      </w:r>
      <w:r w:rsidRPr="008A6ABF">
        <w:rPr>
          <w:rFonts w:ascii="Palatino Linotype" w:eastAsia="MS Mincho" w:hAnsi="Palatino Linotype" w:cs="Arial"/>
          <w:sz w:val="22"/>
        </w:rPr>
        <w:t xml:space="preserve">En </w:t>
      </w:r>
      <w:r w:rsidRPr="008A6ABF">
        <w:rPr>
          <w:rFonts w:ascii="Palatino Linotype" w:eastAsia="MS Mincho" w:hAnsi="Palatino Linotype" w:cs="Arial"/>
          <w:sz w:val="22"/>
          <w:lang w:val="es-ES_tradnl"/>
        </w:rPr>
        <w:t xml:space="preserve">fecha </w:t>
      </w:r>
      <w:bookmarkStart w:id="1" w:name="_Hlk66905340"/>
      <w:r w:rsidRPr="008A6ABF">
        <w:rPr>
          <w:rFonts w:ascii="Palatino Linotype" w:eastAsia="MS Mincho" w:hAnsi="Palatino Linotype" w:cs="Arial"/>
          <w:sz w:val="22"/>
          <w:lang w:val="es-ES_tradnl"/>
        </w:rPr>
        <w:t xml:space="preserve">diecisiete de diciembre </w:t>
      </w:r>
      <w:r w:rsidRPr="008A6ABF">
        <w:rPr>
          <w:rFonts w:ascii="Palatino Linotype" w:eastAsia="MS Mincho" w:hAnsi="Palatino Linotype" w:cs="Arial"/>
          <w:sz w:val="22"/>
        </w:rPr>
        <w:t>de dos mil veintiuno</w:t>
      </w:r>
      <w:bookmarkEnd w:id="1"/>
      <w:r w:rsidRPr="008A6ABF">
        <w:rPr>
          <w:rFonts w:ascii="Palatino Linotype" w:eastAsia="MS Mincho" w:hAnsi="Palatino Linotype" w:cs="Arial"/>
          <w:sz w:val="22"/>
        </w:rPr>
        <w:t xml:space="preserve">, </w:t>
      </w:r>
      <w:r w:rsidRPr="008A6ABF">
        <w:rPr>
          <w:rFonts w:ascii="Palatino Linotype" w:eastAsia="MS Mincho" w:hAnsi="Palatino Linotype" w:cs="Arial"/>
          <w:b/>
          <w:sz w:val="22"/>
        </w:rPr>
        <w:t>EL RECURRENTE</w:t>
      </w:r>
      <w:r w:rsidRPr="008A6ABF">
        <w:rPr>
          <w:rFonts w:ascii="Palatino Linotype" w:eastAsia="MS Mincho" w:hAnsi="Palatino Linotype" w:cs="Arial"/>
          <w:sz w:val="22"/>
        </w:rPr>
        <w:t xml:space="preserve"> </w:t>
      </w:r>
      <w:r w:rsidRPr="008A6ABF">
        <w:rPr>
          <w:rFonts w:ascii="Palatino Linotype" w:eastAsia="MS Mincho" w:hAnsi="Palatino Linotype" w:cs="Arial"/>
          <w:sz w:val="22"/>
          <w:lang w:val="es-ES_tradnl"/>
        </w:rPr>
        <w:t xml:space="preserve">presentó a través del Sistema de Acceso a la Información Mexiquense, en lo subsecuente </w:t>
      </w:r>
      <w:r w:rsidRPr="008A6ABF">
        <w:rPr>
          <w:rFonts w:ascii="Palatino Linotype" w:eastAsia="MS Mincho" w:hAnsi="Palatino Linotype" w:cs="Arial"/>
          <w:b/>
          <w:sz w:val="22"/>
          <w:lang w:val="es-ES_tradnl"/>
        </w:rPr>
        <w:t>EL SAIMEX</w:t>
      </w:r>
      <w:r w:rsidRPr="008A6ABF">
        <w:rPr>
          <w:rFonts w:ascii="Palatino Linotype" w:eastAsia="MS Mincho" w:hAnsi="Palatino Linotype" w:cs="Arial"/>
          <w:sz w:val="22"/>
          <w:lang w:val="es-ES_tradnl"/>
        </w:rPr>
        <w:t xml:space="preserve"> ante </w:t>
      </w:r>
      <w:r w:rsidRPr="008A6ABF">
        <w:rPr>
          <w:rFonts w:ascii="Palatino Linotype" w:eastAsia="MS Mincho" w:hAnsi="Palatino Linotype" w:cs="Arial"/>
          <w:b/>
          <w:sz w:val="22"/>
          <w:lang w:val="es-ES_tradnl"/>
        </w:rPr>
        <w:t>EL SUJETO OBLIGADO</w:t>
      </w:r>
      <w:r w:rsidRPr="008A6ABF">
        <w:rPr>
          <w:rFonts w:ascii="Palatino Linotype" w:eastAsia="MS Mincho" w:hAnsi="Palatino Linotype" w:cs="Arial"/>
          <w:sz w:val="22"/>
          <w:lang w:val="es-ES_tradnl"/>
        </w:rPr>
        <w:t xml:space="preserve">, la solicitud de acceso a la </w:t>
      </w:r>
      <w:r w:rsidR="008258F9" w:rsidRPr="008A6ABF">
        <w:rPr>
          <w:rFonts w:ascii="Palatino Linotype" w:eastAsia="MS Mincho" w:hAnsi="Palatino Linotype" w:cs="Arial"/>
          <w:sz w:val="22"/>
          <w:lang w:val="es-ES_tradnl"/>
        </w:rPr>
        <w:t>Información Pública</w:t>
      </w:r>
      <w:r w:rsidRPr="008A6ABF">
        <w:rPr>
          <w:rFonts w:ascii="Palatino Linotype" w:eastAsia="MS Mincho" w:hAnsi="Palatino Linotype" w:cs="Arial"/>
          <w:sz w:val="22"/>
          <w:lang w:val="es-ES_tradnl"/>
        </w:rPr>
        <w:t xml:space="preserve">, </w:t>
      </w:r>
      <w:r w:rsidRPr="008A6ABF">
        <w:rPr>
          <w:rFonts w:ascii="Palatino Linotype" w:eastAsia="MS Mincho" w:hAnsi="Palatino Linotype" w:cs="Arial"/>
          <w:sz w:val="22"/>
        </w:rPr>
        <w:t xml:space="preserve">a la que se le asignó el número de </w:t>
      </w:r>
      <w:bookmarkStart w:id="2" w:name="_Hlk71626058"/>
      <w:bookmarkStart w:id="3" w:name="_Hlk72841721"/>
      <w:bookmarkStart w:id="4" w:name="_Hlk73992511"/>
      <w:bookmarkStart w:id="5" w:name="_Hlk79436216"/>
      <w:bookmarkStart w:id="6" w:name="_Hlk79487986"/>
      <w:bookmarkStart w:id="7" w:name="_Hlk81858819"/>
      <w:r w:rsidRPr="008A6ABF">
        <w:rPr>
          <w:rFonts w:ascii="Palatino Linotype" w:eastAsia="MS Mincho" w:hAnsi="Palatino Linotype" w:cs="Arial"/>
          <w:sz w:val="22"/>
        </w:rPr>
        <w:t xml:space="preserve">expediente </w:t>
      </w:r>
      <w:bookmarkEnd w:id="2"/>
      <w:bookmarkEnd w:id="3"/>
      <w:bookmarkEnd w:id="4"/>
      <w:bookmarkEnd w:id="5"/>
      <w:bookmarkEnd w:id="6"/>
      <w:bookmarkEnd w:id="7"/>
      <w:r w:rsidRPr="008A6ABF">
        <w:rPr>
          <w:rFonts w:ascii="Palatino Linotype" w:eastAsia="MS Mincho" w:hAnsi="Palatino Linotype" w:cs="Arial"/>
          <w:sz w:val="22"/>
          <w:lang w:val="es-ES_tradnl"/>
        </w:rPr>
        <w:t>00292/AMECAMEC/IP/2021</w:t>
      </w:r>
      <w:r w:rsidRPr="008A6ABF">
        <w:rPr>
          <w:rFonts w:ascii="Palatino Linotype" w:eastAsia="MS Mincho" w:hAnsi="Palatino Linotype" w:cs="Arial"/>
          <w:b/>
          <w:bCs/>
          <w:sz w:val="22"/>
        </w:rPr>
        <w:t xml:space="preserve">, </w:t>
      </w:r>
      <w:r w:rsidRPr="008A6ABF">
        <w:rPr>
          <w:rFonts w:ascii="Palatino Linotype" w:eastAsia="MS Mincho" w:hAnsi="Palatino Linotype" w:cs="Arial"/>
          <w:bCs/>
          <w:sz w:val="22"/>
        </w:rPr>
        <w:t>mediante la cual requirió, lo siguiente:</w:t>
      </w:r>
    </w:p>
    <w:p w14:paraId="113CDBFC" w14:textId="77777777" w:rsidR="00BC0E3B" w:rsidRPr="008A6ABF" w:rsidRDefault="00BC0E3B" w:rsidP="00CF227C">
      <w:pPr>
        <w:spacing w:line="360" w:lineRule="auto"/>
        <w:jc w:val="both"/>
        <w:rPr>
          <w:rFonts w:ascii="Palatino Linotype" w:eastAsia="MS Mincho" w:hAnsi="Palatino Linotype" w:cs="Arial"/>
          <w:bCs/>
          <w:sz w:val="22"/>
        </w:rPr>
      </w:pPr>
    </w:p>
    <w:p w14:paraId="66D01E4C" w14:textId="77777777" w:rsidR="00BC0E3B" w:rsidRPr="00F302E7" w:rsidRDefault="00BC0E3B" w:rsidP="00F302E7">
      <w:pPr>
        <w:spacing w:line="360" w:lineRule="auto"/>
        <w:ind w:left="567" w:right="567"/>
        <w:jc w:val="both"/>
        <w:rPr>
          <w:rFonts w:ascii="Palatino Linotype" w:hAnsi="Palatino Linotype" w:cs="Arial"/>
          <w:i/>
          <w:iCs/>
          <w:sz w:val="20"/>
          <w:szCs w:val="22"/>
        </w:rPr>
      </w:pPr>
      <w:r w:rsidRPr="00F302E7">
        <w:rPr>
          <w:rFonts w:ascii="Palatino Linotype" w:hAnsi="Palatino Linotype" w:cs="Arial"/>
          <w:i/>
          <w:iCs/>
          <w:sz w:val="20"/>
          <w:szCs w:val="22"/>
        </w:rPr>
        <w:t>“Indicar el total de policías municipales que han sido dados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Aclaro que la información solicitada es meramente estadística en ningún momento se pide información o datos personal.” (Sic).</w:t>
      </w:r>
    </w:p>
    <w:p w14:paraId="59273BF3" w14:textId="77777777" w:rsidR="00BC0E3B" w:rsidRPr="00F302E7" w:rsidRDefault="00BC0E3B" w:rsidP="00F302E7">
      <w:pPr>
        <w:spacing w:line="360" w:lineRule="auto"/>
        <w:ind w:left="567" w:right="567"/>
        <w:jc w:val="both"/>
        <w:rPr>
          <w:rFonts w:ascii="Palatino Linotype" w:hAnsi="Palatino Linotype" w:cs="Arial"/>
          <w:i/>
          <w:iCs/>
          <w:sz w:val="20"/>
          <w:szCs w:val="22"/>
        </w:rPr>
      </w:pPr>
    </w:p>
    <w:p w14:paraId="5133BA29" w14:textId="77777777" w:rsidR="00BC0E3B" w:rsidRPr="008A6ABF" w:rsidRDefault="00BC0E3B" w:rsidP="00CF227C">
      <w:pPr>
        <w:widowControl w:val="0"/>
        <w:autoSpaceDE w:val="0"/>
        <w:autoSpaceDN w:val="0"/>
        <w:adjustRightInd w:val="0"/>
        <w:spacing w:line="360" w:lineRule="auto"/>
        <w:jc w:val="both"/>
        <w:rPr>
          <w:rFonts w:ascii="Palatino Linotype" w:eastAsia="Calibri" w:hAnsi="Palatino Linotype" w:cs="Arial"/>
          <w:b/>
          <w:bCs/>
          <w:sz w:val="22"/>
          <w:lang w:val="es-ES" w:eastAsia="en-US"/>
        </w:rPr>
      </w:pPr>
      <w:r w:rsidRPr="008A6ABF">
        <w:rPr>
          <w:rFonts w:ascii="Palatino Linotype" w:eastAsia="Calibri" w:hAnsi="Palatino Linotype" w:cs="Arial"/>
          <w:b/>
          <w:bCs/>
          <w:sz w:val="22"/>
          <w:lang w:val="es-ES" w:eastAsia="en-US"/>
        </w:rPr>
        <w:t xml:space="preserve">MODALIDAD DE ENTREGA: </w:t>
      </w:r>
      <w:r w:rsidRPr="008A6ABF">
        <w:rPr>
          <w:rFonts w:ascii="Palatino Linotype" w:eastAsia="Calibri" w:hAnsi="Palatino Linotype" w:cs="Arial"/>
          <w:bCs/>
          <w:sz w:val="22"/>
          <w:lang w:val="es-ES" w:eastAsia="en-US"/>
        </w:rPr>
        <w:t>Vía</w:t>
      </w:r>
      <w:r w:rsidRPr="008A6ABF">
        <w:rPr>
          <w:rFonts w:ascii="Palatino Linotype" w:eastAsia="Calibri" w:hAnsi="Palatino Linotype" w:cs="Arial"/>
          <w:b/>
          <w:bCs/>
          <w:sz w:val="22"/>
          <w:lang w:val="es-ES" w:eastAsia="en-US"/>
        </w:rPr>
        <w:t xml:space="preserve"> EL SAIMEX.</w:t>
      </w:r>
    </w:p>
    <w:p w14:paraId="0A7D0F69" w14:textId="77777777" w:rsidR="00CF227C" w:rsidRDefault="00BC0E3B" w:rsidP="00CF227C">
      <w:pPr>
        <w:spacing w:line="360" w:lineRule="auto"/>
        <w:jc w:val="both"/>
        <w:rPr>
          <w:rFonts w:ascii="Palatino Linotype" w:hAnsi="Palatino Linotype" w:cs="Arial"/>
          <w:sz w:val="22"/>
          <w:szCs w:val="22"/>
        </w:rPr>
      </w:pPr>
      <w:r w:rsidRPr="008A6ABF">
        <w:rPr>
          <w:rFonts w:ascii="Palatino Linotype" w:eastAsia="Calibri" w:hAnsi="Palatino Linotype" w:cs="Arial"/>
          <w:b/>
          <w:bCs/>
          <w:lang w:val="es-ES" w:eastAsia="en-US"/>
        </w:rPr>
        <w:lastRenderedPageBreak/>
        <w:t>II</w:t>
      </w:r>
      <w:r w:rsidRPr="008A6ABF">
        <w:rPr>
          <w:rFonts w:ascii="Palatino Linotype" w:eastAsia="Calibri" w:hAnsi="Palatino Linotype" w:cs="Arial"/>
          <w:b/>
          <w:bCs/>
          <w:sz w:val="22"/>
          <w:lang w:val="es-ES" w:eastAsia="en-US"/>
        </w:rPr>
        <w:t>.</w:t>
      </w:r>
      <w:r w:rsidRPr="008A6ABF">
        <w:rPr>
          <w:rFonts w:ascii="Palatino Linotype" w:eastAsia="Calibri" w:hAnsi="Palatino Linotype" w:cs="Arial"/>
          <w:sz w:val="22"/>
          <w:lang w:val="es-ES" w:eastAsia="en-US"/>
        </w:rPr>
        <w:t xml:space="preserve"> </w:t>
      </w:r>
      <w:r w:rsidRPr="008A6ABF">
        <w:rPr>
          <w:rFonts w:ascii="Palatino Linotype" w:hAnsi="Palatino Linotype"/>
          <w:b/>
        </w:rPr>
        <w:t>.</w:t>
      </w:r>
      <w:r w:rsidRPr="008A6ABF">
        <w:rPr>
          <w:rFonts w:ascii="Palatino Linotype" w:hAnsi="Palatino Linotype"/>
          <w:b/>
          <w:sz w:val="28"/>
          <w:szCs w:val="28"/>
        </w:rPr>
        <w:t xml:space="preserve"> </w:t>
      </w:r>
      <w:r w:rsidRPr="008A6ABF">
        <w:rPr>
          <w:rFonts w:ascii="Palatino Linotype" w:hAnsi="Palatino Linotype" w:cs="Arial"/>
          <w:sz w:val="22"/>
          <w:szCs w:val="22"/>
        </w:rPr>
        <w:t xml:space="preserve">Con base en el detalle de seguimiento de </w:t>
      </w:r>
      <w:r w:rsidRPr="008A6ABF">
        <w:rPr>
          <w:rFonts w:ascii="Palatino Linotype" w:hAnsi="Palatino Linotype" w:cs="Arial"/>
          <w:b/>
          <w:sz w:val="22"/>
          <w:szCs w:val="22"/>
        </w:rPr>
        <w:t>EL SAIMEX</w:t>
      </w:r>
      <w:r w:rsidRPr="008A6ABF">
        <w:rPr>
          <w:rFonts w:ascii="Palatino Linotype" w:hAnsi="Palatino Linotype" w:cs="Arial"/>
          <w:sz w:val="22"/>
          <w:szCs w:val="22"/>
        </w:rPr>
        <w:t xml:space="preserve"> del expediente electrónico formado derivado del Recurso de Revisión materia del presente estudio, se advierte que la Titular de la Unidad de Transparencia del </w:t>
      </w:r>
      <w:r w:rsidRPr="008A6ABF">
        <w:rPr>
          <w:rFonts w:ascii="Palatino Linotype" w:hAnsi="Palatino Linotype" w:cs="Arial"/>
          <w:b/>
          <w:sz w:val="22"/>
          <w:szCs w:val="22"/>
        </w:rPr>
        <w:t>SUJETO OBLIGADO</w:t>
      </w:r>
      <w:r w:rsidRPr="008A6ABF">
        <w:rPr>
          <w:rFonts w:ascii="Palatino Linotype" w:hAnsi="Palatino Linotype" w:cs="Arial"/>
          <w:sz w:val="22"/>
          <w:szCs w:val="22"/>
        </w:rPr>
        <w:t xml:space="preserve">, en atención a lo previsto en el artículo 162 de la Ley de Transparencia y Acceso a la </w:t>
      </w:r>
      <w:r w:rsidR="008258F9" w:rsidRPr="008A6ABF">
        <w:rPr>
          <w:rFonts w:ascii="Palatino Linotype" w:hAnsi="Palatino Linotype" w:cs="Arial"/>
          <w:sz w:val="22"/>
          <w:szCs w:val="22"/>
        </w:rPr>
        <w:t>Información Pública</w:t>
      </w:r>
      <w:r w:rsidRPr="008A6ABF">
        <w:rPr>
          <w:rFonts w:ascii="Palatino Linotype" w:hAnsi="Palatino Linotype" w:cs="Arial"/>
          <w:sz w:val="22"/>
          <w:szCs w:val="22"/>
        </w:rPr>
        <w:t xml:space="preserve"> del Estado de México y Municipios, turnó el contenido de la solicitud de información a la servidora pública que estimó competente a efecto de que realizará la búsqueda y localización de la información, tal y como se desprende de la siguiente imagen:</w:t>
      </w:r>
    </w:p>
    <w:p w14:paraId="79E63726" w14:textId="478D1575" w:rsidR="00BC0E3B" w:rsidRPr="008A6ABF" w:rsidRDefault="00BC0E3B" w:rsidP="00F302E7">
      <w:pPr>
        <w:spacing w:line="360" w:lineRule="auto"/>
        <w:jc w:val="both"/>
        <w:rPr>
          <w:rFonts w:ascii="Palatino Linotype" w:hAnsi="Palatino Linotype" w:cs="Arial"/>
          <w:sz w:val="22"/>
          <w:szCs w:val="22"/>
        </w:rPr>
      </w:pPr>
      <w:r w:rsidRPr="008A6ABF">
        <w:rPr>
          <w:rFonts w:ascii="Palatino Linotype" w:hAnsi="Palatino Linotype" w:cs="Arial"/>
          <w:sz w:val="22"/>
          <w:szCs w:val="22"/>
        </w:rPr>
        <w:t xml:space="preserve"> </w:t>
      </w:r>
    </w:p>
    <w:p w14:paraId="0FDE9E40" w14:textId="15F379E5" w:rsidR="00BC0E3B" w:rsidRPr="008A6ABF" w:rsidRDefault="00BC0E3B" w:rsidP="00F302E7">
      <w:pPr>
        <w:spacing w:line="360" w:lineRule="auto"/>
        <w:jc w:val="both"/>
        <w:rPr>
          <w:rFonts w:ascii="Palatino Linotype" w:hAnsi="Palatino Linotype"/>
          <w:b/>
        </w:rPr>
      </w:pPr>
      <w:r w:rsidRPr="00F302E7">
        <w:rPr>
          <w:rFonts w:ascii="Palatino Linotype" w:hAnsi="Palatino Linotype"/>
          <w:noProof/>
          <w:lang w:eastAsia="es-MX"/>
        </w:rPr>
        <w:drawing>
          <wp:inline distT="0" distB="0" distL="0" distR="0" wp14:anchorId="176D5A06" wp14:editId="59234A28">
            <wp:extent cx="5451803" cy="619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50" t="31796" r="8722" b="59655"/>
                    <a:stretch/>
                  </pic:blipFill>
                  <pic:spPr bwMode="auto">
                    <a:xfrm>
                      <a:off x="0" y="0"/>
                      <a:ext cx="5493384" cy="623847"/>
                    </a:xfrm>
                    <a:prstGeom prst="rect">
                      <a:avLst/>
                    </a:prstGeom>
                    <a:ln>
                      <a:noFill/>
                    </a:ln>
                    <a:extLst>
                      <a:ext uri="{53640926-AAD7-44D8-BBD7-CCE9431645EC}">
                        <a14:shadowObscured xmlns:a14="http://schemas.microsoft.com/office/drawing/2010/main"/>
                      </a:ext>
                    </a:extLst>
                  </pic:spPr>
                </pic:pic>
              </a:graphicData>
            </a:graphic>
          </wp:inline>
        </w:drawing>
      </w:r>
    </w:p>
    <w:p w14:paraId="6A69B106" w14:textId="77777777" w:rsidR="00BC0E3B" w:rsidRPr="008A6ABF" w:rsidRDefault="00BC0E3B" w:rsidP="00CF227C">
      <w:pPr>
        <w:widowControl w:val="0"/>
        <w:autoSpaceDE w:val="0"/>
        <w:autoSpaceDN w:val="0"/>
        <w:adjustRightInd w:val="0"/>
        <w:spacing w:line="360" w:lineRule="auto"/>
        <w:jc w:val="both"/>
        <w:rPr>
          <w:rFonts w:ascii="Palatino Linotype" w:eastAsia="Calibri" w:hAnsi="Palatino Linotype" w:cs="Arial"/>
          <w:sz w:val="22"/>
          <w:lang w:val="es-ES" w:eastAsia="en-US"/>
        </w:rPr>
      </w:pPr>
    </w:p>
    <w:p w14:paraId="73B920B9" w14:textId="77777777" w:rsidR="00BC0E3B" w:rsidRPr="008A6ABF" w:rsidRDefault="00BC0E3B" w:rsidP="00CF227C">
      <w:pPr>
        <w:widowControl w:val="0"/>
        <w:autoSpaceDE w:val="0"/>
        <w:autoSpaceDN w:val="0"/>
        <w:adjustRightInd w:val="0"/>
        <w:spacing w:line="360" w:lineRule="auto"/>
        <w:jc w:val="both"/>
        <w:rPr>
          <w:rFonts w:ascii="Palatino Linotype" w:hAnsi="Palatino Linotype" w:cs="Segoe UI"/>
          <w:sz w:val="22"/>
          <w:lang w:eastAsia="es-MX"/>
        </w:rPr>
      </w:pPr>
      <w:r w:rsidRPr="008A6ABF">
        <w:rPr>
          <w:rFonts w:ascii="Palatino Linotype" w:hAnsi="Palatino Linotype" w:cs="Segoe UI"/>
          <w:b/>
          <w:lang w:eastAsia="es-MX"/>
        </w:rPr>
        <w:t>III.</w:t>
      </w:r>
      <w:r w:rsidRPr="008A6ABF">
        <w:rPr>
          <w:rFonts w:ascii="Palatino Linotype" w:hAnsi="Palatino Linotype" w:cs="Segoe UI"/>
          <w:sz w:val="22"/>
          <w:lang w:eastAsia="es-MX"/>
        </w:rPr>
        <w:t xml:space="preserve"> En fecha veintidós de diciembre de dos mil veintiuno, </w:t>
      </w:r>
      <w:r w:rsidRPr="008A6ABF">
        <w:rPr>
          <w:rFonts w:ascii="Palatino Linotype" w:hAnsi="Palatino Linotype" w:cs="Segoe UI"/>
          <w:b/>
          <w:bCs/>
          <w:sz w:val="22"/>
          <w:lang w:eastAsia="es-MX"/>
        </w:rPr>
        <w:t>EL SU</w:t>
      </w:r>
      <w:r w:rsidRPr="008A6ABF">
        <w:rPr>
          <w:rFonts w:ascii="Palatino Linotype" w:hAnsi="Palatino Linotype" w:cs="Segoe UI"/>
          <w:b/>
          <w:sz w:val="22"/>
          <w:lang w:eastAsia="es-MX"/>
        </w:rPr>
        <w:t>JETO OBLIGADO</w:t>
      </w:r>
      <w:r w:rsidRPr="008A6ABF">
        <w:rPr>
          <w:rFonts w:ascii="Palatino Linotype" w:hAnsi="Palatino Linotype" w:cs="Segoe UI"/>
          <w:sz w:val="22"/>
          <w:lang w:eastAsia="es-MX"/>
        </w:rPr>
        <w:t xml:space="preserve"> dio respuesta a la solicitud de información, en los términos siguientes:</w:t>
      </w:r>
    </w:p>
    <w:p w14:paraId="2029487A" w14:textId="77777777" w:rsidR="00BC0E3B" w:rsidRPr="008A6ABF" w:rsidRDefault="00BC0E3B" w:rsidP="00CF227C">
      <w:pPr>
        <w:widowControl w:val="0"/>
        <w:autoSpaceDE w:val="0"/>
        <w:autoSpaceDN w:val="0"/>
        <w:adjustRightInd w:val="0"/>
        <w:spacing w:line="360" w:lineRule="auto"/>
        <w:jc w:val="both"/>
        <w:rPr>
          <w:rFonts w:ascii="Palatino Linotype" w:hAnsi="Palatino Linotype" w:cs="Segoe UI"/>
          <w:sz w:val="22"/>
          <w:lang w:eastAsia="es-MX"/>
        </w:rPr>
      </w:pPr>
    </w:p>
    <w:p w14:paraId="6ACE401E" w14:textId="77777777" w:rsidR="00BC0E3B" w:rsidRPr="008A6ABF" w:rsidRDefault="00BC0E3B" w:rsidP="00F302E7">
      <w:pPr>
        <w:tabs>
          <w:tab w:val="left" w:pos="851"/>
        </w:tabs>
        <w:spacing w:line="360" w:lineRule="auto"/>
        <w:ind w:left="567" w:right="567"/>
        <w:jc w:val="both"/>
        <w:rPr>
          <w:rFonts w:ascii="Palatino Linotype" w:eastAsia="Palatino Linotype" w:hAnsi="Palatino Linotype" w:cs="Palatino Linotype"/>
          <w:i/>
          <w:sz w:val="20"/>
          <w:szCs w:val="22"/>
        </w:rPr>
      </w:pPr>
      <w:r w:rsidRPr="008A6ABF">
        <w:rPr>
          <w:rFonts w:ascii="Palatino Linotype" w:eastAsia="Palatino Linotype" w:hAnsi="Palatino Linotype" w:cs="Palatino Linotype"/>
          <w:i/>
          <w:sz w:val="20"/>
          <w:szCs w:val="22"/>
        </w:rPr>
        <w:t>“</w:t>
      </w:r>
      <w:r w:rsidR="00720FB6" w:rsidRPr="008A6ABF">
        <w:rPr>
          <w:rFonts w:ascii="Palatino Linotype" w:eastAsia="Palatino Linotype" w:hAnsi="Palatino Linotype" w:cs="Palatino Linotype"/>
          <w:i/>
          <w:sz w:val="20"/>
          <w:szCs w:val="22"/>
        </w:rPr>
        <w:t>se realiza la entrega de la información proporcionada por el titular de la secretaria técnica municipal.</w:t>
      </w:r>
      <w:r w:rsidRPr="008A6ABF">
        <w:rPr>
          <w:rFonts w:ascii="Palatino Linotype" w:eastAsia="Palatino Linotype" w:hAnsi="Palatino Linotype" w:cs="Palatino Linotype"/>
          <w:i/>
          <w:sz w:val="20"/>
          <w:szCs w:val="22"/>
        </w:rPr>
        <w:t xml:space="preserve">” (Sic) </w:t>
      </w:r>
    </w:p>
    <w:p w14:paraId="057EA9E6" w14:textId="77777777" w:rsidR="00BC0E3B" w:rsidRPr="008A6ABF" w:rsidRDefault="00BC0E3B" w:rsidP="00CF227C">
      <w:pPr>
        <w:tabs>
          <w:tab w:val="left" w:pos="851"/>
        </w:tabs>
        <w:spacing w:line="360" w:lineRule="auto"/>
        <w:ind w:left="851" w:right="901"/>
        <w:jc w:val="both"/>
        <w:rPr>
          <w:rFonts w:ascii="Palatino Linotype" w:eastAsia="Palatino Linotype" w:hAnsi="Palatino Linotype" w:cs="Palatino Linotype"/>
          <w:i/>
          <w:sz w:val="20"/>
          <w:szCs w:val="22"/>
        </w:rPr>
      </w:pPr>
    </w:p>
    <w:p w14:paraId="67489EB7" w14:textId="6602CC1F" w:rsidR="00720FB6" w:rsidRPr="008A6ABF" w:rsidRDefault="00BC0E3B" w:rsidP="00CF227C">
      <w:pPr>
        <w:widowControl w:val="0"/>
        <w:autoSpaceDE w:val="0"/>
        <w:autoSpaceDN w:val="0"/>
        <w:adjustRightInd w:val="0"/>
        <w:spacing w:line="360" w:lineRule="auto"/>
        <w:jc w:val="both"/>
        <w:rPr>
          <w:rFonts w:ascii="Palatino Linotype" w:hAnsi="Palatino Linotype" w:cs="Segoe UI"/>
          <w:sz w:val="22"/>
          <w:lang w:eastAsia="es-MX"/>
        </w:rPr>
      </w:pPr>
      <w:r w:rsidRPr="008A6ABF">
        <w:rPr>
          <w:rFonts w:ascii="Palatino Linotype" w:hAnsi="Palatino Linotype" w:cs="Segoe UI"/>
          <w:sz w:val="22"/>
          <w:lang w:eastAsia="es-MX"/>
        </w:rPr>
        <w:t xml:space="preserve">A su respuesta adjuntó </w:t>
      </w:r>
      <w:r w:rsidR="00720FB6" w:rsidRPr="008A6ABF">
        <w:rPr>
          <w:rFonts w:ascii="Palatino Linotype" w:hAnsi="Palatino Linotype" w:cs="Segoe UI"/>
          <w:sz w:val="22"/>
          <w:lang w:eastAsia="es-MX"/>
        </w:rPr>
        <w:t>los archivos electrónicos que a continuación se describen:</w:t>
      </w:r>
    </w:p>
    <w:p w14:paraId="67FDBB3A" w14:textId="77777777" w:rsidR="00720FB6" w:rsidRPr="008A6ABF" w:rsidRDefault="00720FB6" w:rsidP="00CF227C">
      <w:pPr>
        <w:widowControl w:val="0"/>
        <w:autoSpaceDE w:val="0"/>
        <w:autoSpaceDN w:val="0"/>
        <w:adjustRightInd w:val="0"/>
        <w:spacing w:line="360" w:lineRule="auto"/>
        <w:jc w:val="both"/>
        <w:rPr>
          <w:rFonts w:ascii="Palatino Linotype" w:hAnsi="Palatino Linotype" w:cs="Segoe UI"/>
          <w:sz w:val="22"/>
          <w:lang w:eastAsia="es-MX"/>
        </w:rPr>
      </w:pPr>
    </w:p>
    <w:p w14:paraId="0C049DBB" w14:textId="1DAAE40E" w:rsidR="00720FB6" w:rsidRPr="00F302E7" w:rsidRDefault="00E5470F" w:rsidP="00CF227C">
      <w:pPr>
        <w:pStyle w:val="Prrafodelista"/>
        <w:widowControl w:val="0"/>
        <w:numPr>
          <w:ilvl w:val="0"/>
          <w:numId w:val="3"/>
        </w:numPr>
        <w:autoSpaceDE w:val="0"/>
        <w:autoSpaceDN w:val="0"/>
        <w:adjustRightInd w:val="0"/>
        <w:spacing w:line="360" w:lineRule="auto"/>
        <w:jc w:val="both"/>
        <w:rPr>
          <w:rFonts w:ascii="Palatino Linotype" w:hAnsi="Palatino Linotype" w:cs="Segoe UI"/>
          <w:b/>
          <w:sz w:val="22"/>
          <w:lang w:eastAsia="es-MX"/>
        </w:rPr>
      </w:pPr>
      <w:hyperlink r:id="rId8" w:tgtFrame="_blank" w:history="1">
        <w:r w:rsidR="00720FB6" w:rsidRPr="008A6ABF">
          <w:rPr>
            <w:rFonts w:ascii="Palatino Linotype" w:hAnsi="Palatino Linotype" w:cs="Segoe UI"/>
            <w:b/>
            <w:sz w:val="22"/>
            <w:lang w:eastAsia="es-MX"/>
          </w:rPr>
          <w:t>cont. 0292-21.pdf</w:t>
        </w:r>
      </w:hyperlink>
      <w:r w:rsidR="00720FB6" w:rsidRPr="008A6ABF">
        <w:rPr>
          <w:rFonts w:ascii="Palatino Linotype" w:hAnsi="Palatino Linotype" w:cs="Segoe UI"/>
          <w:b/>
          <w:sz w:val="22"/>
          <w:lang w:eastAsia="es-MX"/>
        </w:rPr>
        <w:t xml:space="preserve">: </w:t>
      </w:r>
      <w:r w:rsidR="00720FB6" w:rsidRPr="008A6ABF">
        <w:rPr>
          <w:rFonts w:ascii="Palatino Linotype" w:hAnsi="Palatino Linotype" w:cs="Segoe UI"/>
          <w:sz w:val="22"/>
          <w:lang w:eastAsia="es-MX"/>
        </w:rPr>
        <w:t>contiene el oficio número AME/STCMSP/2021/0522, de fecha veintidós de diciembre de dos mil veintiuno, firmado por el Secretario Técnico del Consejo Municipal de Seguridad Pública; mediante el cual, señaló que no cuenta entre sus archivos con la base de datos en las cuales se desglose</w:t>
      </w:r>
      <w:r w:rsidR="00254F2C" w:rsidRPr="008A6ABF">
        <w:rPr>
          <w:rFonts w:ascii="Palatino Linotype" w:hAnsi="Palatino Linotype" w:cs="Segoe UI"/>
          <w:sz w:val="22"/>
          <w:lang w:eastAsia="es-MX"/>
        </w:rPr>
        <w:t>n</w:t>
      </w:r>
      <w:r w:rsidR="00720FB6" w:rsidRPr="008A6ABF">
        <w:rPr>
          <w:rFonts w:ascii="Palatino Linotype" w:hAnsi="Palatino Linotype" w:cs="Segoe UI"/>
          <w:sz w:val="22"/>
          <w:lang w:eastAsia="es-MX"/>
        </w:rPr>
        <w:t xml:space="preserve"> las bajas de ex elementos de la Dirección de Seguridad Ciudadana ni en físico ni en digital de los años 2016,2017 y 2018.</w:t>
      </w:r>
    </w:p>
    <w:p w14:paraId="3FFBBC23" w14:textId="77777777" w:rsidR="00CF227C" w:rsidRPr="008A6ABF" w:rsidRDefault="00CF227C" w:rsidP="00F302E7">
      <w:pPr>
        <w:pStyle w:val="Prrafodelista"/>
        <w:widowControl w:val="0"/>
        <w:autoSpaceDE w:val="0"/>
        <w:autoSpaceDN w:val="0"/>
        <w:adjustRightInd w:val="0"/>
        <w:spacing w:line="360" w:lineRule="auto"/>
        <w:ind w:left="720"/>
        <w:jc w:val="both"/>
        <w:rPr>
          <w:rFonts w:ascii="Palatino Linotype" w:hAnsi="Palatino Linotype" w:cs="Segoe UI"/>
          <w:b/>
          <w:sz w:val="22"/>
          <w:lang w:eastAsia="es-MX"/>
        </w:rPr>
      </w:pPr>
    </w:p>
    <w:p w14:paraId="2823B380" w14:textId="59DFD1D8" w:rsidR="00CC48D3" w:rsidRPr="008A6ABF" w:rsidRDefault="00E5470F" w:rsidP="00CF227C">
      <w:pPr>
        <w:pStyle w:val="Prrafodelista"/>
        <w:widowControl w:val="0"/>
        <w:numPr>
          <w:ilvl w:val="0"/>
          <w:numId w:val="3"/>
        </w:numPr>
        <w:autoSpaceDE w:val="0"/>
        <w:autoSpaceDN w:val="0"/>
        <w:adjustRightInd w:val="0"/>
        <w:spacing w:line="360" w:lineRule="auto"/>
        <w:jc w:val="both"/>
        <w:rPr>
          <w:rFonts w:ascii="Palatino Linotype" w:hAnsi="Palatino Linotype" w:cs="Segoe UI"/>
          <w:sz w:val="22"/>
          <w:lang w:eastAsia="es-MX"/>
        </w:rPr>
      </w:pPr>
      <w:hyperlink r:id="rId9" w:tgtFrame="_blank" w:history="1">
        <w:r w:rsidR="00720FB6" w:rsidRPr="008A6ABF">
          <w:rPr>
            <w:rFonts w:ascii="Palatino Linotype" w:hAnsi="Palatino Linotype" w:cs="Segoe UI"/>
            <w:b/>
            <w:sz w:val="22"/>
            <w:lang w:eastAsia="es-MX"/>
          </w:rPr>
          <w:t>CONT. 0292-21 TESO.pdf</w:t>
        </w:r>
      </w:hyperlink>
      <w:r w:rsidR="00720FB6" w:rsidRPr="008A6ABF">
        <w:rPr>
          <w:rFonts w:ascii="Palatino Linotype" w:hAnsi="Palatino Linotype" w:cs="Segoe UI"/>
          <w:b/>
          <w:sz w:val="22"/>
          <w:lang w:eastAsia="es-MX"/>
        </w:rPr>
        <w:t xml:space="preserve">: </w:t>
      </w:r>
      <w:r w:rsidR="00720FB6" w:rsidRPr="008A6ABF">
        <w:rPr>
          <w:rFonts w:ascii="Palatino Linotype" w:hAnsi="Palatino Linotype" w:cs="Segoe UI"/>
          <w:sz w:val="22"/>
          <w:lang w:eastAsia="es-MX"/>
        </w:rPr>
        <w:t>contiene el oficio número UTAIP/AMEC/769/2021, de fecha veintinueve de diciembre de dos mil veintiuno, firmado por el Tesorero M</w:t>
      </w:r>
      <w:r w:rsidR="00CC48D3" w:rsidRPr="008A6ABF">
        <w:rPr>
          <w:rFonts w:ascii="Palatino Linotype" w:hAnsi="Palatino Linotype" w:cs="Segoe UI"/>
          <w:sz w:val="22"/>
          <w:lang w:eastAsia="es-MX"/>
        </w:rPr>
        <w:t xml:space="preserve">unicipal, mediante el cual señala que en sus archivos no obra la información solicitada, </w:t>
      </w:r>
      <w:r w:rsidR="00254F2C" w:rsidRPr="008A6ABF">
        <w:rPr>
          <w:rFonts w:ascii="Palatino Linotype" w:hAnsi="Palatino Linotype" w:cs="Segoe UI"/>
          <w:sz w:val="22"/>
          <w:lang w:eastAsia="es-MX"/>
        </w:rPr>
        <w:t xml:space="preserve">por lo que esta debe ser </w:t>
      </w:r>
      <w:r w:rsidR="00CC48D3" w:rsidRPr="008A6ABF">
        <w:rPr>
          <w:rFonts w:ascii="Palatino Linotype" w:hAnsi="Palatino Linotype" w:cs="Segoe UI"/>
          <w:sz w:val="22"/>
          <w:lang w:eastAsia="es-MX"/>
        </w:rPr>
        <w:t>solicita</w:t>
      </w:r>
      <w:r w:rsidR="00254F2C" w:rsidRPr="008A6ABF">
        <w:rPr>
          <w:rFonts w:ascii="Palatino Linotype" w:hAnsi="Palatino Linotype" w:cs="Segoe UI"/>
          <w:sz w:val="22"/>
          <w:lang w:eastAsia="es-MX"/>
        </w:rPr>
        <w:t>da a</w:t>
      </w:r>
      <w:r w:rsidR="00CC48D3" w:rsidRPr="008A6ABF">
        <w:rPr>
          <w:rFonts w:ascii="Palatino Linotype" w:hAnsi="Palatino Linotype" w:cs="Segoe UI"/>
          <w:sz w:val="22"/>
          <w:lang w:eastAsia="es-MX"/>
        </w:rPr>
        <w:t xml:space="preserve"> la misma a la Dirección de Seguridad Ciudadana</w:t>
      </w:r>
      <w:r w:rsidR="00254F2C" w:rsidRPr="008A6ABF">
        <w:rPr>
          <w:rFonts w:ascii="Palatino Linotype" w:hAnsi="Palatino Linotype" w:cs="Segoe UI"/>
          <w:sz w:val="22"/>
          <w:lang w:eastAsia="es-MX"/>
        </w:rPr>
        <w:t>.</w:t>
      </w:r>
    </w:p>
    <w:p w14:paraId="7CAA018D" w14:textId="77777777" w:rsidR="00BC0E3B" w:rsidRPr="008A6ABF" w:rsidRDefault="00BC0E3B" w:rsidP="00CF227C">
      <w:pPr>
        <w:widowControl w:val="0"/>
        <w:autoSpaceDE w:val="0"/>
        <w:autoSpaceDN w:val="0"/>
        <w:adjustRightInd w:val="0"/>
        <w:spacing w:line="360" w:lineRule="auto"/>
        <w:jc w:val="both"/>
        <w:rPr>
          <w:rFonts w:ascii="Palatino Linotype" w:hAnsi="Palatino Linotype" w:cs="Segoe UI"/>
          <w:sz w:val="22"/>
          <w:lang w:eastAsia="es-MX"/>
        </w:rPr>
      </w:pPr>
    </w:p>
    <w:p w14:paraId="210A6613" w14:textId="77777777" w:rsidR="00BC0E3B" w:rsidRPr="008A6ABF" w:rsidRDefault="00BC0E3B" w:rsidP="00CF227C">
      <w:pPr>
        <w:spacing w:line="360" w:lineRule="auto"/>
        <w:ind w:left="-57" w:right="-57"/>
        <w:jc w:val="both"/>
        <w:rPr>
          <w:rFonts w:ascii="Palatino Linotype" w:hAnsi="Palatino Linotype" w:cs="Arial"/>
          <w:sz w:val="22"/>
        </w:rPr>
      </w:pPr>
      <w:r w:rsidRPr="008A6ABF">
        <w:rPr>
          <w:rFonts w:ascii="Palatino Linotype" w:hAnsi="Palatino Linotype" w:cs="Segoe UI"/>
          <w:b/>
          <w:bCs/>
          <w:szCs w:val="28"/>
          <w:lang w:eastAsia="es-MX"/>
        </w:rPr>
        <w:t>I</w:t>
      </w:r>
      <w:r w:rsidR="00CC48D3" w:rsidRPr="008A6ABF">
        <w:rPr>
          <w:rFonts w:ascii="Palatino Linotype" w:hAnsi="Palatino Linotype" w:cs="Segoe UI"/>
          <w:b/>
          <w:bCs/>
          <w:szCs w:val="28"/>
          <w:lang w:eastAsia="es-MX"/>
        </w:rPr>
        <w:t>V</w:t>
      </w:r>
      <w:r w:rsidRPr="008A6ABF">
        <w:rPr>
          <w:rFonts w:ascii="Palatino Linotype" w:hAnsi="Palatino Linotype" w:cs="Segoe UI"/>
          <w:b/>
          <w:bCs/>
          <w:sz w:val="22"/>
          <w:lang w:eastAsia="es-MX"/>
        </w:rPr>
        <w:t>.</w:t>
      </w:r>
      <w:r w:rsidRPr="008A6ABF">
        <w:rPr>
          <w:rFonts w:ascii="Palatino Linotype" w:hAnsi="Palatino Linotype" w:cs="Segoe UI"/>
          <w:sz w:val="22"/>
          <w:lang w:eastAsia="es-MX"/>
        </w:rPr>
        <w:t xml:space="preserve"> </w:t>
      </w:r>
      <w:r w:rsidRPr="008A6ABF">
        <w:rPr>
          <w:rFonts w:ascii="Palatino Linotype" w:hAnsi="Palatino Linotype" w:cs="Arial"/>
          <w:sz w:val="22"/>
        </w:rPr>
        <w:t xml:space="preserve">Inconforme por la respuesta de </w:t>
      </w:r>
      <w:r w:rsidRPr="008A6ABF">
        <w:rPr>
          <w:rFonts w:ascii="Palatino Linotype" w:hAnsi="Palatino Linotype" w:cs="Arial"/>
          <w:b/>
          <w:sz w:val="22"/>
        </w:rPr>
        <w:t>EL SUJETO OBLIGADO</w:t>
      </w:r>
      <w:r w:rsidRPr="008A6ABF">
        <w:rPr>
          <w:rFonts w:ascii="Palatino Linotype" w:hAnsi="Palatino Linotype" w:cs="Arial"/>
          <w:sz w:val="22"/>
        </w:rPr>
        <w:t xml:space="preserve">, </w:t>
      </w:r>
      <w:bookmarkStart w:id="8" w:name="_Hlk65869348"/>
      <w:r w:rsidRPr="008A6ABF">
        <w:rPr>
          <w:rFonts w:ascii="Palatino Linotype" w:hAnsi="Palatino Linotype" w:cs="Arial"/>
          <w:sz w:val="22"/>
        </w:rPr>
        <w:t xml:space="preserve">el </w:t>
      </w:r>
      <w:bookmarkEnd w:id="8"/>
      <w:r w:rsidR="00CC48D3" w:rsidRPr="008A6ABF">
        <w:rPr>
          <w:rFonts w:ascii="Palatino Linotype" w:hAnsi="Palatino Linotype" w:cs="Segoe UI"/>
          <w:sz w:val="22"/>
          <w:lang w:eastAsia="es-MX"/>
        </w:rPr>
        <w:t xml:space="preserve">veinte </w:t>
      </w:r>
      <w:r w:rsidRPr="008A6ABF">
        <w:rPr>
          <w:rFonts w:ascii="Palatino Linotype" w:hAnsi="Palatino Linotype" w:cs="Segoe UI"/>
          <w:sz w:val="22"/>
          <w:lang w:eastAsia="es-MX"/>
        </w:rPr>
        <w:t>de enero de dos mil veintidós</w:t>
      </w:r>
      <w:r w:rsidRPr="008A6ABF">
        <w:rPr>
          <w:rFonts w:ascii="Palatino Linotype" w:hAnsi="Palatino Linotype" w:cs="Arial"/>
          <w:sz w:val="22"/>
        </w:rPr>
        <w:t xml:space="preserve">, </w:t>
      </w:r>
      <w:r w:rsidRPr="008A6ABF">
        <w:rPr>
          <w:rFonts w:ascii="Palatino Linotype" w:hAnsi="Palatino Linotype" w:cs="Arial"/>
          <w:b/>
          <w:sz w:val="22"/>
        </w:rPr>
        <w:t>EL RECURRENTE</w:t>
      </w:r>
      <w:r w:rsidRPr="008A6ABF">
        <w:rPr>
          <w:rFonts w:ascii="Palatino Linotype" w:hAnsi="Palatino Linotype" w:cs="Arial"/>
          <w:sz w:val="22"/>
        </w:rPr>
        <w:t xml:space="preserve"> interpuso el recurso de revisión, al cual se le asignó el número de recurso de revisión señalado al rubro, el cual es objeto del presente estudio, en el que señaló como acto impugnado:</w:t>
      </w:r>
    </w:p>
    <w:p w14:paraId="26FAB774" w14:textId="77777777" w:rsidR="00BC0E3B" w:rsidRPr="008A6ABF" w:rsidRDefault="00BC0E3B" w:rsidP="00CF227C">
      <w:pPr>
        <w:spacing w:line="360" w:lineRule="auto"/>
        <w:ind w:left="-57" w:right="-57"/>
        <w:jc w:val="both"/>
        <w:rPr>
          <w:rFonts w:ascii="Palatino Linotype" w:hAnsi="Palatino Linotype" w:cs="Arial"/>
          <w:sz w:val="22"/>
        </w:rPr>
      </w:pPr>
    </w:p>
    <w:p w14:paraId="7B5C9ABA" w14:textId="77777777" w:rsidR="00BC0E3B" w:rsidRPr="008A6ABF" w:rsidRDefault="00BC0E3B" w:rsidP="00F302E7">
      <w:pPr>
        <w:tabs>
          <w:tab w:val="left" w:pos="851"/>
        </w:tabs>
        <w:spacing w:line="360" w:lineRule="auto"/>
        <w:ind w:left="567" w:right="567"/>
        <w:jc w:val="both"/>
        <w:rPr>
          <w:rFonts w:ascii="Palatino Linotype" w:eastAsia="Palatino Linotype" w:hAnsi="Palatino Linotype" w:cs="Palatino Linotype"/>
          <w:i/>
          <w:sz w:val="20"/>
          <w:szCs w:val="22"/>
        </w:rPr>
      </w:pPr>
      <w:r w:rsidRPr="008A6ABF">
        <w:rPr>
          <w:rFonts w:ascii="Palatino Linotype" w:eastAsia="Palatino Linotype" w:hAnsi="Palatino Linotype" w:cs="Palatino Linotype"/>
          <w:i/>
          <w:sz w:val="20"/>
          <w:szCs w:val="22"/>
        </w:rPr>
        <w:t>“</w:t>
      </w:r>
      <w:r w:rsidR="00CC48D3" w:rsidRPr="008A6ABF">
        <w:rPr>
          <w:rFonts w:ascii="Palatino Linotype" w:eastAsia="Palatino Linotype" w:hAnsi="Palatino Linotype" w:cs="Palatino Linotype"/>
          <w:i/>
          <w:sz w:val="20"/>
          <w:szCs w:val="22"/>
        </w:rPr>
        <w:t>Información denegada</w:t>
      </w:r>
      <w:r w:rsidRPr="008A6ABF">
        <w:rPr>
          <w:rFonts w:ascii="Palatino Linotype" w:eastAsia="Palatino Linotype" w:hAnsi="Palatino Linotype" w:cs="Palatino Linotype"/>
          <w:i/>
          <w:sz w:val="20"/>
          <w:szCs w:val="22"/>
        </w:rPr>
        <w:t>.” (Sic).</w:t>
      </w:r>
    </w:p>
    <w:p w14:paraId="2AA8DD9D" w14:textId="77777777" w:rsidR="00BC0E3B" w:rsidRPr="008A6ABF" w:rsidRDefault="00BC0E3B" w:rsidP="00CF227C">
      <w:pPr>
        <w:tabs>
          <w:tab w:val="left" w:pos="851"/>
        </w:tabs>
        <w:spacing w:line="360" w:lineRule="auto"/>
        <w:ind w:left="851" w:right="901"/>
        <w:jc w:val="both"/>
        <w:rPr>
          <w:rFonts w:ascii="Palatino Linotype" w:eastAsia="Palatino Linotype" w:hAnsi="Palatino Linotype" w:cs="Palatino Linotype"/>
          <w:i/>
          <w:sz w:val="20"/>
          <w:szCs w:val="22"/>
        </w:rPr>
      </w:pPr>
    </w:p>
    <w:p w14:paraId="2B4A963F" w14:textId="77777777" w:rsidR="00BC0E3B" w:rsidRPr="008A6ABF" w:rsidRDefault="00BC0E3B" w:rsidP="00CF227C">
      <w:pPr>
        <w:spacing w:line="360" w:lineRule="auto"/>
        <w:jc w:val="both"/>
        <w:rPr>
          <w:rFonts w:ascii="Palatino Linotype" w:eastAsia="Palatino Linotype" w:hAnsi="Palatino Linotype" w:cs="Palatino Linotype"/>
          <w:color w:val="000000"/>
          <w:sz w:val="20"/>
          <w:szCs w:val="22"/>
        </w:rPr>
      </w:pPr>
      <w:r w:rsidRPr="008A6ABF">
        <w:rPr>
          <w:rFonts w:ascii="Palatino Linotype" w:eastAsia="Palatino Linotype" w:hAnsi="Palatino Linotype" w:cs="Palatino Linotype"/>
          <w:color w:val="000000"/>
          <w:sz w:val="20"/>
          <w:szCs w:val="22"/>
        </w:rPr>
        <w:t xml:space="preserve">Así como, razones o motivos de inconformidad lo siguiente: </w:t>
      </w:r>
    </w:p>
    <w:p w14:paraId="6772A9EE" w14:textId="77777777" w:rsidR="00CC48D3" w:rsidRPr="008A6ABF" w:rsidRDefault="00CC48D3" w:rsidP="00CF227C">
      <w:pPr>
        <w:spacing w:line="360" w:lineRule="auto"/>
        <w:jc w:val="both"/>
        <w:rPr>
          <w:rFonts w:ascii="Palatino Linotype" w:eastAsia="Palatino Linotype" w:hAnsi="Palatino Linotype" w:cs="Palatino Linotype"/>
          <w:color w:val="000000"/>
          <w:sz w:val="20"/>
          <w:szCs w:val="22"/>
        </w:rPr>
      </w:pPr>
    </w:p>
    <w:p w14:paraId="34EDEE65" w14:textId="77777777" w:rsidR="00BC0E3B" w:rsidRPr="008A6ABF" w:rsidRDefault="00BC0E3B" w:rsidP="00F302E7">
      <w:pPr>
        <w:tabs>
          <w:tab w:val="left" w:pos="851"/>
        </w:tabs>
        <w:spacing w:line="360" w:lineRule="auto"/>
        <w:ind w:left="567" w:right="567"/>
        <w:jc w:val="both"/>
        <w:rPr>
          <w:rFonts w:ascii="Palatino Linotype" w:hAnsi="Palatino Linotype"/>
          <w:i/>
          <w:sz w:val="20"/>
          <w:szCs w:val="22"/>
        </w:rPr>
      </w:pPr>
      <w:r w:rsidRPr="008A6ABF">
        <w:rPr>
          <w:rFonts w:ascii="Palatino Linotype" w:hAnsi="Palatino Linotype"/>
          <w:i/>
          <w:sz w:val="20"/>
          <w:szCs w:val="22"/>
        </w:rPr>
        <w:t>“</w:t>
      </w:r>
      <w:r w:rsidR="00CC48D3" w:rsidRPr="008A6ABF">
        <w:rPr>
          <w:rFonts w:ascii="Palatino Linotype" w:hAnsi="Palatino Linotype"/>
          <w:i/>
          <w:sz w:val="20"/>
          <w:szCs w:val="22"/>
        </w:rPr>
        <w:t>Omite entregar información del año 2019, 2020 y 2021, ya que no aclara si de este lapso tampoco tiene información. Además, considero que debe entregar información de los años anteriores, ya que no aclara si la información no está desglosada o no existe. En caso de no estar desglosada puede enviarla sin desglosar en una versión pública. Además, según lo indicado en la contestación hecha por el tesorero municipal, refleja que la persona encargada del departamento de Transparencia solicitó la información a una área que no era la correspondiente. Por lo que pido que la persona encargada del área de Transparencia haga la revisión correspondiente y pase las solicitudes a las áreas que sí son competentes</w:t>
      </w:r>
      <w:r w:rsidRPr="008A6ABF">
        <w:rPr>
          <w:rFonts w:ascii="Palatino Linotype" w:hAnsi="Palatino Linotype"/>
          <w:i/>
          <w:sz w:val="20"/>
          <w:szCs w:val="22"/>
        </w:rPr>
        <w:t>” (Sic)</w:t>
      </w:r>
    </w:p>
    <w:p w14:paraId="26DF77DA" w14:textId="77777777" w:rsidR="00BC0E3B" w:rsidRPr="008A6ABF" w:rsidRDefault="00BC0E3B" w:rsidP="00CF227C">
      <w:pPr>
        <w:tabs>
          <w:tab w:val="left" w:pos="851"/>
        </w:tabs>
        <w:spacing w:line="360" w:lineRule="auto"/>
        <w:ind w:left="851" w:right="901"/>
        <w:jc w:val="both"/>
        <w:rPr>
          <w:rFonts w:ascii="Palatino Linotype" w:hAnsi="Palatino Linotype" w:cs="Arial"/>
          <w:sz w:val="22"/>
        </w:rPr>
      </w:pPr>
    </w:p>
    <w:p w14:paraId="6605B3E5" w14:textId="51EB67CB" w:rsidR="00BC0E3B" w:rsidRPr="008A6ABF" w:rsidRDefault="00BC0E3B" w:rsidP="00CF227C">
      <w:pPr>
        <w:spacing w:line="360" w:lineRule="auto"/>
        <w:jc w:val="both"/>
        <w:rPr>
          <w:rFonts w:ascii="Palatino Linotype" w:hAnsi="Palatino Linotype" w:cs="Arial"/>
          <w:sz w:val="22"/>
          <w:lang w:val="es-ES_tradnl"/>
        </w:rPr>
      </w:pPr>
      <w:r w:rsidRPr="008A6ABF">
        <w:rPr>
          <w:rFonts w:ascii="Palatino Linotype" w:hAnsi="Palatino Linotype" w:cs="Arial"/>
          <w:b/>
          <w:szCs w:val="28"/>
        </w:rPr>
        <w:t>V</w:t>
      </w:r>
      <w:r w:rsidRPr="008A6ABF">
        <w:rPr>
          <w:rFonts w:ascii="Palatino Linotype" w:hAnsi="Palatino Linotype" w:cs="Arial"/>
          <w:b/>
          <w:sz w:val="22"/>
        </w:rPr>
        <w:t xml:space="preserve">. </w:t>
      </w:r>
      <w:bookmarkStart w:id="9" w:name="_Hlk76554159"/>
      <w:r w:rsidRPr="008A6ABF">
        <w:rPr>
          <w:rFonts w:ascii="Palatino Linotype" w:hAnsi="Palatino Linotype" w:cs="Arial"/>
          <w:sz w:val="22"/>
        </w:rPr>
        <w:t xml:space="preserve">El </w:t>
      </w:r>
      <w:r w:rsidR="00CC48D3" w:rsidRPr="008A6ABF">
        <w:rPr>
          <w:rFonts w:ascii="Palatino Linotype" w:hAnsi="Palatino Linotype" w:cs="Segoe UI"/>
          <w:sz w:val="22"/>
          <w:lang w:eastAsia="es-MX"/>
        </w:rPr>
        <w:t>veinte</w:t>
      </w:r>
      <w:r w:rsidRPr="008A6ABF">
        <w:rPr>
          <w:rFonts w:ascii="Palatino Linotype" w:hAnsi="Palatino Linotype" w:cs="Segoe UI"/>
          <w:sz w:val="22"/>
          <w:lang w:eastAsia="es-MX"/>
        </w:rPr>
        <w:t xml:space="preserve"> de enero de dos mil veintidós</w:t>
      </w:r>
      <w:r w:rsidRPr="008A6ABF">
        <w:rPr>
          <w:rFonts w:ascii="Palatino Linotype" w:hAnsi="Palatino Linotype" w:cs="Arial"/>
          <w:sz w:val="22"/>
        </w:rPr>
        <w:t xml:space="preserve">, el recurso del que se trata se presentó  electrónicamente ante el Instituto de </w:t>
      </w:r>
      <w:r w:rsidRPr="008A6ABF">
        <w:rPr>
          <w:rFonts w:ascii="Palatino Linotype" w:eastAsia="Arial Unicode MS" w:hAnsi="Palatino Linotype" w:cs="Arial"/>
          <w:sz w:val="22"/>
        </w:rPr>
        <w:t>Transparencia</w:t>
      </w:r>
      <w:r w:rsidRPr="008A6ABF">
        <w:rPr>
          <w:rFonts w:ascii="Palatino Linotype" w:hAnsi="Palatino Linotype" w:cs="Arial"/>
          <w:sz w:val="22"/>
        </w:rPr>
        <w:t xml:space="preserve">, Acceso a la </w:t>
      </w:r>
      <w:r w:rsidR="008258F9" w:rsidRPr="008A6ABF">
        <w:rPr>
          <w:rFonts w:ascii="Palatino Linotype" w:hAnsi="Palatino Linotype" w:cs="Arial"/>
          <w:sz w:val="22"/>
        </w:rPr>
        <w:t>Información Pública</w:t>
      </w:r>
      <w:r w:rsidRPr="008A6ABF">
        <w:rPr>
          <w:rFonts w:ascii="Palatino Linotype" w:hAnsi="Palatino Linotype" w:cs="Arial"/>
          <w:sz w:val="22"/>
        </w:rPr>
        <w:t xml:space="preserve"> y Protección de Datos Personales del Estado de México y Municipios y con fundamento en el artículo 185, fracción I de la </w:t>
      </w:r>
      <w:r w:rsidRPr="008A6ABF">
        <w:rPr>
          <w:rFonts w:ascii="Palatino Linotype" w:hAnsi="Palatino Linotype"/>
          <w:sz w:val="22"/>
        </w:rPr>
        <w:t xml:space="preserve">Ley de Transparencia y Acceso a la </w:t>
      </w:r>
      <w:r w:rsidR="008258F9" w:rsidRPr="008A6ABF">
        <w:rPr>
          <w:rFonts w:ascii="Palatino Linotype" w:hAnsi="Palatino Linotype"/>
          <w:sz w:val="22"/>
        </w:rPr>
        <w:t>Información Pública</w:t>
      </w:r>
      <w:r w:rsidRPr="008A6ABF">
        <w:rPr>
          <w:rFonts w:ascii="Palatino Linotype" w:hAnsi="Palatino Linotype"/>
          <w:sz w:val="22"/>
        </w:rPr>
        <w:t xml:space="preserve"> del Estado </w:t>
      </w:r>
      <w:r w:rsidRPr="008A6ABF">
        <w:rPr>
          <w:rFonts w:ascii="Palatino Linotype" w:hAnsi="Palatino Linotype"/>
          <w:sz w:val="22"/>
        </w:rPr>
        <w:lastRenderedPageBreak/>
        <w:t>de México y Municipios</w:t>
      </w:r>
      <w:r w:rsidRPr="008A6ABF">
        <w:rPr>
          <w:rFonts w:ascii="Palatino Linotype" w:hAnsi="Palatino Linotype" w:cs="Arial"/>
          <w:sz w:val="22"/>
        </w:rPr>
        <w:t xml:space="preserve">, </w:t>
      </w:r>
      <w:r w:rsidRPr="008A6ABF">
        <w:rPr>
          <w:rFonts w:ascii="Palatino Linotype" w:hAnsi="Palatino Linotype" w:cs="Arial"/>
          <w:sz w:val="22"/>
          <w:lang w:val="es-ES_tradnl"/>
        </w:rPr>
        <w:t xml:space="preserve">a través de </w:t>
      </w:r>
      <w:r w:rsidRPr="008A6ABF">
        <w:rPr>
          <w:rFonts w:ascii="Palatino Linotype" w:hAnsi="Palatino Linotype" w:cs="Arial"/>
          <w:b/>
          <w:sz w:val="22"/>
          <w:lang w:val="es-ES_tradnl"/>
        </w:rPr>
        <w:t>EL</w:t>
      </w:r>
      <w:r w:rsidRPr="008A6ABF">
        <w:rPr>
          <w:rFonts w:ascii="Palatino Linotype" w:eastAsia="Arial Unicode MS" w:hAnsi="Palatino Linotype" w:cs="Arial"/>
          <w:sz w:val="22"/>
          <w:lang w:val="es-ES_tradnl"/>
        </w:rPr>
        <w:t xml:space="preserve"> </w:t>
      </w:r>
      <w:r w:rsidRPr="008A6ABF">
        <w:rPr>
          <w:rFonts w:ascii="Palatino Linotype" w:eastAsia="Arial Unicode MS" w:hAnsi="Palatino Linotype" w:cs="Arial"/>
          <w:b/>
          <w:sz w:val="22"/>
          <w:lang w:val="es-ES_tradnl"/>
        </w:rPr>
        <w:t>SAIMEX</w:t>
      </w:r>
      <w:r w:rsidRPr="008A6ABF">
        <w:rPr>
          <w:rFonts w:ascii="Palatino Linotype" w:hAnsi="Palatino Linotype"/>
          <w:sz w:val="22"/>
        </w:rPr>
        <w:t>, el recurso</w:t>
      </w:r>
      <w:r w:rsidRPr="008A6ABF">
        <w:rPr>
          <w:rFonts w:ascii="Palatino Linotype" w:hAnsi="Palatino Linotype" w:cs="Arial"/>
          <w:sz w:val="22"/>
          <w:szCs w:val="20"/>
        </w:rPr>
        <w:t xml:space="preserve"> de revisión </w:t>
      </w:r>
      <w:r w:rsidRPr="008A6ABF">
        <w:rPr>
          <w:rFonts w:ascii="Palatino Linotype" w:hAnsi="Palatino Linotype" w:cs="Arial"/>
          <w:sz w:val="22"/>
          <w:lang w:val="es-ES_tradnl"/>
        </w:rPr>
        <w:t>se turnó</w:t>
      </w:r>
      <w:r w:rsidRPr="008A6ABF">
        <w:rPr>
          <w:rFonts w:ascii="Palatino Linotype" w:hAnsi="Palatino Linotype"/>
          <w:sz w:val="22"/>
        </w:rPr>
        <w:t xml:space="preserve"> al </w:t>
      </w:r>
      <w:r w:rsidRPr="008A6ABF">
        <w:rPr>
          <w:rFonts w:ascii="Palatino Linotype" w:hAnsi="Palatino Linotype" w:cs="Arial"/>
          <w:b/>
          <w:bCs/>
          <w:sz w:val="22"/>
          <w:lang w:val="es-ES_tradnl"/>
        </w:rPr>
        <w:t>Comisionado Luis Gustavo Parra Noriega</w:t>
      </w:r>
      <w:r w:rsidRPr="008A6ABF">
        <w:rPr>
          <w:rFonts w:ascii="Palatino Linotype" w:hAnsi="Palatino Linotype"/>
          <w:sz w:val="22"/>
        </w:rPr>
        <w:t xml:space="preserve">, a </w:t>
      </w:r>
      <w:r w:rsidRPr="008A6ABF">
        <w:rPr>
          <w:rFonts w:ascii="Palatino Linotype" w:hAnsi="Palatino Linotype" w:cs="Arial"/>
          <w:sz w:val="22"/>
          <w:lang w:val="es-ES_tradnl"/>
        </w:rPr>
        <w:t>efecto de que decretara su admisión o desechamiento.</w:t>
      </w:r>
    </w:p>
    <w:p w14:paraId="03D33FE5" w14:textId="77777777" w:rsidR="00BC0E3B" w:rsidRPr="008A6ABF" w:rsidRDefault="00BC0E3B" w:rsidP="00CF227C">
      <w:pPr>
        <w:spacing w:line="360" w:lineRule="auto"/>
        <w:jc w:val="both"/>
        <w:rPr>
          <w:rFonts w:ascii="Palatino Linotype" w:hAnsi="Palatino Linotype" w:cs="Arial"/>
          <w:sz w:val="22"/>
          <w:lang w:val="es-ES_tradnl"/>
        </w:rPr>
      </w:pPr>
    </w:p>
    <w:bookmarkEnd w:id="9"/>
    <w:p w14:paraId="5A46F6A7" w14:textId="5C1D9A7B" w:rsidR="00BC0E3B" w:rsidRPr="008A6ABF" w:rsidRDefault="00BC0E3B" w:rsidP="00CF227C">
      <w:pPr>
        <w:tabs>
          <w:tab w:val="center" w:pos="4252"/>
          <w:tab w:val="right" w:pos="8504"/>
        </w:tabs>
        <w:spacing w:line="360" w:lineRule="auto"/>
        <w:jc w:val="both"/>
        <w:rPr>
          <w:rFonts w:ascii="Palatino Linotype" w:hAnsi="Palatino Linotype" w:cs="Arial"/>
          <w:sz w:val="22"/>
        </w:rPr>
      </w:pPr>
      <w:r w:rsidRPr="008A6ABF">
        <w:rPr>
          <w:rFonts w:ascii="Palatino Linotype" w:hAnsi="Palatino Linotype" w:cs="Arial"/>
          <w:b/>
          <w:szCs w:val="28"/>
        </w:rPr>
        <w:t>V</w:t>
      </w:r>
      <w:r w:rsidR="00CC48D3" w:rsidRPr="008A6ABF">
        <w:rPr>
          <w:rFonts w:ascii="Palatino Linotype" w:hAnsi="Palatino Linotype" w:cs="Arial"/>
          <w:b/>
          <w:szCs w:val="28"/>
        </w:rPr>
        <w:t>I</w:t>
      </w:r>
      <w:r w:rsidRPr="008A6ABF">
        <w:rPr>
          <w:rFonts w:ascii="Palatino Linotype" w:hAnsi="Palatino Linotype" w:cs="Arial"/>
          <w:b/>
          <w:szCs w:val="28"/>
        </w:rPr>
        <w:t xml:space="preserve">. </w:t>
      </w:r>
      <w:r w:rsidRPr="008A6ABF">
        <w:rPr>
          <w:rFonts w:ascii="Palatino Linotype" w:hAnsi="Palatino Linotype" w:cs="Arial"/>
          <w:sz w:val="22"/>
        </w:rPr>
        <w:t xml:space="preserve">De las constancias que obran en el expediente electrónico de </w:t>
      </w:r>
      <w:r w:rsidRPr="008A6ABF">
        <w:rPr>
          <w:rFonts w:ascii="Palatino Linotype" w:hAnsi="Palatino Linotype" w:cs="Arial"/>
          <w:b/>
          <w:sz w:val="22"/>
          <w:lang w:val="es-ES_tradnl"/>
        </w:rPr>
        <w:t>EL</w:t>
      </w:r>
      <w:r w:rsidRPr="008A6ABF">
        <w:rPr>
          <w:rFonts w:ascii="Palatino Linotype" w:hAnsi="Palatino Linotype" w:cs="Arial"/>
          <w:b/>
          <w:sz w:val="22"/>
        </w:rPr>
        <w:t xml:space="preserve"> SAIMEX</w:t>
      </w:r>
      <w:r w:rsidRPr="008A6ABF">
        <w:rPr>
          <w:rFonts w:ascii="Palatino Linotype" w:hAnsi="Palatino Linotype" w:cs="Arial"/>
          <w:sz w:val="22"/>
        </w:rPr>
        <w:t xml:space="preserve">, se advierte que en fecha </w:t>
      </w:r>
      <w:r w:rsidR="00CC48D3" w:rsidRPr="008A6ABF">
        <w:rPr>
          <w:rFonts w:ascii="Palatino Linotype" w:hAnsi="Palatino Linotype" w:cs="Arial"/>
          <w:sz w:val="22"/>
        </w:rPr>
        <w:t>veinticuatro d</w:t>
      </w:r>
      <w:r w:rsidRPr="008A6ABF">
        <w:rPr>
          <w:rFonts w:ascii="Palatino Linotype" w:hAnsi="Palatino Linotype" w:cs="Arial"/>
          <w:sz w:val="22"/>
        </w:rPr>
        <w:t xml:space="preserve">e enero de dos mil veintidós,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w:t>
      </w:r>
      <w:r w:rsidR="008258F9" w:rsidRPr="008A6ABF">
        <w:rPr>
          <w:rFonts w:ascii="Palatino Linotype" w:hAnsi="Palatino Linotype" w:cs="Arial"/>
          <w:sz w:val="22"/>
        </w:rPr>
        <w:t>Información Pública</w:t>
      </w:r>
      <w:r w:rsidRPr="008A6ABF">
        <w:rPr>
          <w:rFonts w:ascii="Palatino Linotype" w:hAnsi="Palatino Linotype" w:cs="Arial"/>
          <w:sz w:val="22"/>
        </w:rPr>
        <w:t xml:space="preserve"> del Estado de México y Municipios, manifestaran lo que a su derecho conviniera, a efecto de presentar pruebas y alegatos; así como, para que </w:t>
      </w:r>
      <w:r w:rsidRPr="008A6ABF">
        <w:rPr>
          <w:rFonts w:ascii="Palatino Linotype" w:hAnsi="Palatino Linotype" w:cs="Arial"/>
          <w:b/>
          <w:sz w:val="22"/>
        </w:rPr>
        <w:t xml:space="preserve">EL SUJETO OBLIGADO </w:t>
      </w:r>
      <w:r w:rsidRPr="008A6ABF">
        <w:rPr>
          <w:rFonts w:ascii="Palatino Linotype" w:hAnsi="Palatino Linotype" w:cs="Arial"/>
          <w:sz w:val="22"/>
        </w:rPr>
        <w:t>rindiera el correspondiente</w:t>
      </w:r>
      <w:r w:rsidRPr="008A6ABF">
        <w:rPr>
          <w:rFonts w:ascii="Palatino Linotype" w:hAnsi="Palatino Linotype" w:cs="Arial"/>
          <w:b/>
          <w:sz w:val="22"/>
        </w:rPr>
        <w:t xml:space="preserve"> </w:t>
      </w:r>
      <w:r w:rsidRPr="008A6ABF">
        <w:rPr>
          <w:rFonts w:ascii="Palatino Linotype" w:hAnsi="Palatino Linotype" w:cs="Arial"/>
          <w:sz w:val="22"/>
        </w:rPr>
        <w:t>Informe Justificado.</w:t>
      </w:r>
    </w:p>
    <w:p w14:paraId="6F7142ED" w14:textId="77777777" w:rsidR="00BC0E3B" w:rsidRPr="008A6ABF" w:rsidRDefault="00BC0E3B" w:rsidP="00CF227C">
      <w:pPr>
        <w:tabs>
          <w:tab w:val="center" w:pos="4252"/>
          <w:tab w:val="right" w:pos="8504"/>
        </w:tabs>
        <w:spacing w:line="360" w:lineRule="auto"/>
        <w:jc w:val="both"/>
        <w:rPr>
          <w:rFonts w:ascii="Palatino Linotype" w:hAnsi="Palatino Linotype" w:cs="Arial"/>
          <w:sz w:val="22"/>
        </w:rPr>
      </w:pPr>
    </w:p>
    <w:p w14:paraId="67216B44" w14:textId="77777777" w:rsidR="00CC48D3" w:rsidRPr="008A6ABF" w:rsidRDefault="00BC0E3B" w:rsidP="00CF227C">
      <w:pPr>
        <w:spacing w:line="360" w:lineRule="auto"/>
        <w:jc w:val="both"/>
        <w:rPr>
          <w:rFonts w:ascii="Palatino Linotype" w:hAnsi="Palatino Linotype" w:cs="Arial"/>
          <w:sz w:val="22"/>
        </w:rPr>
      </w:pPr>
      <w:r w:rsidRPr="008A6ABF">
        <w:rPr>
          <w:rFonts w:ascii="Palatino Linotype" w:hAnsi="Palatino Linotype" w:cs="Arial"/>
          <w:b/>
          <w:szCs w:val="28"/>
        </w:rPr>
        <w:t>V</w:t>
      </w:r>
      <w:r w:rsidR="00CC48D3" w:rsidRPr="008A6ABF">
        <w:rPr>
          <w:rFonts w:ascii="Palatino Linotype" w:hAnsi="Palatino Linotype" w:cs="Arial"/>
          <w:b/>
          <w:szCs w:val="28"/>
        </w:rPr>
        <w:t>I</w:t>
      </w:r>
      <w:r w:rsidRPr="008A6ABF">
        <w:rPr>
          <w:rFonts w:ascii="Palatino Linotype" w:hAnsi="Palatino Linotype" w:cs="Arial"/>
          <w:b/>
          <w:szCs w:val="28"/>
        </w:rPr>
        <w:t>I</w:t>
      </w:r>
      <w:r w:rsidRPr="008A6ABF">
        <w:rPr>
          <w:rFonts w:ascii="Palatino Linotype" w:hAnsi="Palatino Linotype" w:cs="Arial"/>
          <w:b/>
          <w:sz w:val="22"/>
        </w:rPr>
        <w:t xml:space="preserve">. </w:t>
      </w:r>
      <w:r w:rsidRPr="008A6ABF">
        <w:rPr>
          <w:rFonts w:ascii="Palatino Linotype" w:hAnsi="Palatino Linotype" w:cs="Arial"/>
          <w:sz w:val="22"/>
        </w:rPr>
        <w:t xml:space="preserve">En cumplimiento a lo anterior, de las constancias del expediente electrónico de </w:t>
      </w:r>
      <w:r w:rsidRPr="008A6ABF">
        <w:rPr>
          <w:rFonts w:ascii="Palatino Linotype" w:hAnsi="Palatino Linotype" w:cs="Arial"/>
          <w:b/>
          <w:sz w:val="22"/>
          <w:lang w:val="es-ES_tradnl"/>
        </w:rPr>
        <w:t>EL</w:t>
      </w:r>
      <w:r w:rsidRPr="008A6ABF">
        <w:rPr>
          <w:rFonts w:ascii="Palatino Linotype" w:hAnsi="Palatino Linotype" w:cs="Arial"/>
          <w:sz w:val="22"/>
        </w:rPr>
        <w:t xml:space="preserve"> </w:t>
      </w:r>
      <w:r w:rsidRPr="008A6ABF">
        <w:rPr>
          <w:rFonts w:ascii="Palatino Linotype" w:hAnsi="Palatino Linotype" w:cs="Arial"/>
          <w:b/>
          <w:bCs/>
          <w:sz w:val="22"/>
        </w:rPr>
        <w:t>SAIMEX</w:t>
      </w:r>
      <w:r w:rsidRPr="008A6ABF">
        <w:rPr>
          <w:rFonts w:ascii="Palatino Linotype" w:hAnsi="Palatino Linotype" w:cs="Arial"/>
          <w:sz w:val="22"/>
        </w:rPr>
        <w:t xml:space="preserve">, se advierte que </w:t>
      </w:r>
      <w:r w:rsidRPr="008A6ABF">
        <w:rPr>
          <w:rFonts w:ascii="Palatino Linotype" w:hAnsi="Palatino Linotype" w:cs="Arial"/>
          <w:b/>
          <w:sz w:val="22"/>
        </w:rPr>
        <w:t xml:space="preserve">EL SUJETO OBLIGADO </w:t>
      </w:r>
      <w:r w:rsidRPr="008A6ABF">
        <w:rPr>
          <w:rFonts w:ascii="Palatino Linotype" w:hAnsi="Palatino Linotype" w:cs="Arial"/>
          <w:sz w:val="22"/>
        </w:rPr>
        <w:t>n</w:t>
      </w:r>
      <w:r w:rsidR="00CC48D3" w:rsidRPr="008A6ABF">
        <w:rPr>
          <w:rFonts w:ascii="Palatino Linotype" w:hAnsi="Palatino Linotype" w:cs="Arial"/>
          <w:sz w:val="22"/>
        </w:rPr>
        <w:t xml:space="preserve">o presentó el informe justificado correspondiente; mientras que por su parte </w:t>
      </w:r>
      <w:r w:rsidR="00CC48D3" w:rsidRPr="008A6ABF">
        <w:rPr>
          <w:rFonts w:ascii="Palatino Linotype" w:hAnsi="Palatino Linotype" w:cs="Arial"/>
          <w:b/>
          <w:sz w:val="22"/>
        </w:rPr>
        <w:t xml:space="preserve">EL RECURRENTE </w:t>
      </w:r>
      <w:r w:rsidR="00CC48D3" w:rsidRPr="008A6ABF">
        <w:rPr>
          <w:rFonts w:ascii="Palatino Linotype" w:hAnsi="Palatino Linotype" w:cs="Arial"/>
          <w:sz w:val="22"/>
        </w:rPr>
        <w:t>tampoco presentó pruebas ni realizó manifestación alguna que a su derecho conviniera.</w:t>
      </w:r>
    </w:p>
    <w:p w14:paraId="081D0292" w14:textId="77777777" w:rsidR="00BC0E3B" w:rsidRPr="008A6ABF" w:rsidRDefault="00BC0E3B" w:rsidP="00CF227C">
      <w:pPr>
        <w:spacing w:line="360" w:lineRule="auto"/>
        <w:jc w:val="both"/>
        <w:rPr>
          <w:rFonts w:ascii="Palatino Linotype" w:eastAsia="Palatino Linotype" w:hAnsi="Palatino Linotype" w:cs="Palatino Linotype"/>
          <w:sz w:val="22"/>
        </w:rPr>
      </w:pPr>
    </w:p>
    <w:p w14:paraId="5BF85FF9" w14:textId="3184F12B" w:rsidR="00BC0E3B" w:rsidRPr="008A6ABF" w:rsidRDefault="00BC0E3B" w:rsidP="00CF227C">
      <w:pPr>
        <w:spacing w:line="360" w:lineRule="auto"/>
        <w:jc w:val="both"/>
        <w:rPr>
          <w:rFonts w:ascii="Palatino Linotype" w:hAnsi="Palatino Linotype" w:cs="Arial"/>
          <w:color w:val="000000"/>
          <w:sz w:val="22"/>
          <w:lang w:eastAsia="es-MX"/>
        </w:rPr>
      </w:pPr>
      <w:r w:rsidRPr="008A6ABF">
        <w:rPr>
          <w:rFonts w:ascii="Palatino Linotype" w:hAnsi="Palatino Linotype" w:cs="Arial"/>
          <w:b/>
        </w:rPr>
        <w:t>VII</w:t>
      </w:r>
      <w:r w:rsidR="00CC48D3" w:rsidRPr="008A6ABF">
        <w:rPr>
          <w:rFonts w:ascii="Palatino Linotype" w:hAnsi="Palatino Linotype" w:cs="Arial"/>
          <w:b/>
        </w:rPr>
        <w:t>I</w:t>
      </w:r>
      <w:r w:rsidRPr="008A6ABF">
        <w:rPr>
          <w:rFonts w:ascii="Palatino Linotype" w:hAnsi="Palatino Linotype" w:cs="Arial"/>
          <w:b/>
        </w:rPr>
        <w:t xml:space="preserve">. </w:t>
      </w:r>
      <w:r w:rsidRPr="008A6ABF">
        <w:rPr>
          <w:rFonts w:ascii="Palatino Linotype" w:hAnsi="Palatino Linotype" w:cs="Arial"/>
          <w:sz w:val="22"/>
        </w:rPr>
        <w:t xml:space="preserve">Una vez analizado el estado procesal que guardaba el expediente, en fecha </w:t>
      </w:r>
      <w:r w:rsidR="00555802" w:rsidRPr="008A6ABF">
        <w:rPr>
          <w:rFonts w:ascii="Palatino Linotype" w:hAnsi="Palatino Linotype" w:cs="Arial"/>
          <w:sz w:val="22"/>
        </w:rPr>
        <w:t>nueve</w:t>
      </w:r>
      <w:r w:rsidRPr="008A6ABF">
        <w:rPr>
          <w:rFonts w:ascii="Palatino Linotype" w:hAnsi="Palatino Linotype" w:cs="Arial"/>
          <w:sz w:val="22"/>
        </w:rPr>
        <w:t xml:space="preserve"> de febrero de dos mil veintidós, el </w:t>
      </w:r>
      <w:r w:rsidRPr="008A6ABF">
        <w:rPr>
          <w:rFonts w:ascii="Palatino Linotype" w:eastAsia="MS Mincho" w:hAnsi="Palatino Linotype"/>
          <w:bCs/>
          <w:sz w:val="22"/>
          <w:lang w:val="es-ES_tradnl"/>
        </w:rPr>
        <w:t>Comisionado Ponente</w:t>
      </w:r>
      <w:r w:rsidRPr="008A6ABF">
        <w:rPr>
          <w:rFonts w:ascii="Palatino Linotype" w:hAnsi="Palatino Linotype" w:cs="Arial"/>
          <w:sz w:val="22"/>
        </w:rPr>
        <w:t xml:space="preserve"> acordó el cierre de instrucción, así como la remisión del mismo a efecto de ser resuelto, de conformidad con lo establecido en el artículo 185 fracciones VI y VIII de la Ley de Transparencia y Acceso a la </w:t>
      </w:r>
      <w:r w:rsidR="008258F9" w:rsidRPr="008A6ABF">
        <w:rPr>
          <w:rFonts w:ascii="Palatino Linotype" w:hAnsi="Palatino Linotype" w:cs="Arial"/>
          <w:sz w:val="22"/>
        </w:rPr>
        <w:t>Información Pública</w:t>
      </w:r>
      <w:r w:rsidRPr="008A6ABF">
        <w:rPr>
          <w:rFonts w:ascii="Palatino Linotype" w:hAnsi="Palatino Linotype" w:cs="Arial"/>
          <w:sz w:val="22"/>
        </w:rPr>
        <w:t xml:space="preserve"> del Estado de México y Municipios</w:t>
      </w:r>
      <w:r w:rsidRPr="008A6ABF">
        <w:rPr>
          <w:rFonts w:ascii="Palatino Linotype" w:hAnsi="Palatino Linotype" w:cs="Arial"/>
          <w:color w:val="000000"/>
          <w:sz w:val="22"/>
          <w:lang w:eastAsia="es-MX"/>
        </w:rPr>
        <w:t>; y,</w:t>
      </w:r>
    </w:p>
    <w:p w14:paraId="5150B674" w14:textId="2074636C" w:rsidR="008258F9" w:rsidRPr="008A6ABF" w:rsidRDefault="008258F9" w:rsidP="00CF227C">
      <w:pPr>
        <w:spacing w:line="360" w:lineRule="auto"/>
        <w:jc w:val="both"/>
        <w:rPr>
          <w:rFonts w:ascii="Palatino Linotype" w:hAnsi="Palatino Linotype" w:cs="Arial"/>
          <w:color w:val="000000"/>
          <w:sz w:val="22"/>
          <w:lang w:eastAsia="es-MX"/>
        </w:rPr>
      </w:pPr>
    </w:p>
    <w:p w14:paraId="2C16F390" w14:textId="77777777" w:rsidR="008258F9" w:rsidRPr="008A6ABF" w:rsidRDefault="008258F9" w:rsidP="00CF227C">
      <w:pPr>
        <w:spacing w:line="360" w:lineRule="auto"/>
        <w:jc w:val="both"/>
        <w:rPr>
          <w:rFonts w:ascii="Palatino Linotype" w:hAnsi="Palatino Linotype" w:cs="Arial"/>
          <w:color w:val="000000"/>
          <w:sz w:val="22"/>
          <w:lang w:eastAsia="es-MX"/>
        </w:rPr>
      </w:pPr>
    </w:p>
    <w:p w14:paraId="6286B17E" w14:textId="77777777" w:rsidR="00BC0E3B" w:rsidRPr="008A6ABF" w:rsidRDefault="00BC0E3B" w:rsidP="00CF227C">
      <w:pPr>
        <w:spacing w:line="360" w:lineRule="auto"/>
        <w:jc w:val="both"/>
        <w:rPr>
          <w:rFonts w:ascii="Palatino Linotype" w:hAnsi="Palatino Linotype" w:cs="Arial"/>
          <w:sz w:val="22"/>
        </w:rPr>
      </w:pPr>
    </w:p>
    <w:p w14:paraId="64540709" w14:textId="77777777" w:rsidR="00BC0E3B" w:rsidRPr="008A6ABF" w:rsidRDefault="00BC0E3B" w:rsidP="00CF227C">
      <w:pPr>
        <w:spacing w:line="360" w:lineRule="auto"/>
        <w:jc w:val="center"/>
        <w:rPr>
          <w:rFonts w:ascii="Palatino Linotype" w:hAnsi="Palatino Linotype" w:cs="Arial"/>
          <w:b/>
          <w:bCs/>
          <w:spacing w:val="60"/>
        </w:rPr>
      </w:pPr>
      <w:r w:rsidRPr="008A6ABF">
        <w:rPr>
          <w:rFonts w:ascii="Palatino Linotype" w:hAnsi="Palatino Linotype" w:cs="Arial"/>
          <w:b/>
          <w:bCs/>
          <w:spacing w:val="60"/>
        </w:rPr>
        <w:lastRenderedPageBreak/>
        <w:t>CONSIDERANDO</w:t>
      </w:r>
    </w:p>
    <w:p w14:paraId="069EE36D" w14:textId="77777777" w:rsidR="00BC0E3B" w:rsidRPr="008A6ABF" w:rsidRDefault="00BC0E3B" w:rsidP="00F302E7">
      <w:pPr>
        <w:spacing w:line="360" w:lineRule="auto"/>
        <w:jc w:val="both"/>
        <w:rPr>
          <w:rFonts w:ascii="Palatino Linotype" w:hAnsi="Palatino Linotype" w:cs="Arial"/>
          <w:b/>
          <w:bCs/>
          <w:spacing w:val="60"/>
        </w:rPr>
      </w:pPr>
    </w:p>
    <w:p w14:paraId="18878971" w14:textId="77777777" w:rsidR="00BC0E3B" w:rsidRPr="008A6ABF" w:rsidRDefault="00BC0E3B" w:rsidP="00CF227C">
      <w:pPr>
        <w:widowControl w:val="0"/>
        <w:numPr>
          <w:ilvl w:val="0"/>
          <w:numId w:val="1"/>
        </w:numPr>
        <w:tabs>
          <w:tab w:val="left" w:pos="1701"/>
        </w:tabs>
        <w:autoSpaceDE w:val="0"/>
        <w:autoSpaceDN w:val="0"/>
        <w:adjustRightInd w:val="0"/>
        <w:spacing w:line="360" w:lineRule="auto"/>
        <w:ind w:left="0" w:firstLine="0"/>
        <w:jc w:val="both"/>
        <w:rPr>
          <w:rFonts w:ascii="Palatino Linotype" w:hAnsi="Palatino Linotype" w:cs="Arial"/>
          <w:sz w:val="22"/>
        </w:rPr>
      </w:pPr>
      <w:r w:rsidRPr="008A6ABF">
        <w:rPr>
          <w:rFonts w:ascii="Palatino Linotype" w:hAnsi="Palatino Linotype"/>
          <w:b/>
          <w:sz w:val="22"/>
        </w:rPr>
        <w:t>Competencia</w:t>
      </w:r>
      <w:r w:rsidRPr="008A6ABF">
        <w:rPr>
          <w:rFonts w:ascii="Palatino Linotype" w:hAnsi="Palatino Linotype"/>
          <w:sz w:val="22"/>
        </w:rPr>
        <w:t>.</w:t>
      </w:r>
      <w:r w:rsidRPr="008A6ABF">
        <w:rPr>
          <w:rFonts w:ascii="Palatino Linotype" w:hAnsi="Palatino Linotype"/>
          <w:b/>
          <w:sz w:val="22"/>
        </w:rPr>
        <w:t xml:space="preserve"> </w:t>
      </w:r>
    </w:p>
    <w:p w14:paraId="22B07A69" w14:textId="77777777" w:rsidR="00BC0E3B" w:rsidRPr="008A6ABF" w:rsidRDefault="00BC0E3B" w:rsidP="00CF227C">
      <w:pPr>
        <w:widowControl w:val="0"/>
        <w:tabs>
          <w:tab w:val="left" w:pos="1701"/>
        </w:tabs>
        <w:autoSpaceDE w:val="0"/>
        <w:autoSpaceDN w:val="0"/>
        <w:adjustRightInd w:val="0"/>
        <w:spacing w:line="360" w:lineRule="auto"/>
        <w:jc w:val="both"/>
        <w:rPr>
          <w:rFonts w:ascii="Palatino Linotype" w:hAnsi="Palatino Linotype" w:cs="Arial"/>
          <w:sz w:val="22"/>
        </w:rPr>
      </w:pPr>
    </w:p>
    <w:p w14:paraId="6754D71F" w14:textId="06644302" w:rsidR="00BC0E3B" w:rsidRPr="008A6ABF" w:rsidRDefault="00BC0E3B" w:rsidP="00CF227C">
      <w:pPr>
        <w:widowControl w:val="0"/>
        <w:tabs>
          <w:tab w:val="left" w:pos="1701"/>
        </w:tabs>
        <w:autoSpaceDE w:val="0"/>
        <w:autoSpaceDN w:val="0"/>
        <w:adjustRightInd w:val="0"/>
        <w:spacing w:line="360" w:lineRule="auto"/>
        <w:jc w:val="both"/>
        <w:rPr>
          <w:rFonts w:ascii="Palatino Linotype" w:hAnsi="Palatino Linotype" w:cs="Arial"/>
          <w:sz w:val="22"/>
        </w:rPr>
      </w:pPr>
      <w:r w:rsidRPr="008A6ABF">
        <w:rPr>
          <w:rFonts w:ascii="Palatino Linotype" w:hAnsi="Palatino Linotype"/>
          <w:sz w:val="22"/>
        </w:rPr>
        <w:t xml:space="preserve">Este Instituto de Transparencia, Acceso a la </w:t>
      </w:r>
      <w:r w:rsidR="008258F9" w:rsidRPr="008A6ABF">
        <w:rPr>
          <w:rFonts w:ascii="Palatino Linotype" w:hAnsi="Palatino Linotype"/>
          <w:sz w:val="22"/>
        </w:rPr>
        <w:t>Información Pública</w:t>
      </w:r>
      <w:r w:rsidRPr="008A6ABF">
        <w:rPr>
          <w:rFonts w:ascii="Palatino Linotype" w:hAnsi="Palatino Linotype"/>
          <w:sz w:val="22"/>
        </w:rPr>
        <w:t xml:space="preserve">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10" w:name="_Hlk77183116"/>
      <w:r w:rsidRPr="008A6ABF">
        <w:rPr>
          <w:rFonts w:ascii="Palatino Linotype" w:eastAsia="Calibri" w:hAnsi="Palatino Linotype" w:cs="Arial"/>
          <w:sz w:val="22"/>
          <w:lang w:val="es-ES_tradnl"/>
        </w:rPr>
        <w:t>trigésimo, trigésimo primero y trigésimo segundo</w:t>
      </w:r>
      <w:bookmarkEnd w:id="10"/>
      <w:r w:rsidRPr="008A6ABF">
        <w:rPr>
          <w:rFonts w:ascii="Palatino Linotype" w:hAnsi="Palatino Linotype"/>
          <w:sz w:val="22"/>
        </w:rPr>
        <w:t xml:space="preserve">, fracciones IV y V de la Constitución Política del Estado Libre y Soberano de México; 2 fracción II, 13, 29, 36, fracciones I y II, 176, 178, 179, 181 párrafo tercero y 185 de la Ley de Transparencia y Acceso a la </w:t>
      </w:r>
      <w:r w:rsidR="008258F9" w:rsidRPr="008A6ABF">
        <w:rPr>
          <w:rFonts w:ascii="Palatino Linotype" w:hAnsi="Palatino Linotype"/>
          <w:sz w:val="22"/>
        </w:rPr>
        <w:t>Información Pública</w:t>
      </w:r>
      <w:r w:rsidRPr="008A6ABF">
        <w:rPr>
          <w:rFonts w:ascii="Palatino Linotype" w:hAnsi="Palatino Linotype"/>
          <w:sz w:val="22"/>
        </w:rPr>
        <w:t xml:space="preserve"> del Estado de México y Municipios</w:t>
      </w:r>
      <w:r w:rsidRPr="008A6ABF">
        <w:rPr>
          <w:rFonts w:ascii="Palatino Linotype" w:hAnsi="Palatino Linotype" w:cs="Arial"/>
          <w:sz w:val="22"/>
        </w:rPr>
        <w:t xml:space="preserve">; y 9, fracciones I y XXIV y 11 del Reglamento Interior del Instituto de Transparencia, Acceso a la </w:t>
      </w:r>
      <w:r w:rsidR="008258F9" w:rsidRPr="008A6ABF">
        <w:rPr>
          <w:rFonts w:ascii="Palatino Linotype" w:hAnsi="Palatino Linotype" w:cs="Arial"/>
          <w:sz w:val="22"/>
        </w:rPr>
        <w:t>Información Pública</w:t>
      </w:r>
      <w:r w:rsidRPr="008A6ABF">
        <w:rPr>
          <w:rFonts w:ascii="Palatino Linotype" w:hAnsi="Palatino Linotype" w:cs="Arial"/>
          <w:sz w:val="22"/>
        </w:rPr>
        <w:t xml:space="preserve"> y Protección de Datos Personales del Estado de México y Municipios.</w:t>
      </w:r>
    </w:p>
    <w:p w14:paraId="3CCDBD51" w14:textId="77777777" w:rsidR="00BC0E3B" w:rsidRPr="008A6ABF" w:rsidRDefault="00BC0E3B" w:rsidP="00CF227C">
      <w:pPr>
        <w:widowControl w:val="0"/>
        <w:tabs>
          <w:tab w:val="left" w:pos="1701"/>
        </w:tabs>
        <w:autoSpaceDE w:val="0"/>
        <w:autoSpaceDN w:val="0"/>
        <w:adjustRightInd w:val="0"/>
        <w:spacing w:line="360" w:lineRule="auto"/>
        <w:jc w:val="both"/>
        <w:rPr>
          <w:rFonts w:ascii="Palatino Linotype" w:hAnsi="Palatino Linotype" w:cs="Arial"/>
          <w:sz w:val="22"/>
        </w:rPr>
      </w:pPr>
    </w:p>
    <w:p w14:paraId="3BE4AC56" w14:textId="77777777" w:rsidR="00BC0E3B" w:rsidRPr="008A6ABF" w:rsidRDefault="00BC0E3B" w:rsidP="00CF227C">
      <w:pPr>
        <w:spacing w:line="360" w:lineRule="auto"/>
        <w:jc w:val="both"/>
        <w:rPr>
          <w:rFonts w:ascii="Palatino Linotype" w:hAnsi="Palatino Linotype" w:cs="Arial"/>
          <w:b/>
          <w:sz w:val="22"/>
        </w:rPr>
      </w:pPr>
      <w:r w:rsidRPr="008A6ABF">
        <w:rPr>
          <w:rFonts w:ascii="Palatino Linotype" w:hAnsi="Palatino Linotype" w:cs="Arial"/>
          <w:b/>
        </w:rPr>
        <w:t>SEGUNDO</w:t>
      </w:r>
      <w:r w:rsidRPr="008A6ABF">
        <w:rPr>
          <w:rFonts w:ascii="Palatino Linotype" w:hAnsi="Palatino Linotype" w:cs="Arial"/>
          <w:b/>
          <w:sz w:val="22"/>
        </w:rPr>
        <w:t xml:space="preserve">. Interés. </w:t>
      </w:r>
    </w:p>
    <w:p w14:paraId="4EB425E6" w14:textId="77777777" w:rsidR="00555802" w:rsidRPr="008A6ABF" w:rsidRDefault="00555802" w:rsidP="00CF227C">
      <w:pPr>
        <w:spacing w:line="360" w:lineRule="auto"/>
        <w:jc w:val="both"/>
        <w:rPr>
          <w:rFonts w:ascii="Palatino Linotype" w:hAnsi="Palatino Linotype" w:cs="Arial"/>
          <w:bCs/>
          <w:sz w:val="22"/>
        </w:rPr>
      </w:pPr>
    </w:p>
    <w:p w14:paraId="701ECD68" w14:textId="72506628" w:rsidR="00BC0E3B" w:rsidRPr="008A6ABF" w:rsidRDefault="00BC0E3B" w:rsidP="00CF227C">
      <w:pPr>
        <w:spacing w:line="360" w:lineRule="auto"/>
        <w:jc w:val="both"/>
        <w:rPr>
          <w:rFonts w:ascii="Palatino Linotype" w:hAnsi="Palatino Linotype" w:cs="Arial"/>
          <w:b/>
          <w:bCs/>
          <w:sz w:val="22"/>
        </w:rPr>
      </w:pPr>
      <w:r w:rsidRPr="008A6ABF">
        <w:rPr>
          <w:rFonts w:ascii="Palatino Linotype" w:hAnsi="Palatino Linotype" w:cs="Arial"/>
          <w:bCs/>
          <w:sz w:val="22"/>
        </w:rPr>
        <w:t xml:space="preserve">El Recurso de Revisión fue interpuesto por parte legítima, en atención a que se presentó por </w:t>
      </w:r>
      <w:r w:rsidRPr="008A6ABF">
        <w:rPr>
          <w:rFonts w:ascii="Palatino Linotype" w:hAnsi="Palatino Linotype" w:cs="Arial"/>
          <w:b/>
          <w:bCs/>
          <w:sz w:val="22"/>
        </w:rPr>
        <w:t>EL RECURRENTE,</w:t>
      </w:r>
      <w:r w:rsidRPr="008A6ABF">
        <w:rPr>
          <w:rFonts w:ascii="Palatino Linotype" w:hAnsi="Palatino Linotype" w:cs="Arial"/>
          <w:bCs/>
          <w:sz w:val="22"/>
        </w:rPr>
        <w:t xml:space="preserve"> quien es la misma persona que formuló la solicitud de acceso a la </w:t>
      </w:r>
      <w:r w:rsidR="008258F9" w:rsidRPr="008A6ABF">
        <w:rPr>
          <w:rFonts w:ascii="Palatino Linotype" w:hAnsi="Palatino Linotype" w:cs="Arial"/>
          <w:bCs/>
          <w:sz w:val="22"/>
        </w:rPr>
        <w:t>Información Pública</w:t>
      </w:r>
      <w:r w:rsidRPr="008A6ABF">
        <w:rPr>
          <w:rFonts w:ascii="Palatino Linotype" w:hAnsi="Palatino Linotype" w:cs="Arial"/>
          <w:bCs/>
          <w:sz w:val="22"/>
        </w:rPr>
        <w:t xml:space="preserve"> </w:t>
      </w:r>
      <w:r w:rsidR="00BD38EF" w:rsidRPr="00BD38EF">
        <w:rPr>
          <w:rFonts w:ascii="Palatino Linotype" w:hAnsi="Palatino Linotype" w:cs="Arial"/>
          <w:b/>
          <w:bCs/>
          <w:sz w:val="22"/>
        </w:rPr>
        <w:t>a EL SUJETO OBLIGADO</w:t>
      </w:r>
      <w:r w:rsidRPr="008A6ABF">
        <w:rPr>
          <w:rFonts w:ascii="Palatino Linotype" w:hAnsi="Palatino Linotype" w:cs="Arial"/>
          <w:b/>
          <w:bCs/>
          <w:sz w:val="22"/>
        </w:rPr>
        <w:t>.</w:t>
      </w:r>
    </w:p>
    <w:p w14:paraId="68BAFB5A" w14:textId="77777777" w:rsidR="00BC0E3B" w:rsidRPr="008A6ABF" w:rsidRDefault="00BC0E3B" w:rsidP="00CF227C">
      <w:pPr>
        <w:spacing w:line="360" w:lineRule="auto"/>
        <w:jc w:val="both"/>
        <w:rPr>
          <w:rFonts w:ascii="Palatino Linotype" w:hAnsi="Palatino Linotype" w:cs="Arial"/>
          <w:b/>
          <w:bCs/>
          <w:sz w:val="22"/>
        </w:rPr>
      </w:pPr>
    </w:p>
    <w:p w14:paraId="68498D2D" w14:textId="77777777" w:rsidR="00BC0E3B" w:rsidRPr="008A6ABF" w:rsidRDefault="00BC0E3B" w:rsidP="00CF227C">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sz w:val="22"/>
        </w:rPr>
      </w:pPr>
      <w:r w:rsidRPr="008A6ABF">
        <w:rPr>
          <w:rFonts w:ascii="Palatino Linotype" w:hAnsi="Palatino Linotype" w:cs="Arial"/>
          <w:b/>
          <w:szCs w:val="28"/>
          <w:lang w:val="es-ES"/>
        </w:rPr>
        <w:t>TERCERO.</w:t>
      </w:r>
      <w:r w:rsidRPr="008A6ABF">
        <w:rPr>
          <w:rFonts w:ascii="Palatino Linotype" w:eastAsiaTheme="minorEastAsia" w:hAnsi="Palatino Linotype" w:cs="Arial"/>
          <w:sz w:val="22"/>
          <w:lang w:val="es-ES"/>
        </w:rPr>
        <w:t xml:space="preserve"> </w:t>
      </w:r>
      <w:r w:rsidRPr="008A6ABF">
        <w:rPr>
          <w:rFonts w:ascii="Palatino Linotype" w:hAnsi="Palatino Linotype" w:cs="Arial"/>
          <w:b/>
          <w:sz w:val="22"/>
          <w:lang w:val="es-ES"/>
        </w:rPr>
        <w:t>Oportunidad</w:t>
      </w:r>
      <w:r w:rsidRPr="008A6ABF">
        <w:rPr>
          <w:rFonts w:ascii="Palatino Linotype" w:hAnsi="Palatino Linotype" w:cs="Arial"/>
          <w:sz w:val="22"/>
        </w:rPr>
        <w:t xml:space="preserve">. </w:t>
      </w:r>
    </w:p>
    <w:p w14:paraId="68B9DD3F" w14:textId="77777777" w:rsidR="00BC0E3B" w:rsidRPr="008A6ABF" w:rsidRDefault="00BC0E3B" w:rsidP="00CF227C">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sz w:val="22"/>
        </w:rPr>
      </w:pPr>
    </w:p>
    <w:p w14:paraId="3D69BB4A" w14:textId="00A5A654" w:rsidR="00BC0E3B" w:rsidRPr="008A6ABF" w:rsidRDefault="00BC0E3B" w:rsidP="00CF227C">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sz w:val="22"/>
        </w:rPr>
      </w:pPr>
      <w:r w:rsidRPr="008A6ABF">
        <w:rPr>
          <w:rFonts w:ascii="Palatino Linotype" w:hAnsi="Palatino Linotype" w:cs="Arial"/>
          <w:sz w:val="22"/>
        </w:rPr>
        <w:t xml:space="preserve">El Recurso de Revisión fue interpuesto dentro del plazo de quince días hábiles, contados a partir del día siguiente al que </w:t>
      </w:r>
      <w:r w:rsidRPr="008A6ABF">
        <w:rPr>
          <w:rFonts w:ascii="Palatino Linotype" w:hAnsi="Palatino Linotype" w:cs="Arial"/>
          <w:b/>
          <w:sz w:val="22"/>
        </w:rPr>
        <w:t xml:space="preserve">EL RECURRENTE </w:t>
      </w:r>
      <w:r w:rsidRPr="008A6ABF">
        <w:rPr>
          <w:rFonts w:ascii="Palatino Linotype" w:hAnsi="Palatino Linotype" w:cs="Arial"/>
          <w:sz w:val="22"/>
        </w:rPr>
        <w:t xml:space="preserve">tuvo conocimiento de la respuesta </w:t>
      </w:r>
      <w:r w:rsidRPr="008A6ABF">
        <w:rPr>
          <w:rFonts w:ascii="Palatino Linotype" w:hAnsi="Palatino Linotype" w:cs="Arial"/>
          <w:sz w:val="22"/>
        </w:rPr>
        <w:lastRenderedPageBreak/>
        <w:t xml:space="preserve">impugnada; tal y como, lo prevé el artículo 178 de la Ley de Transparencia y Acceso a la </w:t>
      </w:r>
      <w:r w:rsidR="008258F9" w:rsidRPr="008A6ABF">
        <w:rPr>
          <w:rFonts w:ascii="Palatino Linotype" w:hAnsi="Palatino Linotype" w:cs="Arial"/>
          <w:sz w:val="22"/>
        </w:rPr>
        <w:t>Información Pública</w:t>
      </w:r>
      <w:r w:rsidRPr="008A6ABF">
        <w:rPr>
          <w:rFonts w:ascii="Palatino Linotype" w:hAnsi="Palatino Linotype" w:cs="Arial"/>
          <w:sz w:val="22"/>
        </w:rPr>
        <w:t xml:space="preserve"> del Estado de México y Municipios.</w:t>
      </w:r>
    </w:p>
    <w:p w14:paraId="1C42D3F6" w14:textId="77777777" w:rsidR="00BC0E3B" w:rsidRPr="008A6ABF" w:rsidRDefault="00BC0E3B" w:rsidP="00CF227C">
      <w:pPr>
        <w:spacing w:line="360" w:lineRule="auto"/>
        <w:ind w:left="720" w:right="709"/>
        <w:contextualSpacing/>
        <w:jc w:val="both"/>
        <w:rPr>
          <w:rFonts w:ascii="Palatino Linotype" w:hAnsi="Palatino Linotype" w:cs="Arial"/>
          <w:i/>
          <w:sz w:val="20"/>
        </w:rPr>
      </w:pPr>
    </w:p>
    <w:p w14:paraId="4ACA422F" w14:textId="0E9415E0" w:rsidR="00BC0E3B" w:rsidRPr="008A6ABF" w:rsidRDefault="00BC0E3B" w:rsidP="00CF227C">
      <w:pPr>
        <w:spacing w:line="360" w:lineRule="auto"/>
        <w:jc w:val="both"/>
        <w:rPr>
          <w:rFonts w:ascii="Palatino Linotype" w:eastAsiaTheme="minorEastAsia" w:hAnsi="Palatino Linotype" w:cs="Arial"/>
          <w:sz w:val="22"/>
          <w:lang w:val="es-ES_tradnl"/>
        </w:rPr>
      </w:pPr>
      <w:r w:rsidRPr="008A6ABF">
        <w:rPr>
          <w:rFonts w:ascii="Palatino Linotype" w:hAnsi="Palatino Linotype" w:cs="Arial"/>
          <w:sz w:val="22"/>
        </w:rPr>
        <w:t xml:space="preserve">En esa tesitura, atentos a que </w:t>
      </w:r>
      <w:r w:rsidRPr="008A6ABF">
        <w:rPr>
          <w:rFonts w:ascii="Palatino Linotype" w:hAnsi="Palatino Linotype" w:cs="Arial"/>
          <w:b/>
          <w:sz w:val="22"/>
        </w:rPr>
        <w:t>EL SUJETO OBLIGADO</w:t>
      </w:r>
      <w:r w:rsidRPr="008A6ABF">
        <w:rPr>
          <w:rFonts w:ascii="Palatino Linotype" w:hAnsi="Palatino Linotype" w:cs="Arial"/>
          <w:sz w:val="22"/>
        </w:rPr>
        <w:t xml:space="preserve"> notificó la respuesta a la solicitud de acceso a la </w:t>
      </w:r>
      <w:r w:rsidR="008258F9" w:rsidRPr="008A6ABF">
        <w:rPr>
          <w:rFonts w:ascii="Palatino Linotype" w:hAnsi="Palatino Linotype" w:cs="Arial"/>
          <w:sz w:val="22"/>
        </w:rPr>
        <w:t>Información Pública</w:t>
      </w:r>
      <w:r w:rsidRPr="008A6ABF">
        <w:rPr>
          <w:rFonts w:ascii="Palatino Linotype" w:hAnsi="Palatino Linotype" w:cs="Arial"/>
          <w:sz w:val="22"/>
        </w:rPr>
        <w:t xml:space="preserve"> el día</w:t>
      </w:r>
      <w:r w:rsidRPr="008A6ABF">
        <w:rPr>
          <w:rFonts w:ascii="Palatino Linotype" w:hAnsi="Palatino Linotype" w:cs="Arial"/>
          <w:b/>
          <w:sz w:val="22"/>
        </w:rPr>
        <w:t xml:space="preserve"> veintidós de diciembre de dos mil veintiuno</w:t>
      </w:r>
      <w:r w:rsidRPr="008A6ABF">
        <w:rPr>
          <w:rFonts w:ascii="Palatino Linotype" w:hAnsi="Palatino Linotype" w:cs="Arial"/>
          <w:sz w:val="22"/>
        </w:rPr>
        <w:t xml:space="preserve">; el plazo de quince días hábiles que el artículo 178 de la Ley de la materia otorga a </w:t>
      </w:r>
      <w:r w:rsidRPr="008A6ABF">
        <w:rPr>
          <w:rFonts w:ascii="Palatino Linotype" w:hAnsi="Palatino Linotype" w:cs="Arial"/>
          <w:b/>
          <w:sz w:val="22"/>
        </w:rPr>
        <w:t>EL</w:t>
      </w:r>
      <w:r w:rsidRPr="008A6ABF">
        <w:rPr>
          <w:rFonts w:ascii="Palatino Linotype" w:hAnsi="Palatino Linotype" w:cs="Arial"/>
          <w:sz w:val="22"/>
        </w:rPr>
        <w:t xml:space="preserve"> </w:t>
      </w:r>
      <w:r w:rsidRPr="008A6ABF">
        <w:rPr>
          <w:rFonts w:ascii="Palatino Linotype" w:hAnsi="Palatino Linotype" w:cs="Arial"/>
          <w:b/>
          <w:sz w:val="22"/>
        </w:rPr>
        <w:t>RECURRENTE</w:t>
      </w:r>
      <w:r w:rsidRPr="008A6ABF">
        <w:rPr>
          <w:rFonts w:ascii="Palatino Linotype" w:hAnsi="Palatino Linotype" w:cs="Arial"/>
          <w:sz w:val="22"/>
        </w:rPr>
        <w:t xml:space="preserve"> para presentar el respectivo recurso de revisión, transcurrió del </w:t>
      </w:r>
      <w:r w:rsidRPr="008A6ABF">
        <w:rPr>
          <w:rFonts w:ascii="Palatino Linotype" w:hAnsi="Palatino Linotype" w:cs="Arial"/>
          <w:b/>
          <w:sz w:val="22"/>
        </w:rPr>
        <w:t xml:space="preserve">diez al veintiocho de enero de dos mil veintidós, </w:t>
      </w:r>
      <w:r w:rsidRPr="008A6ABF">
        <w:rPr>
          <w:rFonts w:ascii="Palatino Linotype" w:eastAsiaTheme="minorEastAsia" w:hAnsi="Palatino Linotype" w:cs="Arial"/>
          <w:sz w:val="22"/>
          <w:lang w:val="es-ES_tradnl"/>
        </w:rPr>
        <w:t>sin contemplar en el cómputo los días veinticinco y veintiséis de diciembre de dos mil veintiuno, uno, dos, ocho y nueve de enero de dos mil veintid</w:t>
      </w:r>
      <w:bookmarkStart w:id="11" w:name="_Hlk62134391"/>
      <w:r w:rsidRPr="008A6ABF">
        <w:rPr>
          <w:rFonts w:ascii="Palatino Linotype" w:eastAsiaTheme="minorEastAsia" w:hAnsi="Palatino Linotype" w:cs="Arial"/>
          <w:sz w:val="22"/>
          <w:lang w:val="es-ES_tradnl"/>
        </w:rPr>
        <w:t xml:space="preserve">ós, por corresponder a sábados y domingos, considerados como días inhábiles, en términos del artículo 3°, fracción X, de la Ley de Transparencia y Acceso a la </w:t>
      </w:r>
      <w:r w:rsidR="008258F9" w:rsidRPr="008A6ABF">
        <w:rPr>
          <w:rFonts w:ascii="Palatino Linotype" w:eastAsiaTheme="minorEastAsia" w:hAnsi="Palatino Linotype" w:cs="Arial"/>
          <w:sz w:val="22"/>
          <w:lang w:val="es-ES_tradnl"/>
        </w:rPr>
        <w:t>Información Pública</w:t>
      </w:r>
      <w:r w:rsidRPr="008A6ABF">
        <w:rPr>
          <w:rFonts w:ascii="Palatino Linotype" w:eastAsiaTheme="minorEastAsia" w:hAnsi="Palatino Linotype" w:cs="Arial"/>
          <w:sz w:val="22"/>
          <w:lang w:val="es-ES_tradnl"/>
        </w:rPr>
        <w:t xml:space="preserve"> del Estado de México y Municipios; así como, los días veintitrés, veinticuatro, y del veintisiete al treinta y uno de diciembre de dos mil veintiuno, así como del tres al cinco de enero de dos mil veintidós, por corresponder al segundo periodo vacacional de este Instituto y los días seis y siete de enero de dos mil veintidós por ser días inhábiles en términos del Calendario Oficial en Materia de Transparencia, Acceso a la </w:t>
      </w:r>
      <w:r w:rsidR="008258F9" w:rsidRPr="008A6ABF">
        <w:rPr>
          <w:rFonts w:ascii="Palatino Linotype" w:eastAsiaTheme="minorEastAsia" w:hAnsi="Palatino Linotype" w:cs="Arial"/>
          <w:sz w:val="22"/>
          <w:lang w:val="es-ES_tradnl"/>
        </w:rPr>
        <w:t>Información Pública</w:t>
      </w:r>
      <w:r w:rsidRPr="008A6ABF">
        <w:rPr>
          <w:rFonts w:ascii="Palatino Linotype" w:eastAsiaTheme="minorEastAsia" w:hAnsi="Palatino Linotype" w:cs="Arial"/>
          <w:sz w:val="22"/>
          <w:lang w:val="es-ES_tradnl"/>
        </w:rPr>
        <w:t xml:space="preserve"> y Protección de Datos Personales del Estado de México y Municipios, así como de labores del Instituto para el año dos mil veintidós y enero de dos mil veintitrés, aprobado por el Pleno del Instituto en fecha quince de diciembre de dos mil veintiuno.</w:t>
      </w:r>
    </w:p>
    <w:p w14:paraId="4C59D94B" w14:textId="77777777" w:rsidR="00BC0E3B" w:rsidRPr="008A6ABF" w:rsidRDefault="00BC0E3B" w:rsidP="00CF227C">
      <w:pPr>
        <w:spacing w:line="360" w:lineRule="auto"/>
        <w:jc w:val="both"/>
        <w:rPr>
          <w:rFonts w:ascii="Palatino Linotype" w:eastAsiaTheme="minorEastAsia" w:hAnsi="Palatino Linotype" w:cs="Arial"/>
          <w:sz w:val="22"/>
          <w:lang w:val="es-ES_tradnl"/>
        </w:rPr>
      </w:pPr>
    </w:p>
    <w:bookmarkEnd w:id="11"/>
    <w:p w14:paraId="2DF1F261" w14:textId="6DEAA57A" w:rsidR="00BC0E3B" w:rsidRPr="008A6ABF" w:rsidRDefault="00BC0E3B" w:rsidP="00CF227C">
      <w:pPr>
        <w:spacing w:line="360" w:lineRule="auto"/>
        <w:ind w:left="-5" w:hanging="10"/>
        <w:jc w:val="both"/>
        <w:rPr>
          <w:rFonts w:ascii="Palatino Linotype" w:eastAsia="Palatino Linotype" w:hAnsi="Palatino Linotype" w:cs="Palatino Linotype"/>
          <w:sz w:val="22"/>
        </w:rPr>
      </w:pPr>
      <w:r w:rsidRPr="008A6ABF">
        <w:rPr>
          <w:rFonts w:ascii="Palatino Linotype" w:eastAsia="Palatino Linotype" w:hAnsi="Palatino Linotype" w:cs="Palatino Linotype"/>
          <w:sz w:val="22"/>
        </w:rPr>
        <w:t>En ese tenor, si el recurso de revisión que nos ocupa, se interpuso el</w:t>
      </w:r>
      <w:r w:rsidR="00555802" w:rsidRPr="008A6ABF">
        <w:rPr>
          <w:rFonts w:ascii="Palatino Linotype" w:eastAsia="Palatino Linotype" w:hAnsi="Palatino Linotype" w:cs="Palatino Linotype"/>
          <w:b/>
          <w:sz w:val="22"/>
        </w:rPr>
        <w:t xml:space="preserve"> veinte </w:t>
      </w:r>
      <w:r w:rsidRPr="008A6ABF">
        <w:rPr>
          <w:rFonts w:ascii="Palatino Linotype" w:eastAsia="Palatino Linotype" w:hAnsi="Palatino Linotype" w:cs="Palatino Linotype"/>
          <w:b/>
          <w:sz w:val="22"/>
        </w:rPr>
        <w:t>de enero de dos mil veintidós,</w:t>
      </w:r>
      <w:r w:rsidRPr="008A6ABF">
        <w:rPr>
          <w:rFonts w:ascii="Palatino Linotype" w:eastAsia="Palatino Linotype" w:hAnsi="Palatino Linotype" w:cs="Palatino Linotype"/>
          <w:sz w:val="22"/>
        </w:rPr>
        <w:t xml:space="preserve"> este se encuentra dentro de los márgenes temporales previstos en el citado precepto legal y, por tanto, se considera oportuno.</w:t>
      </w:r>
    </w:p>
    <w:p w14:paraId="5DDB25AB" w14:textId="3B40E92A" w:rsidR="008258F9" w:rsidRPr="008A6ABF" w:rsidRDefault="008258F9" w:rsidP="00CF227C">
      <w:pPr>
        <w:spacing w:line="360" w:lineRule="auto"/>
        <w:ind w:left="-5" w:hanging="10"/>
        <w:jc w:val="both"/>
        <w:rPr>
          <w:rFonts w:ascii="Palatino Linotype" w:eastAsia="Palatino Linotype" w:hAnsi="Palatino Linotype" w:cs="Palatino Linotype"/>
          <w:sz w:val="22"/>
        </w:rPr>
      </w:pPr>
    </w:p>
    <w:p w14:paraId="443DB425" w14:textId="77777777" w:rsidR="008258F9" w:rsidRPr="008A6ABF" w:rsidRDefault="008258F9" w:rsidP="00CF227C">
      <w:pPr>
        <w:spacing w:line="360" w:lineRule="auto"/>
        <w:ind w:left="-5" w:hanging="10"/>
        <w:jc w:val="both"/>
        <w:rPr>
          <w:rFonts w:ascii="Palatino Linotype" w:eastAsia="Palatino Linotype" w:hAnsi="Palatino Linotype" w:cs="Palatino Linotype"/>
          <w:sz w:val="22"/>
        </w:rPr>
      </w:pPr>
    </w:p>
    <w:p w14:paraId="35EC4ECD" w14:textId="77777777" w:rsidR="00BC0E3B" w:rsidRPr="008A6ABF" w:rsidRDefault="00BC0E3B" w:rsidP="00CF227C">
      <w:pPr>
        <w:spacing w:line="360" w:lineRule="auto"/>
        <w:ind w:left="-5" w:hanging="10"/>
        <w:jc w:val="both"/>
        <w:rPr>
          <w:rFonts w:ascii="Palatino Linotype" w:eastAsia="Palatino Linotype" w:hAnsi="Palatino Linotype" w:cs="Palatino Linotype"/>
          <w:sz w:val="22"/>
        </w:rPr>
      </w:pPr>
    </w:p>
    <w:p w14:paraId="4597E6F7" w14:textId="77777777" w:rsidR="00BC0E3B" w:rsidRPr="008A6ABF" w:rsidRDefault="00BC0E3B" w:rsidP="00CF227C">
      <w:pPr>
        <w:autoSpaceDE w:val="0"/>
        <w:autoSpaceDN w:val="0"/>
        <w:adjustRightInd w:val="0"/>
        <w:spacing w:line="360" w:lineRule="auto"/>
        <w:ind w:right="51"/>
        <w:jc w:val="both"/>
        <w:rPr>
          <w:rFonts w:ascii="Palatino Linotype" w:hAnsi="Palatino Linotype"/>
          <w:b/>
          <w:sz w:val="22"/>
        </w:rPr>
      </w:pPr>
      <w:r w:rsidRPr="008A6ABF">
        <w:rPr>
          <w:rFonts w:ascii="Palatino Linotype" w:hAnsi="Palatino Linotype" w:cs="Arial"/>
          <w:b/>
        </w:rPr>
        <w:lastRenderedPageBreak/>
        <w:t>CUARTO</w:t>
      </w:r>
      <w:r w:rsidRPr="008A6ABF">
        <w:rPr>
          <w:rFonts w:ascii="Palatino Linotype" w:hAnsi="Palatino Linotype" w:cs="Arial"/>
          <w:b/>
          <w:sz w:val="22"/>
        </w:rPr>
        <w:t xml:space="preserve">. </w:t>
      </w:r>
      <w:r w:rsidRPr="008A6ABF">
        <w:rPr>
          <w:rFonts w:ascii="Palatino Linotype" w:hAnsi="Palatino Linotype"/>
          <w:b/>
          <w:sz w:val="22"/>
        </w:rPr>
        <w:t xml:space="preserve">Procedibilidad. </w:t>
      </w:r>
    </w:p>
    <w:p w14:paraId="6F84590F" w14:textId="77777777" w:rsidR="00BC0E3B" w:rsidRPr="008A6ABF" w:rsidRDefault="00BC0E3B" w:rsidP="00CF227C">
      <w:pPr>
        <w:autoSpaceDE w:val="0"/>
        <w:autoSpaceDN w:val="0"/>
        <w:adjustRightInd w:val="0"/>
        <w:spacing w:line="360" w:lineRule="auto"/>
        <w:ind w:right="51"/>
        <w:jc w:val="both"/>
        <w:rPr>
          <w:rFonts w:ascii="Palatino Linotype" w:hAnsi="Palatino Linotype"/>
          <w:b/>
          <w:sz w:val="22"/>
        </w:rPr>
      </w:pPr>
    </w:p>
    <w:p w14:paraId="53C56AFC" w14:textId="77777777" w:rsidR="008A6ABF" w:rsidRPr="00F302E7" w:rsidRDefault="008A6ABF" w:rsidP="00F302E7">
      <w:pPr>
        <w:autoSpaceDE w:val="0"/>
        <w:autoSpaceDN w:val="0"/>
        <w:adjustRightInd w:val="0"/>
        <w:spacing w:line="360" w:lineRule="auto"/>
        <w:jc w:val="both"/>
        <w:rPr>
          <w:rFonts w:ascii="Palatino Linotype" w:hAnsi="Palatino Linotype" w:cs="Tahoma"/>
          <w:lang w:val="es-ES"/>
        </w:rPr>
      </w:pPr>
      <w:r w:rsidRPr="00F302E7">
        <w:rPr>
          <w:rFonts w:ascii="Palatino Linotype" w:hAnsi="Palatino Linotype" w:cs="Tahoma"/>
          <w:lang w:val="es-ES"/>
        </w:rPr>
        <w:t xml:space="preserve">De las constancias que forma parte del Recurso de Revisión que se analiza, se advierte que previo al estudio del fondo de la </w:t>
      </w:r>
      <w:r w:rsidRPr="00F302E7">
        <w:rPr>
          <w:rFonts w:ascii="Palatino Linotype" w:hAnsi="Palatino Linotype" w:cs="Tahoma"/>
          <w:i/>
          <w:lang w:val="es-ES"/>
        </w:rPr>
        <w:t>litis</w:t>
      </w:r>
      <w:r w:rsidRPr="00F302E7">
        <w:rPr>
          <w:rFonts w:ascii="Palatino Linotype" w:hAnsi="Palatino Linotype" w:cs="Tahoma"/>
          <w:lang w:val="es-ES"/>
        </w:rPr>
        <w:t>, es necesario estudiar las causales de improcedencia y sobreseimiento que se adviertan, para determinar lo que en Derecho proceda.</w:t>
      </w:r>
    </w:p>
    <w:p w14:paraId="57A626CD" w14:textId="77777777" w:rsidR="008A6ABF" w:rsidRPr="00F302E7" w:rsidRDefault="008A6ABF" w:rsidP="00F302E7">
      <w:pPr>
        <w:autoSpaceDE w:val="0"/>
        <w:autoSpaceDN w:val="0"/>
        <w:adjustRightInd w:val="0"/>
        <w:spacing w:line="360" w:lineRule="auto"/>
        <w:jc w:val="both"/>
        <w:rPr>
          <w:rFonts w:ascii="Palatino Linotype" w:hAnsi="Palatino Linotype" w:cs="Tahoma"/>
          <w:lang w:val="es-ES"/>
        </w:rPr>
      </w:pPr>
    </w:p>
    <w:p w14:paraId="1C2B7DD6" w14:textId="77777777" w:rsidR="008A6ABF" w:rsidRPr="00F302E7" w:rsidRDefault="008A6ABF" w:rsidP="00F302E7">
      <w:pPr>
        <w:spacing w:line="360" w:lineRule="auto"/>
        <w:jc w:val="both"/>
        <w:rPr>
          <w:rFonts w:ascii="Palatino Linotype" w:hAnsi="Palatino Linotype"/>
          <w:b/>
          <w:lang w:val="es-ES"/>
        </w:rPr>
      </w:pPr>
      <w:r w:rsidRPr="00F302E7">
        <w:rPr>
          <w:rFonts w:ascii="Palatino Linotype" w:hAnsi="Palatino Linotype"/>
          <w:b/>
          <w:lang w:val="es-ES"/>
        </w:rPr>
        <w:t>Causales de improcedencia</w:t>
      </w:r>
    </w:p>
    <w:p w14:paraId="4B873BC8" w14:textId="77777777" w:rsidR="008A6ABF" w:rsidRPr="00F302E7" w:rsidRDefault="008A6ABF" w:rsidP="00F302E7">
      <w:pPr>
        <w:spacing w:line="360" w:lineRule="auto"/>
        <w:jc w:val="both"/>
        <w:rPr>
          <w:rFonts w:ascii="Palatino Linotype" w:hAnsi="Palatino Linotype"/>
          <w:b/>
          <w:lang w:val="es-ES"/>
        </w:rPr>
      </w:pPr>
    </w:p>
    <w:p w14:paraId="1E0D349C" w14:textId="77777777" w:rsidR="008A6ABF" w:rsidRPr="00F302E7" w:rsidRDefault="008A6ABF" w:rsidP="00F302E7">
      <w:pPr>
        <w:spacing w:line="360" w:lineRule="auto"/>
        <w:jc w:val="both"/>
        <w:rPr>
          <w:rFonts w:ascii="Palatino Linotype" w:hAnsi="Palatino Linotype" w:cs="Tahoma"/>
          <w:bCs/>
          <w:color w:val="000000"/>
        </w:rPr>
      </w:pPr>
      <w:r w:rsidRPr="00F302E7">
        <w:rPr>
          <w:rFonts w:ascii="Palatino Linotype" w:hAnsi="Palatino Linotype" w:cs="Tahoma"/>
          <w:bCs/>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BA80D0D" w14:textId="77777777" w:rsidR="008A6ABF" w:rsidRPr="00F302E7" w:rsidRDefault="008A6ABF" w:rsidP="00F302E7">
      <w:pPr>
        <w:spacing w:line="360" w:lineRule="auto"/>
        <w:jc w:val="both"/>
        <w:rPr>
          <w:rFonts w:ascii="Palatino Linotype" w:hAnsi="Palatino Linotype" w:cs="Tahoma"/>
          <w:bCs/>
          <w:color w:val="000000"/>
        </w:rPr>
      </w:pPr>
      <w:r w:rsidRPr="00F302E7">
        <w:rPr>
          <w:rFonts w:ascii="Palatino Linotype" w:hAnsi="Palatino Linotype" w:cs="Tahoma"/>
          <w:bCs/>
          <w:color w:val="000000"/>
        </w:rPr>
        <w:t> </w:t>
      </w:r>
    </w:p>
    <w:p w14:paraId="79099764" w14:textId="77777777" w:rsidR="008A6ABF" w:rsidRPr="00F302E7" w:rsidRDefault="008A6ABF" w:rsidP="00F302E7">
      <w:pPr>
        <w:spacing w:line="360" w:lineRule="auto"/>
        <w:jc w:val="both"/>
        <w:rPr>
          <w:rFonts w:ascii="Palatino Linotype" w:hAnsi="Palatino Linotype" w:cs="Tahoma"/>
          <w:bCs/>
          <w:color w:val="000000"/>
        </w:rPr>
      </w:pPr>
      <w:r w:rsidRPr="00F302E7">
        <w:rPr>
          <w:rFonts w:ascii="Palatino Linotype" w:hAnsi="Palatino Linotype" w:cs="Tahoma"/>
          <w:bCs/>
          <w:color w:val="000000"/>
        </w:rPr>
        <w:t xml:space="preserve">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w:t>
      </w:r>
      <w:r w:rsidRPr="00F302E7">
        <w:rPr>
          <w:rFonts w:ascii="Palatino Linotype" w:hAnsi="Palatino Linotype" w:cs="Tahoma"/>
          <w:bCs/>
          <w:color w:val="000000"/>
        </w:rPr>
        <w:lastRenderedPageBreak/>
        <w:t>existió prevención alguna; la veracidad de la respuesta no formó parte del agravio; ni se realizó una ampliación a los alcances del requerimiento informativo.</w:t>
      </w:r>
    </w:p>
    <w:p w14:paraId="0001D849" w14:textId="77777777" w:rsidR="008A6ABF" w:rsidRPr="00F302E7" w:rsidRDefault="008A6ABF" w:rsidP="00F302E7">
      <w:pPr>
        <w:spacing w:line="360" w:lineRule="auto"/>
        <w:jc w:val="both"/>
        <w:rPr>
          <w:rFonts w:ascii="Palatino Linotype" w:hAnsi="Palatino Linotype" w:cs="Tahoma"/>
          <w:bCs/>
          <w:color w:val="000000"/>
        </w:rPr>
      </w:pPr>
    </w:p>
    <w:p w14:paraId="61D30CDC" w14:textId="77777777" w:rsidR="008A6ABF" w:rsidRPr="00F302E7" w:rsidRDefault="008A6ABF" w:rsidP="00F302E7">
      <w:pPr>
        <w:spacing w:line="360" w:lineRule="auto"/>
        <w:jc w:val="both"/>
        <w:rPr>
          <w:rFonts w:ascii="Palatino Linotype" w:hAnsi="Palatino Linotype" w:cs="Tahoma"/>
          <w:lang w:val="es-ES"/>
        </w:rPr>
      </w:pPr>
      <w:r w:rsidRPr="00F302E7">
        <w:rPr>
          <w:rFonts w:ascii="Palatino Linotype" w:hAnsi="Palatino Linotype" w:cs="Tahoma"/>
        </w:rPr>
        <w:t xml:space="preserve">Asimismo, se actualiza las causales de procedencia del Recurso de Revisión señaladas en el artículo 179, fracciones I y VIII de la Ley de Transparencia y Acceso a la Información Pública del Estado de México y Municipios, </w:t>
      </w:r>
      <w:r w:rsidRPr="00F302E7">
        <w:rPr>
          <w:rFonts w:ascii="Palatino Linotype" w:eastAsia="Calibri" w:hAnsi="Palatino Linotype" w:cs="Tahoma"/>
          <w:color w:val="000000"/>
          <w:lang w:eastAsia="es-MX"/>
        </w:rPr>
        <w:t xml:space="preserve">pues el Recurrente se inconformó </w:t>
      </w:r>
      <w:r w:rsidRPr="00F302E7">
        <w:rPr>
          <w:rFonts w:ascii="Palatino Linotype" w:hAnsi="Palatino Linotype" w:cs="Tahoma"/>
          <w:lang w:val="es-ES"/>
        </w:rPr>
        <w:t xml:space="preserve">porque el Sujeto Obligado no hizo entrega de la información y solicitó al Particular acudir a las oficinas, con la finalidad de que consultara la información requerida. </w:t>
      </w:r>
    </w:p>
    <w:p w14:paraId="78A1316E" w14:textId="77777777" w:rsidR="008A6ABF" w:rsidRPr="00F302E7" w:rsidRDefault="008A6ABF" w:rsidP="00F302E7">
      <w:pPr>
        <w:spacing w:line="360" w:lineRule="auto"/>
        <w:jc w:val="both"/>
        <w:rPr>
          <w:rFonts w:ascii="Palatino Linotype" w:hAnsi="Palatino Linotype" w:cs="Tahoma"/>
          <w:lang w:val="es-ES"/>
        </w:rPr>
      </w:pPr>
    </w:p>
    <w:p w14:paraId="5AF24B09" w14:textId="77777777" w:rsidR="008A6ABF" w:rsidRPr="00F302E7" w:rsidRDefault="008A6ABF" w:rsidP="00F302E7">
      <w:pPr>
        <w:spacing w:line="360" w:lineRule="auto"/>
        <w:jc w:val="both"/>
        <w:rPr>
          <w:rFonts w:ascii="Palatino Linotype" w:hAnsi="Palatino Linotype" w:cs="Tahoma"/>
          <w:bCs/>
          <w:color w:val="0D0D0D" w:themeColor="text1" w:themeTint="F2"/>
        </w:rPr>
      </w:pPr>
      <w:r w:rsidRPr="00F302E7">
        <w:rPr>
          <w:rFonts w:ascii="Palatino Linotype" w:hAnsi="Palatino Linotype" w:cs="Tahoma"/>
          <w:b/>
          <w:bCs/>
          <w:color w:val="0D0D0D" w:themeColor="text1" w:themeTint="F2"/>
        </w:rPr>
        <w:t>Causales de sobreseimiento.</w:t>
      </w:r>
    </w:p>
    <w:p w14:paraId="1C357EB3" w14:textId="77777777" w:rsidR="008A6ABF" w:rsidRPr="00F302E7" w:rsidRDefault="008A6ABF" w:rsidP="00F302E7">
      <w:pPr>
        <w:spacing w:line="360" w:lineRule="auto"/>
        <w:jc w:val="both"/>
        <w:rPr>
          <w:rFonts w:ascii="Palatino Linotype" w:hAnsi="Palatino Linotype" w:cs="Tahoma"/>
          <w:bCs/>
          <w:color w:val="0D0D0D" w:themeColor="text1" w:themeTint="F2"/>
        </w:rPr>
      </w:pPr>
    </w:p>
    <w:p w14:paraId="4B4A581E" w14:textId="77777777" w:rsidR="008A6ABF" w:rsidRPr="00F302E7" w:rsidRDefault="008A6ABF" w:rsidP="00F302E7">
      <w:pPr>
        <w:spacing w:line="360" w:lineRule="auto"/>
        <w:jc w:val="both"/>
        <w:rPr>
          <w:rFonts w:ascii="Palatino Linotype" w:hAnsi="Palatino Linotype" w:cs="Tahoma"/>
          <w:bCs/>
          <w:color w:val="0D0D0D" w:themeColor="text1" w:themeTint="F2"/>
        </w:rPr>
      </w:pPr>
      <w:r w:rsidRPr="00F302E7">
        <w:rPr>
          <w:rFonts w:ascii="Palatino Linotype" w:hAnsi="Palatino Linotype" w:cs="Tahoma"/>
          <w:bCs/>
          <w:color w:val="0D0D0D" w:themeColor="text1" w:themeTint="F2"/>
        </w:rPr>
        <w:t>Por ser de previo y especial pronunciamiento, este Instituto analiza si se actualiza alguna causal de sobreseimiento.</w:t>
      </w:r>
    </w:p>
    <w:p w14:paraId="7E234E7C" w14:textId="77777777" w:rsidR="008A6ABF" w:rsidRPr="00F302E7" w:rsidRDefault="008A6ABF" w:rsidP="00F302E7">
      <w:pPr>
        <w:spacing w:line="360" w:lineRule="auto"/>
        <w:jc w:val="both"/>
        <w:rPr>
          <w:rFonts w:ascii="Palatino Linotype" w:hAnsi="Palatino Linotype" w:cs="Tahoma"/>
          <w:bCs/>
          <w:color w:val="0D0D0D" w:themeColor="text1" w:themeTint="F2"/>
        </w:rPr>
      </w:pPr>
    </w:p>
    <w:p w14:paraId="2B86F837" w14:textId="77777777" w:rsidR="008A6ABF" w:rsidRPr="00F302E7" w:rsidRDefault="008A6ABF" w:rsidP="00F302E7">
      <w:pPr>
        <w:spacing w:line="360" w:lineRule="auto"/>
        <w:jc w:val="both"/>
        <w:rPr>
          <w:rFonts w:ascii="Palatino Linotype" w:hAnsi="Palatino Linotype" w:cs="Tahoma"/>
        </w:rPr>
      </w:pPr>
      <w:r w:rsidRPr="00F302E7">
        <w:rPr>
          <w:rFonts w:ascii="Palatino Linotype" w:hAnsi="Palatino Linotype" w:cs="Tahoma"/>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73ED118C" w14:textId="77777777" w:rsidR="008A6ABF" w:rsidRPr="00F302E7" w:rsidRDefault="008A6ABF" w:rsidP="00F302E7">
      <w:pPr>
        <w:spacing w:line="360" w:lineRule="auto"/>
        <w:jc w:val="both"/>
        <w:rPr>
          <w:rFonts w:ascii="Palatino Linotype" w:hAnsi="Palatino Linotype" w:cs="Tahoma"/>
        </w:rPr>
      </w:pPr>
    </w:p>
    <w:p w14:paraId="68C71135" w14:textId="77777777" w:rsidR="008A6ABF" w:rsidRPr="00F302E7" w:rsidRDefault="008A6ABF" w:rsidP="00F302E7">
      <w:pPr>
        <w:spacing w:line="360" w:lineRule="auto"/>
        <w:jc w:val="both"/>
        <w:rPr>
          <w:rFonts w:ascii="Palatino Linotype" w:hAnsi="Palatino Linotype" w:cs="Tahoma"/>
          <w:bCs/>
          <w:color w:val="0D0D0D" w:themeColor="text1" w:themeTint="F2"/>
        </w:rPr>
      </w:pPr>
      <w:r w:rsidRPr="00F302E7">
        <w:rPr>
          <w:rFonts w:ascii="Palatino Linotype" w:hAnsi="Palatino Linotype" w:cs="Tahoma"/>
          <w:bCs/>
          <w:color w:val="0D0D0D" w:themeColor="text1" w:themeTint="F2"/>
        </w:rPr>
        <w:lastRenderedPageBreak/>
        <w:t xml:space="preserve">Por tales motivos, se considera procedente entrar al fondo del presente asunto. </w:t>
      </w:r>
    </w:p>
    <w:p w14:paraId="37EC0714" w14:textId="77777777" w:rsidR="008A6ABF" w:rsidRPr="00F302E7" w:rsidRDefault="008A6ABF" w:rsidP="00F302E7">
      <w:pPr>
        <w:autoSpaceDE w:val="0"/>
        <w:autoSpaceDN w:val="0"/>
        <w:adjustRightInd w:val="0"/>
        <w:spacing w:line="360" w:lineRule="auto"/>
        <w:jc w:val="both"/>
        <w:rPr>
          <w:rFonts w:ascii="Palatino Linotype" w:hAnsi="Palatino Linotype" w:cs="Tahoma"/>
          <w:lang w:val="es-ES"/>
        </w:rPr>
      </w:pPr>
    </w:p>
    <w:p w14:paraId="5E625397" w14:textId="77777777" w:rsidR="00BC0E3B" w:rsidRPr="008A6ABF" w:rsidRDefault="00BC0E3B" w:rsidP="00CF227C">
      <w:pPr>
        <w:autoSpaceDE w:val="0"/>
        <w:autoSpaceDN w:val="0"/>
        <w:adjustRightInd w:val="0"/>
        <w:spacing w:line="360" w:lineRule="auto"/>
        <w:ind w:right="51"/>
        <w:jc w:val="both"/>
        <w:rPr>
          <w:rFonts w:ascii="Palatino Linotype" w:hAnsi="Palatino Linotype" w:cs="Arial"/>
          <w:b/>
          <w:sz w:val="22"/>
          <w:lang w:val="es-ES"/>
        </w:rPr>
      </w:pPr>
      <w:r w:rsidRPr="008A6ABF">
        <w:rPr>
          <w:rFonts w:ascii="Palatino Linotype" w:hAnsi="Palatino Linotype" w:cs="Arial"/>
          <w:b/>
        </w:rPr>
        <w:t>QUINTO</w:t>
      </w:r>
      <w:r w:rsidRPr="008A6ABF">
        <w:rPr>
          <w:rFonts w:ascii="Palatino Linotype" w:hAnsi="Palatino Linotype"/>
          <w:b/>
          <w:sz w:val="22"/>
        </w:rPr>
        <w:t xml:space="preserve">. </w:t>
      </w:r>
      <w:r w:rsidRPr="008A6ABF">
        <w:rPr>
          <w:rFonts w:ascii="Palatino Linotype" w:hAnsi="Palatino Linotype" w:cs="Arial"/>
          <w:b/>
          <w:sz w:val="22"/>
          <w:lang w:val="es-ES"/>
        </w:rPr>
        <w:t xml:space="preserve">Estudio y resolución del asunto. </w:t>
      </w:r>
    </w:p>
    <w:p w14:paraId="7D2DAF41" w14:textId="77777777" w:rsidR="00BC0E3B" w:rsidRPr="008A6ABF" w:rsidRDefault="00BC0E3B" w:rsidP="00CF227C">
      <w:pPr>
        <w:autoSpaceDE w:val="0"/>
        <w:autoSpaceDN w:val="0"/>
        <w:adjustRightInd w:val="0"/>
        <w:spacing w:line="360" w:lineRule="auto"/>
        <w:ind w:right="51"/>
        <w:jc w:val="both"/>
        <w:rPr>
          <w:rFonts w:ascii="Palatino Linotype" w:hAnsi="Palatino Linotype"/>
          <w:b/>
          <w:sz w:val="22"/>
        </w:rPr>
      </w:pPr>
    </w:p>
    <w:p w14:paraId="5CA943ED" w14:textId="6D1CA040" w:rsidR="00BC0E3B" w:rsidRPr="008A6ABF" w:rsidRDefault="00BC0E3B" w:rsidP="00CF227C">
      <w:pPr>
        <w:autoSpaceDE w:val="0"/>
        <w:autoSpaceDN w:val="0"/>
        <w:adjustRightInd w:val="0"/>
        <w:spacing w:line="360" w:lineRule="auto"/>
        <w:ind w:right="49"/>
        <w:jc w:val="both"/>
        <w:rPr>
          <w:rFonts w:ascii="Palatino Linotype" w:hAnsi="Palatino Linotype"/>
          <w:sz w:val="22"/>
        </w:rPr>
      </w:pPr>
      <w:r w:rsidRPr="008A6ABF">
        <w:rPr>
          <w:rFonts w:ascii="Palatino Linotype" w:hAnsi="Palatino Linotype"/>
          <w:sz w:val="22"/>
        </w:rPr>
        <w:t xml:space="preserve">El presente análisis y la emisión de la resolución se fundan en el contenido íntegro de las actuaciones que obran en el expediente electrónico </w:t>
      </w:r>
      <w:r w:rsidR="00BD38EF" w:rsidRPr="00F302E7">
        <w:rPr>
          <w:rFonts w:ascii="Palatino Linotype" w:hAnsi="Palatino Linotype"/>
          <w:sz w:val="22"/>
        </w:rPr>
        <w:t>de</w:t>
      </w:r>
      <w:r w:rsidR="00BD38EF" w:rsidRPr="00BD38EF">
        <w:rPr>
          <w:rFonts w:ascii="Palatino Linotype" w:hAnsi="Palatino Linotype"/>
          <w:b/>
          <w:bCs/>
          <w:sz w:val="22"/>
        </w:rPr>
        <w:t xml:space="preserve"> EL SAIMEX</w:t>
      </w:r>
      <w:r w:rsidRPr="008A6ABF">
        <w:rPr>
          <w:rFonts w:ascii="Palatino Linotype" w:hAnsi="Palatino Linotype"/>
          <w:sz w:val="22"/>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649FC9EA" w14:textId="77777777" w:rsidR="00BC0E3B" w:rsidRPr="008A6ABF" w:rsidRDefault="00BC0E3B" w:rsidP="00CF227C">
      <w:pPr>
        <w:autoSpaceDE w:val="0"/>
        <w:autoSpaceDN w:val="0"/>
        <w:adjustRightInd w:val="0"/>
        <w:spacing w:line="360" w:lineRule="auto"/>
        <w:ind w:right="49"/>
        <w:jc w:val="both"/>
        <w:rPr>
          <w:rFonts w:ascii="Palatino Linotype" w:hAnsi="Palatino Linotype"/>
          <w:sz w:val="22"/>
        </w:rPr>
      </w:pPr>
    </w:p>
    <w:p w14:paraId="611208A5" w14:textId="78C720C9" w:rsidR="00555802" w:rsidRPr="008A6ABF" w:rsidRDefault="00BC0E3B" w:rsidP="00CF227C">
      <w:pPr>
        <w:autoSpaceDE w:val="0"/>
        <w:autoSpaceDN w:val="0"/>
        <w:adjustRightInd w:val="0"/>
        <w:spacing w:line="360" w:lineRule="auto"/>
        <w:ind w:right="49"/>
        <w:jc w:val="both"/>
        <w:rPr>
          <w:rFonts w:ascii="Palatino Linotype" w:hAnsi="Palatino Linotype"/>
          <w:sz w:val="22"/>
        </w:rPr>
      </w:pPr>
      <w:r w:rsidRPr="008A6ABF">
        <w:rPr>
          <w:rFonts w:ascii="Palatino Linotype" w:hAnsi="Palatino Linotype"/>
          <w:sz w:val="22"/>
        </w:rPr>
        <w:t xml:space="preserve">En ese tenor, para un mejor estudio y comprensión del asunto que se resuelve, es preciso recordar que </w:t>
      </w:r>
      <w:r w:rsidRPr="008A6ABF">
        <w:rPr>
          <w:rFonts w:ascii="Palatino Linotype" w:hAnsi="Palatino Linotype"/>
          <w:b/>
          <w:sz w:val="22"/>
        </w:rPr>
        <w:t>EL RECURRENTE</w:t>
      </w:r>
      <w:r w:rsidRPr="008A6ABF">
        <w:rPr>
          <w:rFonts w:ascii="Palatino Linotype" w:hAnsi="Palatino Linotype"/>
          <w:sz w:val="22"/>
        </w:rPr>
        <w:t xml:space="preserve"> solicitó </w:t>
      </w:r>
      <w:r w:rsidR="00BD38EF" w:rsidRPr="00BD38EF">
        <w:rPr>
          <w:rFonts w:ascii="Palatino Linotype" w:hAnsi="Palatino Linotype"/>
          <w:b/>
          <w:bCs/>
          <w:sz w:val="22"/>
        </w:rPr>
        <w:t>a EL SUJETO OBLIGADO</w:t>
      </w:r>
      <w:r w:rsidR="00B008F5" w:rsidRPr="008A6ABF">
        <w:rPr>
          <w:rFonts w:ascii="Palatino Linotype" w:hAnsi="Palatino Linotype"/>
          <w:sz w:val="22"/>
        </w:rPr>
        <w:t xml:space="preserve"> la información que a continuación se desagrega:</w:t>
      </w:r>
    </w:p>
    <w:p w14:paraId="0BE29EB3" w14:textId="77777777" w:rsidR="00B008F5" w:rsidRPr="008A6ABF" w:rsidRDefault="00B008F5" w:rsidP="00CF227C">
      <w:pPr>
        <w:autoSpaceDE w:val="0"/>
        <w:autoSpaceDN w:val="0"/>
        <w:adjustRightInd w:val="0"/>
        <w:spacing w:line="360" w:lineRule="auto"/>
        <w:ind w:right="49"/>
        <w:jc w:val="both"/>
        <w:rPr>
          <w:rFonts w:ascii="Palatino Linotype" w:hAnsi="Palatino Linotype"/>
          <w:sz w:val="22"/>
        </w:rPr>
      </w:pPr>
    </w:p>
    <w:p w14:paraId="0FEEFD11" w14:textId="1BDC6906" w:rsidR="00B008F5" w:rsidRDefault="00B008F5" w:rsidP="00CF227C">
      <w:pPr>
        <w:pStyle w:val="Prrafodelista"/>
        <w:numPr>
          <w:ilvl w:val="0"/>
          <w:numId w:val="4"/>
        </w:numPr>
        <w:autoSpaceDE w:val="0"/>
        <w:autoSpaceDN w:val="0"/>
        <w:adjustRightInd w:val="0"/>
        <w:spacing w:line="360" w:lineRule="auto"/>
        <w:ind w:right="49"/>
        <w:jc w:val="both"/>
        <w:rPr>
          <w:rFonts w:ascii="Palatino Linotype" w:hAnsi="Palatino Linotype"/>
          <w:sz w:val="22"/>
        </w:rPr>
      </w:pPr>
      <w:r w:rsidRPr="008A6ABF">
        <w:rPr>
          <w:rFonts w:ascii="Palatino Linotype" w:hAnsi="Palatino Linotype"/>
          <w:sz w:val="22"/>
        </w:rPr>
        <w:t>El total de policías municipales que han sido dados de baja desde enero de 2016 al 17 de diciembre de 2021.</w:t>
      </w:r>
    </w:p>
    <w:p w14:paraId="71B5DB33" w14:textId="77777777" w:rsidR="00DB04F3" w:rsidRPr="008A6ABF" w:rsidRDefault="00DB04F3" w:rsidP="00F302E7">
      <w:pPr>
        <w:pStyle w:val="Prrafodelista"/>
        <w:autoSpaceDE w:val="0"/>
        <w:autoSpaceDN w:val="0"/>
        <w:adjustRightInd w:val="0"/>
        <w:spacing w:line="360" w:lineRule="auto"/>
        <w:ind w:left="720" w:right="49"/>
        <w:jc w:val="both"/>
        <w:rPr>
          <w:rFonts w:ascii="Palatino Linotype" w:hAnsi="Palatino Linotype"/>
          <w:sz w:val="22"/>
        </w:rPr>
      </w:pPr>
    </w:p>
    <w:p w14:paraId="5E6F25F4" w14:textId="16DEC4A1" w:rsidR="00B008F5" w:rsidRPr="008A6ABF" w:rsidRDefault="00B008F5" w:rsidP="00CF227C">
      <w:pPr>
        <w:pStyle w:val="Prrafodelista"/>
        <w:numPr>
          <w:ilvl w:val="0"/>
          <w:numId w:val="4"/>
        </w:numPr>
        <w:autoSpaceDE w:val="0"/>
        <w:autoSpaceDN w:val="0"/>
        <w:adjustRightInd w:val="0"/>
        <w:spacing w:line="360" w:lineRule="auto"/>
        <w:ind w:right="49"/>
        <w:jc w:val="both"/>
        <w:rPr>
          <w:rFonts w:ascii="Palatino Linotype" w:hAnsi="Palatino Linotype"/>
          <w:sz w:val="22"/>
        </w:rPr>
      </w:pPr>
      <w:r w:rsidRPr="008A6ABF">
        <w:rPr>
          <w:rFonts w:ascii="Palatino Linotype" w:hAnsi="Palatino Linotype"/>
          <w:sz w:val="22"/>
        </w:rPr>
        <w:t>Desglosa</w:t>
      </w:r>
      <w:r w:rsidR="00BD38EF">
        <w:rPr>
          <w:rFonts w:ascii="Palatino Linotype" w:hAnsi="Palatino Linotype"/>
          <w:sz w:val="22"/>
        </w:rPr>
        <w:t>r</w:t>
      </w:r>
      <w:r w:rsidRPr="008A6ABF">
        <w:rPr>
          <w:rFonts w:ascii="Palatino Linotype" w:hAnsi="Palatino Linotype"/>
          <w:sz w:val="22"/>
        </w:rPr>
        <w:t xml:space="preserve"> las cantidades por mes y año; </w:t>
      </w:r>
      <w:r w:rsidR="00BD38EF">
        <w:rPr>
          <w:rFonts w:ascii="Palatino Linotype" w:hAnsi="Palatino Linotype"/>
          <w:sz w:val="22"/>
        </w:rPr>
        <w:t>de</w:t>
      </w:r>
      <w:r w:rsidRPr="008A6ABF">
        <w:rPr>
          <w:rFonts w:ascii="Palatino Linotype" w:hAnsi="Palatino Linotype"/>
          <w:sz w:val="22"/>
        </w:rPr>
        <w:t xml:space="preserve"> fecha de baja, puesto o grado de policía, motivo, sección o división a la que pertenecía, número de expediente, a que instancia fue turnado el caso, estatus, si e elemento fue reubicado en su puesto.</w:t>
      </w:r>
    </w:p>
    <w:p w14:paraId="690FE4FE" w14:textId="77777777" w:rsidR="00555802" w:rsidRPr="008A6ABF" w:rsidRDefault="00555802" w:rsidP="00CF227C">
      <w:pPr>
        <w:autoSpaceDE w:val="0"/>
        <w:autoSpaceDN w:val="0"/>
        <w:adjustRightInd w:val="0"/>
        <w:spacing w:line="360" w:lineRule="auto"/>
        <w:ind w:right="49"/>
        <w:jc w:val="both"/>
        <w:rPr>
          <w:rFonts w:ascii="Palatino Linotype" w:hAnsi="Palatino Linotype"/>
          <w:sz w:val="22"/>
        </w:rPr>
      </w:pPr>
    </w:p>
    <w:p w14:paraId="21D0DEEF" w14:textId="192F617F" w:rsidR="00B008F5" w:rsidRPr="008A6ABF" w:rsidRDefault="00B008F5" w:rsidP="00CF227C">
      <w:pPr>
        <w:autoSpaceDE w:val="0"/>
        <w:autoSpaceDN w:val="0"/>
        <w:adjustRightInd w:val="0"/>
        <w:spacing w:line="360" w:lineRule="auto"/>
        <w:ind w:right="49"/>
        <w:jc w:val="both"/>
        <w:rPr>
          <w:rFonts w:ascii="Palatino Linotype" w:hAnsi="Palatino Linotype"/>
          <w:sz w:val="22"/>
        </w:rPr>
      </w:pPr>
      <w:r w:rsidRPr="008A6ABF">
        <w:rPr>
          <w:rFonts w:ascii="Palatino Linotype" w:hAnsi="Palatino Linotype"/>
          <w:sz w:val="22"/>
        </w:rPr>
        <w:t>E</w:t>
      </w:r>
      <w:r w:rsidR="00BC0E3B" w:rsidRPr="008A6ABF">
        <w:rPr>
          <w:rFonts w:ascii="Palatino Linotype" w:hAnsi="Palatino Linotype"/>
          <w:sz w:val="22"/>
        </w:rPr>
        <w:t>n respuesta</w:t>
      </w:r>
      <w:r w:rsidRPr="008A6ABF">
        <w:rPr>
          <w:rFonts w:ascii="Palatino Linotype" w:hAnsi="Palatino Linotype"/>
          <w:sz w:val="22"/>
        </w:rPr>
        <w:t>,</w:t>
      </w:r>
      <w:r w:rsidR="00BC0E3B" w:rsidRPr="008A6ABF">
        <w:rPr>
          <w:rFonts w:ascii="Palatino Linotype" w:hAnsi="Palatino Linotype"/>
          <w:sz w:val="22"/>
        </w:rPr>
        <w:t xml:space="preserve"> </w:t>
      </w:r>
      <w:r w:rsidR="00BC0E3B" w:rsidRPr="008A6ABF">
        <w:rPr>
          <w:rFonts w:ascii="Palatino Linotype" w:hAnsi="Palatino Linotype"/>
          <w:b/>
          <w:sz w:val="22"/>
        </w:rPr>
        <w:t>EL SUJETO OBLIGADO</w:t>
      </w:r>
      <w:r w:rsidR="00BC0E3B" w:rsidRPr="008A6ABF">
        <w:rPr>
          <w:rFonts w:ascii="Palatino Linotype" w:hAnsi="Palatino Linotype"/>
          <w:sz w:val="22"/>
        </w:rPr>
        <w:t xml:space="preserve"> indicó al </w:t>
      </w:r>
      <w:r w:rsidR="00DB04F3">
        <w:rPr>
          <w:rFonts w:ascii="Palatino Linotype" w:hAnsi="Palatino Linotype"/>
          <w:sz w:val="22"/>
        </w:rPr>
        <w:t>P</w:t>
      </w:r>
      <w:r w:rsidR="00BC0E3B" w:rsidRPr="008A6ABF">
        <w:rPr>
          <w:rFonts w:ascii="Palatino Linotype" w:hAnsi="Palatino Linotype"/>
          <w:sz w:val="22"/>
        </w:rPr>
        <w:t xml:space="preserve">articular que </w:t>
      </w:r>
      <w:r w:rsidRPr="008A6ABF">
        <w:rPr>
          <w:rFonts w:ascii="Palatino Linotype" w:hAnsi="Palatino Linotype"/>
          <w:sz w:val="22"/>
        </w:rPr>
        <w:t>derivado de una búsqueda en sus archivos ni el Tesorero Municipal ni el Secretario Técnico del Consejo Municipal de Seguridad Pública contaran con la información solicitada.</w:t>
      </w:r>
    </w:p>
    <w:p w14:paraId="6505378F" w14:textId="77777777" w:rsidR="00B008F5" w:rsidRPr="008A6ABF" w:rsidRDefault="00B008F5" w:rsidP="00CF227C">
      <w:pPr>
        <w:autoSpaceDE w:val="0"/>
        <w:autoSpaceDN w:val="0"/>
        <w:adjustRightInd w:val="0"/>
        <w:spacing w:line="360" w:lineRule="auto"/>
        <w:ind w:right="49"/>
        <w:jc w:val="both"/>
        <w:rPr>
          <w:rFonts w:ascii="Palatino Linotype" w:hAnsi="Palatino Linotype"/>
          <w:sz w:val="22"/>
        </w:rPr>
      </w:pPr>
    </w:p>
    <w:p w14:paraId="143166C2" w14:textId="49BC04C0" w:rsidR="00B008F5" w:rsidRPr="008A6ABF" w:rsidRDefault="00BC0E3B" w:rsidP="00CF227C">
      <w:pPr>
        <w:autoSpaceDE w:val="0"/>
        <w:autoSpaceDN w:val="0"/>
        <w:adjustRightInd w:val="0"/>
        <w:spacing w:line="360" w:lineRule="auto"/>
        <w:ind w:right="49"/>
        <w:jc w:val="both"/>
        <w:rPr>
          <w:rFonts w:ascii="Palatino Linotype" w:hAnsi="Palatino Linotype"/>
          <w:sz w:val="22"/>
        </w:rPr>
      </w:pPr>
      <w:r w:rsidRPr="008A6ABF">
        <w:rPr>
          <w:rFonts w:ascii="Palatino Linotype" w:hAnsi="Palatino Linotype"/>
          <w:sz w:val="22"/>
        </w:rPr>
        <w:lastRenderedPageBreak/>
        <w:t xml:space="preserve">Inconforme con dicha respuesta, el particular presentó el medio de impugnación en estudio en el que se </w:t>
      </w:r>
      <w:r w:rsidR="00DB04F3">
        <w:rPr>
          <w:rFonts w:ascii="Palatino Linotype" w:hAnsi="Palatino Linotype"/>
          <w:sz w:val="22"/>
        </w:rPr>
        <w:t>inconforma</w:t>
      </w:r>
      <w:r w:rsidR="00DB04F3" w:rsidRPr="008A6ABF">
        <w:rPr>
          <w:rFonts w:ascii="Palatino Linotype" w:hAnsi="Palatino Linotype"/>
          <w:sz w:val="22"/>
        </w:rPr>
        <w:t xml:space="preserve"> </w:t>
      </w:r>
      <w:r w:rsidR="00B008F5" w:rsidRPr="008A6ABF">
        <w:rPr>
          <w:rFonts w:ascii="Palatino Linotype" w:hAnsi="Palatino Linotype"/>
          <w:sz w:val="22"/>
        </w:rPr>
        <w:t>de la negativa para otorgar respuesta y de que la Titular de la Unidad de Transparencia no hubiera turnado la solicitud de información a todas las áreas administrativas que pudieran contar con la misma.</w:t>
      </w:r>
    </w:p>
    <w:p w14:paraId="463FD2FA" w14:textId="77777777" w:rsidR="00B008F5" w:rsidRPr="008A6ABF" w:rsidRDefault="00B008F5" w:rsidP="00CF227C">
      <w:pPr>
        <w:autoSpaceDE w:val="0"/>
        <w:autoSpaceDN w:val="0"/>
        <w:adjustRightInd w:val="0"/>
        <w:spacing w:line="360" w:lineRule="auto"/>
        <w:ind w:right="49"/>
        <w:jc w:val="both"/>
        <w:rPr>
          <w:rFonts w:ascii="Palatino Linotype" w:hAnsi="Palatino Linotype"/>
          <w:sz w:val="22"/>
        </w:rPr>
      </w:pPr>
    </w:p>
    <w:p w14:paraId="198DAAFF" w14:textId="7CC57F83" w:rsidR="00B008F5" w:rsidRPr="008A6ABF" w:rsidRDefault="00DB04F3" w:rsidP="00CF227C">
      <w:pPr>
        <w:autoSpaceDE w:val="0"/>
        <w:autoSpaceDN w:val="0"/>
        <w:adjustRightInd w:val="0"/>
        <w:spacing w:line="360" w:lineRule="auto"/>
        <w:ind w:right="49"/>
        <w:jc w:val="both"/>
        <w:rPr>
          <w:rFonts w:ascii="Palatino Linotype" w:hAnsi="Palatino Linotype"/>
          <w:sz w:val="22"/>
        </w:rPr>
      </w:pPr>
      <w:r>
        <w:rPr>
          <w:rFonts w:ascii="Palatino Linotype" w:hAnsi="Palatino Linotype"/>
          <w:sz w:val="22"/>
        </w:rPr>
        <w:t>Es</w:t>
      </w:r>
      <w:r w:rsidR="00B008F5" w:rsidRPr="008A6ABF">
        <w:rPr>
          <w:rFonts w:ascii="Palatino Linotype" w:hAnsi="Palatino Linotype"/>
          <w:sz w:val="22"/>
        </w:rPr>
        <w:t xml:space="preserve"> importante hacer mención de que tanto </w:t>
      </w:r>
      <w:r w:rsidR="00BC0E3B" w:rsidRPr="008A6ABF">
        <w:rPr>
          <w:rFonts w:ascii="Palatino Linotype" w:hAnsi="Palatino Linotype"/>
          <w:b/>
          <w:sz w:val="22"/>
        </w:rPr>
        <w:t>EL SUJETO OBLIGADO</w:t>
      </w:r>
      <w:r w:rsidR="00B008F5" w:rsidRPr="008A6ABF">
        <w:rPr>
          <w:rFonts w:ascii="Palatino Linotype" w:hAnsi="Palatino Linotype"/>
          <w:sz w:val="22"/>
        </w:rPr>
        <w:t xml:space="preserve"> fue omiso en rendir el informe justificado </w:t>
      </w:r>
      <w:r w:rsidR="00141578" w:rsidRPr="008A6ABF">
        <w:rPr>
          <w:rFonts w:ascii="Palatino Linotype" w:hAnsi="Palatino Linotype"/>
          <w:sz w:val="22"/>
        </w:rPr>
        <w:t xml:space="preserve">y por su parte </w:t>
      </w:r>
      <w:r w:rsidR="00141578" w:rsidRPr="008A6ABF">
        <w:rPr>
          <w:rFonts w:ascii="Palatino Linotype" w:hAnsi="Palatino Linotype"/>
          <w:b/>
          <w:sz w:val="22"/>
        </w:rPr>
        <w:t xml:space="preserve">EL RECURRENTE </w:t>
      </w:r>
      <w:r w:rsidR="00141578" w:rsidRPr="008A6ABF">
        <w:rPr>
          <w:rFonts w:ascii="Palatino Linotype" w:hAnsi="Palatino Linotype"/>
          <w:sz w:val="22"/>
        </w:rPr>
        <w:t>en presentar las pruebas y alegatos que a su derecho correspondieran.</w:t>
      </w:r>
    </w:p>
    <w:p w14:paraId="6AE5BADF" w14:textId="77777777" w:rsidR="00BC0E3B" w:rsidRPr="008A6ABF" w:rsidRDefault="00BC0E3B" w:rsidP="00CF227C">
      <w:pPr>
        <w:autoSpaceDE w:val="0"/>
        <w:autoSpaceDN w:val="0"/>
        <w:adjustRightInd w:val="0"/>
        <w:spacing w:line="360" w:lineRule="auto"/>
        <w:ind w:right="49"/>
        <w:jc w:val="both"/>
        <w:rPr>
          <w:rFonts w:ascii="Palatino Linotype" w:hAnsi="Palatino Linotype"/>
          <w:sz w:val="22"/>
        </w:rPr>
      </w:pPr>
    </w:p>
    <w:p w14:paraId="0A3EECBC" w14:textId="7A7A03AA" w:rsidR="00BC0E3B" w:rsidRPr="008A6ABF" w:rsidRDefault="00BC0E3B" w:rsidP="00CF227C">
      <w:pPr>
        <w:autoSpaceDE w:val="0"/>
        <w:autoSpaceDN w:val="0"/>
        <w:adjustRightInd w:val="0"/>
        <w:spacing w:line="360" w:lineRule="auto"/>
        <w:ind w:right="49"/>
        <w:jc w:val="both"/>
        <w:rPr>
          <w:rFonts w:ascii="Palatino Linotype" w:hAnsi="Palatino Linotype"/>
          <w:sz w:val="22"/>
        </w:rPr>
      </w:pPr>
      <w:r w:rsidRPr="008A6ABF">
        <w:rPr>
          <w:rFonts w:ascii="Palatino Linotype" w:hAnsi="Palatino Linotype"/>
          <w:sz w:val="22"/>
        </w:rPr>
        <w:t xml:space="preserve">Hechas las manifestaciones que anteceden, conviene señalar que el derecho de acceso a la </w:t>
      </w:r>
      <w:r w:rsidR="008258F9" w:rsidRPr="008A6ABF">
        <w:rPr>
          <w:rFonts w:ascii="Palatino Linotype" w:hAnsi="Palatino Linotype"/>
          <w:sz w:val="22"/>
        </w:rPr>
        <w:t>Información Pública</w:t>
      </w:r>
      <w:r w:rsidRPr="008A6ABF">
        <w:rPr>
          <w:rFonts w:ascii="Palatino Linotype" w:hAnsi="Palatino Linotype"/>
          <w:sz w:val="22"/>
        </w:rPr>
        <w:t xml:space="preserve"> se encuentra sustentado en los artículos 4</w:t>
      </w:r>
      <w:r w:rsidR="00DB04F3">
        <w:rPr>
          <w:rFonts w:ascii="Palatino Linotype" w:hAnsi="Palatino Linotype"/>
          <w:sz w:val="22"/>
        </w:rPr>
        <w:t>°</w:t>
      </w:r>
      <w:r w:rsidRPr="008A6ABF">
        <w:rPr>
          <w:rFonts w:ascii="Palatino Linotype" w:hAnsi="Palatino Linotype"/>
          <w:sz w:val="22"/>
        </w:rPr>
        <w:t xml:space="preserve"> y 12 de la Ley de Transparencia y Acceso a la </w:t>
      </w:r>
      <w:r w:rsidR="008258F9" w:rsidRPr="008A6ABF">
        <w:rPr>
          <w:rFonts w:ascii="Palatino Linotype" w:hAnsi="Palatino Linotype"/>
          <w:sz w:val="22"/>
        </w:rPr>
        <w:t>Información Pública</w:t>
      </w:r>
      <w:r w:rsidRPr="008A6ABF">
        <w:rPr>
          <w:rFonts w:ascii="Palatino Linotype" w:hAnsi="Palatino Linotype"/>
          <w:sz w:val="22"/>
        </w:rPr>
        <w:t xml:space="preserve"> del Estado de México y Municipios, pues toda la información generada, obtenida, adquirida, transmitida, administrada o en posesión de los Sujetos Obligados, será accesible de manera permanente a cualquier persona, privilegiando el principio de máxima publicidad de la información.</w:t>
      </w:r>
    </w:p>
    <w:p w14:paraId="2B0C952E" w14:textId="77777777" w:rsidR="00BC0E3B" w:rsidRPr="008A6ABF" w:rsidRDefault="00BC0E3B" w:rsidP="00CF227C">
      <w:pPr>
        <w:autoSpaceDE w:val="0"/>
        <w:autoSpaceDN w:val="0"/>
        <w:adjustRightInd w:val="0"/>
        <w:spacing w:line="360" w:lineRule="auto"/>
        <w:ind w:right="49"/>
        <w:jc w:val="both"/>
        <w:rPr>
          <w:rFonts w:ascii="Palatino Linotype" w:hAnsi="Palatino Linotype"/>
          <w:sz w:val="22"/>
        </w:rPr>
      </w:pPr>
    </w:p>
    <w:p w14:paraId="1CC3D7FC" w14:textId="77777777" w:rsidR="00BC0E3B" w:rsidRPr="008A6ABF" w:rsidRDefault="00BC0E3B" w:rsidP="00CF227C">
      <w:pPr>
        <w:autoSpaceDE w:val="0"/>
        <w:autoSpaceDN w:val="0"/>
        <w:adjustRightInd w:val="0"/>
        <w:spacing w:line="360" w:lineRule="auto"/>
        <w:ind w:right="49"/>
        <w:jc w:val="both"/>
        <w:rPr>
          <w:rFonts w:ascii="Palatino Linotype" w:hAnsi="Palatino Linotype"/>
          <w:sz w:val="22"/>
        </w:rPr>
      </w:pPr>
      <w:r w:rsidRPr="008A6ABF">
        <w:rPr>
          <w:rFonts w:ascii="Palatino Linotype" w:hAnsi="Palatino Linotype"/>
          <w:sz w:val="22"/>
        </w:rPr>
        <w:t xml:space="preserve">Por otra parte,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14:paraId="2041A2F5" w14:textId="77777777" w:rsidR="00BC0E3B" w:rsidRPr="008A6ABF" w:rsidRDefault="00BC0E3B" w:rsidP="00CF227C">
      <w:pPr>
        <w:autoSpaceDE w:val="0"/>
        <w:autoSpaceDN w:val="0"/>
        <w:adjustRightInd w:val="0"/>
        <w:spacing w:line="360" w:lineRule="auto"/>
        <w:ind w:right="49"/>
        <w:jc w:val="both"/>
        <w:rPr>
          <w:rFonts w:ascii="Palatino Linotype" w:hAnsi="Palatino Linotype"/>
          <w:sz w:val="22"/>
        </w:rPr>
      </w:pPr>
    </w:p>
    <w:p w14:paraId="111564A1" w14:textId="35696A59" w:rsidR="00BC0E3B" w:rsidRPr="008A6ABF" w:rsidRDefault="00BC0E3B" w:rsidP="00F302E7">
      <w:pPr>
        <w:tabs>
          <w:tab w:val="left" w:pos="851"/>
        </w:tabs>
        <w:spacing w:line="360" w:lineRule="auto"/>
        <w:ind w:left="567" w:right="567"/>
        <w:jc w:val="both"/>
        <w:rPr>
          <w:rFonts w:ascii="Palatino Linotype" w:eastAsia="Palatino Linotype" w:hAnsi="Palatino Linotype" w:cs="Palatino Linotype"/>
          <w:i/>
          <w:sz w:val="20"/>
          <w:szCs w:val="22"/>
        </w:rPr>
      </w:pPr>
      <w:r w:rsidRPr="008A6ABF">
        <w:rPr>
          <w:rFonts w:ascii="Palatino Linotype" w:eastAsia="Palatino Linotype" w:hAnsi="Palatino Linotype" w:cs="Palatino Linotype"/>
          <w:i/>
          <w:sz w:val="20"/>
          <w:szCs w:val="22"/>
        </w:rPr>
        <w:t>“</w:t>
      </w:r>
      <w:r w:rsidRPr="008A6ABF">
        <w:rPr>
          <w:rFonts w:ascii="Palatino Linotype" w:eastAsia="Palatino Linotype" w:hAnsi="Palatino Linotype" w:cs="Palatino Linotype"/>
          <w:b/>
          <w:i/>
          <w:sz w:val="20"/>
          <w:szCs w:val="22"/>
        </w:rPr>
        <w:t>Artículo 12.</w:t>
      </w:r>
      <w:r w:rsidRPr="008A6ABF">
        <w:rPr>
          <w:rFonts w:ascii="Palatino Linotype" w:eastAsia="Palatino Linotype" w:hAnsi="Palatino Linotype" w:cs="Palatino Linotype"/>
          <w:i/>
          <w:sz w:val="20"/>
          <w:szCs w:val="22"/>
        </w:rPr>
        <w:t xml:space="preserve"> Quienes generen, recopilen, administren, manejen, procesen, archiven o conserven </w:t>
      </w:r>
      <w:r w:rsidR="008258F9" w:rsidRPr="008A6ABF">
        <w:rPr>
          <w:rFonts w:ascii="Palatino Linotype" w:eastAsia="Palatino Linotype" w:hAnsi="Palatino Linotype" w:cs="Palatino Linotype"/>
          <w:i/>
          <w:sz w:val="20"/>
          <w:szCs w:val="22"/>
        </w:rPr>
        <w:t>Información Pública</w:t>
      </w:r>
      <w:r w:rsidRPr="008A6ABF">
        <w:rPr>
          <w:rFonts w:ascii="Palatino Linotype" w:eastAsia="Palatino Linotype" w:hAnsi="Palatino Linotype" w:cs="Palatino Linotype"/>
          <w:i/>
          <w:sz w:val="20"/>
          <w:szCs w:val="22"/>
        </w:rPr>
        <w:t xml:space="preserve"> serán responsables de la misma en los términos de las disposiciones jurídicas aplicables. </w:t>
      </w:r>
    </w:p>
    <w:p w14:paraId="7CC21CDF" w14:textId="77777777" w:rsidR="00BC0E3B" w:rsidRPr="008A6ABF" w:rsidRDefault="00BC0E3B" w:rsidP="00F302E7">
      <w:pPr>
        <w:tabs>
          <w:tab w:val="left" w:pos="851"/>
        </w:tabs>
        <w:spacing w:line="360" w:lineRule="auto"/>
        <w:ind w:left="567" w:right="567"/>
        <w:jc w:val="both"/>
        <w:rPr>
          <w:rFonts w:ascii="Palatino Linotype" w:eastAsia="Palatino Linotype" w:hAnsi="Palatino Linotype" w:cs="Palatino Linotype"/>
          <w:i/>
          <w:sz w:val="20"/>
          <w:szCs w:val="22"/>
        </w:rPr>
      </w:pPr>
      <w:r w:rsidRPr="008A6ABF">
        <w:rPr>
          <w:rFonts w:ascii="Palatino Linotype" w:eastAsia="Palatino Linotype" w:hAnsi="Palatino Linotype" w:cs="Palatino Linotype"/>
          <w:i/>
          <w:sz w:val="20"/>
          <w:szCs w:val="22"/>
        </w:rPr>
        <w:t xml:space="preserve"> </w:t>
      </w:r>
    </w:p>
    <w:p w14:paraId="3DDA938B" w14:textId="2FBA33C9" w:rsidR="00BC0E3B" w:rsidRPr="008A6ABF" w:rsidRDefault="00BC0E3B" w:rsidP="00F302E7">
      <w:pPr>
        <w:tabs>
          <w:tab w:val="left" w:pos="851"/>
        </w:tabs>
        <w:spacing w:line="360" w:lineRule="auto"/>
        <w:ind w:left="567" w:right="567"/>
        <w:jc w:val="both"/>
        <w:rPr>
          <w:rFonts w:ascii="Palatino Linotype" w:eastAsia="Palatino Linotype" w:hAnsi="Palatino Linotype" w:cs="Palatino Linotype"/>
          <w:i/>
          <w:sz w:val="20"/>
          <w:szCs w:val="22"/>
        </w:rPr>
      </w:pPr>
      <w:r w:rsidRPr="008A6ABF">
        <w:rPr>
          <w:rFonts w:ascii="Palatino Linotype" w:eastAsia="Palatino Linotype" w:hAnsi="Palatino Linotype" w:cs="Palatino Linotype"/>
          <w:i/>
          <w:sz w:val="20"/>
          <w:szCs w:val="22"/>
        </w:rPr>
        <w:lastRenderedPageBreak/>
        <w:t xml:space="preserve">Los sujetos obligados sólo proporcionarán la </w:t>
      </w:r>
      <w:r w:rsidR="008258F9" w:rsidRPr="008A6ABF">
        <w:rPr>
          <w:rFonts w:ascii="Palatino Linotype" w:eastAsia="Palatino Linotype" w:hAnsi="Palatino Linotype" w:cs="Palatino Linotype"/>
          <w:i/>
          <w:sz w:val="20"/>
          <w:szCs w:val="22"/>
        </w:rPr>
        <w:t>Información Pública</w:t>
      </w:r>
      <w:r w:rsidRPr="008A6ABF">
        <w:rPr>
          <w:rFonts w:ascii="Palatino Linotype" w:eastAsia="Palatino Linotype" w:hAnsi="Palatino Linotype" w:cs="Palatino Linotype"/>
          <w:i/>
          <w:sz w:val="20"/>
          <w:szCs w:val="22"/>
        </w:rPr>
        <w:t xml:space="preserve">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55B1125" w14:textId="77777777" w:rsidR="00BC0E3B" w:rsidRPr="008A6ABF" w:rsidRDefault="00BC0E3B" w:rsidP="00CF227C">
      <w:pPr>
        <w:autoSpaceDE w:val="0"/>
        <w:autoSpaceDN w:val="0"/>
        <w:adjustRightInd w:val="0"/>
        <w:spacing w:line="360" w:lineRule="auto"/>
        <w:ind w:right="49"/>
        <w:jc w:val="both"/>
        <w:rPr>
          <w:rFonts w:ascii="Palatino Linotype" w:hAnsi="Palatino Linotype"/>
          <w:sz w:val="22"/>
        </w:rPr>
      </w:pPr>
    </w:p>
    <w:p w14:paraId="11AD5D29" w14:textId="3964A7AF" w:rsidR="00BC0E3B" w:rsidRPr="008A6ABF" w:rsidRDefault="00BC0E3B" w:rsidP="00CF227C">
      <w:pPr>
        <w:autoSpaceDE w:val="0"/>
        <w:autoSpaceDN w:val="0"/>
        <w:adjustRightInd w:val="0"/>
        <w:spacing w:line="360" w:lineRule="auto"/>
        <w:ind w:right="49"/>
        <w:jc w:val="both"/>
        <w:rPr>
          <w:rFonts w:ascii="Palatino Linotype" w:hAnsi="Palatino Linotype"/>
          <w:sz w:val="22"/>
        </w:rPr>
      </w:pPr>
      <w:r w:rsidRPr="008A6ABF">
        <w:rPr>
          <w:rFonts w:ascii="Palatino Linotype" w:hAnsi="Palatino Linotype"/>
          <w:sz w:val="22"/>
        </w:rPr>
        <w:t xml:space="preserve">En síntesis, el Derecho de Acceso a la </w:t>
      </w:r>
      <w:r w:rsidR="008258F9" w:rsidRPr="008A6ABF">
        <w:rPr>
          <w:rFonts w:ascii="Palatino Linotype" w:hAnsi="Palatino Linotype"/>
          <w:sz w:val="22"/>
        </w:rPr>
        <w:t>Información Pública</w:t>
      </w:r>
      <w:r w:rsidRPr="008A6ABF">
        <w:rPr>
          <w:rFonts w:ascii="Palatino Linotype" w:hAnsi="Palatino Linotype"/>
          <w:sz w:val="22"/>
        </w:rPr>
        <w:t xml:space="preserve"> se satisface en aquellos casos en que se entregue a los particulares que lo soliciten el soporte documental en que conste la </w:t>
      </w:r>
      <w:r w:rsidR="008258F9" w:rsidRPr="008A6ABF">
        <w:rPr>
          <w:rFonts w:ascii="Palatino Linotype" w:hAnsi="Palatino Linotype"/>
          <w:sz w:val="22"/>
        </w:rPr>
        <w:t>Información Pública</w:t>
      </w:r>
      <w:r w:rsidRPr="008A6ABF">
        <w:rPr>
          <w:rFonts w:ascii="Palatino Linotype" w:hAnsi="Palatino Linotype"/>
          <w:sz w:val="22"/>
        </w:rPr>
        <w:t xml:space="preserve">, toda vez que, los Sujetos Obligados no tienen el deber de generar, poseer o administrar la </w:t>
      </w:r>
      <w:r w:rsidR="008258F9" w:rsidRPr="008A6ABF">
        <w:rPr>
          <w:rFonts w:ascii="Palatino Linotype" w:hAnsi="Palatino Linotype"/>
          <w:sz w:val="22"/>
        </w:rPr>
        <w:t>Información Pública</w:t>
      </w:r>
      <w:r w:rsidRPr="008A6ABF">
        <w:rPr>
          <w:rFonts w:ascii="Palatino Linotype" w:hAnsi="Palatino Linotype"/>
          <w:sz w:val="22"/>
        </w:rPr>
        <w:t xml:space="preserve"> con el grado de detalle solicitado; esto es, que no tienen el deber de generar un documento </w:t>
      </w:r>
      <w:r w:rsidRPr="008A6ABF">
        <w:rPr>
          <w:rFonts w:ascii="Palatino Linotype" w:hAnsi="Palatino Linotype"/>
          <w:i/>
          <w:sz w:val="22"/>
        </w:rPr>
        <w:t>ad hoc</w:t>
      </w:r>
      <w:r w:rsidRPr="008A6ABF">
        <w:rPr>
          <w:rFonts w:ascii="Palatino Linotype" w:hAnsi="Palatino Linotype"/>
          <w:sz w:val="22"/>
        </w:rPr>
        <w:t xml:space="preserve">, para satisfacer el Derecho de Acceso a la </w:t>
      </w:r>
      <w:r w:rsidR="008258F9" w:rsidRPr="008A6ABF">
        <w:rPr>
          <w:rFonts w:ascii="Palatino Linotype" w:hAnsi="Palatino Linotype"/>
          <w:sz w:val="22"/>
        </w:rPr>
        <w:t>Información Pública</w:t>
      </w:r>
      <w:r w:rsidRPr="008A6ABF">
        <w:rPr>
          <w:rFonts w:ascii="Palatino Linotype" w:hAnsi="Palatino Linotype"/>
          <w:sz w:val="22"/>
        </w:rPr>
        <w:t>.</w:t>
      </w:r>
    </w:p>
    <w:p w14:paraId="42DBA185" w14:textId="77777777" w:rsidR="00BC0E3B" w:rsidRPr="008A6ABF" w:rsidRDefault="00BC0E3B" w:rsidP="00CF227C">
      <w:pPr>
        <w:autoSpaceDE w:val="0"/>
        <w:autoSpaceDN w:val="0"/>
        <w:adjustRightInd w:val="0"/>
        <w:spacing w:line="360" w:lineRule="auto"/>
        <w:ind w:right="49"/>
        <w:jc w:val="both"/>
        <w:rPr>
          <w:rFonts w:ascii="Palatino Linotype" w:hAnsi="Palatino Linotype"/>
          <w:sz w:val="22"/>
        </w:rPr>
      </w:pPr>
    </w:p>
    <w:p w14:paraId="7ED04AEC" w14:textId="77777777" w:rsidR="00BC0E3B" w:rsidRPr="008A6ABF" w:rsidRDefault="00BC0E3B" w:rsidP="00CF227C">
      <w:pPr>
        <w:autoSpaceDE w:val="0"/>
        <w:autoSpaceDN w:val="0"/>
        <w:adjustRightInd w:val="0"/>
        <w:spacing w:line="360" w:lineRule="auto"/>
        <w:ind w:right="49"/>
        <w:jc w:val="both"/>
        <w:rPr>
          <w:rFonts w:ascii="Palatino Linotype" w:hAnsi="Palatino Linotype"/>
          <w:sz w:val="22"/>
        </w:rPr>
      </w:pPr>
      <w:r w:rsidRPr="008A6ABF">
        <w:rPr>
          <w:rFonts w:ascii="Palatino Linotype" w:hAnsi="Palatino Linotype"/>
          <w:sz w:val="22"/>
        </w:rPr>
        <w:t xml:space="preserve">Como apoyo a lo anterior, es aplicable el Criterio 03-17, emitido por el Instituto Nacional de Transparencia, Acceso a la Información y Protección de Datos Personales (INAI), que dice: </w:t>
      </w:r>
    </w:p>
    <w:p w14:paraId="17D7373F" w14:textId="77777777" w:rsidR="00BC0E3B" w:rsidRPr="008A6ABF" w:rsidRDefault="00BC0E3B" w:rsidP="00CF227C">
      <w:pPr>
        <w:autoSpaceDE w:val="0"/>
        <w:autoSpaceDN w:val="0"/>
        <w:adjustRightInd w:val="0"/>
        <w:spacing w:line="360" w:lineRule="auto"/>
        <w:ind w:right="49"/>
        <w:jc w:val="both"/>
        <w:rPr>
          <w:rFonts w:ascii="Palatino Linotype" w:hAnsi="Palatino Linotype"/>
          <w:sz w:val="22"/>
        </w:rPr>
      </w:pPr>
    </w:p>
    <w:p w14:paraId="366F3AF0" w14:textId="1072B2B2" w:rsidR="00BC0E3B" w:rsidRPr="008A6ABF" w:rsidRDefault="00BC0E3B" w:rsidP="00F302E7">
      <w:pPr>
        <w:tabs>
          <w:tab w:val="left" w:pos="851"/>
        </w:tabs>
        <w:spacing w:line="360" w:lineRule="auto"/>
        <w:ind w:left="567" w:right="567"/>
        <w:jc w:val="both"/>
        <w:rPr>
          <w:rFonts w:ascii="Palatino Linotype" w:eastAsia="Palatino Linotype" w:hAnsi="Palatino Linotype" w:cs="Palatino Linotype"/>
          <w:i/>
          <w:sz w:val="20"/>
          <w:szCs w:val="22"/>
        </w:rPr>
      </w:pPr>
      <w:r w:rsidRPr="008A6ABF">
        <w:rPr>
          <w:rFonts w:ascii="Palatino Linotype" w:eastAsia="Palatino Linotype" w:hAnsi="Palatino Linotype" w:cs="Palatino Linotype"/>
          <w:i/>
          <w:sz w:val="20"/>
          <w:szCs w:val="22"/>
        </w:rPr>
        <w:t>“</w:t>
      </w:r>
      <w:r w:rsidRPr="008A6ABF">
        <w:rPr>
          <w:rFonts w:ascii="Palatino Linotype" w:eastAsia="Palatino Linotype" w:hAnsi="Palatino Linotype" w:cs="Palatino Linotype"/>
          <w:b/>
          <w:i/>
          <w:sz w:val="20"/>
          <w:szCs w:val="22"/>
        </w:rPr>
        <w:t>No existe obligación de elaborar documentos ad hoc para atender las solicitudes de acceso a la información</w:t>
      </w:r>
      <w:r w:rsidRPr="008A6ABF">
        <w:rPr>
          <w:rFonts w:ascii="Palatino Linotype" w:eastAsia="Palatino Linotype" w:hAnsi="Palatino Linotype" w:cs="Palatino Linotype"/>
          <w:i/>
          <w:sz w:val="20"/>
          <w:szCs w:val="22"/>
        </w:rPr>
        <w:t xml:space="preserve">. Los artículos 129 de la Ley General de Transparencia y Acceso a la </w:t>
      </w:r>
      <w:r w:rsidR="008258F9" w:rsidRPr="008A6ABF">
        <w:rPr>
          <w:rFonts w:ascii="Palatino Linotype" w:eastAsia="Palatino Linotype" w:hAnsi="Palatino Linotype" w:cs="Palatino Linotype"/>
          <w:i/>
          <w:sz w:val="20"/>
          <w:szCs w:val="22"/>
        </w:rPr>
        <w:t>Información Pública</w:t>
      </w:r>
      <w:r w:rsidRPr="008A6ABF">
        <w:rPr>
          <w:rFonts w:ascii="Palatino Linotype" w:eastAsia="Palatino Linotype" w:hAnsi="Palatino Linotype" w:cs="Palatino Linotype"/>
          <w:i/>
          <w:sz w:val="20"/>
          <w:szCs w:val="22"/>
        </w:rPr>
        <w:t xml:space="preserve"> y 130, párrafo cuarto, de la Ley Federal de Transparencia y Acceso a la </w:t>
      </w:r>
      <w:r w:rsidR="008258F9" w:rsidRPr="008A6ABF">
        <w:rPr>
          <w:rFonts w:ascii="Palatino Linotype" w:eastAsia="Palatino Linotype" w:hAnsi="Palatino Linotype" w:cs="Palatino Linotype"/>
          <w:i/>
          <w:sz w:val="20"/>
          <w:szCs w:val="22"/>
        </w:rPr>
        <w:t>Información Pública</w:t>
      </w:r>
      <w:r w:rsidRPr="008A6ABF">
        <w:rPr>
          <w:rFonts w:ascii="Palatino Linotype" w:eastAsia="Palatino Linotype" w:hAnsi="Palatino Linotype" w:cs="Palatino Linotype"/>
          <w:i/>
          <w:sz w:val="20"/>
          <w:szCs w:val="22"/>
        </w:rPr>
        <w:t>,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434D4DD" w14:textId="77777777" w:rsidR="00BC0E3B" w:rsidRPr="008A6ABF" w:rsidRDefault="00BC0E3B" w:rsidP="00CF227C">
      <w:pPr>
        <w:autoSpaceDE w:val="0"/>
        <w:autoSpaceDN w:val="0"/>
        <w:adjustRightInd w:val="0"/>
        <w:spacing w:line="360" w:lineRule="auto"/>
        <w:ind w:right="49"/>
        <w:jc w:val="both"/>
        <w:rPr>
          <w:rFonts w:ascii="Palatino Linotype" w:hAnsi="Palatino Linotype"/>
          <w:sz w:val="22"/>
        </w:rPr>
      </w:pPr>
    </w:p>
    <w:p w14:paraId="59D70DA8" w14:textId="3FB9BBA7" w:rsidR="00BC0E3B" w:rsidRPr="008A6ABF" w:rsidRDefault="00BC0E3B" w:rsidP="00CF227C">
      <w:pPr>
        <w:autoSpaceDE w:val="0"/>
        <w:autoSpaceDN w:val="0"/>
        <w:adjustRightInd w:val="0"/>
        <w:spacing w:line="360" w:lineRule="auto"/>
        <w:ind w:right="49"/>
        <w:jc w:val="both"/>
        <w:rPr>
          <w:rFonts w:ascii="Palatino Linotype" w:hAnsi="Palatino Linotype"/>
          <w:sz w:val="22"/>
        </w:rPr>
      </w:pPr>
      <w:r w:rsidRPr="008A6ABF">
        <w:rPr>
          <w:rFonts w:ascii="Palatino Linotype" w:hAnsi="Palatino Linotype"/>
          <w:sz w:val="22"/>
        </w:rPr>
        <w:t xml:space="preserve">En esta misma tesitura, y sin que suene contradictorio, el Derecho de Acceso a la </w:t>
      </w:r>
      <w:r w:rsidR="008258F9" w:rsidRPr="008A6ABF">
        <w:rPr>
          <w:rFonts w:ascii="Palatino Linotype" w:hAnsi="Palatino Linotype"/>
          <w:sz w:val="22"/>
        </w:rPr>
        <w:t>Información Pública</w:t>
      </w:r>
      <w:r w:rsidRPr="008A6ABF">
        <w:rPr>
          <w:rFonts w:ascii="Palatino Linotype" w:hAnsi="Palatino Linotype"/>
          <w:sz w:val="22"/>
        </w:rPr>
        <w:t xml:space="preserve"> subsiste s</w:t>
      </w:r>
      <w:r w:rsidR="00DB04F3">
        <w:rPr>
          <w:rFonts w:ascii="Palatino Linotype" w:hAnsi="Palatino Linotype"/>
          <w:sz w:val="22"/>
        </w:rPr>
        <w:t>ó</w:t>
      </w:r>
      <w:r w:rsidRPr="008A6ABF">
        <w:rPr>
          <w:rFonts w:ascii="Palatino Linotype" w:hAnsi="Palatino Linotype"/>
          <w:sz w:val="22"/>
        </w:rPr>
        <w:t xml:space="preserve">lo si la información solicitada consta en un soporte documental en </w:t>
      </w:r>
      <w:r w:rsidRPr="008A6ABF">
        <w:rPr>
          <w:rFonts w:ascii="Palatino Linotype" w:hAnsi="Palatino Linotype"/>
          <w:sz w:val="22"/>
        </w:rPr>
        <w:lastRenderedPageBreak/>
        <w:t xml:space="preserve">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A33CB09" w14:textId="77777777" w:rsidR="00BC0E3B" w:rsidRPr="008A6ABF" w:rsidRDefault="00BC0E3B" w:rsidP="00CF227C">
      <w:pPr>
        <w:autoSpaceDE w:val="0"/>
        <w:autoSpaceDN w:val="0"/>
        <w:adjustRightInd w:val="0"/>
        <w:spacing w:line="360" w:lineRule="auto"/>
        <w:ind w:right="49"/>
        <w:jc w:val="both"/>
        <w:rPr>
          <w:rFonts w:ascii="Palatino Linotype" w:hAnsi="Palatino Linotype"/>
          <w:sz w:val="22"/>
        </w:rPr>
      </w:pPr>
    </w:p>
    <w:p w14:paraId="2000EC6B" w14:textId="77777777" w:rsidR="00BC0E3B" w:rsidRPr="008A6ABF" w:rsidRDefault="00BC0E3B" w:rsidP="00F302E7">
      <w:pPr>
        <w:tabs>
          <w:tab w:val="left" w:pos="851"/>
        </w:tabs>
        <w:spacing w:line="360" w:lineRule="auto"/>
        <w:ind w:left="567" w:right="567"/>
        <w:jc w:val="both"/>
        <w:rPr>
          <w:rFonts w:ascii="Palatino Linotype" w:eastAsia="Palatino Linotype" w:hAnsi="Palatino Linotype" w:cs="Palatino Linotype"/>
          <w:i/>
          <w:sz w:val="20"/>
          <w:szCs w:val="22"/>
        </w:rPr>
      </w:pPr>
      <w:r w:rsidRPr="008A6ABF">
        <w:rPr>
          <w:rFonts w:ascii="Palatino Linotype" w:eastAsia="Palatino Linotype" w:hAnsi="Palatino Linotype" w:cs="Palatino Linotype"/>
          <w:i/>
          <w:sz w:val="20"/>
          <w:szCs w:val="22"/>
        </w:rPr>
        <w:t>“</w:t>
      </w:r>
      <w:r w:rsidRPr="008A6ABF">
        <w:rPr>
          <w:rFonts w:ascii="Palatino Linotype" w:eastAsia="Palatino Linotype" w:hAnsi="Palatino Linotype" w:cs="Palatino Linotype"/>
          <w:b/>
          <w:i/>
          <w:sz w:val="20"/>
          <w:szCs w:val="22"/>
        </w:rPr>
        <w:t>Artículo 3.</w:t>
      </w:r>
      <w:r w:rsidRPr="008A6ABF">
        <w:rPr>
          <w:rFonts w:ascii="Palatino Linotype" w:eastAsia="Palatino Linotype" w:hAnsi="Palatino Linotype" w:cs="Palatino Linotype"/>
          <w:i/>
          <w:sz w:val="20"/>
          <w:szCs w:val="22"/>
        </w:rPr>
        <w:t xml:space="preserve"> Para los efectos de la presente Ley se entenderá por:</w:t>
      </w:r>
    </w:p>
    <w:p w14:paraId="5E7A77AC" w14:textId="77777777" w:rsidR="00BC0E3B" w:rsidRPr="008A6ABF" w:rsidRDefault="00BC0E3B" w:rsidP="00F302E7">
      <w:pPr>
        <w:tabs>
          <w:tab w:val="left" w:pos="851"/>
        </w:tabs>
        <w:spacing w:line="360" w:lineRule="auto"/>
        <w:ind w:left="567" w:right="567"/>
        <w:jc w:val="both"/>
        <w:rPr>
          <w:rFonts w:ascii="Palatino Linotype" w:eastAsia="Palatino Linotype" w:hAnsi="Palatino Linotype" w:cs="Palatino Linotype"/>
          <w:i/>
          <w:sz w:val="20"/>
          <w:szCs w:val="22"/>
        </w:rPr>
      </w:pPr>
      <w:r w:rsidRPr="008A6ABF">
        <w:rPr>
          <w:rFonts w:ascii="Palatino Linotype" w:eastAsia="Palatino Linotype" w:hAnsi="Palatino Linotype" w:cs="Palatino Linotype"/>
          <w:i/>
          <w:sz w:val="20"/>
          <w:szCs w:val="22"/>
        </w:rPr>
        <w:t>…</w:t>
      </w:r>
    </w:p>
    <w:p w14:paraId="1B4DE12C" w14:textId="77777777" w:rsidR="00BC0E3B" w:rsidRPr="008A6ABF" w:rsidRDefault="00BC0E3B" w:rsidP="00F302E7">
      <w:pPr>
        <w:tabs>
          <w:tab w:val="left" w:pos="851"/>
        </w:tabs>
        <w:spacing w:line="360" w:lineRule="auto"/>
        <w:ind w:left="567" w:right="567"/>
        <w:jc w:val="both"/>
        <w:rPr>
          <w:rFonts w:ascii="Palatino Linotype" w:eastAsia="Palatino Linotype" w:hAnsi="Palatino Linotype" w:cs="Palatino Linotype"/>
          <w:i/>
          <w:sz w:val="20"/>
          <w:szCs w:val="22"/>
        </w:rPr>
      </w:pPr>
      <w:r w:rsidRPr="008A6ABF">
        <w:rPr>
          <w:rFonts w:ascii="Palatino Linotype" w:eastAsia="Palatino Linotype" w:hAnsi="Palatino Linotype" w:cs="Palatino Linotype"/>
          <w:b/>
          <w:i/>
          <w:sz w:val="20"/>
          <w:szCs w:val="22"/>
        </w:rPr>
        <w:t>XI. Documento</w:t>
      </w:r>
      <w:r w:rsidRPr="008A6ABF">
        <w:rPr>
          <w:rFonts w:ascii="Palatino Linotype" w:eastAsia="Palatino Linotype" w:hAnsi="Palatino Linotype" w:cs="Palatino Linotype"/>
          <w:i/>
          <w:sz w:val="20"/>
          <w:szCs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5C406BD" w14:textId="77777777" w:rsidR="00BC0E3B" w:rsidRPr="008A6ABF" w:rsidRDefault="00BC0E3B" w:rsidP="00F302E7">
      <w:pPr>
        <w:tabs>
          <w:tab w:val="left" w:pos="851"/>
        </w:tabs>
        <w:spacing w:line="360" w:lineRule="auto"/>
        <w:ind w:left="567" w:right="567"/>
        <w:jc w:val="both"/>
        <w:rPr>
          <w:rFonts w:ascii="Palatino Linotype" w:eastAsia="Palatino Linotype" w:hAnsi="Palatino Linotype" w:cs="Palatino Linotype"/>
          <w:i/>
          <w:sz w:val="20"/>
          <w:szCs w:val="22"/>
        </w:rPr>
      </w:pPr>
      <w:r w:rsidRPr="008A6ABF">
        <w:rPr>
          <w:rFonts w:ascii="Palatino Linotype" w:eastAsia="Palatino Linotype" w:hAnsi="Palatino Linotype" w:cs="Palatino Linotype"/>
          <w:i/>
          <w:sz w:val="20"/>
          <w:szCs w:val="22"/>
        </w:rPr>
        <w:t>…”</w:t>
      </w:r>
    </w:p>
    <w:p w14:paraId="1C434B84" w14:textId="77777777" w:rsidR="00BC0E3B" w:rsidRPr="008A6ABF" w:rsidRDefault="00BC0E3B" w:rsidP="00CF227C">
      <w:pPr>
        <w:tabs>
          <w:tab w:val="left" w:pos="851"/>
        </w:tabs>
        <w:spacing w:line="360" w:lineRule="auto"/>
        <w:ind w:left="851" w:right="901"/>
        <w:jc w:val="both"/>
        <w:rPr>
          <w:rFonts w:ascii="Palatino Linotype" w:eastAsia="Palatino Linotype" w:hAnsi="Palatino Linotype" w:cs="Palatino Linotype"/>
          <w:i/>
          <w:sz w:val="20"/>
          <w:szCs w:val="22"/>
        </w:rPr>
      </w:pPr>
    </w:p>
    <w:p w14:paraId="5CB4CC09" w14:textId="5360C145" w:rsidR="00BC0E3B" w:rsidRPr="008A6ABF" w:rsidRDefault="00DB04F3" w:rsidP="00CF227C">
      <w:pPr>
        <w:autoSpaceDE w:val="0"/>
        <w:autoSpaceDN w:val="0"/>
        <w:adjustRightInd w:val="0"/>
        <w:spacing w:line="360" w:lineRule="auto"/>
        <w:ind w:right="49"/>
        <w:jc w:val="both"/>
        <w:rPr>
          <w:rFonts w:ascii="Palatino Linotype" w:hAnsi="Palatino Linotype"/>
          <w:sz w:val="22"/>
        </w:rPr>
      </w:pPr>
      <w:r>
        <w:rPr>
          <w:rFonts w:ascii="Palatino Linotype" w:hAnsi="Palatino Linotype"/>
          <w:sz w:val="22"/>
        </w:rPr>
        <w:t>Es</w:t>
      </w:r>
      <w:r w:rsidR="00BC0E3B" w:rsidRPr="008A6ABF">
        <w:rPr>
          <w:rFonts w:ascii="Palatino Linotype" w:hAnsi="Palatino Linotype"/>
          <w:sz w:val="22"/>
        </w:rPr>
        <w:t xml:space="preserve"> aplicable el Criterio de interpretación en el orden administrativo número 0002-11, emitido por Acuerdo del Pleno del Instituto de Transparencia y Acceso a la </w:t>
      </w:r>
      <w:r w:rsidR="008258F9" w:rsidRPr="008A6ABF">
        <w:rPr>
          <w:rFonts w:ascii="Palatino Linotype" w:hAnsi="Palatino Linotype"/>
          <w:sz w:val="22"/>
        </w:rPr>
        <w:t>Información Pública</w:t>
      </w:r>
      <w:r w:rsidR="00BC0E3B" w:rsidRPr="008A6ABF">
        <w:rPr>
          <w:rFonts w:ascii="Palatino Linotype" w:hAnsi="Palatino Linotype"/>
          <w:sz w:val="22"/>
        </w:rPr>
        <w:t xml:space="preserve"> del Estado de México y Municipios; publicado en el Periódico Oficial del Gobierno del Estado Libre y Soberano de México “Gaceta del Gobierno”, el diecinueve de octubre de dos mil once, cuyo rubro y texto dispone:</w:t>
      </w:r>
    </w:p>
    <w:p w14:paraId="1F04613E" w14:textId="77777777" w:rsidR="00BC0E3B" w:rsidRPr="008A6ABF" w:rsidRDefault="00BC0E3B" w:rsidP="00CF227C">
      <w:pPr>
        <w:autoSpaceDE w:val="0"/>
        <w:autoSpaceDN w:val="0"/>
        <w:adjustRightInd w:val="0"/>
        <w:spacing w:line="360" w:lineRule="auto"/>
        <w:ind w:right="49"/>
        <w:jc w:val="both"/>
        <w:rPr>
          <w:rFonts w:ascii="Palatino Linotype" w:hAnsi="Palatino Linotype"/>
          <w:sz w:val="22"/>
        </w:rPr>
      </w:pPr>
    </w:p>
    <w:p w14:paraId="0613578D" w14:textId="77777777" w:rsidR="00BC0E3B" w:rsidRPr="008A6ABF" w:rsidRDefault="00BC0E3B" w:rsidP="00F302E7">
      <w:pPr>
        <w:tabs>
          <w:tab w:val="left" w:pos="851"/>
        </w:tabs>
        <w:spacing w:line="360" w:lineRule="auto"/>
        <w:ind w:left="567" w:right="567"/>
        <w:jc w:val="both"/>
        <w:rPr>
          <w:rFonts w:ascii="Palatino Linotype" w:eastAsia="Palatino Linotype" w:hAnsi="Palatino Linotype" w:cs="Palatino Linotype"/>
          <w:b/>
          <w:i/>
          <w:sz w:val="20"/>
          <w:szCs w:val="22"/>
        </w:rPr>
      </w:pPr>
      <w:r w:rsidRPr="008A6ABF">
        <w:rPr>
          <w:rFonts w:ascii="Palatino Linotype" w:hAnsi="Palatino Linotype" w:cs="Arial"/>
          <w:b/>
          <w:sz w:val="22"/>
          <w:szCs w:val="22"/>
          <w:lang w:eastAsia="es-MX"/>
        </w:rPr>
        <w:t>“</w:t>
      </w:r>
      <w:r w:rsidRPr="008A6ABF">
        <w:rPr>
          <w:rFonts w:ascii="Palatino Linotype" w:eastAsia="Palatino Linotype" w:hAnsi="Palatino Linotype" w:cs="Palatino Linotype"/>
          <w:b/>
          <w:i/>
          <w:sz w:val="20"/>
          <w:szCs w:val="22"/>
        </w:rPr>
        <w:t>CRITERIO 0002-11</w:t>
      </w:r>
    </w:p>
    <w:p w14:paraId="2F126F66" w14:textId="55E2C06A" w:rsidR="00BC0E3B" w:rsidRPr="008A6ABF" w:rsidRDefault="008258F9" w:rsidP="00F302E7">
      <w:pPr>
        <w:tabs>
          <w:tab w:val="left" w:pos="851"/>
        </w:tabs>
        <w:spacing w:line="360" w:lineRule="auto"/>
        <w:ind w:left="567" w:right="567"/>
        <w:jc w:val="both"/>
        <w:rPr>
          <w:rFonts w:ascii="Palatino Linotype" w:eastAsia="Palatino Linotype" w:hAnsi="Palatino Linotype" w:cs="Palatino Linotype"/>
          <w:i/>
          <w:sz w:val="20"/>
          <w:szCs w:val="22"/>
        </w:rPr>
      </w:pPr>
      <w:r w:rsidRPr="008A6ABF">
        <w:rPr>
          <w:rFonts w:ascii="Palatino Linotype" w:eastAsia="Palatino Linotype" w:hAnsi="Palatino Linotype" w:cs="Palatino Linotype"/>
          <w:b/>
          <w:i/>
          <w:sz w:val="20"/>
          <w:szCs w:val="22"/>
        </w:rPr>
        <w:t>INFORMACIÓN PÚBLICA</w:t>
      </w:r>
      <w:r w:rsidR="00BC0E3B" w:rsidRPr="008A6ABF">
        <w:rPr>
          <w:rFonts w:ascii="Palatino Linotype" w:eastAsia="Palatino Linotype" w:hAnsi="Palatino Linotype" w:cs="Palatino Linotype"/>
          <w:b/>
          <w:i/>
          <w:sz w:val="20"/>
          <w:szCs w:val="22"/>
        </w:rPr>
        <w:t xml:space="preserve">, CONCEPTO DE, EN MATERIA DE TRANSPARENCIA. INTERPRETACIÓN SISTEMÁTICA DE LOS ARTÍCULOS 2°, FRACCIÓN V, XV, Y XVI, </w:t>
      </w:r>
      <w:r w:rsidR="00BC0E3B" w:rsidRPr="008A6ABF">
        <w:rPr>
          <w:rFonts w:ascii="Palatino Linotype" w:eastAsia="Palatino Linotype" w:hAnsi="Palatino Linotype" w:cs="Palatino Linotype"/>
          <w:b/>
          <w:i/>
          <w:sz w:val="20"/>
          <w:szCs w:val="22"/>
        </w:rPr>
        <w:lastRenderedPageBreak/>
        <w:t xml:space="preserve">3°, 4°, 11 Y 41. </w:t>
      </w:r>
      <w:r w:rsidR="00BC0E3B" w:rsidRPr="008A6ABF">
        <w:rPr>
          <w:rFonts w:ascii="Palatino Linotype" w:eastAsia="Palatino Linotype" w:hAnsi="Palatino Linotype" w:cs="Palatino Linotype"/>
          <w:i/>
          <w:sz w:val="20"/>
          <w:szCs w:val="22"/>
        </w:rPr>
        <w:t xml:space="preserve">De conformidad con los artículos antes referidos, el derecho de acceso a la </w:t>
      </w:r>
      <w:r w:rsidRPr="008A6ABF">
        <w:rPr>
          <w:rFonts w:ascii="Palatino Linotype" w:eastAsia="Palatino Linotype" w:hAnsi="Palatino Linotype" w:cs="Palatino Linotype"/>
          <w:i/>
          <w:sz w:val="20"/>
          <w:szCs w:val="22"/>
        </w:rPr>
        <w:t>Información Pública</w:t>
      </w:r>
      <w:r w:rsidR="00BC0E3B" w:rsidRPr="008A6ABF">
        <w:rPr>
          <w:rFonts w:ascii="Palatino Linotype" w:eastAsia="Palatino Linotype" w:hAnsi="Palatino Linotype" w:cs="Palatino Linotype"/>
          <w:i/>
          <w:sz w:val="20"/>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1487837" w14:textId="77777777" w:rsidR="00BC0E3B" w:rsidRPr="008A6ABF" w:rsidRDefault="00BC0E3B" w:rsidP="00F302E7">
      <w:pPr>
        <w:tabs>
          <w:tab w:val="left" w:pos="851"/>
        </w:tabs>
        <w:spacing w:line="360" w:lineRule="auto"/>
        <w:ind w:left="567" w:right="567"/>
        <w:jc w:val="both"/>
        <w:rPr>
          <w:rFonts w:ascii="Palatino Linotype" w:eastAsia="Palatino Linotype" w:hAnsi="Palatino Linotype" w:cs="Palatino Linotype"/>
          <w:i/>
          <w:sz w:val="20"/>
          <w:szCs w:val="22"/>
        </w:rPr>
      </w:pPr>
      <w:r w:rsidRPr="008A6ABF">
        <w:rPr>
          <w:rFonts w:ascii="Palatino Linotype" w:eastAsia="Palatino Linotype" w:hAnsi="Palatino Linotype" w:cs="Palatino Linotype"/>
          <w:i/>
          <w:sz w:val="20"/>
          <w:szCs w:val="22"/>
        </w:rPr>
        <w:t>En consecuencia el acceso a la información se refiere a que se cumplan cualquiera de los siguientes tres supuestos:</w:t>
      </w:r>
    </w:p>
    <w:p w14:paraId="0438BFDC" w14:textId="77777777" w:rsidR="00BC0E3B" w:rsidRPr="008A6ABF" w:rsidRDefault="00BC0E3B" w:rsidP="00F302E7">
      <w:pPr>
        <w:tabs>
          <w:tab w:val="left" w:pos="851"/>
        </w:tabs>
        <w:spacing w:line="360" w:lineRule="auto"/>
        <w:ind w:left="567" w:right="567"/>
        <w:jc w:val="both"/>
        <w:rPr>
          <w:rFonts w:ascii="Palatino Linotype" w:eastAsia="Palatino Linotype" w:hAnsi="Palatino Linotype" w:cs="Palatino Linotype"/>
          <w:i/>
          <w:sz w:val="20"/>
          <w:szCs w:val="22"/>
        </w:rPr>
      </w:pPr>
      <w:r w:rsidRPr="008A6ABF">
        <w:rPr>
          <w:rFonts w:ascii="Palatino Linotype" w:eastAsia="Palatino Linotype" w:hAnsi="Palatino Linotype" w:cs="Palatino Linotype"/>
          <w:i/>
          <w:sz w:val="20"/>
          <w:szCs w:val="22"/>
        </w:rPr>
        <w:t>1) Que se trate de información registrada en cualquier soporte documental, que en ejercicio de las atribuciones conferidas, sea generada por los Sujetos Obligados;</w:t>
      </w:r>
    </w:p>
    <w:p w14:paraId="1025015D" w14:textId="77777777" w:rsidR="00BC0E3B" w:rsidRPr="008A6ABF" w:rsidRDefault="00BC0E3B" w:rsidP="00F302E7">
      <w:pPr>
        <w:tabs>
          <w:tab w:val="left" w:pos="851"/>
        </w:tabs>
        <w:spacing w:line="360" w:lineRule="auto"/>
        <w:ind w:left="567" w:right="567"/>
        <w:jc w:val="both"/>
        <w:rPr>
          <w:rFonts w:ascii="Palatino Linotype" w:eastAsia="Palatino Linotype" w:hAnsi="Palatino Linotype" w:cs="Palatino Linotype"/>
          <w:i/>
          <w:sz w:val="20"/>
          <w:szCs w:val="22"/>
          <w:specVanish/>
        </w:rPr>
      </w:pPr>
      <w:r w:rsidRPr="008A6ABF">
        <w:rPr>
          <w:rFonts w:ascii="Palatino Linotype" w:eastAsia="Palatino Linotype" w:hAnsi="Palatino Linotype" w:cs="Palatino Linotype"/>
          <w:i/>
          <w:sz w:val="20"/>
          <w:szCs w:val="22"/>
        </w:rPr>
        <w:t>2) Que se trate de información registrada en cualquier soporte documental, que en ejercicio de las atribuciones conferidas, sea administrada por los Sujetos Obligados, y</w:t>
      </w:r>
    </w:p>
    <w:p w14:paraId="76B2073A" w14:textId="41E35878" w:rsidR="00BC0E3B" w:rsidRPr="008A6ABF" w:rsidRDefault="00BC0E3B" w:rsidP="00F302E7">
      <w:pPr>
        <w:tabs>
          <w:tab w:val="left" w:pos="851"/>
        </w:tabs>
        <w:spacing w:line="360" w:lineRule="auto"/>
        <w:ind w:left="567" w:right="567"/>
        <w:jc w:val="both"/>
        <w:rPr>
          <w:rFonts w:ascii="Palatino Linotype" w:eastAsia="Palatino Linotype" w:hAnsi="Palatino Linotype" w:cs="Palatino Linotype"/>
          <w:i/>
          <w:sz w:val="20"/>
          <w:szCs w:val="22"/>
        </w:rPr>
      </w:pPr>
      <w:r w:rsidRPr="008A6ABF">
        <w:rPr>
          <w:rFonts w:ascii="Palatino Linotype" w:eastAsia="Palatino Linotype" w:hAnsi="Palatino Linotype" w:cs="Palatino Linotype"/>
          <w:i/>
          <w:sz w:val="20"/>
          <w:szCs w:val="22"/>
        </w:rPr>
        <w:t xml:space="preserve"> 3) Que se trate de información registrada en cualquier soporte documental, que en ejercicio de las atribuciones conferidas, se encuentre en posesión de los Sujetos Obligados.” </w:t>
      </w:r>
    </w:p>
    <w:p w14:paraId="26CC2FFC" w14:textId="77777777" w:rsidR="00BC0E3B" w:rsidRPr="008A6ABF" w:rsidRDefault="00BC0E3B" w:rsidP="00CF227C">
      <w:pPr>
        <w:autoSpaceDE w:val="0"/>
        <w:autoSpaceDN w:val="0"/>
        <w:adjustRightInd w:val="0"/>
        <w:spacing w:line="360" w:lineRule="auto"/>
        <w:ind w:right="49"/>
        <w:jc w:val="both"/>
        <w:rPr>
          <w:rFonts w:ascii="Palatino Linotype" w:hAnsi="Palatino Linotype"/>
          <w:sz w:val="22"/>
        </w:rPr>
      </w:pPr>
    </w:p>
    <w:p w14:paraId="0259B064" w14:textId="77777777" w:rsidR="00141578" w:rsidRPr="008A6ABF" w:rsidRDefault="00141578" w:rsidP="00CF227C">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8A6ABF">
        <w:rPr>
          <w:rFonts w:ascii="Palatino Linotype" w:eastAsia="Palatino Linotype" w:hAnsi="Palatino Linotype" w:cs="Palatino Linotype"/>
          <w:color w:val="000000"/>
          <w:sz w:val="22"/>
          <w:szCs w:val="22"/>
        </w:rPr>
        <w:t xml:space="preserve">Una vez establecido lo que debe entenderse por derecho de acceso a la información y que el mismo debe constar en documentos, es que resulta importante </w:t>
      </w:r>
      <w:r w:rsidR="0039055A" w:rsidRPr="008A6ABF">
        <w:rPr>
          <w:rFonts w:ascii="Palatino Linotype" w:eastAsia="Palatino Linotype" w:hAnsi="Palatino Linotype" w:cs="Palatino Linotype"/>
          <w:color w:val="000000"/>
          <w:sz w:val="22"/>
          <w:szCs w:val="22"/>
        </w:rPr>
        <w:t xml:space="preserve">traer a contexto lo establecido por </w:t>
      </w:r>
      <w:r w:rsidRPr="008A6ABF">
        <w:rPr>
          <w:rFonts w:ascii="Palatino Linotype" w:hAnsi="Palatino Linotype"/>
          <w:color w:val="000000"/>
          <w:sz w:val="22"/>
          <w:szCs w:val="22"/>
        </w:rPr>
        <w:t>Ley del Trabajo de los Servidores Públicos del Estado y Municipios</w:t>
      </w:r>
      <w:r w:rsidRPr="008A6ABF">
        <w:rPr>
          <w:rFonts w:ascii="Palatino Linotype" w:eastAsia="Palatino Linotype" w:hAnsi="Palatino Linotype" w:cs="Palatino Linotype"/>
          <w:color w:val="000000"/>
          <w:sz w:val="22"/>
          <w:szCs w:val="22"/>
        </w:rPr>
        <w:t>, sobre la term</w:t>
      </w:r>
      <w:r w:rsidR="0039055A" w:rsidRPr="008A6ABF">
        <w:rPr>
          <w:rFonts w:ascii="Palatino Linotype" w:eastAsia="Palatino Linotype" w:hAnsi="Palatino Linotype" w:cs="Palatino Linotype"/>
          <w:color w:val="000000"/>
          <w:sz w:val="22"/>
          <w:szCs w:val="22"/>
        </w:rPr>
        <w:t>inación de la relación laboral, lo siguiente</w:t>
      </w:r>
      <w:r w:rsidRPr="008A6ABF">
        <w:rPr>
          <w:rFonts w:ascii="Palatino Linotype" w:eastAsia="Palatino Linotype" w:hAnsi="Palatino Linotype" w:cs="Palatino Linotype"/>
          <w:color w:val="000000"/>
          <w:sz w:val="22"/>
          <w:szCs w:val="22"/>
        </w:rPr>
        <w:t xml:space="preserve">: </w:t>
      </w:r>
    </w:p>
    <w:p w14:paraId="45D097A3" w14:textId="77777777" w:rsidR="00141578" w:rsidRPr="008A6ABF" w:rsidRDefault="00141578" w:rsidP="00CF227C">
      <w:pPr>
        <w:pBdr>
          <w:top w:val="nil"/>
          <w:left w:val="nil"/>
          <w:bottom w:val="nil"/>
          <w:right w:val="nil"/>
          <w:between w:val="nil"/>
        </w:pBdr>
        <w:spacing w:line="360" w:lineRule="auto"/>
        <w:jc w:val="both"/>
        <w:rPr>
          <w:rFonts w:ascii="Palatino Linotype" w:eastAsia="Palatino Linotype" w:hAnsi="Palatino Linotype" w:cs="Palatino Linotype"/>
        </w:rPr>
      </w:pPr>
    </w:p>
    <w:p w14:paraId="6E56219B"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b/>
          <w:i/>
          <w:color w:val="000000"/>
          <w:sz w:val="20"/>
          <w:szCs w:val="20"/>
        </w:rPr>
      </w:pPr>
      <w:r w:rsidRPr="008A6ABF">
        <w:rPr>
          <w:rFonts w:ascii="Palatino Linotype" w:eastAsia="Palatino Linotype" w:hAnsi="Palatino Linotype" w:cs="Palatino Linotype"/>
          <w:b/>
          <w:i/>
          <w:color w:val="000000"/>
          <w:sz w:val="20"/>
          <w:szCs w:val="20"/>
        </w:rPr>
        <w:t xml:space="preserve">De la Terminación de la Relación Laboral </w:t>
      </w:r>
    </w:p>
    <w:p w14:paraId="79541C89"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b/>
          <w:i/>
          <w:color w:val="000000"/>
          <w:sz w:val="20"/>
          <w:szCs w:val="20"/>
        </w:rPr>
        <w:t>ARTÍCULO 89</w:t>
      </w:r>
      <w:r w:rsidRPr="008A6ABF">
        <w:rPr>
          <w:rFonts w:ascii="Palatino Linotype" w:eastAsia="Palatino Linotype" w:hAnsi="Palatino Linotype" w:cs="Palatino Linotype"/>
          <w:i/>
          <w:color w:val="000000"/>
          <w:sz w:val="20"/>
          <w:szCs w:val="20"/>
        </w:rPr>
        <w:t xml:space="preserve">. Son causas de terminación de la relación laboral sin responsabilidad para las instituciones públicas: </w:t>
      </w:r>
    </w:p>
    <w:p w14:paraId="2AD79CE5"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I. La renuncia del servidor público; </w:t>
      </w:r>
    </w:p>
    <w:p w14:paraId="2CAAD10A"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II. El mutuo consentimiento de las partes; </w:t>
      </w:r>
    </w:p>
    <w:p w14:paraId="302229ED"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III. El vencimiento del término o conclusión de la obra determinantes de la contratación; </w:t>
      </w:r>
    </w:p>
    <w:p w14:paraId="29AF32E7"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IV. El término o conclusión de la administración en la cual fue contratado el servidor público a que se refiere el artículo 8 de ésta Ley; </w:t>
      </w:r>
    </w:p>
    <w:p w14:paraId="41409E89"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V. La muerte del servidor público; y </w:t>
      </w:r>
    </w:p>
    <w:p w14:paraId="670EC6B5"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rPr>
      </w:pPr>
      <w:r w:rsidRPr="008A6ABF">
        <w:rPr>
          <w:rFonts w:ascii="Palatino Linotype" w:eastAsia="Palatino Linotype" w:hAnsi="Palatino Linotype" w:cs="Palatino Linotype"/>
          <w:i/>
          <w:color w:val="000000"/>
          <w:sz w:val="20"/>
          <w:szCs w:val="20"/>
        </w:rPr>
        <w:lastRenderedPageBreak/>
        <w:t>VI. La incapacidad permanente del servidor público que le impida el desempeño de sus labores.</w:t>
      </w:r>
    </w:p>
    <w:p w14:paraId="3CE9FEE5" w14:textId="77777777" w:rsidR="00141578" w:rsidRPr="008A6ABF" w:rsidRDefault="00141578" w:rsidP="00F302E7">
      <w:pPr>
        <w:spacing w:line="360" w:lineRule="auto"/>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t>También, el referido ordenamiento legal señala las causas de rescisió</w:t>
      </w:r>
      <w:r w:rsidR="0039055A" w:rsidRPr="008A6ABF">
        <w:rPr>
          <w:rFonts w:ascii="Palatino Linotype" w:eastAsia="Palatino Linotype" w:hAnsi="Palatino Linotype" w:cs="Palatino Linotype"/>
          <w:sz w:val="22"/>
          <w:szCs w:val="22"/>
        </w:rPr>
        <w:t xml:space="preserve">n de la relación laboral, en sus </w:t>
      </w:r>
      <w:r w:rsidRPr="008A6ABF">
        <w:rPr>
          <w:rFonts w:ascii="Palatino Linotype" w:eastAsia="Palatino Linotype" w:hAnsi="Palatino Linotype" w:cs="Palatino Linotype"/>
          <w:sz w:val="22"/>
          <w:szCs w:val="22"/>
        </w:rPr>
        <w:t>artículo</w:t>
      </w:r>
      <w:r w:rsidR="0039055A" w:rsidRPr="008A6ABF">
        <w:rPr>
          <w:rFonts w:ascii="Palatino Linotype" w:eastAsia="Palatino Linotype" w:hAnsi="Palatino Linotype" w:cs="Palatino Linotype"/>
          <w:sz w:val="22"/>
          <w:szCs w:val="22"/>
        </w:rPr>
        <w:t>s 93 y 95 los</w:t>
      </w:r>
      <w:r w:rsidRPr="008A6ABF">
        <w:rPr>
          <w:rFonts w:ascii="Palatino Linotype" w:eastAsia="Palatino Linotype" w:hAnsi="Palatino Linotype" w:cs="Palatino Linotype"/>
          <w:sz w:val="22"/>
          <w:szCs w:val="22"/>
        </w:rPr>
        <w:t xml:space="preserve"> cuales son las siguientes:</w:t>
      </w:r>
    </w:p>
    <w:p w14:paraId="77E47BAB" w14:textId="77777777" w:rsidR="00141578" w:rsidRPr="008A6ABF" w:rsidRDefault="00141578" w:rsidP="00CF227C">
      <w:pPr>
        <w:spacing w:line="360" w:lineRule="auto"/>
        <w:ind w:left="567" w:right="616"/>
        <w:jc w:val="both"/>
        <w:rPr>
          <w:rFonts w:ascii="Palatino Linotype" w:eastAsia="Palatino Linotype" w:hAnsi="Palatino Linotype" w:cs="Palatino Linotype"/>
        </w:rPr>
      </w:pPr>
    </w:p>
    <w:p w14:paraId="13693F38"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w:t>
      </w:r>
      <w:r w:rsidRPr="008A6ABF">
        <w:rPr>
          <w:rFonts w:ascii="Palatino Linotype" w:eastAsia="Palatino Linotype" w:hAnsi="Palatino Linotype" w:cs="Palatino Linotype"/>
          <w:b/>
          <w:i/>
          <w:color w:val="000000"/>
          <w:sz w:val="20"/>
          <w:szCs w:val="20"/>
        </w:rPr>
        <w:t>ARTÍCULO 93</w:t>
      </w:r>
      <w:r w:rsidRPr="008A6ABF">
        <w:rPr>
          <w:rFonts w:ascii="Palatino Linotype" w:eastAsia="Palatino Linotype" w:hAnsi="Palatino Linotype" w:cs="Palatino Linotype"/>
          <w:i/>
          <w:color w:val="000000"/>
          <w:sz w:val="20"/>
          <w:szCs w:val="20"/>
        </w:rPr>
        <w:t>. Son causas de rescisión de la relación laboral, sin responsabilidad para las instituciones públicas:</w:t>
      </w:r>
    </w:p>
    <w:p w14:paraId="47AAF0A1"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I. Engañar el servidor público con documentación o referencias falsas que le atribuyan capacidad, aptitudes o grados académicos de los que carezca.</w:t>
      </w:r>
    </w:p>
    <w:p w14:paraId="03DE2D8E"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Esta causa dejará de tener efecto después de treinta días naturales de conocido el hecho;</w:t>
      </w:r>
    </w:p>
    <w:p w14:paraId="7D86449F"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II. Tener asignada más de una plaza en la misma o en diferentes instituciones públicas o dependencias, con las excepciones que esta ley señala, o bien cobrar un sueldo sin desempeñar funciones;</w:t>
      </w:r>
    </w:p>
    <w:p w14:paraId="23039621"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III. Incurrir durante sus labores en faltas de probidad u honradez, o bien en actos de violencia, amenazas, injurias o malos tratos en contra de sus superiores, compañeros o familiares de unos u otros, ya sea dentro o fuera de las horas de servicio, salvo que obre en defensa propia;</w:t>
      </w:r>
    </w:p>
    <w:p w14:paraId="5BA327F5"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IV. Incurrir en cuatro o más faltas de asistencia a sus labores sin causa justificada, dentro de un lapso de treinta días;</w:t>
      </w:r>
    </w:p>
    <w:p w14:paraId="1D40D625"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V. Abandonar las labores sin autorización previa o razón plenamente justificada, en contravención a lo establecido en las condiciones generales de trabajo;</w:t>
      </w:r>
    </w:p>
    <w:p w14:paraId="5B6411BF"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VI. Causar daños intencionalmente a edificios, obras, equipo, maquinaria, instrumentos, materias primas y demás objetos relacionados con el trabajo, o por sustraerlos en beneficio propio;</w:t>
      </w:r>
    </w:p>
    <w:p w14:paraId="2909B118"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VII. Cometer actos inmorales durante el trabajo;</w:t>
      </w:r>
    </w:p>
    <w:p w14:paraId="73DB9DFD"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VIII. Revelar los asuntos confidenciales o reservados así calificados por la institución pública o dependencia donde labore, de los cuales tuviese conocimiento con motivo de su trabajo;</w:t>
      </w:r>
    </w:p>
    <w:p w14:paraId="4B48DC8F"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IX. Comprometer por su imprudencia, descuido o negligencia, la seguridad del taller, oficina o dependencia donde preste sus servicios o de las personas que ahí se encuentren;</w:t>
      </w:r>
    </w:p>
    <w:p w14:paraId="45423849"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X. Desobedecer sin justificación, las órdenes que reciba de sus superiores, en relación al trabajo que desempeñe;</w:t>
      </w:r>
    </w:p>
    <w:p w14:paraId="1876164C"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lastRenderedPageBreak/>
        <w:t>XI. Concurrir al trabajo en estado de embriaguez, o bien bajo la influencia de algún narcótico o droga enervante, salvo que en éste último caso, exista prescripción médica, la que deberá presentar al superior jerárquico antes de iniciar las labores;</w:t>
      </w:r>
    </w:p>
    <w:p w14:paraId="054229EB"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XII. Portar armas de cualquier clase durante las horas de trabajo, salvo que la naturaleza de éste lo exija;</w:t>
      </w:r>
    </w:p>
    <w:p w14:paraId="564EDAB6"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XIII. Suspender las labores en el caso previsto en el artículo 176 de esta ley o suspenderlas sin la debida autorización;</w:t>
      </w:r>
    </w:p>
    <w:p w14:paraId="2A2956C1"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XIV. Incumplir reiteradamente disposiciones establecidas en las condiciones generales de trabajo de la institución pública o dependencia respectiva que constituyan faltas graves;</w:t>
      </w:r>
    </w:p>
    <w:p w14:paraId="0EF1ED67"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XV. Ser condenado a prisión como resultado de una sentencia ejecutoriada, que le impida el cumplimiento de la relación de trabajo.</w:t>
      </w:r>
    </w:p>
    <w:p w14:paraId="722D403D"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XVI. Portar y hacer uso de credenciales de identificación no autorizadas por la autoridad competente;</w:t>
      </w:r>
    </w:p>
    <w:p w14:paraId="4D064A5D"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XVII. Sustraer tarjetas o listas de puntualidad y asistencia del lugar destinado para ello, ya sea la del propio servidor público o la de otro, utilizar o registrar asistencia con gafete credencial o tarjeta distinto al suyo o alterar en cualquier forma los registros de control de puntualidad y asistencia; siempre y cuando no sea resultado de un error involuntario;</w:t>
      </w:r>
    </w:p>
    <w:p w14:paraId="055FA256"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XVIII. Las análogas a las establecidas en las fracciones anteriores, de igual manera graves y de consecuencias semejantes en lo que al trabajo se refiere; e XIX. Incurrir en actos de violencia laboral, entendiéndose por éstos los relativos a discriminación, acoso u hostigamiento sexual.</w:t>
      </w:r>
    </w:p>
    <w:p w14:paraId="40E37AD5"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Para los efectos de la presente fracción se entiende por: A. Acoso sexual, es una forma de violencia en la que, si bien no existe la subordinación, hay un ejercicio abusivo de poder que conlleva a un estado de indefensión y de riesgo para la víctima, independientemente de que se realice en uno o varios eventos; y</w:t>
      </w:r>
    </w:p>
    <w:p w14:paraId="71EC230E"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B. Hostigamiento sexual, es el ejercicio del poder, en una relación de subordinación real de la víctima frente a la persona agresora en los ámbitos laboral y/o escolar. Se expresa en conductas verbales o no verbales, físicas o ambas, relacionadas con la sexualidad de connotación lasciva.</w:t>
      </w:r>
    </w:p>
    <w:p w14:paraId="0B09BC96"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XX. La falta de requisitos que exijan las leyes y reglamentos, necesarios para la prestación del servicio cuando sea imputable al trabajador, desde la fecha en que el patrón tenga conocimiento del hecho, hast</w:t>
      </w:r>
      <w:r w:rsidR="0039055A" w:rsidRPr="008A6ABF">
        <w:rPr>
          <w:rFonts w:ascii="Palatino Linotype" w:eastAsia="Palatino Linotype" w:hAnsi="Palatino Linotype" w:cs="Palatino Linotype"/>
          <w:i/>
          <w:color w:val="000000"/>
          <w:sz w:val="20"/>
          <w:szCs w:val="20"/>
        </w:rPr>
        <w:t>a por un periodo de dos meses.</w:t>
      </w:r>
    </w:p>
    <w:p w14:paraId="4E2EEFBB"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b/>
          <w:i/>
          <w:color w:val="000000"/>
          <w:sz w:val="20"/>
          <w:szCs w:val="20"/>
        </w:rPr>
        <w:lastRenderedPageBreak/>
        <w:t>ARTÍCULO 95</w:t>
      </w:r>
      <w:r w:rsidRPr="008A6ABF">
        <w:rPr>
          <w:rFonts w:ascii="Palatino Linotype" w:eastAsia="Palatino Linotype" w:hAnsi="Palatino Linotype" w:cs="Palatino Linotype"/>
          <w:i/>
          <w:color w:val="000000"/>
          <w:sz w:val="20"/>
          <w:szCs w:val="20"/>
        </w:rPr>
        <w:t>. Son causas de rescisión de la relación laboral, sin responsabilidad para el servidor público:</w:t>
      </w:r>
    </w:p>
    <w:p w14:paraId="79AFB7B7"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I. Engañarlo la institución pública o dependencia en relación a las condiciones en que se le ofreció el trabajo. Esta causa dejará de tener efecto después de 30 días naturales a partir de su incorporación al servicio;</w:t>
      </w:r>
    </w:p>
    <w:p w14:paraId="6527DF10"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II. Incurrir alguno de sus superiores jerárquicos o personal directivo, o bien familiares de éstos, en faltas de probidad u honradez, actos de violencia, amenazas, injurias, malos tratos, violencia laboral u otros análogos, en contra del servidor público, su cónyuge, concubina o concubinario, padres, hijos o hermanos;</w:t>
      </w:r>
    </w:p>
    <w:p w14:paraId="45A5651E"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III. Incumplir la institución pública o dependencia las condiciones laborales y salariales acordadas para el desempeño de sus funciones y las que estipula esta ley;</w:t>
      </w:r>
    </w:p>
    <w:p w14:paraId="752516D9"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IV. Existir peligro grave para la seguridad o salud del servidor público por carecer de condiciones higiénicas en su lugar de trabajo o no cumplirse las medidas preventivas y de seguridad que las leyes establezcan;</w:t>
      </w:r>
    </w:p>
    <w:p w14:paraId="2AEA72B4"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V. No inscribirlo en el Instituto de Seguridad Social del Estado de México y Municipios o no cubrir a éste las aportaciones que le correspondan; y</w:t>
      </w:r>
    </w:p>
    <w:p w14:paraId="7F3F1E35"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VI. Las análogas a las establecidas en las fracciones anteriores, de igual manera graves y de consecuencias semejantes.</w:t>
      </w:r>
    </w:p>
    <w:p w14:paraId="3376C7A6"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En estos casos, el servidor público podrá separarse de su trabajo dentro de los treinta días siguientes a la fecha en que se dé cualquiera de las causas y tendrá derecho a que la institución pública 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 a laborar en un municipio o institución pública de los poderes del Estado o cualquier organismo estatal, siempre y cuando esto último ocurra en un plazo no mayor a los doce meses antes mencionados, independientemente del tiempo que dure el proceso.</w:t>
      </w:r>
    </w:p>
    <w:p w14:paraId="6ED5F076" w14:textId="77777777" w:rsidR="00141578" w:rsidRPr="008A6ABF"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w:t>
      </w:r>
      <w:r w:rsidRPr="008A6ABF">
        <w:rPr>
          <w:rFonts w:ascii="Palatino Linotype" w:eastAsia="Palatino Linotype" w:hAnsi="Palatino Linotype" w:cs="Palatino Linotype"/>
          <w:i/>
          <w:color w:val="000000"/>
          <w:sz w:val="20"/>
          <w:szCs w:val="20"/>
        </w:rPr>
        <w:lastRenderedPageBreak/>
        <w:t>momento del pago. Cuando el sueldo base del servidor público exceda del doble del salario mínimo general del área geográfica que corresponda al lugar en donde presta sus servicios, se considerará para efectos del pago de los veinte días por año, hasta un máximo de dos salarios mínimos generales.</w:t>
      </w:r>
    </w:p>
    <w:p w14:paraId="2076D1CF" w14:textId="49C5DCB8" w:rsidR="00141578" w:rsidRDefault="00141578"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Para el pago de cualquier indemnización que se genere por las relaciones laborales entre las instituciones o dependencias y sus servidores públicos señaladas en esta ley no generarán ningún tipo de interés.”</w:t>
      </w:r>
    </w:p>
    <w:p w14:paraId="36D96C4D" w14:textId="77777777" w:rsidR="00DB04F3" w:rsidRPr="008A6ABF" w:rsidRDefault="00DB04F3"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p>
    <w:p w14:paraId="1F9E851A" w14:textId="46B1529D" w:rsidR="00141578" w:rsidRPr="008A6ABF" w:rsidRDefault="00141578" w:rsidP="00CF227C">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8A6ABF">
        <w:rPr>
          <w:rFonts w:ascii="Palatino Linotype" w:eastAsia="Palatino Linotype" w:hAnsi="Palatino Linotype" w:cs="Palatino Linotype"/>
          <w:color w:val="000000"/>
          <w:sz w:val="22"/>
          <w:szCs w:val="22"/>
        </w:rPr>
        <w:t>Conforme a lo anterior se determina que las causas de terminación laboral son la renuncia del servidor público, el mutuo consentimiento de las partes, el vencimiento del término o conclusión de la obra determinantes de la contratación, o bi</w:t>
      </w:r>
      <w:r w:rsidRPr="008A6ABF">
        <w:rPr>
          <w:rFonts w:ascii="Palatino Linotype" w:eastAsia="Palatino Linotype" w:hAnsi="Palatino Linotype" w:cs="Palatino Linotype"/>
          <w:sz w:val="22"/>
          <w:szCs w:val="22"/>
        </w:rPr>
        <w:t>e</w:t>
      </w:r>
      <w:r w:rsidRPr="008A6ABF">
        <w:rPr>
          <w:rFonts w:ascii="Palatino Linotype" w:eastAsia="Palatino Linotype" w:hAnsi="Palatino Linotype" w:cs="Palatino Linotype"/>
          <w:color w:val="000000"/>
          <w:sz w:val="22"/>
          <w:szCs w:val="22"/>
        </w:rPr>
        <w:t>n, por el término o conclusión de la administración en la cual fue contratado el servidor público, la muerte del servidor público, así como la incapacidad permanente del servidor público que le impida el desempeño de sus labores</w:t>
      </w:r>
      <w:r w:rsidR="00B168D0">
        <w:rPr>
          <w:rFonts w:ascii="Palatino Linotype" w:eastAsia="Palatino Linotype" w:hAnsi="Palatino Linotype" w:cs="Palatino Linotype"/>
          <w:color w:val="000000"/>
          <w:sz w:val="22"/>
          <w:szCs w:val="22"/>
        </w:rPr>
        <w:t>.</w:t>
      </w:r>
    </w:p>
    <w:p w14:paraId="1F6506D8" w14:textId="77777777" w:rsidR="0039055A" w:rsidRPr="008A6ABF" w:rsidRDefault="0039055A" w:rsidP="00CF227C">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01C4627E" w14:textId="43F13ED9" w:rsidR="0039055A" w:rsidRDefault="0039055A" w:rsidP="00CF227C">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8A6ABF">
        <w:rPr>
          <w:rFonts w:ascii="Palatino Linotype" w:eastAsia="Palatino Linotype" w:hAnsi="Palatino Linotype" w:cs="Palatino Linotype"/>
          <w:color w:val="000000"/>
          <w:sz w:val="22"/>
          <w:szCs w:val="22"/>
        </w:rPr>
        <w:t xml:space="preserve">Asimismo, no pasa desapercibido que </w:t>
      </w:r>
      <w:r w:rsidRPr="008A6ABF">
        <w:rPr>
          <w:rFonts w:ascii="Palatino Linotype" w:eastAsia="Palatino Linotype" w:hAnsi="Palatino Linotype" w:cs="Palatino Linotype"/>
          <w:b/>
          <w:color w:val="000000"/>
          <w:sz w:val="22"/>
          <w:szCs w:val="22"/>
        </w:rPr>
        <w:t>EL SUJETO OBLIGADO</w:t>
      </w:r>
      <w:r w:rsidRPr="008A6ABF">
        <w:rPr>
          <w:rFonts w:ascii="Palatino Linotype" w:eastAsia="Palatino Linotype" w:hAnsi="Palatino Linotype" w:cs="Palatino Linotype"/>
          <w:color w:val="000000"/>
          <w:sz w:val="22"/>
          <w:szCs w:val="22"/>
        </w:rPr>
        <w:t xml:space="preserve"> cuenta con un Reglamento del Servicio Profesional de Carrera Policial de Amecameca, mismo que en sus artículos 203</w:t>
      </w:r>
      <w:r w:rsidR="000735E2" w:rsidRPr="008A6ABF">
        <w:rPr>
          <w:rFonts w:ascii="Palatino Linotype" w:eastAsia="Palatino Linotype" w:hAnsi="Palatino Linotype" w:cs="Palatino Linotype"/>
          <w:color w:val="000000"/>
          <w:sz w:val="22"/>
          <w:szCs w:val="22"/>
        </w:rPr>
        <w:t xml:space="preserve"> y 204, en relación a la separación de los elementos policiales, establecen lo siguiente:</w:t>
      </w:r>
    </w:p>
    <w:p w14:paraId="1904E6B2" w14:textId="77777777" w:rsidR="00B168D0" w:rsidRPr="008A6ABF" w:rsidRDefault="00B168D0" w:rsidP="00CF227C">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207B1B7B"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w:t>
      </w:r>
      <w:r w:rsidRPr="008A6ABF">
        <w:rPr>
          <w:rFonts w:ascii="Palatino Linotype" w:eastAsia="Palatino Linotype" w:hAnsi="Palatino Linotype" w:cs="Palatino Linotype"/>
          <w:b/>
          <w:i/>
          <w:color w:val="000000"/>
          <w:sz w:val="20"/>
          <w:szCs w:val="20"/>
        </w:rPr>
        <w:t>Artículo 203</w:t>
      </w:r>
      <w:r w:rsidRPr="008A6ABF">
        <w:rPr>
          <w:rFonts w:ascii="Palatino Linotype" w:eastAsia="Palatino Linotype" w:hAnsi="Palatino Linotype" w:cs="Palatino Linotype"/>
          <w:i/>
          <w:color w:val="000000"/>
          <w:sz w:val="20"/>
          <w:szCs w:val="20"/>
        </w:rPr>
        <w:t xml:space="preserve">. La separación del Servicio Profesional de Carrera para los integrantes de la Dirección de Seguridad Ciudadana y Transito Vial por el incumplimiento de los requisitos de ingreso y permanencia, se realizará mediante la aplicación del siguiente procedimiento: </w:t>
      </w:r>
    </w:p>
    <w:p w14:paraId="2DDA0FCE" w14:textId="77777777" w:rsidR="000735E2" w:rsidRPr="008A6ABF" w:rsidRDefault="000735E2"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p>
    <w:p w14:paraId="219D2EAD"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a. El superior jerárquico deberá presentar queja fundada y motivada ante la Comisión del Servicio Profesional de Carrera Honor y Justicia en las cuales se deberá señalar el requisito de ingreso o permanencia que presuntamente haya sido incumplido por el policía, adjuntando los documentos y demás pruebas que se consideren pertinentes;</w:t>
      </w:r>
    </w:p>
    <w:p w14:paraId="26145859" w14:textId="77777777" w:rsidR="000735E2" w:rsidRPr="008A6ABF" w:rsidRDefault="000735E2"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p>
    <w:p w14:paraId="758E1C54"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lastRenderedPageBreak/>
        <w:t xml:space="preserve">b. La Comisión del Servicio Profesional de Carrera Honor y Justicia notificará la queja al policía y lo citará a una audiencia que deberá efectuarse dentro de los quince días siguientes a la citación, para que manifieste lo que a su derecho convenga, adjuntando los documentos y demás elementos probatorios que estime pertinentes; </w:t>
      </w:r>
    </w:p>
    <w:p w14:paraId="67E1C616" w14:textId="77777777" w:rsidR="000735E2" w:rsidRPr="008A6ABF" w:rsidRDefault="000735E2"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p>
    <w:p w14:paraId="5B7938B2"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c. El superior jerárquico podrá suspender temporalmente al policía, siempre que a su juicio así convenga para el adecuado desarrollo del procedimiento o para evitar que siga causando perjuicio o trastorno al Servicio Profesional de Carrera para los Integrantes de las Instituciones Policiales, hasta en tanto la Comisión del Servicio Profesional de Carrera, Honor y Justicia resuelva lo conducente; </w:t>
      </w:r>
    </w:p>
    <w:p w14:paraId="5480E46C" w14:textId="77777777" w:rsidR="000735E2" w:rsidRPr="008A6ABF" w:rsidRDefault="000735E2"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p>
    <w:p w14:paraId="6FC7E251"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d. Una vez otorgada la audiencia y agotadas las diligencias correspondientes, la Comisión del Servicio Profesional de Carrera Honor y Justicia resolverán sobre la queja respectiva. El Presidente de las Comisión podrá convocar a sesiones extraordinarias cuando estimen pertinente; y </w:t>
      </w:r>
    </w:p>
    <w:p w14:paraId="62422A85" w14:textId="77777777" w:rsidR="000735E2" w:rsidRPr="008A6ABF" w:rsidRDefault="000735E2"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p>
    <w:p w14:paraId="1F661C24"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e) Contra la resolución de la Comisión del Servicio Profesional de Carrera, Honor y Justicia no procederá recurso administrativo alguno. </w:t>
      </w:r>
    </w:p>
    <w:p w14:paraId="2B52532B" w14:textId="77777777" w:rsidR="000735E2" w:rsidRPr="008A6ABF" w:rsidRDefault="000735E2"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p>
    <w:p w14:paraId="104D540B"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Para efectos de lo dispuesto en el presente artículo, se entenderá por superior jerárquico: </w:t>
      </w:r>
    </w:p>
    <w:p w14:paraId="208299EA" w14:textId="77777777" w:rsidR="0039055A"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l.- Comisario. Correspondiendo esta categoría al Director de Seguridad Ciudadana y Transito Vial, cuyo nombramiento será conforme a lo establecido por la Ley General y la Ley de seguridad.</w:t>
      </w:r>
    </w:p>
    <w:p w14:paraId="4D577595" w14:textId="77777777" w:rsidR="000735E2" w:rsidRPr="008A6ABF" w:rsidRDefault="000735E2"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p>
    <w:p w14:paraId="2F46B6B9"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II.- Oficiales: Sub-oficial, jerarquía que tendrá el titular de la Subdirección Operativa de Seguridad Ciudadana y Transito Vial; así como el titular de Transito Vial. </w:t>
      </w:r>
    </w:p>
    <w:p w14:paraId="46DCB46B"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III.- Escala Básica: </w:t>
      </w:r>
    </w:p>
    <w:p w14:paraId="1C024537"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e) Policía Primero; jerarquía que tendrán los titulares de las Coordinaciones de Seguridad Ciudadana y Transito Vial; </w:t>
      </w:r>
    </w:p>
    <w:p w14:paraId="1E260861"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f) Policía Segundo; </w:t>
      </w:r>
    </w:p>
    <w:p w14:paraId="341C29F6"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g) Policía Tercero; </w:t>
      </w:r>
    </w:p>
    <w:p w14:paraId="3782891A"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h) Policía. </w:t>
      </w:r>
    </w:p>
    <w:p w14:paraId="151BD95F"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b/>
          <w:i/>
          <w:color w:val="000000"/>
          <w:sz w:val="20"/>
          <w:szCs w:val="20"/>
        </w:rPr>
        <w:lastRenderedPageBreak/>
        <w:t>Artículo204</w:t>
      </w:r>
      <w:r w:rsidRPr="008A6ABF">
        <w:rPr>
          <w:rFonts w:ascii="Palatino Linotype" w:eastAsia="Palatino Linotype" w:hAnsi="Palatino Linotype" w:cs="Palatino Linotype"/>
          <w:i/>
          <w:color w:val="000000"/>
          <w:sz w:val="20"/>
          <w:szCs w:val="20"/>
        </w:rPr>
        <w:t xml:space="preserve">. Las causales de separación son ordinarias y extraordinarias: </w:t>
      </w:r>
    </w:p>
    <w:p w14:paraId="483BA878" w14:textId="77777777" w:rsidR="000C7939" w:rsidRDefault="000C7939" w:rsidP="00CF227C">
      <w:pPr>
        <w:pBdr>
          <w:top w:val="nil"/>
          <w:left w:val="nil"/>
          <w:bottom w:val="nil"/>
          <w:right w:val="nil"/>
          <w:between w:val="nil"/>
        </w:pBdr>
        <w:spacing w:line="360" w:lineRule="auto"/>
        <w:ind w:left="567" w:right="567"/>
        <w:jc w:val="both"/>
        <w:rPr>
          <w:rFonts w:ascii="Palatino Linotype" w:eastAsia="Palatino Linotype" w:hAnsi="Palatino Linotype" w:cs="Palatino Linotype"/>
          <w:b/>
          <w:i/>
          <w:color w:val="000000"/>
          <w:sz w:val="20"/>
          <w:szCs w:val="20"/>
        </w:rPr>
      </w:pPr>
    </w:p>
    <w:p w14:paraId="7DB8A1DF" w14:textId="383444AE"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b/>
          <w:i/>
          <w:color w:val="000000"/>
          <w:sz w:val="20"/>
          <w:szCs w:val="20"/>
        </w:rPr>
      </w:pPr>
      <w:r w:rsidRPr="008A6ABF">
        <w:rPr>
          <w:rFonts w:ascii="Palatino Linotype" w:eastAsia="Palatino Linotype" w:hAnsi="Palatino Linotype" w:cs="Palatino Linotype"/>
          <w:b/>
          <w:i/>
          <w:color w:val="000000"/>
          <w:sz w:val="20"/>
          <w:szCs w:val="20"/>
        </w:rPr>
        <w:t xml:space="preserve">Las ordinarias del servicio son: </w:t>
      </w:r>
    </w:p>
    <w:p w14:paraId="005CF21D"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I. La renuncia formulada por el policía; </w:t>
      </w:r>
    </w:p>
    <w:p w14:paraId="08C0F93D"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II. La incapacidad total o permanente para el desempeño de sus funciones; </w:t>
      </w:r>
    </w:p>
    <w:p w14:paraId="6E263D33"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III.- La pensión por jubilación, por retiro, edad y tiempo de servicio, invalidez, causa de muerte, cesantía en edad avanzada y vejez e indemnización global, y </w:t>
      </w:r>
    </w:p>
    <w:p w14:paraId="4C06C3E7"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IV. La muerte del policía. </w:t>
      </w:r>
    </w:p>
    <w:p w14:paraId="3A9665B0" w14:textId="77777777" w:rsidR="000735E2" w:rsidRPr="008A6ABF" w:rsidRDefault="000735E2"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p>
    <w:p w14:paraId="36C7D293"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El Sistema de Seguridad Social que se adopte a favor de los Policías se ajustará a la legislación interna del Estado de México y, en su caso, a las disposiciones reglamentarias Municipales. </w:t>
      </w:r>
    </w:p>
    <w:p w14:paraId="2AE62FBD" w14:textId="77777777" w:rsidR="000735E2" w:rsidRPr="008A6ABF" w:rsidRDefault="000735E2"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p>
    <w:p w14:paraId="5BC2336F" w14:textId="77777777" w:rsidR="000735E2"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b/>
          <w:i/>
          <w:color w:val="000000"/>
          <w:sz w:val="20"/>
          <w:szCs w:val="20"/>
        </w:rPr>
      </w:pPr>
      <w:r w:rsidRPr="008A6ABF">
        <w:rPr>
          <w:rFonts w:ascii="Palatino Linotype" w:eastAsia="Palatino Linotype" w:hAnsi="Palatino Linotype" w:cs="Palatino Linotype"/>
          <w:b/>
          <w:i/>
          <w:color w:val="000000"/>
          <w:sz w:val="20"/>
          <w:szCs w:val="20"/>
        </w:rPr>
        <w:t xml:space="preserve">La extraordinaria del servicio es: </w:t>
      </w:r>
    </w:p>
    <w:p w14:paraId="50714FFA" w14:textId="1BBB2DB9" w:rsidR="0039055A" w:rsidRPr="008A6ABF" w:rsidRDefault="0039055A" w:rsidP="00F302E7">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I.- El Incumplimiento de los requisitos de permanencia que debe mantener en todo tiempo el policía.</w:t>
      </w:r>
      <w:r w:rsidR="000735E2" w:rsidRPr="008A6ABF">
        <w:rPr>
          <w:rFonts w:ascii="Palatino Linotype" w:eastAsia="Palatino Linotype" w:hAnsi="Palatino Linotype" w:cs="Palatino Linotype"/>
          <w:i/>
          <w:color w:val="000000"/>
          <w:sz w:val="20"/>
          <w:szCs w:val="20"/>
        </w:rPr>
        <w:t>”</w:t>
      </w:r>
    </w:p>
    <w:p w14:paraId="26160875" w14:textId="77777777" w:rsidR="0039055A" w:rsidRPr="008A6ABF" w:rsidRDefault="0039055A" w:rsidP="00CF227C">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024E68DD" w14:textId="76D5E021" w:rsidR="000C7939" w:rsidRPr="008A6ABF" w:rsidRDefault="000735E2" w:rsidP="00CF227C">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8A6ABF">
        <w:rPr>
          <w:rFonts w:ascii="Palatino Linotype" w:eastAsia="Palatino Linotype" w:hAnsi="Palatino Linotype" w:cs="Palatino Linotype"/>
          <w:sz w:val="22"/>
          <w:szCs w:val="22"/>
        </w:rPr>
        <w:t>De lo anterior</w:t>
      </w:r>
      <w:r w:rsidR="00DB04F3">
        <w:rPr>
          <w:rFonts w:ascii="Palatino Linotype" w:eastAsia="Palatino Linotype" w:hAnsi="Palatino Linotype" w:cs="Palatino Linotype"/>
          <w:sz w:val="22"/>
          <w:szCs w:val="22"/>
        </w:rPr>
        <w:t>,</w:t>
      </w:r>
      <w:r w:rsidRPr="008A6ABF">
        <w:rPr>
          <w:rFonts w:ascii="Palatino Linotype" w:eastAsia="Palatino Linotype" w:hAnsi="Palatino Linotype" w:cs="Palatino Linotype"/>
          <w:sz w:val="22"/>
          <w:szCs w:val="22"/>
        </w:rPr>
        <w:t xml:space="preserve"> se advierte que las causales de separación de los elementos policiacos se clasifican en ordinarias y extraordinarias. Las ordinarias son: la renuncia, la incapacidad total o permanente para el desempeño de sus funciones, pensión por jubilación, por retiro, edad y tiempo de servicio, invalidez, cesantía en edad avanzada e indemnización global y la muerte. Por lo que respecta a la separación extraordinaria, esta se constituye por el incumplimiento de los requisitos de permanencia, incumplimiento de obligaciones y del régimen disciplinario</w:t>
      </w:r>
      <w:r w:rsidR="000C7939">
        <w:rPr>
          <w:rFonts w:ascii="Palatino Linotype" w:eastAsia="Palatino Linotype" w:hAnsi="Palatino Linotype" w:cs="Palatino Linotype"/>
          <w:sz w:val="22"/>
          <w:szCs w:val="22"/>
        </w:rPr>
        <w:t xml:space="preserve">, </w:t>
      </w:r>
      <w:r w:rsidR="000C7939">
        <w:rPr>
          <w:rFonts w:ascii="Palatino Linotype" w:eastAsia="Palatino Linotype" w:hAnsi="Palatino Linotype" w:cs="Palatino Linotype"/>
          <w:color w:val="000000"/>
          <w:sz w:val="22"/>
          <w:szCs w:val="22"/>
        </w:rPr>
        <w:t>de tal suerte que se advierte que incluso al haber solicitado información sobre reinstalaciones requiere información que ha causado estado.</w:t>
      </w:r>
    </w:p>
    <w:p w14:paraId="364F33CA" w14:textId="1519957E" w:rsidR="000735E2" w:rsidRPr="008A6ABF" w:rsidRDefault="000735E2" w:rsidP="00CF227C">
      <w:pPr>
        <w:spacing w:line="360" w:lineRule="auto"/>
        <w:jc w:val="both"/>
        <w:rPr>
          <w:rFonts w:ascii="Palatino Linotype" w:eastAsia="Palatino Linotype" w:hAnsi="Palatino Linotype" w:cs="Palatino Linotype"/>
          <w:sz w:val="22"/>
          <w:szCs w:val="22"/>
        </w:rPr>
      </w:pPr>
    </w:p>
    <w:p w14:paraId="0AD662E2" w14:textId="77777777" w:rsidR="000735E2" w:rsidRPr="008A6ABF" w:rsidRDefault="000735E2" w:rsidP="00CF227C">
      <w:pPr>
        <w:spacing w:line="360" w:lineRule="auto"/>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t xml:space="preserve">De igual forma, resulta trascendente citar los requisitos de permanencia los cuales son parte del reglamento antes mencionado: </w:t>
      </w:r>
    </w:p>
    <w:p w14:paraId="5D9C2249" w14:textId="77777777" w:rsidR="000735E2" w:rsidRPr="008A6ABF" w:rsidRDefault="000735E2" w:rsidP="00CF227C">
      <w:pPr>
        <w:spacing w:line="360" w:lineRule="auto"/>
        <w:jc w:val="both"/>
        <w:rPr>
          <w:rFonts w:ascii="Palatino Linotype" w:eastAsia="Palatino Linotype" w:hAnsi="Palatino Linotype" w:cs="Palatino Linotype"/>
          <w:sz w:val="22"/>
          <w:szCs w:val="22"/>
        </w:rPr>
      </w:pPr>
    </w:p>
    <w:p w14:paraId="49DC2E79" w14:textId="77777777" w:rsidR="000735E2"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lastRenderedPageBreak/>
        <w:t>“</w:t>
      </w:r>
      <w:r w:rsidR="000735E2" w:rsidRPr="008A6ABF">
        <w:rPr>
          <w:rFonts w:ascii="Palatino Linotype" w:eastAsia="Palatino Linotype" w:hAnsi="Palatino Linotype" w:cs="Palatino Linotype"/>
          <w:b/>
          <w:i/>
          <w:color w:val="000000"/>
          <w:sz w:val="20"/>
          <w:szCs w:val="20"/>
        </w:rPr>
        <w:t>Artículo 137</w:t>
      </w:r>
      <w:r w:rsidR="000735E2" w:rsidRPr="008A6ABF">
        <w:rPr>
          <w:rFonts w:ascii="Palatino Linotype" w:eastAsia="Palatino Linotype" w:hAnsi="Palatino Linotype" w:cs="Palatino Linotype"/>
          <w:i/>
          <w:color w:val="000000"/>
          <w:sz w:val="20"/>
          <w:szCs w:val="20"/>
        </w:rPr>
        <w:t xml:space="preserve">.- La permanencia es el resultado del cumplimiento constante de los requisitos establecidos en la presente Ley para continuar en el servicio activo de las Instituciones Policiales. Son requisitos de permanencia en las Instituciones Policiales, los siguientes: </w:t>
      </w:r>
    </w:p>
    <w:p w14:paraId="1EEFBDA3" w14:textId="77777777" w:rsidR="000735E2" w:rsidRPr="008A6ABF" w:rsidRDefault="000735E2"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p>
    <w:p w14:paraId="6E4ADC58" w14:textId="77777777" w:rsidR="000735E2" w:rsidRPr="008A6ABF" w:rsidRDefault="000735E2"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b/>
          <w:i/>
          <w:color w:val="000000"/>
          <w:sz w:val="20"/>
          <w:szCs w:val="20"/>
        </w:rPr>
      </w:pPr>
      <w:r w:rsidRPr="008A6ABF">
        <w:rPr>
          <w:rFonts w:ascii="Palatino Linotype" w:eastAsia="Palatino Linotype" w:hAnsi="Palatino Linotype" w:cs="Palatino Linotype"/>
          <w:b/>
          <w:i/>
          <w:color w:val="000000"/>
          <w:sz w:val="20"/>
          <w:szCs w:val="20"/>
        </w:rPr>
        <w:t xml:space="preserve">A. De Permanencia: </w:t>
      </w:r>
    </w:p>
    <w:p w14:paraId="48F41CC5" w14:textId="77777777" w:rsidR="000735E2" w:rsidRPr="008A6ABF" w:rsidRDefault="000735E2"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I. Ser de notoria buena conducta, no haber sido condenado por sentencia Irrevocable por delito doloso; </w:t>
      </w:r>
    </w:p>
    <w:p w14:paraId="580094B2" w14:textId="77777777" w:rsidR="000735E2" w:rsidRPr="008A6ABF" w:rsidRDefault="000735E2"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II. Mantener actualizado su Certificado Único Policial; </w:t>
      </w:r>
    </w:p>
    <w:p w14:paraId="2955566B" w14:textId="77777777" w:rsidR="000735E2" w:rsidRPr="008A6ABF" w:rsidRDefault="000735E2"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p>
    <w:p w14:paraId="49E113F9" w14:textId="77777777" w:rsidR="00346EE4" w:rsidRPr="008A6ABF" w:rsidRDefault="000735E2"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III. No superar la edad máxima de retiro que establezcan las disposiciones aplicables; </w:t>
      </w:r>
    </w:p>
    <w:p w14:paraId="5AC80DC6" w14:textId="77777777" w:rsidR="00346EE4"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p>
    <w:p w14:paraId="47C5485C" w14:textId="77777777" w:rsidR="00346EE4" w:rsidRPr="008A6ABF" w:rsidRDefault="000735E2"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IV. Acreditar que ha concluido, al menos, los estudios siguientes: </w:t>
      </w:r>
    </w:p>
    <w:p w14:paraId="7675CCAE" w14:textId="77777777" w:rsidR="000735E2" w:rsidRPr="008A6ABF" w:rsidRDefault="000735E2"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a) En el caso de integrantes de las áreas de investigación, enseñanza superior, equivalente u homologación por desempeño, a partir de bachillerato;</w:t>
      </w:r>
    </w:p>
    <w:p w14:paraId="203A388F" w14:textId="77777777" w:rsidR="00346EE4"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b) Tratándose de integrantes de las áreas de prevención, enseñanza media superior o equivalente; </w:t>
      </w:r>
    </w:p>
    <w:p w14:paraId="74987779" w14:textId="77777777" w:rsidR="00346EE4"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c) En caso de integrantes de las áreas de reacción, los estudios correspondientes a la enseñanza media básica; </w:t>
      </w:r>
    </w:p>
    <w:p w14:paraId="182C5FA2" w14:textId="77777777" w:rsidR="00346EE4"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V. Aprobar los cursos de formación, capacitación y profesionalización; </w:t>
      </w:r>
    </w:p>
    <w:p w14:paraId="795D9B4C" w14:textId="77777777" w:rsidR="00346EE4"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VI. Aprobar los procesos de evaluación de control de confianza; </w:t>
      </w:r>
    </w:p>
    <w:p w14:paraId="171B9D76" w14:textId="77777777" w:rsidR="00346EE4"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VII. Aprobar las evaluaciones del desempeño; </w:t>
      </w:r>
    </w:p>
    <w:p w14:paraId="19746C3F" w14:textId="77777777" w:rsidR="00346EE4"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VIII. Participar en los procesos de promoción o ascenso que se convoquen, conforme a las disposiciones aplicables; </w:t>
      </w:r>
    </w:p>
    <w:p w14:paraId="22695F17" w14:textId="77777777" w:rsidR="00346EE4"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IX. Abstenerse de consumir sustancias psicotrópicas, estupefacientes u otras que produzcan efectos similares; </w:t>
      </w:r>
    </w:p>
    <w:p w14:paraId="3F71C3A8" w14:textId="77777777" w:rsidR="00346EE4"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X. No padecer alcoholismo; </w:t>
      </w:r>
    </w:p>
    <w:p w14:paraId="0A6BD6C1" w14:textId="77777777" w:rsidR="00346EE4"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XI. Someterse a exámenes para comprobar la ausencia de alcoholismo; </w:t>
      </w:r>
    </w:p>
    <w:p w14:paraId="661A71F8" w14:textId="77777777" w:rsidR="00346EE4"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XII. Someterse a exámenes para comprobar el no uso de sustancias psicotrópicas, estupefacientes u otras que produzcan efectos similares; </w:t>
      </w:r>
    </w:p>
    <w:p w14:paraId="1F93185A" w14:textId="77777777" w:rsidR="00346EE4"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lastRenderedPageBreak/>
        <w:t xml:space="preserve">XIII. No estar suspendido o inhabilitado, ni haber sido destituido por resolución firme como servidor público; </w:t>
      </w:r>
    </w:p>
    <w:p w14:paraId="691A05B1" w14:textId="77777777" w:rsidR="00346EE4"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XIV. No ausentarse del servicio sin causa justificada, por un periodo de tres días consecutivos o de cinco días dentro de un término de treinta días, y</w:t>
      </w:r>
    </w:p>
    <w:p w14:paraId="26593EB4" w14:textId="77777777" w:rsidR="00346EE4"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XV. Las demás que establezcan las disposiciones legales aplicables.” (Sic)</w:t>
      </w:r>
    </w:p>
    <w:p w14:paraId="48C74C57" w14:textId="77777777" w:rsidR="0039055A" w:rsidRPr="008A6ABF" w:rsidRDefault="0039055A" w:rsidP="00CF227C">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20C8945A" w14:textId="77777777" w:rsidR="00346EE4" w:rsidRPr="008A6ABF" w:rsidRDefault="00346EE4" w:rsidP="00CF227C">
      <w:pPr>
        <w:spacing w:line="360" w:lineRule="auto"/>
        <w:ind w:right="49"/>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t xml:space="preserve">Asimismo, se advierte que respecto a los datos solicitados por </w:t>
      </w:r>
      <w:r w:rsidRPr="008A6ABF">
        <w:rPr>
          <w:rFonts w:ascii="Palatino Linotype" w:eastAsia="Palatino Linotype" w:hAnsi="Palatino Linotype" w:cs="Palatino Linotype"/>
          <w:b/>
          <w:sz w:val="22"/>
          <w:szCs w:val="22"/>
        </w:rPr>
        <w:t>EL</w:t>
      </w:r>
      <w:r w:rsidRPr="008A6ABF">
        <w:rPr>
          <w:rFonts w:ascii="Palatino Linotype" w:eastAsia="Palatino Linotype" w:hAnsi="Palatino Linotype" w:cs="Palatino Linotype"/>
          <w:sz w:val="22"/>
          <w:szCs w:val="22"/>
        </w:rPr>
        <w:t xml:space="preserve"> </w:t>
      </w:r>
      <w:r w:rsidRPr="008A6ABF">
        <w:rPr>
          <w:rFonts w:ascii="Palatino Linotype" w:eastAsia="Palatino Linotype" w:hAnsi="Palatino Linotype" w:cs="Palatino Linotype"/>
          <w:b/>
          <w:sz w:val="22"/>
          <w:szCs w:val="22"/>
        </w:rPr>
        <w:t>RECURRENTE</w:t>
      </w:r>
      <w:r w:rsidRPr="008A6ABF">
        <w:rPr>
          <w:rFonts w:ascii="Palatino Linotype" w:eastAsia="Palatino Linotype" w:hAnsi="Palatino Linotype" w:cs="Palatino Linotype"/>
          <w:sz w:val="22"/>
          <w:szCs w:val="22"/>
        </w:rPr>
        <w:t>, consistentes en los números de expediente e instancias a las que fue turnado, pudieran derivar de algún procedimiento derivado de</w:t>
      </w:r>
      <w:r w:rsidR="00FB2A60" w:rsidRPr="008A6ABF">
        <w:rPr>
          <w:rFonts w:ascii="Palatino Linotype" w:eastAsia="Palatino Linotype" w:hAnsi="Palatino Linotype" w:cs="Palatino Linotype"/>
          <w:sz w:val="22"/>
          <w:szCs w:val="22"/>
        </w:rPr>
        <w:t>l incumplimiento de los deberes previstos en las Leyes aplicables en materia de seguridad</w:t>
      </w:r>
      <w:r w:rsidRPr="008A6ABF">
        <w:rPr>
          <w:rFonts w:ascii="Palatino Linotype" w:eastAsia="Palatino Linotype" w:hAnsi="Palatino Linotype" w:cs="Palatino Linotype"/>
          <w:sz w:val="22"/>
          <w:szCs w:val="22"/>
        </w:rPr>
        <w:t>, por ello resulta oportuno citar lo siguiente:</w:t>
      </w:r>
    </w:p>
    <w:p w14:paraId="49F00601" w14:textId="77777777" w:rsidR="00141578" w:rsidRPr="008A6ABF" w:rsidRDefault="00141578" w:rsidP="00CF227C">
      <w:pPr>
        <w:pBdr>
          <w:top w:val="nil"/>
          <w:left w:val="nil"/>
          <w:bottom w:val="nil"/>
          <w:right w:val="nil"/>
          <w:between w:val="nil"/>
        </w:pBdr>
        <w:spacing w:line="360" w:lineRule="auto"/>
        <w:jc w:val="both"/>
        <w:rPr>
          <w:rFonts w:ascii="Palatino Linotype" w:eastAsia="Palatino Linotype" w:hAnsi="Palatino Linotype" w:cs="Palatino Linotype"/>
        </w:rPr>
      </w:pPr>
    </w:p>
    <w:p w14:paraId="18232EE1" w14:textId="77777777" w:rsidR="00FB2A60" w:rsidRPr="008A6ABF" w:rsidRDefault="00FB2A60"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w:t>
      </w:r>
      <w:r w:rsidR="00346EE4" w:rsidRPr="008A6ABF">
        <w:rPr>
          <w:rFonts w:ascii="Palatino Linotype" w:eastAsia="Palatino Linotype" w:hAnsi="Palatino Linotype" w:cs="Palatino Linotype"/>
          <w:b/>
          <w:i/>
          <w:color w:val="000000"/>
          <w:sz w:val="20"/>
          <w:szCs w:val="20"/>
        </w:rPr>
        <w:t>Artículo 207</w:t>
      </w:r>
      <w:r w:rsidR="00346EE4" w:rsidRPr="008A6ABF">
        <w:rPr>
          <w:rFonts w:ascii="Palatino Linotype" w:eastAsia="Palatino Linotype" w:hAnsi="Palatino Linotype" w:cs="Palatino Linotype"/>
          <w:i/>
          <w:color w:val="000000"/>
          <w:sz w:val="20"/>
          <w:szCs w:val="20"/>
        </w:rPr>
        <w:t xml:space="preserve">.- Las legislaciones de la Federación, el Distrito Federal y los estados establecerán las sanciones aplicables al incumplimiento de los deberes previstos en esta ley, los procedimientos y los órganos competentes que conocerán de éstos. Las sanciones serán al menos, las siguientes: </w:t>
      </w:r>
    </w:p>
    <w:p w14:paraId="18CA3167" w14:textId="77777777" w:rsidR="00FB2A60"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a).- </w:t>
      </w:r>
      <w:r w:rsidRPr="008A6ABF">
        <w:rPr>
          <w:rFonts w:ascii="Palatino Linotype" w:eastAsia="Palatino Linotype" w:hAnsi="Palatino Linotype" w:cs="Palatino Linotype"/>
          <w:b/>
          <w:i/>
          <w:color w:val="000000"/>
          <w:sz w:val="20"/>
          <w:szCs w:val="20"/>
        </w:rPr>
        <w:t>Amonestación</w:t>
      </w:r>
      <w:r w:rsidRPr="008A6ABF">
        <w:rPr>
          <w:rFonts w:ascii="Palatino Linotype" w:eastAsia="Palatino Linotype" w:hAnsi="Palatino Linotype" w:cs="Palatino Linotype"/>
          <w:i/>
          <w:color w:val="000000"/>
          <w:sz w:val="20"/>
          <w:szCs w:val="20"/>
        </w:rPr>
        <w:t xml:space="preserve">; Es el acto por el cual se advierte al policía, sobre la acción u omisión indebida en que incurrió en el ejercicio de sus funciones </w:t>
      </w:r>
    </w:p>
    <w:p w14:paraId="1FD5F0B8" w14:textId="77777777" w:rsidR="00FB2A60"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b).- </w:t>
      </w:r>
      <w:r w:rsidRPr="008A6ABF">
        <w:rPr>
          <w:rFonts w:ascii="Palatino Linotype" w:eastAsia="Palatino Linotype" w:hAnsi="Palatino Linotype" w:cs="Palatino Linotype"/>
          <w:b/>
          <w:i/>
          <w:color w:val="000000"/>
          <w:sz w:val="20"/>
          <w:szCs w:val="20"/>
        </w:rPr>
        <w:t>Suspensión</w:t>
      </w:r>
      <w:r w:rsidRPr="008A6ABF">
        <w:rPr>
          <w:rFonts w:ascii="Palatino Linotype" w:eastAsia="Palatino Linotype" w:hAnsi="Palatino Linotype" w:cs="Palatino Linotype"/>
          <w:i/>
          <w:color w:val="000000"/>
          <w:sz w:val="20"/>
          <w:szCs w:val="20"/>
        </w:rPr>
        <w:t xml:space="preserve">: es la interrupción de la relación jurídica administrativa existente entre el probable infractor y la corporación. </w:t>
      </w:r>
    </w:p>
    <w:p w14:paraId="6D809470" w14:textId="77777777" w:rsidR="00141578" w:rsidRPr="008A6ABF" w:rsidRDefault="00346EE4"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 xml:space="preserve">c).- </w:t>
      </w:r>
      <w:r w:rsidRPr="008A6ABF">
        <w:rPr>
          <w:rFonts w:ascii="Palatino Linotype" w:eastAsia="Palatino Linotype" w:hAnsi="Palatino Linotype" w:cs="Palatino Linotype"/>
          <w:b/>
          <w:i/>
          <w:color w:val="000000"/>
          <w:sz w:val="20"/>
          <w:szCs w:val="20"/>
        </w:rPr>
        <w:t>Remoción.</w:t>
      </w:r>
      <w:r w:rsidRPr="008A6ABF">
        <w:rPr>
          <w:rFonts w:ascii="Palatino Linotype" w:eastAsia="Palatino Linotype" w:hAnsi="Palatino Linotype" w:cs="Palatino Linotype"/>
          <w:i/>
          <w:color w:val="000000"/>
          <w:sz w:val="20"/>
          <w:szCs w:val="20"/>
        </w:rPr>
        <w:t xml:space="preserve"> La remoción es la terminación de la relación jurídica entre la corporación y el policía, sin responsabilidad para aquella.</w:t>
      </w:r>
    </w:p>
    <w:p w14:paraId="78CB8578" w14:textId="77777777" w:rsidR="00FB2A60" w:rsidRPr="008A6ABF" w:rsidRDefault="00FB2A60"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p>
    <w:p w14:paraId="32CC454E" w14:textId="77777777" w:rsidR="00244EA6" w:rsidRPr="008A6ABF" w:rsidRDefault="00244EA6"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b/>
          <w:i/>
          <w:color w:val="000000"/>
          <w:sz w:val="20"/>
          <w:szCs w:val="20"/>
        </w:rPr>
        <w:t>Artículo 209</w:t>
      </w:r>
      <w:r w:rsidRPr="008A6ABF">
        <w:rPr>
          <w:rFonts w:ascii="Palatino Linotype" w:eastAsia="Palatino Linotype" w:hAnsi="Palatino Linotype" w:cs="Palatino Linotype"/>
          <w:i/>
          <w:color w:val="000000"/>
          <w:sz w:val="20"/>
          <w:szCs w:val="20"/>
        </w:rPr>
        <w:t xml:space="preserve">. El Sistema Disciplinario permite aplicar las sanciones y correcciones disciplinarias a que se haga acreedor el policía que transgreda los principios de actuación, legalidad, objetividad, eficiencia, honradez, profesionalismo y respeto a los derechos humanos a que se refiere el Artículo 21 de la Constitución Política de los Estados Unidos Mexicanos y el Artículo 6 de la Ley General del Sistema Nacional de Seguridad Pública y además que viole </w:t>
      </w:r>
      <w:r w:rsidRPr="008A6ABF">
        <w:rPr>
          <w:rFonts w:ascii="Palatino Linotype" w:eastAsia="Palatino Linotype" w:hAnsi="Palatino Linotype" w:cs="Palatino Linotype"/>
          <w:i/>
          <w:color w:val="000000"/>
          <w:sz w:val="20"/>
          <w:szCs w:val="20"/>
        </w:rPr>
        <w:lastRenderedPageBreak/>
        <w:t xml:space="preserve">las leyes, las normas disciplinarias aplicables o desobedezca órdenes de su superior dentro del Servicio, así como el abandono total o parcial de su funciones. </w:t>
      </w:r>
    </w:p>
    <w:p w14:paraId="618B8CC9" w14:textId="77777777" w:rsidR="00244EA6" w:rsidRPr="008A6ABF" w:rsidRDefault="00244EA6"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p>
    <w:p w14:paraId="41A4F7DA" w14:textId="77777777" w:rsidR="00244EA6" w:rsidRPr="008A6ABF" w:rsidRDefault="00244EA6"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b/>
          <w:i/>
          <w:color w:val="000000"/>
          <w:sz w:val="20"/>
          <w:szCs w:val="20"/>
        </w:rPr>
        <w:t>Tiene como objeto, asegurar que la conducta de los policías, se sujete a las disposiciones constitucionales, legales, locales y municipales según corresponda, al cumplimiento de las órdenes de su superior jerárquico y a los altos conceptos del honor</w:t>
      </w:r>
      <w:r w:rsidRPr="008A6ABF">
        <w:rPr>
          <w:rFonts w:ascii="Palatino Linotype" w:eastAsia="Palatino Linotype" w:hAnsi="Palatino Linotype" w:cs="Palatino Linotype"/>
          <w:i/>
          <w:color w:val="000000"/>
          <w:sz w:val="20"/>
          <w:szCs w:val="20"/>
        </w:rPr>
        <w:t xml:space="preserve">, la justicia y la ética, así como el respeto a la corporación. </w:t>
      </w:r>
    </w:p>
    <w:p w14:paraId="70C53132" w14:textId="77777777" w:rsidR="00244EA6" w:rsidRPr="008A6ABF" w:rsidRDefault="00244EA6"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p>
    <w:p w14:paraId="57FD448C" w14:textId="77777777" w:rsidR="00244EA6" w:rsidRPr="008A6ABF" w:rsidRDefault="00244EA6"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b/>
          <w:i/>
          <w:color w:val="000000"/>
          <w:sz w:val="20"/>
          <w:szCs w:val="20"/>
          <w:u w:val="single"/>
        </w:rPr>
      </w:pPr>
      <w:r w:rsidRPr="008A6ABF">
        <w:rPr>
          <w:rFonts w:ascii="Palatino Linotype" w:eastAsia="Palatino Linotype" w:hAnsi="Palatino Linotype" w:cs="Palatino Linotype"/>
          <w:b/>
          <w:i/>
          <w:color w:val="000000"/>
          <w:sz w:val="20"/>
          <w:szCs w:val="20"/>
          <w:u w:val="single"/>
        </w:rPr>
        <w:t>El presente procedimiento regula las sanciones y correcciones disciplinarias aplicables a los policías que violen los principios enunciados con anterioridad, las disposiciones administrativas y las órdenes de sus superiores jerárquicos.</w:t>
      </w:r>
    </w:p>
    <w:p w14:paraId="2A3B9297" w14:textId="77777777" w:rsidR="00244EA6" w:rsidRPr="008A6ABF" w:rsidRDefault="00244EA6"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p>
    <w:p w14:paraId="4A737BA1" w14:textId="77777777" w:rsidR="00FB2A60" w:rsidRPr="008A6ABF" w:rsidRDefault="00FB2A60"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b/>
          <w:i/>
          <w:color w:val="000000"/>
          <w:sz w:val="20"/>
          <w:szCs w:val="20"/>
        </w:rPr>
      </w:pPr>
      <w:r w:rsidRPr="008A6ABF">
        <w:rPr>
          <w:rFonts w:ascii="Palatino Linotype" w:eastAsia="Palatino Linotype" w:hAnsi="Palatino Linotype" w:cs="Palatino Linotype"/>
          <w:b/>
          <w:i/>
          <w:color w:val="000000"/>
          <w:sz w:val="20"/>
          <w:szCs w:val="20"/>
        </w:rPr>
        <w:t>Artículo 213</w:t>
      </w:r>
      <w:r w:rsidRPr="008A6ABF">
        <w:rPr>
          <w:rFonts w:ascii="Palatino Linotype" w:eastAsia="Palatino Linotype" w:hAnsi="Palatino Linotype" w:cs="Palatino Linotype"/>
          <w:i/>
          <w:color w:val="000000"/>
          <w:sz w:val="20"/>
          <w:szCs w:val="20"/>
        </w:rPr>
        <w:t xml:space="preserve">. </w:t>
      </w:r>
      <w:r w:rsidRPr="008A6ABF">
        <w:rPr>
          <w:rFonts w:ascii="Palatino Linotype" w:eastAsia="Palatino Linotype" w:hAnsi="Palatino Linotype" w:cs="Palatino Linotype"/>
          <w:b/>
          <w:i/>
          <w:color w:val="000000"/>
          <w:sz w:val="20"/>
          <w:szCs w:val="20"/>
        </w:rPr>
        <w:t xml:space="preserve">Las sanciones solamente serán impuestas mediante resolución formal de la Comisión de Honor y Justicia por violaciones o faltas a los deberes establecidos en las leyes, este Reglamento y demás disposiciones aplicables. </w:t>
      </w:r>
    </w:p>
    <w:p w14:paraId="4B5AA1FC" w14:textId="77777777" w:rsidR="00FB2A60" w:rsidRPr="008A6ABF" w:rsidRDefault="00FB2A60"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p>
    <w:p w14:paraId="6F0519DC" w14:textId="77777777" w:rsidR="00FB2A60" w:rsidRPr="008A6ABF" w:rsidRDefault="00FB2A60" w:rsidP="00CF227C">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sz w:val="20"/>
          <w:szCs w:val="20"/>
        </w:rPr>
      </w:pPr>
      <w:r w:rsidRPr="008A6ABF">
        <w:rPr>
          <w:rFonts w:ascii="Palatino Linotype" w:eastAsia="Palatino Linotype" w:hAnsi="Palatino Linotype" w:cs="Palatino Linotype"/>
          <w:i/>
          <w:color w:val="000000"/>
          <w:sz w:val="20"/>
          <w:szCs w:val="20"/>
        </w:rPr>
        <w:t>La ejecución de sanciones que realice la Comisión de Honor y Justicia, se realizará sin perjuicio de las que corresponda aplicar, en su caso, a otra autoridad por la responsabilidad administrativa o penal que proceda.</w:t>
      </w:r>
    </w:p>
    <w:p w14:paraId="15C4FF0E" w14:textId="77777777" w:rsidR="000C7939" w:rsidRDefault="000C7939" w:rsidP="00CF227C">
      <w:pPr>
        <w:spacing w:line="360" w:lineRule="auto"/>
        <w:ind w:right="49"/>
        <w:jc w:val="both"/>
        <w:rPr>
          <w:rFonts w:ascii="Palatino Linotype" w:eastAsia="Palatino Linotype" w:hAnsi="Palatino Linotype" w:cs="Palatino Linotype"/>
          <w:sz w:val="22"/>
          <w:szCs w:val="22"/>
        </w:rPr>
      </w:pPr>
    </w:p>
    <w:p w14:paraId="31BDFA8B" w14:textId="3411465C" w:rsidR="00244EA6" w:rsidRPr="008A6ABF" w:rsidRDefault="00244EA6" w:rsidP="00CF227C">
      <w:pPr>
        <w:spacing w:line="360" w:lineRule="auto"/>
        <w:ind w:right="49"/>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t xml:space="preserve">Conforme a lo anterior, se menciona que el Sistema Disciplinario permite aplicar las sanciones y correcciones disciplinarias a que se haga acreedor el policía que transgreda los principios de actuación, legalidad, objetividad, eficiencia, honradez, profesionalismo y respeto a los derechos humanos a que se refiere el Artículo 21 de la Constitución Política de los Estados Unidos Mexicanos y el Artículo 6 de la Ley General del Sistema Nacional de Seguridad Pública y además que viole las leyes, las normas disciplinarias aplicables o desobedezca órdenes de su superior dentro del Servicio, así como el abandono total o parcial de su funciones. </w:t>
      </w:r>
    </w:p>
    <w:p w14:paraId="60417671" w14:textId="77777777" w:rsidR="00244EA6" w:rsidRPr="008A6ABF" w:rsidRDefault="00244EA6" w:rsidP="00CF227C">
      <w:pPr>
        <w:spacing w:line="360" w:lineRule="auto"/>
        <w:ind w:right="49"/>
        <w:jc w:val="both"/>
        <w:rPr>
          <w:rFonts w:ascii="Palatino Linotype" w:eastAsia="Palatino Linotype" w:hAnsi="Palatino Linotype" w:cs="Palatino Linotype"/>
          <w:sz w:val="22"/>
          <w:szCs w:val="22"/>
        </w:rPr>
      </w:pPr>
    </w:p>
    <w:p w14:paraId="4A69C5FC" w14:textId="77777777" w:rsidR="00244EA6" w:rsidRPr="008A6ABF" w:rsidRDefault="00244EA6" w:rsidP="00CF227C">
      <w:pPr>
        <w:spacing w:line="360" w:lineRule="auto"/>
        <w:ind w:right="49"/>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lastRenderedPageBreak/>
        <w:t xml:space="preserve">El Reglamento en cita establece que las sanciones a que puede ser acreedor un elemento policial son Amonestación, Suspensión y Remoción y estas solo podrán ser impuestas mediante resolución formal de la Comisión de Honor y Justicia por violaciones o faltas a los deberes establecidos en las leyes y demás disposiciones aplicables. </w:t>
      </w:r>
    </w:p>
    <w:p w14:paraId="56DD34D4" w14:textId="77777777" w:rsidR="00244EA6" w:rsidRPr="008A6ABF" w:rsidRDefault="00244EA6" w:rsidP="00CF227C">
      <w:pPr>
        <w:spacing w:line="360" w:lineRule="auto"/>
        <w:ind w:right="49"/>
        <w:jc w:val="both"/>
        <w:rPr>
          <w:rFonts w:ascii="Palatino Linotype" w:eastAsia="Palatino Linotype" w:hAnsi="Palatino Linotype" w:cs="Palatino Linotype"/>
          <w:sz w:val="22"/>
          <w:szCs w:val="22"/>
        </w:rPr>
      </w:pPr>
    </w:p>
    <w:p w14:paraId="7F409283" w14:textId="6E47F9C1" w:rsidR="00244EA6" w:rsidRPr="008A6ABF" w:rsidRDefault="00244EA6" w:rsidP="00CF227C">
      <w:pPr>
        <w:spacing w:line="360" w:lineRule="auto"/>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t xml:space="preserve">Con lo cual se acredita que </w:t>
      </w:r>
      <w:r w:rsidRPr="008A6ABF">
        <w:rPr>
          <w:rFonts w:ascii="Palatino Linotype" w:eastAsia="Palatino Linotype" w:hAnsi="Palatino Linotype" w:cs="Palatino Linotype"/>
          <w:b/>
          <w:sz w:val="22"/>
          <w:szCs w:val="22"/>
        </w:rPr>
        <w:t>EL SUJETO OBLIGADO</w:t>
      </w:r>
      <w:r w:rsidRPr="008A6ABF">
        <w:rPr>
          <w:rFonts w:ascii="Palatino Linotype" w:eastAsia="Palatino Linotype" w:hAnsi="Palatino Linotype" w:cs="Palatino Linotype"/>
          <w:sz w:val="22"/>
          <w:szCs w:val="22"/>
        </w:rPr>
        <w:t xml:space="preserve">, dentro de sus archivos, de ser el caso, debe contar con los números de expedientes iniciados por procedimientos iniciados en contra de elementos policiales </w:t>
      </w:r>
      <w:r w:rsidR="00505D8E" w:rsidRPr="008A6ABF">
        <w:rPr>
          <w:rFonts w:ascii="Palatino Linotype" w:eastAsia="Palatino Linotype" w:hAnsi="Palatino Linotype" w:cs="Palatino Linotype"/>
          <w:sz w:val="22"/>
          <w:szCs w:val="22"/>
        </w:rPr>
        <w:t>por el abandono total o parcial de sus funciones. En ese tenor, n</w:t>
      </w:r>
      <w:r w:rsidRPr="008A6ABF">
        <w:rPr>
          <w:rFonts w:ascii="Palatino Linotype" w:eastAsia="Palatino Linotype" w:hAnsi="Palatino Linotype" w:cs="Palatino Linotype"/>
          <w:sz w:val="22"/>
          <w:szCs w:val="22"/>
        </w:rPr>
        <w:t>o se omite comentar que el dato requerido en el este punto s</w:t>
      </w:r>
      <w:r w:rsidR="000C7939">
        <w:rPr>
          <w:rFonts w:ascii="Palatino Linotype" w:eastAsia="Palatino Linotype" w:hAnsi="Palatino Linotype" w:cs="Palatino Linotype"/>
          <w:sz w:val="22"/>
          <w:szCs w:val="22"/>
        </w:rPr>
        <w:t>ó</w:t>
      </w:r>
      <w:r w:rsidRPr="008A6ABF">
        <w:rPr>
          <w:rFonts w:ascii="Palatino Linotype" w:eastAsia="Palatino Linotype" w:hAnsi="Palatino Linotype" w:cs="Palatino Linotype"/>
          <w:sz w:val="22"/>
          <w:szCs w:val="22"/>
        </w:rPr>
        <w:t>lo se refiere a la composición alfanumérica, que no revela algún dato relacionado con los procedimientos, ni datos de la vida privada de las personas, por tal razón, el número de expediente es información que puede entregarse al particular</w:t>
      </w:r>
      <w:r w:rsidR="000C7939">
        <w:rPr>
          <w:rFonts w:ascii="Palatino Linotype" w:eastAsia="Palatino Linotype" w:hAnsi="Palatino Linotype" w:cs="Palatino Linotype"/>
          <w:sz w:val="22"/>
          <w:szCs w:val="22"/>
        </w:rPr>
        <w:t>, ya que además no requiere expedientes en trámite.</w:t>
      </w:r>
    </w:p>
    <w:p w14:paraId="6B41A233" w14:textId="77777777" w:rsidR="00244EA6" w:rsidRPr="008A6ABF" w:rsidRDefault="00244EA6" w:rsidP="00CF227C">
      <w:pPr>
        <w:spacing w:line="360" w:lineRule="auto"/>
        <w:jc w:val="both"/>
        <w:rPr>
          <w:rFonts w:ascii="Palatino Linotype" w:eastAsia="Palatino Linotype" w:hAnsi="Palatino Linotype" w:cs="Palatino Linotype"/>
          <w:sz w:val="22"/>
          <w:szCs w:val="22"/>
        </w:rPr>
      </w:pPr>
    </w:p>
    <w:p w14:paraId="4FF86D0C" w14:textId="77777777" w:rsidR="00505D8E" w:rsidRPr="008A6ABF" w:rsidRDefault="00244EA6" w:rsidP="00CF227C">
      <w:pPr>
        <w:spacing w:line="360" w:lineRule="auto"/>
        <w:ind w:right="49"/>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t xml:space="preserve">Asimismo también se observa, que debe obrar en sus archivos la información relativa al “puesto o grado del policía” y la “sección o división a la que pertenecía”, lo anterior en términos de lo dispuesto por el </w:t>
      </w:r>
      <w:r w:rsidR="00505D8E" w:rsidRPr="008A6ABF">
        <w:rPr>
          <w:rFonts w:ascii="Palatino Linotype" w:eastAsia="Palatino Linotype" w:hAnsi="Palatino Linotype" w:cs="Palatino Linotype"/>
          <w:sz w:val="22"/>
          <w:szCs w:val="22"/>
        </w:rPr>
        <w:t xml:space="preserve">Reglamento del Servicio Profesional de Carrera Policial de Amecameca que en su artículo 113 establece que el </w:t>
      </w:r>
      <w:r w:rsidR="00505D8E" w:rsidRPr="008A6ABF">
        <w:rPr>
          <w:rFonts w:ascii="Palatino Linotype" w:eastAsia="Palatino Linotype" w:hAnsi="Palatino Linotype" w:cs="Palatino Linotype"/>
          <w:b/>
          <w:sz w:val="22"/>
          <w:szCs w:val="22"/>
        </w:rPr>
        <w:t xml:space="preserve">nombramiento </w:t>
      </w:r>
      <w:r w:rsidR="00505D8E" w:rsidRPr="008A6ABF">
        <w:rPr>
          <w:rFonts w:ascii="Palatino Linotype" w:eastAsia="Palatino Linotype" w:hAnsi="Palatino Linotype" w:cs="Palatino Linotype"/>
          <w:sz w:val="22"/>
          <w:szCs w:val="22"/>
        </w:rPr>
        <w:t xml:space="preserve">es el documento formal que se otorga a los elementos de nuevo ingreso por parte de la </w:t>
      </w:r>
      <w:r w:rsidR="00F40087" w:rsidRPr="008A6ABF">
        <w:rPr>
          <w:rFonts w:ascii="Palatino Linotype" w:eastAsia="Palatino Linotype" w:hAnsi="Palatino Linotype" w:cs="Palatino Linotype"/>
          <w:sz w:val="22"/>
          <w:szCs w:val="22"/>
        </w:rPr>
        <w:t>autoridad competente y en ese sentido el diverso numeral 117 del Reglamento en cita señala como requisitos del nombramiento los siguientes:</w:t>
      </w:r>
    </w:p>
    <w:p w14:paraId="087C3C34" w14:textId="77777777" w:rsidR="00F40087" w:rsidRPr="008A6ABF" w:rsidRDefault="00F40087" w:rsidP="00CF227C">
      <w:pPr>
        <w:spacing w:line="360" w:lineRule="auto"/>
        <w:ind w:right="49"/>
        <w:jc w:val="both"/>
        <w:rPr>
          <w:rFonts w:ascii="Palatino Linotype" w:eastAsia="Palatino Linotype" w:hAnsi="Palatino Linotype" w:cs="Palatino Linotype"/>
          <w:sz w:val="22"/>
          <w:szCs w:val="22"/>
        </w:rPr>
      </w:pPr>
    </w:p>
    <w:p w14:paraId="211E5E60" w14:textId="77777777" w:rsidR="00F40087" w:rsidRPr="008A6ABF" w:rsidRDefault="00F40087" w:rsidP="00CF227C">
      <w:pPr>
        <w:spacing w:line="360" w:lineRule="auto"/>
        <w:ind w:right="49"/>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t xml:space="preserve">I. Nombre completo del policía; </w:t>
      </w:r>
    </w:p>
    <w:p w14:paraId="2517474B" w14:textId="77777777" w:rsidR="00F40087" w:rsidRPr="008A6ABF" w:rsidRDefault="00F40087" w:rsidP="00CF227C">
      <w:pPr>
        <w:spacing w:line="360" w:lineRule="auto"/>
        <w:ind w:right="49"/>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t xml:space="preserve">II. </w:t>
      </w:r>
      <w:r w:rsidRPr="008A6ABF">
        <w:rPr>
          <w:rFonts w:ascii="Palatino Linotype" w:eastAsia="Palatino Linotype" w:hAnsi="Palatino Linotype" w:cs="Palatino Linotype"/>
          <w:b/>
          <w:sz w:val="22"/>
          <w:szCs w:val="22"/>
        </w:rPr>
        <w:t>Área de adscripción, categoría, jerarquía o grado</w:t>
      </w:r>
      <w:r w:rsidRPr="008A6ABF">
        <w:rPr>
          <w:rFonts w:ascii="Palatino Linotype" w:eastAsia="Palatino Linotype" w:hAnsi="Palatino Linotype" w:cs="Palatino Linotype"/>
          <w:sz w:val="22"/>
          <w:szCs w:val="22"/>
        </w:rPr>
        <w:t xml:space="preserve">; </w:t>
      </w:r>
    </w:p>
    <w:p w14:paraId="0916C77D" w14:textId="77777777" w:rsidR="00F40087" w:rsidRPr="008A6ABF" w:rsidRDefault="00F40087" w:rsidP="00CF227C">
      <w:pPr>
        <w:spacing w:line="360" w:lineRule="auto"/>
        <w:ind w:right="49"/>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t xml:space="preserve">III. Leyenda de la protesta correspondiente; </w:t>
      </w:r>
    </w:p>
    <w:p w14:paraId="49EFC593" w14:textId="77777777" w:rsidR="00F40087" w:rsidRPr="008A6ABF" w:rsidRDefault="00F40087" w:rsidP="00CF227C">
      <w:pPr>
        <w:spacing w:line="360" w:lineRule="auto"/>
        <w:ind w:right="49"/>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t xml:space="preserve">IV. Remuneración; y, </w:t>
      </w:r>
    </w:p>
    <w:p w14:paraId="0E7B76F7" w14:textId="77777777" w:rsidR="00F40087" w:rsidRPr="008A6ABF" w:rsidRDefault="00F40087" w:rsidP="00CF227C">
      <w:pPr>
        <w:spacing w:line="360" w:lineRule="auto"/>
        <w:ind w:right="49"/>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t xml:space="preserve">V. Edad. </w:t>
      </w:r>
    </w:p>
    <w:p w14:paraId="318F9E0D" w14:textId="77777777" w:rsidR="00141578" w:rsidRPr="008A6ABF" w:rsidRDefault="00F40087" w:rsidP="00CF227C">
      <w:pPr>
        <w:spacing w:line="360" w:lineRule="auto"/>
        <w:ind w:right="49"/>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lastRenderedPageBreak/>
        <w:t>VI. CUIP</w:t>
      </w:r>
    </w:p>
    <w:p w14:paraId="6DAF14AA" w14:textId="77777777" w:rsidR="00141578" w:rsidRPr="008A6ABF" w:rsidRDefault="00141578" w:rsidP="00CF227C">
      <w:pPr>
        <w:autoSpaceDE w:val="0"/>
        <w:autoSpaceDN w:val="0"/>
        <w:adjustRightInd w:val="0"/>
        <w:spacing w:line="360" w:lineRule="auto"/>
        <w:ind w:right="49"/>
        <w:jc w:val="both"/>
        <w:rPr>
          <w:rFonts w:ascii="Palatino Linotype" w:hAnsi="Palatino Linotype"/>
          <w:sz w:val="22"/>
        </w:rPr>
      </w:pPr>
    </w:p>
    <w:p w14:paraId="70B8A395" w14:textId="77777777" w:rsidR="00F40087" w:rsidRPr="008A6ABF" w:rsidRDefault="00F40087" w:rsidP="00CF227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color w:val="000000"/>
          <w:sz w:val="22"/>
          <w:szCs w:val="22"/>
        </w:rPr>
        <w:t>De conformidad a lo</w:t>
      </w:r>
      <w:r w:rsidR="00A743A2" w:rsidRPr="008A6ABF">
        <w:rPr>
          <w:rFonts w:ascii="Palatino Linotype" w:eastAsia="Palatino Linotype" w:hAnsi="Palatino Linotype" w:cs="Palatino Linotype"/>
          <w:color w:val="000000"/>
          <w:sz w:val="22"/>
          <w:szCs w:val="22"/>
        </w:rPr>
        <w:t xml:space="preserve"> anterior, se puede advertir que </w:t>
      </w:r>
      <w:r w:rsidRPr="008A6ABF">
        <w:rPr>
          <w:rFonts w:ascii="Palatino Linotype" w:eastAsia="Palatino Linotype" w:hAnsi="Palatino Linotype" w:cs="Palatino Linotype"/>
          <w:color w:val="000000"/>
          <w:sz w:val="22"/>
          <w:szCs w:val="22"/>
        </w:rPr>
        <w:t>elemento de nuevo ingreso y aquellos que se encuentren en servicio, del cual se deriva la relación jurídico administrativa, en la que prevalecen los principios de derecho público y con el cual se inicia en el servicio y adquiere los derechos de estabilidad, permanencia, formación, promoción, desarrollo, ascensos, estímulos y retiro, el cual deberá otorgarse al elemento que inicia su carrera inmediatamente después que haya aprobado satisfactoriamente su curso de formación inicial, el cual debe contener e</w:t>
      </w:r>
      <w:r w:rsidRPr="008A6ABF">
        <w:rPr>
          <w:rFonts w:ascii="Palatino Linotype" w:eastAsia="Palatino Linotype" w:hAnsi="Palatino Linotype" w:cs="Palatino Linotype"/>
          <w:sz w:val="22"/>
          <w:szCs w:val="22"/>
        </w:rPr>
        <w:t>ntre otros datos el área</w:t>
      </w:r>
      <w:r w:rsidRPr="008A6ABF">
        <w:rPr>
          <w:rFonts w:ascii="Palatino Linotype" w:eastAsia="Palatino Linotype" w:hAnsi="Palatino Linotype" w:cs="Palatino Linotype"/>
          <w:color w:val="000000"/>
          <w:sz w:val="22"/>
          <w:szCs w:val="22"/>
          <w:u w:val="single"/>
        </w:rPr>
        <w:t xml:space="preserve"> de adscripción, categoría jerarquía o grado</w:t>
      </w:r>
      <w:r w:rsidRPr="008A6ABF">
        <w:rPr>
          <w:rFonts w:ascii="Palatino Linotype" w:eastAsia="Palatino Linotype" w:hAnsi="Palatino Linotype" w:cs="Palatino Linotype"/>
          <w:sz w:val="22"/>
          <w:szCs w:val="22"/>
        </w:rPr>
        <w:t xml:space="preserve">. </w:t>
      </w:r>
    </w:p>
    <w:p w14:paraId="766885A2" w14:textId="77777777"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5C7F2929" w14:textId="77777777" w:rsidR="00CF227C" w:rsidRDefault="00F40087"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8A6ABF">
        <w:rPr>
          <w:rFonts w:ascii="Palatino Linotype" w:eastAsia="Palatino Linotype" w:hAnsi="Palatino Linotype" w:cs="Palatino Linotype"/>
          <w:color w:val="000000"/>
          <w:sz w:val="22"/>
          <w:szCs w:val="22"/>
        </w:rPr>
        <w:t>Por otro lado, de manera enunciativa más no limitativa, este Instituto advierte que uno de los documentos que pudieran colmar la solicitu</w:t>
      </w:r>
      <w:r w:rsidR="00A743A2" w:rsidRPr="008A6ABF">
        <w:rPr>
          <w:rFonts w:ascii="Palatino Linotype" w:eastAsia="Palatino Linotype" w:hAnsi="Palatino Linotype" w:cs="Palatino Linotype"/>
          <w:color w:val="000000"/>
          <w:sz w:val="22"/>
          <w:szCs w:val="22"/>
        </w:rPr>
        <w:t>d de información formulada por el</w:t>
      </w:r>
      <w:r w:rsidRPr="008A6ABF">
        <w:rPr>
          <w:rFonts w:ascii="Palatino Linotype" w:eastAsia="Palatino Linotype" w:hAnsi="Palatino Linotype" w:cs="Palatino Linotype"/>
          <w:color w:val="000000"/>
          <w:sz w:val="22"/>
          <w:szCs w:val="22"/>
        </w:rPr>
        <w:t xml:space="preserve"> particular, sería el formato de baja y alta, que de acuerdo a los Lineamientos para la Entrega de</w:t>
      </w:r>
      <w:r w:rsidR="00A743A2" w:rsidRPr="008A6ABF">
        <w:rPr>
          <w:rFonts w:ascii="Palatino Linotype" w:eastAsia="Palatino Linotype" w:hAnsi="Palatino Linotype" w:cs="Palatino Linotype"/>
          <w:color w:val="000000"/>
          <w:sz w:val="22"/>
          <w:szCs w:val="22"/>
        </w:rPr>
        <w:t xml:space="preserve"> los </w:t>
      </w:r>
      <w:r w:rsidRPr="008A6ABF">
        <w:rPr>
          <w:rFonts w:ascii="Palatino Linotype" w:eastAsia="Palatino Linotype" w:hAnsi="Palatino Linotype" w:cs="Palatino Linotype"/>
          <w:color w:val="000000"/>
          <w:sz w:val="22"/>
          <w:szCs w:val="22"/>
        </w:rPr>
        <w:t>Informe</w:t>
      </w:r>
      <w:r w:rsidR="00A743A2" w:rsidRPr="008A6ABF">
        <w:rPr>
          <w:rFonts w:ascii="Palatino Linotype" w:eastAsia="Palatino Linotype" w:hAnsi="Palatino Linotype" w:cs="Palatino Linotype"/>
          <w:color w:val="000000"/>
          <w:sz w:val="22"/>
          <w:szCs w:val="22"/>
        </w:rPr>
        <w:t xml:space="preserve">s </w:t>
      </w:r>
      <w:r w:rsidRPr="008A6ABF">
        <w:rPr>
          <w:rFonts w:ascii="Palatino Linotype" w:eastAsia="Palatino Linotype" w:hAnsi="Palatino Linotype" w:cs="Palatino Linotype"/>
          <w:color w:val="000000"/>
          <w:sz w:val="22"/>
          <w:szCs w:val="22"/>
        </w:rPr>
        <w:t xml:space="preserve"> Mensual</w:t>
      </w:r>
      <w:r w:rsidR="00A743A2" w:rsidRPr="008A6ABF">
        <w:rPr>
          <w:rFonts w:ascii="Palatino Linotype" w:eastAsia="Palatino Linotype" w:hAnsi="Palatino Linotype" w:cs="Palatino Linotype"/>
          <w:color w:val="000000"/>
          <w:sz w:val="22"/>
          <w:szCs w:val="22"/>
        </w:rPr>
        <w:t>es y Trimestrales de los Municipios de los ejercicios fiscales de 2</w:t>
      </w:r>
      <w:r w:rsidRPr="008A6ABF">
        <w:rPr>
          <w:rFonts w:ascii="Palatino Linotype" w:eastAsia="Palatino Linotype" w:hAnsi="Palatino Linotype" w:cs="Palatino Linotype"/>
          <w:color w:val="000000"/>
          <w:sz w:val="22"/>
          <w:szCs w:val="22"/>
        </w:rPr>
        <w:t xml:space="preserve">016 al 2021, en </w:t>
      </w:r>
      <w:r w:rsidR="00A743A2" w:rsidRPr="008A6ABF">
        <w:rPr>
          <w:rFonts w:ascii="Palatino Linotype" w:eastAsia="Palatino Linotype" w:hAnsi="Palatino Linotype" w:cs="Palatino Linotype"/>
          <w:color w:val="000000"/>
          <w:sz w:val="22"/>
          <w:szCs w:val="22"/>
        </w:rPr>
        <w:t xml:space="preserve">los que se </w:t>
      </w:r>
      <w:r w:rsidRPr="008A6ABF">
        <w:rPr>
          <w:rFonts w:ascii="Palatino Linotype" w:eastAsia="Palatino Linotype" w:hAnsi="Palatino Linotype" w:cs="Palatino Linotype"/>
          <w:color w:val="000000"/>
          <w:sz w:val="22"/>
          <w:szCs w:val="22"/>
        </w:rPr>
        <w:t xml:space="preserve">establece que </w:t>
      </w:r>
      <w:r w:rsidR="00A743A2" w:rsidRPr="008A6ABF">
        <w:rPr>
          <w:rFonts w:ascii="Palatino Linotype" w:eastAsia="Palatino Linotype" w:hAnsi="Palatino Linotype" w:cs="Palatino Linotype"/>
          <w:b/>
          <w:color w:val="000000"/>
          <w:sz w:val="22"/>
          <w:szCs w:val="22"/>
        </w:rPr>
        <w:t>EL SUJETO OBLIGADO</w:t>
      </w:r>
      <w:r w:rsidR="00A743A2" w:rsidRPr="008A6ABF">
        <w:rPr>
          <w:rFonts w:ascii="Palatino Linotype" w:eastAsia="Palatino Linotype" w:hAnsi="Palatino Linotype" w:cs="Palatino Linotype"/>
          <w:color w:val="000000"/>
          <w:sz w:val="22"/>
          <w:szCs w:val="22"/>
        </w:rPr>
        <w:t xml:space="preserve"> </w:t>
      </w:r>
      <w:r w:rsidRPr="008A6ABF">
        <w:rPr>
          <w:rFonts w:ascii="Palatino Linotype" w:eastAsia="Palatino Linotype" w:hAnsi="Palatino Linotype" w:cs="Palatino Linotype"/>
          <w:color w:val="000000"/>
          <w:sz w:val="22"/>
          <w:szCs w:val="22"/>
        </w:rPr>
        <w:t>debe informar mensualmente</w:t>
      </w:r>
      <w:r w:rsidR="00A743A2" w:rsidRPr="008A6ABF">
        <w:rPr>
          <w:rFonts w:ascii="Palatino Linotype" w:eastAsia="Palatino Linotype" w:hAnsi="Palatino Linotype" w:cs="Palatino Linotype"/>
          <w:color w:val="000000"/>
          <w:sz w:val="22"/>
          <w:szCs w:val="22"/>
        </w:rPr>
        <w:t xml:space="preserve"> y para 2021 trimestralmente</w:t>
      </w:r>
      <w:r w:rsidRPr="008A6ABF">
        <w:rPr>
          <w:rFonts w:ascii="Palatino Linotype" w:eastAsia="Palatino Linotype" w:hAnsi="Palatino Linotype" w:cs="Palatino Linotype"/>
          <w:color w:val="000000"/>
          <w:sz w:val="22"/>
          <w:szCs w:val="22"/>
        </w:rPr>
        <w:t>, al Órgano de Fiscalización del Estado de México</w:t>
      </w:r>
      <w:r w:rsidR="00A743A2" w:rsidRPr="008A6ABF">
        <w:rPr>
          <w:rFonts w:ascii="Palatino Linotype" w:eastAsia="Palatino Linotype" w:hAnsi="Palatino Linotype" w:cs="Palatino Linotype"/>
          <w:color w:val="000000"/>
          <w:sz w:val="22"/>
          <w:szCs w:val="22"/>
        </w:rPr>
        <w:t xml:space="preserve"> (OSFEM)</w:t>
      </w:r>
      <w:r w:rsidR="00CF227C">
        <w:rPr>
          <w:rFonts w:ascii="Palatino Linotype" w:eastAsia="Palatino Linotype" w:hAnsi="Palatino Linotype" w:cs="Palatino Linotype"/>
          <w:color w:val="000000"/>
          <w:sz w:val="22"/>
          <w:szCs w:val="22"/>
        </w:rPr>
        <w:t>.</w:t>
      </w:r>
    </w:p>
    <w:p w14:paraId="54E316F7" w14:textId="77777777" w:rsidR="00CF227C" w:rsidRDefault="00CF227C"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19C2D69D" w14:textId="33B6FA2B" w:rsidR="00A743A2" w:rsidRPr="008A6ABF" w:rsidRDefault="00CF227C" w:rsidP="00CF227C">
      <w:pPr>
        <w:spacing w:line="360" w:lineRule="auto"/>
        <w:jc w:val="both"/>
        <w:rPr>
          <w:rFonts w:ascii="Palatino Linotype" w:eastAsia="Palatino Linotype" w:hAnsi="Palatino Linotype" w:cs="Palatino Linotype"/>
        </w:rPr>
      </w:pPr>
      <w:r w:rsidRPr="00F302E7">
        <w:rPr>
          <w:rFonts w:ascii="Palatino Linotype" w:hAnsi="Palatino Linotype"/>
          <w:noProof/>
          <w:lang w:eastAsia="es-MX"/>
        </w:rPr>
        <mc:AlternateContent>
          <mc:Choice Requires="wps">
            <w:drawing>
              <wp:anchor distT="0" distB="0" distL="114300" distR="114300" simplePos="0" relativeHeight="251662336" behindDoc="0" locked="0" layoutInCell="1" hidden="0" allowOverlap="1" wp14:anchorId="207AB1D4" wp14:editId="1B4258F4">
                <wp:simplePos x="0" y="0"/>
                <wp:positionH relativeFrom="column">
                  <wp:posOffset>254790</wp:posOffset>
                </wp:positionH>
                <wp:positionV relativeFrom="paragraph">
                  <wp:posOffset>1479411</wp:posOffset>
                </wp:positionV>
                <wp:extent cx="5393493" cy="220980"/>
                <wp:effectExtent l="19050" t="19050" r="17145" b="26670"/>
                <wp:wrapNone/>
                <wp:docPr id="70" name="Rectángulo 70"/>
                <wp:cNvGraphicFramePr/>
                <a:graphic xmlns:a="http://schemas.openxmlformats.org/drawingml/2006/main">
                  <a:graphicData uri="http://schemas.microsoft.com/office/word/2010/wordprocessingShape">
                    <wps:wsp>
                      <wps:cNvSpPr/>
                      <wps:spPr>
                        <a:xfrm>
                          <a:off x="0" y="0"/>
                          <a:ext cx="5393493" cy="220980"/>
                        </a:xfrm>
                        <a:prstGeom prst="rect">
                          <a:avLst/>
                        </a:prstGeom>
                        <a:noFill/>
                        <a:ln w="38100" cap="flat" cmpd="sng">
                          <a:solidFill>
                            <a:srgbClr val="FF0000"/>
                          </a:solidFill>
                          <a:prstDash val="solid"/>
                          <a:miter lim="800000"/>
                          <a:headEnd type="none" w="sm" len="sm"/>
                          <a:tailEnd type="none" w="sm" len="sm"/>
                        </a:ln>
                      </wps:spPr>
                      <wps:txbx>
                        <w:txbxContent>
                          <w:p w14:paraId="6F060E36" w14:textId="77777777" w:rsidR="00A743A2" w:rsidRDefault="00A743A2" w:rsidP="00A743A2">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70" style="position:absolute;left:0;text-align:left;margin-left:20.05pt;margin-top:116.5pt;width:424.7pt;height:17.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3pt" w14:anchorId="207AB1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">
                <v:stroke startarrowwidth="narrow" startarrowlength="short" endarrowwidth="narrow" endarrowlength="short"/>
                <v:textbox inset="2.53958mm,2.53958mm,2.53958mm,2.53958mm">
                  <w:txbxContent>
                    <w:p w:rsidR="00A743A2" w:rsidP="00A743A2" w:rsidRDefault="00A743A2" w14:paraId="6F060E36" w14:textId="77777777">
                      <w:pPr>
                        <w:textDirection w:val="btLr"/>
                      </w:pPr>
                    </w:p>
                  </w:txbxContent>
                </v:textbox>
              </v:rect>
            </w:pict>
          </mc:Fallback>
        </mc:AlternateContent>
      </w:r>
      <w:r w:rsidR="00A743A2" w:rsidRPr="00F302E7">
        <w:rPr>
          <w:rFonts w:ascii="Palatino Linotype" w:hAnsi="Palatino Linotype"/>
          <w:noProof/>
          <w:lang w:eastAsia="es-MX"/>
        </w:rPr>
        <w:drawing>
          <wp:inline distT="0" distB="0" distL="0" distR="0" wp14:anchorId="39E0C04A" wp14:editId="3D2E5821">
            <wp:extent cx="5242374" cy="2420471"/>
            <wp:effectExtent l="0" t="0" r="0" b="0"/>
            <wp:docPr id="87" name="image23.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png" descr="Texto&#10;&#10;Descripción generada automáticamente"/>
                    <pic:cNvPicPr preferRelativeResize="0"/>
                  </pic:nvPicPr>
                  <pic:blipFill>
                    <a:blip r:embed="rId10"/>
                    <a:srcRect l="22743" t="63997" r="22098" b="8231"/>
                    <a:stretch>
                      <a:fillRect/>
                    </a:stretch>
                  </pic:blipFill>
                  <pic:spPr>
                    <a:xfrm>
                      <a:off x="0" y="0"/>
                      <a:ext cx="5257653" cy="2427525"/>
                    </a:xfrm>
                    <a:prstGeom prst="rect">
                      <a:avLst/>
                    </a:prstGeom>
                    <a:ln/>
                  </pic:spPr>
                </pic:pic>
              </a:graphicData>
            </a:graphic>
          </wp:inline>
        </w:drawing>
      </w:r>
    </w:p>
    <w:p w14:paraId="62B00C24" w14:textId="54D18717" w:rsidR="00A743A2" w:rsidRPr="008A6ABF" w:rsidRDefault="00A743A2" w:rsidP="00CF227C">
      <w:pPr>
        <w:spacing w:line="360" w:lineRule="auto"/>
        <w:jc w:val="both"/>
        <w:rPr>
          <w:rFonts w:ascii="Palatino Linotype" w:eastAsia="Palatino Linotype" w:hAnsi="Palatino Linotype" w:cs="Palatino Linotype"/>
        </w:rPr>
      </w:pPr>
      <w:r w:rsidRPr="00F302E7">
        <w:rPr>
          <w:rFonts w:ascii="Palatino Linotype" w:hAnsi="Palatino Linotype"/>
          <w:noProof/>
          <w:lang w:eastAsia="es-MX"/>
        </w:rPr>
        <w:lastRenderedPageBreak/>
        <mc:AlternateContent>
          <mc:Choice Requires="wps">
            <w:drawing>
              <wp:anchor distT="0" distB="0" distL="114300" distR="114300" simplePos="0" relativeHeight="251663360" behindDoc="0" locked="0" layoutInCell="1" hidden="0" allowOverlap="1" wp14:anchorId="3ACB2568" wp14:editId="7D2E819F">
                <wp:simplePos x="0" y="0"/>
                <wp:positionH relativeFrom="column">
                  <wp:posOffset>68468</wp:posOffset>
                </wp:positionH>
                <wp:positionV relativeFrom="paragraph">
                  <wp:posOffset>1013844</wp:posOffset>
                </wp:positionV>
                <wp:extent cx="5301095" cy="410213"/>
                <wp:effectExtent l="19050" t="19050" r="13970" b="27940"/>
                <wp:wrapNone/>
                <wp:docPr id="64" name="Rectángulo 64"/>
                <wp:cNvGraphicFramePr/>
                <a:graphic xmlns:a="http://schemas.openxmlformats.org/drawingml/2006/main">
                  <a:graphicData uri="http://schemas.microsoft.com/office/word/2010/wordprocessingShape">
                    <wps:wsp>
                      <wps:cNvSpPr/>
                      <wps:spPr>
                        <a:xfrm>
                          <a:off x="0" y="0"/>
                          <a:ext cx="5301095" cy="410213"/>
                        </a:xfrm>
                        <a:prstGeom prst="rect">
                          <a:avLst/>
                        </a:prstGeom>
                        <a:noFill/>
                        <a:ln w="38100" cap="flat" cmpd="sng">
                          <a:solidFill>
                            <a:srgbClr val="FF0000"/>
                          </a:solidFill>
                          <a:prstDash val="solid"/>
                          <a:miter lim="800000"/>
                          <a:headEnd type="none" w="sm" len="sm"/>
                          <a:tailEnd type="none" w="sm" len="sm"/>
                        </a:ln>
                      </wps:spPr>
                      <wps:txbx>
                        <w:txbxContent>
                          <w:p w14:paraId="24857A98" w14:textId="77777777" w:rsidR="00A743A2" w:rsidRDefault="00A743A2" w:rsidP="00A743A2">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64" style="position:absolute;left:0;text-align:left;margin-left:5.4pt;margin-top:79.85pt;width:417.4pt;height:3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ed="f" strokecolor="red" strokeweight="3pt" w14:anchorId="3ACB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">
                <v:stroke startarrowwidth="narrow" startarrowlength="short" endarrowwidth="narrow" endarrowlength="short"/>
                <v:textbox inset="2.53958mm,2.53958mm,2.53958mm,2.53958mm">
                  <w:txbxContent>
                    <w:p w:rsidR="00A743A2" w:rsidP="00A743A2" w:rsidRDefault="00A743A2" w14:paraId="24857A98" w14:textId="77777777">
                      <w:pPr>
                        <w:textDirection w:val="btLr"/>
                      </w:pPr>
                    </w:p>
                  </w:txbxContent>
                </v:textbox>
              </v:rect>
            </w:pict>
          </mc:Fallback>
        </mc:AlternateContent>
      </w:r>
      <w:r w:rsidRPr="00F302E7">
        <w:rPr>
          <w:rFonts w:ascii="Palatino Linotype" w:hAnsi="Palatino Linotype"/>
          <w:noProof/>
          <w:lang w:eastAsia="es-MX"/>
        </w:rPr>
        <w:drawing>
          <wp:inline distT="0" distB="0" distL="0" distR="0" wp14:anchorId="6CF4B7B9" wp14:editId="13489AB4">
            <wp:extent cx="5381625" cy="2249326"/>
            <wp:effectExtent l="0" t="0" r="0" b="0"/>
            <wp:docPr id="86" name="image25.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5.png" descr="Texto&#10;&#10;Descripción generada automáticamente con confianza media"/>
                    <pic:cNvPicPr preferRelativeResize="0"/>
                  </pic:nvPicPr>
                  <pic:blipFill rotWithShape="1">
                    <a:blip r:embed="rId11"/>
                    <a:srcRect l="13578" t="36654" r="15817" b="28377"/>
                    <a:stretch/>
                  </pic:blipFill>
                  <pic:spPr bwMode="auto">
                    <a:xfrm>
                      <a:off x="0" y="0"/>
                      <a:ext cx="5411331" cy="2261742"/>
                    </a:xfrm>
                    <a:prstGeom prst="rect">
                      <a:avLst/>
                    </a:prstGeom>
                    <a:ln>
                      <a:noFill/>
                    </a:ln>
                    <a:extLst>
                      <a:ext uri="{53640926-AAD7-44D8-BBD7-CCE9431645EC}">
                        <a14:shadowObscured xmlns:a14="http://schemas.microsoft.com/office/drawing/2010/main"/>
                      </a:ext>
                    </a:extLst>
                  </pic:spPr>
                </pic:pic>
              </a:graphicData>
            </a:graphic>
          </wp:inline>
        </w:drawing>
      </w:r>
    </w:p>
    <w:p w14:paraId="16CEA962" w14:textId="77777777" w:rsidR="00A743A2" w:rsidRPr="008A6ABF" w:rsidRDefault="00A743A2" w:rsidP="00CF227C">
      <w:pPr>
        <w:spacing w:line="360" w:lineRule="auto"/>
        <w:jc w:val="both"/>
        <w:rPr>
          <w:rFonts w:ascii="Palatino Linotype" w:eastAsia="Palatino Linotype" w:hAnsi="Palatino Linotype" w:cs="Palatino Linotype"/>
        </w:rPr>
      </w:pPr>
    </w:p>
    <w:p w14:paraId="1144C216" w14:textId="5ECCD15D" w:rsidR="00A743A2" w:rsidRPr="008A6ABF" w:rsidRDefault="00A743A2" w:rsidP="00CF227C">
      <w:pPr>
        <w:spacing w:line="360" w:lineRule="auto"/>
        <w:jc w:val="both"/>
        <w:rPr>
          <w:rFonts w:ascii="Palatino Linotype" w:eastAsia="Palatino Linotype" w:hAnsi="Palatino Linotype" w:cs="Palatino Linotype"/>
        </w:rPr>
      </w:pPr>
      <w:r w:rsidRPr="00F302E7">
        <w:rPr>
          <w:rFonts w:ascii="Palatino Linotype" w:hAnsi="Palatino Linotype"/>
          <w:noProof/>
          <w:lang w:eastAsia="es-MX"/>
        </w:rPr>
        <w:drawing>
          <wp:inline distT="0" distB="0" distL="0" distR="0" wp14:anchorId="42520C46" wp14:editId="183244CD">
            <wp:extent cx="5668394" cy="3510905"/>
            <wp:effectExtent l="0" t="0" r="8890" b="0"/>
            <wp:docPr id="89" name="image27.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7.png" descr="Interfaz de usuario gráfica, Texto&#10;&#10;Descripción generada automáticamente"/>
                    <pic:cNvPicPr preferRelativeResize="0"/>
                  </pic:nvPicPr>
                  <pic:blipFill rotWithShape="1">
                    <a:blip r:embed="rId12"/>
                    <a:srcRect l="15783" t="53138" r="19002" b="10645"/>
                    <a:stretch/>
                  </pic:blipFill>
                  <pic:spPr bwMode="auto">
                    <a:xfrm>
                      <a:off x="0" y="0"/>
                      <a:ext cx="5684435" cy="3520841"/>
                    </a:xfrm>
                    <a:prstGeom prst="rect">
                      <a:avLst/>
                    </a:prstGeom>
                    <a:ln>
                      <a:noFill/>
                    </a:ln>
                    <a:extLst>
                      <a:ext uri="{53640926-AAD7-44D8-BBD7-CCE9431645EC}">
                        <a14:shadowObscured xmlns:a14="http://schemas.microsoft.com/office/drawing/2010/main"/>
                      </a:ext>
                    </a:extLst>
                  </pic:spPr>
                </pic:pic>
              </a:graphicData>
            </a:graphic>
          </wp:inline>
        </w:drawing>
      </w:r>
    </w:p>
    <w:p w14:paraId="15D68349" w14:textId="04E475B7" w:rsidR="00A743A2" w:rsidRPr="008A6ABF" w:rsidRDefault="00A743A2" w:rsidP="00CF227C">
      <w:pPr>
        <w:spacing w:line="360" w:lineRule="auto"/>
        <w:jc w:val="both"/>
        <w:rPr>
          <w:rFonts w:ascii="Palatino Linotype" w:eastAsia="Palatino Linotype" w:hAnsi="Palatino Linotype" w:cs="Palatino Linotype"/>
        </w:rPr>
      </w:pPr>
      <w:r w:rsidRPr="00F302E7">
        <w:rPr>
          <w:rFonts w:ascii="Palatino Linotype" w:hAnsi="Palatino Linotype"/>
          <w:noProof/>
          <w:lang w:eastAsia="es-MX"/>
        </w:rPr>
        <w:lastRenderedPageBreak/>
        <w:drawing>
          <wp:inline distT="0" distB="0" distL="0" distR="0" wp14:anchorId="033EE12F" wp14:editId="2F303AD2">
            <wp:extent cx="5562522" cy="3038475"/>
            <wp:effectExtent l="0" t="0" r="635" b="0"/>
            <wp:docPr id="88" name="image29.png" descr="Interfaz de usuario gráfica, 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9.png" descr="Interfaz de usuario gráfica, Tabla&#10;&#10;Descripción generada automáticamente con confianza media"/>
                    <pic:cNvPicPr preferRelativeResize="0"/>
                  </pic:nvPicPr>
                  <pic:blipFill rotWithShape="1">
                    <a:blip r:embed="rId13"/>
                    <a:srcRect l="14427" t="40146" r="17685" b="10947"/>
                    <a:stretch/>
                  </pic:blipFill>
                  <pic:spPr bwMode="auto">
                    <a:xfrm>
                      <a:off x="0" y="0"/>
                      <a:ext cx="5567877" cy="3041400"/>
                    </a:xfrm>
                    <a:prstGeom prst="rect">
                      <a:avLst/>
                    </a:prstGeom>
                    <a:ln>
                      <a:noFill/>
                    </a:ln>
                    <a:extLst>
                      <a:ext uri="{53640926-AAD7-44D8-BBD7-CCE9431645EC}">
                        <a14:shadowObscured xmlns:a14="http://schemas.microsoft.com/office/drawing/2010/main"/>
                      </a:ext>
                    </a:extLst>
                  </pic:spPr>
                </pic:pic>
              </a:graphicData>
            </a:graphic>
          </wp:inline>
        </w:drawing>
      </w:r>
    </w:p>
    <w:p w14:paraId="3977B3C5" w14:textId="77777777" w:rsidR="00A743A2" w:rsidRPr="008A6ABF" w:rsidRDefault="00A743A2" w:rsidP="00CF227C">
      <w:pPr>
        <w:spacing w:line="360" w:lineRule="auto"/>
        <w:jc w:val="both"/>
        <w:rPr>
          <w:rFonts w:ascii="Palatino Linotype" w:eastAsia="Palatino Linotype" w:hAnsi="Palatino Linotype" w:cs="Palatino Linotype"/>
        </w:rPr>
      </w:pPr>
      <w:r w:rsidRPr="008A6ABF">
        <w:rPr>
          <w:rFonts w:ascii="Palatino Linotype" w:eastAsia="Palatino Linotype" w:hAnsi="Palatino Linotype" w:cs="Palatino Linotype"/>
        </w:rPr>
        <w:t>2017 y 2018:</w:t>
      </w:r>
    </w:p>
    <w:p w14:paraId="40386582" w14:textId="4A64C8EB" w:rsidR="00A743A2" w:rsidRPr="008A6ABF" w:rsidRDefault="00A743A2" w:rsidP="00CF227C">
      <w:pPr>
        <w:spacing w:line="360" w:lineRule="auto"/>
        <w:jc w:val="center"/>
        <w:rPr>
          <w:rFonts w:ascii="Palatino Linotype" w:eastAsia="Palatino Linotype" w:hAnsi="Palatino Linotype" w:cs="Palatino Linotype"/>
        </w:rPr>
      </w:pPr>
      <w:r w:rsidRPr="00F302E7">
        <w:rPr>
          <w:rFonts w:ascii="Palatino Linotype" w:hAnsi="Palatino Linotype"/>
          <w:noProof/>
          <w:lang w:eastAsia="es-MX"/>
        </w:rPr>
        <mc:AlternateContent>
          <mc:Choice Requires="wps">
            <w:drawing>
              <wp:anchor distT="0" distB="0" distL="114300" distR="114300" simplePos="0" relativeHeight="251682816" behindDoc="0" locked="0" layoutInCell="1" allowOverlap="1" wp14:anchorId="37C1191A" wp14:editId="2167C75F">
                <wp:simplePos x="0" y="0"/>
                <wp:positionH relativeFrom="column">
                  <wp:posOffset>171154</wp:posOffset>
                </wp:positionH>
                <wp:positionV relativeFrom="paragraph">
                  <wp:posOffset>1040690</wp:posOffset>
                </wp:positionV>
                <wp:extent cx="5242067" cy="465044"/>
                <wp:effectExtent l="19050" t="19050" r="15875" b="11430"/>
                <wp:wrapNone/>
                <wp:docPr id="8" name="Rectángulo 8"/>
                <wp:cNvGraphicFramePr/>
                <a:graphic xmlns:a="http://schemas.openxmlformats.org/drawingml/2006/main">
                  <a:graphicData uri="http://schemas.microsoft.com/office/word/2010/wordprocessingShape">
                    <wps:wsp>
                      <wps:cNvSpPr/>
                      <wps:spPr>
                        <a:xfrm>
                          <a:off x="0" y="0"/>
                          <a:ext cx="5242067" cy="4650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8" style="position:absolute;margin-left:13.5pt;margin-top:81.95pt;width:412.75pt;height:3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BBDD9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"/>
            </w:pict>
          </mc:Fallback>
        </mc:AlternateContent>
      </w:r>
      <w:r w:rsidRPr="00F302E7">
        <w:rPr>
          <w:rFonts w:ascii="Palatino Linotype" w:hAnsi="Palatino Linotype"/>
          <w:noProof/>
          <w:lang w:eastAsia="es-MX"/>
        </w:rPr>
        <w:drawing>
          <wp:inline distT="0" distB="0" distL="0" distR="0" wp14:anchorId="6B399370" wp14:editId="29A06563">
            <wp:extent cx="5036534" cy="3442447"/>
            <wp:effectExtent l="0" t="0" r="0" b="5715"/>
            <wp:docPr id="91" name="image33.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3.png" descr="Interfaz de usuario gráfica&#10;&#10;Descripción generada automáticamente con confianza media"/>
                    <pic:cNvPicPr preferRelativeResize="0"/>
                  </pic:nvPicPr>
                  <pic:blipFill rotWithShape="1">
                    <a:blip r:embed="rId14"/>
                    <a:srcRect l="22034" t="52499" r="22605" b="10647"/>
                    <a:stretch/>
                  </pic:blipFill>
                  <pic:spPr bwMode="auto">
                    <a:xfrm>
                      <a:off x="0" y="0"/>
                      <a:ext cx="5067373" cy="3463525"/>
                    </a:xfrm>
                    <a:prstGeom prst="rect">
                      <a:avLst/>
                    </a:prstGeom>
                    <a:ln>
                      <a:noFill/>
                    </a:ln>
                    <a:extLst>
                      <a:ext uri="{53640926-AAD7-44D8-BBD7-CCE9431645EC}">
                        <a14:shadowObscured xmlns:a14="http://schemas.microsoft.com/office/drawing/2010/main"/>
                      </a:ext>
                    </a:extLst>
                  </pic:spPr>
                </pic:pic>
              </a:graphicData>
            </a:graphic>
          </wp:inline>
        </w:drawing>
      </w:r>
    </w:p>
    <w:p w14:paraId="4E9AF701" w14:textId="4A09D797" w:rsidR="00A743A2" w:rsidRPr="008A6ABF" w:rsidRDefault="00A743A2" w:rsidP="00CF227C">
      <w:pPr>
        <w:spacing w:line="360" w:lineRule="auto"/>
        <w:jc w:val="both"/>
        <w:rPr>
          <w:rFonts w:ascii="Palatino Linotype" w:eastAsia="Palatino Linotype" w:hAnsi="Palatino Linotype" w:cs="Palatino Linotype"/>
        </w:rPr>
      </w:pPr>
      <w:r w:rsidRPr="00F302E7">
        <w:rPr>
          <w:rFonts w:ascii="Palatino Linotype" w:hAnsi="Palatino Linotype"/>
          <w:noProof/>
          <w:lang w:eastAsia="es-MX"/>
        </w:rPr>
        <w:lastRenderedPageBreak/>
        <w:drawing>
          <wp:inline distT="0" distB="0" distL="0" distR="0" wp14:anchorId="3C0AD694" wp14:editId="06D6B98C">
            <wp:extent cx="5612023" cy="2018348"/>
            <wp:effectExtent l="0" t="0" r="8255" b="1270"/>
            <wp:docPr id="90" name="image40.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0.png" descr="Interfaz de usuario gráfica, Texto, Aplicación&#10;&#10;Descripción generada automáticamente"/>
                    <pic:cNvPicPr preferRelativeResize="0"/>
                  </pic:nvPicPr>
                  <pic:blipFill rotWithShape="1">
                    <a:blip r:embed="rId15"/>
                    <a:srcRect l="22404" t="53258" r="24473" b="12759"/>
                    <a:stretch/>
                  </pic:blipFill>
                  <pic:spPr bwMode="auto">
                    <a:xfrm>
                      <a:off x="0" y="0"/>
                      <a:ext cx="5612130" cy="2018386"/>
                    </a:xfrm>
                    <a:prstGeom prst="rect">
                      <a:avLst/>
                    </a:prstGeom>
                    <a:ln>
                      <a:noFill/>
                    </a:ln>
                    <a:extLst>
                      <a:ext uri="{53640926-AAD7-44D8-BBD7-CCE9431645EC}">
                        <a14:shadowObscured xmlns:a14="http://schemas.microsoft.com/office/drawing/2010/main"/>
                      </a:ext>
                    </a:extLst>
                  </pic:spPr>
                </pic:pic>
              </a:graphicData>
            </a:graphic>
          </wp:inline>
        </w:drawing>
      </w:r>
    </w:p>
    <w:p w14:paraId="2A02C5D8" w14:textId="3E46DA23" w:rsidR="00A743A2" w:rsidRPr="008A6ABF" w:rsidRDefault="00A743A2" w:rsidP="00CF227C">
      <w:pPr>
        <w:spacing w:line="360" w:lineRule="auto"/>
        <w:jc w:val="both"/>
        <w:rPr>
          <w:rFonts w:ascii="Palatino Linotype" w:eastAsia="Palatino Linotype" w:hAnsi="Palatino Linotype" w:cs="Palatino Linotype"/>
        </w:rPr>
      </w:pPr>
      <w:r w:rsidRPr="00F302E7">
        <w:rPr>
          <w:rFonts w:ascii="Palatino Linotype" w:hAnsi="Palatino Linotype"/>
          <w:noProof/>
          <w:lang w:eastAsia="es-MX"/>
        </w:rPr>
        <w:drawing>
          <wp:inline distT="0" distB="0" distL="0" distR="0" wp14:anchorId="7698D1CD" wp14:editId="5FB58A2D">
            <wp:extent cx="5606415" cy="1862301"/>
            <wp:effectExtent l="0" t="0" r="0" b="5080"/>
            <wp:docPr id="92" name="image32.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png" descr="Interfaz de usuario gráfica, Texto&#10;&#10;Descripción generada automáticamente"/>
                    <pic:cNvPicPr preferRelativeResize="0"/>
                  </pic:nvPicPr>
                  <pic:blipFill rotWithShape="1">
                    <a:blip r:embed="rId16"/>
                    <a:srcRect l="21724" t="49921" r="24303" b="10344"/>
                    <a:stretch/>
                  </pic:blipFill>
                  <pic:spPr bwMode="auto">
                    <a:xfrm>
                      <a:off x="0" y="0"/>
                      <a:ext cx="5606859" cy="1862448"/>
                    </a:xfrm>
                    <a:prstGeom prst="rect">
                      <a:avLst/>
                    </a:prstGeom>
                    <a:ln>
                      <a:noFill/>
                    </a:ln>
                    <a:extLst>
                      <a:ext uri="{53640926-AAD7-44D8-BBD7-CCE9431645EC}">
                        <a14:shadowObscured xmlns:a14="http://schemas.microsoft.com/office/drawing/2010/main"/>
                      </a:ext>
                    </a:extLst>
                  </pic:spPr>
                </pic:pic>
              </a:graphicData>
            </a:graphic>
          </wp:inline>
        </w:drawing>
      </w:r>
    </w:p>
    <w:p w14:paraId="3109A92D" w14:textId="77777777" w:rsidR="00A743A2" w:rsidRPr="008A6ABF" w:rsidRDefault="00A743A2" w:rsidP="00CF227C">
      <w:pPr>
        <w:spacing w:line="360" w:lineRule="auto"/>
        <w:jc w:val="both"/>
        <w:rPr>
          <w:rFonts w:ascii="Palatino Linotype" w:eastAsia="Palatino Linotype" w:hAnsi="Palatino Linotype" w:cs="Palatino Linotype"/>
        </w:rPr>
      </w:pPr>
      <w:r w:rsidRPr="008A6ABF">
        <w:rPr>
          <w:rFonts w:ascii="Palatino Linotype" w:eastAsia="Palatino Linotype" w:hAnsi="Palatino Linotype" w:cs="Palatino Linotype"/>
        </w:rPr>
        <w:t>2019:</w:t>
      </w:r>
    </w:p>
    <w:p w14:paraId="5AAC0068" w14:textId="079F7B8F" w:rsidR="00A743A2" w:rsidRPr="008A6ABF" w:rsidRDefault="00A743A2" w:rsidP="00CF227C">
      <w:pPr>
        <w:spacing w:line="360" w:lineRule="auto"/>
        <w:jc w:val="both"/>
        <w:rPr>
          <w:rFonts w:ascii="Palatino Linotype" w:eastAsia="Palatino Linotype" w:hAnsi="Palatino Linotype" w:cs="Palatino Linotype"/>
        </w:rPr>
      </w:pPr>
      <w:r w:rsidRPr="00F302E7">
        <w:rPr>
          <w:rFonts w:ascii="Palatino Linotype" w:hAnsi="Palatino Linotype"/>
          <w:noProof/>
          <w:lang w:eastAsia="es-MX"/>
        </w:rPr>
        <w:drawing>
          <wp:anchor distT="0" distB="0" distL="0" distR="0" simplePos="0" relativeHeight="251666432" behindDoc="1" locked="0" layoutInCell="1" hidden="0" allowOverlap="1" wp14:anchorId="5282BEFB" wp14:editId="7CE58CD4">
            <wp:simplePos x="0" y="0"/>
            <wp:positionH relativeFrom="margin">
              <wp:posOffset>128587</wp:posOffset>
            </wp:positionH>
            <wp:positionV relativeFrom="paragraph">
              <wp:posOffset>129540</wp:posOffset>
            </wp:positionV>
            <wp:extent cx="5781574" cy="2573383"/>
            <wp:effectExtent l="0" t="0" r="0" b="0"/>
            <wp:wrapNone/>
            <wp:docPr id="75" name="image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 Aplicación&#10;&#10;Descripción generada automáticamente"/>
                    <pic:cNvPicPr preferRelativeResize="0"/>
                  </pic:nvPicPr>
                  <pic:blipFill>
                    <a:blip r:embed="rId17"/>
                    <a:srcRect l="28945" t="20542" r="33229" b="41387"/>
                    <a:stretch>
                      <a:fillRect/>
                    </a:stretch>
                  </pic:blipFill>
                  <pic:spPr>
                    <a:xfrm>
                      <a:off x="0" y="0"/>
                      <a:ext cx="5781574" cy="2573383"/>
                    </a:xfrm>
                    <a:prstGeom prst="rect">
                      <a:avLst/>
                    </a:prstGeom>
                    <a:ln/>
                  </pic:spPr>
                </pic:pic>
              </a:graphicData>
            </a:graphic>
          </wp:anchor>
        </w:drawing>
      </w:r>
    </w:p>
    <w:p w14:paraId="1398868D" w14:textId="77777777" w:rsidR="00A743A2" w:rsidRPr="008A6ABF" w:rsidRDefault="00A743A2" w:rsidP="00CF227C">
      <w:pPr>
        <w:spacing w:line="360" w:lineRule="auto"/>
        <w:jc w:val="both"/>
        <w:rPr>
          <w:rFonts w:ascii="Palatino Linotype" w:eastAsia="Palatino Linotype" w:hAnsi="Palatino Linotype" w:cs="Palatino Linotype"/>
        </w:rPr>
      </w:pPr>
    </w:p>
    <w:p w14:paraId="5D6E90DC" w14:textId="77777777" w:rsidR="00A743A2" w:rsidRPr="008A6ABF" w:rsidRDefault="00A743A2" w:rsidP="00CF227C">
      <w:pPr>
        <w:spacing w:line="360" w:lineRule="auto"/>
        <w:jc w:val="both"/>
        <w:rPr>
          <w:rFonts w:ascii="Palatino Linotype" w:eastAsia="Palatino Linotype" w:hAnsi="Palatino Linotype" w:cs="Palatino Linotype"/>
        </w:rPr>
      </w:pPr>
    </w:p>
    <w:p w14:paraId="75B82641" w14:textId="77777777" w:rsidR="00A743A2" w:rsidRPr="008A6ABF" w:rsidRDefault="00A743A2" w:rsidP="00CF227C">
      <w:pPr>
        <w:spacing w:line="360" w:lineRule="auto"/>
        <w:jc w:val="both"/>
        <w:rPr>
          <w:rFonts w:ascii="Palatino Linotype" w:eastAsia="Palatino Linotype" w:hAnsi="Palatino Linotype" w:cs="Palatino Linotype"/>
        </w:rPr>
      </w:pPr>
    </w:p>
    <w:p w14:paraId="34A07FC1" w14:textId="77777777" w:rsidR="00A743A2" w:rsidRPr="008A6ABF" w:rsidRDefault="00A743A2" w:rsidP="00CF227C">
      <w:pPr>
        <w:spacing w:line="360" w:lineRule="auto"/>
        <w:jc w:val="both"/>
        <w:rPr>
          <w:rFonts w:ascii="Palatino Linotype" w:eastAsia="Palatino Linotype" w:hAnsi="Palatino Linotype" w:cs="Palatino Linotype"/>
        </w:rPr>
      </w:pPr>
    </w:p>
    <w:p w14:paraId="0C51D793" w14:textId="77777777" w:rsidR="00A743A2" w:rsidRPr="008A6ABF" w:rsidRDefault="00A743A2" w:rsidP="00CF227C">
      <w:pPr>
        <w:spacing w:line="360" w:lineRule="auto"/>
        <w:jc w:val="both"/>
        <w:rPr>
          <w:rFonts w:ascii="Palatino Linotype" w:eastAsia="Palatino Linotype" w:hAnsi="Palatino Linotype" w:cs="Palatino Linotype"/>
        </w:rPr>
      </w:pPr>
    </w:p>
    <w:p w14:paraId="3AC7C851" w14:textId="0460B825" w:rsidR="00A743A2" w:rsidRPr="008A6ABF" w:rsidRDefault="00A743A2" w:rsidP="00CF227C">
      <w:pPr>
        <w:spacing w:line="360" w:lineRule="auto"/>
        <w:jc w:val="both"/>
        <w:rPr>
          <w:rFonts w:ascii="Palatino Linotype" w:eastAsia="Palatino Linotype" w:hAnsi="Palatino Linotype" w:cs="Palatino Linotype"/>
        </w:rPr>
      </w:pPr>
      <w:r w:rsidRPr="00F302E7">
        <w:rPr>
          <w:rFonts w:ascii="Palatino Linotype" w:hAnsi="Palatino Linotype"/>
          <w:noProof/>
          <w:lang w:eastAsia="es-MX"/>
        </w:rPr>
        <mc:AlternateContent>
          <mc:Choice Requires="wps">
            <w:drawing>
              <wp:anchor distT="0" distB="0" distL="114300" distR="114300" simplePos="0" relativeHeight="251667456" behindDoc="0" locked="0" layoutInCell="1" hidden="0" allowOverlap="1" wp14:anchorId="0D58A591" wp14:editId="1CD46B98">
                <wp:simplePos x="0" y="0"/>
                <wp:positionH relativeFrom="column">
                  <wp:posOffset>923925</wp:posOffset>
                </wp:positionH>
                <wp:positionV relativeFrom="paragraph">
                  <wp:posOffset>165735</wp:posOffset>
                </wp:positionV>
                <wp:extent cx="2801438" cy="245745"/>
                <wp:effectExtent l="0" t="0" r="0" b="0"/>
                <wp:wrapNone/>
                <wp:docPr id="62" name="Rectángulo 62"/>
                <wp:cNvGraphicFramePr/>
                <a:graphic xmlns:a="http://schemas.openxmlformats.org/drawingml/2006/main">
                  <a:graphicData uri="http://schemas.microsoft.com/office/word/2010/wordprocessingShape">
                    <wps:wsp>
                      <wps:cNvSpPr/>
                      <wps:spPr>
                        <a:xfrm>
                          <a:off x="0" y="0"/>
                          <a:ext cx="2801438" cy="245745"/>
                        </a:xfrm>
                        <a:prstGeom prst="rect">
                          <a:avLst/>
                        </a:prstGeom>
                        <a:noFill/>
                        <a:ln w="38100" cap="flat" cmpd="sng">
                          <a:solidFill>
                            <a:srgbClr val="FF0000"/>
                          </a:solidFill>
                          <a:prstDash val="solid"/>
                          <a:miter lim="800000"/>
                          <a:headEnd type="none" w="sm" len="sm"/>
                          <a:tailEnd type="none" w="sm" len="sm"/>
                        </a:ln>
                      </wps:spPr>
                      <wps:txbx>
                        <w:txbxContent>
                          <w:p w14:paraId="7B869D7E" w14:textId="77777777" w:rsidR="00A743A2" w:rsidRDefault="00A743A2" w:rsidP="00A743A2">
                            <w:pPr>
                              <w:textDirection w:val="btLr"/>
                            </w:pPr>
                          </w:p>
                        </w:txbxContent>
                      </wps:txbx>
                      <wps:bodyPr spcFirstLastPara="1" wrap="square" lIns="91425" tIns="91425" rIns="91425" bIns="91425" anchor="ctr" anchorCtr="0">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62" style="position:absolute;left:0;text-align:left;margin-left:72.75pt;margin-top:13.05pt;width:220.6pt;height:19.35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ed="f" strokecolor="red" strokeweight="3pt" w14:anchorId="0D58A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">
                <v:stroke startarrowwidth="narrow" startarrowlength="short" endarrowwidth="narrow" endarrowlength="short"/>
                <v:textbox inset="2.53958mm,2.53958mm,2.53958mm,2.53958mm">
                  <w:txbxContent>
                    <w:p w:rsidR="00A743A2" w:rsidP="00A743A2" w:rsidRDefault="00A743A2" w14:paraId="7B869D7E" w14:textId="77777777">
                      <w:pPr>
                        <w:textDirection w:val="btLr"/>
                      </w:pPr>
                    </w:p>
                  </w:txbxContent>
                </v:textbox>
              </v:rect>
            </w:pict>
          </mc:Fallback>
        </mc:AlternateContent>
      </w:r>
    </w:p>
    <w:p w14:paraId="1D5CA1D2" w14:textId="77777777" w:rsidR="00A743A2" w:rsidRPr="008A6ABF" w:rsidRDefault="00A743A2" w:rsidP="00CF227C">
      <w:pPr>
        <w:spacing w:line="360" w:lineRule="auto"/>
        <w:jc w:val="both"/>
        <w:rPr>
          <w:rFonts w:ascii="Palatino Linotype" w:eastAsia="Palatino Linotype" w:hAnsi="Palatino Linotype" w:cs="Palatino Linotype"/>
        </w:rPr>
      </w:pPr>
    </w:p>
    <w:p w14:paraId="05B8B954" w14:textId="5AA47A86" w:rsidR="00A743A2" w:rsidRDefault="00A743A2" w:rsidP="00CF227C">
      <w:pPr>
        <w:spacing w:line="360" w:lineRule="auto"/>
        <w:jc w:val="both"/>
        <w:rPr>
          <w:rFonts w:ascii="Palatino Linotype" w:eastAsia="Palatino Linotype" w:hAnsi="Palatino Linotype" w:cs="Palatino Linotype"/>
        </w:rPr>
      </w:pPr>
    </w:p>
    <w:p w14:paraId="72FD5652" w14:textId="4D65024C" w:rsidR="00CF227C" w:rsidRDefault="00CF227C" w:rsidP="00CF227C">
      <w:pPr>
        <w:spacing w:line="360" w:lineRule="auto"/>
        <w:jc w:val="both"/>
        <w:rPr>
          <w:rFonts w:ascii="Palatino Linotype" w:eastAsia="Palatino Linotype" w:hAnsi="Palatino Linotype" w:cs="Palatino Linotype"/>
        </w:rPr>
      </w:pPr>
    </w:p>
    <w:p w14:paraId="196F2C9B" w14:textId="12004534" w:rsidR="00A743A2" w:rsidRPr="008A6ABF" w:rsidRDefault="00A743A2" w:rsidP="00F302E7">
      <w:pPr>
        <w:spacing w:line="360" w:lineRule="auto"/>
        <w:jc w:val="both"/>
        <w:rPr>
          <w:rFonts w:ascii="Palatino Linotype" w:eastAsia="Palatino Linotype" w:hAnsi="Palatino Linotype" w:cs="Palatino Linotype"/>
          <w:color w:val="000000"/>
        </w:rPr>
      </w:pPr>
      <w:r w:rsidRPr="00F302E7">
        <w:rPr>
          <w:rFonts w:ascii="Palatino Linotype" w:hAnsi="Palatino Linotype"/>
          <w:noProof/>
          <w:lang w:eastAsia="es-MX"/>
        </w:rPr>
        <w:lastRenderedPageBreak/>
        <w:drawing>
          <wp:anchor distT="0" distB="0" distL="0" distR="0" simplePos="0" relativeHeight="251681792" behindDoc="1" locked="0" layoutInCell="1" hidden="0" allowOverlap="1" wp14:anchorId="1C305760" wp14:editId="0594B759">
            <wp:simplePos x="0" y="0"/>
            <wp:positionH relativeFrom="column">
              <wp:posOffset>320040</wp:posOffset>
            </wp:positionH>
            <wp:positionV relativeFrom="paragraph">
              <wp:posOffset>126999</wp:posOffset>
            </wp:positionV>
            <wp:extent cx="5594350" cy="2771775"/>
            <wp:effectExtent l="0" t="0" r="6350" b="9525"/>
            <wp:wrapNone/>
            <wp:docPr id="93" name="image38.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8.png" descr="Interfaz de usuario gráfica, Texto, Aplicación&#10;&#10;Descripción generada automáticamente"/>
                    <pic:cNvPicPr preferRelativeResize="0"/>
                  </pic:nvPicPr>
                  <pic:blipFill rotWithShape="1">
                    <a:blip r:embed="rId18"/>
                    <a:srcRect l="31704" t="26543" r="32632" b="26714"/>
                    <a:stretch/>
                  </pic:blipFill>
                  <pic:spPr bwMode="auto">
                    <a:xfrm>
                      <a:off x="0" y="0"/>
                      <a:ext cx="5600161" cy="27746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0EE43D" w14:textId="103ABA8A"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2B56DF43" w14:textId="1F8B887A"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3EBFE4C8" w14:textId="40839D99"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62B8A585" w14:textId="366514D5" w:rsidR="00A743A2" w:rsidRPr="008A6ABF" w:rsidRDefault="00CF227C"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r w:rsidRPr="00F302E7">
        <w:rPr>
          <w:rFonts w:ascii="Palatino Linotype" w:hAnsi="Palatino Linotype"/>
          <w:noProof/>
          <w:lang w:eastAsia="es-MX"/>
        </w:rPr>
        <mc:AlternateContent>
          <mc:Choice Requires="wps">
            <w:drawing>
              <wp:anchor distT="0" distB="0" distL="114300" distR="114300" simplePos="0" relativeHeight="251685888" behindDoc="0" locked="0" layoutInCell="1" hidden="0" allowOverlap="1" wp14:anchorId="003B7ADE" wp14:editId="1311BF68">
                <wp:simplePos x="0" y="0"/>
                <wp:positionH relativeFrom="column">
                  <wp:posOffset>146705</wp:posOffset>
                </wp:positionH>
                <wp:positionV relativeFrom="paragraph">
                  <wp:posOffset>137123</wp:posOffset>
                </wp:positionV>
                <wp:extent cx="5799349" cy="357467"/>
                <wp:effectExtent l="19050" t="19050" r="11430" b="24130"/>
                <wp:wrapNone/>
                <wp:docPr id="1" name="Rectángulo 1"/>
                <wp:cNvGraphicFramePr/>
                <a:graphic xmlns:a="http://schemas.openxmlformats.org/drawingml/2006/main">
                  <a:graphicData uri="http://schemas.microsoft.com/office/word/2010/wordprocessingShape">
                    <wps:wsp>
                      <wps:cNvSpPr/>
                      <wps:spPr>
                        <a:xfrm>
                          <a:off x="0" y="0"/>
                          <a:ext cx="5799349" cy="357467"/>
                        </a:xfrm>
                        <a:prstGeom prst="rect">
                          <a:avLst/>
                        </a:prstGeom>
                        <a:noFill/>
                        <a:ln w="38100" cap="flat" cmpd="sng">
                          <a:solidFill>
                            <a:srgbClr val="FF0000"/>
                          </a:solidFill>
                          <a:prstDash val="solid"/>
                          <a:miter lim="800000"/>
                          <a:headEnd type="none" w="sm" len="sm"/>
                          <a:tailEnd type="none" w="sm" len="sm"/>
                        </a:ln>
                      </wps:spPr>
                      <wps:txbx>
                        <w:txbxContent>
                          <w:p w14:paraId="3F687FA9" w14:textId="77777777" w:rsidR="00CF227C" w:rsidRDefault="00CF227C" w:rsidP="00CF227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 style="position:absolute;left:0;text-align:left;margin-left:11.55pt;margin-top:10.8pt;width:456.65pt;height:2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ed="f" strokecolor="red" strokeweight="3pt" w14:anchorId="003B7A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">
                <v:stroke startarrowwidth="narrow" startarrowlength="short" endarrowwidth="narrow" endarrowlength="short"/>
                <v:textbox inset="2.53958mm,2.53958mm,2.53958mm,2.53958mm">
                  <w:txbxContent>
                    <w:p w:rsidR="00CF227C" w:rsidP="00CF227C" w:rsidRDefault="00CF227C" w14:paraId="3F687FA9" w14:textId="77777777">
                      <w:pPr>
                        <w:textDirection w:val="btLr"/>
                      </w:pPr>
                    </w:p>
                  </w:txbxContent>
                </v:textbox>
              </v:rect>
            </w:pict>
          </mc:Fallback>
        </mc:AlternateContent>
      </w:r>
    </w:p>
    <w:p w14:paraId="60B2C97D" w14:textId="5C1451D0"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45E8A903" w14:textId="18F5AD78"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09A8A173" w14:textId="11BE38DC"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25466596" w14:textId="4DE29D6E"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8B3F6CC" w14:textId="7B2DE80C" w:rsidR="00A743A2" w:rsidRPr="008A6ABF" w:rsidRDefault="00CF227C"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r w:rsidRPr="00F302E7">
        <w:rPr>
          <w:rFonts w:ascii="Palatino Linotype" w:hAnsi="Palatino Linotype"/>
          <w:noProof/>
          <w:lang w:eastAsia="es-MX"/>
        </w:rPr>
        <w:drawing>
          <wp:anchor distT="0" distB="0" distL="0" distR="0" simplePos="0" relativeHeight="251668480" behindDoc="1" locked="0" layoutInCell="1" hidden="0" allowOverlap="1" wp14:anchorId="354A9106" wp14:editId="78CBF21F">
            <wp:simplePos x="0" y="0"/>
            <wp:positionH relativeFrom="margin">
              <wp:align>left</wp:align>
            </wp:positionH>
            <wp:positionV relativeFrom="paragraph">
              <wp:posOffset>184415</wp:posOffset>
            </wp:positionV>
            <wp:extent cx="5865895" cy="3408218"/>
            <wp:effectExtent l="0" t="0" r="1905" b="1905"/>
            <wp:wrapNone/>
            <wp:docPr id="94" name="image31.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1.png" descr="Interfaz de usuario gráfica, Aplicación&#10;&#10;Descripción generada automáticamente"/>
                    <pic:cNvPicPr preferRelativeResize="0"/>
                  </pic:nvPicPr>
                  <pic:blipFill rotWithShape="1">
                    <a:blip r:embed="rId19"/>
                    <a:srcRect l="24446" t="27515" r="27514" b="17203"/>
                    <a:stretch/>
                  </pic:blipFill>
                  <pic:spPr bwMode="auto">
                    <a:xfrm>
                      <a:off x="0" y="0"/>
                      <a:ext cx="5865895" cy="34082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FB8A4" w14:textId="51FA966F"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352B3ED3" w14:textId="29FD72E8"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5715F6EC" w14:textId="519F92C2"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00AEA683" w14:textId="71CDED0F" w:rsidR="00A743A2" w:rsidRPr="008A6ABF" w:rsidRDefault="00CF227C"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r w:rsidRPr="00F302E7">
        <w:rPr>
          <w:rFonts w:ascii="Palatino Linotype" w:hAnsi="Palatino Linotype"/>
          <w:noProof/>
          <w:lang w:eastAsia="es-MX"/>
        </w:rPr>
        <mc:AlternateContent>
          <mc:Choice Requires="wps">
            <w:drawing>
              <wp:anchor distT="0" distB="0" distL="114300" distR="114300" simplePos="0" relativeHeight="251687936" behindDoc="0" locked="0" layoutInCell="1" hidden="0" allowOverlap="1" wp14:anchorId="5DD73768" wp14:editId="0A6E0B3B">
                <wp:simplePos x="0" y="0"/>
                <wp:positionH relativeFrom="page">
                  <wp:posOffset>992128</wp:posOffset>
                </wp:positionH>
                <wp:positionV relativeFrom="paragraph">
                  <wp:posOffset>202534</wp:posOffset>
                </wp:positionV>
                <wp:extent cx="6249724" cy="357467"/>
                <wp:effectExtent l="19050" t="19050" r="17780" b="24130"/>
                <wp:wrapNone/>
                <wp:docPr id="6" name="Rectángulo 6"/>
                <wp:cNvGraphicFramePr/>
                <a:graphic xmlns:a="http://schemas.openxmlformats.org/drawingml/2006/main">
                  <a:graphicData uri="http://schemas.microsoft.com/office/word/2010/wordprocessingShape">
                    <wps:wsp>
                      <wps:cNvSpPr/>
                      <wps:spPr>
                        <a:xfrm>
                          <a:off x="0" y="0"/>
                          <a:ext cx="6249724" cy="357467"/>
                        </a:xfrm>
                        <a:prstGeom prst="rect">
                          <a:avLst/>
                        </a:prstGeom>
                        <a:noFill/>
                        <a:ln w="38100" cap="flat" cmpd="sng">
                          <a:solidFill>
                            <a:srgbClr val="FF0000"/>
                          </a:solidFill>
                          <a:prstDash val="solid"/>
                          <a:miter lim="800000"/>
                          <a:headEnd type="none" w="sm" len="sm"/>
                          <a:tailEnd type="none" w="sm" len="sm"/>
                        </a:ln>
                      </wps:spPr>
                      <wps:txbx>
                        <w:txbxContent>
                          <w:p w14:paraId="40B9D0D8" w14:textId="77777777" w:rsidR="00CF227C" w:rsidRDefault="00CF227C" w:rsidP="00CF227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6" style="position:absolute;left:0;text-align:left;margin-left:78.1pt;margin-top:15.95pt;width:492.1pt;height:28.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30" filled="f" strokecolor="red" strokeweight="3pt" w14:anchorId="5DD7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">
                <v:stroke startarrowwidth="narrow" startarrowlength="short" endarrowwidth="narrow" endarrowlength="short"/>
                <v:textbox inset="2.53958mm,2.53958mm,2.53958mm,2.53958mm">
                  <w:txbxContent>
                    <w:p w:rsidR="00CF227C" w:rsidP="00CF227C" w:rsidRDefault="00CF227C" w14:paraId="40B9D0D8" w14:textId="77777777">
                      <w:pPr>
                        <w:textDirection w:val="btLr"/>
                      </w:pPr>
                    </w:p>
                  </w:txbxContent>
                </v:textbox>
                <w10:wrap anchorx="page"/>
              </v:rect>
            </w:pict>
          </mc:Fallback>
        </mc:AlternateContent>
      </w:r>
    </w:p>
    <w:p w14:paraId="47369CD9" w14:textId="77777777"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152BFF96" w14:textId="77777777"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3F8D8C2" w14:textId="77777777"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CA07E52" w14:textId="77777777"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41ABC3A" w14:textId="77777777"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0B3A589" w14:textId="03ED3A4E" w:rsidR="001F54B5" w:rsidRPr="008A6ABF" w:rsidRDefault="001F54B5" w:rsidP="00F302E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F302E7">
        <w:rPr>
          <w:rFonts w:ascii="Palatino Linotype" w:hAnsi="Palatino Linotype"/>
          <w:noProof/>
          <w:lang w:eastAsia="es-MX"/>
        </w:rPr>
        <w:lastRenderedPageBreak/>
        <w:drawing>
          <wp:inline distT="0" distB="0" distL="0" distR="0" wp14:anchorId="09AA1295" wp14:editId="5C979CB1">
            <wp:extent cx="5092065" cy="3581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242" t="25436" r="19828" b="26241"/>
                    <a:stretch/>
                  </pic:blipFill>
                  <pic:spPr bwMode="auto">
                    <a:xfrm>
                      <a:off x="0" y="0"/>
                      <a:ext cx="5095745" cy="3583988"/>
                    </a:xfrm>
                    <a:prstGeom prst="rect">
                      <a:avLst/>
                    </a:prstGeom>
                    <a:ln>
                      <a:noFill/>
                    </a:ln>
                    <a:extLst>
                      <a:ext uri="{53640926-AAD7-44D8-BBD7-CCE9431645EC}">
                        <a14:shadowObscured xmlns:a14="http://schemas.microsoft.com/office/drawing/2010/main"/>
                      </a:ext>
                    </a:extLst>
                  </pic:spPr>
                </pic:pic>
              </a:graphicData>
            </a:graphic>
          </wp:inline>
        </w:drawing>
      </w:r>
    </w:p>
    <w:p w14:paraId="56E22F8B" w14:textId="77777777" w:rsidR="001F54B5" w:rsidRPr="008A6ABF" w:rsidRDefault="001F54B5" w:rsidP="00F302E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E46B8DE" w14:textId="7DE735FA" w:rsidR="00A743A2" w:rsidRPr="008A6ABF" w:rsidRDefault="00A743A2" w:rsidP="00F302E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r w:rsidRPr="00F302E7">
        <w:rPr>
          <w:rFonts w:ascii="Palatino Linotype" w:hAnsi="Palatino Linotype"/>
          <w:noProof/>
          <w:lang w:eastAsia="es-MX"/>
        </w:rPr>
        <w:drawing>
          <wp:anchor distT="0" distB="0" distL="0" distR="0" simplePos="0" relativeHeight="251672576" behindDoc="1" locked="0" layoutInCell="1" hidden="0" allowOverlap="1" wp14:anchorId="3F6325D7" wp14:editId="59AF8664">
            <wp:simplePos x="0" y="0"/>
            <wp:positionH relativeFrom="column">
              <wp:posOffset>0</wp:posOffset>
            </wp:positionH>
            <wp:positionV relativeFrom="paragraph">
              <wp:posOffset>0</wp:posOffset>
            </wp:positionV>
            <wp:extent cx="5396315" cy="3357349"/>
            <wp:effectExtent l="0" t="0" r="0" b="0"/>
            <wp:wrapNone/>
            <wp:docPr id="76" name="image3.png" descr="Interfaz de usuario gráfica, Texto,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Tabla&#10;&#10;Descripción generada automáticamente"/>
                    <pic:cNvPicPr preferRelativeResize="0"/>
                  </pic:nvPicPr>
                  <pic:blipFill>
                    <a:blip r:embed="rId21"/>
                    <a:srcRect l="24569" t="4972" r="25707" b="27579"/>
                    <a:stretch>
                      <a:fillRect/>
                    </a:stretch>
                  </pic:blipFill>
                  <pic:spPr>
                    <a:xfrm>
                      <a:off x="0" y="0"/>
                      <a:ext cx="5396315" cy="3357349"/>
                    </a:xfrm>
                    <a:prstGeom prst="rect">
                      <a:avLst/>
                    </a:prstGeom>
                    <a:ln/>
                  </pic:spPr>
                </pic:pic>
              </a:graphicData>
            </a:graphic>
          </wp:anchor>
        </w:drawing>
      </w:r>
    </w:p>
    <w:p w14:paraId="3A2F0087" w14:textId="77777777" w:rsidR="00A743A2" w:rsidRPr="008A6ABF" w:rsidRDefault="00A743A2" w:rsidP="00F302E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383419C1" w14:textId="77777777" w:rsidR="00A743A2" w:rsidRPr="008A6ABF" w:rsidRDefault="00A743A2" w:rsidP="00F302E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41CCCB5E" w14:textId="77777777" w:rsidR="00A743A2" w:rsidRPr="008A6ABF" w:rsidRDefault="00A743A2" w:rsidP="00F302E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68A2AF36" w14:textId="77777777" w:rsidR="00A743A2" w:rsidRPr="008A6ABF" w:rsidRDefault="00A743A2" w:rsidP="00F302E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44289132" w14:textId="77777777" w:rsidR="00A743A2" w:rsidRPr="008A6ABF" w:rsidRDefault="00A743A2" w:rsidP="00F302E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6356F830" w14:textId="77777777" w:rsidR="00A743A2" w:rsidRPr="008A6ABF" w:rsidRDefault="00A743A2" w:rsidP="00F302E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1A7C3F27" w14:textId="77777777" w:rsidR="00A743A2" w:rsidRPr="008A6ABF" w:rsidRDefault="00A743A2" w:rsidP="00F302E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2B8F7C5B" w14:textId="77777777"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3AA289F2" w14:textId="77777777"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0892EF6B" w14:textId="77777777"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355FD733" w14:textId="062EAEF7" w:rsidR="00A743A2" w:rsidRPr="008A6ABF" w:rsidRDefault="00A743A2" w:rsidP="00CF22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8A6ABF">
        <w:rPr>
          <w:rFonts w:ascii="Palatino Linotype" w:eastAsia="Palatino Linotype" w:hAnsi="Palatino Linotype" w:cs="Palatino Linotype"/>
          <w:color w:val="000000"/>
        </w:rPr>
        <w:lastRenderedPageBreak/>
        <w:t>2021:</w:t>
      </w:r>
    </w:p>
    <w:p w14:paraId="25775CE6" w14:textId="1B740D18" w:rsidR="00A743A2" w:rsidRPr="008A6ABF" w:rsidRDefault="00A743A2" w:rsidP="00F302E7">
      <w:pPr>
        <w:tabs>
          <w:tab w:val="left" w:pos="2922"/>
        </w:tabs>
        <w:jc w:val="center"/>
        <w:rPr>
          <w:rFonts w:ascii="Palatino Linotype" w:eastAsia="Palatino Linotype" w:hAnsi="Palatino Linotype" w:cs="Palatino Linotype"/>
          <w:color w:val="000000"/>
          <w:highlight w:val="yellow"/>
        </w:rPr>
      </w:pPr>
      <w:r w:rsidRPr="00F302E7">
        <w:rPr>
          <w:rFonts w:ascii="Palatino Linotype" w:hAnsi="Palatino Linotype"/>
          <w:noProof/>
          <w:color w:val="000000"/>
          <w:lang w:eastAsia="es-MX"/>
        </w:rPr>
        <w:drawing>
          <wp:inline distT="0" distB="0" distL="0" distR="0" wp14:anchorId="33D56763" wp14:editId="058BD2D4">
            <wp:extent cx="4347068" cy="860612"/>
            <wp:effectExtent l="0" t="0" r="0" b="0"/>
            <wp:docPr id="98" name="image41.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1.png" descr="Interfaz de usuario gráfica, Sitio web&#10;&#10;Descripción generada automáticamente"/>
                    <pic:cNvPicPr preferRelativeResize="0"/>
                  </pic:nvPicPr>
                  <pic:blipFill>
                    <a:blip r:embed="rId22"/>
                    <a:srcRect l="27664" t="15094" r="28206" b="7626"/>
                    <a:stretch>
                      <a:fillRect/>
                    </a:stretch>
                  </pic:blipFill>
                  <pic:spPr>
                    <a:xfrm>
                      <a:off x="0" y="0"/>
                      <a:ext cx="4391331" cy="869375"/>
                    </a:xfrm>
                    <a:prstGeom prst="rect">
                      <a:avLst/>
                    </a:prstGeom>
                    <a:ln/>
                  </pic:spPr>
                </pic:pic>
              </a:graphicData>
            </a:graphic>
          </wp:inline>
        </w:drawing>
      </w:r>
    </w:p>
    <w:p w14:paraId="6F33AA82" w14:textId="2960DD68" w:rsidR="00A743A2" w:rsidRPr="008A6ABF" w:rsidRDefault="00CF227C" w:rsidP="00F302E7">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highlight w:val="yellow"/>
        </w:rPr>
      </w:pPr>
      <w:r w:rsidRPr="00F302E7">
        <w:rPr>
          <w:rFonts w:ascii="Palatino Linotype" w:hAnsi="Palatino Linotype"/>
          <w:noProof/>
          <w:color w:val="000000"/>
          <w:lang w:eastAsia="es-MX"/>
        </w:rPr>
        <mc:AlternateContent>
          <mc:Choice Requires="wps">
            <w:drawing>
              <wp:anchor distT="0" distB="0" distL="114300" distR="114300" simplePos="0" relativeHeight="251683840" behindDoc="0" locked="0" layoutInCell="1" allowOverlap="1" wp14:anchorId="18C847B0" wp14:editId="39197AFA">
                <wp:simplePos x="0" y="0"/>
                <wp:positionH relativeFrom="column">
                  <wp:posOffset>542782</wp:posOffset>
                </wp:positionH>
                <wp:positionV relativeFrom="paragraph">
                  <wp:posOffset>2426769</wp:posOffset>
                </wp:positionV>
                <wp:extent cx="4857750" cy="1271867"/>
                <wp:effectExtent l="19050" t="19050" r="19050" b="24130"/>
                <wp:wrapNone/>
                <wp:docPr id="11" name="Rectángulo 11"/>
                <wp:cNvGraphicFramePr/>
                <a:graphic xmlns:a="http://schemas.openxmlformats.org/drawingml/2006/main">
                  <a:graphicData uri="http://schemas.microsoft.com/office/word/2010/wordprocessingShape">
                    <wps:wsp>
                      <wps:cNvSpPr/>
                      <wps:spPr>
                        <a:xfrm>
                          <a:off x="0" y="0"/>
                          <a:ext cx="4857750" cy="12718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1" style="position:absolute;margin-left:42.75pt;margin-top:191.1pt;width:382.5pt;height:100.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2.25pt" w14:anchorId="2D0E8E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"/>
            </w:pict>
          </mc:Fallback>
        </mc:AlternateContent>
      </w:r>
      <w:r w:rsidR="00A743A2" w:rsidRPr="00F302E7">
        <w:rPr>
          <w:rFonts w:ascii="Palatino Linotype" w:hAnsi="Palatino Linotype"/>
          <w:noProof/>
          <w:color w:val="000000"/>
          <w:lang w:eastAsia="es-MX"/>
        </w:rPr>
        <w:drawing>
          <wp:inline distT="0" distB="0" distL="0" distR="0" wp14:anchorId="13774FE5" wp14:editId="6476F824">
            <wp:extent cx="3207042" cy="5193010"/>
            <wp:effectExtent l="0" t="0" r="0" b="8255"/>
            <wp:docPr id="81" name="image10.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nterfaz de usuario gráfica, Texto&#10;&#10;Descripción generada automáticamente"/>
                    <pic:cNvPicPr preferRelativeResize="0"/>
                  </pic:nvPicPr>
                  <pic:blipFill>
                    <a:blip r:embed="rId23"/>
                    <a:srcRect l="32755" t="31695" r="34318" b="5816"/>
                    <a:stretch>
                      <a:fillRect/>
                    </a:stretch>
                  </pic:blipFill>
                  <pic:spPr>
                    <a:xfrm>
                      <a:off x="0" y="0"/>
                      <a:ext cx="3213897" cy="5204110"/>
                    </a:xfrm>
                    <a:prstGeom prst="rect">
                      <a:avLst/>
                    </a:prstGeom>
                    <a:ln/>
                  </pic:spPr>
                </pic:pic>
              </a:graphicData>
            </a:graphic>
          </wp:inline>
        </w:drawing>
      </w:r>
    </w:p>
    <w:p w14:paraId="1906DD5A" w14:textId="77777777" w:rsidR="00CF227C" w:rsidRDefault="00CF227C" w:rsidP="00CF227C">
      <w:pPr>
        <w:spacing w:line="360" w:lineRule="auto"/>
        <w:jc w:val="both"/>
        <w:rPr>
          <w:rFonts w:ascii="Palatino Linotype" w:eastAsia="Palatino Linotype" w:hAnsi="Palatino Linotype" w:cs="Palatino Linotype"/>
          <w:sz w:val="22"/>
          <w:szCs w:val="22"/>
        </w:rPr>
      </w:pPr>
    </w:p>
    <w:p w14:paraId="2C213DF4" w14:textId="13B81B95" w:rsidR="00A743A2" w:rsidRPr="008A6ABF" w:rsidRDefault="00A743A2" w:rsidP="00F302E7">
      <w:pPr>
        <w:spacing w:line="360" w:lineRule="auto"/>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t xml:space="preserve">Con lo cual se acredita que el Ayuntamiento de </w:t>
      </w:r>
      <w:r w:rsidR="001F54B5" w:rsidRPr="008A6ABF">
        <w:rPr>
          <w:rFonts w:ascii="Palatino Linotype" w:eastAsia="Palatino Linotype" w:hAnsi="Palatino Linotype" w:cs="Palatino Linotype"/>
          <w:sz w:val="22"/>
          <w:szCs w:val="22"/>
        </w:rPr>
        <w:t>Amecamec</w:t>
      </w:r>
      <w:r w:rsidR="00CF227C">
        <w:rPr>
          <w:rFonts w:ascii="Palatino Linotype" w:eastAsia="Palatino Linotype" w:hAnsi="Palatino Linotype" w:cs="Palatino Linotype"/>
          <w:sz w:val="22"/>
          <w:szCs w:val="22"/>
        </w:rPr>
        <w:t>a</w:t>
      </w:r>
      <w:r w:rsidRPr="008A6ABF">
        <w:rPr>
          <w:rFonts w:ascii="Palatino Linotype" w:eastAsia="Palatino Linotype" w:hAnsi="Palatino Linotype" w:cs="Palatino Linotype"/>
          <w:sz w:val="22"/>
          <w:szCs w:val="22"/>
        </w:rPr>
        <w:t xml:space="preserve">, genera la información sobre las altas y bajas de su personal desde el inicio del año 2016 al año 2021; ya que debe informar al </w:t>
      </w:r>
      <w:r w:rsidRPr="008A6ABF">
        <w:rPr>
          <w:rFonts w:ascii="Palatino Linotype" w:eastAsia="Palatino Linotype" w:hAnsi="Palatino Linotype" w:cs="Palatino Linotype"/>
          <w:sz w:val="22"/>
          <w:szCs w:val="22"/>
        </w:rPr>
        <w:lastRenderedPageBreak/>
        <w:t xml:space="preserve">Órgano Superior de Fiscalización del Estado de México de manera mensual </w:t>
      </w:r>
      <w:r w:rsidR="001F54B5" w:rsidRPr="008A6ABF">
        <w:rPr>
          <w:rFonts w:ascii="Palatino Linotype" w:eastAsia="Palatino Linotype" w:hAnsi="Palatino Linotype" w:cs="Palatino Linotype"/>
          <w:sz w:val="22"/>
          <w:szCs w:val="22"/>
        </w:rPr>
        <w:t>y actualmente trimestral de cuáles</w:t>
      </w:r>
      <w:r w:rsidRPr="008A6ABF">
        <w:rPr>
          <w:rFonts w:ascii="Palatino Linotype" w:eastAsia="Palatino Linotype" w:hAnsi="Palatino Linotype" w:cs="Palatino Linotype"/>
          <w:sz w:val="22"/>
          <w:szCs w:val="22"/>
        </w:rPr>
        <w:t xml:space="preserve"> son las altas y bajas efectuadas en el mes correspondiente.</w:t>
      </w:r>
    </w:p>
    <w:p w14:paraId="125295E1" w14:textId="77777777" w:rsidR="00141578" w:rsidRPr="008A6ABF" w:rsidRDefault="00141578" w:rsidP="00CF227C">
      <w:pPr>
        <w:autoSpaceDE w:val="0"/>
        <w:autoSpaceDN w:val="0"/>
        <w:adjustRightInd w:val="0"/>
        <w:spacing w:line="360" w:lineRule="auto"/>
        <w:ind w:right="49"/>
        <w:jc w:val="both"/>
        <w:rPr>
          <w:rFonts w:ascii="Palatino Linotype" w:hAnsi="Palatino Linotype"/>
          <w:sz w:val="22"/>
          <w:szCs w:val="22"/>
        </w:rPr>
      </w:pPr>
    </w:p>
    <w:p w14:paraId="054CA339" w14:textId="3A933350" w:rsidR="001F54B5" w:rsidRDefault="001F54B5" w:rsidP="00CF227C">
      <w:pPr>
        <w:pStyle w:val="NormalWeb"/>
        <w:spacing w:before="0" w:beforeAutospacing="0" w:after="0" w:afterAutospacing="0" w:line="360" w:lineRule="auto"/>
        <w:jc w:val="both"/>
        <w:rPr>
          <w:rFonts w:ascii="Palatino Linotype" w:hAnsi="Palatino Linotype"/>
          <w:color w:val="000000"/>
          <w:sz w:val="22"/>
          <w:szCs w:val="22"/>
        </w:rPr>
      </w:pPr>
      <w:r w:rsidRPr="008A6ABF">
        <w:rPr>
          <w:rFonts w:ascii="Palatino Linotype" w:eastAsia="Palatino Linotype" w:hAnsi="Palatino Linotype" w:cs="Palatino Linotype"/>
          <w:sz w:val="22"/>
          <w:szCs w:val="22"/>
        </w:rPr>
        <w:t xml:space="preserve">Por otra parte, no pasa inadvertido que el ahora </w:t>
      </w:r>
      <w:r w:rsidRPr="008A6ABF">
        <w:rPr>
          <w:rFonts w:ascii="Palatino Linotype" w:eastAsia="Palatino Linotype" w:hAnsi="Palatino Linotype" w:cs="Palatino Linotype"/>
          <w:b/>
          <w:sz w:val="22"/>
          <w:szCs w:val="22"/>
        </w:rPr>
        <w:t>RECURRENTE</w:t>
      </w:r>
      <w:r w:rsidRPr="008A6ABF">
        <w:rPr>
          <w:rFonts w:ascii="Palatino Linotype" w:eastAsia="Palatino Linotype" w:hAnsi="Palatino Linotype" w:cs="Palatino Linotype"/>
          <w:sz w:val="22"/>
          <w:szCs w:val="22"/>
        </w:rPr>
        <w:t xml:space="preserve"> quiere conocer información estadística, al respecto es de señalar que </w:t>
      </w:r>
      <w:r w:rsidRPr="008A6ABF">
        <w:rPr>
          <w:rFonts w:ascii="Palatino Linotype" w:hAnsi="Palatino Linotype"/>
          <w:color w:val="000000"/>
          <w:sz w:val="22"/>
          <w:szCs w:val="22"/>
        </w:rPr>
        <w:t xml:space="preserve">el derecho de acceso a la </w:t>
      </w:r>
      <w:r w:rsidR="008258F9" w:rsidRPr="008A6ABF">
        <w:rPr>
          <w:rFonts w:ascii="Palatino Linotype" w:hAnsi="Palatino Linotype"/>
          <w:color w:val="000000"/>
          <w:sz w:val="22"/>
          <w:szCs w:val="22"/>
        </w:rPr>
        <w:t>Información Pública</w:t>
      </w:r>
      <w:r w:rsidRPr="008A6ABF">
        <w:rPr>
          <w:rFonts w:ascii="Palatino Linotype" w:hAnsi="Palatino Linotype"/>
          <w:color w:val="000000"/>
          <w:sz w:val="22"/>
          <w:szCs w:val="22"/>
        </w:rPr>
        <w:t xml:space="preserve"> se satisface en aquellos casos en que se entregue el soporte documental en que conste la </w:t>
      </w:r>
      <w:r w:rsidR="008258F9" w:rsidRPr="008A6ABF">
        <w:rPr>
          <w:rFonts w:ascii="Palatino Linotype" w:hAnsi="Palatino Linotype"/>
          <w:color w:val="000000"/>
          <w:sz w:val="22"/>
          <w:szCs w:val="22"/>
        </w:rPr>
        <w:t>Información Pública</w:t>
      </w:r>
      <w:r w:rsidRPr="008A6ABF">
        <w:rPr>
          <w:rFonts w:ascii="Palatino Linotype" w:hAnsi="Palatino Linotype"/>
          <w:color w:val="000000"/>
          <w:sz w:val="22"/>
          <w:szCs w:val="22"/>
        </w:rPr>
        <w:t>, toda vez que, los Sujetos Obligados</w:t>
      </w:r>
      <w:r w:rsidRPr="008A6ABF">
        <w:rPr>
          <w:rFonts w:ascii="Palatino Linotype" w:hAnsi="Palatino Linotype"/>
          <w:b/>
          <w:bCs/>
          <w:color w:val="000000"/>
          <w:sz w:val="22"/>
          <w:szCs w:val="22"/>
        </w:rPr>
        <w:t xml:space="preserve"> </w:t>
      </w:r>
      <w:r w:rsidRPr="008A6ABF">
        <w:rPr>
          <w:rFonts w:ascii="Palatino Linotype" w:hAnsi="Palatino Linotype"/>
          <w:color w:val="000000"/>
          <w:sz w:val="22"/>
          <w:szCs w:val="22"/>
        </w:rPr>
        <w:t xml:space="preserve">no tienen el deber de generar, poseer o administrar la </w:t>
      </w:r>
      <w:r w:rsidR="008258F9" w:rsidRPr="008A6ABF">
        <w:rPr>
          <w:rFonts w:ascii="Palatino Linotype" w:hAnsi="Palatino Linotype"/>
          <w:color w:val="000000"/>
          <w:sz w:val="22"/>
          <w:szCs w:val="22"/>
        </w:rPr>
        <w:t>Información Pública</w:t>
      </w:r>
      <w:r w:rsidRPr="008A6ABF">
        <w:rPr>
          <w:rFonts w:ascii="Palatino Linotype" w:hAnsi="Palatino Linotype"/>
          <w:color w:val="000000"/>
          <w:sz w:val="22"/>
          <w:szCs w:val="22"/>
        </w:rPr>
        <w:t xml:space="preserve"> con el grado de detalle solicitado; esto es, que no tienen el deber de generar un documento </w:t>
      </w:r>
      <w:r w:rsidRPr="008A6ABF">
        <w:rPr>
          <w:rFonts w:ascii="Palatino Linotype" w:hAnsi="Palatino Linotype"/>
          <w:i/>
          <w:iCs/>
          <w:color w:val="000000"/>
          <w:sz w:val="22"/>
          <w:szCs w:val="22"/>
        </w:rPr>
        <w:t>ad hoc</w:t>
      </w:r>
      <w:r w:rsidRPr="008A6ABF">
        <w:rPr>
          <w:rFonts w:ascii="Palatino Linotype" w:hAnsi="Palatino Linotype"/>
          <w:color w:val="000000"/>
          <w:sz w:val="22"/>
          <w:szCs w:val="22"/>
        </w:rPr>
        <w:t xml:space="preserve">, para satisfacer el derecho de acceso a la </w:t>
      </w:r>
      <w:r w:rsidR="008258F9" w:rsidRPr="008A6ABF">
        <w:rPr>
          <w:rFonts w:ascii="Palatino Linotype" w:hAnsi="Palatino Linotype"/>
          <w:color w:val="000000"/>
          <w:sz w:val="22"/>
          <w:szCs w:val="22"/>
        </w:rPr>
        <w:t>Información Pública</w:t>
      </w:r>
      <w:r w:rsidRPr="008A6ABF">
        <w:rPr>
          <w:rFonts w:ascii="Palatino Linotype" w:hAnsi="Palatino Linotype"/>
          <w:color w:val="000000"/>
          <w:sz w:val="22"/>
          <w:szCs w:val="22"/>
        </w:rPr>
        <w:t>.</w:t>
      </w:r>
    </w:p>
    <w:p w14:paraId="3C245E20" w14:textId="77777777" w:rsidR="00CF227C" w:rsidRPr="00F302E7" w:rsidRDefault="00CF227C" w:rsidP="00F302E7">
      <w:pPr>
        <w:pStyle w:val="NormalWeb"/>
        <w:spacing w:before="0" w:beforeAutospacing="0" w:after="0" w:afterAutospacing="0" w:line="360" w:lineRule="auto"/>
        <w:jc w:val="both"/>
        <w:rPr>
          <w:rFonts w:ascii="Palatino Linotype" w:hAnsi="Palatino Linotype"/>
          <w:sz w:val="22"/>
          <w:szCs w:val="22"/>
        </w:rPr>
      </w:pPr>
    </w:p>
    <w:p w14:paraId="681E63F2" w14:textId="77777777" w:rsidR="001F54B5" w:rsidRPr="00F302E7" w:rsidRDefault="001F54B5" w:rsidP="00CF227C">
      <w:pPr>
        <w:spacing w:line="360" w:lineRule="auto"/>
        <w:jc w:val="both"/>
        <w:rPr>
          <w:rFonts w:ascii="Palatino Linotype" w:hAnsi="Palatino Linotype"/>
          <w:sz w:val="22"/>
          <w:szCs w:val="22"/>
        </w:rPr>
      </w:pPr>
      <w:r w:rsidRPr="008A6ABF">
        <w:rPr>
          <w:rFonts w:ascii="Palatino Linotype" w:hAnsi="Palatino Linotype"/>
          <w:color w:val="000000"/>
          <w:sz w:val="22"/>
          <w:szCs w:val="22"/>
        </w:rPr>
        <w:t>Como apoyo a lo anterior, es aplicable el Criterio 03-17, emitido por el Instituto Nacional de Transparencia, Acceso a la Información y Protección de Datos Personales, que dice:</w:t>
      </w:r>
      <w:r w:rsidRPr="008A6ABF">
        <w:rPr>
          <w:rFonts w:ascii="Palatino Linotype" w:hAnsi="Palatino Linotype"/>
          <w:b/>
          <w:bCs/>
          <w:color w:val="000000"/>
          <w:sz w:val="22"/>
          <w:szCs w:val="22"/>
        </w:rPr>
        <w:t> </w:t>
      </w:r>
    </w:p>
    <w:p w14:paraId="70ED3B7D" w14:textId="77777777" w:rsidR="001F54B5" w:rsidRPr="00F302E7" w:rsidRDefault="001F54B5" w:rsidP="00F302E7">
      <w:pPr>
        <w:jc w:val="both"/>
        <w:rPr>
          <w:rFonts w:ascii="Palatino Linotype" w:hAnsi="Palatino Linotype"/>
        </w:rPr>
      </w:pPr>
    </w:p>
    <w:p w14:paraId="58101EEC" w14:textId="473D0772" w:rsidR="001F54B5" w:rsidRPr="00F302E7" w:rsidRDefault="001F54B5" w:rsidP="00CF227C">
      <w:pPr>
        <w:spacing w:line="360" w:lineRule="auto"/>
        <w:ind w:left="567" w:right="567"/>
        <w:jc w:val="both"/>
        <w:rPr>
          <w:rFonts w:ascii="Palatino Linotype" w:hAnsi="Palatino Linotype"/>
          <w:sz w:val="20"/>
          <w:szCs w:val="20"/>
        </w:rPr>
      </w:pPr>
      <w:r w:rsidRPr="008A6ABF">
        <w:rPr>
          <w:rFonts w:ascii="Palatino Linotype" w:hAnsi="Palatino Linotype"/>
          <w:i/>
          <w:iCs/>
          <w:color w:val="000000"/>
          <w:sz w:val="20"/>
          <w:szCs w:val="20"/>
        </w:rPr>
        <w:t>“</w:t>
      </w:r>
      <w:r w:rsidRPr="008A6ABF">
        <w:rPr>
          <w:rFonts w:ascii="Palatino Linotype" w:hAnsi="Palatino Linotype"/>
          <w:b/>
          <w:bCs/>
          <w:i/>
          <w:iCs/>
          <w:color w:val="000000"/>
          <w:sz w:val="20"/>
          <w:szCs w:val="20"/>
        </w:rPr>
        <w:t>No existe obligación de elaborar documentos ad hoc para atender las solicitudes de acceso a la información.</w:t>
      </w:r>
      <w:r w:rsidRPr="008A6ABF">
        <w:rPr>
          <w:rFonts w:ascii="Palatino Linotype" w:hAnsi="Palatino Linotype"/>
          <w:i/>
          <w:iCs/>
          <w:color w:val="000000"/>
          <w:sz w:val="20"/>
          <w:szCs w:val="20"/>
        </w:rPr>
        <w:t xml:space="preserve"> Los artículos 129 de la Ley General de Transparencia y Acceso a la </w:t>
      </w:r>
      <w:r w:rsidR="008258F9" w:rsidRPr="008A6ABF">
        <w:rPr>
          <w:rFonts w:ascii="Palatino Linotype" w:hAnsi="Palatino Linotype"/>
          <w:i/>
          <w:iCs/>
          <w:color w:val="000000"/>
          <w:sz w:val="20"/>
          <w:szCs w:val="20"/>
        </w:rPr>
        <w:t>Información Pública</w:t>
      </w:r>
      <w:r w:rsidRPr="008A6ABF">
        <w:rPr>
          <w:rFonts w:ascii="Palatino Linotype" w:hAnsi="Palatino Linotype"/>
          <w:i/>
          <w:iCs/>
          <w:color w:val="000000"/>
          <w:sz w:val="20"/>
          <w:szCs w:val="20"/>
        </w:rPr>
        <w:t xml:space="preserve"> y 130, párrafo cuarto, de la Ley Federal de Transparencia y Acceso a la </w:t>
      </w:r>
      <w:r w:rsidR="008258F9" w:rsidRPr="008A6ABF">
        <w:rPr>
          <w:rFonts w:ascii="Palatino Linotype" w:hAnsi="Palatino Linotype"/>
          <w:i/>
          <w:iCs/>
          <w:color w:val="000000"/>
          <w:sz w:val="20"/>
          <w:szCs w:val="20"/>
        </w:rPr>
        <w:t>Información Pública</w:t>
      </w:r>
      <w:r w:rsidRPr="008A6ABF">
        <w:rPr>
          <w:rFonts w:ascii="Palatino Linotype" w:hAnsi="Palatino Linotype"/>
          <w:i/>
          <w:iCs/>
          <w:color w:val="000000"/>
          <w:sz w:val="20"/>
          <w:szCs w:val="20"/>
        </w:rPr>
        <w:t>,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7F2EF4" w14:textId="77777777" w:rsidR="001F54B5" w:rsidRPr="008A6ABF" w:rsidRDefault="001F54B5" w:rsidP="00CF227C">
      <w:pPr>
        <w:spacing w:line="360" w:lineRule="auto"/>
        <w:jc w:val="both"/>
        <w:rPr>
          <w:rFonts w:ascii="Palatino Linotype" w:eastAsia="Palatino Linotype" w:hAnsi="Palatino Linotype" w:cs="Palatino Linotype"/>
        </w:rPr>
      </w:pPr>
    </w:p>
    <w:p w14:paraId="13394413" w14:textId="77777777" w:rsidR="001F54B5" w:rsidRPr="008A6ABF" w:rsidRDefault="001F54B5" w:rsidP="00CF227C">
      <w:pPr>
        <w:spacing w:line="360" w:lineRule="auto"/>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t xml:space="preserve">No obstante, en caso de que cuente con un documento sistematizado </w:t>
      </w:r>
      <w:r w:rsidR="00D67D23" w:rsidRPr="008A6ABF">
        <w:rPr>
          <w:rFonts w:ascii="Palatino Linotype" w:eastAsia="Palatino Linotype" w:hAnsi="Palatino Linotype" w:cs="Palatino Linotype"/>
          <w:sz w:val="22"/>
          <w:szCs w:val="22"/>
        </w:rPr>
        <w:t xml:space="preserve">con los datos requeridos por el </w:t>
      </w:r>
      <w:r w:rsidRPr="008A6ABF">
        <w:rPr>
          <w:rFonts w:ascii="Palatino Linotype" w:eastAsia="Palatino Linotype" w:hAnsi="Palatino Linotype" w:cs="Palatino Linotype"/>
          <w:sz w:val="22"/>
          <w:szCs w:val="22"/>
        </w:rPr>
        <w:t xml:space="preserve">particular, es procedente su entrega para dar por satisfecho el derecho de acceso </w:t>
      </w:r>
      <w:r w:rsidR="00D67D23" w:rsidRPr="008A6ABF">
        <w:rPr>
          <w:rFonts w:ascii="Palatino Linotype" w:eastAsia="Palatino Linotype" w:hAnsi="Palatino Linotype" w:cs="Palatino Linotype"/>
          <w:sz w:val="22"/>
          <w:szCs w:val="22"/>
        </w:rPr>
        <w:t>a la información ejercido por el solicitante.</w:t>
      </w:r>
    </w:p>
    <w:p w14:paraId="5A1B1641" w14:textId="1C20D2CD" w:rsidR="001F54B5" w:rsidRPr="008A6ABF" w:rsidRDefault="001F54B5" w:rsidP="00CF227C">
      <w:pPr>
        <w:spacing w:line="360" w:lineRule="auto"/>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lastRenderedPageBreak/>
        <w:t xml:space="preserve">No se omite comentar, que para dar puntual atención a la solicitud de información, deberá turnarla a las diversas unidades administrativas con las que cuenta y que de acuerdo a sus atribuciones deban contar con la información requerida, a fin de dar cumplimiento con el procedimiento de búsqueda establecido en el artículo 162, de la Ley de Transparencia y Acceso a la </w:t>
      </w:r>
      <w:r w:rsidR="008258F9" w:rsidRPr="008A6ABF">
        <w:rPr>
          <w:rFonts w:ascii="Palatino Linotype" w:eastAsia="Palatino Linotype" w:hAnsi="Palatino Linotype" w:cs="Palatino Linotype"/>
          <w:sz w:val="22"/>
          <w:szCs w:val="22"/>
        </w:rPr>
        <w:t>Información Pública</w:t>
      </w:r>
      <w:r w:rsidRPr="008A6ABF">
        <w:rPr>
          <w:rFonts w:ascii="Palatino Linotype" w:eastAsia="Palatino Linotype" w:hAnsi="Palatino Linotype" w:cs="Palatino Linotype"/>
          <w:sz w:val="22"/>
          <w:szCs w:val="22"/>
        </w:rPr>
        <w:t xml:space="preserve"> del Estado de México y Municipios. </w:t>
      </w:r>
    </w:p>
    <w:p w14:paraId="5C319A19" w14:textId="77777777" w:rsidR="001F54B5" w:rsidRPr="008A6ABF" w:rsidRDefault="001F54B5" w:rsidP="00CF227C">
      <w:pPr>
        <w:spacing w:line="360" w:lineRule="auto"/>
        <w:jc w:val="both"/>
        <w:rPr>
          <w:rFonts w:ascii="Palatino Linotype" w:eastAsia="Palatino Linotype" w:hAnsi="Palatino Linotype" w:cs="Palatino Linotype"/>
          <w:sz w:val="22"/>
          <w:szCs w:val="22"/>
        </w:rPr>
      </w:pPr>
    </w:p>
    <w:p w14:paraId="75F18CCB" w14:textId="174AE7C3" w:rsidR="001F54B5" w:rsidRPr="00F302E7" w:rsidRDefault="00CF227C" w:rsidP="00CF227C">
      <w:pPr>
        <w:spacing w:line="360" w:lineRule="auto"/>
        <w:jc w:val="both"/>
        <w:rPr>
          <w:rFonts w:ascii="Palatino Linotype" w:hAnsi="Palatino Linotype"/>
          <w:sz w:val="22"/>
          <w:szCs w:val="22"/>
        </w:rPr>
      </w:pPr>
      <w:r>
        <w:rPr>
          <w:rFonts w:ascii="Palatino Linotype" w:hAnsi="Palatino Linotype"/>
          <w:color w:val="000000"/>
          <w:sz w:val="22"/>
          <w:szCs w:val="22"/>
        </w:rPr>
        <w:t>N</w:t>
      </w:r>
      <w:r w:rsidR="001F54B5" w:rsidRPr="008A6ABF">
        <w:rPr>
          <w:rFonts w:ascii="Palatino Linotype" w:hAnsi="Palatino Linotype"/>
          <w:color w:val="000000"/>
          <w:sz w:val="22"/>
          <w:szCs w:val="22"/>
        </w:rPr>
        <w:t xml:space="preserve">o pasa desapercibido para este Instituto que se solicita información desde el dos mil dieciséis al </w:t>
      </w:r>
      <w:r w:rsidR="00D67D23" w:rsidRPr="008A6ABF">
        <w:rPr>
          <w:rFonts w:ascii="Palatino Linotype" w:hAnsi="Palatino Linotype"/>
          <w:color w:val="000000"/>
          <w:sz w:val="22"/>
          <w:szCs w:val="22"/>
        </w:rPr>
        <w:t xml:space="preserve">diecisiete de diciembre </w:t>
      </w:r>
      <w:r w:rsidR="001F54B5" w:rsidRPr="008A6ABF">
        <w:rPr>
          <w:rFonts w:ascii="Palatino Linotype" w:hAnsi="Palatino Linotype"/>
          <w:color w:val="000000"/>
          <w:sz w:val="22"/>
          <w:szCs w:val="22"/>
        </w:rPr>
        <w:t>de dos mil veintiuno, por lo que es menester mencionar que los Sujetos Obligados están constreñidos a resguardar los documentos que se generen en el ejercicio de sus facultades obligacionales y competencias.</w:t>
      </w:r>
    </w:p>
    <w:p w14:paraId="4EB32E2C" w14:textId="77777777" w:rsidR="001F54B5" w:rsidRPr="00F302E7" w:rsidRDefault="001F54B5" w:rsidP="00F302E7">
      <w:pPr>
        <w:spacing w:line="360" w:lineRule="auto"/>
        <w:jc w:val="both"/>
        <w:rPr>
          <w:rFonts w:ascii="Palatino Linotype" w:hAnsi="Palatino Linotype"/>
          <w:sz w:val="22"/>
          <w:szCs w:val="22"/>
        </w:rPr>
      </w:pPr>
    </w:p>
    <w:p w14:paraId="4AFF3383" w14:textId="77777777" w:rsidR="001F54B5" w:rsidRPr="00F302E7" w:rsidRDefault="001F54B5" w:rsidP="00CF227C">
      <w:pPr>
        <w:spacing w:line="360" w:lineRule="auto"/>
        <w:jc w:val="both"/>
        <w:rPr>
          <w:rFonts w:ascii="Palatino Linotype" w:hAnsi="Palatino Linotype"/>
          <w:sz w:val="22"/>
          <w:szCs w:val="22"/>
        </w:rPr>
      </w:pPr>
      <w:r w:rsidRPr="008A6ABF">
        <w:rPr>
          <w:rFonts w:ascii="Palatino Linotype" w:hAnsi="Palatino Linotype"/>
          <w:color w:val="000000"/>
          <w:sz w:val="22"/>
          <w:szCs w:val="22"/>
        </w:rPr>
        <w:t>Por lo tanto,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3B680726" w14:textId="77777777" w:rsidR="001F54B5" w:rsidRPr="00F302E7" w:rsidRDefault="001F54B5" w:rsidP="00F302E7">
      <w:pPr>
        <w:jc w:val="both"/>
        <w:rPr>
          <w:rFonts w:ascii="Palatino Linotype" w:hAnsi="Palatino Linotype"/>
        </w:rPr>
      </w:pPr>
    </w:p>
    <w:p w14:paraId="20E71F7D" w14:textId="77777777" w:rsidR="001F54B5" w:rsidRPr="00F302E7" w:rsidRDefault="001F54B5" w:rsidP="00CF227C">
      <w:pPr>
        <w:spacing w:line="360" w:lineRule="auto"/>
        <w:ind w:left="566" w:right="762"/>
        <w:jc w:val="both"/>
        <w:rPr>
          <w:rFonts w:ascii="Palatino Linotype" w:hAnsi="Palatino Linotype"/>
          <w:sz w:val="20"/>
          <w:szCs w:val="20"/>
        </w:rPr>
      </w:pPr>
      <w:r w:rsidRPr="008A6ABF">
        <w:rPr>
          <w:rFonts w:ascii="Palatino Linotype" w:hAnsi="Palatino Linotype"/>
          <w:i/>
          <w:iCs/>
          <w:color w:val="000000"/>
          <w:sz w:val="20"/>
          <w:szCs w:val="20"/>
        </w:rPr>
        <w:t>Cuarto.</w:t>
      </w:r>
    </w:p>
    <w:p w14:paraId="5DAFBA5A" w14:textId="77777777" w:rsidR="001F54B5" w:rsidRPr="00F302E7" w:rsidRDefault="001F54B5" w:rsidP="00CF227C">
      <w:pPr>
        <w:spacing w:line="360" w:lineRule="auto"/>
        <w:ind w:left="566" w:right="762"/>
        <w:jc w:val="both"/>
        <w:rPr>
          <w:rFonts w:ascii="Palatino Linotype" w:hAnsi="Palatino Linotype"/>
          <w:sz w:val="20"/>
          <w:szCs w:val="20"/>
        </w:rPr>
      </w:pPr>
      <w:r w:rsidRPr="008A6ABF">
        <w:rPr>
          <w:rFonts w:ascii="Palatino Linotype" w:hAnsi="Palatino Linotype"/>
          <w:i/>
          <w:iCs/>
          <w:color w:val="000000"/>
          <w:sz w:val="20"/>
          <w:szCs w:val="20"/>
        </w:rPr>
        <w:t>(…)</w:t>
      </w:r>
    </w:p>
    <w:p w14:paraId="398CF486" w14:textId="77777777" w:rsidR="001F54B5" w:rsidRPr="00F302E7" w:rsidRDefault="001F54B5" w:rsidP="00CF227C">
      <w:pPr>
        <w:spacing w:line="360" w:lineRule="auto"/>
        <w:ind w:left="566" w:right="762"/>
        <w:jc w:val="both"/>
        <w:rPr>
          <w:rFonts w:ascii="Palatino Linotype" w:hAnsi="Palatino Linotype"/>
          <w:sz w:val="20"/>
          <w:szCs w:val="20"/>
        </w:rPr>
      </w:pPr>
      <w:r w:rsidRPr="008A6ABF">
        <w:rPr>
          <w:rFonts w:ascii="Palatino Linotype" w:hAnsi="Palatino Linotype"/>
          <w:b/>
          <w:bCs/>
          <w:i/>
          <w:iCs/>
          <w:color w:val="000000"/>
          <w:sz w:val="20"/>
          <w:szCs w:val="20"/>
        </w:rPr>
        <w:t>II. Archivo:</w:t>
      </w:r>
      <w:r w:rsidRPr="008A6ABF">
        <w:rPr>
          <w:rFonts w:ascii="Palatino Linotype" w:hAnsi="Palatino Linotype"/>
          <w:i/>
          <w:iCs/>
          <w:color w:val="000000"/>
          <w:sz w:val="20"/>
          <w:szCs w:val="20"/>
        </w:rPr>
        <w:t xml:space="preserve"> El conjunto orgánico de documentos en cualquier soporte, que son producidos o recibidos por los sujetos obligados o los particulares en el ejercicio de sus atribuciones o en el desarrollo de sus actividades;</w:t>
      </w:r>
    </w:p>
    <w:p w14:paraId="6F8D8CBF" w14:textId="77777777" w:rsidR="001F54B5" w:rsidRPr="00F302E7" w:rsidRDefault="001F54B5" w:rsidP="00CF227C">
      <w:pPr>
        <w:spacing w:line="360" w:lineRule="auto"/>
        <w:ind w:left="566" w:right="762"/>
        <w:jc w:val="both"/>
        <w:rPr>
          <w:rFonts w:ascii="Palatino Linotype" w:hAnsi="Palatino Linotype"/>
          <w:sz w:val="20"/>
          <w:szCs w:val="20"/>
        </w:rPr>
      </w:pPr>
      <w:r w:rsidRPr="008A6ABF">
        <w:rPr>
          <w:rFonts w:ascii="Palatino Linotype" w:hAnsi="Palatino Linotype"/>
          <w:b/>
          <w:bCs/>
          <w:i/>
          <w:iCs/>
          <w:color w:val="000000"/>
          <w:sz w:val="20"/>
          <w:szCs w:val="20"/>
        </w:rPr>
        <w:t>III. Archivo de concentración:</w:t>
      </w:r>
      <w:r w:rsidRPr="008A6ABF">
        <w:rPr>
          <w:rFonts w:ascii="Palatino Linotype" w:hAnsi="Palatino Linotype"/>
          <w:i/>
          <w:iCs/>
          <w:color w:val="000000"/>
          <w:sz w:val="20"/>
          <w:szCs w:val="20"/>
        </w:rPr>
        <w:t xml:space="preserve"> La unidad de la administración de documentos cuya consulta es esporádica y que permanecen en ella hasta su transferencia</w:t>
      </w:r>
    </w:p>
    <w:p w14:paraId="245D73F3" w14:textId="77777777" w:rsidR="001F54B5" w:rsidRPr="00F302E7" w:rsidRDefault="001F54B5" w:rsidP="00CF227C">
      <w:pPr>
        <w:spacing w:line="360" w:lineRule="auto"/>
        <w:ind w:left="566" w:right="762"/>
        <w:jc w:val="both"/>
        <w:rPr>
          <w:rFonts w:ascii="Palatino Linotype" w:hAnsi="Palatino Linotype"/>
          <w:sz w:val="20"/>
          <w:szCs w:val="20"/>
        </w:rPr>
      </w:pPr>
      <w:r w:rsidRPr="008A6ABF">
        <w:rPr>
          <w:rFonts w:ascii="Palatino Linotype" w:hAnsi="Palatino Linotype"/>
          <w:i/>
          <w:iCs/>
          <w:color w:val="000000"/>
          <w:sz w:val="20"/>
          <w:szCs w:val="20"/>
        </w:rPr>
        <w:t>secundaria o baja documental;</w:t>
      </w:r>
    </w:p>
    <w:p w14:paraId="3035EECB" w14:textId="77777777" w:rsidR="001F54B5" w:rsidRPr="00F302E7" w:rsidRDefault="001F54B5" w:rsidP="00CF227C">
      <w:pPr>
        <w:spacing w:line="360" w:lineRule="auto"/>
        <w:ind w:left="566" w:right="762"/>
        <w:jc w:val="both"/>
        <w:rPr>
          <w:rFonts w:ascii="Palatino Linotype" w:hAnsi="Palatino Linotype"/>
          <w:sz w:val="20"/>
          <w:szCs w:val="20"/>
        </w:rPr>
      </w:pPr>
      <w:r w:rsidRPr="008A6ABF">
        <w:rPr>
          <w:rFonts w:ascii="Palatino Linotype" w:hAnsi="Palatino Linotype"/>
          <w:b/>
          <w:bCs/>
          <w:i/>
          <w:iCs/>
          <w:color w:val="000000"/>
          <w:sz w:val="20"/>
          <w:szCs w:val="20"/>
        </w:rPr>
        <w:lastRenderedPageBreak/>
        <w:t>IV. Archivo histórico.</w:t>
      </w:r>
      <w:r w:rsidRPr="008A6ABF">
        <w:rPr>
          <w:rFonts w:ascii="Palatino Linotype" w:hAnsi="Palatino Linotype"/>
          <w:i/>
          <w:iCs/>
          <w:color w:val="000000"/>
          <w:sz w:val="20"/>
          <w:szCs w:val="20"/>
        </w:rPr>
        <w:t xml:space="preserve"> La unidad responsable de la administración de los documentos de conservación permanente y que son fuente de acceso público;</w:t>
      </w:r>
    </w:p>
    <w:p w14:paraId="2016C075" w14:textId="77777777" w:rsidR="001F54B5" w:rsidRPr="00F302E7" w:rsidRDefault="001F54B5" w:rsidP="00CF227C">
      <w:pPr>
        <w:spacing w:line="360" w:lineRule="auto"/>
        <w:ind w:left="566" w:right="762"/>
        <w:jc w:val="both"/>
        <w:rPr>
          <w:rFonts w:ascii="Palatino Linotype" w:hAnsi="Palatino Linotype"/>
          <w:sz w:val="20"/>
          <w:szCs w:val="20"/>
        </w:rPr>
      </w:pPr>
      <w:r w:rsidRPr="008A6ABF">
        <w:rPr>
          <w:rFonts w:ascii="Palatino Linotype" w:hAnsi="Palatino Linotype"/>
          <w:b/>
          <w:bCs/>
          <w:i/>
          <w:iCs/>
          <w:color w:val="000000"/>
          <w:sz w:val="20"/>
          <w:szCs w:val="20"/>
        </w:rPr>
        <w:t>V. Archivo de trámite:</w:t>
      </w:r>
      <w:r w:rsidRPr="008A6ABF">
        <w:rPr>
          <w:rFonts w:ascii="Palatino Linotype" w:hAnsi="Palatino Linotype"/>
          <w:i/>
          <w:iCs/>
          <w:color w:val="000000"/>
          <w:sz w:val="20"/>
          <w:szCs w:val="20"/>
        </w:rPr>
        <w:t xml:space="preserve"> La unidad responsable de la administración de documentos de uso cotidiano y necesario para el ejercicio de las atribuciones de una unidad administrativa, los cuales permanecen en ella hasta su transferencia</w:t>
      </w:r>
    </w:p>
    <w:p w14:paraId="23E212C3" w14:textId="77777777" w:rsidR="001F54B5" w:rsidRPr="00F302E7" w:rsidRDefault="001F54B5" w:rsidP="00CF227C">
      <w:pPr>
        <w:spacing w:line="360" w:lineRule="auto"/>
        <w:ind w:left="566" w:right="762"/>
        <w:jc w:val="both"/>
        <w:rPr>
          <w:rFonts w:ascii="Palatino Linotype" w:hAnsi="Palatino Linotype"/>
          <w:sz w:val="20"/>
          <w:szCs w:val="20"/>
        </w:rPr>
      </w:pPr>
      <w:r w:rsidRPr="008A6ABF">
        <w:rPr>
          <w:rFonts w:ascii="Palatino Linotype" w:hAnsi="Palatino Linotype"/>
          <w:i/>
          <w:iCs/>
          <w:color w:val="000000"/>
          <w:sz w:val="20"/>
          <w:szCs w:val="20"/>
        </w:rPr>
        <w:t>primaria;</w:t>
      </w:r>
    </w:p>
    <w:p w14:paraId="32F6768B" w14:textId="77777777" w:rsidR="001F54B5" w:rsidRPr="00F302E7" w:rsidRDefault="001F54B5" w:rsidP="00CF227C">
      <w:pPr>
        <w:spacing w:line="360" w:lineRule="auto"/>
        <w:ind w:left="566" w:right="762"/>
        <w:jc w:val="both"/>
        <w:rPr>
          <w:rFonts w:ascii="Palatino Linotype" w:hAnsi="Palatino Linotype"/>
          <w:sz w:val="20"/>
          <w:szCs w:val="20"/>
        </w:rPr>
      </w:pPr>
      <w:r w:rsidRPr="008A6ABF">
        <w:rPr>
          <w:rFonts w:ascii="Palatino Linotype" w:hAnsi="Palatino Linotype"/>
          <w:b/>
          <w:bCs/>
          <w:i/>
          <w:iCs/>
          <w:color w:val="000000"/>
          <w:sz w:val="20"/>
          <w:szCs w:val="20"/>
        </w:rPr>
        <w:t>VIII. Baja documental.</w:t>
      </w:r>
      <w:r w:rsidRPr="008A6ABF">
        <w:rPr>
          <w:rFonts w:ascii="Palatino Linotype" w:hAnsi="Palatino Linotype"/>
          <w:i/>
          <w:iCs/>
          <w:color w:val="000000"/>
          <w:sz w:val="20"/>
          <w:szCs w:val="20"/>
        </w:rPr>
        <w:t xml:space="preserve"> La eliminación de aquella documentación que haya prescrito en sus valores administrativos, legales, fiscales, contables, y que no contenga valores históricos;</w:t>
      </w:r>
    </w:p>
    <w:p w14:paraId="342E72B6" w14:textId="77777777" w:rsidR="001F54B5" w:rsidRPr="00F302E7" w:rsidRDefault="001F54B5" w:rsidP="00CF227C">
      <w:pPr>
        <w:spacing w:line="360" w:lineRule="auto"/>
        <w:ind w:left="566" w:right="762"/>
        <w:jc w:val="both"/>
        <w:rPr>
          <w:rFonts w:ascii="Palatino Linotype" w:hAnsi="Palatino Linotype"/>
          <w:sz w:val="20"/>
          <w:szCs w:val="20"/>
        </w:rPr>
      </w:pPr>
      <w:r w:rsidRPr="008A6ABF">
        <w:rPr>
          <w:rFonts w:ascii="Palatino Linotype" w:hAnsi="Palatino Linotype"/>
          <w:i/>
          <w:iCs/>
          <w:color w:val="000000"/>
          <w:sz w:val="20"/>
          <w:szCs w:val="20"/>
        </w:rPr>
        <w:t>(…)</w:t>
      </w:r>
    </w:p>
    <w:p w14:paraId="74F37D24" w14:textId="77777777" w:rsidR="001F54B5" w:rsidRPr="00F302E7" w:rsidRDefault="001F54B5" w:rsidP="00CF227C">
      <w:pPr>
        <w:spacing w:line="360" w:lineRule="auto"/>
        <w:ind w:left="566" w:right="762"/>
        <w:jc w:val="both"/>
        <w:rPr>
          <w:rFonts w:ascii="Palatino Linotype" w:hAnsi="Palatino Linotype"/>
          <w:sz w:val="20"/>
          <w:szCs w:val="20"/>
        </w:rPr>
      </w:pPr>
      <w:r w:rsidRPr="008A6ABF">
        <w:rPr>
          <w:rFonts w:ascii="Palatino Linotype" w:hAnsi="Palatino Linotype"/>
          <w:b/>
          <w:bCs/>
          <w:i/>
          <w:iCs/>
          <w:color w:val="000000"/>
          <w:sz w:val="20"/>
          <w:szCs w:val="20"/>
        </w:rPr>
        <w:t xml:space="preserve">X. Ciclo vital del documento: </w:t>
      </w:r>
      <w:r w:rsidRPr="008A6ABF">
        <w:rPr>
          <w:rFonts w:ascii="Palatino Linotype" w:hAnsi="Palatino Linotype"/>
          <w:i/>
          <w:iCs/>
          <w:color w:val="000000"/>
          <w:sz w:val="20"/>
          <w:szCs w:val="20"/>
        </w:rPr>
        <w:t>La etapas de los documentos desde su producción o recepción hasta su baja o transferencia a un archivo histórico;</w:t>
      </w:r>
    </w:p>
    <w:p w14:paraId="3C14C3CB" w14:textId="77777777" w:rsidR="001F54B5" w:rsidRPr="00F302E7" w:rsidRDefault="001F54B5" w:rsidP="00CF227C">
      <w:pPr>
        <w:spacing w:line="360" w:lineRule="auto"/>
        <w:ind w:left="566" w:right="762"/>
        <w:jc w:val="both"/>
        <w:rPr>
          <w:rFonts w:ascii="Palatino Linotype" w:hAnsi="Palatino Linotype"/>
          <w:sz w:val="20"/>
          <w:szCs w:val="20"/>
        </w:rPr>
      </w:pPr>
      <w:r w:rsidRPr="008A6ABF">
        <w:rPr>
          <w:rFonts w:ascii="Palatino Linotype" w:hAnsi="Palatino Linotype"/>
          <w:i/>
          <w:iCs/>
          <w:color w:val="000000"/>
          <w:sz w:val="20"/>
          <w:szCs w:val="20"/>
        </w:rPr>
        <w:t>(…)</w:t>
      </w:r>
    </w:p>
    <w:p w14:paraId="03A80403" w14:textId="77777777" w:rsidR="001F54B5" w:rsidRPr="00F302E7" w:rsidRDefault="001F54B5" w:rsidP="00CF227C">
      <w:pPr>
        <w:spacing w:line="360" w:lineRule="auto"/>
        <w:ind w:left="566" w:right="762"/>
        <w:jc w:val="both"/>
        <w:rPr>
          <w:rFonts w:ascii="Palatino Linotype" w:hAnsi="Palatino Linotype"/>
          <w:sz w:val="20"/>
          <w:szCs w:val="20"/>
        </w:rPr>
      </w:pPr>
      <w:r w:rsidRPr="008A6ABF">
        <w:rPr>
          <w:rFonts w:ascii="Palatino Linotype" w:hAnsi="Palatino Linotype"/>
          <w:b/>
          <w:bCs/>
          <w:i/>
          <w:iCs/>
          <w:color w:val="000000"/>
          <w:sz w:val="20"/>
          <w:szCs w:val="20"/>
        </w:rPr>
        <w:t>XLVIII. Transferencia documental:</w:t>
      </w:r>
      <w:r w:rsidRPr="008A6ABF">
        <w:rPr>
          <w:rFonts w:ascii="Palatino Linotype" w:hAnsi="Palatino Linotype"/>
          <w:i/>
          <w:iCs/>
          <w:color w:val="000000"/>
          <w:sz w:val="20"/>
          <w:szCs w:val="20"/>
        </w:rPr>
        <w:t xml:space="preserve">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5FAEA295" w14:textId="77777777" w:rsidR="001F54B5" w:rsidRPr="00F302E7" w:rsidRDefault="001F54B5" w:rsidP="00F302E7">
      <w:pPr>
        <w:jc w:val="both"/>
        <w:rPr>
          <w:rFonts w:ascii="Palatino Linotype" w:hAnsi="Palatino Linotype"/>
          <w:sz w:val="22"/>
          <w:szCs w:val="22"/>
        </w:rPr>
      </w:pPr>
    </w:p>
    <w:p w14:paraId="49A01082" w14:textId="77777777" w:rsidR="001F54B5" w:rsidRPr="00F302E7" w:rsidRDefault="001F54B5" w:rsidP="00CF227C">
      <w:pPr>
        <w:spacing w:line="360" w:lineRule="auto"/>
        <w:jc w:val="both"/>
        <w:rPr>
          <w:rFonts w:ascii="Palatino Linotype" w:hAnsi="Palatino Linotype"/>
          <w:sz w:val="22"/>
          <w:szCs w:val="22"/>
        </w:rPr>
      </w:pPr>
      <w:r w:rsidRPr="008A6ABF">
        <w:rPr>
          <w:rFonts w:ascii="Palatino Linotype" w:hAnsi="Palatino Linotype"/>
          <w:color w:val="000000"/>
          <w:sz w:val="22"/>
          <w:szCs w:val="22"/>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1CA63806" w14:textId="77777777" w:rsidR="001F54B5" w:rsidRPr="00F302E7" w:rsidRDefault="001F54B5" w:rsidP="00F302E7">
      <w:pPr>
        <w:jc w:val="both"/>
        <w:rPr>
          <w:rFonts w:ascii="Palatino Linotype" w:hAnsi="Palatino Linotype"/>
          <w:sz w:val="22"/>
          <w:szCs w:val="22"/>
        </w:rPr>
      </w:pPr>
    </w:p>
    <w:p w14:paraId="2FC00E21" w14:textId="77777777" w:rsidR="001F54B5" w:rsidRPr="00F302E7" w:rsidRDefault="001F54B5" w:rsidP="00CF227C">
      <w:pPr>
        <w:spacing w:line="360" w:lineRule="auto"/>
        <w:jc w:val="both"/>
        <w:rPr>
          <w:rFonts w:ascii="Palatino Linotype" w:hAnsi="Palatino Linotype"/>
          <w:sz w:val="22"/>
          <w:szCs w:val="22"/>
        </w:rPr>
      </w:pPr>
      <w:r w:rsidRPr="008A6ABF">
        <w:rPr>
          <w:rFonts w:ascii="Palatino Linotype" w:hAnsi="Palatino Linotype"/>
          <w:color w:val="000000"/>
          <w:sz w:val="22"/>
          <w:szCs w:val="22"/>
        </w:rPr>
        <w:t>Asimismo, los Lineamientos para la Valoración, Selección y Baja de los Documentos, Expedientes y Series de Trámite Concluido en los Archivos del Estado de México, que establece lo siguiente:</w:t>
      </w:r>
    </w:p>
    <w:p w14:paraId="4DCF803B" w14:textId="77777777" w:rsidR="001F54B5" w:rsidRPr="00F302E7" w:rsidRDefault="001F54B5" w:rsidP="00F302E7">
      <w:pPr>
        <w:spacing w:line="360" w:lineRule="auto"/>
        <w:ind w:left="567" w:right="567"/>
        <w:jc w:val="both"/>
        <w:rPr>
          <w:rFonts w:ascii="Palatino Linotype" w:hAnsi="Palatino Linotype"/>
          <w:sz w:val="20"/>
          <w:szCs w:val="20"/>
        </w:rPr>
      </w:pPr>
      <w:r w:rsidRPr="008A6ABF">
        <w:rPr>
          <w:rFonts w:ascii="Palatino Linotype" w:hAnsi="Palatino Linotype"/>
          <w:i/>
          <w:iCs/>
          <w:color w:val="000000"/>
          <w:sz w:val="20"/>
          <w:szCs w:val="20"/>
        </w:rPr>
        <w:lastRenderedPageBreak/>
        <w:t>Artículo 20.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2C774102" w14:textId="77777777" w:rsidR="001F54B5" w:rsidRPr="00F302E7" w:rsidRDefault="001F54B5" w:rsidP="00F302E7">
      <w:pPr>
        <w:spacing w:line="360" w:lineRule="auto"/>
        <w:ind w:left="567" w:right="567"/>
        <w:jc w:val="both"/>
        <w:rPr>
          <w:rFonts w:ascii="Palatino Linotype" w:hAnsi="Palatino Linotype"/>
          <w:sz w:val="20"/>
          <w:szCs w:val="20"/>
        </w:rPr>
      </w:pPr>
    </w:p>
    <w:p w14:paraId="7605C0F1" w14:textId="77777777" w:rsidR="001F54B5" w:rsidRPr="00F302E7" w:rsidRDefault="001F54B5" w:rsidP="00F302E7">
      <w:pPr>
        <w:spacing w:line="360" w:lineRule="auto"/>
        <w:ind w:left="567" w:right="567"/>
        <w:jc w:val="both"/>
        <w:rPr>
          <w:rFonts w:ascii="Palatino Linotype" w:hAnsi="Palatino Linotype"/>
          <w:sz w:val="20"/>
          <w:szCs w:val="20"/>
        </w:rPr>
      </w:pPr>
      <w:r w:rsidRPr="008A6ABF">
        <w:rPr>
          <w:rFonts w:ascii="Palatino Linotype" w:hAnsi="Palatino Linotype"/>
          <w:i/>
          <w:iCs/>
          <w:color w:val="000000"/>
          <w:sz w:val="20"/>
          <w:szCs w:val="20"/>
        </w:rPr>
        <w:t>El periodo señalado se computará a partir del día siguiente a la fecha del documento con el cual se dé por concluido el asunto por el que los expedientes fueron creados.</w:t>
      </w:r>
    </w:p>
    <w:p w14:paraId="55C7C7DF" w14:textId="77777777" w:rsidR="001F54B5" w:rsidRPr="00F302E7" w:rsidRDefault="001F54B5" w:rsidP="00F302E7">
      <w:pPr>
        <w:spacing w:line="360" w:lineRule="auto"/>
        <w:ind w:left="567" w:right="567"/>
        <w:jc w:val="both"/>
        <w:rPr>
          <w:rFonts w:ascii="Palatino Linotype" w:hAnsi="Palatino Linotype"/>
          <w:sz w:val="20"/>
          <w:szCs w:val="20"/>
        </w:rPr>
      </w:pPr>
    </w:p>
    <w:p w14:paraId="6C4BAC9F" w14:textId="77777777" w:rsidR="001F54B5" w:rsidRPr="00F302E7" w:rsidRDefault="001F54B5" w:rsidP="00F302E7">
      <w:pPr>
        <w:spacing w:line="360" w:lineRule="auto"/>
        <w:ind w:left="567" w:right="567"/>
        <w:jc w:val="both"/>
        <w:rPr>
          <w:rFonts w:ascii="Palatino Linotype" w:hAnsi="Palatino Linotype"/>
          <w:sz w:val="20"/>
          <w:szCs w:val="20"/>
        </w:rPr>
      </w:pPr>
      <w:r w:rsidRPr="008A6ABF">
        <w:rPr>
          <w:rFonts w:ascii="Palatino Linotype" w:hAnsi="Palatino Linotype"/>
          <w:i/>
          <w:iCs/>
          <w:color w:val="000000"/>
          <w:sz w:val="20"/>
          <w:szCs w:val="20"/>
        </w:rPr>
        <w:t>Artículo 27.- Las Unidades Administrativas al realizar la transferencia de los expedientes de trámite concluido, señalarán en el Inventario correspondiente los plazos de conservación precaucional de éstos en el Archivo de Concentración.</w:t>
      </w:r>
    </w:p>
    <w:p w14:paraId="2E2A3E35" w14:textId="77777777" w:rsidR="001F54B5" w:rsidRPr="00F302E7" w:rsidRDefault="001F54B5" w:rsidP="00F302E7">
      <w:pPr>
        <w:spacing w:line="360" w:lineRule="auto"/>
        <w:ind w:left="567" w:right="567"/>
        <w:jc w:val="both"/>
        <w:rPr>
          <w:rFonts w:ascii="Palatino Linotype" w:hAnsi="Palatino Linotype"/>
          <w:sz w:val="20"/>
          <w:szCs w:val="20"/>
        </w:rPr>
      </w:pPr>
    </w:p>
    <w:p w14:paraId="25A14734" w14:textId="77777777" w:rsidR="001F54B5" w:rsidRPr="00F302E7" w:rsidRDefault="001F54B5" w:rsidP="00F302E7">
      <w:pPr>
        <w:spacing w:line="360" w:lineRule="auto"/>
        <w:ind w:left="567" w:right="567"/>
        <w:jc w:val="both"/>
        <w:rPr>
          <w:rFonts w:ascii="Palatino Linotype" w:hAnsi="Palatino Linotype"/>
          <w:sz w:val="20"/>
          <w:szCs w:val="20"/>
        </w:rPr>
      </w:pPr>
      <w:r w:rsidRPr="008A6ABF">
        <w:rPr>
          <w:rFonts w:ascii="Palatino Linotype" w:hAnsi="Palatino Linotype"/>
          <w:i/>
          <w:iCs/>
          <w:color w:val="000000"/>
          <w:sz w:val="20"/>
          <w:szCs w:val="20"/>
        </w:rPr>
        <w:t>Para determinar el plazo de conservación precaucional deberán considerar el marco legal o administrativo bajo el cual se produjeron o recibieron los documentos y los siguientes períodos:</w:t>
      </w:r>
    </w:p>
    <w:p w14:paraId="37356876" w14:textId="77777777" w:rsidR="001F54B5" w:rsidRPr="00F302E7" w:rsidRDefault="001F54B5" w:rsidP="00F302E7">
      <w:pPr>
        <w:spacing w:line="360" w:lineRule="auto"/>
        <w:ind w:left="567" w:right="567"/>
        <w:jc w:val="both"/>
        <w:rPr>
          <w:rFonts w:ascii="Palatino Linotype" w:hAnsi="Palatino Linotype"/>
          <w:sz w:val="20"/>
          <w:szCs w:val="20"/>
        </w:rPr>
      </w:pPr>
    </w:p>
    <w:p w14:paraId="16F55727" w14:textId="77777777" w:rsidR="001F54B5" w:rsidRPr="00F302E7" w:rsidRDefault="001F54B5" w:rsidP="00F302E7">
      <w:pPr>
        <w:spacing w:line="360" w:lineRule="auto"/>
        <w:ind w:left="567" w:right="567"/>
        <w:jc w:val="both"/>
        <w:rPr>
          <w:rFonts w:ascii="Palatino Linotype" w:hAnsi="Palatino Linotype"/>
          <w:sz w:val="20"/>
          <w:szCs w:val="20"/>
        </w:rPr>
      </w:pPr>
      <w:r w:rsidRPr="008A6ABF">
        <w:rPr>
          <w:rFonts w:ascii="Palatino Linotype" w:hAnsi="Palatino Linotype"/>
          <w:i/>
          <w:iCs/>
          <w:color w:val="000000"/>
          <w:sz w:val="20"/>
          <w:szCs w:val="20"/>
        </w:rPr>
        <w:t>I. 6 años para expedientes con información administrativa;</w:t>
      </w:r>
    </w:p>
    <w:p w14:paraId="5D1D364D" w14:textId="77777777" w:rsidR="001F54B5" w:rsidRPr="00F302E7" w:rsidRDefault="001F54B5" w:rsidP="00F302E7">
      <w:pPr>
        <w:spacing w:line="360" w:lineRule="auto"/>
        <w:ind w:left="567" w:right="567"/>
        <w:jc w:val="both"/>
        <w:rPr>
          <w:rFonts w:ascii="Palatino Linotype" w:hAnsi="Palatino Linotype"/>
          <w:sz w:val="20"/>
          <w:szCs w:val="20"/>
        </w:rPr>
      </w:pPr>
      <w:r w:rsidRPr="008A6ABF">
        <w:rPr>
          <w:rFonts w:ascii="Palatino Linotype" w:hAnsi="Palatino Linotype"/>
          <w:i/>
          <w:iCs/>
          <w:color w:val="000000"/>
          <w:sz w:val="20"/>
          <w:szCs w:val="20"/>
        </w:rPr>
        <w:t>II. 6 años como mínimo para expedientes con información fiscal y presupuestal contable;</w:t>
      </w:r>
    </w:p>
    <w:p w14:paraId="44B91E96" w14:textId="77777777" w:rsidR="001F54B5" w:rsidRPr="00F302E7" w:rsidRDefault="001F54B5" w:rsidP="00F302E7">
      <w:pPr>
        <w:spacing w:line="360" w:lineRule="auto"/>
        <w:ind w:left="567" w:right="567"/>
        <w:jc w:val="both"/>
        <w:rPr>
          <w:rFonts w:ascii="Palatino Linotype" w:hAnsi="Palatino Linotype"/>
          <w:sz w:val="20"/>
          <w:szCs w:val="20"/>
        </w:rPr>
      </w:pPr>
      <w:r w:rsidRPr="008A6ABF">
        <w:rPr>
          <w:rFonts w:ascii="Palatino Linotype" w:hAnsi="Palatino Linotype"/>
          <w:i/>
          <w:iCs/>
          <w:color w:val="000000"/>
          <w:sz w:val="20"/>
          <w:szCs w:val="20"/>
        </w:rPr>
        <w:t>III. 12 años como mínimo para expedientes con información jurídico-legal, obra pública y activo fijo; y</w:t>
      </w:r>
    </w:p>
    <w:p w14:paraId="0CD72894" w14:textId="77777777" w:rsidR="001F54B5" w:rsidRPr="00F302E7" w:rsidRDefault="001F54B5" w:rsidP="00F302E7">
      <w:pPr>
        <w:spacing w:line="360" w:lineRule="auto"/>
        <w:ind w:left="567" w:right="567"/>
        <w:jc w:val="both"/>
        <w:rPr>
          <w:rFonts w:ascii="Palatino Linotype" w:hAnsi="Palatino Linotype"/>
          <w:sz w:val="20"/>
          <w:szCs w:val="20"/>
        </w:rPr>
      </w:pPr>
      <w:r w:rsidRPr="008A6ABF">
        <w:rPr>
          <w:rFonts w:ascii="Palatino Linotype" w:hAnsi="Palatino Linotype"/>
          <w:i/>
          <w:iCs/>
          <w:color w:val="000000"/>
          <w:sz w:val="20"/>
          <w:szCs w:val="20"/>
        </w:rPr>
        <w:t>IV. Cuando en la legislación se establezcan períodos de conservación mayores a los señalados en las fracciones I, II y III, se considerarán los estipulados en dicha legislación para efectos de realización del proceso de selección final.</w:t>
      </w:r>
    </w:p>
    <w:p w14:paraId="353C5F34" w14:textId="77777777" w:rsidR="001F54B5" w:rsidRPr="00F302E7" w:rsidRDefault="001F54B5" w:rsidP="00F302E7">
      <w:pPr>
        <w:spacing w:line="360" w:lineRule="auto"/>
        <w:ind w:left="567" w:right="567"/>
        <w:jc w:val="both"/>
        <w:rPr>
          <w:rFonts w:ascii="Palatino Linotype" w:hAnsi="Palatino Linotype"/>
          <w:sz w:val="20"/>
          <w:szCs w:val="20"/>
        </w:rPr>
      </w:pPr>
      <w:r w:rsidRPr="008A6ABF">
        <w:rPr>
          <w:rFonts w:ascii="Palatino Linotype" w:hAnsi="Palatino Linotype"/>
          <w:i/>
          <w:iCs/>
          <w:color w:val="000000"/>
          <w:sz w:val="20"/>
          <w:szCs w:val="20"/>
        </w:rPr>
        <w:t>V. Cuando las Unidades Administrativas no indique el plazo de conservación precaucional de sus expedientes en el Inventario correspondiente, los Archivos de Concentración podrán rechazar la transferencia de los expedientes.</w:t>
      </w:r>
    </w:p>
    <w:p w14:paraId="681D1286" w14:textId="77777777" w:rsidR="001F54B5" w:rsidRPr="00F302E7" w:rsidRDefault="001F54B5" w:rsidP="00F302E7">
      <w:pPr>
        <w:jc w:val="both"/>
        <w:rPr>
          <w:rFonts w:ascii="Palatino Linotype" w:hAnsi="Palatino Linotype"/>
          <w:sz w:val="22"/>
          <w:szCs w:val="22"/>
        </w:rPr>
      </w:pPr>
    </w:p>
    <w:p w14:paraId="3E5C8735" w14:textId="77777777" w:rsidR="001F54B5" w:rsidRPr="00F302E7" w:rsidRDefault="001F54B5" w:rsidP="00CF227C">
      <w:pPr>
        <w:spacing w:line="360" w:lineRule="auto"/>
        <w:jc w:val="both"/>
        <w:rPr>
          <w:rFonts w:ascii="Palatino Linotype" w:hAnsi="Palatino Linotype"/>
          <w:sz w:val="22"/>
          <w:szCs w:val="22"/>
        </w:rPr>
      </w:pPr>
      <w:r w:rsidRPr="008A6ABF">
        <w:rPr>
          <w:rFonts w:ascii="Palatino Linotype" w:hAnsi="Palatino Linotype"/>
          <w:color w:val="000000"/>
          <w:sz w:val="22"/>
          <w:szCs w:val="22"/>
        </w:rPr>
        <w:t>En apego de lo anterior, se tiene que una vez que los documentos generados se consideran como trámite concluido, pasan a formar parte del Archivo de Trámite por dos años; concluido el plazo, se transfieren al Archivo de Concentración para</w:t>
      </w:r>
      <w:r w:rsidR="00D67D23" w:rsidRPr="008A6ABF">
        <w:rPr>
          <w:rFonts w:ascii="Palatino Linotype" w:hAnsi="Palatino Linotype"/>
          <w:color w:val="000000"/>
          <w:sz w:val="22"/>
          <w:szCs w:val="22"/>
        </w:rPr>
        <w:t xml:space="preserve"> </w:t>
      </w:r>
      <w:r w:rsidRPr="008A6ABF">
        <w:rPr>
          <w:rFonts w:ascii="Palatino Linotype" w:hAnsi="Palatino Linotype"/>
          <w:color w:val="000000"/>
          <w:sz w:val="22"/>
          <w:szCs w:val="22"/>
        </w:rPr>
        <w:t xml:space="preserve">mantenerse allí por seis años cuando </w:t>
      </w:r>
      <w:r w:rsidRPr="008A6ABF">
        <w:rPr>
          <w:rFonts w:ascii="Palatino Linotype" w:hAnsi="Palatino Linotype"/>
          <w:color w:val="000000"/>
          <w:sz w:val="22"/>
          <w:szCs w:val="22"/>
        </w:rPr>
        <w:lastRenderedPageBreak/>
        <w:t xml:space="preserve">los expedientes contengan información administrativa; y una vez que concluye dicho periodo, los documentos pueden causar baja documental o bien, formar parte del Archivo Histórico. Razones por las cuales, y atendiendo al periodo por el que se solicita la información, es que debiera contar con la información solicitada. </w:t>
      </w:r>
    </w:p>
    <w:p w14:paraId="7EBBBEA3" w14:textId="77777777" w:rsidR="001F54B5" w:rsidRPr="008A6ABF" w:rsidRDefault="001F54B5" w:rsidP="00CF227C">
      <w:pPr>
        <w:spacing w:line="360" w:lineRule="auto"/>
        <w:jc w:val="both"/>
        <w:rPr>
          <w:rFonts w:ascii="Palatino Linotype" w:eastAsia="Palatino Linotype" w:hAnsi="Palatino Linotype" w:cs="Palatino Linotype"/>
          <w:sz w:val="22"/>
          <w:szCs w:val="22"/>
        </w:rPr>
      </w:pPr>
    </w:p>
    <w:p w14:paraId="038D70E0" w14:textId="7FCEA415" w:rsidR="001F54B5" w:rsidRPr="008A6ABF" w:rsidRDefault="001F54B5" w:rsidP="00CF227C">
      <w:pPr>
        <w:spacing w:line="360" w:lineRule="auto"/>
        <w:ind w:right="49"/>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t>Por lo que</w:t>
      </w:r>
      <w:r w:rsidR="00075A96">
        <w:rPr>
          <w:rFonts w:ascii="Palatino Linotype" w:eastAsia="Palatino Linotype" w:hAnsi="Palatino Linotype" w:cs="Palatino Linotype"/>
          <w:sz w:val="22"/>
          <w:szCs w:val="22"/>
        </w:rPr>
        <w:t>,</w:t>
      </w:r>
      <w:r w:rsidRPr="008A6ABF">
        <w:rPr>
          <w:rFonts w:ascii="Palatino Linotype" w:eastAsia="Palatino Linotype" w:hAnsi="Palatino Linotype" w:cs="Palatino Linotype"/>
          <w:sz w:val="22"/>
          <w:szCs w:val="22"/>
        </w:rPr>
        <w:t xml:space="preserve"> resulta procedente ordenar, la entrega, de ser necesario en versión pública, del documento donde conste, o de que se pudiera advertir el número total de policías municipales que han sido dados baja desde </w:t>
      </w:r>
      <w:r w:rsidR="00D67D23" w:rsidRPr="008A6ABF">
        <w:rPr>
          <w:rFonts w:ascii="Palatino Linotype" w:eastAsia="Palatino Linotype" w:hAnsi="Palatino Linotype" w:cs="Palatino Linotype"/>
          <w:sz w:val="22"/>
          <w:szCs w:val="22"/>
        </w:rPr>
        <w:t>el 1 de enero de 2016 al 17 de diciembre de 2021</w:t>
      </w:r>
      <w:r w:rsidRPr="008A6ABF">
        <w:rPr>
          <w:rFonts w:ascii="Palatino Linotype" w:eastAsia="Palatino Linotype" w:hAnsi="Palatino Linotype" w:cs="Palatino Linotype"/>
          <w:sz w:val="22"/>
          <w:szCs w:val="22"/>
        </w:rPr>
        <w:t xml:space="preserve">, el número total de policías municipales que han sido reubicados en su puesto </w:t>
      </w:r>
      <w:r w:rsidR="00D67D23" w:rsidRPr="008A6ABF">
        <w:rPr>
          <w:rFonts w:ascii="Palatino Linotype" w:eastAsia="Palatino Linotype" w:hAnsi="Palatino Linotype" w:cs="Palatino Linotype"/>
          <w:sz w:val="22"/>
          <w:szCs w:val="22"/>
        </w:rPr>
        <w:t>desde el 1 de enero de 2016 al 17 de diciembre de 2021</w:t>
      </w:r>
      <w:r w:rsidRPr="008A6ABF">
        <w:rPr>
          <w:rFonts w:ascii="Palatino Linotype" w:eastAsia="Palatino Linotype" w:hAnsi="Palatino Linotype" w:cs="Palatino Linotype"/>
          <w:sz w:val="22"/>
          <w:szCs w:val="22"/>
        </w:rPr>
        <w:t xml:space="preserve">y los números de expedientes iniciados </w:t>
      </w:r>
      <w:r w:rsidR="00D67D23" w:rsidRPr="008A6ABF">
        <w:rPr>
          <w:rFonts w:ascii="Palatino Linotype" w:eastAsia="Palatino Linotype" w:hAnsi="Palatino Linotype" w:cs="Palatino Linotype"/>
          <w:sz w:val="22"/>
          <w:szCs w:val="22"/>
        </w:rPr>
        <w:t>en contra de policías municipales, en el que se incluya estatus, desde el 1 de enero de 2016 al 17 de diciembre de 2021</w:t>
      </w:r>
      <w:r w:rsidRPr="008A6ABF">
        <w:rPr>
          <w:rFonts w:ascii="Palatino Linotype" w:eastAsia="Palatino Linotype" w:hAnsi="Palatino Linotype" w:cs="Palatino Linotype"/>
          <w:sz w:val="22"/>
          <w:szCs w:val="22"/>
        </w:rPr>
        <w:t>, en términos de los señalado por el conside</w:t>
      </w:r>
      <w:r w:rsidR="00CC7AA0" w:rsidRPr="008A6ABF">
        <w:rPr>
          <w:rFonts w:ascii="Palatino Linotype" w:eastAsia="Palatino Linotype" w:hAnsi="Palatino Linotype" w:cs="Palatino Linotype"/>
          <w:sz w:val="22"/>
          <w:szCs w:val="22"/>
        </w:rPr>
        <w:t>rando quinto del presente fallo, en versión pública.</w:t>
      </w:r>
    </w:p>
    <w:p w14:paraId="642FE603" w14:textId="77777777" w:rsidR="001F54B5" w:rsidRPr="008A6ABF" w:rsidRDefault="001F54B5" w:rsidP="00CF227C">
      <w:pPr>
        <w:autoSpaceDE w:val="0"/>
        <w:autoSpaceDN w:val="0"/>
        <w:adjustRightInd w:val="0"/>
        <w:spacing w:line="360" w:lineRule="auto"/>
        <w:ind w:right="49"/>
        <w:jc w:val="both"/>
        <w:rPr>
          <w:rFonts w:ascii="Palatino Linotype" w:hAnsi="Palatino Linotype"/>
          <w:sz w:val="22"/>
        </w:rPr>
      </w:pPr>
    </w:p>
    <w:p w14:paraId="70C3E8ED" w14:textId="77777777" w:rsidR="001A2410" w:rsidRPr="00D92704" w:rsidRDefault="001A2410" w:rsidP="001A2410">
      <w:pPr>
        <w:spacing w:line="360" w:lineRule="auto"/>
        <w:ind w:firstLine="1"/>
        <w:jc w:val="both"/>
        <w:rPr>
          <w:rFonts w:ascii="Palatino Linotype" w:hAnsi="Palatino Linotype" w:cs="Arial"/>
          <w:sz w:val="22"/>
          <w:szCs w:val="22"/>
          <w:lang w:val="es-ES"/>
        </w:rPr>
      </w:pPr>
      <w:r w:rsidRPr="00033B8E">
        <w:rPr>
          <w:rFonts w:ascii="Palatino Linotype" w:hAnsi="Palatino Linotype" w:cs="Tahoma"/>
          <w:bCs/>
          <w:iCs/>
          <w:sz w:val="22"/>
          <w:szCs w:val="22"/>
        </w:rPr>
        <w:t xml:space="preserve">Conforme a la </w:t>
      </w:r>
      <w:r>
        <w:rPr>
          <w:rFonts w:ascii="Palatino Linotype" w:hAnsi="Palatino Linotype" w:cs="Tahoma"/>
          <w:bCs/>
          <w:iCs/>
          <w:sz w:val="22"/>
          <w:szCs w:val="22"/>
        </w:rPr>
        <w:t xml:space="preserve">anterior, </w:t>
      </w:r>
      <w:r w:rsidRPr="00033B8E">
        <w:rPr>
          <w:rFonts w:ascii="Palatino Linotype" w:hAnsi="Palatino Linotype" w:cs="Tahoma"/>
          <w:bCs/>
          <w:iCs/>
          <w:sz w:val="22"/>
          <w:szCs w:val="22"/>
        </w:rPr>
        <w:t>el Ente Recurrido</w:t>
      </w:r>
      <w:r>
        <w:rPr>
          <w:rFonts w:ascii="Palatino Linotype" w:hAnsi="Palatino Linotype" w:cs="Tahoma"/>
          <w:bCs/>
          <w:iCs/>
          <w:sz w:val="22"/>
          <w:szCs w:val="22"/>
        </w:rPr>
        <w:t xml:space="preserve"> deberá de proporcionar los documentos de los que se desprenda lo que el Particular solicitó, ello</w:t>
      </w:r>
      <w:r w:rsidRPr="009100C0">
        <w:rPr>
          <w:rFonts w:ascii="Palatino Linotype" w:hAnsi="Palatino Linotype" w:cs="Tahoma"/>
          <w:sz w:val="22"/>
        </w:rPr>
        <w:t xml:space="preserve"> en virtud de que </w:t>
      </w:r>
      <w:r w:rsidRPr="009100C0">
        <w:rPr>
          <w:rFonts w:ascii="Palatino Linotype" w:hAnsi="Palatino Linotype" w:cs="Tahoma"/>
          <w:sz w:val="22"/>
          <w:szCs w:val="22"/>
        </w:rPr>
        <w:t xml:space="preserve">conforme al artículo 12 de la Ley de Transparencia y Acceso a la Información Pública del Estado de México y Municipios,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w:t>
      </w:r>
      <w:r>
        <w:rPr>
          <w:rFonts w:ascii="Palatino Linotype" w:eastAsia="Calibri" w:hAnsi="Palatino Linotype" w:cs="Tahoma"/>
          <w:bCs/>
          <w:iCs/>
          <w:sz w:val="22"/>
          <w:szCs w:val="22"/>
          <w:lang w:eastAsia="es-ES_tradnl"/>
        </w:rPr>
        <w:t xml:space="preserve">ya </w:t>
      </w:r>
      <w:r w:rsidRPr="00401946">
        <w:rPr>
          <w:rFonts w:ascii="Palatino Linotype" w:eastAsia="Calibri" w:hAnsi="Palatino Linotype" w:cs="Tahoma"/>
          <w:iCs/>
          <w:sz w:val="22"/>
          <w:szCs w:val="22"/>
          <w:lang w:val="es-ES" w:eastAsia="es-ES_tradnl"/>
        </w:rPr>
        <w:t xml:space="preserve">que los sujetos obligados únicamente están constreñidos a proporcionar la documentación que obre en sus archivos; por lo que, no están obligados a generar o elaborar documentos </w:t>
      </w:r>
      <w:r w:rsidRPr="00401946">
        <w:rPr>
          <w:rFonts w:ascii="Palatino Linotype" w:eastAsia="Calibri" w:hAnsi="Palatino Linotype" w:cs="Tahoma"/>
          <w:i/>
          <w:iCs/>
          <w:sz w:val="22"/>
          <w:szCs w:val="22"/>
          <w:lang w:val="es-ES" w:eastAsia="es-ES_tradnl"/>
        </w:rPr>
        <w:t>Ad hoc,</w:t>
      </w:r>
      <w:r w:rsidRPr="00401946">
        <w:rPr>
          <w:rFonts w:ascii="Palatino Linotype" w:eastAsia="Calibri" w:hAnsi="Palatino Linotype" w:cs="Tahoma"/>
          <w:iCs/>
          <w:sz w:val="22"/>
          <w:szCs w:val="22"/>
          <w:lang w:val="es-ES" w:eastAsia="es-ES_tradnl"/>
        </w:rPr>
        <w:t xml:space="preserve"> tal y como lo solicitó el Particular</w:t>
      </w:r>
      <w:r>
        <w:rPr>
          <w:rFonts w:ascii="Palatino Linotype" w:eastAsia="Calibri" w:hAnsi="Palatino Linotype" w:cs="Tahoma"/>
          <w:iCs/>
          <w:sz w:val="22"/>
          <w:szCs w:val="22"/>
          <w:lang w:val="es-ES" w:eastAsia="es-ES_tradnl"/>
        </w:rPr>
        <w:t>.</w:t>
      </w:r>
    </w:p>
    <w:p w14:paraId="26CBC6FC" w14:textId="77777777" w:rsidR="001A2410" w:rsidRDefault="001A2410" w:rsidP="001A2410">
      <w:pPr>
        <w:spacing w:line="360" w:lineRule="auto"/>
        <w:ind w:firstLine="1"/>
        <w:jc w:val="both"/>
        <w:rPr>
          <w:rFonts w:ascii="Palatino Linotype" w:hAnsi="Palatino Linotype" w:cs="Arial"/>
          <w:sz w:val="22"/>
          <w:szCs w:val="22"/>
          <w:lang w:val="es-ES"/>
        </w:rPr>
      </w:pPr>
    </w:p>
    <w:p w14:paraId="729D6C5D" w14:textId="77777777" w:rsidR="001A2410" w:rsidRPr="003743F9" w:rsidRDefault="001A2410" w:rsidP="001A2410">
      <w:pPr>
        <w:spacing w:line="360" w:lineRule="auto"/>
        <w:contextualSpacing/>
        <w:jc w:val="both"/>
        <w:rPr>
          <w:rFonts w:ascii="Palatino Linotype" w:hAnsi="Palatino Linotype" w:cs="Tahoma"/>
          <w:b/>
          <w:color w:val="0D0D0D"/>
          <w:sz w:val="22"/>
          <w:szCs w:val="22"/>
        </w:rPr>
      </w:pPr>
      <w:r>
        <w:rPr>
          <w:rFonts w:ascii="Palatino Linotype" w:hAnsi="Palatino Linotype" w:cs="Tahoma"/>
          <w:sz w:val="22"/>
          <w:szCs w:val="22"/>
          <w:lang w:eastAsia="es-MX"/>
        </w:rPr>
        <w:lastRenderedPageBreak/>
        <w:t xml:space="preserve">Establecido lo anterior, es necesario precisar que la información respecto del personal que pudo haber sido reubicado, en caso de que contenga el nombre corresponde a </w:t>
      </w:r>
      <w:r w:rsidRPr="0048165F">
        <w:rPr>
          <w:rFonts w:ascii="Palatino Linotype" w:hAnsi="Palatino Linotype" w:cs="Tahoma"/>
          <w:sz w:val="22"/>
          <w:szCs w:val="22"/>
          <w:lang w:eastAsia="es-MX"/>
        </w:rPr>
        <w:t>información reservada</w:t>
      </w:r>
      <w:r w:rsidRPr="00F912B8">
        <w:rPr>
          <w:rFonts w:ascii="Palatino Linotype" w:hAnsi="Palatino Linotype" w:cs="Tahoma"/>
          <w:sz w:val="22"/>
          <w:szCs w:val="22"/>
          <w:lang w:eastAsia="es-MX"/>
        </w:rPr>
        <w:t xml:space="preserve">; esto es, </w:t>
      </w:r>
      <w:r>
        <w:rPr>
          <w:rFonts w:ascii="Palatino Linotype" w:hAnsi="Palatino Linotype" w:cs="Tahoma"/>
          <w:sz w:val="22"/>
          <w:szCs w:val="22"/>
          <w:lang w:eastAsia="es-MX"/>
        </w:rPr>
        <w:t xml:space="preserve">ya que los elementos operativos </w:t>
      </w:r>
      <w:r w:rsidRPr="00F912B8">
        <w:rPr>
          <w:rFonts w:ascii="Palatino Linotype" w:hAnsi="Palatino Linotype" w:cs="Tahoma"/>
          <w:sz w:val="22"/>
          <w:szCs w:val="22"/>
          <w:lang w:eastAsia="es-MX"/>
        </w:rPr>
        <w:t xml:space="preserve">se dedican a combatir de manera directa a los delincuentes en el municipio, así como a prevenir la actividad delictiva. Entonces, </w:t>
      </w:r>
      <w:r w:rsidRPr="00F912B8">
        <w:rPr>
          <w:rFonts w:ascii="Palatino Linotype" w:hAnsi="Palatino Linotype" w:cs="Tahoma"/>
          <w:color w:val="0D0D0D"/>
          <w:sz w:val="22"/>
          <w:szCs w:val="22"/>
        </w:rPr>
        <w:t>conforme al artículo 134 de la Ley de Transparencia y Acceso a la Información Pública del</w:t>
      </w:r>
      <w:r w:rsidRPr="003743F9">
        <w:rPr>
          <w:rFonts w:ascii="Palatino Linotype" w:hAnsi="Palatino Linotype" w:cs="Tahoma"/>
          <w:color w:val="0D0D0D"/>
          <w:sz w:val="22"/>
          <w:szCs w:val="22"/>
        </w:rPr>
        <w:t xml:space="preserve">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3743F9">
        <w:rPr>
          <w:rFonts w:ascii="Palatino Linotype" w:hAnsi="Palatino Linotype" w:cs="Tahoma"/>
          <w:b/>
          <w:color w:val="0D0D0D"/>
          <w:sz w:val="22"/>
          <w:szCs w:val="22"/>
        </w:rPr>
        <w:t>análisis caso por caso.</w:t>
      </w:r>
    </w:p>
    <w:p w14:paraId="1C531C2E" w14:textId="77777777" w:rsidR="001A2410" w:rsidRPr="003743F9" w:rsidRDefault="001A2410" w:rsidP="001A2410">
      <w:pPr>
        <w:spacing w:line="360" w:lineRule="auto"/>
        <w:jc w:val="both"/>
        <w:rPr>
          <w:rFonts w:ascii="Palatino Linotype" w:hAnsi="Palatino Linotype" w:cs="Tahoma"/>
          <w:b/>
          <w:color w:val="0D0D0D"/>
          <w:sz w:val="22"/>
          <w:szCs w:val="22"/>
        </w:rPr>
      </w:pPr>
    </w:p>
    <w:p w14:paraId="3B6CD5DF" w14:textId="77777777" w:rsidR="001A2410" w:rsidRPr="003743F9" w:rsidRDefault="001A2410" w:rsidP="001A2410">
      <w:pPr>
        <w:spacing w:line="360" w:lineRule="auto"/>
        <w:jc w:val="both"/>
        <w:rPr>
          <w:rFonts w:ascii="Palatino Linotype" w:hAnsi="Palatino Linotype" w:cs="Tahoma"/>
          <w:color w:val="0D0D0D"/>
          <w:sz w:val="22"/>
          <w:szCs w:val="22"/>
        </w:rPr>
      </w:pPr>
      <w:r w:rsidRPr="003743F9">
        <w:rPr>
          <w:rFonts w:ascii="Palatino Linotype" w:hAnsi="Palatino Linotype" w:cs="Tahoma"/>
          <w:color w:val="0D0D0D"/>
          <w:sz w:val="22"/>
          <w:szCs w:val="22"/>
        </w:rPr>
        <w:t xml:space="preserve">Además, el artículo 131 de la Ley referida, así como el Quinto de los Lineamientos Generales, establecen que los sujetos obligados </w:t>
      </w:r>
      <w:r w:rsidRPr="003743F9">
        <w:rPr>
          <w:rFonts w:ascii="Palatino Linotype" w:hAnsi="Palatino Linotype" w:cs="Tahoma"/>
          <w:b/>
          <w:color w:val="0D0D0D"/>
          <w:sz w:val="22"/>
          <w:szCs w:val="22"/>
        </w:rPr>
        <w:t>deberán fundar y motivar</w:t>
      </w:r>
      <w:r w:rsidRPr="003743F9">
        <w:rPr>
          <w:rFonts w:ascii="Palatino Linotype" w:hAnsi="Palatino Linotype" w:cs="Tahoma"/>
          <w:color w:val="0D0D0D"/>
          <w:sz w:val="22"/>
          <w:szCs w:val="22"/>
        </w:rPr>
        <w:t xml:space="preserve"> debidamente la clasificación de la información.</w:t>
      </w:r>
    </w:p>
    <w:p w14:paraId="59559896" w14:textId="77777777" w:rsidR="001A2410" w:rsidRPr="003743F9" w:rsidRDefault="001A2410" w:rsidP="001A2410">
      <w:pPr>
        <w:spacing w:line="360" w:lineRule="auto"/>
        <w:jc w:val="both"/>
        <w:rPr>
          <w:rFonts w:ascii="Palatino Linotype" w:hAnsi="Palatino Linotype" w:cs="Tahoma"/>
          <w:b/>
          <w:color w:val="0D0D0D"/>
          <w:sz w:val="22"/>
          <w:szCs w:val="22"/>
        </w:rPr>
      </w:pPr>
    </w:p>
    <w:p w14:paraId="43CBA4C2" w14:textId="77777777" w:rsidR="001A2410" w:rsidRPr="003743F9" w:rsidRDefault="001A2410" w:rsidP="001A2410">
      <w:pPr>
        <w:spacing w:line="360" w:lineRule="auto"/>
        <w:jc w:val="both"/>
        <w:rPr>
          <w:rFonts w:ascii="Palatino Linotype" w:hAnsi="Palatino Linotype" w:cs="Tahoma"/>
          <w:bCs/>
          <w:iCs/>
          <w:color w:val="0D0D0D"/>
          <w:sz w:val="22"/>
          <w:szCs w:val="22"/>
        </w:rPr>
      </w:pPr>
      <w:r w:rsidRPr="003743F9">
        <w:rPr>
          <w:rFonts w:ascii="Palatino Linotype" w:hAnsi="Palatino Linotype" w:cs="Tahoma"/>
          <w:color w:val="0D0D0D"/>
          <w:sz w:val="22"/>
          <w:szCs w:val="22"/>
        </w:rPr>
        <w:t>Al respecto, e</w:t>
      </w:r>
      <w:r w:rsidRPr="003743F9">
        <w:rPr>
          <w:rFonts w:ascii="Palatino Linotype" w:hAnsi="Palatino Linotype" w:cs="Tahoma"/>
          <w:bCs/>
          <w:iCs/>
          <w:color w:val="0D0D0D"/>
          <w:sz w:val="22"/>
          <w:szCs w:val="22"/>
        </w:rPr>
        <w:t>l Octavo de los Lineamientos Generales, precisa lo siguiente:</w:t>
      </w:r>
    </w:p>
    <w:p w14:paraId="767C8063" w14:textId="77777777" w:rsidR="001A2410" w:rsidRPr="003743F9" w:rsidRDefault="001A2410" w:rsidP="001A2410">
      <w:pPr>
        <w:spacing w:line="360" w:lineRule="auto"/>
        <w:jc w:val="both"/>
        <w:rPr>
          <w:rFonts w:ascii="Palatino Linotype" w:hAnsi="Palatino Linotype" w:cs="Tahoma"/>
          <w:bCs/>
          <w:iCs/>
          <w:color w:val="0D0D0D"/>
          <w:sz w:val="22"/>
          <w:szCs w:val="22"/>
        </w:rPr>
      </w:pPr>
    </w:p>
    <w:p w14:paraId="215654F8" w14:textId="77777777" w:rsidR="001A2410" w:rsidRPr="003743F9" w:rsidRDefault="001A2410" w:rsidP="001A2410">
      <w:pPr>
        <w:numPr>
          <w:ilvl w:val="0"/>
          <w:numId w:val="36"/>
        </w:numPr>
        <w:spacing w:line="360" w:lineRule="auto"/>
        <w:jc w:val="both"/>
        <w:rPr>
          <w:rFonts w:ascii="Palatino Linotype" w:hAnsi="Palatino Linotype" w:cs="Tahoma"/>
          <w:bCs/>
          <w:color w:val="0D0D0D"/>
          <w:sz w:val="22"/>
          <w:szCs w:val="22"/>
        </w:rPr>
      </w:pPr>
      <w:r w:rsidRPr="003743F9">
        <w:rPr>
          <w:rFonts w:ascii="Palatino Linotype" w:hAnsi="Palatino Linotype" w:cs="Tahoma"/>
          <w:b/>
          <w:bCs/>
          <w:color w:val="0D0D0D"/>
          <w:sz w:val="22"/>
          <w:szCs w:val="22"/>
        </w:rPr>
        <w:t>Para fundar la clasificación</w:t>
      </w:r>
      <w:r w:rsidRPr="003743F9">
        <w:rPr>
          <w:rFonts w:ascii="Palatino Linotype" w:hAnsi="Palatino Linotype" w:cs="Tahoma"/>
          <w:bCs/>
          <w:color w:val="0D0D0D"/>
          <w:sz w:val="22"/>
          <w:szCs w:val="22"/>
        </w:rPr>
        <w:t xml:space="preserve"> de la información se deberán señalar el artículo, fracción, inciso, párrafo o numeral de la Ley aplicable;</w:t>
      </w:r>
    </w:p>
    <w:p w14:paraId="08068371" w14:textId="77777777" w:rsidR="001A2410" w:rsidRPr="003743F9" w:rsidRDefault="001A2410" w:rsidP="001A2410">
      <w:pPr>
        <w:spacing w:line="360" w:lineRule="auto"/>
        <w:jc w:val="both"/>
        <w:rPr>
          <w:rFonts w:ascii="Palatino Linotype" w:hAnsi="Palatino Linotype" w:cs="Tahoma"/>
          <w:bCs/>
          <w:color w:val="0D0D0D"/>
          <w:sz w:val="22"/>
          <w:szCs w:val="22"/>
        </w:rPr>
      </w:pPr>
    </w:p>
    <w:p w14:paraId="7CED3541" w14:textId="77777777" w:rsidR="001A2410" w:rsidRPr="003743F9" w:rsidRDefault="001A2410" w:rsidP="001A2410">
      <w:pPr>
        <w:numPr>
          <w:ilvl w:val="0"/>
          <w:numId w:val="36"/>
        </w:numPr>
        <w:spacing w:line="360" w:lineRule="auto"/>
        <w:jc w:val="both"/>
        <w:rPr>
          <w:rFonts w:ascii="Palatino Linotype" w:hAnsi="Palatino Linotype" w:cs="Tahoma"/>
          <w:bCs/>
          <w:color w:val="0D0D0D"/>
          <w:sz w:val="22"/>
          <w:szCs w:val="22"/>
        </w:rPr>
      </w:pPr>
      <w:r w:rsidRPr="003743F9">
        <w:rPr>
          <w:rFonts w:ascii="Palatino Linotype" w:hAnsi="Palatino Linotype" w:cs="Tahoma"/>
          <w:b/>
          <w:bCs/>
          <w:color w:val="0D0D0D"/>
          <w:sz w:val="22"/>
          <w:szCs w:val="22"/>
        </w:rPr>
        <w:t>Para motivar la clasificación</w:t>
      </w:r>
      <w:r w:rsidRPr="003743F9">
        <w:rPr>
          <w:rFonts w:ascii="Palatino Linotype" w:hAnsi="Palatino Linotype" w:cs="Tahoma"/>
          <w:bCs/>
          <w:color w:val="0D0D0D"/>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3320E916" w14:textId="77777777" w:rsidR="001A2410" w:rsidRPr="003743F9" w:rsidRDefault="001A2410" w:rsidP="001A2410">
      <w:pPr>
        <w:spacing w:line="360" w:lineRule="auto"/>
        <w:ind w:left="720"/>
        <w:contextualSpacing/>
        <w:rPr>
          <w:rFonts w:ascii="Palatino Linotype" w:hAnsi="Palatino Linotype" w:cs="Tahoma"/>
          <w:bCs/>
          <w:color w:val="0D0D0D"/>
          <w:sz w:val="22"/>
          <w:szCs w:val="22"/>
        </w:rPr>
      </w:pPr>
    </w:p>
    <w:p w14:paraId="109ACF2E" w14:textId="77777777" w:rsidR="001A2410" w:rsidRPr="003743F9" w:rsidRDefault="001A2410" w:rsidP="001A2410">
      <w:pPr>
        <w:spacing w:line="360" w:lineRule="auto"/>
        <w:jc w:val="both"/>
        <w:rPr>
          <w:rFonts w:ascii="Palatino Linotype" w:hAnsi="Palatino Linotype" w:cs="Tahoma"/>
          <w:color w:val="0D0D0D"/>
          <w:sz w:val="22"/>
          <w:szCs w:val="22"/>
        </w:rPr>
      </w:pPr>
      <w:r w:rsidRPr="003743F9">
        <w:rPr>
          <w:rFonts w:ascii="Palatino Linotype" w:hAnsi="Palatino Linotype" w:cs="Tahoma"/>
          <w:color w:val="0D0D0D"/>
          <w:sz w:val="22"/>
          <w:szCs w:val="22"/>
        </w:rPr>
        <w:lastRenderedPageBreak/>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1E0AD78D" w14:textId="77777777" w:rsidR="001A2410" w:rsidRPr="003743F9" w:rsidRDefault="001A2410" w:rsidP="001A2410">
      <w:pPr>
        <w:spacing w:line="360" w:lineRule="auto"/>
        <w:jc w:val="both"/>
        <w:rPr>
          <w:rFonts w:ascii="Palatino Linotype" w:hAnsi="Palatino Linotype" w:cs="Tahoma"/>
          <w:color w:val="0D0D0D"/>
          <w:sz w:val="22"/>
          <w:szCs w:val="22"/>
        </w:rPr>
      </w:pPr>
    </w:p>
    <w:p w14:paraId="20FC0CC6" w14:textId="77777777" w:rsidR="001A2410" w:rsidRPr="003743F9" w:rsidRDefault="001A2410" w:rsidP="001A2410">
      <w:pPr>
        <w:spacing w:line="360" w:lineRule="auto"/>
        <w:ind w:left="567" w:right="567"/>
        <w:jc w:val="both"/>
        <w:rPr>
          <w:rFonts w:ascii="Palatino Linotype" w:hAnsi="Palatino Linotype" w:cs="Tahoma"/>
          <w:i/>
          <w:color w:val="0D0D0D"/>
        </w:rPr>
      </w:pPr>
      <w:r w:rsidRPr="003743F9">
        <w:rPr>
          <w:rFonts w:ascii="Palatino Linotype" w:hAnsi="Palatino Linotype" w:cs="Tahoma"/>
          <w:b/>
          <w:i/>
          <w:color w:val="0D0D0D"/>
        </w:rPr>
        <w:t xml:space="preserve">“FUNDAMENTACION Y MOTIVACION, CONCEPTO DE. </w:t>
      </w:r>
      <w:r w:rsidRPr="003743F9">
        <w:rPr>
          <w:rFonts w:ascii="Palatino Linotype" w:hAnsi="Palatino Linotype" w:cs="Tahoma"/>
          <w:i/>
          <w:color w:val="0D0D0D"/>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0082C586" w14:textId="77777777" w:rsidR="001A2410" w:rsidRPr="003743F9" w:rsidRDefault="001A2410" w:rsidP="001A2410">
      <w:pPr>
        <w:spacing w:line="360" w:lineRule="auto"/>
        <w:jc w:val="both"/>
        <w:rPr>
          <w:rFonts w:ascii="Palatino Linotype" w:hAnsi="Palatino Linotype" w:cs="Tahoma"/>
          <w:color w:val="0D0D0D"/>
          <w:sz w:val="22"/>
          <w:szCs w:val="22"/>
        </w:rPr>
      </w:pPr>
    </w:p>
    <w:p w14:paraId="33E064FF" w14:textId="77777777" w:rsidR="001A2410" w:rsidRPr="003743F9" w:rsidRDefault="001A2410" w:rsidP="001A2410">
      <w:pPr>
        <w:spacing w:line="360" w:lineRule="auto"/>
        <w:jc w:val="both"/>
        <w:rPr>
          <w:rFonts w:ascii="Palatino Linotype" w:hAnsi="Palatino Linotype" w:cs="Tahoma"/>
          <w:color w:val="0D0D0D"/>
          <w:sz w:val="22"/>
          <w:szCs w:val="22"/>
        </w:rPr>
      </w:pPr>
      <w:r w:rsidRPr="003743F9">
        <w:rPr>
          <w:rFonts w:ascii="Palatino Linotype" w:hAnsi="Palatino Linotype" w:cs="Tahoma"/>
          <w:color w:val="0D0D0D"/>
          <w:sz w:val="22"/>
          <w:szCs w:val="22"/>
        </w:rPr>
        <w:t>Conforme a lo anterior, se advierte lo siguiente:</w:t>
      </w:r>
    </w:p>
    <w:p w14:paraId="428F50C5" w14:textId="77777777" w:rsidR="001A2410" w:rsidRPr="003743F9" w:rsidRDefault="001A2410" w:rsidP="001A2410">
      <w:pPr>
        <w:spacing w:line="360" w:lineRule="auto"/>
        <w:jc w:val="both"/>
        <w:rPr>
          <w:rFonts w:ascii="Palatino Linotype" w:hAnsi="Palatino Linotype" w:cs="Tahoma"/>
          <w:color w:val="0D0D0D"/>
          <w:sz w:val="22"/>
          <w:szCs w:val="22"/>
        </w:rPr>
      </w:pPr>
    </w:p>
    <w:p w14:paraId="0F1A7B82" w14:textId="77777777" w:rsidR="001A2410" w:rsidRPr="003743F9" w:rsidRDefault="001A2410" w:rsidP="001A2410">
      <w:pPr>
        <w:numPr>
          <w:ilvl w:val="0"/>
          <w:numId w:val="37"/>
        </w:numPr>
        <w:spacing w:line="360" w:lineRule="auto"/>
        <w:jc w:val="both"/>
        <w:rPr>
          <w:rFonts w:ascii="Palatino Linotype" w:hAnsi="Palatino Linotype" w:cs="Tahoma"/>
          <w:b/>
          <w:color w:val="0D0D0D"/>
          <w:sz w:val="22"/>
          <w:szCs w:val="22"/>
        </w:rPr>
      </w:pPr>
      <w:r w:rsidRPr="003743F9">
        <w:rPr>
          <w:rFonts w:ascii="Palatino Linotype" w:hAnsi="Palatino Linotype" w:cs="Tahoma"/>
          <w:b/>
          <w:color w:val="0D0D0D"/>
          <w:sz w:val="22"/>
          <w:szCs w:val="22"/>
        </w:rPr>
        <w:t xml:space="preserve">Fundamentación: </w:t>
      </w:r>
      <w:r w:rsidRPr="003743F9">
        <w:rPr>
          <w:rFonts w:ascii="Palatino Linotype" w:hAnsi="Palatino Linotype" w:cs="Tahoma"/>
          <w:color w:val="0D0D0D"/>
          <w:sz w:val="22"/>
          <w:szCs w:val="22"/>
        </w:rPr>
        <w:t>Obligación de la autoridad que emite un acto, para citar los preceptos legales, sustantivos y adjetivos, en que se apoye para la determinación tomada.</w:t>
      </w:r>
    </w:p>
    <w:p w14:paraId="0600F59C" w14:textId="77777777" w:rsidR="001A2410" w:rsidRPr="003743F9" w:rsidRDefault="001A2410" w:rsidP="001A2410">
      <w:pPr>
        <w:spacing w:line="360" w:lineRule="auto"/>
        <w:ind w:left="720"/>
        <w:contextualSpacing/>
        <w:jc w:val="both"/>
        <w:rPr>
          <w:rFonts w:ascii="Palatino Linotype" w:hAnsi="Palatino Linotype" w:cs="Tahoma"/>
          <w:b/>
          <w:color w:val="0D0D0D"/>
          <w:sz w:val="22"/>
          <w:szCs w:val="22"/>
        </w:rPr>
      </w:pPr>
    </w:p>
    <w:p w14:paraId="6DDB0ACE" w14:textId="77777777" w:rsidR="001A2410" w:rsidRPr="003743F9" w:rsidRDefault="001A2410" w:rsidP="001A2410">
      <w:pPr>
        <w:numPr>
          <w:ilvl w:val="0"/>
          <w:numId w:val="37"/>
        </w:numPr>
        <w:spacing w:line="360" w:lineRule="auto"/>
        <w:jc w:val="both"/>
        <w:rPr>
          <w:rFonts w:ascii="Palatino Linotype" w:hAnsi="Palatino Linotype" w:cs="Tahoma"/>
          <w:b/>
          <w:color w:val="0D0D0D"/>
          <w:sz w:val="22"/>
          <w:szCs w:val="22"/>
        </w:rPr>
      </w:pPr>
      <w:r w:rsidRPr="003743F9">
        <w:rPr>
          <w:rFonts w:ascii="Palatino Linotype" w:hAnsi="Palatino Linotype" w:cs="Tahoma"/>
          <w:b/>
          <w:color w:val="0D0D0D"/>
          <w:sz w:val="22"/>
          <w:szCs w:val="22"/>
        </w:rPr>
        <w:t xml:space="preserve">Motivación: </w:t>
      </w:r>
      <w:r w:rsidRPr="003743F9">
        <w:rPr>
          <w:rFonts w:ascii="Palatino Linotype" w:hAnsi="Palatino Linotype" w:cs="Tahoma"/>
          <w:color w:val="0D0D0D"/>
          <w:sz w:val="22"/>
          <w:szCs w:val="22"/>
        </w:rPr>
        <w:t>Razonamientos lógico-jurídicos sobre porque se consideró en el caso en concreto, que se ajusta a la hipótesis normativa.</w:t>
      </w:r>
    </w:p>
    <w:p w14:paraId="073A7654" w14:textId="77777777" w:rsidR="001A2410" w:rsidRPr="003743F9" w:rsidRDefault="001A2410" w:rsidP="001A2410">
      <w:pPr>
        <w:spacing w:line="360" w:lineRule="auto"/>
        <w:jc w:val="both"/>
        <w:rPr>
          <w:rFonts w:ascii="Palatino Linotype" w:hAnsi="Palatino Linotype" w:cs="Tahoma"/>
          <w:color w:val="0D0D0D"/>
          <w:sz w:val="22"/>
          <w:szCs w:val="22"/>
        </w:rPr>
      </w:pPr>
    </w:p>
    <w:p w14:paraId="68DA20CC" w14:textId="5BFC2D5C" w:rsidR="001A2410" w:rsidRPr="003743F9" w:rsidRDefault="001A2410" w:rsidP="001A2410">
      <w:pPr>
        <w:spacing w:line="360" w:lineRule="auto"/>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lastRenderedPageBreak/>
        <w:t xml:space="preserve">En ese orden de ideas, el Trigésimo tercero de los Lineamientos </w:t>
      </w:r>
      <w:r w:rsidR="0033098C" w:rsidRPr="003743F9">
        <w:rPr>
          <w:rFonts w:ascii="Palatino Linotype" w:hAnsi="Palatino Linotype" w:cs="Tahoma"/>
          <w:color w:val="0D0D0D"/>
          <w:sz w:val="22"/>
          <w:szCs w:val="22"/>
          <w:lang w:val="es-ES"/>
        </w:rPr>
        <w:t>Generales</w:t>
      </w:r>
      <w:r w:rsidRPr="003743F9">
        <w:rPr>
          <w:rFonts w:ascii="Palatino Linotype" w:hAnsi="Palatino Linotype" w:cs="Tahoma"/>
          <w:color w:val="0D0D0D"/>
          <w:sz w:val="22"/>
          <w:szCs w:val="22"/>
          <w:lang w:val="es-ES"/>
        </w:rPr>
        <w:t xml:space="preserve"> establece la forma en que se debe fundamentar y motivar la reserva de la información, es decir, a través de los siguientes pasos:</w:t>
      </w:r>
    </w:p>
    <w:p w14:paraId="1329195D" w14:textId="77777777" w:rsidR="001A2410" w:rsidRPr="003743F9" w:rsidRDefault="001A2410" w:rsidP="001A2410">
      <w:pPr>
        <w:spacing w:line="360" w:lineRule="auto"/>
        <w:jc w:val="both"/>
        <w:rPr>
          <w:rFonts w:ascii="Palatino Linotype" w:hAnsi="Palatino Linotype" w:cs="Tahoma"/>
          <w:color w:val="0D0D0D"/>
          <w:szCs w:val="22"/>
        </w:rPr>
      </w:pPr>
    </w:p>
    <w:p w14:paraId="2ABEC3CD" w14:textId="77777777" w:rsidR="001A2410" w:rsidRPr="003743F9" w:rsidRDefault="001A2410" w:rsidP="001A2410">
      <w:pPr>
        <w:numPr>
          <w:ilvl w:val="0"/>
          <w:numId w:val="38"/>
        </w:numPr>
        <w:spacing w:line="360" w:lineRule="auto"/>
        <w:contextualSpacing/>
        <w:jc w:val="both"/>
        <w:rPr>
          <w:rFonts w:ascii="Palatino Linotype" w:hAnsi="Palatino Linotype" w:cs="Tahoma"/>
          <w:color w:val="0D0D0D"/>
          <w:sz w:val="22"/>
          <w:szCs w:val="22"/>
        </w:rPr>
      </w:pPr>
      <w:r w:rsidRPr="003743F9">
        <w:rPr>
          <w:rFonts w:ascii="Palatino Linotype" w:hAnsi="Palatino Linotype" w:cs="Tahoma"/>
          <w:color w:val="0D0D0D"/>
          <w:sz w:val="22"/>
          <w:szCs w:val="2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736A6018" w14:textId="77777777" w:rsidR="001A2410" w:rsidRPr="003743F9" w:rsidRDefault="001A2410" w:rsidP="001A2410">
      <w:pPr>
        <w:spacing w:line="360" w:lineRule="auto"/>
        <w:ind w:left="720"/>
        <w:contextualSpacing/>
        <w:jc w:val="both"/>
        <w:rPr>
          <w:rFonts w:ascii="Palatino Linotype" w:hAnsi="Palatino Linotype" w:cs="Tahoma"/>
          <w:color w:val="0D0D0D"/>
          <w:sz w:val="22"/>
          <w:szCs w:val="22"/>
        </w:rPr>
      </w:pPr>
    </w:p>
    <w:p w14:paraId="52F563A4" w14:textId="77777777" w:rsidR="001A2410" w:rsidRDefault="001A2410" w:rsidP="001A2410">
      <w:pPr>
        <w:numPr>
          <w:ilvl w:val="0"/>
          <w:numId w:val="38"/>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deberá demostrar que la publicidad de la información generaría un riesgo de perjuicio, que rebasa el interés público;</w:t>
      </w:r>
    </w:p>
    <w:p w14:paraId="2AFC6C36" w14:textId="77777777" w:rsidR="001A2410" w:rsidRDefault="001A2410" w:rsidP="001A2410">
      <w:pPr>
        <w:pStyle w:val="Prrafodelista"/>
        <w:rPr>
          <w:rFonts w:ascii="Palatino Linotype" w:hAnsi="Palatino Linotype" w:cs="Tahoma"/>
          <w:color w:val="0D0D0D"/>
          <w:szCs w:val="22"/>
          <w:lang w:val="es-ES"/>
        </w:rPr>
      </w:pPr>
    </w:p>
    <w:p w14:paraId="30D02118" w14:textId="77777777" w:rsidR="001A2410" w:rsidRPr="003743F9" w:rsidRDefault="001A2410" w:rsidP="001A2410">
      <w:pPr>
        <w:numPr>
          <w:ilvl w:val="0"/>
          <w:numId w:val="38"/>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acreditará el vínculo entre la difusión de la información y la afectación del interés jurídico tutelado;</w:t>
      </w:r>
    </w:p>
    <w:p w14:paraId="3B926884" w14:textId="77777777" w:rsidR="001A2410" w:rsidRPr="003743F9" w:rsidRDefault="001A2410" w:rsidP="001A2410">
      <w:pPr>
        <w:spacing w:line="360" w:lineRule="auto"/>
        <w:ind w:left="720"/>
        <w:contextualSpacing/>
        <w:rPr>
          <w:rFonts w:ascii="Palatino Linotype" w:hAnsi="Palatino Linotype" w:cs="Tahoma"/>
          <w:color w:val="0D0D0D"/>
          <w:sz w:val="22"/>
          <w:szCs w:val="22"/>
          <w:lang w:val="es-ES"/>
        </w:rPr>
      </w:pPr>
    </w:p>
    <w:p w14:paraId="7AC05EC6" w14:textId="77777777" w:rsidR="001A2410" w:rsidRPr="003743F9" w:rsidRDefault="001A2410" w:rsidP="001A2410">
      <w:pPr>
        <w:numPr>
          <w:ilvl w:val="0"/>
          <w:numId w:val="38"/>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precisará las razones objetivas por las que la apertura de la información generaría una afectación, por medio del riesgo real, demostrable e identificable;</w:t>
      </w:r>
    </w:p>
    <w:p w14:paraId="4100D56E" w14:textId="77777777" w:rsidR="001A2410" w:rsidRPr="003743F9" w:rsidRDefault="001A2410" w:rsidP="001A2410">
      <w:pPr>
        <w:spacing w:line="360" w:lineRule="auto"/>
        <w:ind w:left="720"/>
        <w:contextualSpacing/>
        <w:rPr>
          <w:rFonts w:ascii="Palatino Linotype" w:hAnsi="Palatino Linotype" w:cs="Tahoma"/>
          <w:color w:val="0D0D0D"/>
          <w:sz w:val="22"/>
          <w:szCs w:val="22"/>
          <w:lang w:val="es-ES"/>
        </w:rPr>
      </w:pPr>
    </w:p>
    <w:p w14:paraId="5808AE68" w14:textId="77777777" w:rsidR="001A2410" w:rsidRPr="003743F9" w:rsidRDefault="001A2410" w:rsidP="001A2410">
      <w:pPr>
        <w:numPr>
          <w:ilvl w:val="0"/>
          <w:numId w:val="38"/>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deberán señalar las circunstancias de modo, tiempo y lugar del daño, y</w:t>
      </w:r>
    </w:p>
    <w:p w14:paraId="6017B6A1" w14:textId="77777777" w:rsidR="001A2410" w:rsidRPr="003743F9" w:rsidRDefault="001A2410" w:rsidP="001A2410">
      <w:pPr>
        <w:spacing w:line="360" w:lineRule="auto"/>
        <w:ind w:left="720"/>
        <w:contextualSpacing/>
        <w:rPr>
          <w:rFonts w:ascii="Palatino Linotype" w:hAnsi="Palatino Linotype" w:cs="Tahoma"/>
          <w:color w:val="0D0D0D"/>
          <w:sz w:val="22"/>
          <w:szCs w:val="22"/>
          <w:lang w:val="es-ES"/>
        </w:rPr>
      </w:pPr>
    </w:p>
    <w:p w14:paraId="08C61915" w14:textId="77777777" w:rsidR="001A2410" w:rsidRPr="003743F9" w:rsidRDefault="001A2410" w:rsidP="001A2410">
      <w:pPr>
        <w:numPr>
          <w:ilvl w:val="0"/>
          <w:numId w:val="38"/>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elegirá la opción de excepción al acceso a la información que menos restrinja, la cual será adecuada y proporcional para la protección del interés público.</w:t>
      </w:r>
    </w:p>
    <w:p w14:paraId="32BCDEE5" w14:textId="77777777" w:rsidR="001A2410" w:rsidRDefault="001A2410" w:rsidP="001A2410">
      <w:pPr>
        <w:spacing w:line="360" w:lineRule="auto"/>
        <w:jc w:val="both"/>
        <w:rPr>
          <w:rFonts w:ascii="Palatino Linotype" w:hAnsi="Palatino Linotype" w:cs="Tahoma"/>
          <w:color w:val="0D0D0D"/>
          <w:sz w:val="22"/>
          <w:szCs w:val="22"/>
          <w:lang w:val="es-ES"/>
        </w:rPr>
      </w:pPr>
    </w:p>
    <w:p w14:paraId="12BFCDBD" w14:textId="77777777" w:rsidR="001A2410" w:rsidRDefault="001A2410" w:rsidP="001A2410">
      <w:pPr>
        <w:spacing w:line="360" w:lineRule="auto"/>
        <w:jc w:val="both"/>
        <w:rPr>
          <w:rFonts w:ascii="Palatino Linotype" w:eastAsia="Calibri" w:hAnsi="Palatino Linotype" w:cs="Tahoma"/>
          <w:bCs/>
          <w:sz w:val="22"/>
          <w:szCs w:val="22"/>
          <w:lang w:eastAsia="en-US"/>
        </w:rPr>
      </w:pPr>
      <w:r>
        <w:rPr>
          <w:rFonts w:ascii="Palatino Linotype" w:hAnsi="Palatino Linotype" w:cs="Tahoma"/>
          <w:color w:val="0D0D0D"/>
          <w:sz w:val="22"/>
          <w:szCs w:val="22"/>
          <w:lang w:val="es-ES"/>
        </w:rPr>
        <w:t xml:space="preserve">De acuerdo con lo expuesto, </w:t>
      </w:r>
      <w:r w:rsidRPr="003743F9">
        <w:rPr>
          <w:rFonts w:ascii="Palatino Linotype" w:eastAsia="Calibri" w:hAnsi="Palatino Linotype" w:cs="Tahoma"/>
          <w:bCs/>
          <w:sz w:val="22"/>
          <w:szCs w:val="22"/>
          <w:lang w:eastAsia="en-US"/>
        </w:rPr>
        <w:t xml:space="preserve">el </w:t>
      </w:r>
      <w:r>
        <w:rPr>
          <w:rFonts w:ascii="Palatino Linotype" w:eastAsia="Calibri" w:hAnsi="Palatino Linotype" w:cs="Tahoma"/>
          <w:bCs/>
          <w:sz w:val="22"/>
          <w:szCs w:val="22"/>
          <w:lang w:eastAsia="en-US"/>
        </w:rPr>
        <w:t>Sujeto Obligado</w:t>
      </w:r>
      <w:r w:rsidRPr="003743F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debe fundar y motivar la existencia de información reserva al momento del cumplimiento del Recurso, con la entrega del Acta del Comité con </w:t>
      </w:r>
      <w:r w:rsidRPr="003743F9">
        <w:rPr>
          <w:rFonts w:ascii="Palatino Linotype" w:eastAsia="Calibri" w:hAnsi="Palatino Linotype" w:cs="Tahoma"/>
          <w:bCs/>
          <w:sz w:val="22"/>
          <w:szCs w:val="22"/>
          <w:lang w:eastAsia="en-US"/>
        </w:rPr>
        <w:t>la prueba de daño</w:t>
      </w:r>
      <w:r>
        <w:rPr>
          <w:rFonts w:ascii="Palatino Linotype" w:eastAsia="Calibri" w:hAnsi="Palatino Linotype" w:cs="Tahoma"/>
          <w:bCs/>
          <w:sz w:val="22"/>
          <w:szCs w:val="22"/>
          <w:lang w:eastAsia="en-US"/>
        </w:rPr>
        <w:t xml:space="preserve"> respectiva</w:t>
      </w:r>
      <w:r w:rsidRPr="003743F9">
        <w:rPr>
          <w:rFonts w:ascii="Palatino Linotype" w:eastAsia="Calibri" w:hAnsi="Palatino Linotype" w:cs="Tahoma"/>
          <w:bCs/>
          <w:sz w:val="22"/>
          <w:szCs w:val="22"/>
          <w:lang w:eastAsia="en-US"/>
        </w:rPr>
        <w:t xml:space="preserve">, que es la argumentación fundada y motivada que se </w:t>
      </w:r>
      <w:r w:rsidRPr="003743F9">
        <w:rPr>
          <w:rFonts w:ascii="Palatino Linotype" w:eastAsia="Calibri" w:hAnsi="Palatino Linotype" w:cs="Tahoma"/>
          <w:bCs/>
          <w:sz w:val="22"/>
          <w:szCs w:val="22"/>
          <w:lang w:eastAsia="en-US"/>
        </w:rPr>
        <w:lastRenderedPageBreak/>
        <w:t>debe realizar para acreditar que la divulgación de la información lesiona el interés jurídicamente protegido por la normatividad aplicable y que el daño que puede producirse con la publicidad de la información es mayor que el interés de conocerla</w:t>
      </w:r>
      <w:r>
        <w:rPr>
          <w:rFonts w:ascii="Palatino Linotype" w:eastAsia="Calibri" w:hAnsi="Palatino Linotype" w:cs="Tahoma"/>
          <w:bCs/>
          <w:sz w:val="22"/>
          <w:szCs w:val="22"/>
          <w:lang w:eastAsia="en-US"/>
        </w:rPr>
        <w:t>, en términos d</w:t>
      </w:r>
      <w:r w:rsidRPr="003743F9">
        <w:rPr>
          <w:rFonts w:ascii="Palatino Linotype" w:eastAsia="Calibri" w:hAnsi="Palatino Linotype" w:cs="Tahoma"/>
          <w:bCs/>
          <w:sz w:val="22"/>
          <w:szCs w:val="22"/>
          <w:lang w:eastAsia="en-US"/>
        </w:rPr>
        <w:t>el Trigésimo tercero de los Lineamientos Generales, relacionado con el artículo 129 de la Ley de Transparencia y Acceso a la Información Pública del Estado de México y Municipios</w:t>
      </w:r>
      <w:r>
        <w:rPr>
          <w:rFonts w:ascii="Palatino Linotype" w:eastAsia="Calibri" w:hAnsi="Palatino Linotype" w:cs="Tahoma"/>
          <w:bCs/>
          <w:sz w:val="22"/>
          <w:szCs w:val="22"/>
          <w:lang w:eastAsia="en-US"/>
        </w:rPr>
        <w:t>, de acuerdo con lo siguiente:</w:t>
      </w:r>
    </w:p>
    <w:p w14:paraId="63447744" w14:textId="77777777" w:rsidR="001A2410" w:rsidRDefault="001A2410" w:rsidP="001A2410">
      <w:pPr>
        <w:spacing w:line="360" w:lineRule="auto"/>
        <w:jc w:val="both"/>
        <w:rPr>
          <w:rFonts w:ascii="Palatino Linotype" w:eastAsia="Calibri" w:hAnsi="Palatino Linotype" w:cs="Tahoma"/>
          <w:bCs/>
          <w:sz w:val="22"/>
          <w:szCs w:val="22"/>
          <w:lang w:eastAsia="en-US"/>
        </w:rPr>
      </w:pPr>
    </w:p>
    <w:p w14:paraId="54A060F7" w14:textId="77777777" w:rsidR="001A2410" w:rsidRPr="00D74FD7" w:rsidRDefault="001A2410" w:rsidP="001A2410">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w:t>
      </w:r>
      <w:r w:rsidRPr="00D74FD7">
        <w:rPr>
          <w:rFonts w:ascii="Palatino Linotype" w:eastAsia="Calibri" w:hAnsi="Palatino Linotype" w:cs="Tahoma"/>
          <w:iCs/>
          <w:sz w:val="22"/>
          <w:szCs w:val="22"/>
          <w:lang w:val="es-ES" w:eastAsia="es-ES_tradnl"/>
        </w:rPr>
        <w:t>l</w:t>
      </w:r>
      <w:r w:rsidRPr="00D74FD7">
        <w:rPr>
          <w:rFonts w:ascii="Palatino Linotype" w:eastAsia="Calibri" w:hAnsi="Palatino Linotype" w:cs="Tahoma"/>
          <w:b/>
          <w:iCs/>
          <w:sz w:val="22"/>
          <w:szCs w:val="22"/>
          <w:lang w:val="es-ES" w:eastAsia="es-ES_tradnl"/>
        </w:rPr>
        <w:t xml:space="preserve"> </w:t>
      </w:r>
      <w:r w:rsidRPr="00D74FD7">
        <w:rPr>
          <w:rFonts w:ascii="Palatino Linotype" w:eastAsia="Calibri" w:hAnsi="Palatino Linotype" w:cs="Tahoma"/>
          <w:iCs/>
          <w:sz w:val="22"/>
          <w:szCs w:val="22"/>
          <w:lang w:val="es-ES" w:eastAsia="es-ES_tradnl"/>
        </w:rPr>
        <w:t xml:space="preserve">artículo 140, fracción IV, de la Ley de Transparencia y Acceso a la Información Pública del Estado de México y Municipios, </w:t>
      </w:r>
      <w:r>
        <w:rPr>
          <w:rFonts w:ascii="Palatino Linotype" w:eastAsia="Calibri" w:hAnsi="Palatino Linotype" w:cs="Tahoma"/>
          <w:iCs/>
          <w:sz w:val="22"/>
          <w:szCs w:val="22"/>
          <w:lang w:val="es-ES" w:eastAsia="es-ES_tradnl"/>
        </w:rPr>
        <w:t>(</w:t>
      </w:r>
      <w:r w:rsidRPr="00D74FD7">
        <w:rPr>
          <w:rFonts w:ascii="Palatino Linotype" w:eastAsia="Calibri" w:hAnsi="Palatino Linotype" w:cs="Tahoma"/>
          <w:iCs/>
          <w:sz w:val="22"/>
          <w:szCs w:val="22"/>
          <w:lang w:val="es-ES" w:eastAsia="es-ES_tradnl"/>
        </w:rPr>
        <w:t>homólogo a parte del artículo 113, fracción V de la Ley General de Transparencia y Acceso a la Información Pública), prevé lo siguiente:</w:t>
      </w:r>
    </w:p>
    <w:p w14:paraId="27B4C7D6" w14:textId="77777777" w:rsidR="001A2410" w:rsidRPr="00D74FD7" w:rsidRDefault="001A2410" w:rsidP="001A2410">
      <w:pPr>
        <w:spacing w:line="360" w:lineRule="auto"/>
        <w:jc w:val="both"/>
        <w:rPr>
          <w:rFonts w:ascii="Palatino Linotype" w:eastAsia="Calibri" w:hAnsi="Palatino Linotype" w:cs="Tahoma"/>
          <w:bCs/>
          <w:sz w:val="22"/>
          <w:szCs w:val="22"/>
          <w:lang w:eastAsia="en-US"/>
        </w:rPr>
      </w:pPr>
    </w:p>
    <w:p w14:paraId="5D6329FE" w14:textId="77777777" w:rsidR="001A2410" w:rsidRPr="00D74FD7" w:rsidRDefault="001A2410" w:rsidP="001A2410">
      <w:pPr>
        <w:tabs>
          <w:tab w:val="left" w:pos="4962"/>
        </w:tabs>
        <w:spacing w:line="360" w:lineRule="auto"/>
        <w:ind w:left="567" w:right="567"/>
        <w:jc w:val="both"/>
        <w:rPr>
          <w:rFonts w:ascii="Palatino Linotype" w:eastAsia="Calibri" w:hAnsi="Palatino Linotype" w:cs="Tahoma"/>
          <w:i/>
          <w:iCs/>
          <w:lang w:val="es-ES" w:eastAsia="es-ES_tradnl"/>
        </w:rPr>
      </w:pPr>
      <w:r w:rsidRPr="00D74FD7">
        <w:rPr>
          <w:rFonts w:ascii="Palatino Linotype" w:eastAsia="Calibri" w:hAnsi="Palatino Linotype" w:cs="Tahoma"/>
          <w:i/>
          <w:iCs/>
          <w:lang w:val="es-ES" w:eastAsia="es-ES_tradnl"/>
        </w:rPr>
        <w:t>“</w:t>
      </w:r>
      <w:r w:rsidRPr="00D74FD7">
        <w:rPr>
          <w:rFonts w:ascii="Palatino Linotype" w:eastAsia="Calibri" w:hAnsi="Palatino Linotype" w:cs="Tahoma"/>
          <w:b/>
          <w:i/>
          <w:iCs/>
          <w:lang w:val="es-ES" w:eastAsia="es-ES_tradnl"/>
        </w:rPr>
        <w:t>Artículo 140.</w:t>
      </w:r>
      <w:r w:rsidRPr="00D74FD7">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404ED987" w14:textId="77777777" w:rsidR="001A2410" w:rsidRPr="00D74FD7" w:rsidRDefault="001A2410" w:rsidP="001A2410">
      <w:pPr>
        <w:tabs>
          <w:tab w:val="left" w:pos="4962"/>
        </w:tabs>
        <w:spacing w:line="360" w:lineRule="auto"/>
        <w:ind w:left="567" w:right="567"/>
        <w:jc w:val="both"/>
        <w:rPr>
          <w:rFonts w:ascii="Palatino Linotype" w:eastAsia="Calibri" w:hAnsi="Palatino Linotype" w:cs="Tahoma"/>
          <w:i/>
          <w:iCs/>
          <w:lang w:val="es-ES" w:eastAsia="es-ES_tradnl"/>
        </w:rPr>
      </w:pPr>
      <w:r w:rsidRPr="00446D1D">
        <w:rPr>
          <w:rFonts w:ascii="Palatino Linotype" w:eastAsia="Calibri" w:hAnsi="Palatino Linotype" w:cs="Tahoma"/>
          <w:i/>
          <w:iCs/>
          <w:lang w:val="es-ES" w:eastAsia="es-ES_tradnl"/>
        </w:rPr>
        <w:t>…</w:t>
      </w:r>
    </w:p>
    <w:p w14:paraId="2BFBEB3B" w14:textId="77777777" w:rsidR="001A2410" w:rsidRPr="00D74FD7" w:rsidRDefault="001A2410" w:rsidP="001A2410">
      <w:pPr>
        <w:tabs>
          <w:tab w:val="left" w:pos="4962"/>
        </w:tabs>
        <w:spacing w:line="360" w:lineRule="auto"/>
        <w:ind w:left="567" w:right="567"/>
        <w:jc w:val="both"/>
        <w:rPr>
          <w:rFonts w:ascii="Palatino Linotype" w:eastAsia="Calibri" w:hAnsi="Palatino Linotype" w:cs="Tahoma"/>
          <w:i/>
          <w:iCs/>
          <w:lang w:eastAsia="es-ES_tradnl"/>
        </w:rPr>
      </w:pPr>
      <w:r w:rsidRPr="00D74FD7">
        <w:rPr>
          <w:rFonts w:ascii="Palatino Linotype" w:eastAsia="Calibri" w:hAnsi="Palatino Linotype" w:cs="Tahoma"/>
          <w:i/>
          <w:iCs/>
          <w:lang w:eastAsia="es-ES_tradnl"/>
        </w:rPr>
        <w:t>IV. Ponga en riesgo la vida, la seguridad o la salud de una persona física;</w:t>
      </w:r>
    </w:p>
    <w:p w14:paraId="7A7C1271" w14:textId="77777777" w:rsidR="001A2410" w:rsidRPr="00D74FD7" w:rsidRDefault="001A2410" w:rsidP="001A2410">
      <w:pPr>
        <w:tabs>
          <w:tab w:val="left" w:pos="4962"/>
        </w:tabs>
        <w:spacing w:line="360" w:lineRule="auto"/>
        <w:ind w:left="567" w:right="567"/>
        <w:jc w:val="both"/>
        <w:rPr>
          <w:rFonts w:ascii="Palatino Linotype" w:eastAsia="Calibri" w:hAnsi="Palatino Linotype" w:cs="Tahoma"/>
          <w:i/>
          <w:iCs/>
          <w:lang w:val="es-ES" w:eastAsia="es-ES_tradnl"/>
        </w:rPr>
      </w:pPr>
      <w:r w:rsidRPr="00D74FD7">
        <w:rPr>
          <w:rFonts w:ascii="Palatino Linotype" w:eastAsia="Calibri" w:hAnsi="Palatino Linotype" w:cs="Tahoma"/>
          <w:i/>
          <w:iCs/>
          <w:lang w:val="es-ES" w:eastAsia="es-ES_tradnl"/>
        </w:rPr>
        <w:t xml:space="preserve">…” </w:t>
      </w:r>
    </w:p>
    <w:p w14:paraId="04DC7B5B" w14:textId="77777777" w:rsidR="001A2410" w:rsidRPr="00D74FD7" w:rsidRDefault="001A2410" w:rsidP="001A2410">
      <w:pPr>
        <w:spacing w:line="360" w:lineRule="auto"/>
        <w:jc w:val="both"/>
        <w:rPr>
          <w:rFonts w:ascii="Palatino Linotype" w:eastAsia="Calibri" w:hAnsi="Palatino Linotype" w:cs="Tahoma"/>
          <w:bCs/>
          <w:sz w:val="22"/>
          <w:szCs w:val="22"/>
          <w:lang w:eastAsia="en-US"/>
        </w:rPr>
      </w:pPr>
    </w:p>
    <w:p w14:paraId="197500BE" w14:textId="77777777" w:rsidR="001A2410" w:rsidRPr="00D74FD7" w:rsidRDefault="001A2410" w:rsidP="001A2410">
      <w:pPr>
        <w:spacing w:line="360" w:lineRule="auto"/>
        <w:jc w:val="both"/>
        <w:rPr>
          <w:rFonts w:ascii="Palatino Linotype" w:eastAsia="Calibri" w:hAnsi="Palatino Linotype" w:cs="Tahoma"/>
          <w:bCs/>
          <w:sz w:val="22"/>
          <w:szCs w:val="22"/>
          <w:lang w:eastAsia="en-US"/>
        </w:rPr>
      </w:pPr>
      <w:r w:rsidRPr="00D74FD7">
        <w:rPr>
          <w:rFonts w:ascii="Palatino Linotype" w:eastAsia="Calibri" w:hAnsi="Palatino Linotype" w:cs="Tahoma"/>
          <w:bCs/>
          <w:sz w:val="22"/>
          <w:szCs w:val="22"/>
          <w:lang w:eastAsia="en-US"/>
        </w:rPr>
        <w:t>Del precepto legal anteriormente citado se desprende que como información reservada podrá clasificarse aquella cuya publicación pueda poner en riesgo la vida, seguridad o salud de una persona física</w:t>
      </w:r>
      <w:r>
        <w:rPr>
          <w:rFonts w:ascii="Palatino Linotype" w:eastAsia="Calibri" w:hAnsi="Palatino Linotype" w:cs="Tahoma"/>
          <w:bCs/>
          <w:sz w:val="22"/>
          <w:szCs w:val="22"/>
          <w:lang w:eastAsia="en-US"/>
        </w:rPr>
        <w:t xml:space="preserve">; para acreditar lo anterior, </w:t>
      </w:r>
      <w:r w:rsidRPr="00D74FD7">
        <w:rPr>
          <w:rFonts w:ascii="Palatino Linotype" w:eastAsia="Calibri" w:hAnsi="Palatino Linotype" w:cs="Tahoma"/>
          <w:bCs/>
          <w:sz w:val="22"/>
          <w:szCs w:val="22"/>
          <w:lang w:eastAsia="en-US"/>
        </w:rPr>
        <w:t xml:space="preserve">los </w:t>
      </w:r>
      <w:r w:rsidRPr="00D74FD7">
        <w:rPr>
          <w:rFonts w:ascii="Palatino Linotype" w:eastAsia="Calibri" w:hAnsi="Palatino Linotype" w:cs="Tahoma"/>
          <w:bCs/>
          <w:sz w:val="22"/>
          <w:szCs w:val="22"/>
          <w:lang w:val="es-ES" w:eastAsia="en-US"/>
        </w:rPr>
        <w:t>Lineamientos Generales</w:t>
      </w:r>
      <w:r>
        <w:rPr>
          <w:rFonts w:ascii="Palatino Linotype" w:eastAsia="Calibri" w:hAnsi="Palatino Linotype" w:cs="Tahoma"/>
          <w:bCs/>
          <w:sz w:val="22"/>
          <w:szCs w:val="22"/>
          <w:lang w:val="es-ES" w:eastAsia="en-US"/>
        </w:rPr>
        <w:t>,</w:t>
      </w:r>
      <w:r w:rsidRPr="00D74FD7">
        <w:rPr>
          <w:rFonts w:ascii="Palatino Linotype" w:eastAsia="Calibri" w:hAnsi="Palatino Linotype" w:cs="Tahoma"/>
          <w:bCs/>
          <w:sz w:val="22"/>
          <w:szCs w:val="22"/>
          <w:lang w:eastAsia="en-US"/>
        </w:rPr>
        <w:t xml:space="preserve"> establecen lo siguiente:</w:t>
      </w:r>
    </w:p>
    <w:p w14:paraId="38AA32B8" w14:textId="77777777" w:rsidR="001A2410" w:rsidRPr="00D74FD7" w:rsidRDefault="001A2410" w:rsidP="001A2410">
      <w:pPr>
        <w:spacing w:line="360" w:lineRule="auto"/>
        <w:jc w:val="both"/>
        <w:rPr>
          <w:rFonts w:ascii="Palatino Linotype" w:eastAsia="Calibri" w:hAnsi="Palatino Linotype" w:cs="Tahoma"/>
          <w:bCs/>
          <w:sz w:val="22"/>
          <w:szCs w:val="22"/>
          <w:lang w:eastAsia="en-US"/>
        </w:rPr>
      </w:pPr>
    </w:p>
    <w:p w14:paraId="7468916F" w14:textId="77777777" w:rsidR="001A2410" w:rsidRDefault="001A2410" w:rsidP="001A2410">
      <w:pPr>
        <w:spacing w:line="360" w:lineRule="auto"/>
        <w:ind w:left="567" w:right="567"/>
        <w:jc w:val="both"/>
        <w:rPr>
          <w:rFonts w:ascii="Palatino Linotype" w:eastAsia="Calibri" w:hAnsi="Palatino Linotype" w:cs="Tahoma"/>
          <w:bCs/>
          <w:i/>
          <w:lang w:eastAsia="en-US"/>
        </w:rPr>
      </w:pPr>
      <w:r w:rsidRPr="00D74FD7">
        <w:rPr>
          <w:rFonts w:ascii="Palatino Linotype" w:eastAsia="Calibri" w:hAnsi="Palatino Linotype" w:cs="Tahoma"/>
          <w:b/>
          <w:bCs/>
          <w:i/>
          <w:lang w:eastAsia="en-US"/>
        </w:rPr>
        <w:t xml:space="preserve">“Vigésimo tercero. </w:t>
      </w:r>
      <w:r w:rsidRPr="00D74FD7">
        <w:rPr>
          <w:rFonts w:ascii="Palatino Linotype" w:eastAsia="Calibri" w:hAnsi="Palatino Linotype" w:cs="Tahoma"/>
          <w:bCs/>
          <w:i/>
          <w:lang w:eastAsia="en-US"/>
        </w:rPr>
        <w:t xml:space="preserve">Para clasificar la información como reservada, de conformidad con el artículo 113, fracción V de la Ley General, será necesario acreditar un vínculo, </w:t>
      </w:r>
      <w:r w:rsidRPr="00D74FD7">
        <w:rPr>
          <w:rFonts w:ascii="Palatino Linotype" w:eastAsia="Calibri" w:hAnsi="Palatino Linotype" w:cs="Tahoma"/>
          <w:bCs/>
          <w:i/>
          <w:lang w:eastAsia="en-US"/>
        </w:rPr>
        <w:lastRenderedPageBreak/>
        <w:t>entre la persona física y la información que pueda poner en riesgo su vida, seguridad o salud.”</w:t>
      </w:r>
    </w:p>
    <w:p w14:paraId="6AA0524C" w14:textId="77777777" w:rsidR="001A2410" w:rsidRPr="00D74FD7" w:rsidRDefault="001A2410" w:rsidP="001A2410">
      <w:pPr>
        <w:spacing w:line="360" w:lineRule="auto"/>
        <w:ind w:left="567" w:right="567"/>
        <w:jc w:val="both"/>
        <w:rPr>
          <w:rFonts w:ascii="Palatino Linotype" w:eastAsia="Calibri" w:hAnsi="Palatino Linotype" w:cs="Tahoma"/>
          <w:bCs/>
          <w:i/>
          <w:lang w:eastAsia="en-US"/>
        </w:rPr>
      </w:pPr>
    </w:p>
    <w:p w14:paraId="23821AEF" w14:textId="77777777" w:rsidR="001A2410" w:rsidRPr="00D74FD7" w:rsidRDefault="001A2410" w:rsidP="001A2410">
      <w:pPr>
        <w:spacing w:line="360" w:lineRule="auto"/>
        <w:jc w:val="both"/>
        <w:rPr>
          <w:rFonts w:ascii="Palatino Linotype" w:eastAsia="Calibri" w:hAnsi="Palatino Linotype" w:cs="Tahoma"/>
          <w:bCs/>
          <w:sz w:val="22"/>
          <w:szCs w:val="22"/>
          <w:lang w:eastAsia="en-US"/>
        </w:rPr>
      </w:pPr>
      <w:r w:rsidRPr="00D74FD7">
        <w:rPr>
          <w:rFonts w:ascii="Palatino Linotype" w:eastAsia="Calibri" w:hAnsi="Palatino Linotype" w:cs="Tahoma"/>
          <w:bCs/>
          <w:sz w:val="22"/>
          <w:szCs w:val="22"/>
          <w:lang w:eastAsia="en-US"/>
        </w:rPr>
        <w:t xml:space="preserve">Del Lineamiento referido, se desprende que para clasificar la información como reservada, será necesario </w:t>
      </w:r>
      <w:r w:rsidRPr="00D74FD7">
        <w:rPr>
          <w:rFonts w:ascii="Palatino Linotype" w:eastAsia="Calibri" w:hAnsi="Palatino Linotype" w:cs="Tahoma"/>
          <w:b/>
          <w:bCs/>
          <w:sz w:val="22"/>
          <w:szCs w:val="22"/>
          <w:lang w:eastAsia="en-US"/>
        </w:rPr>
        <w:t>acreditar un vínculo, entre la persona física y la información que pueda poner en riesgo su vida, seguridad o salud</w:t>
      </w:r>
      <w:r w:rsidRPr="00D74FD7">
        <w:rPr>
          <w:rFonts w:ascii="Palatino Linotype" w:eastAsia="Calibri" w:hAnsi="Palatino Linotype" w:cs="Tahoma"/>
          <w:bCs/>
          <w:sz w:val="22"/>
          <w:szCs w:val="22"/>
          <w:lang w:eastAsia="en-US"/>
        </w:rPr>
        <w:t>.</w:t>
      </w:r>
    </w:p>
    <w:p w14:paraId="514FF6D3" w14:textId="77777777" w:rsidR="001A2410" w:rsidRPr="00D74FD7" w:rsidRDefault="001A2410" w:rsidP="001A2410">
      <w:pPr>
        <w:spacing w:line="360" w:lineRule="auto"/>
        <w:jc w:val="both"/>
        <w:rPr>
          <w:rFonts w:ascii="Palatino Linotype" w:eastAsia="Calibri" w:hAnsi="Palatino Linotype" w:cs="Tahoma"/>
          <w:bCs/>
          <w:sz w:val="22"/>
          <w:szCs w:val="22"/>
          <w:lang w:eastAsia="en-US"/>
        </w:rPr>
      </w:pPr>
    </w:p>
    <w:p w14:paraId="03BCD8BE" w14:textId="77777777" w:rsidR="001A2410" w:rsidRDefault="001A2410" w:rsidP="001A2410">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Además, el artículo 81, fracción III, de la Ley de Seguridad del Estado de México, establece lo siguiente:</w:t>
      </w:r>
    </w:p>
    <w:p w14:paraId="7ED3AD90" w14:textId="77777777" w:rsidR="001A2410" w:rsidRPr="003D5DCE" w:rsidRDefault="001A2410" w:rsidP="001A2410">
      <w:pPr>
        <w:spacing w:line="360" w:lineRule="auto"/>
        <w:jc w:val="both"/>
        <w:rPr>
          <w:rFonts w:ascii="Palatino Linotype" w:eastAsia="Calibri" w:hAnsi="Palatino Linotype" w:cs="Tahoma"/>
          <w:bCs/>
          <w:sz w:val="22"/>
          <w:szCs w:val="22"/>
          <w:lang w:eastAsia="en-US"/>
        </w:rPr>
      </w:pPr>
    </w:p>
    <w:p w14:paraId="19B66487" w14:textId="77777777" w:rsidR="001A2410" w:rsidRPr="00167D79" w:rsidRDefault="001A2410" w:rsidP="001A2410">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
          <w:bCs/>
          <w:i/>
          <w:lang w:eastAsia="en-US"/>
        </w:rPr>
        <w:t>“Artículo 81.-</w:t>
      </w:r>
      <w:r w:rsidRPr="00167D79">
        <w:rPr>
          <w:rFonts w:ascii="Palatino Linotype" w:eastAsia="Calibri" w:hAnsi="Palatino Linotype" w:cs="Tahoma"/>
          <w:bCs/>
          <w:i/>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053B4239" w14:textId="77777777" w:rsidR="001A2410" w:rsidRPr="00167D79" w:rsidRDefault="001A2410" w:rsidP="001A2410">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Cs/>
          <w:i/>
          <w:lang w:eastAsia="en-US"/>
        </w:rPr>
        <w:t>…</w:t>
      </w:r>
    </w:p>
    <w:p w14:paraId="4D683A81" w14:textId="77777777" w:rsidR="001A2410" w:rsidRPr="00167D79" w:rsidRDefault="001A2410" w:rsidP="001A2410">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Cs/>
          <w:i/>
          <w:lang w:eastAsia="en-US"/>
        </w:rPr>
        <w:t>III. La relativa a los servidores públicos integrantes de las instituciones de seguridad pública, cuya revelación pueda poner en riesgo su vida e integridad física con motivo de sus funciones;</w:t>
      </w:r>
    </w:p>
    <w:p w14:paraId="329950BD" w14:textId="77777777" w:rsidR="001A2410" w:rsidRPr="00167D79" w:rsidRDefault="001A2410" w:rsidP="001A2410">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Cs/>
          <w:i/>
          <w:lang w:eastAsia="en-US"/>
        </w:rPr>
        <w:t>…”</w:t>
      </w:r>
    </w:p>
    <w:p w14:paraId="3EBB2F63" w14:textId="77777777" w:rsidR="001A2410" w:rsidRPr="003D5DCE" w:rsidRDefault="001A2410" w:rsidP="001A2410">
      <w:pPr>
        <w:spacing w:line="360" w:lineRule="auto"/>
        <w:jc w:val="both"/>
        <w:rPr>
          <w:rFonts w:ascii="Palatino Linotype" w:eastAsia="Calibri" w:hAnsi="Palatino Linotype" w:cs="Tahoma"/>
          <w:bCs/>
          <w:lang w:eastAsia="en-US"/>
        </w:rPr>
      </w:pPr>
    </w:p>
    <w:p w14:paraId="2E15C2CE" w14:textId="77777777" w:rsidR="001A2410" w:rsidRDefault="001A2410" w:rsidP="001A2410">
      <w:pPr>
        <w:spacing w:line="360" w:lineRule="auto"/>
        <w:jc w:val="both"/>
        <w:rPr>
          <w:rFonts w:ascii="Palatino Linotype" w:hAnsi="Palatino Linotype" w:cs="Tahoma"/>
          <w:sz w:val="22"/>
          <w:szCs w:val="22"/>
        </w:rPr>
      </w:pPr>
      <w:r w:rsidRPr="003D5DCE">
        <w:rPr>
          <w:rFonts w:ascii="Palatino Linotype" w:hAnsi="Palatino Linotype" w:cs="Tahoma"/>
          <w:sz w:val="22"/>
          <w:szCs w:val="22"/>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13DF2A83" w14:textId="77777777" w:rsidR="001A2410" w:rsidRDefault="001A2410" w:rsidP="001A2410">
      <w:pPr>
        <w:spacing w:line="360" w:lineRule="auto"/>
        <w:jc w:val="both"/>
        <w:rPr>
          <w:rFonts w:ascii="Palatino Linotype" w:eastAsia="Calibri" w:hAnsi="Palatino Linotype" w:cs="Tahoma"/>
          <w:bCs/>
          <w:sz w:val="22"/>
          <w:szCs w:val="22"/>
          <w:lang w:eastAsia="en-US"/>
        </w:rPr>
      </w:pPr>
    </w:p>
    <w:p w14:paraId="736E969D" w14:textId="77777777" w:rsidR="001A2410" w:rsidRDefault="001A2410" w:rsidP="001A2410">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En ese contexto, tal como se precisó en párrafos anteriores, </w:t>
      </w:r>
      <w:r w:rsidRPr="00AE3BD8">
        <w:rPr>
          <w:rFonts w:ascii="Palatino Linotype" w:eastAsia="Calibri" w:hAnsi="Palatino Linotype" w:cs="Tahoma"/>
          <w:b/>
          <w:bCs/>
          <w:sz w:val="22"/>
          <w:szCs w:val="22"/>
          <w:lang w:eastAsia="en-US"/>
        </w:rPr>
        <w:t>los datos de servidores públicos</w:t>
      </w:r>
      <w:r>
        <w:rPr>
          <w:rFonts w:ascii="Palatino Linotype" w:eastAsia="Calibri" w:hAnsi="Palatino Linotype" w:cs="Tahoma"/>
          <w:b/>
          <w:bCs/>
          <w:sz w:val="22"/>
          <w:szCs w:val="22"/>
          <w:lang w:eastAsia="en-US"/>
        </w:rPr>
        <w:t>, entre los que se encuentran el nombre de los trabajadores</w:t>
      </w:r>
      <w:r w:rsidRPr="00AE3BD8">
        <w:rPr>
          <w:rFonts w:ascii="Palatino Linotype" w:eastAsia="Calibri" w:hAnsi="Palatino Linotype" w:cs="Tahoma"/>
          <w:b/>
          <w:bCs/>
          <w:sz w:val="22"/>
          <w:szCs w:val="22"/>
          <w:lang w:eastAsia="en-US"/>
        </w:rPr>
        <w:t xml:space="preserve">, por regla general, </w:t>
      </w:r>
      <w:r w:rsidRPr="00AE3BD8">
        <w:rPr>
          <w:rFonts w:ascii="Palatino Linotype" w:eastAsia="Calibri" w:hAnsi="Palatino Linotype" w:cs="Tahoma"/>
          <w:bCs/>
          <w:sz w:val="22"/>
          <w:szCs w:val="22"/>
          <w:lang w:eastAsia="en-US"/>
        </w:rPr>
        <w:t>son de naturaleza pública, ya que su publicidad orienta a cumplir los objetivos que persigue la Ley.</w:t>
      </w:r>
    </w:p>
    <w:p w14:paraId="7494F99F" w14:textId="77777777" w:rsidR="001A2410" w:rsidRDefault="001A2410" w:rsidP="001A2410">
      <w:pPr>
        <w:spacing w:line="360" w:lineRule="auto"/>
        <w:jc w:val="both"/>
        <w:rPr>
          <w:rFonts w:ascii="Palatino Linotype" w:eastAsia="Calibri" w:hAnsi="Palatino Linotype" w:cs="Tahoma"/>
          <w:bCs/>
          <w:sz w:val="22"/>
          <w:szCs w:val="22"/>
          <w:lang w:eastAsia="en-US"/>
        </w:rPr>
      </w:pPr>
    </w:p>
    <w:p w14:paraId="12393AE1" w14:textId="77777777" w:rsidR="001A2410" w:rsidRPr="003D5DCE" w:rsidRDefault="001A2410" w:rsidP="001A2410">
      <w:pPr>
        <w:spacing w:line="360" w:lineRule="auto"/>
        <w:jc w:val="both"/>
        <w:rPr>
          <w:rFonts w:ascii="Palatino Linotype" w:hAnsi="Palatino Linotype" w:cs="Tahoma"/>
          <w:sz w:val="22"/>
          <w:szCs w:val="22"/>
        </w:rPr>
      </w:pPr>
      <w:r w:rsidRPr="003D5DCE">
        <w:rPr>
          <w:rFonts w:ascii="Palatino Linotype" w:eastAsia="Calibri" w:hAnsi="Palatino Linotype" w:cs="Tahoma"/>
          <w:bCs/>
          <w:sz w:val="22"/>
          <w:szCs w:val="22"/>
          <w:lang w:eastAsia="en-US"/>
        </w:rPr>
        <w:t xml:space="preserve">No obstante, resulta necesario traer a colación por analogía, el Criterio 06/09, emitido por </w:t>
      </w:r>
      <w:r w:rsidRPr="003D5DCE">
        <w:rPr>
          <w:rFonts w:ascii="Palatino Linotype" w:hAnsi="Palatino Linotype" w:cs="Tahoma"/>
          <w:sz w:val="22"/>
          <w:szCs w:val="22"/>
        </w:rPr>
        <w:t>el entonces Instituto Federal de Acceso a la Información y Protección de Datos ahora Instituto Nacional de Transparencia, Acceso a la Información y Protección de Datos Personales, que establece lo siguiente:</w:t>
      </w:r>
    </w:p>
    <w:p w14:paraId="389495CB" w14:textId="77777777" w:rsidR="001A2410" w:rsidRPr="00F87CCD" w:rsidRDefault="001A2410" w:rsidP="001A2410">
      <w:pPr>
        <w:spacing w:line="360" w:lineRule="auto"/>
        <w:jc w:val="both"/>
        <w:rPr>
          <w:rFonts w:ascii="Palatino Linotype" w:hAnsi="Palatino Linotype" w:cs="Tahoma"/>
          <w:i/>
          <w:sz w:val="22"/>
          <w:szCs w:val="22"/>
        </w:rPr>
      </w:pPr>
    </w:p>
    <w:p w14:paraId="37434E3C" w14:textId="77777777" w:rsidR="001A2410" w:rsidRPr="00F87CCD" w:rsidRDefault="001A2410" w:rsidP="001A2410">
      <w:pPr>
        <w:tabs>
          <w:tab w:val="left" w:pos="4962"/>
        </w:tabs>
        <w:spacing w:line="360" w:lineRule="auto"/>
        <w:ind w:left="567" w:right="567"/>
        <w:jc w:val="both"/>
        <w:rPr>
          <w:rFonts w:ascii="Palatino Linotype" w:hAnsi="Palatino Linotype" w:cs="Tahoma"/>
          <w:i/>
          <w:szCs w:val="22"/>
        </w:rPr>
      </w:pPr>
      <w:r w:rsidRPr="00F87CCD">
        <w:rPr>
          <w:rFonts w:ascii="Palatino Linotype" w:hAnsi="Palatino Linotype" w:cs="Tahoma"/>
          <w:b/>
          <w:i/>
          <w:szCs w:val="22"/>
        </w:rPr>
        <w:t>“Nombres de servidores públicos dedicados a actividades en materia de seguridad, por excepción pueden considerarse información reservada.</w:t>
      </w:r>
      <w:r w:rsidRPr="00F87CCD">
        <w:rPr>
          <w:rFonts w:ascii="Palatino Linotype" w:hAnsi="Palatino Linotype" w:cs="Tahoma"/>
          <w:i/>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w:t>
      </w:r>
      <w:r w:rsidRPr="00F87CCD">
        <w:rPr>
          <w:rFonts w:ascii="Palatino Linotype" w:hAnsi="Palatino Linotype" w:cs="Tahoma"/>
          <w:i/>
          <w:szCs w:val="22"/>
        </w:rPr>
        <w:lastRenderedPageBreak/>
        <w:t>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2C1D2432" w14:textId="77777777" w:rsidR="001A2410" w:rsidRPr="003D5DCE" w:rsidRDefault="001A2410" w:rsidP="001A2410">
      <w:pPr>
        <w:spacing w:line="360" w:lineRule="auto"/>
        <w:jc w:val="both"/>
        <w:rPr>
          <w:rFonts w:ascii="Palatino Linotype" w:eastAsia="Calibri" w:hAnsi="Palatino Linotype" w:cs="Tahoma"/>
          <w:bCs/>
          <w:sz w:val="22"/>
          <w:szCs w:val="22"/>
          <w:lang w:eastAsia="en-US"/>
        </w:rPr>
      </w:pPr>
    </w:p>
    <w:p w14:paraId="7502682E" w14:textId="77777777" w:rsidR="001A2410" w:rsidRPr="003D5DCE" w:rsidRDefault="001A2410" w:rsidP="001A2410">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78639AA1" w14:textId="77777777" w:rsidR="001A2410" w:rsidRPr="003D5DCE" w:rsidRDefault="001A2410" w:rsidP="001A2410">
      <w:pPr>
        <w:spacing w:line="360" w:lineRule="auto"/>
        <w:jc w:val="both"/>
        <w:rPr>
          <w:rFonts w:ascii="Palatino Linotype" w:eastAsia="Calibri" w:hAnsi="Palatino Linotype" w:cs="Tahoma"/>
          <w:bCs/>
          <w:sz w:val="22"/>
          <w:szCs w:val="22"/>
          <w:lang w:eastAsia="en-US"/>
        </w:rPr>
      </w:pPr>
    </w:p>
    <w:p w14:paraId="202FFE50" w14:textId="77777777" w:rsidR="001A2410" w:rsidRPr="003D5DCE" w:rsidRDefault="001A2410" w:rsidP="001A2410">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 xml:space="preserve">En ese orden de ideas, si bien por regla general los nombres de los </w:t>
      </w:r>
      <w:r>
        <w:rPr>
          <w:rFonts w:ascii="Palatino Linotype" w:eastAsia="Calibri" w:hAnsi="Palatino Linotype" w:cs="Tahoma"/>
          <w:bCs/>
          <w:sz w:val="22"/>
          <w:szCs w:val="22"/>
          <w:lang w:eastAsia="en-US"/>
        </w:rPr>
        <w:t>trabajadores gubernamentales</w:t>
      </w:r>
      <w:r w:rsidRPr="003D5DCE">
        <w:rPr>
          <w:rFonts w:ascii="Palatino Linotype" w:eastAsia="Calibri" w:hAnsi="Palatino Linotype" w:cs="Tahoma"/>
          <w:bCs/>
          <w:sz w:val="22"/>
          <w:szCs w:val="22"/>
          <w:lang w:eastAsia="en-US"/>
        </w:rPr>
        <w:t xml:space="preserve"> son información pública de oficio, existe una excepción relativa a </w:t>
      </w:r>
      <w:r w:rsidRPr="003D5DCE">
        <w:rPr>
          <w:rFonts w:ascii="Palatino Linotype" w:eastAsia="Calibri" w:hAnsi="Palatino Linotype" w:cs="Tahoma"/>
          <w:b/>
          <w:bCs/>
          <w:sz w:val="22"/>
          <w:szCs w:val="22"/>
          <w:lang w:eastAsia="en-US"/>
        </w:rPr>
        <w:t>aquellos que realicen actividades operativas en materia de seguridad,</w:t>
      </w:r>
      <w:r>
        <w:rPr>
          <w:rFonts w:ascii="Palatino Linotype" w:eastAsia="Calibri" w:hAnsi="Palatino Linotype" w:cs="Tahoma"/>
          <w:bCs/>
          <w:sz w:val="22"/>
          <w:szCs w:val="22"/>
          <w:lang w:eastAsia="en-US"/>
        </w:rPr>
        <w:t xml:space="preserve"> como es el caso de los elementos operativos y la</w:t>
      </w:r>
      <w:r w:rsidRPr="003D5DCE">
        <w:rPr>
          <w:rFonts w:ascii="Palatino Linotype" w:eastAsia="Calibri" w:hAnsi="Palatino Linotype" w:cs="Tahoma"/>
          <w:bCs/>
          <w:sz w:val="22"/>
          <w:szCs w:val="22"/>
          <w:lang w:eastAsia="en-US"/>
        </w:rPr>
        <w:t xml:space="preserve"> policía municipal.</w:t>
      </w:r>
    </w:p>
    <w:p w14:paraId="6C3C0539" w14:textId="77777777" w:rsidR="001A2410" w:rsidRPr="003D5DCE" w:rsidRDefault="001A2410" w:rsidP="001A2410">
      <w:pPr>
        <w:spacing w:line="360" w:lineRule="auto"/>
        <w:jc w:val="both"/>
        <w:rPr>
          <w:rFonts w:ascii="Palatino Linotype" w:eastAsia="Calibri" w:hAnsi="Palatino Linotype" w:cs="Tahoma"/>
          <w:bCs/>
          <w:sz w:val="22"/>
          <w:szCs w:val="22"/>
          <w:lang w:eastAsia="en-US"/>
        </w:rPr>
      </w:pPr>
    </w:p>
    <w:p w14:paraId="55A14475" w14:textId="77777777" w:rsidR="001A2410" w:rsidRPr="003D5DCE" w:rsidRDefault="001A2410" w:rsidP="001A2410">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Al respecto,  el artículo 4</w:t>
      </w:r>
      <w:r>
        <w:rPr>
          <w:rFonts w:ascii="Palatino Linotype" w:eastAsia="Calibri" w:hAnsi="Palatino Linotype" w:cs="Tahoma"/>
          <w:bCs/>
          <w:sz w:val="22"/>
          <w:szCs w:val="22"/>
          <w:lang w:eastAsia="en-US"/>
        </w:rPr>
        <w:t>°</w:t>
      </w:r>
      <w:r w:rsidRPr="003D5DCE">
        <w:rPr>
          <w:rFonts w:ascii="Palatino Linotype" w:eastAsia="Calibri" w:hAnsi="Palatino Linotype" w:cs="Tahoma"/>
          <w:bCs/>
          <w:sz w:val="22"/>
          <w:szCs w:val="22"/>
          <w:lang w:eastAsia="en-US"/>
        </w:rPr>
        <w:t xml:space="preserve">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26CC13F2" w14:textId="77777777" w:rsidR="001A2410" w:rsidRPr="003D5DCE" w:rsidRDefault="001A2410" w:rsidP="001A2410">
      <w:pPr>
        <w:spacing w:line="360" w:lineRule="auto"/>
        <w:jc w:val="both"/>
        <w:rPr>
          <w:rFonts w:ascii="Palatino Linotype" w:eastAsia="Calibri" w:hAnsi="Palatino Linotype" w:cs="Tahoma"/>
          <w:bCs/>
          <w:sz w:val="22"/>
          <w:szCs w:val="22"/>
          <w:lang w:eastAsia="en-US"/>
        </w:rPr>
      </w:pPr>
    </w:p>
    <w:p w14:paraId="7E2603C7" w14:textId="77777777" w:rsidR="001A2410" w:rsidRPr="003D5DCE" w:rsidRDefault="001A2410" w:rsidP="001A2410">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En ese contexto, el artículo 6, fracciones XI y XII de dicho ordenamiento jurídico, establece los siguientes conceptos:</w:t>
      </w:r>
    </w:p>
    <w:p w14:paraId="136BD378" w14:textId="77777777" w:rsidR="001A2410" w:rsidRPr="003D5DCE" w:rsidRDefault="001A2410" w:rsidP="001A2410">
      <w:pPr>
        <w:spacing w:line="360" w:lineRule="auto"/>
        <w:jc w:val="both"/>
        <w:rPr>
          <w:rFonts w:ascii="Palatino Linotype" w:eastAsia="Calibri" w:hAnsi="Palatino Linotype" w:cs="Tahoma"/>
          <w:bCs/>
          <w:sz w:val="22"/>
          <w:szCs w:val="22"/>
          <w:lang w:eastAsia="en-US"/>
        </w:rPr>
      </w:pPr>
    </w:p>
    <w:p w14:paraId="2A9C64E8" w14:textId="77777777" w:rsidR="001A2410" w:rsidRPr="003D5DCE" w:rsidRDefault="001A2410" w:rsidP="001A2410">
      <w:pPr>
        <w:pStyle w:val="Prrafodelista"/>
        <w:numPr>
          <w:ilvl w:val="0"/>
          <w:numId w:val="32"/>
        </w:numPr>
        <w:spacing w:line="360" w:lineRule="auto"/>
        <w:contextualSpacing/>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 xml:space="preserve">Instituciones Policiales: </w:t>
      </w:r>
      <w:r w:rsidRPr="003D5DCE">
        <w:rPr>
          <w:rFonts w:ascii="Palatino Linotype" w:eastAsia="Calibri" w:hAnsi="Palatino Linotype" w:cs="Tahoma"/>
          <w:bCs/>
          <w:szCs w:val="22"/>
          <w:lang w:eastAsia="en-US"/>
        </w:rPr>
        <w:t xml:space="preserve">Son los cuerpos de policía, de vigilancia y custodia de los establecimientos penitenciarios, detención preventiva, centros de arraigo y en general, </w:t>
      </w:r>
      <w:r w:rsidRPr="003D5DCE">
        <w:rPr>
          <w:rFonts w:ascii="Palatino Linotype" w:eastAsia="Calibri" w:hAnsi="Palatino Linotype" w:cs="Tahoma"/>
          <w:b/>
          <w:bCs/>
          <w:szCs w:val="22"/>
          <w:lang w:eastAsia="en-US"/>
        </w:rPr>
        <w:t>todas las dependencias encargadas de la seguridad pública a nivel</w:t>
      </w:r>
      <w:r w:rsidRPr="003D5DCE">
        <w:rPr>
          <w:rFonts w:ascii="Palatino Linotype" w:eastAsia="Calibri" w:hAnsi="Palatino Linotype" w:cs="Tahoma"/>
          <w:bCs/>
          <w:szCs w:val="22"/>
          <w:lang w:eastAsia="en-US"/>
        </w:rPr>
        <w:t xml:space="preserve"> estatal y </w:t>
      </w:r>
      <w:r w:rsidRPr="003D5DCE">
        <w:rPr>
          <w:rFonts w:ascii="Palatino Linotype" w:eastAsia="Calibri" w:hAnsi="Palatino Linotype" w:cs="Tahoma"/>
          <w:b/>
          <w:bCs/>
          <w:szCs w:val="22"/>
          <w:lang w:eastAsia="en-US"/>
        </w:rPr>
        <w:t>municipal.</w:t>
      </w:r>
    </w:p>
    <w:p w14:paraId="4CD7E89B" w14:textId="77777777" w:rsidR="001A2410" w:rsidRPr="003D5DCE" w:rsidRDefault="001A2410" w:rsidP="001A2410">
      <w:pPr>
        <w:pStyle w:val="Prrafodelista"/>
        <w:spacing w:line="360" w:lineRule="auto"/>
        <w:jc w:val="both"/>
        <w:rPr>
          <w:rFonts w:ascii="Palatino Linotype" w:eastAsia="Calibri" w:hAnsi="Palatino Linotype" w:cs="Tahoma"/>
          <w:bCs/>
          <w:szCs w:val="22"/>
          <w:lang w:eastAsia="en-US"/>
        </w:rPr>
      </w:pPr>
    </w:p>
    <w:p w14:paraId="1203515C" w14:textId="77777777" w:rsidR="001A2410" w:rsidRDefault="001A2410" w:rsidP="001A2410">
      <w:pPr>
        <w:pStyle w:val="Prrafodelista"/>
        <w:numPr>
          <w:ilvl w:val="0"/>
          <w:numId w:val="32"/>
        </w:numPr>
        <w:spacing w:line="360" w:lineRule="auto"/>
        <w:contextualSpacing/>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 xml:space="preserve">Instituciones de Seguridad Pública: </w:t>
      </w:r>
      <w:r w:rsidRPr="003D5DCE">
        <w:rPr>
          <w:rFonts w:ascii="Palatino Linotype" w:eastAsia="Calibri" w:hAnsi="Palatino Linotype" w:cs="Tahoma"/>
          <w:bCs/>
          <w:szCs w:val="22"/>
          <w:lang w:eastAsia="en-US"/>
        </w:rPr>
        <w:t xml:space="preserve">Instituciones Policiales, Procuración de Justicia, Sistema Penitenciario y </w:t>
      </w:r>
      <w:r w:rsidRPr="003D5DCE">
        <w:rPr>
          <w:rFonts w:ascii="Palatino Linotype" w:eastAsia="Calibri" w:hAnsi="Palatino Linotype" w:cs="Tahoma"/>
          <w:b/>
          <w:bCs/>
          <w:szCs w:val="22"/>
          <w:lang w:eastAsia="en-US"/>
        </w:rPr>
        <w:t xml:space="preserve">dependencias encargadas de la seguridad pública a nivel </w:t>
      </w:r>
      <w:r w:rsidRPr="003D5DCE">
        <w:rPr>
          <w:rFonts w:ascii="Palatino Linotype" w:eastAsia="Calibri" w:hAnsi="Palatino Linotype" w:cs="Tahoma"/>
          <w:bCs/>
          <w:szCs w:val="22"/>
          <w:lang w:eastAsia="en-US"/>
        </w:rPr>
        <w:t xml:space="preserve">estatal y </w:t>
      </w:r>
      <w:r w:rsidRPr="003D5DCE">
        <w:rPr>
          <w:rFonts w:ascii="Palatino Linotype" w:eastAsia="Calibri" w:hAnsi="Palatino Linotype" w:cs="Tahoma"/>
          <w:b/>
          <w:bCs/>
          <w:szCs w:val="22"/>
          <w:lang w:eastAsia="en-US"/>
        </w:rPr>
        <w:t>municipal.</w:t>
      </w:r>
    </w:p>
    <w:p w14:paraId="2455021A" w14:textId="77777777" w:rsidR="001A2410" w:rsidRPr="00F912B8" w:rsidRDefault="001A2410" w:rsidP="001A2410">
      <w:pPr>
        <w:pStyle w:val="Prrafodelista"/>
        <w:rPr>
          <w:rFonts w:ascii="Palatino Linotype" w:eastAsia="Calibri" w:hAnsi="Palatino Linotype" w:cs="Tahoma"/>
          <w:b/>
          <w:bCs/>
          <w:szCs w:val="22"/>
          <w:lang w:eastAsia="en-US"/>
        </w:rPr>
      </w:pPr>
    </w:p>
    <w:p w14:paraId="6C3E6474" w14:textId="77777777" w:rsidR="001A2410" w:rsidRPr="003D5DCE" w:rsidRDefault="001A2410" w:rsidP="001A2410">
      <w:pPr>
        <w:spacing w:line="360" w:lineRule="auto"/>
        <w:jc w:val="both"/>
        <w:rPr>
          <w:rFonts w:ascii="Palatino Linotype" w:eastAsia="Calibri" w:hAnsi="Palatino Linotype" w:cs="Tahoma"/>
          <w:bCs/>
          <w:sz w:val="22"/>
          <w:szCs w:val="22"/>
          <w:lang w:eastAsia="en-US"/>
        </w:rPr>
      </w:pPr>
      <w:r w:rsidRPr="00F73E1A">
        <w:rPr>
          <w:rFonts w:ascii="Palatino Linotype" w:eastAsia="Calibri" w:hAnsi="Palatino Linotype" w:cs="Tahoma"/>
          <w:iCs/>
          <w:sz w:val="22"/>
          <w:lang w:val="es-ES" w:eastAsia="es-ES_tradnl"/>
        </w:rPr>
        <w:t>Conforme a lo anterior</w:t>
      </w:r>
      <w:r>
        <w:rPr>
          <w:rFonts w:ascii="Palatino Linotype" w:eastAsia="Calibri" w:hAnsi="Palatino Linotype" w:cs="Tahoma"/>
          <w:bCs/>
          <w:sz w:val="22"/>
          <w:szCs w:val="22"/>
          <w:lang w:eastAsia="en-US"/>
        </w:rPr>
        <w:t>,</w:t>
      </w:r>
      <w:r w:rsidRPr="003D5DCE">
        <w:rPr>
          <w:rFonts w:ascii="Palatino Linotype" w:eastAsia="Calibri" w:hAnsi="Palatino Linotype" w:cs="Tahoma"/>
          <w:bCs/>
          <w:sz w:val="22"/>
          <w:szCs w:val="22"/>
          <w:lang w:eastAsia="en-US"/>
        </w:rPr>
        <w:t xml:space="preserve"> se puede deducir que la </w:t>
      </w:r>
      <w:r>
        <w:rPr>
          <w:rFonts w:ascii="Palatino Linotype" w:eastAsia="Calibri" w:hAnsi="Palatino Linotype" w:cs="Tahoma"/>
          <w:bCs/>
          <w:sz w:val="22"/>
          <w:szCs w:val="22"/>
          <w:lang w:eastAsia="en-US"/>
        </w:rPr>
        <w:t>Dirección de</w:t>
      </w:r>
      <w:r w:rsidRPr="00CB64F1">
        <w:rPr>
          <w:rFonts w:ascii="Palatino Linotype" w:eastAsia="Calibri" w:hAnsi="Palatino Linotype" w:cs="Tahoma"/>
          <w:bCs/>
          <w:sz w:val="22"/>
          <w:szCs w:val="22"/>
          <w:lang w:eastAsia="en-US"/>
        </w:rPr>
        <w:t xml:space="preserve"> Seguridad Pública Municipal</w:t>
      </w:r>
      <w:r w:rsidRPr="003D5DCE">
        <w:rPr>
          <w:rFonts w:ascii="Palatino Linotype" w:eastAsia="Calibri" w:hAnsi="Palatino Linotype" w:cs="Tahoma"/>
          <w:bCs/>
          <w:sz w:val="22"/>
          <w:szCs w:val="22"/>
          <w:lang w:eastAsia="en-US"/>
        </w:rPr>
        <w:t xml:space="preserve">, es una </w:t>
      </w:r>
      <w:r>
        <w:rPr>
          <w:rFonts w:ascii="Palatino Linotype" w:eastAsia="Calibri" w:hAnsi="Palatino Linotype" w:cs="Tahoma"/>
          <w:bCs/>
          <w:sz w:val="22"/>
          <w:szCs w:val="22"/>
          <w:lang w:eastAsia="en-US"/>
        </w:rPr>
        <w:t>i</w:t>
      </w:r>
      <w:r w:rsidRPr="003D5DCE">
        <w:rPr>
          <w:rFonts w:ascii="Palatino Linotype" w:eastAsia="Calibri" w:hAnsi="Palatino Linotype" w:cs="Tahoma"/>
          <w:bCs/>
          <w:sz w:val="22"/>
          <w:szCs w:val="22"/>
          <w:lang w:eastAsia="en-US"/>
        </w:rPr>
        <w:t xml:space="preserve">nstitución de </w:t>
      </w:r>
      <w:r>
        <w:rPr>
          <w:rFonts w:ascii="Palatino Linotype" w:eastAsia="Calibri" w:hAnsi="Palatino Linotype" w:cs="Tahoma"/>
          <w:bCs/>
          <w:sz w:val="22"/>
          <w:szCs w:val="22"/>
          <w:lang w:eastAsia="en-US"/>
        </w:rPr>
        <w:t>s</w:t>
      </w:r>
      <w:r w:rsidRPr="003D5DCE">
        <w:rPr>
          <w:rFonts w:ascii="Palatino Linotype" w:eastAsia="Calibri" w:hAnsi="Palatino Linotype" w:cs="Tahoma"/>
          <w:bCs/>
          <w:sz w:val="22"/>
          <w:szCs w:val="22"/>
          <w:lang w:eastAsia="en-US"/>
        </w:rPr>
        <w:t xml:space="preserve">eguridad </w:t>
      </w:r>
      <w:r>
        <w:rPr>
          <w:rFonts w:ascii="Palatino Linotype" w:eastAsia="Calibri" w:hAnsi="Palatino Linotype" w:cs="Tahoma"/>
          <w:bCs/>
          <w:sz w:val="22"/>
          <w:szCs w:val="22"/>
          <w:lang w:eastAsia="en-US"/>
        </w:rPr>
        <w:t>p</w:t>
      </w:r>
      <w:r w:rsidRPr="003D5DCE">
        <w:rPr>
          <w:rFonts w:ascii="Palatino Linotype" w:eastAsia="Calibri" w:hAnsi="Palatino Linotype" w:cs="Tahoma"/>
          <w:bCs/>
          <w:sz w:val="22"/>
          <w:szCs w:val="22"/>
          <w:lang w:eastAsia="en-US"/>
        </w:rPr>
        <w:t>ública, pues tiene como atribución principal resguardar el orden público y la paz social, la prevención de delitos y la inhibición de manifestaciones de conductas antisociales.</w:t>
      </w:r>
    </w:p>
    <w:p w14:paraId="30A09B25" w14:textId="77777777" w:rsidR="001A2410" w:rsidRDefault="001A2410" w:rsidP="001A2410">
      <w:pPr>
        <w:spacing w:line="360" w:lineRule="auto"/>
        <w:jc w:val="both"/>
        <w:rPr>
          <w:rFonts w:ascii="Palatino Linotype" w:eastAsia="Calibri" w:hAnsi="Palatino Linotype" w:cs="Tahoma"/>
          <w:bCs/>
          <w:sz w:val="22"/>
          <w:szCs w:val="22"/>
          <w:lang w:eastAsia="en-US"/>
        </w:rPr>
      </w:pPr>
    </w:p>
    <w:p w14:paraId="1C6CAE97" w14:textId="77777777" w:rsidR="001A2410" w:rsidRPr="00F912B8" w:rsidRDefault="001A2410" w:rsidP="001A2410">
      <w:pPr>
        <w:tabs>
          <w:tab w:val="left" w:pos="4962"/>
        </w:tabs>
        <w:spacing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ES" w:eastAsia="en-US"/>
        </w:rPr>
        <w:t>Además</w:t>
      </w:r>
      <w:r w:rsidRPr="00F73E1A">
        <w:rPr>
          <w:rFonts w:ascii="Palatino Linotype" w:eastAsia="Calibri" w:hAnsi="Palatino Linotype" w:cs="Tahoma"/>
          <w:bCs/>
          <w:sz w:val="22"/>
          <w:szCs w:val="22"/>
          <w:lang w:val="es-ES" w:eastAsia="en-US"/>
        </w:rPr>
        <w:t xml:space="preserve">, </w:t>
      </w:r>
      <w:r w:rsidRPr="00F73E1A">
        <w:rPr>
          <w:rFonts w:ascii="Palatino Linotype" w:eastAsia="Calibri" w:hAnsi="Palatino Linotype" w:cs="Tahoma"/>
          <w:bCs/>
          <w:sz w:val="22"/>
          <w:szCs w:val="22"/>
          <w:lang w:eastAsia="en-US"/>
        </w:rPr>
        <w:t xml:space="preserve">el Instructivo de llenado del Formato “Personal de Seguridad Pública”, del Secretariado Ejecutivo del Sistema Nacional de Seguridad Pública (consultado el </w:t>
      </w:r>
      <w:r>
        <w:rPr>
          <w:rFonts w:ascii="Palatino Linotype" w:eastAsia="Calibri" w:hAnsi="Palatino Linotype" w:cs="Tahoma"/>
          <w:bCs/>
          <w:sz w:val="22"/>
          <w:szCs w:val="22"/>
          <w:lang w:eastAsia="en-US"/>
        </w:rPr>
        <w:t>veintitrés de febrero de dos mil veintidós</w:t>
      </w:r>
      <w:r w:rsidRPr="00F73E1A">
        <w:rPr>
          <w:rFonts w:ascii="Palatino Linotype" w:eastAsia="Calibri" w:hAnsi="Palatino Linotype" w:cs="Tahoma"/>
          <w:bCs/>
          <w:sz w:val="22"/>
          <w:szCs w:val="22"/>
          <w:lang w:eastAsia="en-US"/>
        </w:rPr>
        <w:t xml:space="preserve">, a las trece horas, en la liga electrónica </w:t>
      </w:r>
      <w:hyperlink r:id="rId24" w:history="1">
        <w:r w:rsidRPr="00F73E1A">
          <w:rPr>
            <w:rFonts w:ascii="Palatino Linotype" w:eastAsia="Calibri" w:hAnsi="Palatino Linotype" w:cs="Tahoma"/>
            <w:bCs/>
            <w:color w:val="0563C1"/>
            <w:sz w:val="22"/>
            <w:szCs w:val="22"/>
            <w:u w:val="single"/>
            <w:lang w:eastAsia="en-US"/>
          </w:rPr>
          <w:t>http://secretariadoejecutivo.gob.mx/work/models/SecretariadoEjecutivo/Resource/328/1/images/instructivo_final_edo_fuerza(1).pdf</w:t>
        </w:r>
      </w:hyperlink>
      <w:r w:rsidRPr="00F73E1A">
        <w:rPr>
          <w:rFonts w:ascii="Palatino Linotype" w:eastAsia="Calibri" w:hAnsi="Palatino Linotype" w:cs="Tahoma"/>
          <w:bCs/>
          <w:sz w:val="22"/>
          <w:szCs w:val="22"/>
          <w:lang w:eastAsia="en-US"/>
        </w:rPr>
        <w:t>), establece que los elementos operativos de seguridad pública, son aquellos que desempeñan funciones de campo (policiacas, especializadas o equiva</w:t>
      </w:r>
      <w:r w:rsidRPr="0048165F">
        <w:rPr>
          <w:rFonts w:ascii="Palatino Linotype" w:eastAsia="Calibri" w:hAnsi="Palatino Linotype" w:cs="Tahoma"/>
          <w:bCs/>
          <w:sz w:val="22"/>
          <w:szCs w:val="22"/>
          <w:lang w:eastAsia="en-US"/>
        </w:rPr>
        <w:t xml:space="preserve">lentes y que no </w:t>
      </w:r>
      <w:r w:rsidRPr="00F912B8">
        <w:rPr>
          <w:rFonts w:ascii="Palatino Linotype" w:eastAsia="Calibri" w:hAnsi="Palatino Linotype" w:cs="Tahoma"/>
          <w:b/>
          <w:bCs/>
          <w:sz w:val="22"/>
          <w:szCs w:val="22"/>
          <w:lang w:eastAsia="en-US"/>
        </w:rPr>
        <w:t>desempeña funciones de mando</w:t>
      </w:r>
      <w:r w:rsidRPr="00F912B8">
        <w:rPr>
          <w:rFonts w:ascii="Palatino Linotype" w:eastAsia="Calibri" w:hAnsi="Palatino Linotype" w:cs="Tahoma"/>
          <w:bCs/>
          <w:sz w:val="22"/>
          <w:szCs w:val="22"/>
          <w:lang w:eastAsia="en-US"/>
        </w:rPr>
        <w:t xml:space="preserve">), entre los cuales, se encuentra </w:t>
      </w:r>
      <w:r w:rsidRPr="00F912B8">
        <w:rPr>
          <w:rFonts w:ascii="Palatino Linotype" w:eastAsia="Calibri" w:hAnsi="Palatino Linotype" w:cs="Tahoma"/>
          <w:b/>
          <w:bCs/>
          <w:sz w:val="22"/>
          <w:szCs w:val="22"/>
          <w:lang w:eastAsia="en-US"/>
        </w:rPr>
        <w:t>la Policía Municipal</w:t>
      </w:r>
      <w:r w:rsidRPr="00F912B8">
        <w:rPr>
          <w:rFonts w:ascii="Palatino Linotype" w:eastAsia="Calibri" w:hAnsi="Palatino Linotype" w:cs="Tahoma"/>
          <w:bCs/>
          <w:sz w:val="22"/>
          <w:szCs w:val="22"/>
          <w:lang w:eastAsia="en-US"/>
        </w:rPr>
        <w:t>.</w:t>
      </w:r>
    </w:p>
    <w:p w14:paraId="107289A9" w14:textId="77777777" w:rsidR="001A2410" w:rsidRPr="00F912B8" w:rsidRDefault="001A2410" w:rsidP="001A2410">
      <w:pPr>
        <w:tabs>
          <w:tab w:val="left" w:pos="4962"/>
        </w:tabs>
        <w:spacing w:line="360" w:lineRule="auto"/>
        <w:ind w:right="-28"/>
        <w:jc w:val="both"/>
        <w:rPr>
          <w:rFonts w:ascii="Palatino Linotype" w:eastAsia="Calibri" w:hAnsi="Palatino Linotype" w:cs="Tahoma"/>
          <w:bCs/>
          <w:sz w:val="22"/>
          <w:szCs w:val="22"/>
          <w:lang w:eastAsia="en-US"/>
        </w:rPr>
      </w:pPr>
    </w:p>
    <w:p w14:paraId="1517D1B8" w14:textId="77777777" w:rsidR="001A2410" w:rsidRPr="00F912B8" w:rsidRDefault="001A2410" w:rsidP="001A2410">
      <w:pPr>
        <w:tabs>
          <w:tab w:val="left" w:pos="4962"/>
        </w:tabs>
        <w:spacing w:line="360" w:lineRule="auto"/>
        <w:ind w:right="-28"/>
        <w:jc w:val="both"/>
        <w:rPr>
          <w:rFonts w:ascii="Palatino Linotype" w:eastAsia="Calibri" w:hAnsi="Palatino Linotype" w:cs="Tahoma"/>
          <w:bCs/>
          <w:sz w:val="22"/>
          <w:szCs w:val="22"/>
          <w:lang w:eastAsia="en-US"/>
        </w:rPr>
      </w:pPr>
      <w:r w:rsidRPr="00F912B8">
        <w:rPr>
          <w:rFonts w:ascii="Palatino Linotype" w:eastAsia="Calibri" w:hAnsi="Palatino Linotype" w:cs="Tahoma"/>
          <w:bCs/>
          <w:sz w:val="22"/>
          <w:szCs w:val="22"/>
          <w:lang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Comisaría de Seguridad Pública Municipal, tiene dos clases de servidores públicos, por una parte, los operativos (policía municipal) y por otra, los administrativos, de apoyo y personal de mando, los cuales no realizan funciones operativas.</w:t>
      </w:r>
    </w:p>
    <w:p w14:paraId="4DD53198" w14:textId="77777777" w:rsidR="001A2410" w:rsidRPr="00F912B8" w:rsidRDefault="001A2410" w:rsidP="001A2410">
      <w:pPr>
        <w:spacing w:line="360" w:lineRule="auto"/>
        <w:jc w:val="both"/>
        <w:rPr>
          <w:rFonts w:ascii="Palatino Linotype" w:eastAsia="Calibri" w:hAnsi="Palatino Linotype" w:cs="Tahoma"/>
          <w:bCs/>
          <w:sz w:val="22"/>
          <w:szCs w:val="22"/>
          <w:lang w:eastAsia="en-US"/>
        </w:rPr>
      </w:pPr>
    </w:p>
    <w:p w14:paraId="06DC8570" w14:textId="77777777" w:rsidR="001A2410" w:rsidRPr="00F912B8" w:rsidRDefault="001A2410" w:rsidP="001A2410">
      <w:pPr>
        <w:spacing w:line="360" w:lineRule="auto"/>
        <w:jc w:val="both"/>
        <w:rPr>
          <w:rFonts w:ascii="Palatino Linotype" w:eastAsia="Calibri" w:hAnsi="Palatino Linotype" w:cs="Tahoma"/>
          <w:bCs/>
          <w:sz w:val="22"/>
          <w:szCs w:val="22"/>
          <w:lang w:eastAsia="en-US"/>
        </w:rPr>
      </w:pPr>
      <w:r w:rsidRPr="00F912B8">
        <w:rPr>
          <w:rFonts w:ascii="Palatino Linotype" w:eastAsia="Calibri" w:hAnsi="Palatino Linotype" w:cs="Tahoma"/>
          <w:bCs/>
          <w:sz w:val="22"/>
          <w:szCs w:val="22"/>
          <w:lang w:eastAsia="en-U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54F7DEC5" w14:textId="77777777" w:rsidR="001A2410" w:rsidRPr="00F912B8" w:rsidRDefault="001A2410" w:rsidP="001A2410">
      <w:pPr>
        <w:spacing w:line="360" w:lineRule="auto"/>
        <w:jc w:val="both"/>
        <w:rPr>
          <w:rFonts w:ascii="Palatino Linotype" w:eastAsia="Calibri" w:hAnsi="Palatino Linotype" w:cs="Tahoma"/>
          <w:bCs/>
          <w:sz w:val="22"/>
          <w:szCs w:val="22"/>
          <w:lang w:eastAsia="en-US"/>
        </w:rPr>
      </w:pPr>
    </w:p>
    <w:p w14:paraId="442A178A" w14:textId="77777777" w:rsidR="001A2410" w:rsidRDefault="001A2410" w:rsidP="001A2410">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De tal situación, se considera que dar a conocer el nombre</w:t>
      </w:r>
      <w:r>
        <w:rPr>
          <w:rFonts w:ascii="Palatino Linotype" w:eastAsia="Calibri" w:hAnsi="Palatino Linotype" w:cs="Tahoma"/>
          <w:bCs/>
          <w:sz w:val="22"/>
          <w:szCs w:val="22"/>
          <w:lang w:eastAsia="en-US"/>
        </w:rPr>
        <w:t xml:space="preserve"> </w:t>
      </w:r>
      <w:r w:rsidRPr="003D5DCE">
        <w:rPr>
          <w:rFonts w:ascii="Palatino Linotype" w:eastAsia="Calibri" w:hAnsi="Palatino Linotype" w:cs="Tahoma"/>
          <w:bCs/>
          <w:sz w:val="22"/>
          <w:szCs w:val="22"/>
          <w:lang w:eastAsia="en-US"/>
        </w:rPr>
        <w:t>de los</w:t>
      </w:r>
      <w:r>
        <w:rPr>
          <w:rFonts w:ascii="Palatino Linotype" w:eastAsia="Calibri" w:hAnsi="Palatino Linotype" w:cs="Tahoma"/>
          <w:bCs/>
          <w:sz w:val="22"/>
          <w:szCs w:val="22"/>
          <w:lang w:eastAsia="en-US"/>
        </w:rPr>
        <w:t xml:space="preserve"> elementos operativos, que incluye a los</w:t>
      </w:r>
      <w:r w:rsidRPr="003D5DCE">
        <w:rPr>
          <w:rFonts w:ascii="Palatino Linotype" w:eastAsia="Calibri" w:hAnsi="Palatino Linotype" w:cs="Tahoma"/>
          <w:bCs/>
          <w:sz w:val="22"/>
          <w:szCs w:val="22"/>
          <w:lang w:eastAsia="en-US"/>
        </w:rPr>
        <w:t xml:space="preserve"> policías municipales, puede poner en riesgo la vida, seguridad y salud de estos, de sus familias e incluso su entorno social, pues al hacerlos identificables, los hacen blancos de los agentes delincuenciales o inclusive a la delincuencia organizada, los cuales podrían </w:t>
      </w:r>
      <w:r w:rsidRPr="003D5DCE">
        <w:rPr>
          <w:rFonts w:ascii="Palatino Linotype" w:eastAsia="Calibri" w:hAnsi="Palatino Linotype" w:cs="Tahoma"/>
          <w:bCs/>
          <w:sz w:val="22"/>
          <w:szCs w:val="22"/>
          <w:lang w:eastAsia="en-US"/>
        </w:rPr>
        <w:lastRenderedPageBreak/>
        <w:t>amenazar o causarles algún daño, con el fin de entorpecer o disminuir la seguridad pública y aumentar la comisión de actos ilícitos.</w:t>
      </w:r>
    </w:p>
    <w:p w14:paraId="1DD5D929" w14:textId="77777777" w:rsidR="001A2410" w:rsidRPr="003D5DCE" w:rsidRDefault="001A2410" w:rsidP="001A2410">
      <w:pPr>
        <w:spacing w:line="360" w:lineRule="auto"/>
        <w:jc w:val="both"/>
        <w:rPr>
          <w:rFonts w:ascii="Palatino Linotype" w:eastAsia="Calibri" w:hAnsi="Palatino Linotype" w:cs="Tahoma"/>
          <w:bCs/>
          <w:sz w:val="22"/>
          <w:szCs w:val="22"/>
          <w:lang w:eastAsia="en-US"/>
        </w:rPr>
      </w:pPr>
    </w:p>
    <w:p w14:paraId="2FF8AD12" w14:textId="77777777" w:rsidR="001A2410" w:rsidRPr="003D5DCE" w:rsidRDefault="001A2410" w:rsidP="001A2410">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Sobre el particular</w:t>
      </w:r>
      <w:r w:rsidRPr="003D5DCE">
        <w:rPr>
          <w:rFonts w:ascii="Palatino Linotype" w:eastAsia="Calibri" w:hAnsi="Palatino Linotype" w:cs="Tahoma"/>
          <w:iCs/>
          <w:sz w:val="22"/>
          <w:szCs w:val="22"/>
          <w:lang w:val="es-ES" w:eastAsia="es-ES_tradnl"/>
        </w:rPr>
        <w:t>,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721467B3" w14:textId="77777777" w:rsidR="001A2410" w:rsidRPr="003D5DCE" w:rsidRDefault="001A2410" w:rsidP="001A2410">
      <w:pPr>
        <w:tabs>
          <w:tab w:val="left" w:pos="4962"/>
        </w:tabs>
        <w:spacing w:line="360" w:lineRule="auto"/>
        <w:jc w:val="both"/>
        <w:rPr>
          <w:rFonts w:ascii="Palatino Linotype" w:eastAsia="Calibri" w:hAnsi="Palatino Linotype" w:cs="Tahoma"/>
          <w:iCs/>
          <w:sz w:val="22"/>
          <w:szCs w:val="22"/>
          <w:lang w:val="es-ES" w:eastAsia="es-ES_tradnl"/>
        </w:rPr>
      </w:pPr>
    </w:p>
    <w:p w14:paraId="13DB27E7" w14:textId="77777777" w:rsidR="001A2410" w:rsidRPr="003D5DCE" w:rsidRDefault="001A2410" w:rsidP="001A2410">
      <w:pPr>
        <w:numPr>
          <w:ilvl w:val="0"/>
          <w:numId w:val="33"/>
        </w:numPr>
        <w:tabs>
          <w:tab w:val="left" w:pos="4962"/>
        </w:tabs>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La divulgación de la información representa un riesgo real, demostrable e identificable de perjuicio significativo al interés público o a la seguridad nacional.</w:t>
      </w:r>
    </w:p>
    <w:p w14:paraId="599695B8" w14:textId="77777777" w:rsidR="001A2410" w:rsidRPr="003D5DCE" w:rsidRDefault="001A2410" w:rsidP="001A2410">
      <w:pPr>
        <w:tabs>
          <w:tab w:val="left" w:pos="4962"/>
        </w:tabs>
        <w:spacing w:line="360" w:lineRule="auto"/>
        <w:jc w:val="both"/>
        <w:rPr>
          <w:rFonts w:ascii="Palatino Linotype" w:eastAsia="Calibri" w:hAnsi="Palatino Linotype" w:cs="Tahoma"/>
          <w:iCs/>
          <w:sz w:val="22"/>
          <w:szCs w:val="22"/>
          <w:lang w:eastAsia="es-ES_tradnl"/>
        </w:rPr>
      </w:pPr>
    </w:p>
    <w:p w14:paraId="00FA94A8" w14:textId="77777777" w:rsidR="001A2410" w:rsidRPr="003D5DCE" w:rsidRDefault="001A2410" w:rsidP="001A2410">
      <w:pPr>
        <w:numPr>
          <w:ilvl w:val="0"/>
          <w:numId w:val="33"/>
        </w:numPr>
        <w:tabs>
          <w:tab w:val="left" w:pos="4962"/>
        </w:tabs>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El riesgo de perjuicio supera el interés público general de que se difunda.</w:t>
      </w:r>
    </w:p>
    <w:p w14:paraId="28259838" w14:textId="77777777" w:rsidR="001A2410" w:rsidRPr="003D5DCE" w:rsidRDefault="001A2410" w:rsidP="001A2410">
      <w:pPr>
        <w:tabs>
          <w:tab w:val="left" w:pos="4962"/>
        </w:tabs>
        <w:spacing w:line="360" w:lineRule="auto"/>
        <w:jc w:val="both"/>
        <w:rPr>
          <w:rFonts w:ascii="Palatino Linotype" w:eastAsia="Calibri" w:hAnsi="Palatino Linotype" w:cs="Tahoma"/>
          <w:iCs/>
          <w:sz w:val="22"/>
          <w:szCs w:val="22"/>
          <w:lang w:eastAsia="es-ES_tradnl"/>
        </w:rPr>
      </w:pPr>
    </w:p>
    <w:p w14:paraId="454D761C" w14:textId="77777777" w:rsidR="001A2410" w:rsidRPr="003D5DCE" w:rsidRDefault="001A2410" w:rsidP="001A2410">
      <w:pPr>
        <w:numPr>
          <w:ilvl w:val="0"/>
          <w:numId w:val="33"/>
        </w:numPr>
        <w:tabs>
          <w:tab w:val="left" w:pos="4962"/>
        </w:tabs>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Que la limitación se adecua al principio de proporcionalidad y representa el medio menos restrictivo disponible para evitar el perjuicio.</w:t>
      </w:r>
    </w:p>
    <w:p w14:paraId="47B8E660" w14:textId="77777777" w:rsidR="001A2410" w:rsidRDefault="001A2410" w:rsidP="001A2410">
      <w:pPr>
        <w:spacing w:line="360" w:lineRule="auto"/>
        <w:jc w:val="both"/>
        <w:rPr>
          <w:rFonts w:ascii="Palatino Linotype" w:eastAsia="Calibri" w:hAnsi="Palatino Linotype" w:cs="Tahoma"/>
          <w:iCs/>
          <w:sz w:val="22"/>
          <w:szCs w:val="22"/>
          <w:lang w:eastAsia="es-ES_tradnl"/>
        </w:rPr>
      </w:pPr>
    </w:p>
    <w:p w14:paraId="1B6ADD13" w14:textId="77777777" w:rsidR="001A2410" w:rsidRPr="003D5DCE" w:rsidRDefault="001A2410" w:rsidP="001A2410">
      <w:pPr>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Al respecto, este Instituto advierte lo siguiente:</w:t>
      </w:r>
    </w:p>
    <w:p w14:paraId="6DAFE077" w14:textId="77777777" w:rsidR="001A2410" w:rsidRPr="003D5DCE" w:rsidRDefault="001A2410" w:rsidP="001A2410">
      <w:pPr>
        <w:spacing w:line="360" w:lineRule="auto"/>
        <w:jc w:val="both"/>
        <w:rPr>
          <w:rFonts w:ascii="Palatino Linotype" w:eastAsia="Calibri" w:hAnsi="Palatino Linotype" w:cs="Tahoma"/>
          <w:iCs/>
          <w:sz w:val="22"/>
          <w:szCs w:val="22"/>
          <w:lang w:eastAsia="es-ES_tradnl"/>
        </w:rPr>
      </w:pPr>
    </w:p>
    <w:p w14:paraId="0F4328C6" w14:textId="77777777" w:rsidR="001A2410" w:rsidRDefault="001A2410" w:rsidP="001A2410">
      <w:pPr>
        <w:pStyle w:val="Prrafodelista"/>
        <w:numPr>
          <w:ilvl w:val="0"/>
          <w:numId w:val="34"/>
        </w:numPr>
        <w:spacing w:line="360" w:lineRule="auto"/>
        <w:contextualSpacing/>
        <w:jc w:val="both"/>
        <w:rPr>
          <w:rFonts w:ascii="Palatino Linotype" w:eastAsia="Calibri" w:hAnsi="Palatino Linotype" w:cs="Tahoma"/>
          <w:bCs/>
          <w:szCs w:val="22"/>
          <w:lang w:eastAsia="en-US"/>
        </w:rPr>
      </w:pPr>
      <w:r w:rsidRPr="00477EFC">
        <w:rPr>
          <w:rFonts w:ascii="Palatino Linotype" w:eastAsia="Calibri" w:hAnsi="Palatino Linotype" w:cs="Tahoma"/>
          <w:bCs/>
          <w:szCs w:val="22"/>
          <w:lang w:eastAsia="en-US"/>
        </w:rPr>
        <w:t xml:space="preserve">Que existe un </w:t>
      </w:r>
      <w:r w:rsidRPr="00477EFC">
        <w:rPr>
          <w:rFonts w:ascii="Palatino Linotype" w:eastAsia="Calibri" w:hAnsi="Palatino Linotype" w:cs="Tahoma"/>
          <w:b/>
          <w:bCs/>
          <w:szCs w:val="22"/>
          <w:lang w:eastAsia="en-US"/>
        </w:rPr>
        <w:t xml:space="preserve">riesgo real, demostrable e identificable, </w:t>
      </w:r>
      <w:r w:rsidRPr="00477EFC">
        <w:rPr>
          <w:rFonts w:ascii="Palatino Linotype" w:eastAsia="Calibri" w:hAnsi="Palatino Linotype" w:cs="Tahoma"/>
          <w:bCs/>
          <w:szCs w:val="22"/>
          <w:lang w:eastAsia="en-US"/>
        </w:rPr>
        <w:t xml:space="preserve">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w:t>
      </w:r>
      <w:r w:rsidRPr="00477EFC">
        <w:rPr>
          <w:rFonts w:ascii="Palatino Linotype" w:eastAsia="Calibri" w:hAnsi="Palatino Linotype" w:cs="Tahoma"/>
          <w:bCs/>
          <w:szCs w:val="22"/>
          <w:lang w:eastAsia="en-US"/>
        </w:rPr>
        <w:lastRenderedPageBreak/>
        <w:t>ilícitos en el Municipio. Además que comprometería el cumplimiento de los objetivos de la Comisaría de Seguridad Pública y Tránsito Municipal</w:t>
      </w:r>
      <w:r>
        <w:rPr>
          <w:rFonts w:ascii="Palatino Linotype" w:eastAsia="Calibri" w:hAnsi="Palatino Linotype" w:cs="Tahoma"/>
          <w:bCs/>
          <w:szCs w:val="22"/>
          <w:lang w:eastAsia="en-US"/>
        </w:rPr>
        <w:t>.</w:t>
      </w:r>
    </w:p>
    <w:p w14:paraId="1E7FEB01" w14:textId="77777777" w:rsidR="001A2410" w:rsidRPr="00477EFC" w:rsidRDefault="001A2410" w:rsidP="001A2410">
      <w:pPr>
        <w:pStyle w:val="Prrafodelista"/>
        <w:spacing w:line="360" w:lineRule="auto"/>
        <w:jc w:val="both"/>
        <w:rPr>
          <w:rFonts w:ascii="Palatino Linotype" w:eastAsia="Calibri" w:hAnsi="Palatino Linotype" w:cs="Tahoma"/>
          <w:bCs/>
          <w:szCs w:val="22"/>
          <w:lang w:eastAsia="en-US"/>
        </w:rPr>
      </w:pPr>
    </w:p>
    <w:p w14:paraId="2C674C3F" w14:textId="77777777" w:rsidR="001A2410" w:rsidRPr="003D5DCE" w:rsidRDefault="001A2410" w:rsidP="001A2410">
      <w:pPr>
        <w:pStyle w:val="Prrafodelista"/>
        <w:numPr>
          <w:ilvl w:val="0"/>
          <w:numId w:val="34"/>
        </w:numPr>
        <w:spacing w:line="360" w:lineRule="auto"/>
        <w:contextualSpacing/>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Que el riesgo de perjuicio que supone la divulgación de la información supera el interés público general</w:t>
      </w:r>
      <w:r w:rsidRPr="003D5DCE">
        <w:rPr>
          <w:rFonts w:ascii="Palatino Linotype" w:eastAsia="Calibri" w:hAnsi="Palatino Linotype" w:cs="Tahoma"/>
          <w:bCs/>
          <w:szCs w:val="22"/>
          <w:lang w:eastAsia="en-US"/>
        </w:rPr>
        <w:t xml:space="preserve">, ya que individuos con pretensiones delictivas pudieran promover algún </w:t>
      </w:r>
      <w:r>
        <w:rPr>
          <w:rFonts w:ascii="Palatino Linotype" w:eastAsia="Calibri" w:hAnsi="Palatino Linotype" w:cs="Tahoma"/>
          <w:bCs/>
          <w:szCs w:val="22"/>
          <w:lang w:eastAsia="en-US"/>
        </w:rPr>
        <w:t xml:space="preserve">vínculo o relación directa con los elementos operativos, que incluye a la </w:t>
      </w:r>
      <w:r w:rsidRPr="003D5DCE">
        <w:rPr>
          <w:rFonts w:ascii="Palatino Linotype" w:eastAsia="Calibri" w:hAnsi="Palatino Linotype" w:cs="Tahoma"/>
          <w:bCs/>
          <w:szCs w:val="22"/>
          <w:lang w:eastAsia="en-US"/>
        </w:rPr>
        <w:t xml:space="preserve">policía municipal o bien, someterla a extorsión o amenazas con el fin de obtener información sensible sobre el modus operandi de dicha área, lo cual se traduciría en un detrimento al combate a la delincuencia y un perjuicio a la seguridad pública, </w:t>
      </w:r>
      <w:r w:rsidRPr="003D5DCE">
        <w:rPr>
          <w:rFonts w:ascii="Palatino Linotype" w:eastAsia="Calibri" w:hAnsi="Palatino Linotype" w:cs="Tahoma"/>
          <w:b/>
          <w:bCs/>
          <w:szCs w:val="22"/>
          <w:lang w:eastAsia="en-US"/>
        </w:rPr>
        <w:t>vulnerando así, el interés general.</w:t>
      </w:r>
    </w:p>
    <w:p w14:paraId="11E4E049" w14:textId="77777777" w:rsidR="001A2410" w:rsidRPr="003D5DCE" w:rsidRDefault="001A2410" w:rsidP="001A2410">
      <w:pPr>
        <w:pStyle w:val="Prrafodelista"/>
        <w:spacing w:line="360" w:lineRule="auto"/>
        <w:jc w:val="both"/>
        <w:rPr>
          <w:rFonts w:ascii="Palatino Linotype" w:eastAsia="Calibri" w:hAnsi="Palatino Linotype" w:cs="Tahoma"/>
          <w:bCs/>
          <w:szCs w:val="22"/>
          <w:lang w:eastAsia="en-US"/>
        </w:rPr>
      </w:pPr>
    </w:p>
    <w:p w14:paraId="147D0A5E" w14:textId="77777777" w:rsidR="001A2410" w:rsidRPr="003D5DCE" w:rsidRDefault="001A2410" w:rsidP="001A2410">
      <w:pPr>
        <w:pStyle w:val="Prrafodelista"/>
        <w:numPr>
          <w:ilvl w:val="0"/>
          <w:numId w:val="34"/>
        </w:numPr>
        <w:spacing w:line="360" w:lineRule="auto"/>
        <w:contextualSpacing/>
        <w:jc w:val="both"/>
        <w:rPr>
          <w:rFonts w:ascii="Palatino Linotype" w:eastAsia="Calibri" w:hAnsi="Palatino Linotype" w:cs="Tahoma"/>
          <w:bCs/>
          <w:szCs w:val="22"/>
          <w:lang w:eastAsia="en-US"/>
        </w:rPr>
      </w:pPr>
      <w:r w:rsidRPr="003D5DCE">
        <w:rPr>
          <w:rFonts w:ascii="Palatino Linotype" w:eastAsia="Calibri" w:hAnsi="Palatino Linotype" w:cs="Tahoma"/>
          <w:b/>
          <w:bCs/>
          <w:szCs w:val="22"/>
          <w:lang w:eastAsia="en-US"/>
        </w:rPr>
        <w:t>Que la reserva no se tradu</w:t>
      </w:r>
      <w:r>
        <w:rPr>
          <w:rFonts w:ascii="Palatino Linotype" w:eastAsia="Calibri" w:hAnsi="Palatino Linotype" w:cs="Tahoma"/>
          <w:b/>
          <w:bCs/>
          <w:szCs w:val="22"/>
          <w:lang w:eastAsia="en-US"/>
        </w:rPr>
        <w:t>z</w:t>
      </w:r>
      <w:r w:rsidRPr="003D5DCE">
        <w:rPr>
          <w:rFonts w:ascii="Palatino Linotype" w:eastAsia="Calibri" w:hAnsi="Palatino Linotype" w:cs="Tahoma"/>
          <w:b/>
          <w:bCs/>
          <w:szCs w:val="22"/>
          <w:lang w:eastAsia="en-US"/>
        </w:rPr>
        <w:t xml:space="preserve">ca en un medio restrictivo al derecho de acceso a la información, </w:t>
      </w:r>
      <w:r w:rsidRPr="003D5DCE">
        <w:rPr>
          <w:rFonts w:ascii="Palatino Linotype" w:eastAsia="Calibri" w:hAnsi="Palatino Linotype" w:cs="Tahoma"/>
          <w:bCs/>
          <w:szCs w:val="22"/>
          <w:lang w:eastAsia="en-US"/>
        </w:rPr>
        <w:t xml:space="preserve">en virtud de que la misma prevalece al proteger alguno de los derechos más importantes, como lo son la vida, la salud y la seguridad de </w:t>
      </w:r>
      <w:r w:rsidRPr="003D5DCE">
        <w:rPr>
          <w:rFonts w:ascii="Palatino Linotype" w:eastAsia="Calibri" w:hAnsi="Palatino Linotype" w:cs="Tahoma"/>
          <w:b/>
          <w:bCs/>
          <w:szCs w:val="22"/>
          <w:lang w:eastAsia="en-US"/>
        </w:rPr>
        <w:t>los servidores públicos</w:t>
      </w:r>
      <w:r>
        <w:rPr>
          <w:rFonts w:ascii="Palatino Linotype" w:eastAsia="Calibri" w:hAnsi="Palatino Linotype" w:cs="Tahoma"/>
          <w:b/>
          <w:bCs/>
          <w:szCs w:val="22"/>
          <w:lang w:eastAsia="en-US"/>
        </w:rPr>
        <w:t>,</w:t>
      </w:r>
      <w:r w:rsidRPr="003D5DCE">
        <w:rPr>
          <w:rFonts w:ascii="Palatino Linotype" w:eastAsia="Calibri" w:hAnsi="Palatino Linotype" w:cs="Tahoma"/>
          <w:bCs/>
          <w:szCs w:val="22"/>
          <w:lang w:eastAsia="en-US"/>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14:paraId="1C037452" w14:textId="77777777" w:rsidR="001A2410" w:rsidRDefault="001A2410" w:rsidP="001A2410">
      <w:pPr>
        <w:spacing w:line="360" w:lineRule="auto"/>
        <w:jc w:val="both"/>
        <w:rPr>
          <w:rFonts w:ascii="Palatino Linotype" w:eastAsia="Calibri" w:hAnsi="Palatino Linotype" w:cs="Tahoma"/>
          <w:bCs/>
          <w:sz w:val="22"/>
          <w:szCs w:val="22"/>
          <w:lang w:eastAsia="en-US"/>
        </w:rPr>
      </w:pPr>
    </w:p>
    <w:p w14:paraId="4B921BCB" w14:textId="77777777" w:rsidR="001A2410" w:rsidRDefault="001A2410" w:rsidP="001A2410">
      <w:pPr>
        <w:spacing w:line="360" w:lineRule="auto"/>
        <w:jc w:val="both"/>
        <w:rPr>
          <w:rFonts w:ascii="Palatino Linotype" w:eastAsia="Calibri" w:hAnsi="Palatino Linotype" w:cs="Tahoma"/>
          <w:b/>
          <w:iCs/>
          <w:sz w:val="22"/>
          <w:szCs w:val="22"/>
          <w:lang w:val="es-ES" w:eastAsia="es-ES_tradnl"/>
        </w:rPr>
      </w:pPr>
      <w:r w:rsidRPr="003D5DCE">
        <w:rPr>
          <w:rFonts w:ascii="Palatino Linotype" w:eastAsia="Calibri" w:hAnsi="Palatino Linotype" w:cs="Tahoma"/>
          <w:bCs/>
          <w:sz w:val="22"/>
          <w:szCs w:val="22"/>
          <w:lang w:eastAsia="en-US"/>
        </w:rPr>
        <w:t xml:space="preserve">Por tales consideraciones, </w:t>
      </w:r>
      <w:r w:rsidRPr="003D5DCE">
        <w:rPr>
          <w:rFonts w:ascii="Palatino Linotype" w:eastAsia="Calibri" w:hAnsi="Palatino Linotype" w:cs="Tahoma"/>
          <w:b/>
          <w:bCs/>
          <w:sz w:val="22"/>
          <w:szCs w:val="22"/>
          <w:lang w:eastAsia="en-US"/>
        </w:rPr>
        <w:t xml:space="preserve">resulta procedente la reserva </w:t>
      </w:r>
      <w:r>
        <w:rPr>
          <w:rFonts w:ascii="Palatino Linotype" w:eastAsia="Calibri" w:hAnsi="Palatino Linotype" w:cs="Tahoma"/>
          <w:b/>
          <w:bCs/>
          <w:sz w:val="22"/>
          <w:szCs w:val="22"/>
          <w:lang w:eastAsia="en-US"/>
        </w:rPr>
        <w:t>del nombre de los elementos operativos de la Dirección</w:t>
      </w:r>
      <w:r w:rsidRPr="00733FE8">
        <w:rPr>
          <w:rFonts w:ascii="Palatino Linotype" w:eastAsia="Calibri" w:hAnsi="Palatino Linotype" w:cs="Tahoma"/>
          <w:b/>
          <w:bCs/>
          <w:sz w:val="22"/>
          <w:szCs w:val="22"/>
          <w:lang w:eastAsia="en-US"/>
        </w:rPr>
        <w:t xml:space="preserve"> de Seguridad Pública Municipal</w:t>
      </w:r>
      <w:r>
        <w:rPr>
          <w:rFonts w:ascii="Palatino Linotype" w:eastAsia="Calibri" w:hAnsi="Palatino Linotype" w:cs="Tahoma"/>
          <w:b/>
          <w:bCs/>
          <w:sz w:val="22"/>
          <w:szCs w:val="22"/>
          <w:lang w:eastAsia="en-US"/>
        </w:rPr>
        <w:t xml:space="preserve"> que se encuentren activos</w:t>
      </w:r>
      <w:r w:rsidRPr="003D5DCE">
        <w:rPr>
          <w:rFonts w:ascii="Palatino Linotype" w:eastAsia="Calibri" w:hAnsi="Palatino Linotype" w:cs="Tahoma"/>
          <w:b/>
          <w:bCs/>
          <w:sz w:val="22"/>
          <w:szCs w:val="22"/>
          <w:lang w:eastAsia="en-US"/>
        </w:rPr>
        <w:t xml:space="preserve">, en términos del artículo 140, fracción IV, de </w:t>
      </w:r>
      <w:r w:rsidRPr="003D5DCE">
        <w:rPr>
          <w:rFonts w:ascii="Palatino Linotype" w:eastAsia="Calibri" w:hAnsi="Palatino Linotype" w:cs="Tahoma"/>
          <w:b/>
          <w:iCs/>
          <w:sz w:val="22"/>
          <w:szCs w:val="22"/>
          <w:lang w:val="es-ES" w:eastAsia="es-ES_tradnl"/>
        </w:rPr>
        <w:t>de la Ley de Transparencia y Acceso a la Información Pública del Estado de México y Municipios.</w:t>
      </w:r>
    </w:p>
    <w:p w14:paraId="3F4128D1" w14:textId="77777777" w:rsidR="001A2410" w:rsidRPr="003D5DCE" w:rsidRDefault="001A2410" w:rsidP="001A2410">
      <w:pPr>
        <w:spacing w:line="360" w:lineRule="auto"/>
        <w:jc w:val="both"/>
        <w:rPr>
          <w:rFonts w:ascii="Palatino Linotype" w:eastAsia="Calibri" w:hAnsi="Palatino Linotype" w:cs="Tahoma"/>
          <w:b/>
          <w:iCs/>
          <w:sz w:val="22"/>
          <w:szCs w:val="22"/>
          <w:lang w:val="es-ES" w:eastAsia="es-ES_tradnl"/>
        </w:rPr>
      </w:pPr>
    </w:p>
    <w:p w14:paraId="41C7AD3F" w14:textId="77777777" w:rsidR="001A2410" w:rsidRPr="0035618F" w:rsidRDefault="001A2410" w:rsidP="001A2410">
      <w:pPr>
        <w:autoSpaceDE w:val="0"/>
        <w:autoSpaceDN w:val="0"/>
        <w:spacing w:line="360" w:lineRule="auto"/>
        <w:jc w:val="both"/>
        <w:rPr>
          <w:rFonts w:ascii="Palatino Linotype" w:hAnsi="Palatino Linotype" w:cs="Tahoma"/>
          <w:bCs/>
          <w:sz w:val="22"/>
          <w:szCs w:val="22"/>
        </w:rPr>
      </w:pPr>
      <w:r w:rsidRPr="0035618F">
        <w:rPr>
          <w:rFonts w:ascii="Palatino Linotype" w:eastAsia="Calibri" w:hAnsi="Palatino Linotype" w:cs="Tahoma"/>
          <w:iCs/>
          <w:sz w:val="22"/>
          <w:szCs w:val="22"/>
          <w:lang w:val="es-ES" w:eastAsia="es-ES_tradnl"/>
        </w:rPr>
        <w:lastRenderedPageBreak/>
        <w:t>Finalmente,</w:t>
      </w:r>
      <w:r w:rsidRPr="0035618F">
        <w:rPr>
          <w:rFonts w:ascii="Palatino Linotype" w:eastAsia="Calibri" w:hAnsi="Palatino Linotype" w:cs="Tahoma"/>
          <w:b/>
          <w:iCs/>
          <w:sz w:val="22"/>
          <w:szCs w:val="22"/>
          <w:lang w:val="es-ES" w:eastAsia="es-ES_tradnl"/>
        </w:rPr>
        <w:t xml:space="preserve"> </w:t>
      </w:r>
      <w:r w:rsidRPr="0035618F">
        <w:rPr>
          <w:rFonts w:ascii="Palatino Linotype" w:eastAsia="Calibri" w:hAnsi="Palatino Linotype" w:cs="Tahoma"/>
          <w:bCs/>
          <w:sz w:val="22"/>
          <w:szCs w:val="22"/>
          <w:lang w:eastAsia="en-US"/>
        </w:rPr>
        <w:t xml:space="preserve">respecto al plazo de reserva, el artículo 125 de la Ley de la materia, establece </w:t>
      </w:r>
      <w:r w:rsidRPr="0035618F">
        <w:rPr>
          <w:rFonts w:ascii="Palatino Linotype" w:hAnsi="Palatino Linotype" w:cs="Tahoma"/>
          <w:bCs/>
          <w:sz w:val="22"/>
          <w:szCs w:val="22"/>
        </w:rPr>
        <w:t>que la información clasificada como reservada según el artículo 140 de la Ley de Transparencia y Acceso a la Información Pública</w:t>
      </w:r>
      <w:r>
        <w:rPr>
          <w:rFonts w:ascii="Palatino Linotype" w:hAnsi="Palatino Linotype" w:cs="Tahoma"/>
          <w:bCs/>
          <w:sz w:val="22"/>
          <w:szCs w:val="22"/>
        </w:rPr>
        <w:t xml:space="preserve"> del Estado de México y Municipios</w:t>
      </w:r>
      <w:r w:rsidRPr="0035618F">
        <w:rPr>
          <w:rFonts w:ascii="Palatino Linotype" w:hAnsi="Palatino Linotype" w:cs="Tahoma"/>
          <w:bCs/>
          <w:sz w:val="22"/>
          <w:szCs w:val="22"/>
        </w:rPr>
        <w:t>,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r>
        <w:rPr>
          <w:rFonts w:ascii="Palatino Linotype" w:hAnsi="Palatino Linotype" w:cs="Tahoma"/>
          <w:bCs/>
          <w:sz w:val="22"/>
          <w:szCs w:val="22"/>
        </w:rPr>
        <w:t xml:space="preserve">; por lo que, en las </w:t>
      </w:r>
      <w:r>
        <w:rPr>
          <w:rFonts w:ascii="Palatino Linotype" w:hAnsi="Palatino Linotype" w:cs="Tahoma"/>
          <w:sz w:val="22"/>
          <w:szCs w:val="22"/>
        </w:rPr>
        <w:t>versiones públicas, deberá clasificar el nombre de los elementos operativos en materia de seguridad, y proporcionar, su respectivo acuerdo de Clasificación.</w:t>
      </w:r>
    </w:p>
    <w:p w14:paraId="244E2321" w14:textId="77777777" w:rsidR="001A2410" w:rsidRDefault="001A2410" w:rsidP="001A2410">
      <w:pPr>
        <w:spacing w:line="360" w:lineRule="auto"/>
        <w:jc w:val="both"/>
        <w:rPr>
          <w:rFonts w:ascii="Palatino Linotype" w:eastAsia="Calibri" w:hAnsi="Palatino Linotype" w:cs="Tahoma"/>
          <w:iCs/>
          <w:sz w:val="22"/>
          <w:szCs w:val="22"/>
          <w:lang w:eastAsia="es-ES_tradnl"/>
        </w:rPr>
      </w:pPr>
    </w:p>
    <w:p w14:paraId="64A66946" w14:textId="77777777" w:rsidR="001A2410" w:rsidRPr="009100C0" w:rsidRDefault="001A2410" w:rsidP="001A2410">
      <w:pPr>
        <w:spacing w:line="360" w:lineRule="auto"/>
        <w:jc w:val="both"/>
        <w:rPr>
          <w:rFonts w:ascii="Palatino Linotype" w:eastAsia="Calibri" w:hAnsi="Palatino Linotype" w:cs="Tahoma"/>
          <w:b/>
          <w:sz w:val="22"/>
          <w:szCs w:val="22"/>
          <w:lang w:eastAsia="es-ES_tradnl"/>
        </w:rPr>
      </w:pPr>
      <w:r w:rsidRPr="009100C0">
        <w:rPr>
          <w:rFonts w:ascii="Palatino Linotype" w:eastAsia="Calibri" w:hAnsi="Palatino Linotype" w:cs="Tahoma"/>
          <w:b/>
          <w:sz w:val="22"/>
          <w:szCs w:val="22"/>
          <w:lang w:eastAsia="es-ES_tradnl"/>
        </w:rPr>
        <w:t>Versión Pública</w:t>
      </w:r>
    </w:p>
    <w:p w14:paraId="5F219CC9" w14:textId="77777777" w:rsidR="001A2410" w:rsidRPr="009100C0" w:rsidRDefault="001A2410" w:rsidP="001A2410">
      <w:pPr>
        <w:spacing w:line="360" w:lineRule="auto"/>
        <w:jc w:val="both"/>
        <w:rPr>
          <w:rFonts w:ascii="Palatino Linotype" w:hAnsi="Palatino Linotype"/>
          <w:b/>
          <w:caps/>
          <w:noProof/>
          <w:szCs w:val="22"/>
          <w:lang w:eastAsia="es-MX"/>
        </w:rPr>
      </w:pPr>
    </w:p>
    <w:p w14:paraId="2788BC9D" w14:textId="677408B4" w:rsidR="001A2410" w:rsidRPr="009100C0" w:rsidRDefault="001A2410" w:rsidP="001A2410">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 xml:space="preserve">Para determinar la publicidad o clasificación de datos personales, resulta conveniente traer a colación el artículo 6°, Apartado A), fracción II, de la Constitución Política de los Estados Unidos Mexicanos, prevé que la información que se refiere a la vida privada y los datos </w:t>
      </w:r>
      <w:r w:rsidR="0033098C" w:rsidRPr="009100C0">
        <w:rPr>
          <w:rFonts w:ascii="Palatino Linotype" w:hAnsi="Palatino Linotype" w:cs="Tahoma"/>
          <w:bCs/>
          <w:iCs/>
          <w:sz w:val="22"/>
          <w:szCs w:val="22"/>
        </w:rPr>
        <w:t>personales</w:t>
      </w:r>
      <w:r w:rsidRPr="009100C0">
        <w:rPr>
          <w:rFonts w:ascii="Palatino Linotype" w:hAnsi="Palatino Linotype" w:cs="Tahoma"/>
          <w:bCs/>
          <w:iCs/>
          <w:sz w:val="22"/>
          <w:szCs w:val="22"/>
        </w:rPr>
        <w:t xml:space="preserve">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3B89499" w14:textId="77777777" w:rsidR="001A2410" w:rsidRPr="009100C0" w:rsidRDefault="001A2410" w:rsidP="001A2410">
      <w:pPr>
        <w:spacing w:line="360" w:lineRule="auto"/>
        <w:ind w:right="-93"/>
        <w:jc w:val="both"/>
        <w:rPr>
          <w:rFonts w:ascii="Palatino Linotype" w:hAnsi="Palatino Linotype" w:cs="Tahoma"/>
          <w:bCs/>
          <w:iCs/>
          <w:sz w:val="22"/>
          <w:szCs w:val="22"/>
        </w:rPr>
      </w:pPr>
    </w:p>
    <w:p w14:paraId="1B2988F3" w14:textId="77777777" w:rsidR="001A2410" w:rsidRPr="009100C0" w:rsidRDefault="001A2410" w:rsidP="001A2410">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2377A42D" w14:textId="77777777" w:rsidR="001A2410" w:rsidRDefault="001A2410" w:rsidP="001A2410">
      <w:pPr>
        <w:spacing w:line="360" w:lineRule="auto"/>
        <w:ind w:right="-93"/>
        <w:jc w:val="both"/>
        <w:rPr>
          <w:rFonts w:ascii="Palatino Linotype" w:hAnsi="Palatino Linotype" w:cs="Tahoma"/>
          <w:bCs/>
          <w:iCs/>
          <w:sz w:val="22"/>
          <w:szCs w:val="22"/>
        </w:rPr>
      </w:pPr>
    </w:p>
    <w:p w14:paraId="3FE21A47" w14:textId="77777777" w:rsidR="001A2410" w:rsidRPr="009100C0" w:rsidRDefault="001A2410" w:rsidP="001A2410">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016FE04" w14:textId="77777777" w:rsidR="001A2410" w:rsidRPr="009100C0" w:rsidRDefault="001A2410" w:rsidP="001A2410">
      <w:pPr>
        <w:spacing w:line="360" w:lineRule="auto"/>
        <w:ind w:right="-93"/>
        <w:jc w:val="both"/>
        <w:rPr>
          <w:rFonts w:ascii="Palatino Linotype" w:hAnsi="Palatino Linotype" w:cs="Tahoma"/>
          <w:bCs/>
          <w:iCs/>
          <w:sz w:val="22"/>
          <w:szCs w:val="22"/>
        </w:rPr>
      </w:pPr>
    </w:p>
    <w:p w14:paraId="6D1BD2B1" w14:textId="77777777" w:rsidR="001A2410" w:rsidRPr="009100C0" w:rsidRDefault="001A2410" w:rsidP="001A2410">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F6EB813" w14:textId="77777777" w:rsidR="001A2410" w:rsidRPr="009100C0" w:rsidRDefault="001A2410" w:rsidP="001A2410">
      <w:pPr>
        <w:spacing w:line="360" w:lineRule="auto"/>
        <w:ind w:right="-93"/>
        <w:jc w:val="both"/>
        <w:rPr>
          <w:rFonts w:ascii="Palatino Linotype" w:hAnsi="Palatino Linotype" w:cs="Tahoma"/>
          <w:bCs/>
          <w:iCs/>
          <w:sz w:val="22"/>
          <w:szCs w:val="22"/>
        </w:rPr>
      </w:pPr>
    </w:p>
    <w:p w14:paraId="3598A0C5" w14:textId="77777777" w:rsidR="001A2410" w:rsidRPr="009100C0" w:rsidRDefault="001A2410" w:rsidP="001A2410">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3B5C86AD" w14:textId="77777777" w:rsidR="001A2410" w:rsidRPr="009100C0" w:rsidRDefault="001A2410" w:rsidP="001A2410">
      <w:pPr>
        <w:spacing w:line="360" w:lineRule="auto"/>
        <w:ind w:right="-93"/>
        <w:jc w:val="both"/>
        <w:rPr>
          <w:rFonts w:ascii="Palatino Linotype" w:hAnsi="Palatino Linotype" w:cs="Tahoma"/>
          <w:bCs/>
          <w:iCs/>
          <w:sz w:val="22"/>
          <w:szCs w:val="22"/>
        </w:rPr>
      </w:pPr>
    </w:p>
    <w:p w14:paraId="67A75DE8" w14:textId="77777777" w:rsidR="001A2410" w:rsidRPr="009100C0" w:rsidRDefault="001A2410" w:rsidP="001A2410">
      <w:pPr>
        <w:spacing w:line="360" w:lineRule="auto"/>
        <w:ind w:right="-93"/>
        <w:jc w:val="both"/>
        <w:rPr>
          <w:rFonts w:ascii="Palatino Linotype" w:hAnsi="Palatino Linotype" w:cs="Tahoma"/>
          <w:bCs/>
          <w:iCs/>
          <w:sz w:val="22"/>
          <w:szCs w:val="22"/>
          <w:lang w:val="es-ES"/>
        </w:rPr>
      </w:pPr>
      <w:r w:rsidRPr="009100C0">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9100C0">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ACA7CED" w14:textId="77777777" w:rsidR="001A2410" w:rsidRPr="009100C0" w:rsidRDefault="001A2410" w:rsidP="001A2410">
      <w:pPr>
        <w:spacing w:line="360" w:lineRule="auto"/>
        <w:ind w:right="-93"/>
        <w:jc w:val="both"/>
        <w:rPr>
          <w:rFonts w:ascii="Palatino Linotype" w:hAnsi="Palatino Linotype" w:cs="Tahoma"/>
          <w:bCs/>
          <w:iCs/>
          <w:sz w:val="22"/>
          <w:szCs w:val="22"/>
        </w:rPr>
      </w:pPr>
    </w:p>
    <w:p w14:paraId="65275C4C" w14:textId="77777777" w:rsidR="001A2410" w:rsidRPr="009100C0" w:rsidRDefault="001A2410" w:rsidP="001A2410">
      <w:pPr>
        <w:spacing w:line="360" w:lineRule="auto"/>
        <w:ind w:right="-93"/>
        <w:jc w:val="both"/>
        <w:rPr>
          <w:rFonts w:ascii="Palatino Linotype" w:hAnsi="Palatino Linotype" w:cs="Tahoma"/>
          <w:bCs/>
          <w:iCs/>
          <w:sz w:val="22"/>
          <w:szCs w:val="22"/>
          <w:lang w:val="es-ES"/>
        </w:rPr>
      </w:pPr>
      <w:r w:rsidRPr="009100C0">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320CC566" w14:textId="77777777" w:rsidR="001A2410" w:rsidRPr="009100C0" w:rsidRDefault="001A2410" w:rsidP="001A2410">
      <w:pPr>
        <w:spacing w:line="360" w:lineRule="auto"/>
        <w:ind w:right="-93"/>
        <w:jc w:val="both"/>
        <w:rPr>
          <w:rFonts w:ascii="Palatino Linotype" w:hAnsi="Palatino Linotype" w:cs="Tahoma"/>
          <w:bCs/>
          <w:iCs/>
          <w:sz w:val="22"/>
          <w:szCs w:val="22"/>
          <w:lang w:val="es-ES"/>
        </w:rPr>
      </w:pPr>
    </w:p>
    <w:p w14:paraId="2EFDA236" w14:textId="77777777" w:rsidR="001A2410" w:rsidRPr="009100C0" w:rsidRDefault="001A2410" w:rsidP="001A2410">
      <w:pPr>
        <w:numPr>
          <w:ilvl w:val="0"/>
          <w:numId w:val="35"/>
        </w:numPr>
        <w:spacing w:line="360" w:lineRule="auto"/>
        <w:ind w:right="-93"/>
        <w:jc w:val="both"/>
        <w:rPr>
          <w:rFonts w:ascii="Palatino Linotype" w:hAnsi="Palatino Linotype" w:cs="Tahoma"/>
          <w:bCs/>
          <w:iCs/>
          <w:sz w:val="22"/>
          <w:szCs w:val="22"/>
          <w:lang w:val="es-ES"/>
        </w:rPr>
      </w:pPr>
      <w:r w:rsidRPr="009100C0">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5344C862" w14:textId="77777777" w:rsidR="001A2410" w:rsidRPr="009100C0" w:rsidRDefault="001A2410" w:rsidP="001A2410">
      <w:pPr>
        <w:spacing w:line="360" w:lineRule="auto"/>
        <w:ind w:right="-93"/>
        <w:jc w:val="both"/>
        <w:rPr>
          <w:rFonts w:ascii="Palatino Linotype" w:hAnsi="Palatino Linotype" w:cs="Tahoma"/>
          <w:bCs/>
          <w:iCs/>
          <w:sz w:val="22"/>
          <w:szCs w:val="22"/>
          <w:lang w:val="es-ES"/>
        </w:rPr>
      </w:pPr>
    </w:p>
    <w:p w14:paraId="10C83E7B" w14:textId="77777777" w:rsidR="001A2410" w:rsidRPr="009100C0" w:rsidRDefault="001A2410" w:rsidP="001A2410">
      <w:pPr>
        <w:numPr>
          <w:ilvl w:val="0"/>
          <w:numId w:val="35"/>
        </w:numPr>
        <w:spacing w:line="360" w:lineRule="auto"/>
        <w:ind w:right="-93"/>
        <w:jc w:val="both"/>
        <w:rPr>
          <w:rFonts w:ascii="Palatino Linotype" w:hAnsi="Palatino Linotype" w:cs="Tahoma"/>
          <w:bCs/>
          <w:iCs/>
          <w:sz w:val="22"/>
          <w:szCs w:val="22"/>
          <w:lang w:val="es-ES"/>
        </w:rPr>
      </w:pPr>
      <w:r w:rsidRPr="009100C0">
        <w:rPr>
          <w:rFonts w:ascii="Palatino Linotype" w:hAnsi="Palatino Linotype" w:cs="Tahoma"/>
          <w:bCs/>
          <w:iCs/>
          <w:sz w:val="22"/>
          <w:szCs w:val="22"/>
          <w:lang w:val="es-ES"/>
        </w:rPr>
        <w:t xml:space="preserve">Para la difusión de los datos, se requiera el consentimiento del titular. </w:t>
      </w:r>
    </w:p>
    <w:p w14:paraId="6D11B738" w14:textId="77777777" w:rsidR="001A2410" w:rsidRPr="009100C0" w:rsidRDefault="001A2410" w:rsidP="001A2410">
      <w:pPr>
        <w:spacing w:line="360" w:lineRule="auto"/>
        <w:ind w:right="-93"/>
        <w:jc w:val="both"/>
        <w:rPr>
          <w:rFonts w:ascii="Palatino Linotype" w:hAnsi="Palatino Linotype" w:cs="Tahoma"/>
          <w:bCs/>
          <w:iCs/>
          <w:sz w:val="22"/>
          <w:szCs w:val="22"/>
        </w:rPr>
      </w:pPr>
    </w:p>
    <w:p w14:paraId="5BAEC492" w14:textId="77777777" w:rsidR="001A2410" w:rsidRPr="009100C0" w:rsidRDefault="001A2410" w:rsidP="001A2410">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AB7FE2A" w14:textId="77777777" w:rsidR="001A2410" w:rsidRPr="009100C0" w:rsidRDefault="001A2410" w:rsidP="001A2410">
      <w:pPr>
        <w:spacing w:line="360" w:lineRule="auto"/>
        <w:ind w:right="-93"/>
        <w:jc w:val="both"/>
        <w:rPr>
          <w:rFonts w:ascii="Palatino Linotype" w:hAnsi="Palatino Linotype" w:cs="Tahoma"/>
          <w:bCs/>
          <w:iCs/>
          <w:sz w:val="22"/>
          <w:szCs w:val="22"/>
        </w:rPr>
      </w:pPr>
    </w:p>
    <w:p w14:paraId="5F9E6507" w14:textId="77777777" w:rsidR="001A2410" w:rsidRPr="009100C0" w:rsidRDefault="001A2410" w:rsidP="001A2410">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Además, en el artículo 5° de dicho ordenamiento jurídico, establece que es la Ley aplicable para todo tratamiento de datos personales.</w:t>
      </w:r>
    </w:p>
    <w:p w14:paraId="5A969A3A" w14:textId="77777777" w:rsidR="001A2410" w:rsidRPr="009100C0" w:rsidRDefault="001A2410" w:rsidP="001A2410">
      <w:pPr>
        <w:spacing w:line="360" w:lineRule="auto"/>
        <w:ind w:right="-93"/>
        <w:jc w:val="both"/>
        <w:rPr>
          <w:rFonts w:ascii="Palatino Linotype" w:hAnsi="Palatino Linotype" w:cs="Tahoma"/>
          <w:bCs/>
          <w:iCs/>
          <w:sz w:val="22"/>
          <w:szCs w:val="22"/>
        </w:rPr>
      </w:pPr>
    </w:p>
    <w:p w14:paraId="5EA7975C" w14:textId="77777777" w:rsidR="001A2410" w:rsidRPr="009100C0" w:rsidRDefault="001A2410" w:rsidP="001A2410">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w:t>
      </w:r>
      <w:r w:rsidRPr="009100C0">
        <w:rPr>
          <w:rFonts w:ascii="Palatino Linotype" w:hAnsi="Palatino Linotype" w:cs="Tahoma"/>
          <w:bCs/>
          <w:iCs/>
          <w:sz w:val="22"/>
          <w:szCs w:val="22"/>
        </w:rPr>
        <w:lastRenderedPageBreak/>
        <w:t>el consentimiento de su titular, además de que debe estar justificado en ley (principio de finalidad).</w:t>
      </w:r>
    </w:p>
    <w:p w14:paraId="5E667AAA" w14:textId="77777777" w:rsidR="001A2410" w:rsidRPr="009100C0" w:rsidRDefault="001A2410" w:rsidP="001A2410">
      <w:pPr>
        <w:spacing w:line="360" w:lineRule="auto"/>
        <w:ind w:right="-93"/>
        <w:jc w:val="both"/>
        <w:rPr>
          <w:rFonts w:ascii="Palatino Linotype" w:hAnsi="Palatino Linotype" w:cs="Tahoma"/>
          <w:bCs/>
          <w:iCs/>
          <w:sz w:val="22"/>
          <w:szCs w:val="22"/>
        </w:rPr>
      </w:pPr>
    </w:p>
    <w:p w14:paraId="1C7CA839" w14:textId="0070772B" w:rsidR="001A2410" w:rsidRDefault="001A2410" w:rsidP="001A2410">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 xml:space="preserve">Por tales situaciones, un dato personal es cualquier información que pueda hacer a una persona física identificada e identificable, </w:t>
      </w:r>
      <w:r w:rsidRPr="009100C0">
        <w:rPr>
          <w:rFonts w:ascii="Palatino Linotype" w:hAnsi="Palatino Linotype" w:cs="Tahoma"/>
          <w:b/>
          <w:bCs/>
          <w:iCs/>
          <w:sz w:val="22"/>
          <w:szCs w:val="22"/>
        </w:rPr>
        <w:t>como su nombre</w:t>
      </w:r>
      <w:r w:rsidRPr="009100C0">
        <w:rPr>
          <w:rFonts w:ascii="Palatino Linotype" w:hAnsi="Palatino Linotype" w:cs="Tahoma"/>
          <w:bCs/>
          <w:iCs/>
          <w:sz w:val="22"/>
          <w:szCs w:val="22"/>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5986CE8" w14:textId="77777777" w:rsidR="0033098C" w:rsidRPr="009100C0" w:rsidRDefault="0033098C" w:rsidP="001A2410">
      <w:pPr>
        <w:spacing w:line="360" w:lineRule="auto"/>
        <w:ind w:right="-93"/>
        <w:jc w:val="both"/>
        <w:rPr>
          <w:rFonts w:ascii="Palatino Linotype" w:hAnsi="Palatino Linotype" w:cs="Tahoma"/>
          <w:bCs/>
          <w:iCs/>
          <w:sz w:val="22"/>
          <w:szCs w:val="22"/>
        </w:rPr>
      </w:pPr>
    </w:p>
    <w:p w14:paraId="754E4BB9" w14:textId="3717A72B" w:rsidR="001A2410" w:rsidRPr="009100C0" w:rsidRDefault="001A2410" w:rsidP="001A2410">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 xml:space="preserve">En este contexto, la confidencialidad de los datos </w:t>
      </w:r>
      <w:r w:rsidR="0033098C" w:rsidRPr="009100C0">
        <w:rPr>
          <w:rFonts w:ascii="Palatino Linotype" w:hAnsi="Palatino Linotype" w:cs="Tahoma"/>
          <w:bCs/>
          <w:iCs/>
          <w:sz w:val="22"/>
          <w:szCs w:val="22"/>
        </w:rPr>
        <w:t>personales</w:t>
      </w:r>
      <w:r w:rsidRPr="009100C0">
        <w:rPr>
          <w:rFonts w:ascii="Palatino Linotype" w:hAnsi="Palatino Linotype" w:cs="Tahoma"/>
          <w:bCs/>
          <w:iCs/>
          <w:sz w:val="22"/>
          <w:szCs w:val="22"/>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7BC012D" w14:textId="77777777" w:rsidR="001A2410" w:rsidRPr="009100C0" w:rsidRDefault="001A2410" w:rsidP="001A2410">
      <w:pPr>
        <w:spacing w:line="360" w:lineRule="auto"/>
        <w:ind w:right="-93"/>
        <w:jc w:val="both"/>
        <w:rPr>
          <w:rFonts w:ascii="Palatino Linotype" w:hAnsi="Palatino Linotype" w:cs="Tahoma"/>
          <w:bCs/>
          <w:iCs/>
          <w:sz w:val="22"/>
          <w:szCs w:val="22"/>
        </w:rPr>
      </w:pPr>
    </w:p>
    <w:p w14:paraId="6285F6AF" w14:textId="77777777" w:rsidR="001A2410" w:rsidRPr="009100C0" w:rsidRDefault="001A2410" w:rsidP="001A2410">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48558186" w14:textId="77777777" w:rsidR="001A2410" w:rsidRPr="009100C0" w:rsidRDefault="001A2410" w:rsidP="001A2410">
      <w:pPr>
        <w:spacing w:line="360" w:lineRule="auto"/>
        <w:ind w:right="-93"/>
        <w:jc w:val="both"/>
        <w:rPr>
          <w:rFonts w:ascii="Palatino Linotype" w:hAnsi="Palatino Linotype" w:cs="Tahoma"/>
          <w:bCs/>
          <w:iCs/>
          <w:sz w:val="22"/>
          <w:szCs w:val="22"/>
        </w:rPr>
      </w:pPr>
    </w:p>
    <w:p w14:paraId="1356C561" w14:textId="77777777" w:rsidR="001A2410" w:rsidRPr="009100C0" w:rsidRDefault="001A2410" w:rsidP="001A2410">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w:t>
      </w:r>
      <w:r w:rsidRPr="009100C0">
        <w:rPr>
          <w:rFonts w:ascii="Palatino Linotype" w:hAnsi="Palatino Linotype" w:cs="Tahoma"/>
          <w:bCs/>
          <w:iCs/>
          <w:sz w:val="22"/>
          <w:szCs w:val="22"/>
        </w:rPr>
        <w:lastRenderedPageBreak/>
        <w:t>información que necesariamente está vinculada con datos personales, que pierden la protección en beneficio del interés público (no por eso dejan de ser datos personales, sólo que no están protegidos en la confidencialidad).</w:t>
      </w:r>
    </w:p>
    <w:p w14:paraId="02DEC999" w14:textId="77777777" w:rsidR="001A2410" w:rsidRPr="009100C0" w:rsidRDefault="001A2410" w:rsidP="001A2410">
      <w:pPr>
        <w:spacing w:line="360" w:lineRule="auto"/>
        <w:ind w:right="-93"/>
        <w:jc w:val="both"/>
        <w:rPr>
          <w:rFonts w:ascii="Palatino Linotype" w:hAnsi="Palatino Linotype" w:cs="Tahoma"/>
          <w:bCs/>
          <w:iCs/>
          <w:sz w:val="22"/>
          <w:szCs w:val="22"/>
        </w:rPr>
      </w:pPr>
    </w:p>
    <w:p w14:paraId="37E89E44" w14:textId="77777777" w:rsidR="001A2410" w:rsidRPr="009100C0" w:rsidRDefault="001A2410" w:rsidP="001A2410">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20C6C92" w14:textId="77777777" w:rsidR="001A2410" w:rsidRPr="009100C0" w:rsidRDefault="001A2410" w:rsidP="001A2410">
      <w:pPr>
        <w:spacing w:line="360" w:lineRule="auto"/>
        <w:ind w:right="-93"/>
        <w:jc w:val="both"/>
        <w:rPr>
          <w:rFonts w:ascii="Palatino Linotype" w:hAnsi="Palatino Linotype" w:cs="Tahoma"/>
          <w:bCs/>
          <w:iCs/>
          <w:sz w:val="22"/>
          <w:szCs w:val="22"/>
        </w:rPr>
      </w:pPr>
    </w:p>
    <w:p w14:paraId="61AE1406" w14:textId="77777777" w:rsidR="001A2410" w:rsidRPr="00DF36FF" w:rsidRDefault="001A2410" w:rsidP="001A2410">
      <w:pPr>
        <w:tabs>
          <w:tab w:val="left" w:pos="709"/>
        </w:tabs>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DF36FF">
        <w:rPr>
          <w:rFonts w:ascii="Palatino Linotype" w:hAnsi="Palatino Linotype" w:cs="Tahoma"/>
          <w:b/>
          <w:bCs/>
          <w:iCs/>
          <w:sz w:val="22"/>
          <w:szCs w:val="22"/>
        </w:rPr>
        <w:t>Registro Federal de Contribuyentes</w:t>
      </w:r>
      <w:r w:rsidRPr="00DF36FF">
        <w:rPr>
          <w:rFonts w:ascii="Palatino Linotype" w:hAnsi="Palatino Linotype" w:cs="Tahoma"/>
          <w:bCs/>
          <w:iCs/>
          <w:sz w:val="22"/>
          <w:szCs w:val="22"/>
        </w:rPr>
        <w:t xml:space="preserve"> (RFC) y la </w:t>
      </w:r>
      <w:r w:rsidRPr="00DF36FF">
        <w:rPr>
          <w:rFonts w:ascii="Palatino Linotype" w:hAnsi="Palatino Linotype" w:cs="Tahoma"/>
          <w:b/>
          <w:bCs/>
          <w:iCs/>
          <w:sz w:val="22"/>
          <w:szCs w:val="22"/>
        </w:rPr>
        <w:t>Clave Única de Registro de Población</w:t>
      </w:r>
      <w:r w:rsidRPr="00DF36FF">
        <w:rPr>
          <w:rFonts w:ascii="Palatino Linotype" w:hAnsi="Palatino Linotype" w:cs="Tahoma"/>
          <w:bCs/>
          <w:iCs/>
          <w:sz w:val="22"/>
          <w:szCs w:val="22"/>
        </w:rPr>
        <w:t xml:space="preserve"> (CURP), número de </w:t>
      </w:r>
      <w:r>
        <w:rPr>
          <w:rFonts w:ascii="Palatino Linotype" w:hAnsi="Palatino Linotype" w:cs="Tahoma"/>
          <w:bCs/>
          <w:iCs/>
          <w:sz w:val="22"/>
          <w:szCs w:val="22"/>
        </w:rPr>
        <w:t>empleado</w:t>
      </w:r>
      <w:r w:rsidRPr="00DF36FF">
        <w:rPr>
          <w:rFonts w:ascii="Palatino Linotype" w:hAnsi="Palatino Linotype" w:cs="Tahoma"/>
          <w:bCs/>
          <w:iCs/>
          <w:sz w:val="22"/>
          <w:szCs w:val="22"/>
        </w:rPr>
        <w:t xml:space="preserve">. </w:t>
      </w:r>
    </w:p>
    <w:p w14:paraId="6E43151A" w14:textId="77777777" w:rsidR="001A2410" w:rsidRPr="00DF36FF" w:rsidRDefault="001A2410" w:rsidP="001A2410">
      <w:pPr>
        <w:spacing w:line="360" w:lineRule="auto"/>
        <w:contextualSpacing/>
        <w:jc w:val="both"/>
        <w:rPr>
          <w:rFonts w:ascii="Palatino Linotype" w:hAnsi="Palatino Linotype" w:cs="Tahoma"/>
          <w:bCs/>
          <w:iCs/>
          <w:sz w:val="22"/>
          <w:szCs w:val="22"/>
        </w:rPr>
      </w:pPr>
    </w:p>
    <w:p w14:paraId="1E8D6801" w14:textId="77777777" w:rsidR="001A2410" w:rsidRPr="00DF36FF" w:rsidRDefault="001A2410" w:rsidP="001A2410">
      <w:pPr>
        <w:numPr>
          <w:ilvl w:val="0"/>
          <w:numId w:val="39"/>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
          <w:bCs/>
          <w:iCs/>
          <w:sz w:val="22"/>
          <w:szCs w:val="22"/>
        </w:rPr>
        <w:t xml:space="preserve">Registro Federal de Contribuyentes (RFC) </w:t>
      </w:r>
    </w:p>
    <w:p w14:paraId="31DBB506" w14:textId="77777777" w:rsidR="001A2410" w:rsidRPr="00DF36FF" w:rsidRDefault="001A2410" w:rsidP="001A2410">
      <w:pPr>
        <w:spacing w:line="360" w:lineRule="auto"/>
        <w:ind w:left="720"/>
        <w:contextualSpacing/>
        <w:jc w:val="both"/>
        <w:rPr>
          <w:rFonts w:ascii="Palatino Linotype" w:hAnsi="Palatino Linotype" w:cs="Tahoma"/>
          <w:bCs/>
          <w:iCs/>
          <w:sz w:val="22"/>
          <w:szCs w:val="22"/>
        </w:rPr>
      </w:pPr>
    </w:p>
    <w:p w14:paraId="54BC65AB" w14:textId="77777777" w:rsidR="001A2410" w:rsidRPr="00DF36FF" w:rsidRDefault="001A2410" w:rsidP="001A2410">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w:t>
      </w:r>
      <w:r w:rsidRPr="00DF36FF">
        <w:rPr>
          <w:rFonts w:ascii="Palatino Linotype" w:hAnsi="Palatino Linotype" w:cs="Tahoma"/>
          <w:bCs/>
          <w:iCs/>
          <w:sz w:val="22"/>
          <w:szCs w:val="22"/>
        </w:rPr>
        <w:lastRenderedPageBreak/>
        <w:t>la clave que asigna este órgano desconcentrado de la Secretaría de Hacienda y Crédito Público, de acuerdo al artículo 27 del Código Fiscal de la Federación.</w:t>
      </w:r>
    </w:p>
    <w:p w14:paraId="5A953DB1" w14:textId="77777777" w:rsidR="001A2410" w:rsidRPr="00DF36FF" w:rsidRDefault="001A2410" w:rsidP="001A2410">
      <w:pPr>
        <w:spacing w:line="360" w:lineRule="auto"/>
        <w:contextualSpacing/>
        <w:jc w:val="both"/>
        <w:rPr>
          <w:rFonts w:ascii="Palatino Linotype" w:hAnsi="Palatino Linotype" w:cs="Tahoma"/>
          <w:bCs/>
          <w:iCs/>
          <w:sz w:val="22"/>
          <w:szCs w:val="22"/>
        </w:rPr>
      </w:pPr>
    </w:p>
    <w:p w14:paraId="2A6C90B6" w14:textId="77777777" w:rsidR="001A2410" w:rsidRPr="00DF36FF" w:rsidRDefault="001A2410" w:rsidP="001A2410">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21F84EB1" w14:textId="77777777" w:rsidR="001A2410" w:rsidRPr="00DF36FF" w:rsidRDefault="001A2410" w:rsidP="001A2410">
      <w:pPr>
        <w:spacing w:line="360" w:lineRule="auto"/>
        <w:contextualSpacing/>
        <w:jc w:val="both"/>
        <w:rPr>
          <w:rFonts w:ascii="Palatino Linotype" w:hAnsi="Palatino Linotype" w:cs="Tahoma"/>
          <w:bCs/>
          <w:iCs/>
          <w:sz w:val="22"/>
          <w:szCs w:val="22"/>
        </w:rPr>
      </w:pPr>
    </w:p>
    <w:p w14:paraId="4DEF9519" w14:textId="2E6B7DBF" w:rsidR="001A2410" w:rsidRPr="00DF36FF" w:rsidRDefault="001A2410" w:rsidP="001A2410">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Ahora bien, la clave del Registro Federal de </w:t>
      </w:r>
      <w:r w:rsidR="0033098C" w:rsidRPr="00DF36FF">
        <w:rPr>
          <w:rFonts w:ascii="Palatino Linotype" w:hAnsi="Palatino Linotype" w:cs="Tahoma"/>
          <w:bCs/>
          <w:iCs/>
          <w:sz w:val="22"/>
          <w:szCs w:val="22"/>
        </w:rPr>
        <w:t>Contribuyentes</w:t>
      </w:r>
      <w:r w:rsidRPr="00DF36FF">
        <w:rPr>
          <w:rFonts w:ascii="Palatino Linotype" w:hAnsi="Palatino Linotype" w:cs="Tahoma"/>
          <w:bCs/>
          <w:iCs/>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B37ADC8" w14:textId="77777777" w:rsidR="001A2410" w:rsidRPr="00DF36FF" w:rsidRDefault="001A2410" w:rsidP="001A2410">
      <w:pPr>
        <w:spacing w:line="360" w:lineRule="auto"/>
        <w:contextualSpacing/>
        <w:jc w:val="both"/>
        <w:rPr>
          <w:rFonts w:ascii="Palatino Linotype" w:hAnsi="Palatino Linotype" w:cs="Tahoma"/>
          <w:bCs/>
          <w:iCs/>
          <w:sz w:val="22"/>
          <w:szCs w:val="22"/>
        </w:rPr>
      </w:pPr>
    </w:p>
    <w:p w14:paraId="2212B95C" w14:textId="77777777" w:rsidR="001A2410" w:rsidRPr="00DF36FF" w:rsidRDefault="001A2410" w:rsidP="001A2410">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435DC0E2" w14:textId="77777777" w:rsidR="001A2410" w:rsidRPr="00DF36FF" w:rsidRDefault="001A2410" w:rsidP="001A2410">
      <w:pPr>
        <w:spacing w:line="360" w:lineRule="auto"/>
        <w:contextualSpacing/>
        <w:jc w:val="both"/>
        <w:rPr>
          <w:rFonts w:ascii="Palatino Linotype" w:hAnsi="Palatino Linotype" w:cs="Tahoma"/>
          <w:bCs/>
          <w:iCs/>
          <w:sz w:val="22"/>
          <w:szCs w:val="22"/>
        </w:rPr>
      </w:pPr>
    </w:p>
    <w:p w14:paraId="7EBD7C5C" w14:textId="77777777" w:rsidR="001A2410" w:rsidRPr="00DF36FF" w:rsidRDefault="001A2410" w:rsidP="001A2410">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4658C298" w14:textId="77777777" w:rsidR="001A2410" w:rsidRPr="00DF36FF" w:rsidRDefault="001A2410" w:rsidP="001A2410">
      <w:pPr>
        <w:spacing w:line="360" w:lineRule="auto"/>
        <w:contextualSpacing/>
        <w:jc w:val="both"/>
        <w:rPr>
          <w:rFonts w:ascii="Palatino Linotype" w:hAnsi="Palatino Linotype" w:cs="Tahoma"/>
          <w:bCs/>
          <w:iCs/>
          <w:sz w:val="22"/>
          <w:szCs w:val="22"/>
        </w:rPr>
      </w:pPr>
    </w:p>
    <w:p w14:paraId="562E0DB8" w14:textId="77777777" w:rsidR="001A2410" w:rsidRPr="006D28A9" w:rsidRDefault="001A2410" w:rsidP="001A2410">
      <w:pPr>
        <w:spacing w:line="360" w:lineRule="auto"/>
        <w:ind w:left="567" w:right="539"/>
        <w:contextualSpacing/>
        <w:jc w:val="both"/>
        <w:rPr>
          <w:rFonts w:ascii="Palatino Linotype" w:hAnsi="Palatino Linotype" w:cs="Tahoma"/>
          <w:bCs/>
          <w:i/>
          <w:iCs/>
        </w:rPr>
      </w:pPr>
      <w:r w:rsidRPr="006D28A9">
        <w:rPr>
          <w:rFonts w:ascii="Palatino Linotype" w:hAnsi="Palatino Linotype" w:cs="Tahoma"/>
          <w:b/>
          <w:bCs/>
          <w:i/>
          <w:iCs/>
        </w:rPr>
        <w:lastRenderedPageBreak/>
        <w:t>Registro Federal de Contribuyentes (RFC) de personas físicas</w:t>
      </w:r>
      <w:r w:rsidRPr="006D28A9">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14:paraId="3FD13724" w14:textId="77777777" w:rsidR="001A2410" w:rsidRPr="00DF36FF" w:rsidRDefault="001A2410" w:rsidP="001A2410">
      <w:pPr>
        <w:spacing w:line="360" w:lineRule="auto"/>
        <w:contextualSpacing/>
        <w:jc w:val="both"/>
        <w:rPr>
          <w:rFonts w:ascii="Palatino Linotype" w:hAnsi="Palatino Linotype" w:cs="Tahoma"/>
          <w:bCs/>
          <w:i/>
          <w:iCs/>
          <w:sz w:val="22"/>
          <w:szCs w:val="22"/>
        </w:rPr>
      </w:pPr>
    </w:p>
    <w:p w14:paraId="583D3E1D" w14:textId="77777777" w:rsidR="001A2410" w:rsidRPr="00DF36FF" w:rsidRDefault="001A2410" w:rsidP="001A2410">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DF36FF">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4084B6CD" w14:textId="77777777" w:rsidR="001A2410" w:rsidRPr="00DF36FF" w:rsidRDefault="001A2410" w:rsidP="001A2410">
      <w:pPr>
        <w:spacing w:line="360" w:lineRule="auto"/>
        <w:contextualSpacing/>
        <w:jc w:val="both"/>
        <w:rPr>
          <w:rFonts w:ascii="Palatino Linotype" w:hAnsi="Palatino Linotype" w:cs="Tahoma"/>
          <w:bCs/>
          <w:iCs/>
          <w:sz w:val="22"/>
          <w:szCs w:val="22"/>
        </w:rPr>
      </w:pPr>
    </w:p>
    <w:p w14:paraId="3E65AF43" w14:textId="77777777" w:rsidR="001A2410" w:rsidRPr="00DF36FF" w:rsidRDefault="001A2410" w:rsidP="001A2410">
      <w:pPr>
        <w:numPr>
          <w:ilvl w:val="0"/>
          <w:numId w:val="39"/>
        </w:numPr>
        <w:spacing w:line="360" w:lineRule="auto"/>
        <w:contextualSpacing/>
        <w:jc w:val="both"/>
        <w:rPr>
          <w:rFonts w:ascii="Palatino Linotype" w:hAnsi="Palatino Linotype" w:cs="Tahoma"/>
          <w:b/>
          <w:sz w:val="22"/>
          <w:szCs w:val="22"/>
        </w:rPr>
      </w:pPr>
      <w:r w:rsidRPr="00DF36FF">
        <w:rPr>
          <w:rFonts w:ascii="Palatino Linotype" w:hAnsi="Palatino Linotype" w:cs="Tahoma"/>
          <w:b/>
          <w:sz w:val="22"/>
          <w:szCs w:val="22"/>
        </w:rPr>
        <w:t>Clave Única de Registro de Población (CURP).</w:t>
      </w:r>
    </w:p>
    <w:p w14:paraId="5E01808B"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p>
    <w:p w14:paraId="7AAD4137"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63ABCA52"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p>
    <w:p w14:paraId="507DA8FE"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7FC9061D"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DFC91AD"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p>
    <w:p w14:paraId="3D6D7F87"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De conformidad con lo precisado por la propia Secretaría de Gobernación en la dirección </w:t>
      </w:r>
      <w:hyperlink r:id="rId25" w:history="1">
        <w:r w:rsidRPr="00DF36FF">
          <w:rPr>
            <w:rStyle w:val="Hipervnculo"/>
            <w:rFonts w:ascii="Palatino Linotype" w:hAnsi="Palatino Linotype" w:cs="Tahoma"/>
            <w:sz w:val="22"/>
            <w:szCs w:val="22"/>
            <w:lang w:eastAsia="es-MX"/>
          </w:rPr>
          <w:t>https://consultas.curp.gob.mx/CurpSP/html/informacionecurpPS.html</w:t>
        </w:r>
      </w:hyperlink>
      <w:r w:rsidRPr="00DF36FF">
        <w:rPr>
          <w:rFonts w:ascii="Palatino Linotype" w:hAnsi="Palatino Linotype" w:cs="Tahoma"/>
          <w:sz w:val="22"/>
          <w:szCs w:val="22"/>
          <w:lang w:eastAsia="es-MX"/>
        </w:rPr>
        <w:t xml:space="preserve">, la Clave Única del </w:t>
      </w:r>
      <w:r w:rsidRPr="00DF36FF">
        <w:rPr>
          <w:rFonts w:ascii="Palatino Linotype" w:hAnsi="Palatino Linotype" w:cs="Tahoma"/>
          <w:sz w:val="22"/>
          <w:szCs w:val="22"/>
          <w:lang w:eastAsia="es-MX"/>
        </w:rPr>
        <w:lastRenderedPageBreak/>
        <w:t xml:space="preserve">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F36FF">
        <w:rPr>
          <w:rFonts w:ascii="Palatino Linotype" w:hAnsi="Palatino Linotype" w:cs="Tahoma"/>
          <w:b/>
          <w:sz w:val="22"/>
          <w:szCs w:val="22"/>
          <w:lang w:eastAsia="es-MX"/>
        </w:rPr>
        <w:t>se generan a partir de los datos contenidos en el documento probatorio de la identidad</w:t>
      </w:r>
      <w:r w:rsidRPr="00DF36FF">
        <w:rPr>
          <w:rFonts w:ascii="Palatino Linotype" w:hAnsi="Palatino Linotype" w:cs="Tahoma"/>
          <w:sz w:val="22"/>
          <w:szCs w:val="22"/>
          <w:lang w:eastAsia="es-MX"/>
        </w:rPr>
        <w:t xml:space="preserve"> </w:t>
      </w:r>
      <w:r w:rsidRPr="00DF36FF">
        <w:rPr>
          <w:rFonts w:ascii="Palatino Linotype" w:hAnsi="Palatino Linotype" w:cs="Tahoma"/>
          <w:b/>
          <w:sz w:val="22"/>
          <w:szCs w:val="22"/>
          <w:lang w:eastAsia="es-MX"/>
        </w:rPr>
        <w:t xml:space="preserve">del interesado </w:t>
      </w:r>
      <w:r w:rsidRPr="00DF36FF">
        <w:rPr>
          <w:rFonts w:ascii="Palatino Linotype" w:hAnsi="Palatino Linotype" w:cs="Tahoma"/>
          <w:sz w:val="22"/>
          <w:szCs w:val="22"/>
          <w:lang w:eastAsia="es-MX"/>
        </w:rPr>
        <w:t>(acta de nacimiento, carta de naturalización o documento migratorio) de la siguiente forma:</w:t>
      </w:r>
    </w:p>
    <w:p w14:paraId="2CC2242D"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p>
    <w:p w14:paraId="2EF2ACCA"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El primero y segundo apellidos, así como al nombre de pila.</w:t>
      </w:r>
    </w:p>
    <w:p w14:paraId="2EDB7E13"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fecha de nacimiento.</w:t>
      </w:r>
    </w:p>
    <w:p w14:paraId="35807DB0"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El sexo.</w:t>
      </w:r>
    </w:p>
    <w:p w14:paraId="1D629A2A"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entidad federativa de nacimiento.</w:t>
      </w:r>
    </w:p>
    <w:p w14:paraId="6AC0ECD6"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p>
    <w:p w14:paraId="064AB4B3"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7B02DA2A"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p>
    <w:p w14:paraId="377884BB" w14:textId="77777777" w:rsidR="001A2410" w:rsidRPr="00DF36FF" w:rsidRDefault="001A2410" w:rsidP="001A2410">
      <w:pPr>
        <w:spacing w:line="360" w:lineRule="auto"/>
        <w:contextualSpacing/>
        <w:jc w:val="both"/>
        <w:rPr>
          <w:rFonts w:ascii="Palatino Linotype" w:hAnsi="Palatino Linotype" w:cs="Tahoma"/>
          <w:sz w:val="22"/>
          <w:szCs w:val="22"/>
        </w:rPr>
      </w:pPr>
      <w:r w:rsidRPr="00DF36FF">
        <w:rPr>
          <w:rFonts w:ascii="Palatino Linotype" w:hAnsi="Palatino Linotype" w:cs="Tahoma"/>
          <w:sz w:val="22"/>
          <w:szCs w:val="22"/>
        </w:rPr>
        <w:t xml:space="preserve">Como se desprende de lo anterior, la </w:t>
      </w:r>
      <w:r w:rsidRPr="00DF36FF">
        <w:rPr>
          <w:rFonts w:ascii="Palatino Linotype" w:hAnsi="Palatino Linotype" w:cs="Tahoma"/>
          <w:sz w:val="22"/>
          <w:szCs w:val="22"/>
          <w:lang w:eastAsia="es-MX"/>
        </w:rPr>
        <w:t>Clave Única de Registro de Población</w:t>
      </w:r>
      <w:r w:rsidRPr="00DF36FF">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588BCFF" w14:textId="77777777" w:rsidR="001A2410" w:rsidRPr="00DF36FF" w:rsidRDefault="001A2410" w:rsidP="001A2410">
      <w:pPr>
        <w:spacing w:line="360" w:lineRule="auto"/>
        <w:contextualSpacing/>
        <w:jc w:val="both"/>
        <w:rPr>
          <w:rFonts w:ascii="Palatino Linotype" w:hAnsi="Palatino Linotype" w:cs="Tahoma"/>
          <w:sz w:val="22"/>
          <w:szCs w:val="22"/>
        </w:rPr>
      </w:pPr>
    </w:p>
    <w:p w14:paraId="09C74BEC"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3DB84293" w14:textId="77777777" w:rsidR="001A2410" w:rsidRPr="00DF36FF" w:rsidRDefault="001A2410" w:rsidP="001A2410">
      <w:pPr>
        <w:autoSpaceDE w:val="0"/>
        <w:autoSpaceDN w:val="0"/>
        <w:adjustRightInd w:val="0"/>
        <w:spacing w:line="360" w:lineRule="auto"/>
        <w:contextualSpacing/>
        <w:jc w:val="both"/>
        <w:rPr>
          <w:rFonts w:ascii="Palatino Linotype" w:eastAsia="Calibri" w:hAnsi="Palatino Linotype" w:cs="Tahoma"/>
          <w:b/>
          <w:bCs/>
          <w:color w:val="000000"/>
          <w:sz w:val="22"/>
          <w:szCs w:val="22"/>
        </w:rPr>
      </w:pPr>
    </w:p>
    <w:p w14:paraId="60DED0D3" w14:textId="77777777" w:rsidR="001A2410" w:rsidRPr="006D28A9" w:rsidRDefault="001A2410" w:rsidP="001A2410">
      <w:pPr>
        <w:autoSpaceDE w:val="0"/>
        <w:autoSpaceDN w:val="0"/>
        <w:adjustRightInd w:val="0"/>
        <w:spacing w:line="360" w:lineRule="auto"/>
        <w:ind w:left="567" w:right="539"/>
        <w:contextualSpacing/>
        <w:jc w:val="both"/>
        <w:rPr>
          <w:rFonts w:ascii="Palatino Linotype" w:eastAsia="Calibri" w:hAnsi="Palatino Linotype" w:cs="Tahoma"/>
          <w:i/>
          <w:color w:val="000000"/>
        </w:rPr>
      </w:pPr>
      <w:r w:rsidRPr="006D28A9">
        <w:rPr>
          <w:rFonts w:ascii="Palatino Linotype" w:eastAsia="Calibri" w:hAnsi="Palatino Linotype" w:cs="Tahoma"/>
          <w:b/>
          <w:bCs/>
          <w:i/>
          <w:color w:val="000000"/>
        </w:rPr>
        <w:t xml:space="preserve">Clave Única de Registro de Población (CURP) es un dato personal confidencial. </w:t>
      </w:r>
      <w:r w:rsidRPr="006D28A9">
        <w:rPr>
          <w:rFonts w:ascii="Palatino Linotype" w:eastAsia="Calibri" w:hAnsi="Palatino Linotype" w:cs="Tahoma"/>
          <w:i/>
          <w:color w:val="000000"/>
        </w:rPr>
        <w:t xml:space="preserve">De conformidad con lo establecido en el artículo 3, fracción II de la </w:t>
      </w:r>
      <w:r w:rsidRPr="006D28A9">
        <w:rPr>
          <w:rFonts w:ascii="Palatino Linotype" w:eastAsia="Calibri" w:hAnsi="Palatino Linotype" w:cs="Tahoma"/>
          <w:i/>
          <w:color w:val="000000"/>
        </w:rPr>
        <w:lastRenderedPageBreak/>
        <w:t xml:space="preserve">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5EFE1D2C" w14:textId="77777777" w:rsidR="001A2410" w:rsidRPr="00DF36FF" w:rsidRDefault="001A2410" w:rsidP="001A2410">
      <w:pPr>
        <w:spacing w:line="360" w:lineRule="auto"/>
        <w:contextualSpacing/>
        <w:jc w:val="both"/>
        <w:rPr>
          <w:rFonts w:ascii="Palatino Linotype" w:hAnsi="Palatino Linotype" w:cs="Tahoma"/>
          <w:sz w:val="22"/>
          <w:szCs w:val="22"/>
        </w:rPr>
      </w:pPr>
    </w:p>
    <w:p w14:paraId="55B1F7C0" w14:textId="77777777" w:rsidR="001A2410" w:rsidRPr="00DF36FF" w:rsidRDefault="001A2410" w:rsidP="001A2410">
      <w:pPr>
        <w:spacing w:line="360" w:lineRule="auto"/>
        <w:contextualSpacing/>
        <w:jc w:val="both"/>
        <w:rPr>
          <w:rFonts w:ascii="Palatino Linotype" w:hAnsi="Palatino Linotype" w:cs="Tahoma"/>
          <w:b/>
          <w:sz w:val="22"/>
          <w:szCs w:val="22"/>
        </w:rPr>
      </w:pPr>
      <w:r w:rsidRPr="00DF36FF">
        <w:rPr>
          <w:rFonts w:ascii="Palatino Linotype" w:hAnsi="Palatino Linotype" w:cs="Tahoma"/>
          <w:sz w:val="22"/>
          <w:szCs w:val="22"/>
        </w:rPr>
        <w:t xml:space="preserve">De acuerdo con lo anterior, </w:t>
      </w:r>
      <w:r w:rsidRPr="00DF36FF">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277A67A1" w14:textId="77777777" w:rsidR="001A2410" w:rsidRDefault="001A2410" w:rsidP="001A2410">
      <w:pPr>
        <w:spacing w:line="360" w:lineRule="auto"/>
        <w:jc w:val="both"/>
        <w:rPr>
          <w:rFonts w:ascii="Palatino Linotype" w:hAnsi="Palatino Linotype" w:cs="Tahoma"/>
          <w:color w:val="000000"/>
          <w:sz w:val="22"/>
          <w:szCs w:val="22"/>
        </w:rPr>
      </w:pPr>
    </w:p>
    <w:p w14:paraId="1DE64E07" w14:textId="77777777" w:rsidR="001A2410" w:rsidRPr="00DF36FF" w:rsidRDefault="001A2410" w:rsidP="001A2410">
      <w:pPr>
        <w:numPr>
          <w:ilvl w:val="0"/>
          <w:numId w:val="39"/>
        </w:num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b/>
          <w:sz w:val="22"/>
          <w:szCs w:val="22"/>
          <w:lang w:eastAsia="es-MX"/>
        </w:rPr>
        <w:t>Número de empleado.</w:t>
      </w:r>
    </w:p>
    <w:p w14:paraId="274C2169" w14:textId="77777777" w:rsidR="001A2410" w:rsidRPr="00DF36FF" w:rsidRDefault="001A2410" w:rsidP="001A2410">
      <w:pPr>
        <w:spacing w:line="360" w:lineRule="auto"/>
        <w:contextualSpacing/>
        <w:jc w:val="both"/>
        <w:rPr>
          <w:rFonts w:ascii="Palatino Linotype" w:hAnsi="Palatino Linotype" w:cs="Tahoma"/>
          <w:b/>
          <w:sz w:val="22"/>
          <w:szCs w:val="22"/>
          <w:lang w:eastAsia="es-MX"/>
        </w:rPr>
      </w:pPr>
    </w:p>
    <w:p w14:paraId="2EAA7BD5" w14:textId="77777777" w:rsidR="001A2410" w:rsidRDefault="001A2410" w:rsidP="001A2410">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5D5D672E"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p>
    <w:p w14:paraId="634C3084"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w:t>
      </w:r>
      <w:r w:rsidRPr="00DF36FF">
        <w:rPr>
          <w:rFonts w:ascii="Palatino Linotype" w:hAnsi="Palatino Linotype" w:cs="Tahoma"/>
          <w:sz w:val="22"/>
          <w:szCs w:val="22"/>
          <w:lang w:eastAsia="es-MX"/>
        </w:rPr>
        <w:lastRenderedPageBreak/>
        <w:t>sin embargo, cuando dicho dato se conforma de dígitos, letras o símbolos que no revelan datos personales, no reviste el carácter de confidencial, al no dar por sí solo acceso a datos personales.</w:t>
      </w:r>
    </w:p>
    <w:p w14:paraId="7CEE2BDD"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p>
    <w:p w14:paraId="5815BD69"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Lo anterior, se robustece con el Criterio 03/14, emitido por el Pleno del entonces Instituto Federal de Acceso a la Información y Protección de Datos, que establece lo siguiente:</w:t>
      </w:r>
    </w:p>
    <w:p w14:paraId="5510565C"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p>
    <w:p w14:paraId="6ECDF2DE" w14:textId="77777777" w:rsidR="001A2410" w:rsidRPr="006D28A9" w:rsidRDefault="001A2410" w:rsidP="001A2410">
      <w:pPr>
        <w:spacing w:line="360" w:lineRule="auto"/>
        <w:ind w:left="567" w:right="539"/>
        <w:contextualSpacing/>
        <w:jc w:val="both"/>
        <w:rPr>
          <w:rFonts w:ascii="Palatino Linotype" w:hAnsi="Palatino Linotype" w:cs="Tahoma"/>
          <w:lang w:eastAsia="es-MX"/>
        </w:rPr>
      </w:pPr>
      <w:r w:rsidRPr="006D28A9">
        <w:rPr>
          <w:rFonts w:ascii="Palatino Linotype" w:hAnsi="Palatino Linotype" w:cs="Tahoma"/>
          <w:b/>
          <w:i/>
          <w:lang w:eastAsia="es-MX"/>
        </w:rPr>
        <w:t>Número de empleado, o su equivalente, si se integra con datos personales del trabajador o permite acceder a éstos sin necesidad de una contraseña, constituye información confidencial.</w:t>
      </w:r>
      <w:r w:rsidRPr="006D28A9">
        <w:rPr>
          <w:rFonts w:ascii="Palatino Linotype" w:hAnsi="Palatino Linotype" w:cs="Tahoma"/>
          <w:i/>
          <w:lang w:eastAsia="es-MX"/>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6DEB1A9E" w14:textId="77777777" w:rsidR="001A2410" w:rsidRPr="00DF36FF" w:rsidRDefault="001A2410" w:rsidP="001A2410">
      <w:pPr>
        <w:spacing w:line="360" w:lineRule="auto"/>
        <w:contextualSpacing/>
        <w:jc w:val="both"/>
        <w:rPr>
          <w:rFonts w:ascii="Palatino Linotype" w:hAnsi="Palatino Linotype" w:cs="Tahoma"/>
          <w:sz w:val="22"/>
          <w:szCs w:val="22"/>
          <w:lang w:eastAsia="es-MX"/>
        </w:rPr>
      </w:pPr>
    </w:p>
    <w:p w14:paraId="6F6915DC" w14:textId="77777777" w:rsidR="001A2410" w:rsidRPr="00DF36FF" w:rsidRDefault="001A2410" w:rsidP="001A2410">
      <w:pPr>
        <w:spacing w:line="360" w:lineRule="auto"/>
        <w:contextualSpacing/>
        <w:jc w:val="both"/>
        <w:rPr>
          <w:rFonts w:ascii="Palatino Linotype" w:hAnsi="Palatino Linotype" w:cs="Tahoma"/>
          <w:b/>
          <w:bCs/>
          <w:sz w:val="22"/>
          <w:szCs w:val="22"/>
          <w:lang w:eastAsia="es-MX"/>
        </w:rPr>
      </w:pPr>
      <w:r w:rsidRPr="00DF36FF">
        <w:rPr>
          <w:rFonts w:ascii="Palatino Linotype" w:hAnsi="Palatino Linotype" w:cs="Tahoma"/>
          <w:sz w:val="22"/>
          <w:szCs w:val="22"/>
          <w:lang w:eastAsia="es-MX"/>
        </w:rPr>
        <w:lastRenderedPageBreak/>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14:paraId="2D787982" w14:textId="77777777" w:rsidR="001A2410" w:rsidRPr="00DF36FF" w:rsidRDefault="001A2410" w:rsidP="001A2410">
      <w:pPr>
        <w:spacing w:line="360" w:lineRule="auto"/>
        <w:contextualSpacing/>
        <w:jc w:val="both"/>
        <w:rPr>
          <w:rFonts w:ascii="Palatino Linotype" w:hAnsi="Palatino Linotype" w:cs="Tahoma"/>
          <w:bCs/>
          <w:sz w:val="22"/>
          <w:szCs w:val="22"/>
          <w:lang w:eastAsia="es-MX"/>
        </w:rPr>
      </w:pPr>
      <w:r w:rsidRPr="00DF36FF">
        <w:rPr>
          <w:rFonts w:ascii="Palatino Linotype" w:hAnsi="Palatino Linotype" w:cs="Tahoma"/>
          <w:bCs/>
          <w:sz w:val="22"/>
          <w:szCs w:val="22"/>
          <w:lang w:eastAsia="es-MX"/>
        </w:rPr>
        <w:t>De tales circunstancias y toda vez que el Sujeto Obligado no precisó como 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02A26C29" w14:textId="77777777" w:rsidR="00D67D23" w:rsidRPr="008A6ABF" w:rsidRDefault="00D67D23" w:rsidP="00CF227C">
      <w:pPr>
        <w:autoSpaceDE w:val="0"/>
        <w:autoSpaceDN w:val="0"/>
        <w:adjustRightInd w:val="0"/>
        <w:spacing w:line="360" w:lineRule="auto"/>
        <w:ind w:right="49"/>
        <w:jc w:val="both"/>
        <w:rPr>
          <w:rFonts w:ascii="Palatino Linotype" w:hAnsi="Palatino Linotype"/>
          <w:sz w:val="22"/>
        </w:rPr>
      </w:pPr>
    </w:p>
    <w:p w14:paraId="2C1C2515" w14:textId="1EF631AE" w:rsidR="00CC7AA0" w:rsidRPr="008A6ABF" w:rsidRDefault="00BC0E3B" w:rsidP="00CF227C">
      <w:pPr>
        <w:spacing w:line="360" w:lineRule="auto"/>
        <w:jc w:val="both"/>
        <w:rPr>
          <w:rFonts w:ascii="Palatino Linotype" w:eastAsia="Palatino Linotype" w:hAnsi="Palatino Linotype" w:cs="Palatino Linotype"/>
          <w:sz w:val="22"/>
        </w:rPr>
      </w:pPr>
      <w:r w:rsidRPr="008A6ABF">
        <w:rPr>
          <w:rFonts w:ascii="Palatino Linotype" w:eastAsia="Palatino Linotype" w:hAnsi="Palatino Linotype" w:cs="Palatino Linotype"/>
          <w:sz w:val="22"/>
        </w:rPr>
        <w:t xml:space="preserve">Por lo tanto, bajo los principios de certeza, eficacia y objetividad, establecidos en el artículo 9 de la Ley de Transparencia y Acceso a la </w:t>
      </w:r>
      <w:r w:rsidR="008258F9" w:rsidRPr="008A6ABF">
        <w:rPr>
          <w:rFonts w:ascii="Palatino Linotype" w:eastAsia="Palatino Linotype" w:hAnsi="Palatino Linotype" w:cs="Palatino Linotype"/>
          <w:sz w:val="22"/>
        </w:rPr>
        <w:t>Información Pública</w:t>
      </w:r>
      <w:r w:rsidRPr="008A6ABF">
        <w:rPr>
          <w:rFonts w:ascii="Palatino Linotype" w:eastAsia="Palatino Linotype" w:hAnsi="Palatino Linotype" w:cs="Palatino Linotype"/>
          <w:sz w:val="22"/>
        </w:rPr>
        <w:t xml:space="preserve"> del Estado de México y Municipios, este Instituto como Órgano Garante determina que se atendió el derecho accionado por el particular resultando </w:t>
      </w:r>
      <w:r w:rsidR="00CC7AA0" w:rsidRPr="008A6ABF">
        <w:rPr>
          <w:rFonts w:ascii="Palatino Linotype" w:eastAsia="Palatino Linotype" w:hAnsi="Palatino Linotype" w:cs="Palatino Linotype"/>
          <w:b/>
          <w:sz w:val="22"/>
        </w:rPr>
        <w:t>fundadas</w:t>
      </w:r>
      <w:r w:rsidRPr="008A6ABF">
        <w:rPr>
          <w:rFonts w:ascii="Palatino Linotype" w:eastAsia="Palatino Linotype" w:hAnsi="Palatino Linotype" w:cs="Palatino Linotype"/>
          <w:b/>
          <w:sz w:val="22"/>
        </w:rPr>
        <w:t xml:space="preserve"> </w:t>
      </w:r>
      <w:r w:rsidRPr="008A6ABF">
        <w:rPr>
          <w:rFonts w:ascii="Palatino Linotype" w:eastAsia="Palatino Linotype" w:hAnsi="Palatino Linotype" w:cs="Palatino Linotype"/>
          <w:sz w:val="22"/>
        </w:rPr>
        <w:t xml:space="preserve">las razones o motivos de inconformidad expuestas por </w:t>
      </w:r>
      <w:r w:rsidRPr="008A6ABF">
        <w:rPr>
          <w:rFonts w:ascii="Palatino Linotype" w:eastAsia="Palatino Linotype" w:hAnsi="Palatino Linotype" w:cs="Palatino Linotype"/>
          <w:b/>
          <w:sz w:val="22"/>
        </w:rPr>
        <w:t xml:space="preserve">EL RECURRENTE </w:t>
      </w:r>
      <w:r w:rsidRPr="008A6ABF">
        <w:rPr>
          <w:rFonts w:ascii="Palatino Linotype" w:eastAsia="Palatino Linotype" w:hAnsi="Palatino Linotype" w:cs="Palatino Linotype"/>
          <w:sz w:val="22"/>
        </w:rPr>
        <w:t xml:space="preserve">y en consecuencia resulta este Órgano Garante determina </w:t>
      </w:r>
      <w:r w:rsidRPr="008A6ABF">
        <w:rPr>
          <w:rFonts w:ascii="Palatino Linotype" w:eastAsia="Palatino Linotype" w:hAnsi="Palatino Linotype" w:cs="Palatino Linotype"/>
          <w:b/>
          <w:sz w:val="22"/>
        </w:rPr>
        <w:t>R</w:t>
      </w:r>
      <w:r w:rsidR="00CC7AA0" w:rsidRPr="008A6ABF">
        <w:rPr>
          <w:rFonts w:ascii="Palatino Linotype" w:eastAsia="Palatino Linotype" w:hAnsi="Palatino Linotype" w:cs="Palatino Linotype"/>
          <w:b/>
          <w:sz w:val="22"/>
        </w:rPr>
        <w:t>EVOCAR</w:t>
      </w:r>
      <w:r w:rsidRPr="008A6ABF">
        <w:rPr>
          <w:rFonts w:ascii="Palatino Linotype" w:eastAsia="Palatino Linotype" w:hAnsi="Palatino Linotype" w:cs="Palatino Linotype"/>
          <w:sz w:val="22"/>
        </w:rPr>
        <w:t xml:space="preserve"> la respuesta otorgada por el </w:t>
      </w:r>
      <w:r w:rsidRPr="008A6ABF">
        <w:rPr>
          <w:rFonts w:ascii="Palatino Linotype" w:eastAsia="Palatino Linotype" w:hAnsi="Palatino Linotype" w:cs="Palatino Linotype"/>
          <w:b/>
          <w:sz w:val="22"/>
        </w:rPr>
        <w:t>SUJETO OBLIGADO</w:t>
      </w:r>
      <w:r w:rsidR="00CC7AA0" w:rsidRPr="008A6ABF">
        <w:rPr>
          <w:rFonts w:ascii="Palatino Linotype" w:eastAsia="Palatino Linotype" w:hAnsi="Palatino Linotype" w:cs="Palatino Linotype"/>
          <w:sz w:val="22"/>
        </w:rPr>
        <w:t xml:space="preserve"> ordenando la entrega de la información que ha quedado precisada en el presente considerando.</w:t>
      </w:r>
    </w:p>
    <w:p w14:paraId="4EC75558" w14:textId="77777777" w:rsidR="00CC7AA0" w:rsidRPr="008A6ABF" w:rsidRDefault="00CC7AA0" w:rsidP="00CF227C">
      <w:pPr>
        <w:spacing w:line="360" w:lineRule="auto"/>
        <w:jc w:val="both"/>
        <w:rPr>
          <w:rFonts w:ascii="Palatino Linotype" w:eastAsia="Palatino Linotype" w:hAnsi="Palatino Linotype" w:cs="Palatino Linotype"/>
          <w:color w:val="000000"/>
          <w:sz w:val="22"/>
        </w:rPr>
      </w:pPr>
    </w:p>
    <w:p w14:paraId="50220315" w14:textId="3731284E" w:rsidR="00BC0E3B" w:rsidRDefault="00BC0E3B" w:rsidP="00CF227C">
      <w:pPr>
        <w:spacing w:line="360" w:lineRule="auto"/>
        <w:jc w:val="both"/>
        <w:rPr>
          <w:rFonts w:ascii="Palatino Linotype" w:eastAsia="Palatino Linotype" w:hAnsi="Palatino Linotype" w:cs="Palatino Linotype"/>
          <w:color w:val="000000"/>
          <w:sz w:val="22"/>
        </w:rPr>
      </w:pPr>
      <w:r w:rsidRPr="008A6ABF">
        <w:rPr>
          <w:rFonts w:ascii="Palatino Linotype" w:eastAsia="Palatino Linotype" w:hAnsi="Palatino Linotype" w:cs="Palatino Linotype"/>
          <w:color w:val="000000"/>
          <w:sz w:val="22"/>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w:t>
      </w:r>
      <w:r w:rsidR="008258F9" w:rsidRPr="008A6ABF">
        <w:rPr>
          <w:rFonts w:ascii="Palatino Linotype" w:eastAsia="Palatino Linotype" w:hAnsi="Palatino Linotype" w:cs="Palatino Linotype"/>
          <w:color w:val="000000"/>
          <w:sz w:val="22"/>
        </w:rPr>
        <w:t>Información Pública</w:t>
      </w:r>
      <w:r w:rsidRPr="008A6ABF">
        <w:rPr>
          <w:rFonts w:ascii="Palatino Linotype" w:eastAsia="Palatino Linotype" w:hAnsi="Palatino Linotype" w:cs="Palatino Linotype"/>
          <w:color w:val="000000"/>
          <w:sz w:val="22"/>
        </w:rPr>
        <w:t xml:space="preserve"> del Estado de México y Municipios, este Pleno: </w:t>
      </w:r>
    </w:p>
    <w:p w14:paraId="73E3FBB2" w14:textId="77777777" w:rsidR="001A2410" w:rsidRPr="008A6ABF" w:rsidRDefault="001A2410" w:rsidP="00CF227C">
      <w:pPr>
        <w:spacing w:line="360" w:lineRule="auto"/>
        <w:jc w:val="both"/>
        <w:rPr>
          <w:rFonts w:ascii="Palatino Linotype" w:eastAsia="Palatino Linotype" w:hAnsi="Palatino Linotype" w:cs="Palatino Linotype"/>
          <w:color w:val="000000"/>
          <w:sz w:val="22"/>
        </w:rPr>
      </w:pPr>
    </w:p>
    <w:p w14:paraId="43DD2EF8" w14:textId="77777777" w:rsidR="00BC0E3B" w:rsidRPr="008A6ABF" w:rsidRDefault="00BC0E3B" w:rsidP="001A2410">
      <w:pPr>
        <w:spacing w:line="360" w:lineRule="auto"/>
        <w:jc w:val="center"/>
        <w:rPr>
          <w:rFonts w:ascii="Palatino Linotype" w:eastAsia="Palatino Linotype" w:hAnsi="Palatino Linotype" w:cs="Palatino Linotype"/>
          <w:b/>
          <w:color w:val="000000"/>
          <w:spacing w:val="20"/>
          <w:szCs w:val="28"/>
        </w:rPr>
      </w:pPr>
      <w:r w:rsidRPr="008A6ABF">
        <w:rPr>
          <w:rFonts w:ascii="Palatino Linotype" w:eastAsia="Palatino Linotype" w:hAnsi="Palatino Linotype" w:cs="Palatino Linotype"/>
          <w:b/>
          <w:color w:val="000000"/>
          <w:spacing w:val="20"/>
          <w:szCs w:val="28"/>
        </w:rPr>
        <w:t>RESUELVE</w:t>
      </w:r>
    </w:p>
    <w:p w14:paraId="175FC0FB" w14:textId="77777777" w:rsidR="00BC0E3B" w:rsidRPr="008A6ABF" w:rsidRDefault="00BC0E3B" w:rsidP="00F302E7">
      <w:pPr>
        <w:spacing w:line="360" w:lineRule="auto"/>
        <w:jc w:val="both"/>
        <w:rPr>
          <w:rFonts w:ascii="Palatino Linotype" w:eastAsia="Palatino Linotype" w:hAnsi="Palatino Linotype" w:cs="Palatino Linotype"/>
          <w:b/>
          <w:color w:val="000000"/>
          <w:spacing w:val="20"/>
          <w:szCs w:val="28"/>
        </w:rPr>
      </w:pPr>
    </w:p>
    <w:p w14:paraId="4F7B0B57" w14:textId="00DC6332" w:rsidR="00BC0E3B" w:rsidRPr="008A6ABF" w:rsidRDefault="00BC0E3B" w:rsidP="00CF227C">
      <w:pPr>
        <w:widowControl w:val="0"/>
        <w:autoSpaceDE w:val="0"/>
        <w:autoSpaceDN w:val="0"/>
        <w:adjustRightInd w:val="0"/>
        <w:spacing w:line="360" w:lineRule="auto"/>
        <w:jc w:val="both"/>
        <w:rPr>
          <w:rFonts w:ascii="Palatino Linotype" w:hAnsi="Palatino Linotype" w:cs="Arial"/>
          <w:color w:val="000000" w:themeColor="text1"/>
          <w:sz w:val="22"/>
          <w:szCs w:val="22"/>
        </w:rPr>
      </w:pPr>
      <w:r w:rsidRPr="008A6ABF">
        <w:rPr>
          <w:rFonts w:ascii="Palatino Linotype" w:hAnsi="Palatino Linotype" w:cs="Arial"/>
          <w:b/>
          <w:color w:val="000000" w:themeColor="text1"/>
        </w:rPr>
        <w:lastRenderedPageBreak/>
        <w:t>PRIMERO</w:t>
      </w:r>
      <w:r w:rsidRPr="008A6ABF">
        <w:rPr>
          <w:rFonts w:ascii="Palatino Linotype" w:hAnsi="Palatino Linotype" w:cs="Arial"/>
          <w:b/>
          <w:color w:val="000000" w:themeColor="text1"/>
          <w:sz w:val="22"/>
          <w:szCs w:val="22"/>
        </w:rPr>
        <w:t>.</w:t>
      </w:r>
      <w:r w:rsidRPr="008A6ABF">
        <w:rPr>
          <w:rFonts w:ascii="Palatino Linotype" w:hAnsi="Palatino Linotype" w:cs="Arial"/>
          <w:color w:val="000000" w:themeColor="text1"/>
          <w:sz w:val="22"/>
          <w:szCs w:val="22"/>
        </w:rPr>
        <w:t xml:space="preserve"> Resultan </w:t>
      </w:r>
      <w:r w:rsidRPr="008A6ABF">
        <w:rPr>
          <w:rFonts w:ascii="Palatino Linotype" w:hAnsi="Palatino Linotype" w:cs="Arial"/>
          <w:b/>
          <w:bCs/>
          <w:color w:val="000000" w:themeColor="text1"/>
          <w:sz w:val="22"/>
          <w:szCs w:val="22"/>
        </w:rPr>
        <w:t>fundadas</w:t>
      </w:r>
      <w:r w:rsidRPr="008A6ABF">
        <w:rPr>
          <w:rFonts w:ascii="Palatino Linotype" w:hAnsi="Palatino Linotype" w:cs="Arial"/>
          <w:color w:val="000000" w:themeColor="text1"/>
          <w:sz w:val="22"/>
          <w:szCs w:val="22"/>
        </w:rPr>
        <w:t xml:space="preserve"> las razones o motivos de inconformidad planteadas por </w:t>
      </w:r>
      <w:r w:rsidRPr="008A6ABF">
        <w:rPr>
          <w:rFonts w:ascii="Palatino Linotype" w:hAnsi="Palatino Linotype" w:cs="Arial"/>
          <w:b/>
          <w:color w:val="000000"/>
          <w:sz w:val="22"/>
          <w:szCs w:val="22"/>
          <w:lang w:eastAsia="es-MX"/>
        </w:rPr>
        <w:t>EL RECURRENTE</w:t>
      </w:r>
      <w:r w:rsidRPr="008A6ABF">
        <w:rPr>
          <w:rFonts w:ascii="Palatino Linotype" w:hAnsi="Palatino Linotype" w:cs="Arial"/>
          <w:color w:val="000000" w:themeColor="text1"/>
          <w:sz w:val="22"/>
          <w:szCs w:val="22"/>
        </w:rPr>
        <w:t xml:space="preserve"> y analizadas en el Considerando </w:t>
      </w:r>
      <w:r w:rsidRPr="008A6ABF">
        <w:rPr>
          <w:rFonts w:ascii="Palatino Linotype" w:hAnsi="Palatino Linotype" w:cs="Arial"/>
          <w:b/>
          <w:color w:val="000000" w:themeColor="text1"/>
          <w:sz w:val="22"/>
          <w:szCs w:val="22"/>
        </w:rPr>
        <w:t>QUINTO</w:t>
      </w:r>
      <w:r w:rsidRPr="008A6ABF">
        <w:rPr>
          <w:rFonts w:ascii="Palatino Linotype" w:hAnsi="Palatino Linotype" w:cs="Arial"/>
          <w:color w:val="000000" w:themeColor="text1"/>
          <w:sz w:val="22"/>
          <w:szCs w:val="22"/>
        </w:rPr>
        <w:t xml:space="preserve"> de esta </w:t>
      </w:r>
      <w:r w:rsidR="001A2410">
        <w:rPr>
          <w:rFonts w:ascii="Palatino Linotype" w:hAnsi="Palatino Linotype" w:cs="Arial"/>
          <w:color w:val="000000" w:themeColor="text1"/>
          <w:sz w:val="22"/>
          <w:szCs w:val="22"/>
        </w:rPr>
        <w:t>R</w:t>
      </w:r>
      <w:r w:rsidRPr="008A6ABF">
        <w:rPr>
          <w:rFonts w:ascii="Palatino Linotype" w:hAnsi="Palatino Linotype" w:cs="Arial"/>
          <w:color w:val="000000" w:themeColor="text1"/>
          <w:sz w:val="22"/>
          <w:szCs w:val="22"/>
        </w:rPr>
        <w:t>esolución.</w:t>
      </w:r>
    </w:p>
    <w:p w14:paraId="3E6EDE40" w14:textId="77777777" w:rsidR="00BC0E3B" w:rsidRPr="008A6ABF" w:rsidRDefault="00BC0E3B" w:rsidP="00CF227C">
      <w:pPr>
        <w:widowControl w:val="0"/>
        <w:autoSpaceDE w:val="0"/>
        <w:autoSpaceDN w:val="0"/>
        <w:adjustRightInd w:val="0"/>
        <w:spacing w:line="360" w:lineRule="auto"/>
        <w:jc w:val="both"/>
        <w:rPr>
          <w:rFonts w:ascii="Palatino Linotype" w:hAnsi="Palatino Linotype" w:cs="Arial"/>
          <w:color w:val="000000" w:themeColor="text1"/>
          <w:sz w:val="22"/>
          <w:szCs w:val="22"/>
        </w:rPr>
      </w:pPr>
    </w:p>
    <w:p w14:paraId="3E510854" w14:textId="2DA8C6DC" w:rsidR="00CC7AA0" w:rsidRPr="008A6ABF" w:rsidRDefault="00BC0E3B" w:rsidP="00F302E7">
      <w:pPr>
        <w:spacing w:line="360" w:lineRule="auto"/>
        <w:ind w:right="49"/>
        <w:contextualSpacing/>
        <w:jc w:val="both"/>
        <w:rPr>
          <w:rFonts w:ascii="Palatino Linotype" w:eastAsia="Calibri" w:hAnsi="Palatino Linotype"/>
          <w:sz w:val="22"/>
          <w:szCs w:val="22"/>
          <w:lang w:eastAsia="en-US"/>
        </w:rPr>
      </w:pPr>
      <w:r w:rsidRPr="008A6ABF">
        <w:rPr>
          <w:rFonts w:ascii="Palatino Linotype" w:hAnsi="Palatino Linotype" w:cs="Arial"/>
          <w:b/>
          <w:color w:val="000000" w:themeColor="text1"/>
        </w:rPr>
        <w:t>SEGUNDO</w:t>
      </w:r>
      <w:r w:rsidRPr="008A6ABF">
        <w:rPr>
          <w:rFonts w:ascii="Palatino Linotype" w:hAnsi="Palatino Linotype" w:cs="Arial"/>
          <w:b/>
          <w:color w:val="000000" w:themeColor="text1"/>
          <w:sz w:val="22"/>
          <w:szCs w:val="22"/>
        </w:rPr>
        <w:t xml:space="preserve">. </w:t>
      </w:r>
      <w:r w:rsidR="00CC7AA0" w:rsidRPr="008A6ABF">
        <w:rPr>
          <w:rFonts w:ascii="Palatino Linotype" w:eastAsia="Calibri" w:hAnsi="Palatino Linotype"/>
          <w:sz w:val="22"/>
          <w:szCs w:val="22"/>
          <w:lang w:eastAsia="en-US"/>
        </w:rPr>
        <w:t xml:space="preserve">Se </w:t>
      </w:r>
      <w:r w:rsidR="00CC7AA0" w:rsidRPr="008A6ABF">
        <w:rPr>
          <w:rFonts w:ascii="Palatino Linotype" w:eastAsia="Calibri" w:hAnsi="Palatino Linotype"/>
          <w:b/>
          <w:sz w:val="22"/>
          <w:szCs w:val="22"/>
          <w:lang w:eastAsia="en-US"/>
        </w:rPr>
        <w:t>Revoca</w:t>
      </w:r>
      <w:r w:rsidR="00CC7AA0" w:rsidRPr="008A6ABF">
        <w:rPr>
          <w:rFonts w:ascii="Palatino Linotype" w:eastAsia="Calibri" w:hAnsi="Palatino Linotype"/>
          <w:sz w:val="22"/>
          <w:szCs w:val="22"/>
          <w:lang w:eastAsia="en-US"/>
        </w:rPr>
        <w:t xml:space="preserve"> la respuesta emitida por </w:t>
      </w:r>
      <w:r w:rsidR="00CC7AA0" w:rsidRPr="008A6ABF">
        <w:rPr>
          <w:rFonts w:ascii="Palatino Linotype" w:eastAsia="Calibri" w:hAnsi="Palatino Linotype"/>
          <w:b/>
          <w:sz w:val="22"/>
          <w:szCs w:val="22"/>
          <w:lang w:eastAsia="en-US"/>
        </w:rPr>
        <w:t>EL</w:t>
      </w:r>
      <w:r w:rsidR="00CC7AA0" w:rsidRPr="008A6ABF">
        <w:rPr>
          <w:rFonts w:ascii="Palatino Linotype" w:eastAsia="Calibri" w:hAnsi="Palatino Linotype"/>
          <w:sz w:val="22"/>
          <w:szCs w:val="22"/>
          <w:lang w:eastAsia="en-US"/>
        </w:rPr>
        <w:t xml:space="preserve"> </w:t>
      </w:r>
      <w:r w:rsidR="00CC7AA0" w:rsidRPr="008A6ABF">
        <w:rPr>
          <w:rFonts w:ascii="Palatino Linotype" w:eastAsia="Calibri" w:hAnsi="Palatino Linotype"/>
          <w:b/>
          <w:sz w:val="22"/>
          <w:szCs w:val="22"/>
          <w:lang w:eastAsia="en-US"/>
        </w:rPr>
        <w:t>SUJETO OBLIGADO</w:t>
      </w:r>
      <w:r w:rsidR="00CC7AA0" w:rsidRPr="008A6ABF">
        <w:rPr>
          <w:rFonts w:ascii="Palatino Linotype" w:eastAsia="Calibri" w:hAnsi="Palatino Linotype"/>
          <w:sz w:val="22"/>
          <w:szCs w:val="22"/>
          <w:lang w:eastAsia="en-US"/>
        </w:rPr>
        <w:t xml:space="preserve"> y se </w:t>
      </w:r>
      <w:r w:rsidR="00CC7AA0" w:rsidRPr="008A6ABF">
        <w:rPr>
          <w:rFonts w:ascii="Palatino Linotype" w:eastAsia="Calibri" w:hAnsi="Palatino Linotype"/>
          <w:b/>
          <w:sz w:val="22"/>
          <w:szCs w:val="22"/>
          <w:lang w:eastAsia="en-US"/>
        </w:rPr>
        <w:t>ORDENA</w:t>
      </w:r>
      <w:r w:rsidR="00CC7AA0" w:rsidRPr="008A6ABF">
        <w:rPr>
          <w:rFonts w:ascii="Palatino Linotype" w:eastAsia="Calibri" w:hAnsi="Palatino Linotype"/>
          <w:sz w:val="22"/>
          <w:szCs w:val="22"/>
          <w:lang w:eastAsia="en-US"/>
        </w:rPr>
        <w:t xml:space="preserve"> </w:t>
      </w:r>
      <w:r w:rsidR="001A2410">
        <w:rPr>
          <w:rFonts w:ascii="Palatino Linotype" w:eastAsia="Calibri" w:hAnsi="Palatino Linotype"/>
          <w:sz w:val="22"/>
          <w:szCs w:val="22"/>
          <w:lang w:eastAsia="en-US"/>
        </w:rPr>
        <w:t xml:space="preserve">a </w:t>
      </w:r>
      <w:r w:rsidR="00CC7AA0" w:rsidRPr="008A6ABF">
        <w:rPr>
          <w:rFonts w:ascii="Palatino Linotype" w:eastAsia="Calibri" w:hAnsi="Palatino Linotype"/>
          <w:sz w:val="22"/>
          <w:szCs w:val="22"/>
          <w:lang w:eastAsia="en-US"/>
        </w:rPr>
        <w:t xml:space="preserve">que en términos del Considerando </w:t>
      </w:r>
      <w:r w:rsidR="00CC7AA0" w:rsidRPr="008A6ABF">
        <w:rPr>
          <w:rFonts w:ascii="Palatino Linotype" w:eastAsia="Calibri" w:hAnsi="Palatino Linotype"/>
          <w:b/>
          <w:sz w:val="22"/>
          <w:szCs w:val="22"/>
          <w:lang w:eastAsia="en-US"/>
        </w:rPr>
        <w:t>Quinto</w:t>
      </w:r>
      <w:r w:rsidR="00CC7AA0" w:rsidRPr="008A6ABF">
        <w:rPr>
          <w:rFonts w:ascii="Palatino Linotype" w:eastAsia="Calibri" w:hAnsi="Palatino Linotype"/>
          <w:sz w:val="22"/>
          <w:szCs w:val="22"/>
          <w:lang w:eastAsia="en-US"/>
        </w:rPr>
        <w:t xml:space="preserve"> de esta </w:t>
      </w:r>
      <w:r w:rsidR="001A2410">
        <w:rPr>
          <w:rFonts w:ascii="Palatino Linotype" w:eastAsia="Calibri" w:hAnsi="Palatino Linotype"/>
          <w:sz w:val="22"/>
          <w:szCs w:val="22"/>
          <w:lang w:eastAsia="en-US"/>
        </w:rPr>
        <w:t>R</w:t>
      </w:r>
      <w:r w:rsidR="00CC7AA0" w:rsidRPr="008A6ABF">
        <w:rPr>
          <w:rFonts w:ascii="Palatino Linotype" w:eastAsia="Calibri" w:hAnsi="Palatino Linotype"/>
          <w:sz w:val="22"/>
          <w:szCs w:val="22"/>
          <w:lang w:eastAsia="en-US"/>
        </w:rPr>
        <w:t xml:space="preserve">esolución haga entrega, vía Sistema de Acceso a la Información Mexiquense </w:t>
      </w:r>
      <w:r w:rsidR="00CC7AA0" w:rsidRPr="008A6ABF">
        <w:rPr>
          <w:rFonts w:ascii="Palatino Linotype" w:eastAsia="Calibri" w:hAnsi="Palatino Linotype"/>
          <w:b/>
          <w:sz w:val="22"/>
          <w:szCs w:val="22"/>
          <w:lang w:eastAsia="en-US"/>
        </w:rPr>
        <w:t>(SAIMEX)</w:t>
      </w:r>
      <w:r w:rsidR="00CC7AA0" w:rsidRPr="008A6ABF">
        <w:rPr>
          <w:rFonts w:ascii="Palatino Linotype" w:eastAsia="Calibri" w:hAnsi="Palatino Linotype"/>
          <w:sz w:val="22"/>
          <w:szCs w:val="22"/>
          <w:lang w:eastAsia="en-US"/>
        </w:rPr>
        <w:t xml:space="preserve"> </w:t>
      </w:r>
      <w:r w:rsidR="001A2410">
        <w:rPr>
          <w:rFonts w:ascii="Palatino Linotype" w:eastAsia="Calibri" w:hAnsi="Palatino Linotype"/>
          <w:sz w:val="22"/>
          <w:szCs w:val="22"/>
          <w:lang w:eastAsia="en-US"/>
        </w:rPr>
        <w:t xml:space="preserve">previa búsqueda exhaustiva y razonable, </w:t>
      </w:r>
      <w:r w:rsidR="00CC7AA0" w:rsidRPr="008A6ABF">
        <w:rPr>
          <w:rFonts w:ascii="Palatino Linotype" w:eastAsia="Calibri" w:hAnsi="Palatino Linotype"/>
          <w:sz w:val="22"/>
          <w:szCs w:val="22"/>
          <w:lang w:eastAsia="en-US"/>
        </w:rPr>
        <w:t xml:space="preserve">en </w:t>
      </w:r>
      <w:r w:rsidR="001A2410">
        <w:rPr>
          <w:rFonts w:ascii="Palatino Linotype" w:eastAsia="Calibri" w:hAnsi="Palatino Linotype"/>
          <w:sz w:val="22"/>
          <w:szCs w:val="22"/>
          <w:lang w:eastAsia="en-US"/>
        </w:rPr>
        <w:t xml:space="preserve">su caso en </w:t>
      </w:r>
      <w:r w:rsidR="00CC7AA0" w:rsidRPr="008A6ABF">
        <w:rPr>
          <w:rFonts w:ascii="Palatino Linotype" w:eastAsia="Calibri" w:hAnsi="Palatino Linotype"/>
          <w:sz w:val="22"/>
          <w:szCs w:val="22"/>
          <w:lang w:eastAsia="en-US"/>
        </w:rPr>
        <w:t xml:space="preserve">versión pública, </w:t>
      </w:r>
      <w:r w:rsidR="00166D05" w:rsidRPr="008A6ABF">
        <w:rPr>
          <w:rFonts w:ascii="Palatino Linotype" w:eastAsia="Calibri" w:hAnsi="Palatino Linotype"/>
          <w:sz w:val="22"/>
          <w:szCs w:val="22"/>
          <w:lang w:eastAsia="en-US"/>
        </w:rPr>
        <w:t>del periodo de tiempo del 1</w:t>
      </w:r>
      <w:r w:rsidR="001A2410">
        <w:rPr>
          <w:rFonts w:ascii="Palatino Linotype" w:eastAsia="Calibri" w:hAnsi="Palatino Linotype"/>
          <w:sz w:val="22"/>
          <w:szCs w:val="22"/>
          <w:lang w:eastAsia="en-US"/>
        </w:rPr>
        <w:t>°</w:t>
      </w:r>
      <w:r w:rsidR="00166D05" w:rsidRPr="008A6ABF">
        <w:rPr>
          <w:rFonts w:ascii="Palatino Linotype" w:eastAsia="Calibri" w:hAnsi="Palatino Linotype"/>
          <w:sz w:val="22"/>
          <w:szCs w:val="22"/>
          <w:lang w:eastAsia="en-US"/>
        </w:rPr>
        <w:t xml:space="preserve"> de enero de 2016 al 17 de diciembre de 2021</w:t>
      </w:r>
      <w:r w:rsidR="00CC7AA0" w:rsidRPr="008A6ABF">
        <w:rPr>
          <w:rFonts w:ascii="Palatino Linotype" w:eastAsia="Calibri" w:hAnsi="Palatino Linotype"/>
          <w:sz w:val="22"/>
          <w:szCs w:val="22"/>
          <w:lang w:eastAsia="en-US"/>
        </w:rPr>
        <w:t xml:space="preserve">, </w:t>
      </w:r>
      <w:r w:rsidR="001A2410">
        <w:rPr>
          <w:rFonts w:ascii="Palatino Linotype" w:eastAsia="Calibri" w:hAnsi="Palatino Linotype"/>
          <w:sz w:val="22"/>
          <w:szCs w:val="22"/>
          <w:lang w:eastAsia="en-US"/>
        </w:rPr>
        <w:t>los</w:t>
      </w:r>
      <w:r w:rsidR="00CC7AA0" w:rsidRPr="008A6ABF">
        <w:rPr>
          <w:rFonts w:ascii="Palatino Linotype" w:eastAsia="Calibri" w:hAnsi="Palatino Linotype"/>
          <w:sz w:val="22"/>
          <w:szCs w:val="22"/>
          <w:lang w:eastAsia="en-US"/>
        </w:rPr>
        <w:t xml:space="preserve"> documentos en donde conste lo siguiente</w:t>
      </w:r>
      <w:r w:rsidR="001A2410">
        <w:rPr>
          <w:rFonts w:ascii="Palatino Linotype" w:eastAsia="Calibri" w:hAnsi="Palatino Linotype"/>
          <w:sz w:val="22"/>
          <w:szCs w:val="22"/>
          <w:lang w:eastAsia="en-US"/>
        </w:rPr>
        <w:t>, respecto de los policías del Ayuntamiento dados de baja</w:t>
      </w:r>
      <w:r w:rsidR="00CC7AA0" w:rsidRPr="008A6ABF">
        <w:rPr>
          <w:rFonts w:ascii="Palatino Linotype" w:eastAsia="Calibri" w:hAnsi="Palatino Linotype"/>
          <w:sz w:val="22"/>
          <w:szCs w:val="22"/>
          <w:lang w:eastAsia="en-US"/>
        </w:rPr>
        <w:t>:</w:t>
      </w:r>
    </w:p>
    <w:p w14:paraId="45B95881" w14:textId="77777777" w:rsidR="00CC7AA0" w:rsidRPr="008A6ABF" w:rsidRDefault="00CC7AA0" w:rsidP="00F302E7">
      <w:pPr>
        <w:spacing w:line="360" w:lineRule="auto"/>
        <w:ind w:right="49"/>
        <w:contextualSpacing/>
        <w:jc w:val="both"/>
        <w:rPr>
          <w:rFonts w:ascii="Palatino Linotype" w:eastAsia="Calibri" w:hAnsi="Palatino Linotype"/>
          <w:sz w:val="12"/>
          <w:lang w:eastAsia="en-US"/>
        </w:rPr>
      </w:pPr>
    </w:p>
    <w:p w14:paraId="72852C78" w14:textId="65FFCBCD" w:rsidR="00CC7AA0" w:rsidRPr="00F302E7" w:rsidRDefault="00CC7AA0" w:rsidP="00CF227C">
      <w:pPr>
        <w:spacing w:line="360" w:lineRule="auto"/>
        <w:ind w:left="851" w:right="899"/>
        <w:jc w:val="both"/>
        <w:rPr>
          <w:rFonts w:ascii="Palatino Linotype" w:hAnsi="Palatino Linotype" w:cs="Tahoma"/>
          <w:bCs/>
          <w:iCs/>
          <w:sz w:val="22"/>
          <w:szCs w:val="22"/>
        </w:rPr>
      </w:pPr>
      <w:r w:rsidRPr="00F302E7">
        <w:rPr>
          <w:rFonts w:ascii="Palatino Linotype" w:hAnsi="Palatino Linotype" w:cs="Tahoma"/>
          <w:bCs/>
          <w:iCs/>
          <w:sz w:val="22"/>
          <w:szCs w:val="22"/>
        </w:rPr>
        <w:t>“</w:t>
      </w:r>
      <w:r w:rsidR="00166D05" w:rsidRPr="00F302E7">
        <w:rPr>
          <w:rFonts w:ascii="Palatino Linotype" w:hAnsi="Palatino Linotype" w:cs="Tahoma"/>
          <w:bCs/>
          <w:iCs/>
          <w:sz w:val="22"/>
          <w:szCs w:val="22"/>
        </w:rPr>
        <w:t xml:space="preserve">Las </w:t>
      </w:r>
      <w:r w:rsidRPr="00F302E7">
        <w:rPr>
          <w:rFonts w:ascii="Palatino Linotype" w:hAnsi="Palatino Linotype" w:cs="Tahoma"/>
          <w:bCs/>
          <w:iCs/>
          <w:sz w:val="22"/>
          <w:szCs w:val="22"/>
        </w:rPr>
        <w:t xml:space="preserve">fechas </w:t>
      </w:r>
      <w:r w:rsidR="00724F84">
        <w:rPr>
          <w:rFonts w:ascii="Palatino Linotype" w:hAnsi="Palatino Linotype" w:cs="Tahoma"/>
          <w:bCs/>
          <w:iCs/>
          <w:sz w:val="22"/>
          <w:szCs w:val="22"/>
        </w:rPr>
        <w:t xml:space="preserve">y motivo </w:t>
      </w:r>
      <w:r w:rsidRPr="00F302E7">
        <w:rPr>
          <w:rFonts w:ascii="Palatino Linotype" w:hAnsi="Palatino Linotype" w:cs="Tahoma"/>
          <w:bCs/>
          <w:iCs/>
          <w:sz w:val="22"/>
          <w:szCs w:val="22"/>
        </w:rPr>
        <w:t>de baja, puesto o grado, sección o división a la que pertenecían, números de expedientes, instancia</w:t>
      </w:r>
      <w:r w:rsidR="001A2410" w:rsidRPr="00F302E7">
        <w:rPr>
          <w:rFonts w:ascii="Palatino Linotype" w:hAnsi="Palatino Linotype" w:cs="Tahoma"/>
          <w:bCs/>
          <w:iCs/>
          <w:sz w:val="22"/>
          <w:szCs w:val="22"/>
        </w:rPr>
        <w:t xml:space="preserve"> a la que </w:t>
      </w:r>
      <w:r w:rsidRPr="00F302E7">
        <w:rPr>
          <w:rFonts w:ascii="Palatino Linotype" w:hAnsi="Palatino Linotype" w:cs="Tahoma"/>
          <w:bCs/>
          <w:iCs/>
          <w:sz w:val="22"/>
          <w:szCs w:val="22"/>
        </w:rPr>
        <w:t>fue turnado el caso, estatus y, si el elemento fue reinstalado en el puesto de trabajo con el que contaba.</w:t>
      </w:r>
    </w:p>
    <w:p w14:paraId="7A07EF1A" w14:textId="77777777" w:rsidR="00166D05" w:rsidRPr="00F302E7" w:rsidRDefault="00166D05" w:rsidP="00CF227C">
      <w:pPr>
        <w:spacing w:line="360" w:lineRule="auto"/>
        <w:ind w:left="851" w:right="899"/>
        <w:jc w:val="both"/>
        <w:rPr>
          <w:rFonts w:ascii="Palatino Linotype" w:hAnsi="Palatino Linotype" w:cs="Tahoma"/>
          <w:bCs/>
          <w:iCs/>
          <w:sz w:val="22"/>
          <w:szCs w:val="22"/>
        </w:rPr>
      </w:pPr>
    </w:p>
    <w:p w14:paraId="3FE7BE2D" w14:textId="10791C29" w:rsidR="0033098C" w:rsidRPr="0033098C" w:rsidRDefault="00CC7AA0" w:rsidP="0033098C">
      <w:pPr>
        <w:autoSpaceDE w:val="0"/>
        <w:autoSpaceDN w:val="0"/>
        <w:adjustRightInd w:val="0"/>
        <w:spacing w:line="360" w:lineRule="auto"/>
        <w:jc w:val="both"/>
        <w:rPr>
          <w:rFonts w:ascii="Palatino Linotype" w:eastAsia="Calibri" w:hAnsi="Palatino Linotype" w:cs="Tahoma"/>
          <w:bCs/>
          <w:iCs/>
          <w:color w:val="000000"/>
          <w:sz w:val="22"/>
          <w:szCs w:val="22"/>
          <w:lang w:eastAsia="en-US"/>
        </w:rPr>
      </w:pPr>
      <w:r w:rsidRPr="00F302E7">
        <w:rPr>
          <w:rFonts w:ascii="Palatino Linotype" w:hAnsi="Palatino Linotype" w:cs="Tahoma"/>
          <w:bCs/>
          <w:iCs/>
          <w:sz w:val="22"/>
          <w:szCs w:val="22"/>
        </w:rPr>
        <w:t>De</w:t>
      </w:r>
      <w:r w:rsidR="006B16D0" w:rsidRPr="00F302E7">
        <w:rPr>
          <w:rFonts w:ascii="Palatino Linotype" w:hAnsi="Palatino Linotype" w:cs="Tahoma"/>
          <w:bCs/>
          <w:iCs/>
          <w:sz w:val="22"/>
          <w:szCs w:val="22"/>
        </w:rPr>
        <w:t xml:space="preserve"> ser necesarias </w:t>
      </w:r>
      <w:r w:rsidR="0033098C" w:rsidRPr="0033098C">
        <w:rPr>
          <w:rFonts w:ascii="Palatino Linotype" w:hAnsi="Palatino Linotype" w:cs="Tahoma"/>
          <w:sz w:val="22"/>
          <w:szCs w:val="22"/>
          <w:lang w:val="es-ES"/>
        </w:rPr>
        <w:t xml:space="preserve">junto con las versiones públicas que se entreguen, se deberá proporcionar el Acuerdo de Clasificación donde el Comité de Transparencia, confirme la eliminación de los datos confidenciales, de conformidad con los artículos 49, fracciones II y VIII </w:t>
      </w:r>
      <w:r w:rsidR="0033098C" w:rsidRPr="0033098C">
        <w:rPr>
          <w:rFonts w:ascii="Palatino Linotype" w:eastAsia="Calibri" w:hAnsi="Palatino Linotype" w:cs="Tahoma"/>
          <w:bCs/>
          <w:iCs/>
          <w:color w:val="000000"/>
          <w:sz w:val="22"/>
          <w:szCs w:val="22"/>
          <w:lang w:eastAsia="en-US"/>
        </w:rPr>
        <w:t>y 132, fracción II de la Ley de Transparencia y Acceso a la Información Pública del Estado de México y Municipios.</w:t>
      </w:r>
    </w:p>
    <w:p w14:paraId="6D569CAC" w14:textId="77777777" w:rsidR="00CC7AA0" w:rsidRPr="008A6ABF" w:rsidRDefault="00CC7AA0" w:rsidP="00F302E7">
      <w:pPr>
        <w:spacing w:line="360" w:lineRule="auto"/>
        <w:ind w:left="851" w:right="899"/>
        <w:contextualSpacing/>
        <w:jc w:val="both"/>
        <w:rPr>
          <w:rFonts w:ascii="Palatino Linotype" w:eastAsia="Calibri" w:hAnsi="Palatino Linotype"/>
          <w:i/>
          <w:lang w:eastAsia="en-US"/>
        </w:rPr>
      </w:pPr>
    </w:p>
    <w:p w14:paraId="2EC564D4" w14:textId="77FCD71C" w:rsidR="00CC7AA0" w:rsidRPr="008A6ABF" w:rsidRDefault="00CC7AA0" w:rsidP="00F302E7">
      <w:pPr>
        <w:spacing w:line="360" w:lineRule="auto"/>
        <w:ind w:right="49"/>
        <w:contextualSpacing/>
        <w:jc w:val="both"/>
        <w:rPr>
          <w:rFonts w:ascii="Palatino Linotype" w:eastAsia="Calibri" w:hAnsi="Palatino Linotype"/>
          <w:sz w:val="22"/>
          <w:szCs w:val="22"/>
          <w:lang w:eastAsia="en-US"/>
        </w:rPr>
      </w:pPr>
      <w:r w:rsidRPr="008A6ABF">
        <w:rPr>
          <w:rFonts w:ascii="Palatino Linotype" w:eastAsia="Calibri" w:hAnsi="Palatino Linotype"/>
          <w:b/>
          <w:lang w:eastAsia="en-US"/>
        </w:rPr>
        <w:t>TERCERO.</w:t>
      </w:r>
      <w:r w:rsidRPr="008A6ABF">
        <w:rPr>
          <w:rFonts w:ascii="Palatino Linotype" w:eastAsia="Calibri" w:hAnsi="Palatino Linotype"/>
          <w:lang w:eastAsia="en-US"/>
        </w:rPr>
        <w:t> </w:t>
      </w:r>
      <w:r w:rsidRPr="008A6ABF">
        <w:rPr>
          <w:rFonts w:ascii="Palatino Linotype" w:eastAsia="Calibri" w:hAnsi="Palatino Linotype"/>
          <w:b/>
          <w:sz w:val="22"/>
          <w:szCs w:val="22"/>
          <w:lang w:eastAsia="en-US"/>
        </w:rPr>
        <w:t xml:space="preserve">NOTIFÍQUESE vía </w:t>
      </w:r>
      <w:r w:rsidRPr="008A6ABF">
        <w:rPr>
          <w:rFonts w:ascii="Palatino Linotype" w:eastAsia="Calibri" w:hAnsi="Palatino Linotype"/>
          <w:sz w:val="22"/>
          <w:szCs w:val="22"/>
          <w:lang w:eastAsia="en-US"/>
        </w:rPr>
        <w:t xml:space="preserve">Sistema de Acceso a la Información Mexiquense </w:t>
      </w:r>
      <w:r w:rsidRPr="008A6ABF">
        <w:rPr>
          <w:rFonts w:ascii="Palatino Linotype" w:eastAsia="Calibri" w:hAnsi="Palatino Linotype"/>
          <w:b/>
          <w:sz w:val="22"/>
          <w:szCs w:val="22"/>
          <w:lang w:eastAsia="en-US"/>
        </w:rPr>
        <w:t xml:space="preserve">(SAIMEX) </w:t>
      </w:r>
      <w:r w:rsidRPr="008A6ABF">
        <w:rPr>
          <w:rFonts w:ascii="Palatino Linotype" w:eastAsia="Calibri" w:hAnsi="Palatino Linotype"/>
          <w:sz w:val="22"/>
          <w:szCs w:val="22"/>
          <w:lang w:eastAsia="en-US"/>
        </w:rPr>
        <w:t xml:space="preserve">la presente resolución al Titular de la Unidad de Transparencia del Sujeto Obligado, para que conforme al artículo 186 último párrafo y 189 párrafo segundo de la Ley de Transparencia y Acceso a la </w:t>
      </w:r>
      <w:r w:rsidR="008258F9" w:rsidRPr="008A6ABF">
        <w:rPr>
          <w:rFonts w:ascii="Palatino Linotype" w:eastAsia="Calibri" w:hAnsi="Palatino Linotype"/>
          <w:sz w:val="22"/>
          <w:szCs w:val="22"/>
          <w:lang w:eastAsia="en-US"/>
        </w:rPr>
        <w:t>Información Pública</w:t>
      </w:r>
      <w:r w:rsidRPr="008A6ABF">
        <w:rPr>
          <w:rFonts w:ascii="Palatino Linotype" w:eastAsia="Calibri" w:hAnsi="Palatino Linotype"/>
          <w:sz w:val="22"/>
          <w:szCs w:val="22"/>
          <w:lang w:eastAsia="en-US"/>
        </w:rPr>
        <w:t xml:space="preserve"> del Estado de México y Municipios, dé cumplimiento a lo </w:t>
      </w:r>
      <w:r w:rsidRPr="008A6ABF">
        <w:rPr>
          <w:rFonts w:ascii="Palatino Linotype" w:eastAsia="Calibri" w:hAnsi="Palatino Linotype"/>
          <w:sz w:val="22"/>
          <w:szCs w:val="22"/>
          <w:lang w:eastAsia="en-US"/>
        </w:rPr>
        <w:lastRenderedPageBreak/>
        <w:t xml:space="preserve">ordenado dentro del plazo de diez días hábiles, </w:t>
      </w:r>
      <w:r w:rsidR="0033098C">
        <w:rPr>
          <w:rFonts w:ascii="Palatino Linotype" w:eastAsia="Calibri" w:hAnsi="Palatino Linotype"/>
          <w:sz w:val="22"/>
          <w:szCs w:val="22"/>
          <w:lang w:eastAsia="en-US"/>
        </w:rPr>
        <w:t>e</w:t>
      </w:r>
      <w:r w:rsidRPr="008A6ABF">
        <w:rPr>
          <w:rFonts w:ascii="Palatino Linotype" w:eastAsia="Calibri" w:hAnsi="Palatino Linotype"/>
          <w:sz w:val="22"/>
          <w:szCs w:val="22"/>
          <w:lang w:eastAsia="en-US"/>
        </w:rPr>
        <w:t xml:space="preserve"> </w:t>
      </w:r>
      <w:r w:rsidR="0033098C" w:rsidRPr="008A6ABF">
        <w:rPr>
          <w:rFonts w:ascii="Palatino Linotype" w:eastAsia="Calibri" w:hAnsi="Palatino Linotype"/>
          <w:sz w:val="22"/>
          <w:szCs w:val="22"/>
          <w:lang w:eastAsia="en-US"/>
        </w:rPr>
        <w:t>inform</w:t>
      </w:r>
      <w:r w:rsidR="0033098C">
        <w:rPr>
          <w:rFonts w:ascii="Palatino Linotype" w:eastAsia="Calibri" w:hAnsi="Palatino Linotype"/>
          <w:sz w:val="22"/>
          <w:szCs w:val="22"/>
          <w:lang w:eastAsia="en-US"/>
        </w:rPr>
        <w:t>e</w:t>
      </w:r>
      <w:r w:rsidR="0033098C" w:rsidRPr="008A6ABF">
        <w:rPr>
          <w:rFonts w:ascii="Palatino Linotype" w:eastAsia="Calibri" w:hAnsi="Palatino Linotype"/>
          <w:sz w:val="22"/>
          <w:szCs w:val="22"/>
          <w:lang w:eastAsia="en-US"/>
        </w:rPr>
        <w:t xml:space="preserve"> </w:t>
      </w:r>
      <w:r w:rsidRPr="008A6ABF">
        <w:rPr>
          <w:rFonts w:ascii="Palatino Linotype" w:eastAsia="Calibri" w:hAnsi="Palatino Linotype"/>
          <w:sz w:val="22"/>
          <w:szCs w:val="22"/>
          <w:lang w:eastAsia="en-US"/>
        </w:rPr>
        <w:t>a este Instituto en un plazo de tres días hábiles siguientes sobre el cumplimiento dado a la presente resolución.</w:t>
      </w:r>
    </w:p>
    <w:p w14:paraId="24FAC308" w14:textId="067D2417" w:rsidR="00CC7AA0" w:rsidRPr="008A6ABF" w:rsidRDefault="00CC7AA0" w:rsidP="00F302E7">
      <w:pPr>
        <w:spacing w:line="360" w:lineRule="auto"/>
        <w:ind w:right="49"/>
        <w:contextualSpacing/>
        <w:jc w:val="both"/>
        <w:rPr>
          <w:rFonts w:ascii="Palatino Linotype" w:eastAsia="Calibri" w:hAnsi="Palatino Linotype"/>
          <w:sz w:val="22"/>
          <w:szCs w:val="22"/>
          <w:lang w:eastAsia="en-US"/>
        </w:rPr>
      </w:pPr>
      <w:r w:rsidRPr="008A6ABF">
        <w:rPr>
          <w:rFonts w:ascii="Palatino Linotype" w:eastAsia="Calibri" w:hAnsi="Palatino Linotype"/>
          <w:b/>
          <w:lang w:eastAsia="en-US"/>
        </w:rPr>
        <w:t>CUARTO.</w:t>
      </w:r>
      <w:r w:rsidRPr="008A6ABF">
        <w:rPr>
          <w:rFonts w:ascii="Palatino Linotype" w:eastAsia="Calibri" w:hAnsi="Palatino Linotype"/>
          <w:lang w:eastAsia="en-US"/>
        </w:rPr>
        <w:t xml:space="preserve"> </w:t>
      </w:r>
      <w:r w:rsidRPr="008A6ABF">
        <w:rPr>
          <w:rFonts w:ascii="Palatino Linotype" w:eastAsia="Calibri" w:hAnsi="Palatino Linotype"/>
          <w:sz w:val="22"/>
          <w:szCs w:val="22"/>
          <w:lang w:eastAsia="en-US"/>
        </w:rPr>
        <w:t xml:space="preserve">De conformidad con el artículo 198 de la Ley de Transparencia y Acceso a la </w:t>
      </w:r>
      <w:r w:rsidR="008258F9" w:rsidRPr="008A6ABF">
        <w:rPr>
          <w:rFonts w:ascii="Palatino Linotype" w:eastAsia="Calibri" w:hAnsi="Palatino Linotype"/>
          <w:sz w:val="22"/>
          <w:szCs w:val="22"/>
          <w:lang w:eastAsia="en-US"/>
        </w:rPr>
        <w:t>Información Pública</w:t>
      </w:r>
      <w:r w:rsidRPr="008A6ABF">
        <w:rPr>
          <w:rFonts w:ascii="Palatino Linotype" w:eastAsia="Calibri" w:hAnsi="Palatino Linotype"/>
          <w:sz w:val="22"/>
          <w:szCs w:val="22"/>
          <w:lang w:eastAsia="en-US"/>
        </w:rPr>
        <w:t xml:space="preserve"> del Estado de México y Municipios, de considerarlo procedente, el Sujeto Obligado de manera fundada y motivada, podrá solicitar una ampliación de plazo para el cumplimiento de la presente resolución.</w:t>
      </w:r>
    </w:p>
    <w:p w14:paraId="4318D74F" w14:textId="77777777" w:rsidR="00CC7AA0" w:rsidRPr="008A6ABF" w:rsidRDefault="00CC7AA0" w:rsidP="00F302E7">
      <w:pPr>
        <w:spacing w:line="360" w:lineRule="auto"/>
        <w:ind w:right="49"/>
        <w:contextualSpacing/>
        <w:jc w:val="both"/>
        <w:rPr>
          <w:rFonts w:ascii="Palatino Linotype" w:eastAsia="Calibri" w:hAnsi="Palatino Linotype"/>
          <w:lang w:eastAsia="en-US"/>
        </w:rPr>
      </w:pPr>
    </w:p>
    <w:p w14:paraId="2B08BD87" w14:textId="2CFE9652" w:rsidR="00CC7AA0" w:rsidRPr="008A6ABF" w:rsidRDefault="00CC7AA0" w:rsidP="00F302E7">
      <w:pPr>
        <w:spacing w:line="360" w:lineRule="auto"/>
        <w:ind w:right="49"/>
        <w:contextualSpacing/>
        <w:jc w:val="both"/>
        <w:rPr>
          <w:rFonts w:ascii="Palatino Linotype" w:eastAsia="Calibri" w:hAnsi="Palatino Linotype"/>
          <w:sz w:val="22"/>
          <w:szCs w:val="22"/>
          <w:lang w:eastAsia="en-US"/>
        </w:rPr>
      </w:pPr>
      <w:r w:rsidRPr="008A6ABF">
        <w:rPr>
          <w:rFonts w:ascii="Palatino Linotype" w:eastAsia="Calibri" w:hAnsi="Palatino Linotype"/>
          <w:b/>
          <w:lang w:eastAsia="en-US"/>
        </w:rPr>
        <w:t xml:space="preserve">QUINTO. </w:t>
      </w:r>
      <w:r w:rsidRPr="008A6ABF">
        <w:rPr>
          <w:rFonts w:ascii="Palatino Linotype" w:eastAsia="Calibri" w:hAnsi="Palatino Linotype"/>
          <w:b/>
          <w:sz w:val="22"/>
          <w:szCs w:val="22"/>
          <w:lang w:eastAsia="en-US"/>
        </w:rPr>
        <w:t xml:space="preserve">NOTIFIQUESE vía </w:t>
      </w:r>
      <w:r w:rsidRPr="008A6ABF">
        <w:rPr>
          <w:rFonts w:ascii="Palatino Linotype" w:eastAsia="Calibri" w:hAnsi="Palatino Linotype"/>
          <w:sz w:val="22"/>
          <w:szCs w:val="22"/>
          <w:lang w:eastAsia="en-US"/>
        </w:rPr>
        <w:t>Sistema de Acceso a la Información Mexiquense</w:t>
      </w:r>
      <w:r w:rsidRPr="008A6ABF">
        <w:rPr>
          <w:rFonts w:ascii="Palatino Linotype" w:eastAsia="Calibri" w:hAnsi="Palatino Linotype"/>
          <w:b/>
          <w:sz w:val="22"/>
          <w:szCs w:val="22"/>
          <w:lang w:eastAsia="en-US"/>
        </w:rPr>
        <w:t xml:space="preserve"> (SAIMEX)</w:t>
      </w:r>
      <w:r w:rsidRPr="008A6ABF">
        <w:rPr>
          <w:rFonts w:ascii="Palatino Linotype" w:eastAsia="Calibri" w:hAnsi="Palatino Linotype"/>
          <w:sz w:val="22"/>
          <w:szCs w:val="22"/>
          <w:lang w:eastAsia="en-US"/>
        </w:rPr>
        <w:t xml:space="preserve"> a </w:t>
      </w:r>
      <w:r w:rsidRPr="008A6ABF">
        <w:rPr>
          <w:rFonts w:ascii="Palatino Linotype" w:eastAsia="Calibri" w:hAnsi="Palatino Linotype"/>
          <w:b/>
          <w:sz w:val="22"/>
          <w:szCs w:val="22"/>
          <w:lang w:eastAsia="en-US"/>
        </w:rPr>
        <w:t>LA</w:t>
      </w:r>
      <w:r w:rsidRPr="008A6ABF">
        <w:rPr>
          <w:rFonts w:ascii="Palatino Linotype" w:eastAsia="Calibri" w:hAnsi="Palatino Linotype"/>
          <w:sz w:val="22"/>
          <w:szCs w:val="22"/>
          <w:lang w:eastAsia="en-US"/>
        </w:rPr>
        <w:t xml:space="preserve"> </w:t>
      </w:r>
      <w:r w:rsidRPr="008A6ABF">
        <w:rPr>
          <w:rFonts w:ascii="Palatino Linotype" w:eastAsia="Calibri" w:hAnsi="Palatino Linotype"/>
          <w:b/>
          <w:sz w:val="22"/>
          <w:szCs w:val="22"/>
          <w:lang w:eastAsia="en-US"/>
        </w:rPr>
        <w:t>RECURRENTE</w:t>
      </w:r>
      <w:r w:rsidRPr="008A6ABF">
        <w:rPr>
          <w:rFonts w:ascii="Palatino Linotype" w:eastAsia="Calibri" w:hAnsi="Palatino Linotype"/>
          <w:sz w:val="22"/>
          <w:szCs w:val="22"/>
          <w:lang w:eastAsia="en-US"/>
        </w:rPr>
        <w:t xml:space="preserve">, la presente resolución, así como, que de conformidad con lo establecido en el artículo 196 de la Ley de Transparencia y Acceso a la </w:t>
      </w:r>
      <w:r w:rsidR="008258F9" w:rsidRPr="008A6ABF">
        <w:rPr>
          <w:rFonts w:ascii="Palatino Linotype" w:eastAsia="Calibri" w:hAnsi="Palatino Linotype"/>
          <w:sz w:val="22"/>
          <w:szCs w:val="22"/>
          <w:lang w:eastAsia="en-US"/>
        </w:rPr>
        <w:t>Información Pública</w:t>
      </w:r>
      <w:r w:rsidRPr="008A6ABF">
        <w:rPr>
          <w:rFonts w:ascii="Palatino Linotype" w:eastAsia="Calibri" w:hAnsi="Palatino Linotype"/>
          <w:sz w:val="22"/>
          <w:szCs w:val="22"/>
          <w:lang w:eastAsia="en-US"/>
        </w:rPr>
        <w:t xml:space="preserve"> del Estado de México y Municipios, podrá impugnarla vía Juicio de Amparo en los términos de las leyes aplicables.</w:t>
      </w:r>
    </w:p>
    <w:p w14:paraId="095BB6FE" w14:textId="77777777" w:rsidR="00BC0E3B" w:rsidRPr="008A6ABF" w:rsidRDefault="00BC0E3B" w:rsidP="00CF227C">
      <w:pPr>
        <w:spacing w:line="360" w:lineRule="auto"/>
        <w:jc w:val="both"/>
        <w:rPr>
          <w:rFonts w:ascii="Palatino Linotype" w:eastAsiaTheme="minorEastAsia" w:hAnsi="Palatino Linotype"/>
          <w:color w:val="222222"/>
          <w:szCs w:val="17"/>
          <w:lang w:eastAsia="es-ES_tradnl"/>
        </w:rPr>
      </w:pPr>
    </w:p>
    <w:p w14:paraId="1E87E4AC" w14:textId="5E6B6E11" w:rsidR="00166D05" w:rsidRPr="008A6ABF" w:rsidRDefault="00BC0E3B" w:rsidP="00CF227C">
      <w:pPr>
        <w:spacing w:line="360" w:lineRule="auto"/>
        <w:jc w:val="both"/>
        <w:rPr>
          <w:rFonts w:ascii="Palatino Linotype" w:hAnsi="Palatino Linotype"/>
          <w:sz w:val="22"/>
        </w:rPr>
      </w:pPr>
      <w:r w:rsidRPr="008A6ABF">
        <w:rPr>
          <w:rFonts w:ascii="Palatino Linotype" w:hAnsi="Palatino Linotype"/>
          <w:sz w:val="22"/>
        </w:rPr>
        <w:t xml:space="preserve">ASÍ LO RESUELVE, POR </w:t>
      </w:r>
      <w:r w:rsidRPr="0096672C">
        <w:rPr>
          <w:rFonts w:ascii="Palatino Linotype" w:hAnsi="Palatino Linotype"/>
          <w:b/>
          <w:bCs/>
          <w:sz w:val="22"/>
        </w:rPr>
        <w:t>UNANIMIDAD</w:t>
      </w:r>
      <w:r w:rsidRPr="008A6ABF">
        <w:rPr>
          <w:rFonts w:ascii="Palatino Linotype" w:hAnsi="Palatino Linotype"/>
          <w:sz w:val="22"/>
        </w:rPr>
        <w:t xml:space="preserve"> DE VOTOS EL PLENO DEL INSTITUTO DE TRANSPARENCIA, ACCESO A LA </w:t>
      </w:r>
      <w:r w:rsidR="008258F9" w:rsidRPr="008A6ABF">
        <w:rPr>
          <w:rFonts w:ascii="Palatino Linotype" w:hAnsi="Palatino Linotype"/>
          <w:sz w:val="22"/>
        </w:rPr>
        <w:t>INFORMACIÓN PÚBLICA</w:t>
      </w:r>
      <w:r w:rsidRPr="008A6ABF">
        <w:rPr>
          <w:rFonts w:ascii="Palatino Linotype" w:hAnsi="Palatino Linotype"/>
          <w:sz w:val="22"/>
        </w:rPr>
        <w:t xml:space="preserve">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sidR="00166D05" w:rsidRPr="008A6ABF">
        <w:rPr>
          <w:rFonts w:ascii="Palatino Linotype" w:hAnsi="Palatino Linotype"/>
          <w:sz w:val="22"/>
        </w:rPr>
        <w:t xml:space="preserve">OCTAVA </w:t>
      </w:r>
      <w:r w:rsidRPr="008A6ABF">
        <w:rPr>
          <w:rFonts w:ascii="Palatino Linotype" w:hAnsi="Palatino Linotype"/>
          <w:sz w:val="22"/>
        </w:rPr>
        <w:t xml:space="preserve">SESIÓN ORDINARIA CELEBRADA EL </w:t>
      </w:r>
      <w:r w:rsidR="00166D05" w:rsidRPr="008A6ABF">
        <w:rPr>
          <w:rFonts w:ascii="Palatino Linotype" w:hAnsi="Palatino Linotype"/>
          <w:sz w:val="22"/>
        </w:rPr>
        <w:t xml:space="preserve">TRES DE MARZO DE </w:t>
      </w:r>
      <w:r w:rsidRPr="008A6ABF">
        <w:rPr>
          <w:rFonts w:ascii="Palatino Linotype" w:hAnsi="Palatino Linotype"/>
          <w:sz w:val="22"/>
        </w:rPr>
        <w:t>DOS MIL VEINTIDÓS, ANTE EL SECRETARIO TÉCNICO DEL PLENO, ALEXIS TAPIA RAMÍREZ.</w:t>
      </w:r>
    </w:p>
    <w:p w14:paraId="5E5C6F60" w14:textId="77777777" w:rsidR="00166D05" w:rsidRPr="008A6ABF" w:rsidRDefault="00166D05" w:rsidP="00CF227C">
      <w:pPr>
        <w:spacing w:line="360" w:lineRule="auto"/>
        <w:jc w:val="both"/>
        <w:rPr>
          <w:rFonts w:ascii="Palatino Linotype" w:hAnsi="Palatino Linotype"/>
          <w:sz w:val="16"/>
          <w:szCs w:val="16"/>
        </w:rPr>
      </w:pPr>
      <w:r w:rsidRPr="008A6ABF">
        <w:rPr>
          <w:rFonts w:ascii="Palatino Linotype" w:hAnsi="Palatino Linotype"/>
          <w:sz w:val="16"/>
          <w:szCs w:val="16"/>
        </w:rPr>
        <w:t>LGPN/SIRP/BLA/DEMF/AMV</w:t>
      </w:r>
    </w:p>
    <w:p w14:paraId="1B29AE5D" w14:textId="77777777" w:rsidR="00BC0E3B" w:rsidRPr="008A6ABF" w:rsidRDefault="00BC0E3B" w:rsidP="00CF227C">
      <w:pPr>
        <w:spacing w:line="360" w:lineRule="auto"/>
        <w:jc w:val="both"/>
        <w:rPr>
          <w:rFonts w:ascii="Palatino Linotype" w:hAnsi="Palatino Linotype" w:cs="Arial"/>
          <w:sz w:val="22"/>
        </w:rPr>
      </w:pPr>
      <w:r w:rsidRPr="008A6ABF">
        <w:rPr>
          <w:rFonts w:ascii="Palatino Linotype" w:hAnsi="Palatino Linotype"/>
          <w:sz w:val="22"/>
        </w:rPr>
        <w:br w:type="page"/>
      </w:r>
    </w:p>
    <w:p w14:paraId="2912DC42" w14:textId="77777777" w:rsidR="00BC0E3B" w:rsidRPr="008A6ABF" w:rsidRDefault="00BC0E3B" w:rsidP="00CF227C">
      <w:pPr>
        <w:spacing w:line="360" w:lineRule="auto"/>
        <w:jc w:val="both"/>
        <w:rPr>
          <w:rFonts w:ascii="Palatino Linotype" w:hAnsi="Palatino Linotype"/>
          <w:sz w:val="22"/>
        </w:rPr>
      </w:pPr>
    </w:p>
    <w:p w14:paraId="5398ABD6" w14:textId="77777777" w:rsidR="00BC0E3B" w:rsidRPr="008A6ABF" w:rsidRDefault="00BC0E3B" w:rsidP="00CF227C">
      <w:pPr>
        <w:spacing w:line="360" w:lineRule="auto"/>
        <w:jc w:val="both"/>
        <w:rPr>
          <w:rFonts w:ascii="Palatino Linotype" w:hAnsi="Palatino Linotype"/>
          <w:sz w:val="22"/>
        </w:rPr>
      </w:pPr>
    </w:p>
    <w:p w14:paraId="2305251C" w14:textId="77777777" w:rsidR="00DA2599" w:rsidRPr="00F302E7" w:rsidRDefault="00DA2599" w:rsidP="00F302E7">
      <w:pPr>
        <w:jc w:val="both"/>
        <w:rPr>
          <w:rFonts w:ascii="Palatino Linotype" w:hAnsi="Palatino Linotype"/>
        </w:rPr>
      </w:pPr>
    </w:p>
    <w:sectPr w:rsidR="00DA2599" w:rsidRPr="00F302E7" w:rsidSect="000735E2">
      <w:headerReference w:type="even" r:id="rId26"/>
      <w:headerReference w:type="default" r:id="rId27"/>
      <w:footerReference w:type="default" r:id="rId28"/>
      <w:headerReference w:type="first" r:id="rId29"/>
      <w:footerReference w:type="first" r:id="rId30"/>
      <w:pgSz w:w="12240" w:h="15840"/>
      <w:pgMar w:top="1240"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C8D5F" w14:textId="77777777" w:rsidR="00E5470F" w:rsidRDefault="00E5470F" w:rsidP="00BC0E3B">
      <w:r>
        <w:separator/>
      </w:r>
    </w:p>
  </w:endnote>
  <w:endnote w:type="continuationSeparator" w:id="0">
    <w:p w14:paraId="06F80276" w14:textId="77777777" w:rsidR="00E5470F" w:rsidRDefault="00E5470F" w:rsidP="00BC0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277B2" w14:textId="77777777" w:rsidR="000735E2" w:rsidRPr="0010196A" w:rsidRDefault="000735E2" w:rsidP="000735E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B2B07">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B2B07">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71826" w14:textId="77777777" w:rsidR="000735E2" w:rsidRPr="0010196A" w:rsidRDefault="000735E2" w:rsidP="000735E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B2B0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B2B07">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32A28" w14:textId="77777777" w:rsidR="00E5470F" w:rsidRDefault="00E5470F" w:rsidP="00BC0E3B">
      <w:r>
        <w:separator/>
      </w:r>
    </w:p>
  </w:footnote>
  <w:footnote w:type="continuationSeparator" w:id="0">
    <w:p w14:paraId="742B07FF" w14:textId="77777777" w:rsidR="00E5470F" w:rsidRDefault="00E5470F" w:rsidP="00BC0E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88912" w14:textId="77777777" w:rsidR="000735E2" w:rsidRDefault="00E5470F">
    <w:pPr>
      <w:pStyle w:val="Encabezado"/>
    </w:pPr>
    <w:r>
      <w:rPr>
        <w:noProof/>
        <w:lang w:val="es-MX" w:eastAsia="es-MX"/>
      </w:rPr>
      <w:pict w14:anchorId="299B2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D117B" w14:textId="77777777" w:rsidR="000735E2" w:rsidRPr="0010196A" w:rsidRDefault="00E5470F" w:rsidP="000735E2">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4107F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214" w:type="dxa"/>
      <w:tblLayout w:type="fixed"/>
      <w:tblLook w:val="04A0" w:firstRow="1" w:lastRow="0" w:firstColumn="1" w:lastColumn="0" w:noHBand="0" w:noVBand="1"/>
    </w:tblPr>
    <w:tblGrid>
      <w:gridCol w:w="3403"/>
      <w:gridCol w:w="2551"/>
      <w:gridCol w:w="3260"/>
    </w:tblGrid>
    <w:tr w:rsidR="000735E2" w:rsidRPr="008F2CCC" w14:paraId="22CC30BB" w14:textId="77777777" w:rsidTr="00BC0E3B">
      <w:tc>
        <w:tcPr>
          <w:tcW w:w="3403" w:type="dxa"/>
          <w:vMerge w:val="restart"/>
        </w:tcPr>
        <w:p w14:paraId="6A94731F" w14:textId="77777777" w:rsidR="000735E2" w:rsidRPr="008F2CCC" w:rsidRDefault="000735E2" w:rsidP="000735E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8D0B592" wp14:editId="29D295CE">
                <wp:extent cx="1663440" cy="83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C116B7D" w14:textId="77777777" w:rsidR="000735E2" w:rsidRPr="00664658" w:rsidRDefault="000735E2" w:rsidP="000735E2">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0" w:type="dxa"/>
          <w:shd w:val="clear" w:color="auto" w:fill="auto"/>
          <w:vAlign w:val="center"/>
        </w:tcPr>
        <w:p w14:paraId="23558496" w14:textId="77777777" w:rsidR="000735E2" w:rsidRPr="00664658" w:rsidRDefault="000735E2" w:rsidP="000735E2">
          <w:pPr>
            <w:jc w:val="both"/>
            <w:rPr>
              <w:rFonts w:ascii="Palatino Linotype" w:hAnsi="Palatino Linotype"/>
              <w:b/>
              <w:sz w:val="22"/>
              <w:szCs w:val="22"/>
              <w:lang w:val="es-ES_tradnl"/>
            </w:rPr>
          </w:pPr>
          <w:bookmarkStart w:id="12" w:name="_Hlk92389047"/>
          <w:r>
            <w:rPr>
              <w:rFonts w:ascii="Palatino Linotype" w:hAnsi="Palatino Linotype"/>
              <w:b/>
              <w:bCs/>
              <w:sz w:val="22"/>
              <w:szCs w:val="22"/>
            </w:rPr>
            <w:t>00192</w:t>
          </w:r>
          <w:r w:rsidRPr="004B29B3">
            <w:rPr>
              <w:rFonts w:ascii="Palatino Linotype" w:hAnsi="Palatino Linotype"/>
              <w:b/>
              <w:bCs/>
              <w:sz w:val="22"/>
              <w:szCs w:val="22"/>
            </w:rPr>
            <w:t>/INFOEM/IP/RR/</w:t>
          </w:r>
          <w:bookmarkEnd w:id="12"/>
          <w:r>
            <w:rPr>
              <w:rFonts w:ascii="Palatino Linotype" w:hAnsi="Palatino Linotype"/>
              <w:b/>
              <w:bCs/>
              <w:sz w:val="22"/>
              <w:szCs w:val="22"/>
            </w:rPr>
            <w:t>2022</w:t>
          </w:r>
        </w:p>
      </w:tc>
    </w:tr>
    <w:tr w:rsidR="000735E2" w:rsidRPr="008F2CCC" w14:paraId="3F6C8DDC" w14:textId="77777777" w:rsidTr="00BC0E3B">
      <w:tc>
        <w:tcPr>
          <w:tcW w:w="3403" w:type="dxa"/>
          <w:vMerge/>
        </w:tcPr>
        <w:p w14:paraId="0E763F4B" w14:textId="77777777" w:rsidR="000735E2" w:rsidRPr="008F2CCC" w:rsidRDefault="000735E2" w:rsidP="000735E2">
          <w:pPr>
            <w:rPr>
              <w:rFonts w:ascii="Palatino Linotype" w:hAnsi="Palatino Linotype"/>
              <w:b/>
              <w:sz w:val="22"/>
              <w:szCs w:val="22"/>
              <w:lang w:val="es-ES_tradnl"/>
            </w:rPr>
          </w:pPr>
        </w:p>
      </w:tc>
      <w:tc>
        <w:tcPr>
          <w:tcW w:w="2551" w:type="dxa"/>
          <w:shd w:val="clear" w:color="auto" w:fill="auto"/>
        </w:tcPr>
        <w:p w14:paraId="6966CD0D" w14:textId="77777777" w:rsidR="000735E2" w:rsidRPr="00664658" w:rsidRDefault="000735E2" w:rsidP="000735E2">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0" w:type="dxa"/>
          <w:shd w:val="clear" w:color="auto" w:fill="auto"/>
          <w:vAlign w:val="center"/>
        </w:tcPr>
        <w:p w14:paraId="27D55D64" w14:textId="77777777" w:rsidR="000735E2" w:rsidRPr="00D41D47" w:rsidRDefault="000735E2" w:rsidP="000735E2">
          <w:pPr>
            <w:jc w:val="both"/>
            <w:rPr>
              <w:rFonts w:ascii="Palatino Linotype" w:hAnsi="Palatino Linotype"/>
              <w:b/>
              <w:sz w:val="22"/>
              <w:szCs w:val="22"/>
              <w:lang w:val="es-ES_tradnl"/>
            </w:rPr>
          </w:pPr>
          <w:r>
            <w:rPr>
              <w:rFonts w:ascii="Palatino Linotype" w:eastAsia="Palatino Linotype" w:hAnsi="Palatino Linotype" w:cs="Palatino Linotype"/>
              <w:b/>
              <w:sz w:val="22"/>
              <w:szCs w:val="22"/>
            </w:rPr>
            <w:t>Ayuntamiento de Amecameca</w:t>
          </w:r>
        </w:p>
      </w:tc>
    </w:tr>
    <w:tr w:rsidR="000735E2" w:rsidRPr="008F2CCC" w14:paraId="23CA3791" w14:textId="77777777" w:rsidTr="00BC0E3B">
      <w:trPr>
        <w:trHeight w:val="228"/>
      </w:trPr>
      <w:tc>
        <w:tcPr>
          <w:tcW w:w="3403" w:type="dxa"/>
          <w:vMerge/>
        </w:tcPr>
        <w:p w14:paraId="428B042B" w14:textId="77777777" w:rsidR="000735E2" w:rsidRPr="008F2CCC" w:rsidRDefault="000735E2" w:rsidP="000735E2">
          <w:pPr>
            <w:rPr>
              <w:rFonts w:ascii="Palatino Linotype" w:hAnsi="Palatino Linotype"/>
              <w:b/>
              <w:sz w:val="22"/>
              <w:szCs w:val="22"/>
              <w:lang w:val="es-ES_tradnl"/>
            </w:rPr>
          </w:pPr>
        </w:p>
      </w:tc>
      <w:tc>
        <w:tcPr>
          <w:tcW w:w="2551" w:type="dxa"/>
          <w:shd w:val="clear" w:color="auto" w:fill="auto"/>
        </w:tcPr>
        <w:p w14:paraId="6A2BB7E4" w14:textId="77777777" w:rsidR="000735E2" w:rsidRPr="00BC450B" w:rsidRDefault="000735E2" w:rsidP="000735E2">
          <w:pPr>
            <w:rPr>
              <w:rFonts w:ascii="Palatino Linotype" w:hAnsi="Palatino Linotype"/>
              <w:b/>
              <w:sz w:val="22"/>
              <w:szCs w:val="22"/>
              <w:lang w:val="es-ES_tradnl"/>
            </w:rPr>
          </w:pPr>
          <w:r>
            <w:rPr>
              <w:rFonts w:ascii="Palatino Linotype" w:hAnsi="Palatino Linotype"/>
              <w:b/>
              <w:bCs/>
              <w:sz w:val="22"/>
              <w:szCs w:val="22"/>
            </w:rPr>
            <w:t>Comisionado</w:t>
          </w:r>
          <w:r w:rsidRPr="00BC450B">
            <w:rPr>
              <w:rFonts w:ascii="Palatino Linotype" w:hAnsi="Palatino Linotype"/>
              <w:b/>
              <w:bCs/>
              <w:sz w:val="22"/>
              <w:szCs w:val="22"/>
            </w:rPr>
            <w:t xml:space="preserve"> Ponente:</w:t>
          </w:r>
        </w:p>
      </w:tc>
      <w:tc>
        <w:tcPr>
          <w:tcW w:w="3260" w:type="dxa"/>
          <w:shd w:val="clear" w:color="auto" w:fill="auto"/>
        </w:tcPr>
        <w:p w14:paraId="2A3A909A" w14:textId="77777777" w:rsidR="000735E2" w:rsidRPr="00BC450B" w:rsidRDefault="000735E2" w:rsidP="000735E2">
          <w:pPr>
            <w:jc w:val="both"/>
            <w:rPr>
              <w:rFonts w:ascii="Palatino Linotype" w:hAnsi="Palatino Linotype"/>
              <w:b/>
              <w:sz w:val="22"/>
              <w:szCs w:val="22"/>
              <w:lang w:val="es-ES_tradnl"/>
            </w:rPr>
          </w:pPr>
          <w:r>
            <w:rPr>
              <w:rFonts w:ascii="Palatino Linotype" w:hAnsi="Palatino Linotype"/>
              <w:b/>
              <w:bCs/>
              <w:sz w:val="22"/>
              <w:szCs w:val="22"/>
            </w:rPr>
            <w:t>Luis Gustavo Parra Noriega</w:t>
          </w:r>
        </w:p>
      </w:tc>
    </w:tr>
  </w:tbl>
  <w:p w14:paraId="1FC2846D" w14:textId="77777777" w:rsidR="000735E2" w:rsidRPr="0010196A" w:rsidRDefault="000735E2" w:rsidP="000735E2">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D12DB" w14:textId="77777777" w:rsidR="000735E2" w:rsidRPr="0010196A" w:rsidRDefault="00E5470F">
    <w:pPr>
      <w:rPr>
        <w:rFonts w:ascii="Palatino Linotype" w:hAnsi="Palatino Linotype"/>
        <w:sz w:val="28"/>
        <w:szCs w:val="28"/>
      </w:rPr>
    </w:pPr>
    <w:r>
      <w:rPr>
        <w:rFonts w:ascii="Palatino Linotype" w:hAnsi="Palatino Linotype"/>
        <w:noProof/>
        <w:sz w:val="28"/>
        <w:szCs w:val="28"/>
        <w:lang w:eastAsia="es-MX"/>
      </w:rPr>
      <w:pict w14:anchorId="0EC9C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0735E2" w:rsidRPr="008F2CCC" w14:paraId="5BAD8C5C" w14:textId="77777777" w:rsidTr="5291C05A">
      <w:tc>
        <w:tcPr>
          <w:tcW w:w="3805" w:type="dxa"/>
          <w:vMerge w:val="restart"/>
          <w:shd w:val="clear" w:color="auto" w:fill="auto"/>
        </w:tcPr>
        <w:p w14:paraId="5A79140E" w14:textId="77777777" w:rsidR="000735E2" w:rsidRPr="008F2CCC" w:rsidRDefault="000735E2" w:rsidP="000735E2">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E970BB3" wp14:editId="33A8D527">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72033546" w14:textId="77777777" w:rsidR="000735E2" w:rsidRPr="008F2CCC" w:rsidRDefault="000735E2" w:rsidP="000735E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095" w:type="dxa"/>
          <w:shd w:val="clear" w:color="auto" w:fill="auto"/>
          <w:vAlign w:val="center"/>
        </w:tcPr>
        <w:p w14:paraId="001FB69E" w14:textId="77777777" w:rsidR="000735E2" w:rsidRPr="008F2CCC" w:rsidRDefault="000735E2" w:rsidP="000735E2">
          <w:pPr>
            <w:jc w:val="both"/>
            <w:rPr>
              <w:rFonts w:ascii="Palatino Linotype" w:hAnsi="Palatino Linotype"/>
              <w:b/>
              <w:sz w:val="22"/>
              <w:szCs w:val="22"/>
              <w:lang w:val="es-ES_tradnl"/>
            </w:rPr>
          </w:pPr>
          <w:r>
            <w:rPr>
              <w:rFonts w:ascii="Palatino Linotype" w:hAnsi="Palatino Linotype"/>
              <w:b/>
              <w:bCs/>
              <w:sz w:val="22"/>
              <w:szCs w:val="22"/>
            </w:rPr>
            <w:t>00192</w:t>
          </w:r>
          <w:r w:rsidRPr="000A27E2">
            <w:rPr>
              <w:rFonts w:ascii="Palatino Linotype" w:hAnsi="Palatino Linotype"/>
              <w:b/>
              <w:bCs/>
              <w:sz w:val="22"/>
              <w:szCs w:val="22"/>
            </w:rPr>
            <w:t>/INFOEM/IP/RR/202</w:t>
          </w:r>
          <w:r>
            <w:rPr>
              <w:rFonts w:ascii="Palatino Linotype" w:hAnsi="Palatino Linotype"/>
              <w:b/>
              <w:bCs/>
              <w:sz w:val="22"/>
              <w:szCs w:val="22"/>
            </w:rPr>
            <w:t xml:space="preserve">2 </w:t>
          </w:r>
        </w:p>
      </w:tc>
    </w:tr>
    <w:tr w:rsidR="000735E2" w:rsidRPr="008F2CCC" w14:paraId="70EBDCFF" w14:textId="77777777" w:rsidTr="5291C05A">
      <w:tc>
        <w:tcPr>
          <w:tcW w:w="3805" w:type="dxa"/>
          <w:vMerge/>
        </w:tcPr>
        <w:p w14:paraId="2BEE91C5" w14:textId="77777777" w:rsidR="000735E2" w:rsidRPr="008F2CCC" w:rsidRDefault="000735E2" w:rsidP="000735E2">
          <w:pPr>
            <w:rPr>
              <w:rFonts w:ascii="Palatino Linotype" w:hAnsi="Palatino Linotype"/>
              <w:b/>
              <w:sz w:val="22"/>
              <w:szCs w:val="22"/>
              <w:lang w:val="es-ES_tradnl"/>
            </w:rPr>
          </w:pPr>
          <w:bookmarkStart w:id="13" w:name="_Hlk80706940"/>
        </w:p>
      </w:tc>
      <w:tc>
        <w:tcPr>
          <w:tcW w:w="3000" w:type="dxa"/>
          <w:shd w:val="clear" w:color="auto" w:fill="auto"/>
        </w:tcPr>
        <w:p w14:paraId="7A5B0D74" w14:textId="77777777" w:rsidR="000735E2" w:rsidRPr="008F2CCC" w:rsidRDefault="000735E2" w:rsidP="000735E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122001A5" w14:textId="3B201421" w:rsidR="000735E2" w:rsidRPr="008F2CCC" w:rsidRDefault="5291C05A" w:rsidP="5291C05A">
          <w:pPr>
            <w:jc w:val="both"/>
            <w:rPr>
              <w:rFonts w:ascii="Palatino Linotype" w:eastAsia="Palatino Linotype" w:hAnsi="Palatino Linotype" w:cs="Palatino Linotype"/>
              <w:b/>
              <w:bCs/>
              <w:sz w:val="22"/>
              <w:szCs w:val="22"/>
              <w:lang w:val="es-ES_tradnl"/>
            </w:rPr>
          </w:pPr>
          <w:r w:rsidRPr="5291C05A">
            <w:rPr>
              <w:rFonts w:ascii="Palatino Linotype" w:eastAsia="Palatino Linotype" w:hAnsi="Palatino Linotype" w:cs="Palatino Linotype"/>
              <w:sz w:val="22"/>
              <w:szCs w:val="22"/>
              <w:highlight w:val="black"/>
            </w:rPr>
            <w:t>XXXX</w:t>
          </w:r>
        </w:p>
      </w:tc>
    </w:tr>
    <w:bookmarkEnd w:id="13"/>
    <w:tr w:rsidR="000735E2" w:rsidRPr="008F2CCC" w14:paraId="0283145A" w14:textId="77777777" w:rsidTr="5291C05A">
      <w:trPr>
        <w:trHeight w:val="228"/>
      </w:trPr>
      <w:tc>
        <w:tcPr>
          <w:tcW w:w="3805" w:type="dxa"/>
          <w:vMerge/>
        </w:tcPr>
        <w:p w14:paraId="238A1C79" w14:textId="77777777" w:rsidR="000735E2" w:rsidRPr="008F2CCC" w:rsidRDefault="000735E2" w:rsidP="000735E2">
          <w:pPr>
            <w:rPr>
              <w:rFonts w:ascii="Palatino Linotype" w:hAnsi="Palatino Linotype"/>
              <w:b/>
              <w:sz w:val="22"/>
              <w:szCs w:val="22"/>
              <w:lang w:val="es-ES_tradnl"/>
            </w:rPr>
          </w:pPr>
        </w:p>
      </w:tc>
      <w:tc>
        <w:tcPr>
          <w:tcW w:w="3000" w:type="dxa"/>
          <w:shd w:val="clear" w:color="auto" w:fill="auto"/>
        </w:tcPr>
        <w:p w14:paraId="04730EEC" w14:textId="77777777" w:rsidR="000735E2" w:rsidRPr="008F2CCC" w:rsidRDefault="000735E2" w:rsidP="000735E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D1039B8" w14:textId="77777777" w:rsidR="000735E2" w:rsidRPr="00DC41C8" w:rsidRDefault="000735E2" w:rsidP="00BC0E3B">
          <w:pPr>
            <w:jc w:val="both"/>
            <w:rPr>
              <w:rFonts w:ascii="Palatino Linotype" w:hAnsi="Palatino Linotype"/>
              <w:b/>
              <w:sz w:val="22"/>
              <w:szCs w:val="22"/>
            </w:rPr>
          </w:pPr>
          <w:r>
            <w:rPr>
              <w:rFonts w:ascii="Palatino Linotype" w:eastAsia="Palatino Linotype" w:hAnsi="Palatino Linotype" w:cs="Palatino Linotype"/>
              <w:b/>
              <w:sz w:val="22"/>
              <w:szCs w:val="22"/>
            </w:rPr>
            <w:t xml:space="preserve">Ayuntamiento de Amecameca </w:t>
          </w:r>
        </w:p>
      </w:tc>
    </w:tr>
    <w:tr w:rsidR="000735E2" w:rsidRPr="008F2CCC" w14:paraId="4CECF042" w14:textId="77777777" w:rsidTr="5291C05A">
      <w:tc>
        <w:tcPr>
          <w:tcW w:w="3805" w:type="dxa"/>
          <w:vMerge/>
        </w:tcPr>
        <w:p w14:paraId="79B05F43" w14:textId="77777777" w:rsidR="000735E2" w:rsidRPr="008F2CCC" w:rsidRDefault="000735E2" w:rsidP="000735E2">
          <w:pPr>
            <w:rPr>
              <w:rFonts w:ascii="Palatino Linotype" w:hAnsi="Palatino Linotype"/>
              <w:b/>
              <w:sz w:val="22"/>
              <w:szCs w:val="22"/>
              <w:lang w:val="es-ES_tradnl"/>
            </w:rPr>
          </w:pPr>
        </w:p>
      </w:tc>
      <w:tc>
        <w:tcPr>
          <w:tcW w:w="3000" w:type="dxa"/>
          <w:shd w:val="clear" w:color="auto" w:fill="auto"/>
        </w:tcPr>
        <w:p w14:paraId="7E4391BD" w14:textId="77777777" w:rsidR="000735E2" w:rsidRPr="00BC450B" w:rsidRDefault="000735E2" w:rsidP="000735E2">
          <w:pPr>
            <w:rPr>
              <w:rFonts w:ascii="Palatino Linotype" w:hAnsi="Palatino Linotype"/>
              <w:b/>
              <w:bCs/>
              <w:sz w:val="22"/>
              <w:szCs w:val="22"/>
              <w:lang w:val="es-ES_tradnl"/>
            </w:rPr>
          </w:pPr>
          <w:r>
            <w:rPr>
              <w:rFonts w:ascii="Palatino Linotype" w:hAnsi="Palatino Linotype"/>
              <w:b/>
              <w:bCs/>
              <w:sz w:val="22"/>
              <w:szCs w:val="22"/>
            </w:rPr>
            <w:t>Comisionado</w:t>
          </w:r>
          <w:r w:rsidRPr="00BC450B">
            <w:rPr>
              <w:rFonts w:ascii="Palatino Linotype" w:hAnsi="Palatino Linotype"/>
              <w:b/>
              <w:bCs/>
              <w:sz w:val="22"/>
              <w:szCs w:val="22"/>
            </w:rPr>
            <w:t xml:space="preserve"> Ponente:</w:t>
          </w:r>
        </w:p>
      </w:tc>
      <w:tc>
        <w:tcPr>
          <w:tcW w:w="3095" w:type="dxa"/>
          <w:shd w:val="clear" w:color="auto" w:fill="auto"/>
        </w:tcPr>
        <w:p w14:paraId="013AEEEF" w14:textId="77777777" w:rsidR="000735E2" w:rsidRPr="00BC450B" w:rsidRDefault="000735E2" w:rsidP="000735E2">
          <w:pPr>
            <w:jc w:val="both"/>
            <w:rPr>
              <w:rFonts w:ascii="Palatino Linotype" w:hAnsi="Palatino Linotype"/>
              <w:b/>
              <w:bCs/>
              <w:sz w:val="22"/>
              <w:szCs w:val="22"/>
              <w:lang w:val="es-ES_tradnl"/>
            </w:rPr>
          </w:pPr>
          <w:r>
            <w:rPr>
              <w:rFonts w:ascii="Palatino Linotype" w:eastAsia="Palatino Linotype" w:hAnsi="Palatino Linotype" w:cs="Palatino Linotype"/>
              <w:b/>
              <w:sz w:val="22"/>
              <w:szCs w:val="22"/>
            </w:rPr>
            <w:t>Luis Gustavo Parra Noriega</w:t>
          </w:r>
        </w:p>
      </w:tc>
    </w:tr>
  </w:tbl>
  <w:p w14:paraId="38C9FEFA" w14:textId="77777777" w:rsidR="000735E2" w:rsidRPr="0010196A" w:rsidRDefault="000735E2" w:rsidP="000735E2">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12641"/>
    <w:multiLevelType w:val="hybridMultilevel"/>
    <w:tmpl w:val="B014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231910"/>
    <w:multiLevelType w:val="multilevel"/>
    <w:tmpl w:val="D3F2862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470C43"/>
    <w:multiLevelType w:val="hybridMultilevel"/>
    <w:tmpl w:val="C5061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6771ED"/>
    <w:multiLevelType w:val="hybridMultilevel"/>
    <w:tmpl w:val="B46E6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1D5145"/>
    <w:multiLevelType w:val="hybridMultilevel"/>
    <w:tmpl w:val="12269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397045E"/>
    <w:multiLevelType w:val="multilevel"/>
    <w:tmpl w:val="674086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8D35FA9"/>
    <w:multiLevelType w:val="hybridMultilevel"/>
    <w:tmpl w:val="82405D78"/>
    <w:lvl w:ilvl="0" w:tplc="BB0C540A">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9B756DE"/>
    <w:multiLevelType w:val="hybridMultilevel"/>
    <w:tmpl w:val="90EE9D18"/>
    <w:lvl w:ilvl="0" w:tplc="FDF8CE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C7F1948"/>
    <w:multiLevelType w:val="hybridMultilevel"/>
    <w:tmpl w:val="143CC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156484A"/>
    <w:multiLevelType w:val="hybridMultilevel"/>
    <w:tmpl w:val="022A444A"/>
    <w:lvl w:ilvl="0" w:tplc="E902971E">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A8645F8"/>
    <w:multiLevelType w:val="hybridMultilevel"/>
    <w:tmpl w:val="820C7E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B08440E"/>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17B2E07"/>
    <w:multiLevelType w:val="hybridMultilevel"/>
    <w:tmpl w:val="FFAAC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5834D3C"/>
    <w:multiLevelType w:val="hybridMultilevel"/>
    <w:tmpl w:val="C12E96B4"/>
    <w:lvl w:ilvl="0" w:tplc="01FA1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1">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2">
    <w:nsid w:val="762948AB"/>
    <w:multiLevelType w:val="hybridMultilevel"/>
    <w:tmpl w:val="063EE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5">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EA308DE"/>
    <w:multiLevelType w:val="hybridMultilevel"/>
    <w:tmpl w:val="FE220B70"/>
    <w:lvl w:ilvl="0" w:tplc="E60ABCE4">
      <w:start w:val="1"/>
      <w:numFmt w:val="upperRoman"/>
      <w:suff w:val="space"/>
      <w:lvlText w:val="%1."/>
      <w:lvlJc w:val="left"/>
      <w:pPr>
        <w:ind w:left="644" w:hanging="360"/>
      </w:pPr>
      <w:rPr>
        <w:rFonts w:hint="default"/>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5"/>
  </w:num>
  <w:num w:numId="2">
    <w:abstractNumId w:val="14"/>
  </w:num>
  <w:num w:numId="3">
    <w:abstractNumId w:val="4"/>
  </w:num>
  <w:num w:numId="4">
    <w:abstractNumId w:val="16"/>
  </w:num>
  <w:num w:numId="5">
    <w:abstractNumId w:val="12"/>
  </w:num>
  <w:num w:numId="6">
    <w:abstractNumId w:val="7"/>
  </w:num>
  <w:num w:numId="7">
    <w:abstractNumId w:val="18"/>
  </w:num>
  <w:num w:numId="8">
    <w:abstractNumId w:val="33"/>
  </w:num>
  <w:num w:numId="9">
    <w:abstractNumId w:val="30"/>
  </w:num>
  <w:num w:numId="10">
    <w:abstractNumId w:val="31"/>
  </w:num>
  <w:num w:numId="11">
    <w:abstractNumId w:val="10"/>
  </w:num>
  <w:num w:numId="12">
    <w:abstractNumId w:val="28"/>
  </w:num>
  <w:num w:numId="13">
    <w:abstractNumId w:val="34"/>
  </w:num>
  <w:num w:numId="14">
    <w:abstractNumId w:val="25"/>
  </w:num>
  <w:num w:numId="15">
    <w:abstractNumId w:val="29"/>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6"/>
  </w:num>
  <w:num w:numId="19">
    <w:abstractNumId w:val="38"/>
  </w:num>
  <w:num w:numId="20">
    <w:abstractNumId w:val="9"/>
  </w:num>
  <w:num w:numId="21">
    <w:abstractNumId w:val="6"/>
  </w:num>
  <w:num w:numId="22">
    <w:abstractNumId w:val="17"/>
  </w:num>
  <w:num w:numId="23">
    <w:abstractNumId w:val="24"/>
  </w:num>
  <w:num w:numId="24">
    <w:abstractNumId w:val="0"/>
  </w:num>
  <w:num w:numId="25">
    <w:abstractNumId w:val="27"/>
  </w:num>
  <w:num w:numId="26">
    <w:abstractNumId w:val="13"/>
  </w:num>
  <w:num w:numId="27">
    <w:abstractNumId w:val="21"/>
  </w:num>
  <w:num w:numId="28">
    <w:abstractNumId w:val="22"/>
  </w:num>
  <w:num w:numId="29">
    <w:abstractNumId w:val="1"/>
  </w:num>
  <w:num w:numId="30">
    <w:abstractNumId w:val="8"/>
  </w:num>
  <w:num w:numId="31">
    <w:abstractNumId w:val="32"/>
  </w:num>
  <w:num w:numId="32">
    <w:abstractNumId w:val="36"/>
  </w:num>
  <w:num w:numId="33">
    <w:abstractNumId w:val="23"/>
  </w:num>
  <w:num w:numId="34">
    <w:abstractNumId w:val="11"/>
  </w:num>
  <w:num w:numId="35">
    <w:abstractNumId w:val="15"/>
  </w:num>
  <w:num w:numId="36">
    <w:abstractNumId w:val="37"/>
  </w:num>
  <w:num w:numId="37">
    <w:abstractNumId w:val="5"/>
  </w:num>
  <w:num w:numId="38">
    <w:abstractNumId w:val="20"/>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E3B"/>
    <w:rsid w:val="000735E2"/>
    <w:rsid w:val="00075A96"/>
    <w:rsid w:val="000C7939"/>
    <w:rsid w:val="00141578"/>
    <w:rsid w:val="00166D05"/>
    <w:rsid w:val="001A2410"/>
    <w:rsid w:val="001C2139"/>
    <w:rsid w:val="001F54B5"/>
    <w:rsid w:val="00244EA6"/>
    <w:rsid w:val="00254F2C"/>
    <w:rsid w:val="0033098C"/>
    <w:rsid w:val="00346EE4"/>
    <w:rsid w:val="0039055A"/>
    <w:rsid w:val="00505D8E"/>
    <w:rsid w:val="00555802"/>
    <w:rsid w:val="00616F5C"/>
    <w:rsid w:val="006B16D0"/>
    <w:rsid w:val="00720FB6"/>
    <w:rsid w:val="00724F84"/>
    <w:rsid w:val="008258F9"/>
    <w:rsid w:val="008900E4"/>
    <w:rsid w:val="008A6ABF"/>
    <w:rsid w:val="008B2B07"/>
    <w:rsid w:val="0096672C"/>
    <w:rsid w:val="00A743A2"/>
    <w:rsid w:val="00AA327C"/>
    <w:rsid w:val="00B008F5"/>
    <w:rsid w:val="00B168D0"/>
    <w:rsid w:val="00B36FB3"/>
    <w:rsid w:val="00BC0E3B"/>
    <w:rsid w:val="00BD38EF"/>
    <w:rsid w:val="00CC48D3"/>
    <w:rsid w:val="00CC7AA0"/>
    <w:rsid w:val="00CF227C"/>
    <w:rsid w:val="00D55C5D"/>
    <w:rsid w:val="00D67D23"/>
    <w:rsid w:val="00DA2599"/>
    <w:rsid w:val="00DB04F3"/>
    <w:rsid w:val="00E24F79"/>
    <w:rsid w:val="00E5470F"/>
    <w:rsid w:val="00E64BA6"/>
    <w:rsid w:val="00F302E7"/>
    <w:rsid w:val="00F40087"/>
    <w:rsid w:val="00F804A8"/>
    <w:rsid w:val="00FB2A60"/>
    <w:rsid w:val="5291C0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CC4791"/>
  <w15:chartTrackingRefBased/>
  <w15:docId w15:val="{6DD42AB9-7C67-4F6E-B168-506C6E4FE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E3B"/>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C7AA0"/>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CC7AA0"/>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CC7AA0"/>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nhideWhenUsed/>
    <w:qFormat/>
    <w:rsid w:val="00CC7AA0"/>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nhideWhenUsed/>
    <w:qFormat/>
    <w:rsid w:val="00CC7AA0"/>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nhideWhenUsed/>
    <w:qFormat/>
    <w:rsid w:val="00CC7AA0"/>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0E3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C0E3B"/>
    <w:rPr>
      <w:rFonts w:eastAsiaTheme="minorEastAsia"/>
      <w:sz w:val="24"/>
      <w:szCs w:val="24"/>
      <w:lang w:val="es-ES_tradnl" w:eastAsia="es-ES"/>
    </w:rPr>
  </w:style>
  <w:style w:type="paragraph" w:styleId="Piedepgina">
    <w:name w:val="footer"/>
    <w:basedOn w:val="Normal"/>
    <w:link w:val="PiedepginaCar"/>
    <w:uiPriority w:val="99"/>
    <w:unhideWhenUsed/>
    <w:rsid w:val="00BC0E3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C0E3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C0E3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C0E3B"/>
    <w:rPr>
      <w:rFonts w:ascii="Times New Roman" w:eastAsia="Times New Roman" w:hAnsi="Times New Roman" w:cs="Times New Roman"/>
      <w:sz w:val="24"/>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C0E3B"/>
    <w:rPr>
      <w:color w:val="0563C1" w:themeColor="hyperlink"/>
      <w:u w:val="single"/>
    </w:rPr>
  </w:style>
  <w:style w:type="paragraph" w:styleId="NormalWeb">
    <w:name w:val="Normal (Web)"/>
    <w:basedOn w:val="Normal"/>
    <w:uiPriority w:val="99"/>
    <w:unhideWhenUsed/>
    <w:rsid w:val="001F54B5"/>
    <w:pPr>
      <w:spacing w:before="100" w:beforeAutospacing="1" w:after="100" w:afterAutospacing="1"/>
    </w:pPr>
    <w:rPr>
      <w:lang w:eastAsia="es-MX"/>
    </w:rPr>
  </w:style>
  <w:style w:type="character" w:customStyle="1" w:styleId="Ttulo1Car">
    <w:name w:val="Título 1 Car"/>
    <w:basedOn w:val="Fuentedeprrafopredeter"/>
    <w:link w:val="Ttulo1"/>
    <w:uiPriority w:val="9"/>
    <w:rsid w:val="00CC7AA0"/>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CC7AA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CC7AA0"/>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rsid w:val="00CC7AA0"/>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rsid w:val="00CC7AA0"/>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CC7AA0"/>
    <w:rPr>
      <w:rFonts w:asciiTheme="majorHAnsi" w:eastAsiaTheme="majorEastAsia" w:hAnsiTheme="majorHAnsi" w:cstheme="majorBidi"/>
      <w:color w:val="1F4D78" w:themeColor="accent1" w:themeShade="7F"/>
      <w:sz w:val="24"/>
      <w:szCs w:val="24"/>
      <w:lang w:val="es-ES" w:eastAsia="es-ES"/>
    </w:rPr>
  </w:style>
  <w:style w:type="paragraph" w:styleId="Textodeglobo">
    <w:name w:val="Balloon Text"/>
    <w:basedOn w:val="Normal"/>
    <w:link w:val="TextodegloboCar"/>
    <w:uiPriority w:val="99"/>
    <w:semiHidden/>
    <w:unhideWhenUsed/>
    <w:rsid w:val="00CC7AA0"/>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C7AA0"/>
    <w:rPr>
      <w:rFonts w:ascii="Lucida Grande" w:eastAsiaTheme="minorEastAsia" w:hAnsi="Lucida Grande" w:cs="Lucida Grande"/>
      <w:sz w:val="18"/>
      <w:szCs w:val="18"/>
      <w:lang w:val="es-ES_tradnl" w:eastAsia="es-ES"/>
    </w:rPr>
  </w:style>
  <w:style w:type="character" w:styleId="Textoennegrita">
    <w:name w:val="Strong"/>
    <w:uiPriority w:val="22"/>
    <w:qFormat/>
    <w:rsid w:val="00CC7AA0"/>
    <w:rPr>
      <w:b/>
      <w:bCs/>
    </w:rPr>
  </w:style>
  <w:style w:type="character" w:styleId="Hipervnculovisitado">
    <w:name w:val="FollowedHyperlink"/>
    <w:basedOn w:val="Fuentedeprrafopredeter"/>
    <w:uiPriority w:val="99"/>
    <w:semiHidden/>
    <w:unhideWhenUsed/>
    <w:rsid w:val="00CC7AA0"/>
    <w:rPr>
      <w:color w:val="954F72" w:themeColor="followedHyperlink"/>
      <w:u w:val="single"/>
    </w:rPr>
  </w:style>
  <w:style w:type="paragraph" w:styleId="Textoindependiente2">
    <w:name w:val="Body Text 2"/>
    <w:basedOn w:val="Normal"/>
    <w:link w:val="Textoindependiente2Car"/>
    <w:uiPriority w:val="99"/>
    <w:unhideWhenUsed/>
    <w:rsid w:val="00CC7AA0"/>
    <w:pPr>
      <w:spacing w:after="120" w:line="480" w:lineRule="auto"/>
    </w:pPr>
  </w:style>
  <w:style w:type="character" w:customStyle="1" w:styleId="Textoindependiente2Car">
    <w:name w:val="Texto independiente 2 Car"/>
    <w:basedOn w:val="Fuentedeprrafopredeter"/>
    <w:link w:val="Textoindependiente2"/>
    <w:uiPriority w:val="99"/>
    <w:rsid w:val="00CC7AA0"/>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CC7AA0"/>
    <w:rPr>
      <w:sz w:val="16"/>
      <w:szCs w:val="16"/>
    </w:rPr>
  </w:style>
  <w:style w:type="character" w:customStyle="1" w:styleId="apple-converted-space">
    <w:name w:val="apple-converted-space"/>
    <w:basedOn w:val="Fuentedeprrafopredeter"/>
    <w:rsid w:val="00CC7AA0"/>
  </w:style>
  <w:style w:type="paragraph" w:customStyle="1" w:styleId="Default">
    <w:name w:val="Default"/>
    <w:rsid w:val="00CC7AA0"/>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CC7AA0"/>
    <w:pPr>
      <w:ind w:left="708"/>
    </w:pPr>
  </w:style>
  <w:style w:type="character" w:customStyle="1" w:styleId="Listavistosa-nfasis1Car">
    <w:name w:val="Lista vistosa - Énfasis 1 Car"/>
    <w:link w:val="Listavistosa-nfasis11"/>
    <w:uiPriority w:val="34"/>
    <w:locked/>
    <w:rsid w:val="00CC7AA0"/>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CC7AA0"/>
    <w:pPr>
      <w:spacing w:after="101" w:line="216" w:lineRule="exact"/>
      <w:ind w:firstLine="288"/>
      <w:jc w:val="both"/>
    </w:pPr>
    <w:rPr>
      <w:rFonts w:ascii="Arial" w:hAnsi="Arial" w:cs="Arial"/>
      <w:sz w:val="18"/>
      <w:szCs w:val="18"/>
    </w:rPr>
  </w:style>
  <w:style w:type="character" w:customStyle="1" w:styleId="apple-style-span">
    <w:name w:val="apple-style-span"/>
    <w:rsid w:val="00CC7AA0"/>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C7AA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C7AA0"/>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CC7AA0"/>
    <w:rPr>
      <w:vertAlign w:val="superscript"/>
    </w:rPr>
  </w:style>
  <w:style w:type="paragraph" w:styleId="Sinespaciado">
    <w:name w:val="No Spacing"/>
    <w:aliases w:val="Francesa,INAI"/>
    <w:link w:val="SinespaciadoCar"/>
    <w:uiPriority w:val="1"/>
    <w:qFormat/>
    <w:rsid w:val="00CC7AA0"/>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CC7AA0"/>
    <w:rPr>
      <w:rFonts w:ascii="Courier New" w:hAnsi="Courier New"/>
      <w:sz w:val="20"/>
      <w:szCs w:val="20"/>
    </w:rPr>
  </w:style>
  <w:style w:type="character" w:customStyle="1" w:styleId="TextosinformatoCar">
    <w:name w:val="Texto sin formato Car"/>
    <w:basedOn w:val="Fuentedeprrafopredeter"/>
    <w:link w:val="Textosinformato"/>
    <w:rsid w:val="00CC7AA0"/>
    <w:rPr>
      <w:rFonts w:ascii="Courier New" w:eastAsia="Times New Roman" w:hAnsi="Courier New" w:cs="Times New Roman"/>
      <w:sz w:val="20"/>
      <w:szCs w:val="20"/>
      <w:lang w:eastAsia="es-ES"/>
    </w:rPr>
  </w:style>
  <w:style w:type="paragraph" w:customStyle="1" w:styleId="Standard">
    <w:name w:val="Standard"/>
    <w:rsid w:val="00CC7AA0"/>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CC7AA0"/>
    <w:rPr>
      <w:rFonts w:ascii="Arial" w:hAnsi="Arial" w:cs="Arial" w:hint="default"/>
      <w:b/>
      <w:bCs/>
      <w:sz w:val="18"/>
      <w:szCs w:val="18"/>
    </w:rPr>
  </w:style>
  <w:style w:type="paragraph" w:customStyle="1" w:styleId="Pa2">
    <w:name w:val="Pa2"/>
    <w:basedOn w:val="Normal"/>
    <w:next w:val="Normal"/>
    <w:uiPriority w:val="99"/>
    <w:rsid w:val="00CC7AA0"/>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CC7AA0"/>
  </w:style>
  <w:style w:type="paragraph" w:customStyle="1" w:styleId="q">
    <w:name w:val="q"/>
    <w:basedOn w:val="Normal"/>
    <w:rsid w:val="00CC7AA0"/>
    <w:pPr>
      <w:spacing w:before="100" w:beforeAutospacing="1" w:after="100" w:afterAutospacing="1"/>
    </w:pPr>
    <w:rPr>
      <w:lang w:eastAsia="es-MX"/>
    </w:rPr>
  </w:style>
  <w:style w:type="character" w:customStyle="1" w:styleId="d">
    <w:name w:val="d"/>
    <w:basedOn w:val="Fuentedeprrafopredeter"/>
    <w:rsid w:val="00CC7AA0"/>
  </w:style>
  <w:style w:type="character" w:customStyle="1" w:styleId="b">
    <w:name w:val="b"/>
    <w:basedOn w:val="Fuentedeprrafopredeter"/>
    <w:rsid w:val="00CC7AA0"/>
  </w:style>
  <w:style w:type="character" w:customStyle="1" w:styleId="k">
    <w:name w:val="k"/>
    <w:basedOn w:val="Fuentedeprrafopredeter"/>
    <w:rsid w:val="00CC7AA0"/>
  </w:style>
  <w:style w:type="character" w:customStyle="1" w:styleId="h">
    <w:name w:val="h"/>
    <w:basedOn w:val="Fuentedeprrafopredeter"/>
    <w:rsid w:val="00CC7AA0"/>
  </w:style>
  <w:style w:type="character" w:styleId="CitaHTML">
    <w:name w:val="HTML Cite"/>
    <w:uiPriority w:val="99"/>
    <w:semiHidden/>
    <w:unhideWhenUsed/>
    <w:rsid w:val="00CC7AA0"/>
    <w:rPr>
      <w:i/>
      <w:iCs/>
    </w:rPr>
  </w:style>
  <w:style w:type="paragraph" w:customStyle="1" w:styleId="RSCGnotaalpie">
    <w:name w:val="RSCG nota al pie"/>
    <w:basedOn w:val="Normal"/>
    <w:uiPriority w:val="99"/>
    <w:qFormat/>
    <w:rsid w:val="00CC7AA0"/>
    <w:pPr>
      <w:spacing w:after="120"/>
      <w:jc w:val="both"/>
    </w:pPr>
    <w:rPr>
      <w:rFonts w:ascii="Palatino" w:hAnsi="Palatino" w:cstheme="minorBidi"/>
      <w:sz w:val="22"/>
      <w:szCs w:val="22"/>
      <w:lang w:eastAsia="en-US"/>
    </w:rPr>
  </w:style>
  <w:style w:type="character" w:customStyle="1" w:styleId="lbl-encabezado-blanco2">
    <w:name w:val="lbl-encabezado-blanco2"/>
    <w:rsid w:val="00CC7AA0"/>
    <w:rPr>
      <w:color w:val="FFFFFF"/>
    </w:rPr>
  </w:style>
  <w:style w:type="character" w:customStyle="1" w:styleId="TextoCar">
    <w:name w:val="Texto Car"/>
    <w:link w:val="Texto"/>
    <w:locked/>
    <w:rsid w:val="00CC7AA0"/>
    <w:rPr>
      <w:rFonts w:ascii="Arial" w:eastAsia="Times New Roman" w:hAnsi="Arial" w:cs="Arial"/>
      <w:sz w:val="18"/>
      <w:szCs w:val="18"/>
      <w:lang w:eastAsia="es-ES"/>
    </w:rPr>
  </w:style>
  <w:style w:type="paragraph" w:customStyle="1" w:styleId="ANOTACION">
    <w:name w:val="ANOTACION"/>
    <w:basedOn w:val="Normal"/>
    <w:link w:val="ANOTACIONCar"/>
    <w:rsid w:val="00CC7AA0"/>
    <w:pPr>
      <w:spacing w:before="101" w:after="101"/>
      <w:jc w:val="center"/>
    </w:pPr>
    <w:rPr>
      <w:b/>
      <w:sz w:val="18"/>
      <w:szCs w:val="18"/>
    </w:rPr>
  </w:style>
  <w:style w:type="character" w:customStyle="1" w:styleId="ANOTACIONCar">
    <w:name w:val="ANOTACION Car"/>
    <w:link w:val="ANOTACION"/>
    <w:locked/>
    <w:rsid w:val="00CC7AA0"/>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CC7A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C7AA0"/>
    <w:rPr>
      <w:i/>
      <w:iCs/>
    </w:rPr>
  </w:style>
  <w:style w:type="character" w:customStyle="1" w:styleId="SinespaciadoCar">
    <w:name w:val="Sin espaciado Car"/>
    <w:aliases w:val="Francesa Car,INAI Car"/>
    <w:link w:val="Sinespaciado"/>
    <w:uiPriority w:val="1"/>
    <w:locked/>
    <w:rsid w:val="00CC7AA0"/>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CC7AA0"/>
  </w:style>
  <w:style w:type="paragraph" w:styleId="Textocomentario">
    <w:name w:val="annotation text"/>
    <w:basedOn w:val="Normal"/>
    <w:link w:val="TextocomentarioCar"/>
    <w:uiPriority w:val="99"/>
    <w:semiHidden/>
    <w:unhideWhenUsed/>
    <w:rsid w:val="00CC7AA0"/>
    <w:rPr>
      <w:sz w:val="20"/>
      <w:szCs w:val="20"/>
    </w:rPr>
  </w:style>
  <w:style w:type="character" w:customStyle="1" w:styleId="TextocomentarioCar">
    <w:name w:val="Texto comentario Car"/>
    <w:basedOn w:val="Fuentedeprrafopredeter"/>
    <w:link w:val="Textocomentario"/>
    <w:uiPriority w:val="99"/>
    <w:semiHidden/>
    <w:rsid w:val="00CC7AA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CC7AA0"/>
    <w:rPr>
      <w:b/>
      <w:bCs/>
    </w:rPr>
  </w:style>
  <w:style w:type="character" w:customStyle="1" w:styleId="AsuntodelcomentarioCar">
    <w:name w:val="Asunto del comentario Car"/>
    <w:basedOn w:val="TextocomentarioCar"/>
    <w:link w:val="Asuntodelcomentario"/>
    <w:uiPriority w:val="99"/>
    <w:semiHidden/>
    <w:rsid w:val="00CC7AA0"/>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CC7AA0"/>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CC7AA0"/>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CC7AA0"/>
  </w:style>
  <w:style w:type="character" w:customStyle="1" w:styleId="Ninguno">
    <w:name w:val="Ninguno"/>
    <w:rsid w:val="00CC7AA0"/>
    <w:rPr>
      <w:lang w:val="es-ES_tradnl"/>
    </w:rPr>
  </w:style>
  <w:style w:type="paragraph" w:customStyle="1" w:styleId="Cuerpo">
    <w:name w:val="Cuerpo"/>
    <w:rsid w:val="00CC7AA0"/>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CC7AA0"/>
    <w:pPr>
      <w:numPr>
        <w:numId w:val="5"/>
      </w:numPr>
    </w:pPr>
  </w:style>
  <w:style w:type="numbering" w:customStyle="1" w:styleId="Estiloimportado1">
    <w:name w:val="Estilo importado 1"/>
    <w:qFormat/>
    <w:rsid w:val="00CC7AA0"/>
    <w:pPr>
      <w:numPr>
        <w:numId w:val="6"/>
      </w:numPr>
    </w:pPr>
  </w:style>
  <w:style w:type="character" w:customStyle="1" w:styleId="normaltextrun">
    <w:name w:val="normaltextrun"/>
    <w:basedOn w:val="Fuentedeprrafopredeter"/>
    <w:rsid w:val="00CC7AA0"/>
  </w:style>
  <w:style w:type="paragraph" w:customStyle="1" w:styleId="INCISO">
    <w:name w:val="INCISO"/>
    <w:basedOn w:val="Normal"/>
    <w:rsid w:val="00CC7AA0"/>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CC7AA0"/>
    <w:pPr>
      <w:spacing w:before="100" w:beforeAutospacing="1" w:after="100" w:afterAutospacing="1"/>
    </w:pPr>
    <w:rPr>
      <w:lang w:eastAsia="es-MX"/>
    </w:rPr>
  </w:style>
  <w:style w:type="paragraph" w:customStyle="1" w:styleId="j">
    <w:name w:val="j"/>
    <w:basedOn w:val="Normal"/>
    <w:rsid w:val="00CC7AA0"/>
    <w:pPr>
      <w:spacing w:before="100" w:beforeAutospacing="1" w:after="100" w:afterAutospacing="1"/>
    </w:pPr>
    <w:rPr>
      <w:lang w:eastAsia="es-MX"/>
    </w:rPr>
  </w:style>
  <w:style w:type="character" w:customStyle="1" w:styleId="nacep">
    <w:name w:val="n_acep"/>
    <w:basedOn w:val="Fuentedeprrafopredeter"/>
    <w:rsid w:val="00CC7AA0"/>
  </w:style>
  <w:style w:type="paragraph" w:customStyle="1" w:styleId="m5212863947045306324gmail-msonormal">
    <w:name w:val="m_5212863947045306324gmail-msonormal"/>
    <w:basedOn w:val="Normal"/>
    <w:rsid w:val="00CC7AA0"/>
    <w:pPr>
      <w:spacing w:before="100" w:beforeAutospacing="1" w:after="100" w:afterAutospacing="1"/>
    </w:pPr>
    <w:rPr>
      <w:lang w:eastAsia="es-MX"/>
    </w:rPr>
  </w:style>
  <w:style w:type="character" w:customStyle="1" w:styleId="user-highlighted-active">
    <w:name w:val="user-highlighted-active"/>
    <w:basedOn w:val="Fuentedeprrafopredeter"/>
    <w:rsid w:val="00CC7AA0"/>
  </w:style>
  <w:style w:type="paragraph" w:styleId="Lista">
    <w:name w:val="List"/>
    <w:basedOn w:val="Normal"/>
    <w:uiPriority w:val="99"/>
    <w:unhideWhenUsed/>
    <w:rsid w:val="00CC7AA0"/>
    <w:pPr>
      <w:ind w:left="283" w:hanging="283"/>
      <w:contextualSpacing/>
    </w:pPr>
    <w:rPr>
      <w:lang w:val="es-ES"/>
    </w:rPr>
  </w:style>
  <w:style w:type="paragraph" w:styleId="Lista2">
    <w:name w:val="List 2"/>
    <w:basedOn w:val="Normal"/>
    <w:uiPriority w:val="99"/>
    <w:unhideWhenUsed/>
    <w:rsid w:val="00CC7AA0"/>
    <w:pPr>
      <w:ind w:left="566" w:hanging="283"/>
      <w:contextualSpacing/>
    </w:pPr>
    <w:rPr>
      <w:lang w:val="es-ES"/>
    </w:rPr>
  </w:style>
  <w:style w:type="paragraph" w:styleId="Lista3">
    <w:name w:val="List 3"/>
    <w:basedOn w:val="Normal"/>
    <w:uiPriority w:val="99"/>
    <w:unhideWhenUsed/>
    <w:rsid w:val="00CC7AA0"/>
    <w:pPr>
      <w:ind w:left="849" w:hanging="283"/>
      <w:contextualSpacing/>
    </w:pPr>
    <w:rPr>
      <w:lang w:val="es-ES"/>
    </w:rPr>
  </w:style>
  <w:style w:type="paragraph" w:styleId="Textoindependiente">
    <w:name w:val="Body Text"/>
    <w:basedOn w:val="Normal"/>
    <w:link w:val="TextoindependienteCar"/>
    <w:uiPriority w:val="99"/>
    <w:unhideWhenUsed/>
    <w:qFormat/>
    <w:rsid w:val="00CC7AA0"/>
    <w:pPr>
      <w:spacing w:after="120"/>
    </w:pPr>
    <w:rPr>
      <w:lang w:val="es-ES"/>
    </w:rPr>
  </w:style>
  <w:style w:type="character" w:customStyle="1" w:styleId="TextoindependienteCar">
    <w:name w:val="Texto independiente Car"/>
    <w:basedOn w:val="Fuentedeprrafopredeter"/>
    <w:link w:val="Textoindependiente"/>
    <w:uiPriority w:val="99"/>
    <w:rsid w:val="00CC7AA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CC7AA0"/>
    <w:pPr>
      <w:spacing w:after="120"/>
      <w:ind w:left="283"/>
    </w:pPr>
    <w:rPr>
      <w:lang w:val="es-ES"/>
    </w:rPr>
  </w:style>
  <w:style w:type="character" w:customStyle="1" w:styleId="SangradetextonormalCar">
    <w:name w:val="Sangría de texto normal Car"/>
    <w:basedOn w:val="Fuentedeprrafopredeter"/>
    <w:link w:val="Sangradetextonormal"/>
    <w:uiPriority w:val="99"/>
    <w:rsid w:val="00CC7AA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C7AA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C7AA0"/>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CC7AA0"/>
  </w:style>
  <w:style w:type="character" w:customStyle="1" w:styleId="titulorubrolgt">
    <w:name w:val="titulorubrolgt"/>
    <w:basedOn w:val="Fuentedeprrafopredeter"/>
    <w:rsid w:val="00CC7AA0"/>
  </w:style>
  <w:style w:type="paragraph" w:customStyle="1" w:styleId="Text">
    <w:name w:val="Text"/>
    <w:basedOn w:val="Normal"/>
    <w:link w:val="TextChar"/>
    <w:rsid w:val="00CC7AA0"/>
    <w:pPr>
      <w:spacing w:after="240"/>
    </w:pPr>
    <w:rPr>
      <w:szCs w:val="20"/>
      <w:lang w:val="en-US" w:eastAsia="en-US"/>
    </w:rPr>
  </w:style>
  <w:style w:type="character" w:customStyle="1" w:styleId="TextChar">
    <w:name w:val="Text Char"/>
    <w:link w:val="Text"/>
    <w:locked/>
    <w:rsid w:val="00CC7AA0"/>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CC7AA0"/>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CC7AA0"/>
    <w:rPr>
      <w:rFonts w:asciiTheme="minorHAnsi" w:eastAsia="Cambria" w:hAnsiTheme="minorHAnsi" w:cstheme="minorBidi"/>
      <w:sz w:val="20"/>
      <w:szCs w:val="20"/>
      <w:lang w:eastAsia="en-US"/>
    </w:rPr>
  </w:style>
  <w:style w:type="paragraph" w:customStyle="1" w:styleId="paragraph">
    <w:name w:val="paragraph"/>
    <w:basedOn w:val="Normal"/>
    <w:rsid w:val="00CC7AA0"/>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CC7AA0"/>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CC7AA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CC7AA0"/>
    <w:rPr>
      <w:color w:val="605E5C"/>
      <w:shd w:val="clear" w:color="auto" w:fill="E1DFDD"/>
    </w:rPr>
  </w:style>
  <w:style w:type="paragraph" w:customStyle="1" w:styleId="temp">
    <w:name w:val="temp"/>
    <w:basedOn w:val="Normal"/>
    <w:rsid w:val="00CC7AA0"/>
    <w:pPr>
      <w:spacing w:before="100" w:beforeAutospacing="1" w:after="100" w:afterAutospacing="1"/>
    </w:pPr>
    <w:rPr>
      <w:lang w:eastAsia="es-MX"/>
    </w:rPr>
  </w:style>
  <w:style w:type="character" w:customStyle="1" w:styleId="bold">
    <w:name w:val="bold"/>
    <w:basedOn w:val="Fuentedeprrafopredeter"/>
    <w:rsid w:val="00CC7AA0"/>
  </w:style>
  <w:style w:type="paragraph" w:customStyle="1" w:styleId="ng-star-inserted">
    <w:name w:val="ng-star-inserted"/>
    <w:basedOn w:val="Normal"/>
    <w:rsid w:val="00CC7AA0"/>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CC7AA0"/>
    <w:rPr>
      <w:color w:val="605E5C"/>
      <w:shd w:val="clear" w:color="auto" w:fill="E1DFDD"/>
    </w:rPr>
  </w:style>
  <w:style w:type="character" w:customStyle="1" w:styleId="Mencinsinresolver3">
    <w:name w:val="Mención sin resolver3"/>
    <w:basedOn w:val="Fuentedeprrafopredeter"/>
    <w:uiPriority w:val="99"/>
    <w:semiHidden/>
    <w:unhideWhenUsed/>
    <w:rsid w:val="00CC7AA0"/>
    <w:rPr>
      <w:color w:val="605E5C"/>
      <w:shd w:val="clear" w:color="auto" w:fill="E1DFDD"/>
    </w:rPr>
  </w:style>
  <w:style w:type="paragraph" w:styleId="Saludo">
    <w:name w:val="Salutation"/>
    <w:basedOn w:val="Normal"/>
    <w:next w:val="Normal"/>
    <w:link w:val="SaludoCar"/>
    <w:uiPriority w:val="99"/>
    <w:unhideWhenUsed/>
    <w:rsid w:val="00CC7AA0"/>
  </w:style>
  <w:style w:type="character" w:customStyle="1" w:styleId="SaludoCar">
    <w:name w:val="Saludo Car"/>
    <w:basedOn w:val="Fuentedeprrafopredeter"/>
    <w:link w:val="Saludo"/>
    <w:uiPriority w:val="99"/>
    <w:rsid w:val="00CC7AA0"/>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CC7AA0"/>
  </w:style>
  <w:style w:type="character" w:customStyle="1" w:styleId="Mencinsinresolver4">
    <w:name w:val="Mención sin resolver4"/>
    <w:basedOn w:val="Fuentedeprrafopredeter"/>
    <w:uiPriority w:val="99"/>
    <w:semiHidden/>
    <w:unhideWhenUsed/>
    <w:rsid w:val="00CC7AA0"/>
    <w:rPr>
      <w:color w:val="605E5C"/>
      <w:shd w:val="clear" w:color="auto" w:fill="E1DFDD"/>
    </w:rPr>
  </w:style>
  <w:style w:type="paragraph" w:styleId="Revisin">
    <w:name w:val="Revision"/>
    <w:hidden/>
    <w:uiPriority w:val="99"/>
    <w:semiHidden/>
    <w:rsid w:val="00CC7AA0"/>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CC7AA0"/>
  </w:style>
  <w:style w:type="table" w:customStyle="1" w:styleId="Tablaconcuadrcula3">
    <w:name w:val="Tabla con cuadrícula3"/>
    <w:basedOn w:val="Tablanormal"/>
    <w:next w:val="Tablaconcuadrcula"/>
    <w:uiPriority w:val="59"/>
    <w:qFormat/>
    <w:rsid w:val="00CC7AA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CC7AA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CC7AA0"/>
    <w:pPr>
      <w:keepNext/>
      <w:keepLines/>
      <w:spacing w:before="480" w:after="120"/>
    </w:pPr>
    <w:rPr>
      <w:b/>
      <w:sz w:val="72"/>
      <w:szCs w:val="72"/>
      <w:lang w:val="es-ES" w:eastAsia="es-MX"/>
    </w:rPr>
  </w:style>
  <w:style w:type="character" w:customStyle="1" w:styleId="PuestoCar">
    <w:name w:val="Puesto Car"/>
    <w:basedOn w:val="Fuentedeprrafopredeter"/>
    <w:link w:val="Puesto"/>
    <w:rsid w:val="00CC7AA0"/>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CC7AA0"/>
    <w:pPr>
      <w:keepNext/>
      <w:keepLines/>
      <w:spacing w:before="360" w:after="80"/>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CC7AA0"/>
    <w:rPr>
      <w:rFonts w:ascii="Georgia" w:eastAsia="Georgia" w:hAnsi="Georgia" w:cs="Georgia"/>
      <w:i/>
      <w:color w:val="666666"/>
      <w:sz w:val="48"/>
      <w:szCs w:val="48"/>
      <w:lang w:val="es-ES" w:eastAsia="es-MX"/>
    </w:rPr>
  </w:style>
  <w:style w:type="table" w:customStyle="1" w:styleId="8">
    <w:name w:val="8"/>
    <w:basedOn w:val="TableNormal"/>
    <w:rsid w:val="00CC7AA0"/>
    <w:tblPr>
      <w:tblStyleRowBandSize w:val="1"/>
      <w:tblStyleColBandSize w:val="1"/>
      <w:tblCellMar>
        <w:top w:w="0" w:type="dxa"/>
        <w:left w:w="115" w:type="dxa"/>
        <w:bottom w:w="0" w:type="dxa"/>
        <w:right w:w="115" w:type="dxa"/>
      </w:tblCellMar>
    </w:tblPr>
  </w:style>
  <w:style w:type="table" w:customStyle="1" w:styleId="7">
    <w:name w:val="7"/>
    <w:basedOn w:val="TableNormal"/>
    <w:rsid w:val="00CC7AA0"/>
    <w:tblPr>
      <w:tblStyleRowBandSize w:val="1"/>
      <w:tblStyleColBandSize w:val="1"/>
      <w:tblCellMar>
        <w:top w:w="0" w:type="dxa"/>
        <w:left w:w="115" w:type="dxa"/>
        <w:bottom w:w="0" w:type="dxa"/>
        <w:right w:w="115" w:type="dxa"/>
      </w:tblCellMar>
    </w:tblPr>
  </w:style>
  <w:style w:type="table" w:customStyle="1" w:styleId="6">
    <w:name w:val="6"/>
    <w:basedOn w:val="TableNormal"/>
    <w:rsid w:val="00CC7AA0"/>
    <w:tblPr>
      <w:tblStyleRowBandSize w:val="1"/>
      <w:tblStyleColBandSize w:val="1"/>
      <w:tblCellMar>
        <w:top w:w="0" w:type="dxa"/>
        <w:left w:w="115" w:type="dxa"/>
        <w:bottom w:w="0" w:type="dxa"/>
        <w:right w:w="115" w:type="dxa"/>
      </w:tblCellMar>
    </w:tblPr>
  </w:style>
  <w:style w:type="table" w:customStyle="1" w:styleId="5">
    <w:name w:val="5"/>
    <w:basedOn w:val="TableNormal"/>
    <w:rsid w:val="00CC7AA0"/>
    <w:tblPr>
      <w:tblStyleRowBandSize w:val="1"/>
      <w:tblStyleColBandSize w:val="1"/>
      <w:tblCellMar>
        <w:top w:w="0" w:type="dxa"/>
        <w:left w:w="115" w:type="dxa"/>
        <w:bottom w:w="0" w:type="dxa"/>
        <w:right w:w="115" w:type="dxa"/>
      </w:tblCellMar>
    </w:tblPr>
  </w:style>
  <w:style w:type="table" w:customStyle="1" w:styleId="4">
    <w:name w:val="4"/>
    <w:basedOn w:val="TableNormal"/>
    <w:rsid w:val="00CC7AA0"/>
    <w:tblPr>
      <w:tblStyleRowBandSize w:val="1"/>
      <w:tblStyleColBandSize w:val="1"/>
      <w:tblCellMar>
        <w:top w:w="0" w:type="dxa"/>
        <w:left w:w="115" w:type="dxa"/>
        <w:bottom w:w="0" w:type="dxa"/>
        <w:right w:w="115" w:type="dxa"/>
      </w:tblCellMar>
    </w:tblPr>
  </w:style>
  <w:style w:type="table" w:customStyle="1" w:styleId="3">
    <w:name w:val="3"/>
    <w:basedOn w:val="TableNormal"/>
    <w:rsid w:val="00CC7AA0"/>
    <w:tblPr>
      <w:tblStyleRowBandSize w:val="1"/>
      <w:tblStyleColBandSize w:val="1"/>
      <w:tblCellMar>
        <w:top w:w="0" w:type="dxa"/>
        <w:left w:w="115" w:type="dxa"/>
        <w:bottom w:w="0" w:type="dxa"/>
        <w:right w:w="115" w:type="dxa"/>
      </w:tblCellMar>
    </w:tblPr>
  </w:style>
  <w:style w:type="table" w:customStyle="1" w:styleId="2">
    <w:name w:val="2"/>
    <w:basedOn w:val="TableNormal"/>
    <w:rsid w:val="00CC7AA0"/>
    <w:tblPr>
      <w:tblStyleRowBandSize w:val="1"/>
      <w:tblStyleColBandSize w:val="1"/>
      <w:tblCellMar>
        <w:top w:w="0" w:type="dxa"/>
        <w:left w:w="115" w:type="dxa"/>
        <w:bottom w:w="0" w:type="dxa"/>
        <w:right w:w="115" w:type="dxa"/>
      </w:tblCellMar>
    </w:tblPr>
  </w:style>
  <w:style w:type="table" w:customStyle="1" w:styleId="1">
    <w:name w:val="1"/>
    <w:basedOn w:val="TableNormal"/>
    <w:rsid w:val="00CC7AA0"/>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CC7AA0"/>
    <w:rPr>
      <w:rFonts w:ascii="Times New Roman" w:eastAsia="Times New Roman" w:hAnsi="Times New Roman" w:cs="Times New Roman"/>
      <w:sz w:val="20"/>
      <w:szCs w:val="20"/>
      <w:lang w:eastAsia="es-MX"/>
    </w:rPr>
  </w:style>
  <w:style w:type="character" w:customStyle="1" w:styleId="eop">
    <w:name w:val="eop"/>
    <w:basedOn w:val="Fuentedeprrafopredeter"/>
    <w:rsid w:val="00CC7AA0"/>
  </w:style>
  <w:style w:type="character" w:customStyle="1" w:styleId="m2871584667633129156gmail-apple-converted-space">
    <w:name w:val="m_2871584667633129156gmail-apple-converted-space"/>
    <w:basedOn w:val="Fuentedeprrafopredeter"/>
    <w:rsid w:val="00CC7AA0"/>
  </w:style>
  <w:style w:type="character" w:customStyle="1" w:styleId="m2871584667633129156gmail-msofootnotereference">
    <w:name w:val="m_2871584667633129156gmail-msofootnotereference"/>
    <w:basedOn w:val="Fuentedeprrafopredeter"/>
    <w:rsid w:val="00CC7AA0"/>
  </w:style>
  <w:style w:type="paragraph" w:customStyle="1" w:styleId="m2871584667633129156gmail-msofootnotetext">
    <w:name w:val="m_2871584667633129156gmail-msofootnotetext"/>
    <w:basedOn w:val="Normal"/>
    <w:rsid w:val="00CC7AA0"/>
    <w:pPr>
      <w:spacing w:before="100" w:beforeAutospacing="1" w:after="100" w:afterAutospacing="1"/>
    </w:pPr>
    <w:rPr>
      <w:lang w:eastAsia="es-MX"/>
    </w:rPr>
  </w:style>
  <w:style w:type="character" w:customStyle="1" w:styleId="u">
    <w:name w:val="u"/>
    <w:basedOn w:val="Fuentedeprrafopredeter"/>
    <w:rsid w:val="00CC7AA0"/>
  </w:style>
  <w:style w:type="paragraph" w:customStyle="1" w:styleId="rtejustify">
    <w:name w:val="rtejustify"/>
    <w:basedOn w:val="Normal"/>
    <w:rsid w:val="00CC7AA0"/>
    <w:pPr>
      <w:spacing w:before="100" w:beforeAutospacing="1" w:after="100" w:afterAutospacing="1"/>
    </w:pPr>
    <w:rPr>
      <w:lang w:eastAsia="es-MX"/>
    </w:rPr>
  </w:style>
  <w:style w:type="paragraph" w:customStyle="1" w:styleId="j1">
    <w:name w:val="j1"/>
    <w:basedOn w:val="Normal"/>
    <w:rsid w:val="00CC7AA0"/>
    <w:pPr>
      <w:spacing w:before="100" w:beforeAutospacing="1" w:after="100" w:afterAutospacing="1"/>
    </w:pPr>
    <w:rPr>
      <w:lang w:eastAsia="es-MX"/>
    </w:rPr>
  </w:style>
  <w:style w:type="character" w:customStyle="1" w:styleId="m-7180717751901043621gmail-msofootnotereference">
    <w:name w:val="m_-7180717751901043621gmail-msofootnotereference"/>
    <w:basedOn w:val="Fuentedeprrafopredeter"/>
    <w:rsid w:val="00CC7AA0"/>
  </w:style>
  <w:style w:type="character" w:customStyle="1" w:styleId="m-3579365149168697376gmail-msofootnotereference">
    <w:name w:val="m_-3579365149168697376gmail-msofootnotereference"/>
    <w:basedOn w:val="Fuentedeprrafopredeter"/>
    <w:rsid w:val="00CC7AA0"/>
  </w:style>
  <w:style w:type="paragraph" w:customStyle="1" w:styleId="m-3579365149168697376gmail-msofootnotetext">
    <w:name w:val="m_-3579365149168697376gmail-msofootnotetext"/>
    <w:basedOn w:val="Normal"/>
    <w:rsid w:val="00CC7AA0"/>
    <w:pPr>
      <w:spacing w:before="100" w:beforeAutospacing="1" w:after="100" w:afterAutospacing="1"/>
    </w:pPr>
    <w:rPr>
      <w:lang w:eastAsia="es-MX"/>
    </w:rPr>
  </w:style>
  <w:style w:type="character" w:customStyle="1" w:styleId="ams">
    <w:name w:val="ams"/>
    <w:basedOn w:val="Fuentedeprrafopredeter"/>
    <w:rsid w:val="00CC7AA0"/>
  </w:style>
  <w:style w:type="numbering" w:customStyle="1" w:styleId="Sinlista2">
    <w:name w:val="Sin lista2"/>
    <w:next w:val="Sinlista"/>
    <w:uiPriority w:val="99"/>
    <w:semiHidden/>
    <w:unhideWhenUsed/>
    <w:rsid w:val="00CC7AA0"/>
  </w:style>
  <w:style w:type="table" w:customStyle="1" w:styleId="Tablaconcuadrcula4">
    <w:name w:val="Tabla con cuadrícula4"/>
    <w:basedOn w:val="Tablanormal"/>
    <w:next w:val="Tablaconcuadrcula"/>
    <w:uiPriority w:val="59"/>
    <w:qFormat/>
    <w:rsid w:val="00CC7AA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CC7AA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CC7AA0"/>
    <w:tblPr>
      <w:tblStyleRowBandSize w:val="1"/>
      <w:tblStyleColBandSize w:val="1"/>
      <w:tblCellMar>
        <w:top w:w="0" w:type="dxa"/>
        <w:left w:w="115" w:type="dxa"/>
        <w:bottom w:w="0" w:type="dxa"/>
        <w:right w:w="115" w:type="dxa"/>
      </w:tblCellMar>
    </w:tblPr>
  </w:style>
  <w:style w:type="table" w:customStyle="1" w:styleId="71">
    <w:name w:val="71"/>
    <w:basedOn w:val="TableNormal"/>
    <w:rsid w:val="00CC7AA0"/>
    <w:tblPr>
      <w:tblStyleRowBandSize w:val="1"/>
      <w:tblStyleColBandSize w:val="1"/>
      <w:tblCellMar>
        <w:top w:w="0" w:type="dxa"/>
        <w:left w:w="115" w:type="dxa"/>
        <w:bottom w:w="0" w:type="dxa"/>
        <w:right w:w="115" w:type="dxa"/>
      </w:tblCellMar>
    </w:tblPr>
  </w:style>
  <w:style w:type="table" w:customStyle="1" w:styleId="61">
    <w:name w:val="61"/>
    <w:basedOn w:val="TableNormal"/>
    <w:rsid w:val="00CC7AA0"/>
    <w:tblPr>
      <w:tblStyleRowBandSize w:val="1"/>
      <w:tblStyleColBandSize w:val="1"/>
      <w:tblCellMar>
        <w:top w:w="0" w:type="dxa"/>
        <w:left w:w="115" w:type="dxa"/>
        <w:bottom w:w="0" w:type="dxa"/>
        <w:right w:w="115" w:type="dxa"/>
      </w:tblCellMar>
    </w:tblPr>
  </w:style>
  <w:style w:type="table" w:customStyle="1" w:styleId="51">
    <w:name w:val="51"/>
    <w:basedOn w:val="TableNormal"/>
    <w:rsid w:val="00CC7AA0"/>
    <w:tblPr>
      <w:tblStyleRowBandSize w:val="1"/>
      <w:tblStyleColBandSize w:val="1"/>
      <w:tblCellMar>
        <w:top w:w="0" w:type="dxa"/>
        <w:left w:w="115" w:type="dxa"/>
        <w:bottom w:w="0" w:type="dxa"/>
        <w:right w:w="115" w:type="dxa"/>
      </w:tblCellMar>
    </w:tblPr>
  </w:style>
  <w:style w:type="table" w:customStyle="1" w:styleId="41">
    <w:name w:val="41"/>
    <w:basedOn w:val="TableNormal"/>
    <w:rsid w:val="00CC7AA0"/>
    <w:tblPr>
      <w:tblStyleRowBandSize w:val="1"/>
      <w:tblStyleColBandSize w:val="1"/>
      <w:tblCellMar>
        <w:top w:w="0" w:type="dxa"/>
        <w:left w:w="115" w:type="dxa"/>
        <w:bottom w:w="0" w:type="dxa"/>
        <w:right w:w="115" w:type="dxa"/>
      </w:tblCellMar>
    </w:tblPr>
  </w:style>
  <w:style w:type="table" w:customStyle="1" w:styleId="31">
    <w:name w:val="31"/>
    <w:basedOn w:val="TableNormal"/>
    <w:rsid w:val="00CC7AA0"/>
    <w:tblPr>
      <w:tblStyleRowBandSize w:val="1"/>
      <w:tblStyleColBandSize w:val="1"/>
      <w:tblCellMar>
        <w:top w:w="0" w:type="dxa"/>
        <w:left w:w="115" w:type="dxa"/>
        <w:bottom w:w="0" w:type="dxa"/>
        <w:right w:w="115" w:type="dxa"/>
      </w:tblCellMar>
    </w:tblPr>
  </w:style>
  <w:style w:type="table" w:customStyle="1" w:styleId="21">
    <w:name w:val="21"/>
    <w:basedOn w:val="TableNormal"/>
    <w:rsid w:val="00CC7AA0"/>
    <w:tblPr>
      <w:tblStyleRowBandSize w:val="1"/>
      <w:tblStyleColBandSize w:val="1"/>
      <w:tblCellMar>
        <w:top w:w="0" w:type="dxa"/>
        <w:left w:w="115" w:type="dxa"/>
        <w:bottom w:w="0" w:type="dxa"/>
        <w:right w:w="115" w:type="dxa"/>
      </w:tblCellMar>
    </w:tblPr>
  </w:style>
  <w:style w:type="table" w:customStyle="1" w:styleId="11">
    <w:name w:val="11"/>
    <w:basedOn w:val="TableNormal"/>
    <w:rsid w:val="00CC7AA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99277.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consultas.curp.gob.mx/CurpSP/html/informacionecurpPS.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ecretariadoejecutivo.gob.mx/work/models/SecretariadoEjecutivo/Resource/328/1/images/instructivo_final_edo_fuerza(1).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aimex.org.mx/saimex/solicitud/downloadAttach/1300557.pag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13945</Words>
  <Characters>76700</Characters>
  <Application>Microsoft Office Word</Application>
  <DocSecurity>0</DocSecurity>
  <Lines>639</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dc:creator>
  <cp:keywords/>
  <dc:description/>
  <cp:lastModifiedBy>USUARIO</cp:lastModifiedBy>
  <cp:revision>2</cp:revision>
  <dcterms:created xsi:type="dcterms:W3CDTF">2022-05-17T15:45:00Z</dcterms:created>
  <dcterms:modified xsi:type="dcterms:W3CDTF">2022-05-17T15:45:00Z</dcterms:modified>
</cp:coreProperties>
</file>