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DE34D" w14:textId="77777777" w:rsidR="00424984" w:rsidRPr="00747408" w:rsidRDefault="00424984" w:rsidP="00424984">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tres de agosto de dos mil veintidós. </w:t>
      </w:r>
    </w:p>
    <w:p w14:paraId="5565E467" w14:textId="77777777" w:rsidR="00F3187C" w:rsidRPr="00747408" w:rsidRDefault="00F3187C">
      <w:pPr>
        <w:spacing w:line="360" w:lineRule="auto"/>
        <w:jc w:val="both"/>
        <w:rPr>
          <w:rFonts w:ascii="Palatino Linotype" w:eastAsia="Palatino Linotype" w:hAnsi="Palatino Linotype" w:cs="Palatino Linotype"/>
        </w:rPr>
      </w:pPr>
    </w:p>
    <w:p w14:paraId="40F81EAE" w14:textId="164A7D81"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b/>
          <w:sz w:val="28"/>
          <w:szCs w:val="28"/>
        </w:rPr>
        <w:t>VISTO</w:t>
      </w:r>
      <w:r w:rsidRPr="00747408">
        <w:rPr>
          <w:rFonts w:ascii="Palatino Linotype" w:eastAsia="Palatino Linotype" w:hAnsi="Palatino Linotype" w:cs="Palatino Linotype"/>
        </w:rPr>
        <w:t xml:space="preserve"> el expediente formado con motivo del Recurso de Revisión </w:t>
      </w:r>
      <w:r w:rsidRPr="00747408">
        <w:rPr>
          <w:rFonts w:ascii="Palatino Linotype" w:eastAsia="Palatino Linotype" w:hAnsi="Palatino Linotype" w:cs="Palatino Linotype"/>
          <w:b/>
        </w:rPr>
        <w:t xml:space="preserve">06897/INFOEM/IP/RR/2022, </w:t>
      </w:r>
      <w:r w:rsidRPr="00747408">
        <w:rPr>
          <w:rFonts w:ascii="Palatino Linotype" w:eastAsia="Palatino Linotype" w:hAnsi="Palatino Linotype" w:cs="Palatino Linotype"/>
        </w:rPr>
        <w:t xml:space="preserve">promovido por </w:t>
      </w:r>
      <w:r w:rsidRPr="00747408">
        <w:rPr>
          <w:rFonts w:ascii="Palatino Linotype" w:eastAsia="Palatino Linotype" w:hAnsi="Palatino Linotype" w:cs="Palatino Linotype"/>
          <w:b/>
        </w:rPr>
        <w:t>“</w:t>
      </w:r>
      <w:bookmarkStart w:id="0" w:name="_GoBack"/>
      <w:r w:rsidR="009B59D3">
        <w:rPr>
          <w:rFonts w:ascii="Palatino Linotype" w:eastAsia="Palatino Linotype" w:hAnsi="Palatino Linotype" w:cs="Palatino Linotype"/>
          <w:b/>
        </w:rPr>
        <w:t>XXXXXXXXXX XXX XXXXXXXXXXXXXX</w:t>
      </w:r>
      <w:bookmarkEnd w:id="0"/>
      <w:r w:rsidRPr="00747408">
        <w:rPr>
          <w:rFonts w:ascii="Palatino Linotype" w:eastAsia="Palatino Linotype" w:hAnsi="Palatino Linotype" w:cs="Palatino Linotype"/>
          <w:b/>
        </w:rPr>
        <w:t>”,</w:t>
      </w:r>
      <w:r w:rsidRPr="00747408">
        <w:rPr>
          <w:rFonts w:ascii="Palatino Linotype" w:eastAsia="Palatino Linotype" w:hAnsi="Palatino Linotype" w:cs="Palatino Linotype"/>
        </w:rPr>
        <w:t xml:space="preserve"> a quien en lo sucesivo se le denominara como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en contra de la respuesta del </w:t>
      </w:r>
      <w:r w:rsidRPr="00747408">
        <w:rPr>
          <w:rFonts w:ascii="Palatino Linotype" w:eastAsia="Palatino Linotype" w:hAnsi="Palatino Linotype" w:cs="Palatino Linotype"/>
          <w:b/>
        </w:rPr>
        <w:t xml:space="preserve">Sistema Municipal </w:t>
      </w:r>
      <w:r w:rsidR="00424984" w:rsidRPr="00747408">
        <w:rPr>
          <w:rFonts w:ascii="Palatino Linotype" w:eastAsia="Palatino Linotype" w:hAnsi="Palatino Linotype" w:cs="Palatino Linotype"/>
          <w:b/>
        </w:rPr>
        <w:t>p</w:t>
      </w:r>
      <w:r w:rsidRPr="00747408">
        <w:rPr>
          <w:rFonts w:ascii="Palatino Linotype" w:eastAsia="Palatino Linotype" w:hAnsi="Palatino Linotype" w:cs="Palatino Linotype"/>
          <w:b/>
        </w:rPr>
        <w:t xml:space="preserve">ara el Desarrollo Integral de la Familia de Naucalpan de Juárez, </w:t>
      </w:r>
      <w:r w:rsidRPr="00747408">
        <w:rPr>
          <w:rFonts w:ascii="Palatino Linotype" w:eastAsia="Palatino Linotype" w:hAnsi="Palatino Linotype" w:cs="Palatino Linotype"/>
        </w:rPr>
        <w:t xml:space="preserve">en lo subsecuente se le denominará </w:t>
      </w:r>
      <w:r w:rsidRPr="00747408">
        <w:rPr>
          <w:rFonts w:ascii="Palatino Linotype" w:eastAsia="Palatino Linotype" w:hAnsi="Palatino Linotype" w:cs="Palatino Linotype"/>
          <w:b/>
        </w:rPr>
        <w:t xml:space="preserve">EL SUJETO OBLIGADO, </w:t>
      </w:r>
      <w:r w:rsidRPr="00747408">
        <w:rPr>
          <w:rFonts w:ascii="Palatino Linotype" w:eastAsia="Palatino Linotype" w:hAnsi="Palatino Linotype" w:cs="Palatino Linotype"/>
        </w:rPr>
        <w:t>se procede a dictar la presente resolución con base en lo siguiente:</w:t>
      </w:r>
    </w:p>
    <w:p w14:paraId="09BDDC32" w14:textId="77777777" w:rsidR="00F3187C" w:rsidRPr="00747408" w:rsidRDefault="00F3187C">
      <w:pPr>
        <w:spacing w:line="360" w:lineRule="auto"/>
        <w:jc w:val="both"/>
        <w:rPr>
          <w:rFonts w:ascii="Palatino Linotype" w:eastAsia="Palatino Linotype" w:hAnsi="Palatino Linotype" w:cs="Palatino Linotype"/>
          <w:b/>
        </w:rPr>
      </w:pPr>
    </w:p>
    <w:p w14:paraId="53B51B9E" w14:textId="77777777" w:rsidR="00F3187C" w:rsidRPr="00747408" w:rsidRDefault="00747408">
      <w:pPr>
        <w:jc w:val="center"/>
        <w:rPr>
          <w:rFonts w:ascii="Palatino Linotype" w:eastAsia="Palatino Linotype" w:hAnsi="Palatino Linotype" w:cs="Palatino Linotype"/>
          <w:b/>
          <w:sz w:val="28"/>
          <w:szCs w:val="28"/>
        </w:rPr>
      </w:pPr>
      <w:r w:rsidRPr="00747408">
        <w:rPr>
          <w:rFonts w:ascii="Palatino Linotype" w:eastAsia="Palatino Linotype" w:hAnsi="Palatino Linotype" w:cs="Palatino Linotype"/>
          <w:b/>
          <w:sz w:val="28"/>
          <w:szCs w:val="28"/>
        </w:rPr>
        <w:t>ANTECEDENTES</w:t>
      </w:r>
    </w:p>
    <w:p w14:paraId="65F151BD" w14:textId="77777777" w:rsidR="00F3187C" w:rsidRPr="00747408" w:rsidRDefault="00F3187C">
      <w:pPr>
        <w:rPr>
          <w:rFonts w:ascii="Palatino Linotype" w:eastAsia="Palatino Linotype" w:hAnsi="Palatino Linotype" w:cs="Palatino Linotype"/>
          <w:b/>
        </w:rPr>
      </w:pPr>
    </w:p>
    <w:p w14:paraId="75D9BB97" w14:textId="77777777" w:rsidR="00F3187C" w:rsidRPr="00747408" w:rsidRDefault="00747408">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747408">
        <w:rPr>
          <w:rFonts w:ascii="Palatino Linotype" w:eastAsia="Palatino Linotype" w:hAnsi="Palatino Linotype" w:cs="Palatino Linotype"/>
          <w:b/>
          <w:sz w:val="28"/>
          <w:szCs w:val="28"/>
        </w:rPr>
        <w:t>I.</w:t>
      </w:r>
      <w:r w:rsidRPr="00747408">
        <w:rPr>
          <w:rFonts w:ascii="Palatino Linotype" w:eastAsia="Palatino Linotype" w:hAnsi="Palatino Linotype" w:cs="Palatino Linotype"/>
          <w:b/>
        </w:rPr>
        <w:t xml:space="preserve"> </w:t>
      </w:r>
      <w:r w:rsidRPr="00747408">
        <w:rPr>
          <w:rFonts w:ascii="Palatino Linotype" w:eastAsia="Palatino Linotype" w:hAnsi="Palatino Linotype" w:cs="Palatino Linotype"/>
          <w:b/>
          <w:sz w:val="28"/>
          <w:szCs w:val="28"/>
        </w:rPr>
        <w:t>De la Solicitud de Información</w:t>
      </w:r>
    </w:p>
    <w:p w14:paraId="3CFE7A54" w14:textId="77777777" w:rsidR="00F3187C" w:rsidRPr="00747408" w:rsidRDefault="00747408">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sidRPr="00747408">
        <w:rPr>
          <w:rFonts w:ascii="Palatino Linotype" w:eastAsia="Palatino Linotype" w:hAnsi="Palatino Linotype" w:cs="Palatino Linotype"/>
        </w:rPr>
        <w:t xml:space="preserve"> En fecha </w:t>
      </w:r>
      <w:r w:rsidRPr="00747408">
        <w:rPr>
          <w:rFonts w:ascii="Palatino Linotype" w:eastAsia="Palatino Linotype" w:hAnsi="Palatino Linotype" w:cs="Palatino Linotype"/>
          <w:b/>
        </w:rPr>
        <w:t>cuatro de abril de dos mil veintidós</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presentó a través del Sistema de Acceso a la Información Mexiquense, en lo subsecuente </w:t>
      </w:r>
      <w:r w:rsidRPr="00747408">
        <w:rPr>
          <w:rFonts w:ascii="Palatino Linotype" w:eastAsia="Palatino Linotype" w:hAnsi="Palatino Linotype" w:cs="Palatino Linotype"/>
          <w:b/>
        </w:rPr>
        <w:t>EL SAIMEX</w:t>
      </w:r>
      <w:r w:rsidRPr="00747408">
        <w:rPr>
          <w:rFonts w:ascii="Palatino Linotype" w:eastAsia="Palatino Linotype" w:hAnsi="Palatino Linotype" w:cs="Palatino Linotype"/>
        </w:rPr>
        <w:t xml:space="preserve"> ante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la solicitud de acceso a la información pública, a la que se le asignó el número de expediente </w:t>
      </w:r>
      <w:r w:rsidRPr="00747408">
        <w:rPr>
          <w:rFonts w:ascii="Palatino Linotype" w:eastAsia="Palatino Linotype" w:hAnsi="Palatino Linotype" w:cs="Palatino Linotype"/>
          <w:b/>
        </w:rPr>
        <w:t xml:space="preserve">00038/DIFNAUCAL/IP/2022, </w:t>
      </w:r>
      <w:r w:rsidRPr="00747408">
        <w:rPr>
          <w:rFonts w:ascii="Palatino Linotype" w:eastAsia="Palatino Linotype" w:hAnsi="Palatino Linotype" w:cs="Palatino Linotype"/>
        </w:rPr>
        <w:t>requirió, lo siguiente:</w:t>
      </w:r>
    </w:p>
    <w:p w14:paraId="09A7C6B4" w14:textId="77777777" w:rsidR="00F3187C" w:rsidRPr="00747408" w:rsidRDefault="00747408">
      <w:pPr>
        <w:ind w:left="850" w:right="899"/>
        <w:jc w:val="both"/>
        <w:rPr>
          <w:rFonts w:ascii="Palatino Linotype" w:eastAsia="Palatino Linotype" w:hAnsi="Palatino Linotype" w:cs="Palatino Linotype"/>
          <w:sz w:val="22"/>
          <w:szCs w:val="22"/>
        </w:rPr>
      </w:pPr>
      <w:r w:rsidRPr="00747408">
        <w:rPr>
          <w:rFonts w:ascii="Palatino Linotype" w:eastAsia="Palatino Linotype" w:hAnsi="Palatino Linotype" w:cs="Palatino Linotype"/>
          <w:i/>
          <w:sz w:val="22"/>
          <w:szCs w:val="22"/>
        </w:rPr>
        <w:lastRenderedPageBreak/>
        <w:t>“Solicito las razones del porque el titular Arturo Mejía Diaz no ha generado la actualización del portal de ipomex la respuesta la requiero de su jefe inmediato ya que el esta obligado a general la actualización del ultimo trimestre de 2021 y el primer trimestre de este ejercicio y ninguno esta, asi mismo solicito su tabla de aplicabilidad, como están clasificadas las fracciones por cada area, así mismo solicito los oficios que el manda en tiempo y forma a las área solicitando la publicación y las respuestas de todas las areas de cada una donde hacen la actualización ya que esto es una obligación y al no cumplir incumple en la ley, también solicito los oficios que le mandan las area asignando un servidor publico habilitado por cada materia los acuse de carga de información de todo lo que suben aclaro esta información ya debe de estar publicada de acuerdo a la ley y no esta porque revise su portal asi que no traten de mover fechas a los oficios porque eso es un delito, mas bien es demostrar el poco conocimiento que tiene su titular de transparencia y que no cuenta con los conocimientos para dar atención a los temas ya que de tiempo he contestado y no he recibido respuesta la respuesta de todo lo que mande quiero que me la mande la secretaria técnica o dirección general o su jefe inmediato de la titular de transparencia” (sic)</w:t>
      </w:r>
    </w:p>
    <w:p w14:paraId="047EA73C" w14:textId="77777777" w:rsidR="00F3187C" w:rsidRPr="00747408" w:rsidRDefault="00F3187C">
      <w:pPr>
        <w:tabs>
          <w:tab w:val="left" w:pos="851"/>
        </w:tabs>
        <w:ind w:right="901"/>
        <w:jc w:val="both"/>
        <w:rPr>
          <w:rFonts w:ascii="Palatino Linotype" w:eastAsia="Palatino Linotype" w:hAnsi="Palatino Linotype" w:cs="Palatino Linotype"/>
          <w:sz w:val="22"/>
          <w:szCs w:val="22"/>
        </w:rPr>
      </w:pPr>
    </w:p>
    <w:p w14:paraId="09E252FC" w14:textId="77777777" w:rsidR="00F3187C" w:rsidRPr="00747408" w:rsidRDefault="00747408">
      <w:pPr>
        <w:widowControl w:val="0"/>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t xml:space="preserve">MODALIDAD DE ENTREGA: </w:t>
      </w:r>
      <w:r w:rsidRPr="00747408">
        <w:rPr>
          <w:rFonts w:ascii="Palatino Linotype" w:eastAsia="Palatino Linotype" w:hAnsi="Palatino Linotype" w:cs="Palatino Linotype"/>
        </w:rPr>
        <w:t xml:space="preserve">Vía </w:t>
      </w:r>
      <w:r w:rsidRPr="00747408">
        <w:rPr>
          <w:rFonts w:ascii="Palatino Linotype" w:eastAsia="Palatino Linotype" w:hAnsi="Palatino Linotype" w:cs="Palatino Linotype"/>
          <w:b/>
        </w:rPr>
        <w:t>SAIMEX.</w:t>
      </w:r>
    </w:p>
    <w:p w14:paraId="4A964B23" w14:textId="77777777" w:rsidR="00F3187C" w:rsidRPr="00747408" w:rsidRDefault="00F3187C">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02CD6366" w14:textId="77777777" w:rsidR="00F3187C" w:rsidRPr="00747408" w:rsidRDefault="00747408">
      <w:pPr>
        <w:spacing w:line="360" w:lineRule="auto"/>
        <w:jc w:val="both"/>
        <w:rPr>
          <w:rFonts w:ascii="Palatino Linotype" w:eastAsia="Palatino Linotype" w:hAnsi="Palatino Linotype" w:cs="Palatino Linotype"/>
          <w:b/>
          <w:sz w:val="28"/>
          <w:szCs w:val="28"/>
        </w:rPr>
      </w:pPr>
      <w:r w:rsidRPr="00747408">
        <w:rPr>
          <w:rFonts w:ascii="Palatino Linotype" w:eastAsia="Palatino Linotype" w:hAnsi="Palatino Linotype" w:cs="Palatino Linotype"/>
          <w:b/>
          <w:sz w:val="28"/>
          <w:szCs w:val="28"/>
        </w:rPr>
        <w:t>II. Turno de requerimiento del Sujeto Obligado</w:t>
      </w:r>
    </w:p>
    <w:p w14:paraId="1C6ADFD4"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De las constancias que obran en los expedientes electrónicos del SAIMEX advierte en fecha </w:t>
      </w:r>
      <w:r w:rsidRPr="00747408">
        <w:rPr>
          <w:rFonts w:ascii="Palatino Linotype" w:eastAsia="Palatino Linotype" w:hAnsi="Palatino Linotype" w:cs="Palatino Linotype"/>
          <w:b/>
        </w:rPr>
        <w:t>siete de abril del dos mil veintidós</w:t>
      </w:r>
      <w:r w:rsidR="00424984" w:rsidRPr="00747408">
        <w:rPr>
          <w:rFonts w:ascii="Palatino Linotype" w:eastAsia="Palatino Linotype" w:hAnsi="Palatino Linotype" w:cs="Palatino Linotype"/>
          <w:b/>
        </w:rPr>
        <w:t>,</w:t>
      </w:r>
      <w:r w:rsidRPr="00747408">
        <w:rPr>
          <w:rFonts w:ascii="Palatino Linotype" w:eastAsia="Palatino Linotype" w:hAnsi="Palatino Linotype" w:cs="Palatino Linotype"/>
          <w:b/>
        </w:rPr>
        <w:t xml:space="preserve"> </w:t>
      </w:r>
      <w:r w:rsidR="00424984" w:rsidRPr="00747408">
        <w:rPr>
          <w:rFonts w:ascii="Palatino Linotype" w:eastAsia="Palatino Linotype" w:hAnsi="Palatino Linotype" w:cs="Palatino Linotype"/>
        </w:rPr>
        <w:t>se</w:t>
      </w:r>
      <w:r w:rsidRPr="00747408">
        <w:rPr>
          <w:rFonts w:ascii="Palatino Linotype" w:eastAsia="Palatino Linotype" w:hAnsi="Palatino Linotype" w:cs="Palatino Linotype"/>
        </w:rPr>
        <w:t xml:space="preserve"> turn</w:t>
      </w:r>
      <w:r w:rsidR="00424984" w:rsidRPr="00747408">
        <w:rPr>
          <w:rFonts w:ascii="Palatino Linotype" w:eastAsia="Palatino Linotype" w:hAnsi="Palatino Linotype" w:cs="Palatino Linotype"/>
        </w:rPr>
        <w:t>ó</w:t>
      </w:r>
      <w:r w:rsidRPr="00747408">
        <w:rPr>
          <w:rFonts w:ascii="Palatino Linotype" w:eastAsia="Palatino Linotype" w:hAnsi="Palatino Linotype" w:cs="Palatino Linotype"/>
        </w:rPr>
        <w:t xml:space="preserve"> </w:t>
      </w:r>
      <w:r w:rsidR="00424984" w:rsidRPr="00747408">
        <w:rPr>
          <w:rFonts w:ascii="Palatino Linotype" w:eastAsia="Palatino Linotype" w:hAnsi="Palatino Linotype" w:cs="Palatino Linotype"/>
        </w:rPr>
        <w:t>el</w:t>
      </w:r>
      <w:r w:rsidRPr="00747408">
        <w:rPr>
          <w:rFonts w:ascii="Palatino Linotype" w:eastAsia="Palatino Linotype" w:hAnsi="Palatino Linotype" w:cs="Palatino Linotype"/>
        </w:rPr>
        <w:t xml:space="preserve"> requerimiento hecho al servidor público habilitado que estimó competente, en términos de lo establecido por el artículo 162 de la Ley de Transparencia y Acceso a la Información Pública del Estado de México y Municipios.</w:t>
      </w:r>
    </w:p>
    <w:p w14:paraId="4B197C18" w14:textId="77777777" w:rsidR="00F3187C" w:rsidRPr="00747408" w:rsidRDefault="00747408">
      <w:pPr>
        <w:spacing w:line="360" w:lineRule="auto"/>
        <w:jc w:val="both"/>
        <w:rPr>
          <w:rFonts w:ascii="Palatino Linotype" w:eastAsia="Palatino Linotype" w:hAnsi="Palatino Linotype" w:cs="Palatino Linotype"/>
          <w:b/>
          <w:sz w:val="28"/>
          <w:szCs w:val="28"/>
        </w:rPr>
      </w:pPr>
      <w:r w:rsidRPr="00747408">
        <w:rPr>
          <w:rFonts w:ascii="Palatino Linotype" w:eastAsia="Palatino Linotype" w:hAnsi="Palatino Linotype" w:cs="Palatino Linotype"/>
          <w:b/>
          <w:sz w:val="28"/>
          <w:szCs w:val="28"/>
        </w:rPr>
        <w:t xml:space="preserve"> </w:t>
      </w:r>
    </w:p>
    <w:p w14:paraId="2BBA786A" w14:textId="77777777" w:rsidR="00F3187C" w:rsidRPr="00747408" w:rsidRDefault="00F3187C">
      <w:pPr>
        <w:spacing w:line="360" w:lineRule="auto"/>
        <w:jc w:val="both"/>
        <w:rPr>
          <w:rFonts w:ascii="Palatino Linotype" w:eastAsia="Palatino Linotype" w:hAnsi="Palatino Linotype" w:cs="Palatino Linotype"/>
          <w:b/>
          <w:sz w:val="28"/>
          <w:szCs w:val="28"/>
        </w:rPr>
      </w:pPr>
    </w:p>
    <w:p w14:paraId="2BAA503A" w14:textId="77777777" w:rsidR="00F3187C" w:rsidRPr="00747408" w:rsidRDefault="00747408">
      <w:pPr>
        <w:spacing w:line="360" w:lineRule="auto"/>
        <w:jc w:val="both"/>
        <w:rPr>
          <w:rFonts w:ascii="Palatino Linotype" w:eastAsia="Palatino Linotype" w:hAnsi="Palatino Linotype" w:cs="Palatino Linotype"/>
          <w:b/>
          <w:sz w:val="28"/>
          <w:szCs w:val="28"/>
        </w:rPr>
      </w:pPr>
      <w:r w:rsidRPr="00747408">
        <w:rPr>
          <w:rFonts w:ascii="Palatino Linotype" w:eastAsia="Palatino Linotype" w:hAnsi="Palatino Linotype" w:cs="Palatino Linotype"/>
          <w:b/>
          <w:sz w:val="28"/>
          <w:szCs w:val="28"/>
        </w:rPr>
        <w:lastRenderedPageBreak/>
        <w:t>III. Respuesta del Sujeto Obligado</w:t>
      </w:r>
    </w:p>
    <w:p w14:paraId="3FD4931E"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De las constancias que obran en el expediente electrónico del SAIMEX se observa que en fecha </w:t>
      </w:r>
      <w:r w:rsidRPr="00747408">
        <w:rPr>
          <w:rFonts w:ascii="Palatino Linotype" w:eastAsia="Palatino Linotype" w:hAnsi="Palatino Linotype" w:cs="Palatino Linotype"/>
          <w:b/>
        </w:rPr>
        <w:t>veintinueve de abril de dos mil veintidós</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dio respuesta a la solicitud de acceso a la información pública en los términos siguientes: </w:t>
      </w:r>
    </w:p>
    <w:p w14:paraId="591CBBC4" w14:textId="77777777" w:rsidR="00F3187C" w:rsidRPr="00747408" w:rsidRDefault="00F3187C">
      <w:pPr>
        <w:spacing w:line="360" w:lineRule="auto"/>
        <w:jc w:val="both"/>
        <w:rPr>
          <w:rFonts w:ascii="Palatino Linotype" w:eastAsia="Palatino Linotype" w:hAnsi="Palatino Linotype" w:cs="Palatino Linotype"/>
        </w:rPr>
      </w:pPr>
    </w:p>
    <w:p w14:paraId="3E5C2E30" w14:textId="77777777" w:rsidR="00F3187C" w:rsidRPr="00747408" w:rsidRDefault="00747408">
      <w:pPr>
        <w:ind w:left="850" w:right="899"/>
        <w:jc w:val="both"/>
        <w:rPr>
          <w:rFonts w:ascii="Palatino Linotype" w:eastAsia="Palatino Linotype" w:hAnsi="Palatino Linotype" w:cs="Palatino Linotype"/>
        </w:rPr>
      </w:pPr>
      <w:r w:rsidRPr="00747408">
        <w:rPr>
          <w:rFonts w:ascii="Palatino Linotype" w:eastAsia="Palatino Linotype" w:hAnsi="Palatino Linotype" w:cs="Palatino Linotype"/>
          <w:i/>
          <w:sz w:val="22"/>
          <w:szCs w:val="22"/>
        </w:rPr>
        <w:t xml:space="preserve">“C. SOLICITANTE DE INFORMACIÓN PRESENTE Respecto al contenido y del análisis hecho a su solicitud de acceso a la información pública, registrada bajo el folio: 00038/DIFNAUCAL/IP/2022 donde solicita literalmente lo siguiente: “Solicito las razones del porque el titular Arturo Mejía Diaz no ha generado la actualización del portal de ipomex la respuesta la requiero de su jefe inmediato ya que el esta obligado a general la actualización del ultimo trimestre de 2021 y el primer trimestre de este ejercicio y ninguno esta, asi mismo solicito su tabla de aplicabilidad, como están clasificadas las fracciones por cada area, así mismo solicito los oficios que el manda en tiempo y forma a las área solicitando la publicación y las respuestas de todas las areas de cada una donde hacen la actualización ya que esto es una obligación y al no cumplir incumple en la ley, también solicito los oficios que le mandan las area asignando un servidor publico habilitado por cada materia los acuse de carga de información de todo lo que suben aclaro esta información ya debe de estar publicada de acuerdo a la ley y no esta porque revise su portal asi que no traten de mover fechas a los oficios porque eso es un delito, mas bien es demostrar el poco conocimiento que tiene su titular de transparencia y que no cuenta con los conocimientos para dar atención a los temas ya que de tiempo he contestado y no he recibido respuesta la respuesta de todo lo que mande quiero que me la mande la secretaria técnica o dirección general o su jefe inmediato de la titular de transparencia”…(SIC) En virtud de lo anterior me es grato informarle lo siguiente: 1. Respecto a las razones del por qué el titular Arturo Mejia Diaz no ha generado la actualización del portal ipomex, es importante precisar que el ingreso del titular Arturo Mejia Diaz fue el 9 de marzo del corriente y a partir de esa fecha ha realizado las acciones necesarias para dar cumplimiento a las obligaciones las cuales han queda cubiertas en fechas recientes. 2. Respecto a la tabla de aplicabilidad esta se anexa al presente. 3. Respecto de los oficios, le informo que se brindó un curso para los Sujetos Públicos Habilitados </w:t>
      </w:r>
      <w:r w:rsidRPr="00747408">
        <w:rPr>
          <w:rFonts w:ascii="Palatino Linotype" w:eastAsia="Palatino Linotype" w:hAnsi="Palatino Linotype" w:cs="Palatino Linotype"/>
          <w:i/>
          <w:sz w:val="22"/>
          <w:szCs w:val="22"/>
        </w:rPr>
        <w:lastRenderedPageBreak/>
        <w:t>en el cual se establecieron las fechas para dar cumplimiento a la actualización de los portales mismo que fue brindado por el titular Arturo Mejia Diaz quien además de dar el curso brindo un seguimiento y acompañamiento a cada uno de los Servidores Públicos Habilitados para realizar las actualizaciones y dar cumplimiento a la actualización, (se adjunta circular del curso que se brindó, así como los oficios de cumplimiento) 4. Respecto a los Servidores Públicos Habilitados en la misma circular se les informo que todos los subdirectores de este Sistema Municipal fueron asignados como Servidores Públicos Habilitados y en la capacitación se les brindaron contraseñas de acceso y se les indico las responsabilidades. Por lo anteriormente manifestado y con fundamento en lo señalado en el articulo 59 de la Ley de Transparencia y Acceso a la Información Pública del Estado de México y Municipios, esta Secretaria Técnica brinda la respuesta requerida Sin más por el momento, reciba un saludo.”(Sic)</w:t>
      </w:r>
    </w:p>
    <w:p w14:paraId="7164B50F" w14:textId="77777777" w:rsidR="00F3187C" w:rsidRPr="00747408" w:rsidRDefault="00F3187C">
      <w:pPr>
        <w:spacing w:line="360" w:lineRule="auto"/>
        <w:jc w:val="both"/>
        <w:rPr>
          <w:rFonts w:ascii="Palatino Linotype" w:eastAsia="Palatino Linotype" w:hAnsi="Palatino Linotype" w:cs="Palatino Linotype"/>
        </w:rPr>
      </w:pPr>
    </w:p>
    <w:p w14:paraId="3F83078C"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Adjuntando a su respuesta tres documentos, el primero de ellos de nombre “</w:t>
      </w:r>
      <w:r w:rsidRPr="00747408">
        <w:rPr>
          <w:rFonts w:ascii="Palatino Linotype" w:eastAsia="Palatino Linotype" w:hAnsi="Palatino Linotype" w:cs="Palatino Linotype"/>
          <w:i/>
        </w:rPr>
        <w:t xml:space="preserve">Respuesta Solicitud 38.pdff” </w:t>
      </w:r>
      <w:r w:rsidRPr="00747408">
        <w:rPr>
          <w:rFonts w:ascii="Palatino Linotype" w:eastAsia="Palatino Linotype" w:hAnsi="Palatino Linotype" w:cs="Palatino Linotype"/>
        </w:rPr>
        <w:t xml:space="preserve">el cual contiene la respuesta firmada por la Titular de la Secretaría Técnica del </w:t>
      </w:r>
      <w:r w:rsidRPr="00747408">
        <w:rPr>
          <w:rFonts w:ascii="Palatino Linotype" w:eastAsia="Palatino Linotype" w:hAnsi="Palatino Linotype" w:cs="Palatino Linotype"/>
          <w:b/>
        </w:rPr>
        <w:t xml:space="preserve">SUJETO OBLIGADO </w:t>
      </w:r>
      <w:r w:rsidRPr="00747408">
        <w:rPr>
          <w:rFonts w:ascii="Palatino Linotype" w:eastAsia="Palatino Linotype" w:hAnsi="Palatino Linotype" w:cs="Palatino Linotype"/>
        </w:rPr>
        <w:t xml:space="preserve">en fecha diecisiete de marzo quien se pronuncia respecto de los puntos solicitados por el particular en el tenor siguiente: </w:t>
      </w:r>
    </w:p>
    <w:p w14:paraId="20C54C85"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noProof/>
        </w:rPr>
        <w:lastRenderedPageBreak/>
        <w:drawing>
          <wp:inline distT="114300" distB="114300" distL="114300" distR="114300" wp14:anchorId="75686483" wp14:editId="40E4F27F">
            <wp:extent cx="5791835" cy="5956300"/>
            <wp:effectExtent l="0" t="0" r="0" b="0"/>
            <wp:docPr id="3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91835" cy="5956300"/>
                    </a:xfrm>
                    <a:prstGeom prst="rect">
                      <a:avLst/>
                    </a:prstGeom>
                    <a:ln/>
                  </pic:spPr>
                </pic:pic>
              </a:graphicData>
            </a:graphic>
          </wp:inline>
        </w:drawing>
      </w:r>
    </w:p>
    <w:p w14:paraId="4C1548CE" w14:textId="77777777" w:rsidR="00F3187C" w:rsidRPr="00747408" w:rsidRDefault="00F3187C">
      <w:pPr>
        <w:spacing w:line="360" w:lineRule="auto"/>
        <w:jc w:val="both"/>
        <w:rPr>
          <w:rFonts w:ascii="Palatino Linotype" w:eastAsia="Palatino Linotype" w:hAnsi="Palatino Linotype" w:cs="Palatino Linotype"/>
        </w:rPr>
      </w:pPr>
    </w:p>
    <w:p w14:paraId="6796F368"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lastRenderedPageBreak/>
        <w:t>El segundo documento denominado</w:t>
      </w:r>
      <w:r w:rsidRPr="00747408">
        <w:rPr>
          <w:rFonts w:ascii="Palatino Linotype" w:eastAsia="Palatino Linotype" w:hAnsi="Palatino Linotype" w:cs="Palatino Linotype"/>
          <w:i/>
        </w:rPr>
        <w:t xml:space="preserve"> “TABLA DE APLICABILIDAD.pdf” </w:t>
      </w:r>
      <w:r w:rsidRPr="00747408">
        <w:rPr>
          <w:rFonts w:ascii="Palatino Linotype" w:eastAsia="Palatino Linotype" w:hAnsi="Palatino Linotype" w:cs="Palatino Linotype"/>
        </w:rPr>
        <w:t xml:space="preserve">contiene diez fojas de las cuales se observan las fracciones aplicables al </w:t>
      </w:r>
      <w:r w:rsidRPr="00747408">
        <w:rPr>
          <w:rFonts w:ascii="Palatino Linotype" w:eastAsia="Palatino Linotype" w:hAnsi="Palatino Linotype" w:cs="Palatino Linotype"/>
          <w:b/>
        </w:rPr>
        <w:t>SUJETO OBLIGADO</w:t>
      </w:r>
      <w:r w:rsidRPr="00747408">
        <w:rPr>
          <w:rFonts w:ascii="Palatino Linotype" w:eastAsia="Palatino Linotype" w:hAnsi="Palatino Linotype" w:cs="Palatino Linotype"/>
        </w:rPr>
        <w:t xml:space="preserve"> del artículo 92 de la Ley de Transparencia y Acceso a la Información Pública del Estado de México y Municipios. </w:t>
      </w:r>
    </w:p>
    <w:p w14:paraId="2504BE31" w14:textId="77777777" w:rsidR="00F3187C" w:rsidRPr="00747408" w:rsidRDefault="00F3187C">
      <w:pPr>
        <w:spacing w:line="360" w:lineRule="auto"/>
        <w:jc w:val="both"/>
        <w:rPr>
          <w:rFonts w:ascii="Palatino Linotype" w:eastAsia="Palatino Linotype" w:hAnsi="Palatino Linotype" w:cs="Palatino Linotype"/>
        </w:rPr>
      </w:pPr>
    </w:p>
    <w:p w14:paraId="4201165F"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El tercer documento de nombre </w:t>
      </w:r>
      <w:r w:rsidRPr="00747408">
        <w:rPr>
          <w:rFonts w:ascii="Palatino Linotype" w:eastAsia="Palatino Linotype" w:hAnsi="Palatino Linotype" w:cs="Palatino Linotype"/>
          <w:i/>
        </w:rPr>
        <w:t xml:space="preserve">“Documentos Anexos al oficio 100.pdf” </w:t>
      </w:r>
      <w:r w:rsidRPr="00747408">
        <w:rPr>
          <w:rFonts w:ascii="Palatino Linotype" w:eastAsia="Palatino Linotype" w:hAnsi="Palatino Linotype" w:cs="Palatino Linotype"/>
        </w:rPr>
        <w:t xml:space="preserve">de cuyo contenido se aprecian siete fojas con oficios emitidos en fecha ocho, dieciocho y diecinueve de abril de dos mil veintidós con los requerimientos de actualización del portal de IPOMEX. </w:t>
      </w:r>
    </w:p>
    <w:p w14:paraId="3EC419AC"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0419A930" w14:textId="77777777" w:rsidR="00F3187C" w:rsidRPr="00747408" w:rsidRDefault="00747408">
      <w:pPr>
        <w:widowControl w:val="0"/>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sz w:val="28"/>
          <w:szCs w:val="28"/>
        </w:rPr>
        <w:t>IV. Del Recurso de Revisión</w:t>
      </w:r>
      <w:r w:rsidRPr="00747408">
        <w:rPr>
          <w:rFonts w:ascii="Palatino Linotype" w:eastAsia="Palatino Linotype" w:hAnsi="Palatino Linotype" w:cs="Palatino Linotype"/>
          <w:b/>
        </w:rPr>
        <w:t>.</w:t>
      </w:r>
    </w:p>
    <w:p w14:paraId="677C57C6" w14:textId="77777777" w:rsidR="00F3187C" w:rsidRPr="00747408" w:rsidRDefault="00747408">
      <w:pPr>
        <w:widowControl w:val="0"/>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Inconforme con la respuesta del</w:t>
      </w:r>
      <w:r w:rsidRPr="00747408">
        <w:rPr>
          <w:rFonts w:ascii="Palatino Linotype" w:eastAsia="Palatino Linotype" w:hAnsi="Palatino Linotype" w:cs="Palatino Linotype"/>
          <w:b/>
        </w:rPr>
        <w:t xml:space="preserve"> SUJETO OBLIGADO</w:t>
      </w:r>
      <w:r w:rsidRPr="00747408">
        <w:rPr>
          <w:rFonts w:ascii="Palatino Linotype" w:eastAsia="Palatino Linotype" w:hAnsi="Palatino Linotype" w:cs="Palatino Linotype"/>
        </w:rPr>
        <w:t xml:space="preserve">, el </w:t>
      </w:r>
      <w:r w:rsidRPr="00747408">
        <w:rPr>
          <w:rFonts w:ascii="Palatino Linotype" w:eastAsia="Palatino Linotype" w:hAnsi="Palatino Linotype" w:cs="Palatino Linotype"/>
          <w:b/>
        </w:rPr>
        <w:t>tres de mayo de dos mil veintidós</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interpuso el Recurso de Revisión. El cual fue registrado en </w:t>
      </w:r>
      <w:r w:rsidRPr="00747408">
        <w:rPr>
          <w:rFonts w:ascii="Palatino Linotype" w:eastAsia="Palatino Linotype" w:hAnsi="Palatino Linotype" w:cs="Palatino Linotype"/>
          <w:b/>
        </w:rPr>
        <w:t>EL SAIMEX</w:t>
      </w:r>
      <w:r w:rsidRPr="00747408">
        <w:rPr>
          <w:rFonts w:ascii="Palatino Linotype" w:eastAsia="Palatino Linotype" w:hAnsi="Palatino Linotype" w:cs="Palatino Linotype"/>
        </w:rPr>
        <w:t xml:space="preserve"> y se le asignó el número de expediente </w:t>
      </w:r>
      <w:r w:rsidRPr="00747408">
        <w:rPr>
          <w:rFonts w:ascii="Palatino Linotype" w:eastAsia="Palatino Linotype" w:hAnsi="Palatino Linotype" w:cs="Palatino Linotype"/>
          <w:b/>
        </w:rPr>
        <w:t xml:space="preserve">06897/INFOEM/IP/RR/2022, </w:t>
      </w:r>
      <w:r w:rsidRPr="00747408">
        <w:rPr>
          <w:rFonts w:ascii="Palatino Linotype" w:eastAsia="Palatino Linotype" w:hAnsi="Palatino Linotype" w:cs="Palatino Linotype"/>
        </w:rPr>
        <w:t xml:space="preserve">donde los motivos de agravio del </w:t>
      </w:r>
      <w:r w:rsidRPr="00747408">
        <w:rPr>
          <w:rFonts w:ascii="Palatino Linotype" w:eastAsia="Palatino Linotype" w:hAnsi="Palatino Linotype" w:cs="Palatino Linotype"/>
          <w:b/>
        </w:rPr>
        <w:t xml:space="preserve">RECURRENTE </w:t>
      </w:r>
      <w:r w:rsidRPr="00747408">
        <w:rPr>
          <w:rFonts w:ascii="Palatino Linotype" w:eastAsia="Palatino Linotype" w:hAnsi="Palatino Linotype" w:cs="Palatino Linotype"/>
        </w:rPr>
        <w:t>fueron los siguientes:</w:t>
      </w:r>
    </w:p>
    <w:p w14:paraId="28402FC2" w14:textId="77777777" w:rsidR="00F3187C" w:rsidRPr="00747408" w:rsidRDefault="00F3187C">
      <w:pPr>
        <w:widowControl w:val="0"/>
        <w:spacing w:line="360" w:lineRule="auto"/>
        <w:jc w:val="both"/>
        <w:rPr>
          <w:rFonts w:ascii="Palatino Linotype" w:eastAsia="Palatino Linotype" w:hAnsi="Palatino Linotype" w:cs="Palatino Linotype"/>
        </w:rPr>
      </w:pPr>
    </w:p>
    <w:p w14:paraId="4174DD60" w14:textId="77777777" w:rsidR="00F3187C" w:rsidRPr="00747408" w:rsidRDefault="00747408">
      <w:pPr>
        <w:spacing w:line="360" w:lineRule="auto"/>
        <w:ind w:left="-57" w:right="-57"/>
        <w:jc w:val="both"/>
        <w:rPr>
          <w:rFonts w:ascii="Palatino Linotype" w:eastAsia="Palatino Linotype" w:hAnsi="Palatino Linotype" w:cs="Palatino Linotype"/>
          <w:b/>
          <w:u w:val="single"/>
        </w:rPr>
      </w:pPr>
      <w:r w:rsidRPr="00747408">
        <w:rPr>
          <w:rFonts w:ascii="Palatino Linotype" w:eastAsia="Palatino Linotype" w:hAnsi="Palatino Linotype" w:cs="Palatino Linotype"/>
          <w:b/>
          <w:u w:val="single"/>
        </w:rPr>
        <w:t>Acto Impugnado:</w:t>
      </w:r>
      <w:r w:rsidRPr="00747408">
        <w:rPr>
          <w:b/>
          <w:u w:val="single"/>
        </w:rPr>
        <w:t xml:space="preserve"> </w:t>
      </w:r>
    </w:p>
    <w:p w14:paraId="3B5D72AF" w14:textId="77777777" w:rsidR="00F3187C" w:rsidRPr="00747408" w:rsidRDefault="00747408">
      <w:pPr>
        <w:tabs>
          <w:tab w:val="left" w:pos="709"/>
        </w:tabs>
        <w:spacing w:before="66"/>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“MAL LA INFORMACIÓN QUE ME MANDAN NO ANEXA LA TABLA DE APLICABILIDAD COMPLETA Y EL ARTICULO 94 Y LAS DEMAS FRACCIONES DEL ARTICULO 92 ASI MISMO LA SECRETARIA TECNICA DICE QUE ENTRO EL DIA 09 DE ABRIL Y HASTA EL 18 GENERO ACTUALIZACION SEGUN PORQUE EN EL PORTAL NO SE REFLEJA Y </w:t>
      </w:r>
      <w:r w:rsidRPr="00747408">
        <w:rPr>
          <w:rFonts w:ascii="Palatino Linotype" w:eastAsia="Palatino Linotype" w:hAnsi="Palatino Linotype" w:cs="Palatino Linotype"/>
          <w:i/>
          <w:sz w:val="22"/>
          <w:szCs w:val="22"/>
        </w:rPr>
        <w:lastRenderedPageBreak/>
        <w:t>SOLICITO REVISE EL PORTAL LA SECRETARIA TECNICA Y VEA SI ES CORRECTO LO QUE ME DICE”(sic)</w:t>
      </w:r>
    </w:p>
    <w:p w14:paraId="0B057001" w14:textId="77777777" w:rsidR="00F3187C" w:rsidRPr="00747408" w:rsidRDefault="00F3187C">
      <w:pPr>
        <w:ind w:right="899"/>
        <w:jc w:val="both"/>
        <w:rPr>
          <w:rFonts w:ascii="Palatino Linotype" w:eastAsia="Palatino Linotype" w:hAnsi="Palatino Linotype" w:cs="Palatino Linotype"/>
        </w:rPr>
      </w:pPr>
    </w:p>
    <w:p w14:paraId="6AA69454" w14:textId="77777777" w:rsidR="00F3187C" w:rsidRPr="00747408" w:rsidRDefault="00747408">
      <w:pPr>
        <w:spacing w:line="360" w:lineRule="auto"/>
        <w:ind w:right="49"/>
        <w:jc w:val="both"/>
        <w:rPr>
          <w:rFonts w:ascii="Palatino Linotype" w:eastAsia="Palatino Linotype" w:hAnsi="Palatino Linotype" w:cs="Palatino Linotype"/>
          <w:b/>
          <w:u w:val="single"/>
        </w:rPr>
      </w:pPr>
      <w:r w:rsidRPr="00747408">
        <w:rPr>
          <w:rFonts w:ascii="Palatino Linotype" w:eastAsia="Palatino Linotype" w:hAnsi="Palatino Linotype" w:cs="Palatino Linotype"/>
          <w:b/>
          <w:u w:val="single"/>
        </w:rPr>
        <w:t>Razones o motivos de inconformidad:</w:t>
      </w:r>
    </w:p>
    <w:p w14:paraId="13953CAD" w14:textId="77777777" w:rsidR="00F3187C" w:rsidRPr="00747408" w:rsidRDefault="00747408">
      <w:pPr>
        <w:tabs>
          <w:tab w:val="left" w:pos="709"/>
        </w:tabs>
        <w:spacing w:before="66"/>
        <w:ind w:left="850" w:right="899"/>
        <w:jc w:val="both"/>
        <w:rPr>
          <w:rFonts w:ascii="Palatino Linotype" w:eastAsia="Palatino Linotype" w:hAnsi="Palatino Linotype" w:cs="Palatino Linotype"/>
          <w:b/>
          <w:u w:val="single"/>
        </w:rPr>
      </w:pPr>
      <w:r w:rsidRPr="00747408">
        <w:rPr>
          <w:rFonts w:ascii="Palatino Linotype" w:eastAsia="Palatino Linotype" w:hAnsi="Palatino Linotype" w:cs="Palatino Linotype"/>
          <w:i/>
          <w:sz w:val="22"/>
          <w:szCs w:val="22"/>
        </w:rPr>
        <w:t>“MAL LA INFORMACIÓN QUE ME MANDAN NO ANEXA LA TABLA DE APLICABILIDAD COMPLETA Y EL ARTICULO 94 Y LAS DEMAS FRACCIONES DEL ARTICULO 92 ASI MISMO LA SECRETARIA TECNICA DICE QUE ENTRO EL DIA 09 DE ABRIL Y HASTA EL 18 GENERO ACTUALIZACION SEGUN PORQUE EN EL PORTAL NO SE REFLEJA Y SOLICITO REVISE EL PORTAL LA SECRETARIA TECNICA Y VEA SI ES CORRECTO LO QUE ME DICE.”(sic)</w:t>
      </w:r>
    </w:p>
    <w:p w14:paraId="5F456A60" w14:textId="77777777" w:rsidR="00F3187C" w:rsidRPr="00747408" w:rsidRDefault="00F3187C">
      <w:pPr>
        <w:spacing w:line="360" w:lineRule="auto"/>
        <w:jc w:val="both"/>
        <w:rPr>
          <w:rFonts w:ascii="Palatino Linotype" w:eastAsia="Palatino Linotype" w:hAnsi="Palatino Linotype" w:cs="Palatino Linotype"/>
          <w:b/>
          <w:sz w:val="28"/>
          <w:szCs w:val="28"/>
        </w:rPr>
      </w:pPr>
    </w:p>
    <w:p w14:paraId="050EC131" w14:textId="77777777" w:rsidR="00F3187C" w:rsidRPr="00747408" w:rsidRDefault="00747408">
      <w:pPr>
        <w:spacing w:line="360" w:lineRule="auto"/>
        <w:jc w:val="both"/>
        <w:rPr>
          <w:rFonts w:ascii="Palatino Linotype" w:eastAsia="Palatino Linotype" w:hAnsi="Palatino Linotype" w:cs="Palatino Linotype"/>
          <w:b/>
          <w:sz w:val="28"/>
          <w:szCs w:val="28"/>
        </w:rPr>
      </w:pPr>
      <w:r w:rsidRPr="00747408">
        <w:rPr>
          <w:rFonts w:ascii="Palatino Linotype" w:eastAsia="Palatino Linotype" w:hAnsi="Palatino Linotype" w:cs="Palatino Linotype"/>
          <w:b/>
          <w:sz w:val="28"/>
          <w:szCs w:val="28"/>
        </w:rPr>
        <w:t xml:space="preserve">V. Del turno del Recurso de Revisión. </w:t>
      </w:r>
    </w:p>
    <w:p w14:paraId="22161FE3"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El </w:t>
      </w:r>
      <w:r w:rsidR="00424984" w:rsidRPr="00747408">
        <w:rPr>
          <w:rFonts w:ascii="Palatino Linotype" w:eastAsia="Palatino Linotype" w:hAnsi="Palatino Linotype" w:cs="Palatino Linotype"/>
          <w:b/>
        </w:rPr>
        <w:t>tres de mayo</w:t>
      </w:r>
      <w:r w:rsidRPr="00747408">
        <w:rPr>
          <w:rFonts w:ascii="Palatino Linotype" w:eastAsia="Palatino Linotype" w:hAnsi="Palatino Linotype" w:cs="Palatino Linotype"/>
          <w:b/>
        </w:rPr>
        <w:t xml:space="preserve"> de dos mil veintidós,</w:t>
      </w:r>
      <w:r w:rsidRPr="00747408">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747408">
        <w:rPr>
          <w:rFonts w:ascii="Palatino Linotype" w:eastAsia="Palatino Linotype" w:hAnsi="Palatino Linotype" w:cs="Palatino Linotype"/>
          <w:b/>
        </w:rPr>
        <w:t>Comisionada Sharon Cristina Morales Martínez</w:t>
      </w:r>
      <w:r w:rsidRPr="00747408">
        <w:rPr>
          <w:rFonts w:ascii="Palatino Linotype" w:eastAsia="Palatino Linotype" w:hAnsi="Palatino Linotype" w:cs="Palatino Linotype"/>
        </w:rPr>
        <w:t>; a efecto de decretar su admisión o desechamiento.</w:t>
      </w:r>
    </w:p>
    <w:p w14:paraId="45D20BF3" w14:textId="77777777" w:rsidR="00F3187C" w:rsidRPr="00747408" w:rsidRDefault="00F3187C">
      <w:pPr>
        <w:spacing w:line="360" w:lineRule="auto"/>
        <w:jc w:val="both"/>
        <w:rPr>
          <w:rFonts w:ascii="Palatino Linotype" w:eastAsia="Palatino Linotype" w:hAnsi="Palatino Linotype" w:cs="Palatino Linotype"/>
        </w:rPr>
      </w:pPr>
    </w:p>
    <w:p w14:paraId="262143DE" w14:textId="77777777" w:rsidR="00F3187C" w:rsidRPr="00747408" w:rsidRDefault="00747408">
      <w:pPr>
        <w:tabs>
          <w:tab w:val="center" w:pos="4252"/>
          <w:tab w:val="right" w:pos="8504"/>
        </w:tabs>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t>a) Admisión del Recurso de Revisión</w:t>
      </w:r>
    </w:p>
    <w:p w14:paraId="65356646" w14:textId="77777777" w:rsidR="00F3187C" w:rsidRPr="00747408" w:rsidRDefault="00747408">
      <w:pPr>
        <w:tabs>
          <w:tab w:val="center" w:pos="4252"/>
          <w:tab w:val="right" w:pos="8504"/>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De las constancias que obran en el expediente electrónico del</w:t>
      </w:r>
      <w:r w:rsidRPr="00747408">
        <w:rPr>
          <w:rFonts w:ascii="Palatino Linotype" w:eastAsia="Palatino Linotype" w:hAnsi="Palatino Linotype" w:cs="Palatino Linotype"/>
          <w:b/>
        </w:rPr>
        <w:t xml:space="preserve"> SAIMEX</w:t>
      </w:r>
      <w:r w:rsidRPr="00747408">
        <w:rPr>
          <w:rFonts w:ascii="Palatino Linotype" w:eastAsia="Palatino Linotype" w:hAnsi="Palatino Linotype" w:cs="Palatino Linotype"/>
        </w:rPr>
        <w:t xml:space="preserve">, se advierte que en fecha </w:t>
      </w:r>
      <w:r w:rsidRPr="00747408">
        <w:rPr>
          <w:rFonts w:ascii="Palatino Linotype" w:eastAsia="Palatino Linotype" w:hAnsi="Palatino Linotype" w:cs="Palatino Linotype"/>
          <w:b/>
        </w:rPr>
        <w:t>seis de mayo de dos mil veintidós</w:t>
      </w:r>
      <w:r w:rsidRPr="00747408">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w:t>
      </w:r>
      <w:r w:rsidRPr="00747408">
        <w:rPr>
          <w:rFonts w:ascii="Palatino Linotype" w:eastAsia="Palatino Linotype" w:hAnsi="Palatino Linotype" w:cs="Palatino Linotype"/>
        </w:rPr>
        <w:lastRenderedPageBreak/>
        <w:t xml:space="preserve">días hábiles </w:t>
      </w:r>
      <w:r w:rsidRPr="00747408">
        <w:rPr>
          <w:rFonts w:ascii="Palatino Linotype" w:eastAsia="Palatino Linotype" w:hAnsi="Palatino Linotype" w:cs="Palatino Linotype"/>
          <w:b/>
        </w:rPr>
        <w:t xml:space="preserve">EL RECURRENTE </w:t>
      </w:r>
      <w:r w:rsidRPr="00747408">
        <w:rPr>
          <w:rFonts w:ascii="Palatino Linotype" w:eastAsia="Palatino Linotype" w:hAnsi="Palatino Linotype" w:cs="Palatino Linotype"/>
        </w:rPr>
        <w:t xml:space="preserve">manifestara lo que a su derecho conviniera, a efecto de presentar pruebas y alegatos; así como, para que </w:t>
      </w:r>
      <w:r w:rsidRPr="00747408">
        <w:rPr>
          <w:rFonts w:ascii="Palatino Linotype" w:eastAsia="Palatino Linotype" w:hAnsi="Palatino Linotype" w:cs="Palatino Linotype"/>
          <w:b/>
        </w:rPr>
        <w:t xml:space="preserve">EL SUJETO OBLIGADO </w:t>
      </w:r>
      <w:r w:rsidRPr="00747408">
        <w:rPr>
          <w:rFonts w:ascii="Palatino Linotype" w:eastAsia="Palatino Linotype" w:hAnsi="Palatino Linotype" w:cs="Palatino Linotype"/>
        </w:rPr>
        <w:t>rindiera el correspondiente</w:t>
      </w:r>
      <w:r w:rsidRPr="00747408">
        <w:rPr>
          <w:rFonts w:ascii="Palatino Linotype" w:eastAsia="Palatino Linotype" w:hAnsi="Palatino Linotype" w:cs="Palatino Linotype"/>
          <w:b/>
        </w:rPr>
        <w:t xml:space="preserve"> </w:t>
      </w:r>
      <w:r w:rsidRPr="00747408">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4CA18856" w14:textId="77777777" w:rsidR="00F3187C" w:rsidRPr="00747408" w:rsidRDefault="00F3187C">
      <w:pPr>
        <w:tabs>
          <w:tab w:val="center" w:pos="4252"/>
          <w:tab w:val="right" w:pos="8504"/>
        </w:tabs>
        <w:spacing w:line="360" w:lineRule="auto"/>
        <w:jc w:val="both"/>
        <w:rPr>
          <w:rFonts w:ascii="Palatino Linotype" w:eastAsia="Palatino Linotype" w:hAnsi="Palatino Linotype" w:cs="Palatino Linotype"/>
        </w:rPr>
      </w:pPr>
    </w:p>
    <w:p w14:paraId="6BF81D36" w14:textId="77777777" w:rsidR="00F3187C" w:rsidRPr="00747408" w:rsidRDefault="00747408">
      <w:pPr>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t>b) Informe Justificado</w:t>
      </w:r>
    </w:p>
    <w:p w14:paraId="288595E2" w14:textId="77777777" w:rsidR="00F3187C" w:rsidRPr="00747408" w:rsidRDefault="00747408">
      <w:pPr>
        <w:widowControl w:val="0"/>
        <w:tabs>
          <w:tab w:val="left" w:pos="0"/>
        </w:tabs>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rPr>
        <w:t xml:space="preserve">Conforme a las constancias que obran en el expediente del </w:t>
      </w:r>
      <w:r w:rsidRPr="00747408">
        <w:rPr>
          <w:rFonts w:ascii="Palatino Linotype" w:eastAsia="Palatino Linotype" w:hAnsi="Palatino Linotype" w:cs="Palatino Linotype"/>
          <w:b/>
        </w:rPr>
        <w:t>SAIMEX,</w:t>
      </w:r>
      <w:r w:rsidRPr="00747408">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747408">
        <w:rPr>
          <w:rFonts w:ascii="Palatino Linotype" w:eastAsia="Palatino Linotype" w:hAnsi="Palatino Linotype" w:cs="Palatino Linotype"/>
          <w:b/>
        </w:rPr>
        <w:t>EL</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RECURRENTE</w:t>
      </w:r>
      <w:r w:rsidRPr="00747408">
        <w:rPr>
          <w:rFonts w:ascii="Palatino Linotype" w:eastAsia="Palatino Linotype" w:hAnsi="Palatino Linotype" w:cs="Palatino Linotype"/>
        </w:rPr>
        <w:t xml:space="preserve"> no presentó manifestaciones que a su derecho convinieran.  Por su parte,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fue omiso en presentar su Informe Justificado </w:t>
      </w:r>
    </w:p>
    <w:p w14:paraId="27D3BCEB" w14:textId="77777777" w:rsidR="00F3187C" w:rsidRPr="00747408" w:rsidRDefault="00F3187C">
      <w:pPr>
        <w:widowControl w:val="0"/>
        <w:tabs>
          <w:tab w:val="left" w:pos="0"/>
        </w:tabs>
        <w:spacing w:line="360" w:lineRule="auto"/>
        <w:jc w:val="both"/>
        <w:rPr>
          <w:rFonts w:ascii="Palatino Linotype" w:eastAsia="Palatino Linotype" w:hAnsi="Palatino Linotype" w:cs="Palatino Linotype"/>
          <w:b/>
        </w:rPr>
      </w:pPr>
    </w:p>
    <w:p w14:paraId="01035798" w14:textId="77777777" w:rsidR="00F3187C" w:rsidRPr="00747408" w:rsidRDefault="00747408">
      <w:pPr>
        <w:widowControl w:val="0"/>
        <w:tabs>
          <w:tab w:val="left" w:pos="0"/>
        </w:tabs>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t xml:space="preserve">c) De la ampliación </w:t>
      </w:r>
    </w:p>
    <w:p w14:paraId="78441BFC"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fecha </w:t>
      </w:r>
      <w:r w:rsidRPr="00747408">
        <w:rPr>
          <w:rFonts w:ascii="Palatino Linotype" w:eastAsia="Palatino Linotype" w:hAnsi="Palatino Linotype" w:cs="Palatino Linotype"/>
          <w:b/>
        </w:rPr>
        <w:t>veintidós de junio de dos mil veintidós</w:t>
      </w:r>
      <w:r w:rsidRPr="0074740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7F29479" w14:textId="77777777" w:rsidR="00F3187C" w:rsidRPr="00747408" w:rsidRDefault="00F3187C">
      <w:pPr>
        <w:shd w:val="clear" w:color="auto" w:fill="FFFFFF"/>
        <w:spacing w:line="392" w:lineRule="auto"/>
        <w:jc w:val="both"/>
        <w:rPr>
          <w:rFonts w:ascii="Palatino Linotype" w:eastAsia="Palatino Linotype" w:hAnsi="Palatino Linotype" w:cs="Palatino Linotype"/>
        </w:rPr>
      </w:pPr>
    </w:p>
    <w:p w14:paraId="6036C9FC"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0EFB532"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7707012C"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C4F629"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3924626E"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E0E024"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03982D"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15F1BAAF"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75939839" w14:textId="77777777" w:rsidR="00F3187C" w:rsidRPr="00747408" w:rsidRDefault="00747408">
      <w:pPr>
        <w:shd w:val="clear" w:color="auto" w:fill="FFFFFF"/>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3A43BBF1" w14:textId="77777777" w:rsidR="00F3187C" w:rsidRPr="00747408" w:rsidRDefault="00747408">
      <w:pPr>
        <w:shd w:val="clear" w:color="auto" w:fill="FFFFFF"/>
        <w:spacing w:before="200" w:after="200" w:line="360" w:lineRule="auto"/>
        <w:ind w:left="992"/>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a) Complejidad del Asunto: La complejidad de la prueba, la pluralidad de sujetos procesales, el tiempo transcurrido, las características y contexto del recurso. </w:t>
      </w:r>
    </w:p>
    <w:p w14:paraId="538DE27E" w14:textId="77777777" w:rsidR="00F3187C" w:rsidRPr="00747408" w:rsidRDefault="00747408">
      <w:pPr>
        <w:shd w:val="clear" w:color="auto" w:fill="FFFFFF"/>
        <w:spacing w:before="200" w:after="200" w:line="360" w:lineRule="auto"/>
        <w:ind w:left="992"/>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b) Actividad Procesal del interesado. Acciones u omisiones del interesado. </w:t>
      </w:r>
    </w:p>
    <w:p w14:paraId="0536E2BB" w14:textId="77777777" w:rsidR="00F3187C" w:rsidRPr="00747408" w:rsidRDefault="00747408">
      <w:pPr>
        <w:shd w:val="clear" w:color="auto" w:fill="FFFFFF"/>
        <w:spacing w:before="200" w:after="200" w:line="360" w:lineRule="auto"/>
        <w:ind w:left="992"/>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c) Conducta de la Autoridad: Las Acciones u omisiones realizadas en el procedimiento. Así como si la autoridad actuó con la debida diligencia. </w:t>
      </w:r>
    </w:p>
    <w:p w14:paraId="25A4C314" w14:textId="77777777" w:rsidR="00F3187C" w:rsidRPr="00747408" w:rsidRDefault="00747408">
      <w:pPr>
        <w:shd w:val="clear" w:color="auto" w:fill="FFFFFF"/>
        <w:spacing w:line="360" w:lineRule="auto"/>
        <w:ind w:left="992"/>
        <w:jc w:val="both"/>
        <w:rPr>
          <w:rFonts w:ascii="Palatino Linotype" w:eastAsia="Palatino Linotype" w:hAnsi="Palatino Linotype" w:cs="Palatino Linotype"/>
        </w:rPr>
      </w:pPr>
      <w:r w:rsidRPr="00747408">
        <w:rPr>
          <w:rFonts w:ascii="Palatino Linotype" w:eastAsia="Palatino Linotype" w:hAnsi="Palatino Linotype" w:cs="Palatino Linotype"/>
        </w:rPr>
        <w:t>d) La afectación generada en la situación jurídica de la persona involucrada en el proceso: Violación a sus derechos humanos.</w:t>
      </w:r>
    </w:p>
    <w:p w14:paraId="3CDC9103" w14:textId="77777777" w:rsidR="00F3187C" w:rsidRPr="00747408" w:rsidRDefault="00747408">
      <w:pPr>
        <w:shd w:val="clear" w:color="auto" w:fill="FFFFFF"/>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74B3E326"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1E1873"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019CC022"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sidRPr="0074740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47408">
        <w:rPr>
          <w:rFonts w:ascii="Palatino Linotype" w:eastAsia="Palatino Linotype" w:hAnsi="Palatino Linotype" w:cs="Palatino Linotype"/>
        </w:rPr>
        <w:t>, visible en la Gaceta del Semanario Judicial de la Federación con el registro digital 205635.</w:t>
      </w:r>
    </w:p>
    <w:p w14:paraId="75838F59" w14:textId="77777777" w:rsidR="00F3187C" w:rsidRPr="00747408" w:rsidRDefault="00747408">
      <w:pPr>
        <w:shd w:val="clear" w:color="auto" w:fill="FFFFFF"/>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531F2F9C"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747408">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6E7256CD"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3378DC3A"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EA56A52"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6AECB00A"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2A7130"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 </w:t>
      </w:r>
    </w:p>
    <w:p w14:paraId="1844F42A"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i/>
        </w:rPr>
        <w:t>“PLAZO RAZONABLE PARA RESOLVER. DIMENSIÓN Y EFECTOS DE ESTE CONCEPTO CUANDO SE ADUCE EXCESIVA CARGA DE TRABAJO.”</w:t>
      </w:r>
      <w:r w:rsidRPr="00747408">
        <w:rPr>
          <w:rFonts w:ascii="Palatino Linotype" w:eastAsia="Palatino Linotype" w:hAnsi="Palatino Linotype" w:cs="Palatino Linotype"/>
        </w:rPr>
        <w:t xml:space="preserve"> consultable en el Seminario Judicial de la Federación y su gaceta, con el registro digital 2002351.</w:t>
      </w:r>
    </w:p>
    <w:p w14:paraId="2857ABCD" w14:textId="77777777" w:rsidR="00F3187C" w:rsidRPr="00747408" w:rsidRDefault="00747408">
      <w:pPr>
        <w:shd w:val="clear" w:color="auto" w:fill="FFFFFF"/>
        <w:spacing w:line="392"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t xml:space="preserve"> </w:t>
      </w:r>
    </w:p>
    <w:p w14:paraId="4666A852"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i/>
        </w:rPr>
        <w:t>“PLAZO RAZONABLE PARA RESOLVER. CONCEPTO Y ELEMENTOS QUE LO INTEGRAN A LA LUZ DEL DERECHO INTERNACIONAL DE LOS DERECHOS HUMANOS.”</w:t>
      </w:r>
      <w:r w:rsidRPr="00747408">
        <w:rPr>
          <w:rFonts w:ascii="Palatino Linotype" w:eastAsia="Palatino Linotype" w:hAnsi="Palatino Linotype" w:cs="Palatino Linotype"/>
        </w:rPr>
        <w:t>, visible en el Seminario Judicial de la Federación y su gaceta, con el registro digital 2002350.</w:t>
      </w:r>
    </w:p>
    <w:p w14:paraId="6B542B40" w14:textId="77777777" w:rsidR="00F3187C" w:rsidRPr="00747408" w:rsidRDefault="00747408">
      <w:pPr>
        <w:shd w:val="clear" w:color="auto" w:fill="FFFFFF"/>
        <w:spacing w:line="392"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lastRenderedPageBreak/>
        <w:t xml:space="preserve"> </w:t>
      </w:r>
    </w:p>
    <w:p w14:paraId="170C31CF" w14:textId="77777777" w:rsidR="00F3187C" w:rsidRPr="00747408" w:rsidRDefault="00747408">
      <w:pPr>
        <w:shd w:val="clear" w:color="auto" w:fill="FFFFFF"/>
        <w:spacing w:line="392"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9DF99E8" w14:textId="77777777" w:rsidR="00F3187C" w:rsidRPr="00747408" w:rsidRDefault="00F3187C">
      <w:pPr>
        <w:spacing w:line="360" w:lineRule="auto"/>
        <w:jc w:val="both"/>
        <w:rPr>
          <w:rFonts w:ascii="Palatino Linotype" w:eastAsia="Palatino Linotype" w:hAnsi="Palatino Linotype" w:cs="Palatino Linotype"/>
        </w:rPr>
      </w:pPr>
    </w:p>
    <w:p w14:paraId="22202C9B" w14:textId="77777777" w:rsidR="00F3187C" w:rsidRPr="00747408" w:rsidRDefault="00747408">
      <w:pPr>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rPr>
        <w:t>d) Cierre de Instrucción</w:t>
      </w:r>
    </w:p>
    <w:p w14:paraId="475BE92F"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Por lo que, una vez analizado el estado procesal que guarda el expediente, en fecha </w:t>
      </w:r>
      <w:r w:rsidRPr="00747408">
        <w:rPr>
          <w:rFonts w:ascii="Palatino Linotype" w:eastAsia="Palatino Linotype" w:hAnsi="Palatino Linotype" w:cs="Palatino Linotype"/>
          <w:b/>
        </w:rPr>
        <w:t>quince de julio de dos mil veintidós</w:t>
      </w:r>
      <w:r w:rsidRPr="00747408">
        <w:rPr>
          <w:rFonts w:ascii="Palatino Linotype" w:eastAsia="Palatino Linotype" w:hAnsi="Palatino Linotype" w:cs="Palatino Linotype"/>
        </w:rPr>
        <w:t xml:space="preserve">, la </w:t>
      </w:r>
      <w:r w:rsidRPr="00747408">
        <w:rPr>
          <w:rFonts w:ascii="Palatino Linotype" w:eastAsia="Palatino Linotype" w:hAnsi="Palatino Linotype" w:cs="Palatino Linotype"/>
          <w:b/>
        </w:rPr>
        <w:t xml:space="preserve">Comisionada Sharon Cristina Morales Martínez </w:t>
      </w:r>
      <w:r w:rsidRPr="00747408">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2C0D96BA" w14:textId="77777777" w:rsidR="00F3187C" w:rsidRPr="00747408" w:rsidRDefault="00747408">
      <w:pPr>
        <w:jc w:val="center"/>
        <w:rPr>
          <w:rFonts w:ascii="Palatino Linotype" w:eastAsia="Palatino Linotype" w:hAnsi="Palatino Linotype" w:cs="Palatino Linotype"/>
          <w:b/>
          <w:sz w:val="28"/>
          <w:szCs w:val="28"/>
        </w:rPr>
      </w:pPr>
      <w:r w:rsidRPr="00747408">
        <w:rPr>
          <w:rFonts w:ascii="Palatino Linotype" w:eastAsia="Palatino Linotype" w:hAnsi="Palatino Linotype" w:cs="Palatino Linotype"/>
          <w:b/>
          <w:sz w:val="28"/>
          <w:szCs w:val="28"/>
        </w:rPr>
        <w:t>CONSIDERANDO</w:t>
      </w:r>
    </w:p>
    <w:p w14:paraId="205C3191" w14:textId="77777777" w:rsidR="00F3187C" w:rsidRPr="00747408" w:rsidRDefault="00F3187C">
      <w:pPr>
        <w:jc w:val="center"/>
        <w:rPr>
          <w:rFonts w:ascii="Palatino Linotype" w:eastAsia="Palatino Linotype" w:hAnsi="Palatino Linotype" w:cs="Palatino Linotype"/>
          <w:b/>
          <w:sz w:val="28"/>
          <w:szCs w:val="28"/>
        </w:rPr>
      </w:pPr>
    </w:p>
    <w:p w14:paraId="0BE652E8" w14:textId="77777777" w:rsidR="00F3187C" w:rsidRPr="00747408" w:rsidRDefault="00747408">
      <w:pPr>
        <w:widowControl w:val="0"/>
        <w:tabs>
          <w:tab w:val="left" w:pos="1701"/>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b/>
          <w:sz w:val="28"/>
          <w:szCs w:val="28"/>
        </w:rPr>
        <w:t>PRIMERO.</w:t>
      </w:r>
      <w:r w:rsidRPr="00747408">
        <w:rPr>
          <w:rFonts w:ascii="Palatino Linotype" w:eastAsia="Palatino Linotype" w:hAnsi="Palatino Linotype" w:cs="Palatino Linotype"/>
          <w:b/>
        </w:rPr>
        <w:t xml:space="preserve"> Competencia</w:t>
      </w:r>
      <w:r w:rsidRPr="00747408">
        <w:rPr>
          <w:rFonts w:ascii="Palatino Linotype" w:eastAsia="Palatino Linotype" w:hAnsi="Palatino Linotype" w:cs="Palatino Linotype"/>
        </w:rPr>
        <w:t>.</w:t>
      </w:r>
      <w:r w:rsidRPr="00747408">
        <w:rPr>
          <w:rFonts w:ascii="Palatino Linotype" w:eastAsia="Palatino Linotype" w:hAnsi="Palatino Linotype" w:cs="Palatino Linotype"/>
          <w:b/>
        </w:rPr>
        <w:t xml:space="preserve"> </w:t>
      </w:r>
    </w:p>
    <w:p w14:paraId="1E074FD9" w14:textId="77777777" w:rsidR="00F3187C" w:rsidRPr="00747408" w:rsidRDefault="00747408">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747408">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747408">
        <w:rPr>
          <w:rFonts w:ascii="Palatino Linotype" w:eastAsia="Palatino Linotype" w:hAnsi="Palatino Linotype" w:cs="Palatino Linotype"/>
        </w:rPr>
        <w:lastRenderedPageBreak/>
        <w:t>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98EE8D6" w14:textId="77777777" w:rsidR="00F3187C" w:rsidRPr="00747408" w:rsidRDefault="00F3187C">
      <w:pPr>
        <w:spacing w:line="360" w:lineRule="auto"/>
        <w:jc w:val="both"/>
        <w:rPr>
          <w:rFonts w:ascii="Palatino Linotype" w:eastAsia="Palatino Linotype" w:hAnsi="Palatino Linotype" w:cs="Palatino Linotype"/>
          <w:b/>
          <w:sz w:val="28"/>
          <w:szCs w:val="28"/>
        </w:rPr>
      </w:pPr>
    </w:p>
    <w:p w14:paraId="1A872BA4" w14:textId="77777777" w:rsidR="00F3187C" w:rsidRPr="00747408" w:rsidRDefault="00747408">
      <w:pPr>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sz w:val="28"/>
          <w:szCs w:val="28"/>
        </w:rPr>
        <w:t>SEGUNDO</w:t>
      </w:r>
      <w:r w:rsidRPr="00747408">
        <w:rPr>
          <w:rFonts w:ascii="Palatino Linotype" w:eastAsia="Palatino Linotype" w:hAnsi="Palatino Linotype" w:cs="Palatino Linotype"/>
          <w:b/>
        </w:rPr>
        <w:t xml:space="preserve">. Interés. </w:t>
      </w:r>
    </w:p>
    <w:p w14:paraId="4EA1FA82" w14:textId="77777777" w:rsidR="00F3187C" w:rsidRPr="00747408" w:rsidRDefault="00747408">
      <w:pPr>
        <w:spacing w:line="360" w:lineRule="auto"/>
        <w:jc w:val="both"/>
        <w:rPr>
          <w:rFonts w:ascii="Palatino Linotype" w:eastAsia="Palatino Linotype" w:hAnsi="Palatino Linotype" w:cs="Palatino Linotype"/>
          <w:b/>
          <w:color w:val="000000"/>
        </w:rPr>
      </w:pPr>
      <w:r w:rsidRPr="00747408">
        <w:rPr>
          <w:rFonts w:ascii="Palatino Linotype" w:eastAsia="Palatino Linotype" w:hAnsi="Palatino Linotype" w:cs="Palatino Linotype"/>
        </w:rPr>
        <w:t>El</w:t>
      </w:r>
      <w:r w:rsidRPr="00747408">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747408">
        <w:rPr>
          <w:rFonts w:ascii="Palatino Linotype" w:eastAsia="Palatino Linotype" w:hAnsi="Palatino Linotype" w:cs="Palatino Linotype"/>
          <w:b/>
        </w:rPr>
        <w:t>EL</w:t>
      </w:r>
      <w:r w:rsidRPr="00747408">
        <w:rPr>
          <w:rFonts w:ascii="Palatino Linotype" w:eastAsia="Palatino Linotype" w:hAnsi="Palatino Linotype" w:cs="Palatino Linotype"/>
          <w:b/>
          <w:color w:val="000000"/>
        </w:rPr>
        <w:t xml:space="preserve"> RECURRENTE,</w:t>
      </w:r>
      <w:r w:rsidRPr="00747408">
        <w:rPr>
          <w:rFonts w:ascii="Palatino Linotype" w:eastAsia="Palatino Linotype" w:hAnsi="Palatino Linotype" w:cs="Palatino Linotype"/>
          <w:color w:val="000000"/>
        </w:rPr>
        <w:t xml:space="preserve"> quien es la misma persona que formuló la solicitud de acceso a la información pública al </w:t>
      </w:r>
      <w:r w:rsidRPr="00747408">
        <w:rPr>
          <w:rFonts w:ascii="Palatino Linotype" w:eastAsia="Palatino Linotype" w:hAnsi="Palatino Linotype" w:cs="Palatino Linotype"/>
          <w:b/>
          <w:color w:val="000000"/>
        </w:rPr>
        <w:t xml:space="preserve">SUJETO OBLIGADO, </w:t>
      </w:r>
      <w:r w:rsidRPr="00747408">
        <w:rPr>
          <w:rFonts w:ascii="Palatino Linotype" w:eastAsia="Palatino Linotype" w:hAnsi="Palatino Linotype" w:cs="Palatino Linotype"/>
          <w:color w:val="000000"/>
        </w:rPr>
        <w:t xml:space="preserve">pues para ello, es necesario que el particular ingrese al </w:t>
      </w:r>
      <w:r w:rsidRPr="00747408">
        <w:rPr>
          <w:rFonts w:ascii="Palatino Linotype" w:eastAsia="Palatino Linotype" w:hAnsi="Palatino Linotype" w:cs="Palatino Linotype"/>
          <w:b/>
          <w:color w:val="000000"/>
        </w:rPr>
        <w:t xml:space="preserve">SAIMEX </w:t>
      </w:r>
      <w:r w:rsidRPr="00747408">
        <w:rPr>
          <w:rFonts w:ascii="Palatino Linotype" w:eastAsia="Palatino Linotype" w:hAnsi="Palatino Linotype" w:cs="Palatino Linotype"/>
          <w:color w:val="000000"/>
        </w:rPr>
        <w:t>mediante la utilización de su clave de usuario y contraseña.</w:t>
      </w:r>
    </w:p>
    <w:p w14:paraId="37143574" w14:textId="77777777" w:rsidR="00F3187C" w:rsidRPr="00747408" w:rsidRDefault="00F3187C">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1D537005" w14:textId="77777777" w:rsidR="00F3187C" w:rsidRPr="00747408" w:rsidRDefault="00747408">
      <w:pPr>
        <w:tabs>
          <w:tab w:val="center" w:pos="4252"/>
          <w:tab w:val="right" w:pos="8504"/>
        </w:tabs>
        <w:spacing w:line="360" w:lineRule="auto"/>
        <w:ind w:left="-57"/>
        <w:jc w:val="both"/>
        <w:rPr>
          <w:rFonts w:ascii="Palatino Linotype" w:eastAsia="Palatino Linotype" w:hAnsi="Palatino Linotype" w:cs="Palatino Linotype"/>
          <w:color w:val="000000"/>
        </w:rPr>
      </w:pPr>
      <w:r w:rsidRPr="00747408">
        <w:rPr>
          <w:rFonts w:ascii="Palatino Linotype" w:eastAsia="Palatino Linotype" w:hAnsi="Palatino Linotype" w:cs="Palatino Linotype"/>
          <w:b/>
          <w:sz w:val="28"/>
          <w:szCs w:val="28"/>
        </w:rPr>
        <w:t>TERCERO.</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color w:val="000000"/>
        </w:rPr>
        <w:t>Oportunidad</w:t>
      </w:r>
      <w:r w:rsidRPr="00747408">
        <w:rPr>
          <w:rFonts w:ascii="Palatino Linotype" w:eastAsia="Palatino Linotype" w:hAnsi="Palatino Linotype" w:cs="Palatino Linotype"/>
          <w:color w:val="000000"/>
        </w:rPr>
        <w:t xml:space="preserve">. </w:t>
      </w:r>
    </w:p>
    <w:p w14:paraId="24FD313B" w14:textId="77777777" w:rsidR="00F3187C" w:rsidRPr="00747408" w:rsidRDefault="00747408">
      <w:pPr>
        <w:widowControl w:val="0"/>
        <w:tabs>
          <w:tab w:val="left" w:pos="1701"/>
        </w:tabs>
        <w:spacing w:line="360" w:lineRule="auto"/>
        <w:ind w:right="49"/>
        <w:jc w:val="both"/>
        <w:rPr>
          <w:rFonts w:ascii="Palatino Linotype" w:eastAsia="Palatino Linotype" w:hAnsi="Palatino Linotype" w:cs="Palatino Linotype"/>
          <w:b/>
        </w:rPr>
      </w:pPr>
      <w:r w:rsidRPr="00747408">
        <w:rPr>
          <w:rFonts w:ascii="Palatino Linotype" w:eastAsia="Palatino Linotype" w:hAnsi="Palatino Linotype" w:cs="Palatino Linotype"/>
        </w:rPr>
        <w:t xml:space="preserve">El Recurso de Revisión fue interpuesto dentro del plazo de quince días hábiles, contados a partir del día siguiente al que </w:t>
      </w:r>
      <w:r w:rsidRPr="00747408">
        <w:rPr>
          <w:rFonts w:ascii="Palatino Linotype" w:eastAsia="Palatino Linotype" w:hAnsi="Palatino Linotype" w:cs="Palatino Linotype"/>
          <w:b/>
        </w:rPr>
        <w:t xml:space="preserve">EL RECURRENTE </w:t>
      </w:r>
      <w:r w:rsidRPr="00747408">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0566DDE" w14:textId="77777777" w:rsidR="00F3187C" w:rsidRPr="00747408" w:rsidRDefault="00F3187C">
      <w:pPr>
        <w:ind w:left="720" w:right="709"/>
        <w:jc w:val="both"/>
        <w:rPr>
          <w:rFonts w:ascii="Palatino Linotype" w:eastAsia="Palatino Linotype" w:hAnsi="Palatino Linotype" w:cs="Palatino Linotype"/>
          <w:i/>
          <w:sz w:val="22"/>
          <w:szCs w:val="22"/>
        </w:rPr>
      </w:pPr>
    </w:p>
    <w:p w14:paraId="2EC1916D"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w:t>
      </w:r>
      <w:r w:rsidRPr="00747408">
        <w:rPr>
          <w:rFonts w:ascii="Palatino Linotype" w:eastAsia="Palatino Linotype" w:hAnsi="Palatino Linotype" w:cs="Palatino Linotype"/>
          <w:b/>
          <w:i/>
          <w:sz w:val="22"/>
          <w:szCs w:val="22"/>
        </w:rPr>
        <w:t>Artículo 178.</w:t>
      </w:r>
      <w:r w:rsidRPr="0074740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F4C9C7" w14:textId="77777777" w:rsidR="00F3187C" w:rsidRPr="00747408" w:rsidRDefault="00F3187C">
      <w:pPr>
        <w:ind w:left="851" w:right="899"/>
        <w:jc w:val="both"/>
        <w:rPr>
          <w:rFonts w:ascii="Palatino Linotype" w:eastAsia="Palatino Linotype" w:hAnsi="Palatino Linotype" w:cs="Palatino Linotype"/>
          <w:i/>
          <w:sz w:val="22"/>
          <w:szCs w:val="22"/>
        </w:rPr>
      </w:pPr>
    </w:p>
    <w:p w14:paraId="13EDC691"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E7520A" w14:textId="77777777" w:rsidR="00F3187C" w:rsidRPr="00747408" w:rsidRDefault="00F3187C">
      <w:pPr>
        <w:ind w:left="851" w:right="899"/>
        <w:jc w:val="both"/>
        <w:rPr>
          <w:rFonts w:ascii="Palatino Linotype" w:eastAsia="Palatino Linotype" w:hAnsi="Palatino Linotype" w:cs="Palatino Linotype"/>
          <w:i/>
          <w:sz w:val="22"/>
          <w:szCs w:val="22"/>
        </w:rPr>
      </w:pPr>
    </w:p>
    <w:p w14:paraId="7C43074C"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27BDB42" w14:textId="77777777" w:rsidR="00F3187C" w:rsidRPr="00747408" w:rsidRDefault="00F3187C">
      <w:pPr>
        <w:ind w:left="720" w:right="709"/>
        <w:jc w:val="both"/>
        <w:rPr>
          <w:rFonts w:ascii="Palatino Linotype" w:eastAsia="Palatino Linotype" w:hAnsi="Palatino Linotype" w:cs="Palatino Linotype"/>
          <w:i/>
          <w:sz w:val="22"/>
          <w:szCs w:val="22"/>
        </w:rPr>
      </w:pPr>
    </w:p>
    <w:p w14:paraId="54973523" w14:textId="77777777" w:rsidR="00F3187C" w:rsidRPr="00747408" w:rsidRDefault="00747408">
      <w:pPr>
        <w:spacing w:line="360" w:lineRule="auto"/>
        <w:jc w:val="both"/>
        <w:rPr>
          <w:rFonts w:ascii="Palatino Linotype" w:eastAsia="Palatino Linotype" w:hAnsi="Palatino Linotype" w:cs="Palatino Linotype"/>
        </w:rPr>
      </w:pPr>
      <w:bookmarkStart w:id="4" w:name="_heading=h.2et92p0" w:colFirst="0" w:colLast="0"/>
      <w:bookmarkEnd w:id="4"/>
      <w:r w:rsidRPr="00747408">
        <w:rPr>
          <w:rFonts w:ascii="Palatino Linotype" w:eastAsia="Palatino Linotype" w:hAnsi="Palatino Linotype" w:cs="Palatino Linotype"/>
        </w:rPr>
        <w:t xml:space="preserve">En esa tesitura, atendiendo a que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notificó la respuesta a la solicitud de acceso a la información pública el día</w:t>
      </w:r>
      <w:r w:rsidRPr="00747408">
        <w:rPr>
          <w:rFonts w:ascii="Palatino Linotype" w:eastAsia="Palatino Linotype" w:hAnsi="Palatino Linotype" w:cs="Palatino Linotype"/>
          <w:b/>
        </w:rPr>
        <w:t xml:space="preserve"> veintinueve de abril de dos mil veintidós</w:t>
      </w:r>
      <w:r w:rsidRPr="00747408">
        <w:rPr>
          <w:rFonts w:ascii="Palatino Linotype" w:eastAsia="Palatino Linotype" w:hAnsi="Palatino Linotype" w:cs="Palatino Linotype"/>
        </w:rPr>
        <w:t xml:space="preserve">, así el plazo de quince días hábiles que el artículo 178 de la Ley de la materia otorga al </w:t>
      </w:r>
      <w:r w:rsidRPr="00747408">
        <w:rPr>
          <w:rFonts w:ascii="Palatino Linotype" w:eastAsia="Palatino Linotype" w:hAnsi="Palatino Linotype" w:cs="Palatino Linotype"/>
          <w:b/>
        </w:rPr>
        <w:t xml:space="preserve"> RECURRENTE</w:t>
      </w:r>
      <w:r w:rsidRPr="00747408">
        <w:rPr>
          <w:rFonts w:ascii="Palatino Linotype" w:eastAsia="Palatino Linotype" w:hAnsi="Palatino Linotype" w:cs="Palatino Linotype"/>
        </w:rPr>
        <w:t xml:space="preserve"> para presentar el respectivo Recurso de Revisión, transcurrió del</w:t>
      </w:r>
      <w:r w:rsidRPr="00747408">
        <w:rPr>
          <w:rFonts w:ascii="Palatino Linotype" w:eastAsia="Palatino Linotype" w:hAnsi="Palatino Linotype" w:cs="Palatino Linotype"/>
          <w:b/>
        </w:rPr>
        <w:t xml:space="preserve"> dos al veintitrés de mayo de dos mil veintidós, </w:t>
      </w:r>
      <w:r w:rsidRPr="00747408">
        <w:rPr>
          <w:rFonts w:ascii="Palatino Linotype" w:eastAsia="Palatino Linotype" w:hAnsi="Palatino Linotype" w:cs="Palatino Linotype"/>
        </w:rPr>
        <w:t xml:space="preserve">sin contemplar en el cómputo el día treinta de abril así como uno, siete, ocho, catorce, quince, veintiuno y veintidós  de mayo, por corresponder a sábados y domingos, considerados como días inhábiles, en términos del artículo 3, fracción X de la Ley de Transparencia y Acceso a la Información Pública del Estado de México y Municipios. Exceptuando además de dicho plazo el día cinco de mayo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w:t>
      </w:r>
      <w:r w:rsidRPr="00747408">
        <w:rPr>
          <w:rFonts w:ascii="Palatino Linotype" w:eastAsia="Palatino Linotype" w:hAnsi="Palatino Linotype" w:cs="Palatino Linotype"/>
        </w:rPr>
        <w:lastRenderedPageBreak/>
        <w:t>publicado en el Periódico Oficial “Gaceta del Gobierno”, el veintidós de diciembre de dos mil veintiuno</w:t>
      </w:r>
      <w:r w:rsidRPr="00747408">
        <w:rPr>
          <w:rFonts w:ascii="Palatino Linotype" w:eastAsia="Palatino Linotype" w:hAnsi="Palatino Linotype" w:cs="Palatino Linotype"/>
          <w:vertAlign w:val="superscript"/>
        </w:rPr>
        <w:footnoteReference w:id="1"/>
      </w:r>
      <w:r w:rsidRPr="00747408">
        <w:rPr>
          <w:rFonts w:ascii="Palatino Linotype" w:eastAsia="Palatino Linotype" w:hAnsi="Palatino Linotype" w:cs="Palatino Linotype"/>
        </w:rPr>
        <w:t>.</w:t>
      </w:r>
    </w:p>
    <w:p w14:paraId="47DE6877" w14:textId="77777777" w:rsidR="00F3187C" w:rsidRPr="00747408" w:rsidRDefault="00F3187C">
      <w:pPr>
        <w:spacing w:line="360" w:lineRule="auto"/>
        <w:jc w:val="both"/>
        <w:rPr>
          <w:rFonts w:ascii="Palatino Linotype" w:eastAsia="Palatino Linotype" w:hAnsi="Palatino Linotype" w:cs="Palatino Linotype"/>
        </w:rPr>
      </w:pPr>
      <w:bookmarkStart w:id="5" w:name="_heading=h.orkc3o7h9xbv" w:colFirst="0" w:colLast="0"/>
      <w:bookmarkEnd w:id="5"/>
    </w:p>
    <w:p w14:paraId="3A5A7486" w14:textId="77777777" w:rsidR="00F3187C" w:rsidRPr="00747408" w:rsidRDefault="00747408">
      <w:pPr>
        <w:spacing w:line="360" w:lineRule="auto"/>
        <w:ind w:left="-5" w:hanging="10"/>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ese tenor, se advierte que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presentó el medio de impugnación, el veintisiete de abril de dos mil veintidós, luego entonces debe considerarse en tiempo.</w:t>
      </w:r>
    </w:p>
    <w:p w14:paraId="3B35039C" w14:textId="77777777" w:rsidR="00F3187C" w:rsidRPr="00747408" w:rsidRDefault="00F3187C">
      <w:pPr>
        <w:spacing w:line="360" w:lineRule="auto"/>
        <w:ind w:left="-5" w:hanging="10"/>
        <w:jc w:val="both"/>
        <w:rPr>
          <w:rFonts w:ascii="Palatino Linotype" w:eastAsia="Palatino Linotype" w:hAnsi="Palatino Linotype" w:cs="Palatino Linotype"/>
        </w:rPr>
      </w:pPr>
    </w:p>
    <w:p w14:paraId="7BD843B9" w14:textId="77777777" w:rsidR="00F3187C" w:rsidRPr="00747408" w:rsidRDefault="00747408">
      <w:pPr>
        <w:spacing w:line="360" w:lineRule="auto"/>
        <w:ind w:right="49"/>
        <w:jc w:val="both"/>
        <w:rPr>
          <w:rFonts w:ascii="Palatino Linotype" w:eastAsia="Palatino Linotype" w:hAnsi="Palatino Linotype" w:cs="Palatino Linotype"/>
          <w:b/>
        </w:rPr>
      </w:pPr>
      <w:r w:rsidRPr="00747408">
        <w:rPr>
          <w:rFonts w:ascii="Palatino Linotype" w:eastAsia="Palatino Linotype" w:hAnsi="Palatino Linotype" w:cs="Palatino Linotype"/>
          <w:b/>
          <w:sz w:val="28"/>
          <w:szCs w:val="28"/>
        </w:rPr>
        <w:t>CUARTO</w:t>
      </w:r>
      <w:r w:rsidRPr="00747408">
        <w:rPr>
          <w:rFonts w:ascii="Palatino Linotype" w:eastAsia="Palatino Linotype" w:hAnsi="Palatino Linotype" w:cs="Palatino Linotype"/>
          <w:b/>
        </w:rPr>
        <w:t xml:space="preserve">. Procedibilidad. </w:t>
      </w:r>
    </w:p>
    <w:p w14:paraId="32AAF80F" w14:textId="77777777" w:rsidR="00F3187C" w:rsidRPr="00747408" w:rsidRDefault="00747408">
      <w:pPr>
        <w:spacing w:line="360" w:lineRule="auto"/>
        <w:ind w:right="49"/>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63FB27FF" w14:textId="77777777" w:rsidR="00F3187C" w:rsidRPr="00747408" w:rsidRDefault="00F3187C">
      <w:pPr>
        <w:ind w:right="49"/>
        <w:jc w:val="both"/>
        <w:rPr>
          <w:rFonts w:ascii="Palatino Linotype" w:eastAsia="Palatino Linotype" w:hAnsi="Palatino Linotype" w:cs="Palatino Linotype"/>
        </w:rPr>
      </w:pPr>
    </w:p>
    <w:p w14:paraId="353A4598" w14:textId="77777777" w:rsidR="00F3187C" w:rsidRPr="00747408" w:rsidRDefault="00747408">
      <w:pPr>
        <w:tabs>
          <w:tab w:val="left" w:pos="851"/>
        </w:tabs>
        <w:ind w:left="851" w:right="901"/>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 xml:space="preserve">“Artículo 180. </w:t>
      </w:r>
      <w:r w:rsidRPr="00747408">
        <w:rPr>
          <w:rFonts w:ascii="Palatino Linotype" w:eastAsia="Palatino Linotype" w:hAnsi="Palatino Linotype" w:cs="Palatino Linotype"/>
          <w:i/>
          <w:sz w:val="22"/>
          <w:szCs w:val="22"/>
        </w:rPr>
        <w:t>El Recurso de Revisión contendrá:</w:t>
      </w:r>
      <w:r w:rsidRPr="00747408">
        <w:rPr>
          <w:rFonts w:ascii="Palatino Linotype" w:eastAsia="Palatino Linotype" w:hAnsi="Palatino Linotype" w:cs="Palatino Linotype"/>
          <w:b/>
          <w:i/>
          <w:sz w:val="22"/>
          <w:szCs w:val="22"/>
        </w:rPr>
        <w:t xml:space="preserve"> </w:t>
      </w:r>
    </w:p>
    <w:p w14:paraId="178C9789" w14:textId="77777777" w:rsidR="00F3187C" w:rsidRPr="00747408" w:rsidRDefault="00747408">
      <w:pPr>
        <w:tabs>
          <w:tab w:val="left" w:pos="851"/>
        </w:tabs>
        <w:ind w:left="851" w:right="901"/>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w:t>
      </w:r>
    </w:p>
    <w:p w14:paraId="079E28E8" w14:textId="77777777" w:rsidR="00F3187C" w:rsidRPr="00747408" w:rsidRDefault="00747408">
      <w:pPr>
        <w:tabs>
          <w:tab w:val="left" w:pos="851"/>
        </w:tabs>
        <w:ind w:left="851" w:right="901"/>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 xml:space="preserve">II. El nombre del solicitante que recurre </w:t>
      </w:r>
      <w:r w:rsidRPr="00747408">
        <w:rPr>
          <w:rFonts w:ascii="Palatino Linotype" w:eastAsia="Palatino Linotype" w:hAnsi="Palatino Linotype" w:cs="Palatino Linotype"/>
          <w:i/>
          <w:sz w:val="22"/>
          <w:szCs w:val="22"/>
        </w:rPr>
        <w:t>o de su representante y, en su caso, …</w:t>
      </w:r>
    </w:p>
    <w:p w14:paraId="5994005B" w14:textId="77777777" w:rsidR="00F3187C" w:rsidRPr="00747408" w:rsidRDefault="00747408">
      <w:pPr>
        <w:tabs>
          <w:tab w:val="left" w:pos="851"/>
        </w:tabs>
        <w:ind w:left="851" w:right="901"/>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747408">
        <w:rPr>
          <w:rFonts w:ascii="Palatino Linotype" w:eastAsia="Palatino Linotype" w:hAnsi="Palatino Linotype" w:cs="Palatino Linotype"/>
          <w:i/>
          <w:sz w:val="22"/>
          <w:szCs w:val="22"/>
        </w:rPr>
        <w:t>, IV, VII y VIII.</w:t>
      </w:r>
      <w:r w:rsidRPr="00747408">
        <w:rPr>
          <w:rFonts w:ascii="Palatino Linotype" w:eastAsia="Palatino Linotype" w:hAnsi="Palatino Linotype" w:cs="Palatino Linotype"/>
          <w:b/>
          <w:i/>
          <w:sz w:val="22"/>
          <w:szCs w:val="22"/>
        </w:rPr>
        <w:t>”</w:t>
      </w:r>
    </w:p>
    <w:p w14:paraId="1DDE861E" w14:textId="77777777" w:rsidR="00F3187C" w:rsidRPr="00747408" w:rsidRDefault="00747408">
      <w:pPr>
        <w:tabs>
          <w:tab w:val="left" w:pos="851"/>
        </w:tabs>
        <w:ind w:left="851" w:right="901"/>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(Énfasis añadido)</w:t>
      </w:r>
    </w:p>
    <w:p w14:paraId="7CCBE551" w14:textId="77777777" w:rsidR="00F3187C" w:rsidRPr="00747408" w:rsidRDefault="00F3187C">
      <w:pPr>
        <w:tabs>
          <w:tab w:val="left" w:pos="851"/>
        </w:tabs>
        <w:ind w:right="901"/>
        <w:jc w:val="both"/>
        <w:rPr>
          <w:rFonts w:ascii="Palatino Linotype" w:eastAsia="Palatino Linotype" w:hAnsi="Palatino Linotype" w:cs="Palatino Linotype"/>
          <w:i/>
          <w:sz w:val="22"/>
          <w:szCs w:val="22"/>
        </w:rPr>
      </w:pPr>
    </w:p>
    <w:p w14:paraId="35294C03" w14:textId="77777777" w:rsidR="00F3187C" w:rsidRPr="00747408" w:rsidRDefault="00747408">
      <w:pPr>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rPr>
        <w:t xml:space="preserve">Por lo que, derivado que el Recurso de Revisión materia del presente asunto, se interpuso de manera electrónica, no es necesario que contenga determinados </w:t>
      </w:r>
      <w:r w:rsidRPr="00747408">
        <w:rPr>
          <w:rFonts w:ascii="Palatino Linotype" w:eastAsia="Palatino Linotype" w:hAnsi="Palatino Linotype" w:cs="Palatino Linotype"/>
        </w:rPr>
        <w:lastRenderedPageBreak/>
        <w:t>requisitos, entre ellos, el nombre del</w:t>
      </w:r>
      <w:r w:rsidRPr="00747408">
        <w:rPr>
          <w:rFonts w:ascii="Palatino Linotype" w:eastAsia="Palatino Linotype" w:hAnsi="Palatino Linotype" w:cs="Palatino Linotype"/>
          <w:b/>
        </w:rPr>
        <w:t xml:space="preserve"> RECURRENTE;</w:t>
      </w:r>
      <w:r w:rsidRPr="00747408">
        <w:rPr>
          <w:rFonts w:ascii="Palatino Linotype" w:eastAsia="Palatino Linotype" w:hAnsi="Palatino Linotype" w:cs="Palatino Linotype"/>
        </w:rPr>
        <w:t xml:space="preserve"> por lo que, en el presente caso, al haber sido presentado el Recurso de Revisión vía </w:t>
      </w:r>
      <w:r w:rsidRPr="00747408">
        <w:rPr>
          <w:rFonts w:ascii="Palatino Linotype" w:eastAsia="Palatino Linotype" w:hAnsi="Palatino Linotype" w:cs="Palatino Linotype"/>
          <w:b/>
        </w:rPr>
        <w:t>SAIMEX</w:t>
      </w:r>
      <w:r w:rsidRPr="00747408">
        <w:rPr>
          <w:rFonts w:ascii="Palatino Linotype" w:eastAsia="Palatino Linotype" w:hAnsi="Palatino Linotype" w:cs="Palatino Linotype"/>
        </w:rPr>
        <w:t>, dicho requisito resulta innecesario.</w:t>
      </w:r>
    </w:p>
    <w:p w14:paraId="0C55E509" w14:textId="77777777" w:rsidR="00F3187C" w:rsidRPr="00747408" w:rsidRDefault="00F3187C">
      <w:pPr>
        <w:spacing w:line="360" w:lineRule="auto"/>
        <w:jc w:val="both"/>
        <w:rPr>
          <w:rFonts w:ascii="Palatino Linotype" w:eastAsia="Palatino Linotype" w:hAnsi="Palatino Linotype" w:cs="Palatino Linotype"/>
        </w:rPr>
      </w:pPr>
    </w:p>
    <w:p w14:paraId="56404ADB"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747408">
        <w:rPr>
          <w:rFonts w:ascii="Palatino Linotype" w:eastAsia="Palatino Linotype" w:hAnsi="Palatino Linotype" w:cs="Palatino Linotype"/>
          <w:b/>
          <w:u w:val="single"/>
        </w:rPr>
        <w:t xml:space="preserve">el nombre no es un requisito </w:t>
      </w:r>
      <w:r w:rsidRPr="00747408">
        <w:rPr>
          <w:rFonts w:ascii="Palatino Linotype" w:eastAsia="Palatino Linotype" w:hAnsi="Palatino Linotype" w:cs="Palatino Linotype"/>
          <w:b/>
          <w:i/>
          <w:u w:val="single"/>
        </w:rPr>
        <w:t>sine qua non</w:t>
      </w:r>
      <w:r w:rsidRPr="00747408">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B84A36C" w14:textId="77777777" w:rsidR="00F3187C" w:rsidRPr="00747408" w:rsidRDefault="00F3187C">
      <w:pPr>
        <w:spacing w:line="360" w:lineRule="auto"/>
        <w:jc w:val="both"/>
        <w:rPr>
          <w:rFonts w:ascii="Palatino Linotype" w:eastAsia="Palatino Linotype" w:hAnsi="Palatino Linotype" w:cs="Palatino Linotype"/>
        </w:rPr>
      </w:pPr>
    </w:p>
    <w:p w14:paraId="2A7E6DB5" w14:textId="77777777" w:rsidR="00F3187C" w:rsidRPr="00747408" w:rsidRDefault="00747408">
      <w:pPr>
        <w:spacing w:line="360" w:lineRule="auto"/>
        <w:jc w:val="both"/>
        <w:rPr>
          <w:rFonts w:ascii="Palatino Linotype" w:eastAsia="Palatino Linotype" w:hAnsi="Palatino Linotype" w:cs="Palatino Linotype"/>
          <w:sz w:val="22"/>
          <w:szCs w:val="22"/>
        </w:rPr>
      </w:pPr>
      <w:r w:rsidRPr="00747408">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F437BD0" w14:textId="77777777" w:rsidR="00F3187C" w:rsidRPr="00747408" w:rsidRDefault="00F3187C">
      <w:pPr>
        <w:tabs>
          <w:tab w:val="left" w:pos="851"/>
        </w:tabs>
        <w:spacing w:line="360" w:lineRule="auto"/>
        <w:ind w:left="851" w:right="901"/>
        <w:jc w:val="both"/>
        <w:rPr>
          <w:rFonts w:ascii="Palatino Linotype" w:eastAsia="Palatino Linotype" w:hAnsi="Palatino Linotype" w:cs="Palatino Linotype"/>
          <w:sz w:val="22"/>
          <w:szCs w:val="22"/>
        </w:rPr>
      </w:pPr>
    </w:p>
    <w:p w14:paraId="6AF1CA34"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lastRenderedPageBreak/>
        <w:t xml:space="preserve">Asimismo, se estima que el requisito relativo al nombre del </w:t>
      </w:r>
      <w:r w:rsidRPr="00747408">
        <w:rPr>
          <w:rFonts w:ascii="Palatino Linotype" w:eastAsia="Palatino Linotype" w:hAnsi="Palatino Linotype" w:cs="Palatino Linotype"/>
          <w:b/>
        </w:rPr>
        <w:t>RECURRENTE</w:t>
      </w:r>
      <w:r w:rsidRPr="00747408">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es la misma persona que realizó la solicitud de acceso a la información pública que ahora se impugna.</w:t>
      </w:r>
    </w:p>
    <w:p w14:paraId="58E71F74" w14:textId="77777777" w:rsidR="00F3187C" w:rsidRPr="00747408" w:rsidRDefault="00F3187C">
      <w:pPr>
        <w:tabs>
          <w:tab w:val="left" w:pos="851"/>
        </w:tabs>
        <w:spacing w:line="360" w:lineRule="auto"/>
        <w:ind w:left="851" w:right="901"/>
        <w:jc w:val="both"/>
        <w:rPr>
          <w:rFonts w:ascii="Palatino Linotype" w:eastAsia="Palatino Linotype" w:hAnsi="Palatino Linotype" w:cs="Palatino Linotype"/>
          <w:sz w:val="22"/>
          <w:szCs w:val="22"/>
        </w:rPr>
      </w:pPr>
    </w:p>
    <w:p w14:paraId="35AE9B01"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067D447E" w14:textId="77777777" w:rsidR="00F3187C" w:rsidRPr="00747408" w:rsidRDefault="00F3187C">
      <w:pPr>
        <w:spacing w:line="360" w:lineRule="auto"/>
        <w:jc w:val="both"/>
        <w:rPr>
          <w:rFonts w:ascii="Palatino Linotype" w:eastAsia="Palatino Linotype" w:hAnsi="Palatino Linotype" w:cs="Palatino Linotype"/>
        </w:rPr>
      </w:pPr>
    </w:p>
    <w:p w14:paraId="0EB9420F" w14:textId="77777777" w:rsidR="00F3187C" w:rsidRPr="00747408" w:rsidRDefault="00747408">
      <w:pPr>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b/>
          <w:sz w:val="28"/>
          <w:szCs w:val="28"/>
        </w:rPr>
        <w:lastRenderedPageBreak/>
        <w:t>QUINTO</w:t>
      </w:r>
      <w:r w:rsidRPr="00747408">
        <w:rPr>
          <w:rFonts w:ascii="Palatino Linotype" w:eastAsia="Palatino Linotype" w:hAnsi="Palatino Linotype" w:cs="Palatino Linotype"/>
          <w:b/>
        </w:rPr>
        <w:t xml:space="preserve">. Estudio y resolución del asunto. </w:t>
      </w:r>
    </w:p>
    <w:p w14:paraId="7427FA56" w14:textId="77777777" w:rsidR="00F3187C" w:rsidRPr="00747408" w:rsidRDefault="00747408">
      <w:pPr>
        <w:tabs>
          <w:tab w:val="left" w:pos="709"/>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primera instancia es importante precisar que,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solicitó al </w:t>
      </w:r>
      <w:r w:rsidRPr="00747408">
        <w:rPr>
          <w:rFonts w:ascii="Palatino Linotype" w:eastAsia="Palatino Linotype" w:hAnsi="Palatino Linotype" w:cs="Palatino Linotype"/>
          <w:b/>
        </w:rPr>
        <w:t>SUJETO OBLIGADO</w:t>
      </w:r>
      <w:r w:rsidRPr="00747408">
        <w:rPr>
          <w:rFonts w:ascii="Palatino Linotype" w:eastAsia="Palatino Linotype" w:hAnsi="Palatino Linotype" w:cs="Palatino Linotype"/>
        </w:rPr>
        <w:t xml:space="preserve"> lo que a continuación se desagrega: </w:t>
      </w:r>
    </w:p>
    <w:p w14:paraId="3CBB9A9F" w14:textId="77777777" w:rsidR="00F3187C" w:rsidRPr="00747408" w:rsidRDefault="00747408">
      <w:pPr>
        <w:numPr>
          <w:ilvl w:val="0"/>
          <w:numId w:val="1"/>
        </w:numPr>
        <w:tabs>
          <w:tab w:val="left" w:pos="709"/>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Razones del porque el titular Arturo Mejía Diaz no ha generado la actualización del portal de ipomex emitidas por su jefe inmediato. </w:t>
      </w:r>
    </w:p>
    <w:p w14:paraId="04279677" w14:textId="77777777" w:rsidR="00F3187C" w:rsidRPr="00747408" w:rsidRDefault="00747408">
      <w:pPr>
        <w:numPr>
          <w:ilvl w:val="0"/>
          <w:numId w:val="1"/>
        </w:numPr>
        <w:tabs>
          <w:tab w:val="left" w:pos="709"/>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La tabla de aplicabilidad, junto con la clasificación de las fracciones por cada área. </w:t>
      </w:r>
    </w:p>
    <w:p w14:paraId="7DC3F864" w14:textId="77777777" w:rsidR="00F3187C" w:rsidRPr="00747408" w:rsidRDefault="00747408">
      <w:pPr>
        <w:numPr>
          <w:ilvl w:val="0"/>
          <w:numId w:val="1"/>
        </w:numPr>
        <w:tabs>
          <w:tab w:val="left" w:pos="709"/>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Los oficios que manda el servidor público mencionado a las áreas solicitando la publicación y las respuestas de todas las áreas. </w:t>
      </w:r>
    </w:p>
    <w:p w14:paraId="621D1820" w14:textId="77777777" w:rsidR="00F3187C" w:rsidRPr="00747408" w:rsidRDefault="00747408">
      <w:pPr>
        <w:numPr>
          <w:ilvl w:val="0"/>
          <w:numId w:val="1"/>
        </w:numPr>
        <w:tabs>
          <w:tab w:val="left" w:pos="709"/>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Los oficios que le mandan las áreas asignando un servidor público habilitado por cada materia.</w:t>
      </w:r>
    </w:p>
    <w:p w14:paraId="113370F3" w14:textId="77777777" w:rsidR="00F3187C" w:rsidRPr="00747408" w:rsidRDefault="00747408">
      <w:pPr>
        <w:numPr>
          <w:ilvl w:val="0"/>
          <w:numId w:val="1"/>
        </w:numPr>
        <w:tabs>
          <w:tab w:val="left" w:pos="709"/>
        </w:tabs>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Los acuses de carga de información de todo lo que suben. </w:t>
      </w:r>
    </w:p>
    <w:p w14:paraId="7D80CE46" w14:textId="77777777" w:rsidR="00F3187C" w:rsidRPr="00747408" w:rsidRDefault="00F3187C">
      <w:pPr>
        <w:tabs>
          <w:tab w:val="left" w:pos="709"/>
        </w:tabs>
        <w:spacing w:line="360" w:lineRule="auto"/>
        <w:jc w:val="both"/>
        <w:rPr>
          <w:rFonts w:ascii="Palatino Linotype" w:eastAsia="Palatino Linotype" w:hAnsi="Palatino Linotype" w:cs="Palatino Linotype"/>
        </w:rPr>
      </w:pPr>
    </w:p>
    <w:p w14:paraId="517655E1"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A lo cual en respuesta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señaló por medio la Secretaria Técnica del ente recurrido lo siguiente: </w:t>
      </w:r>
    </w:p>
    <w:p w14:paraId="43C97BB8" w14:textId="77777777" w:rsidR="00F3187C" w:rsidRPr="00747408" w:rsidRDefault="00747408">
      <w:pPr>
        <w:spacing w:line="360" w:lineRule="auto"/>
        <w:jc w:val="center"/>
        <w:rPr>
          <w:rFonts w:ascii="Palatino Linotype" w:eastAsia="Palatino Linotype" w:hAnsi="Palatino Linotype" w:cs="Palatino Linotype"/>
        </w:rPr>
      </w:pPr>
      <w:r w:rsidRPr="00747408">
        <w:rPr>
          <w:rFonts w:ascii="Palatino Linotype" w:eastAsia="Palatino Linotype" w:hAnsi="Palatino Linotype" w:cs="Palatino Linotype"/>
          <w:noProof/>
        </w:rPr>
        <w:lastRenderedPageBreak/>
        <w:drawing>
          <wp:inline distT="114300" distB="114300" distL="114300" distR="114300" wp14:anchorId="2A37C42F" wp14:editId="386E14F1">
            <wp:extent cx="5410200" cy="3912701"/>
            <wp:effectExtent l="0" t="0" r="0" b="0"/>
            <wp:docPr id="3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221" t="6415" r="6480" b="31165"/>
                    <a:stretch>
                      <a:fillRect/>
                    </a:stretch>
                  </pic:blipFill>
                  <pic:spPr>
                    <a:xfrm>
                      <a:off x="0" y="0"/>
                      <a:ext cx="5410200" cy="3912701"/>
                    </a:xfrm>
                    <a:prstGeom prst="rect">
                      <a:avLst/>
                    </a:prstGeom>
                    <a:ln/>
                  </pic:spPr>
                </pic:pic>
              </a:graphicData>
            </a:graphic>
          </wp:inline>
        </w:drawing>
      </w:r>
    </w:p>
    <w:p w14:paraId="239C19A9" w14:textId="77777777" w:rsidR="00F3187C" w:rsidRPr="00747408" w:rsidRDefault="00F3187C">
      <w:pPr>
        <w:spacing w:line="360" w:lineRule="auto"/>
        <w:jc w:val="both"/>
        <w:rPr>
          <w:rFonts w:ascii="Palatino Linotype" w:eastAsia="Palatino Linotype" w:hAnsi="Palatino Linotype" w:cs="Palatino Linotype"/>
        </w:rPr>
      </w:pPr>
    </w:p>
    <w:p w14:paraId="36913DBD"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No conforme con la respuesta el particular interpuso el presente Recurso de Revisión, señalando en donde de forma medular se inconforma de que no le fue entregada completa la tabla de aplicabilidad solicitada. </w:t>
      </w:r>
    </w:p>
    <w:p w14:paraId="7CFA513A" w14:textId="77777777" w:rsidR="00F3187C" w:rsidRPr="00747408" w:rsidRDefault="00F3187C">
      <w:pPr>
        <w:spacing w:line="360" w:lineRule="auto"/>
        <w:jc w:val="both"/>
        <w:rPr>
          <w:rFonts w:ascii="Palatino Linotype" w:eastAsia="Palatino Linotype" w:hAnsi="Palatino Linotype" w:cs="Palatino Linotype"/>
        </w:rPr>
      </w:pPr>
    </w:p>
    <w:p w14:paraId="2A0B088C"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Lo que en consecuencia actualiza la causal de procedencia del Recurso de Revisión establecida en el artículo 179 fracción V que establece: </w:t>
      </w:r>
    </w:p>
    <w:p w14:paraId="04539AAF" w14:textId="77777777" w:rsidR="00F3187C" w:rsidRPr="00747408" w:rsidRDefault="00747408">
      <w:pPr>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lastRenderedPageBreak/>
        <w:t>“Artículo 179.</w:t>
      </w:r>
      <w:r w:rsidRPr="0074740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1661EB6A" w14:textId="77777777" w:rsidR="00F3187C" w:rsidRPr="00747408" w:rsidRDefault="00747408">
      <w:pPr>
        <w:ind w:left="850" w:right="899"/>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V. La entrega de información incompleta;”</w:t>
      </w:r>
    </w:p>
    <w:p w14:paraId="4591120E" w14:textId="77777777" w:rsidR="00F3187C" w:rsidRPr="00747408" w:rsidRDefault="00747408">
      <w:pPr>
        <w:ind w:left="850" w:right="899"/>
        <w:jc w:val="both"/>
        <w:rPr>
          <w:rFonts w:ascii="Palatino Linotype" w:eastAsia="Palatino Linotype" w:hAnsi="Palatino Linotype" w:cs="Palatino Linotype"/>
        </w:rPr>
      </w:pPr>
      <w:r w:rsidRPr="00747408">
        <w:rPr>
          <w:rFonts w:ascii="Palatino Linotype" w:eastAsia="Palatino Linotype" w:hAnsi="Palatino Linotype" w:cs="Palatino Linotype"/>
          <w:b/>
          <w:i/>
          <w:sz w:val="22"/>
          <w:szCs w:val="22"/>
        </w:rPr>
        <w:t>(énfasis añadido)</w:t>
      </w:r>
    </w:p>
    <w:p w14:paraId="696E870A" w14:textId="77777777" w:rsidR="00F3187C" w:rsidRPr="00747408" w:rsidRDefault="00F3187C">
      <w:pPr>
        <w:tabs>
          <w:tab w:val="left" w:pos="709"/>
        </w:tabs>
        <w:spacing w:line="360" w:lineRule="auto"/>
        <w:ind w:right="49"/>
        <w:jc w:val="both"/>
        <w:rPr>
          <w:rFonts w:ascii="Palatino Linotype" w:eastAsia="Palatino Linotype" w:hAnsi="Palatino Linotype" w:cs="Palatino Linotype"/>
        </w:rPr>
      </w:pPr>
    </w:p>
    <w:p w14:paraId="503F704F" w14:textId="77777777" w:rsidR="00F3187C" w:rsidRPr="00747408" w:rsidRDefault="00747408">
      <w:pPr>
        <w:tabs>
          <w:tab w:val="left" w:pos="709"/>
        </w:tabs>
        <w:spacing w:line="360" w:lineRule="auto"/>
        <w:ind w:right="49"/>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Luego entonces, resulta procedente analizar las constancias que integran el expediente electrónico del SAIMEX para determinar si con la información aportada por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se puede tener por atendido el derecho de Acceso a la Información pública del particular. </w:t>
      </w:r>
    </w:p>
    <w:p w14:paraId="2CC47332" w14:textId="77777777" w:rsidR="00F3187C" w:rsidRPr="00747408" w:rsidRDefault="00F3187C">
      <w:pPr>
        <w:tabs>
          <w:tab w:val="left" w:pos="709"/>
        </w:tabs>
        <w:spacing w:line="360" w:lineRule="auto"/>
        <w:ind w:right="49"/>
        <w:jc w:val="both"/>
        <w:rPr>
          <w:rFonts w:ascii="Palatino Linotype" w:eastAsia="Palatino Linotype" w:hAnsi="Palatino Linotype" w:cs="Palatino Linotype"/>
        </w:rPr>
      </w:pPr>
    </w:p>
    <w:p w14:paraId="07841F9B" w14:textId="77777777" w:rsidR="00F3187C" w:rsidRPr="00747408" w:rsidRDefault="00747408">
      <w:pPr>
        <w:tabs>
          <w:tab w:val="left" w:pos="709"/>
        </w:tabs>
        <w:spacing w:line="360" w:lineRule="auto"/>
        <w:ind w:right="49"/>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primer lugar, de las manifestaciones vertidas por el particular se observa que su inconformidad versa sobre que no le fue entregada la tabla de aplicabilidad referente al artículo 94 y las demás fracciones del artículo 92 ambos de la Ley de Transparencia y Acceso a la Información Pública del Estado de México y Municipios sin que se aprecie pronunciamiento respecto de los demás elementos solicitados ni de la respuesta a los mismos. </w:t>
      </w:r>
    </w:p>
    <w:p w14:paraId="72BD39FF" w14:textId="77777777" w:rsidR="00F3187C" w:rsidRPr="00747408" w:rsidRDefault="00F3187C">
      <w:pPr>
        <w:spacing w:line="360" w:lineRule="auto"/>
        <w:jc w:val="both"/>
        <w:rPr>
          <w:rFonts w:ascii="Palatino Linotype" w:eastAsia="Palatino Linotype" w:hAnsi="Palatino Linotype" w:cs="Palatino Linotype"/>
        </w:rPr>
      </w:pPr>
    </w:p>
    <w:p w14:paraId="6066F0C8"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De tal forma que, la parte de la respuesta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68302051"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lastRenderedPageBreak/>
        <w:t>Sirve de sustento, la tesis jurisprudencial número VI.3o.C. J/60, publicada en el Semanario Judicial de la Federación y su Gaceta bajo el número de registro 176,608 que a la letra dice:</w:t>
      </w:r>
    </w:p>
    <w:p w14:paraId="1954A057" w14:textId="77777777" w:rsidR="00F3187C" w:rsidRPr="00747408" w:rsidRDefault="00747408">
      <w:pPr>
        <w:tabs>
          <w:tab w:val="left" w:pos="851"/>
        </w:tabs>
        <w:ind w:left="851" w:right="616"/>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 xml:space="preserve">“ACTOS CONSENTIDOS. SON LOS QUE NO SE IMPUGNAN MEDIANTE EL RECURSO IDÓNEO. </w:t>
      </w:r>
      <w:r w:rsidRPr="00747408">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97E612"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De la interpretación del criterio antes citado, se advierte que cuando el particular impugnó la respuesta del </w:t>
      </w:r>
      <w:r w:rsidRPr="00747408">
        <w:rPr>
          <w:rFonts w:ascii="Palatino Linotype" w:eastAsia="Palatino Linotype" w:hAnsi="Palatino Linotype" w:cs="Palatino Linotype"/>
          <w:b/>
        </w:rPr>
        <w:t>SUJETO OBLIGADO</w:t>
      </w:r>
      <w:r w:rsidRPr="00747408">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está conforme con la respuesta proporcionada por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al no contravenir la misma. </w:t>
      </w:r>
    </w:p>
    <w:p w14:paraId="046230C9"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45F6463E" w14:textId="77777777" w:rsidR="00F3187C" w:rsidRPr="00747408" w:rsidRDefault="00747408">
      <w:pPr>
        <w:tabs>
          <w:tab w:val="left" w:pos="7937"/>
          <w:tab w:val="left" w:pos="8222"/>
        </w:tabs>
        <w:ind w:left="851" w:right="901"/>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 xml:space="preserve">“REVISIÓN EN AMPARO. LOS RESOLUTIVOS NO COMBATIDOS DEBEN DECLARARSE FIRMES. </w:t>
      </w:r>
      <w:r w:rsidRPr="00747408">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w:t>
      </w:r>
      <w:r w:rsidRPr="00747408">
        <w:rPr>
          <w:rFonts w:ascii="Palatino Linotype" w:eastAsia="Palatino Linotype" w:hAnsi="Palatino Linotype" w:cs="Palatino Linotype"/>
          <w:i/>
          <w:sz w:val="22"/>
          <w:szCs w:val="22"/>
        </w:rPr>
        <w:lastRenderedPageBreak/>
        <w:t>parte considerativa y en los resolutivos debe confirmarse la sentencia recurrida en la parte correspondiente.”</w:t>
      </w:r>
    </w:p>
    <w:p w14:paraId="13F18D58" w14:textId="77777777" w:rsidR="00F3187C" w:rsidRPr="00747408" w:rsidRDefault="00747408">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consecuencia, que la información relativa a los requerimientos identificados con los numerales 1,3,4 y 5 relativos a Razones del porque el titular Arturo Mejía Diaz no ha generado la actualización del portal de IPOMEX emitidas por su Jefe inmediato. Los oficios que manda el servidor público mencionado a las áreas solicitando la publicación y las respuestas de todas las áreas. Los oficios que le mandan las áreas asignando un servidor público habilitado por cada materia y Los acuses de carga de información de todo lo que suben. Se consideran un acto consentido y, en consecuencia, este Órgano Resolutor no entrará al estudio del mismo por las razones hasta aquí expuestas. </w:t>
      </w:r>
    </w:p>
    <w:p w14:paraId="34C8341F"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Una vez hecha la precisión anterior, se procede al análisis de la parte de la solicitud sobre la cual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manifiesta su inconformidad, siendo ello lo referente al punto 2: Las tablas de aplicabilidad junto con la clasificación de las fracciones por cada área.</w:t>
      </w:r>
    </w:p>
    <w:p w14:paraId="7F846A37" w14:textId="77777777" w:rsidR="00F3187C" w:rsidRPr="00747408" w:rsidRDefault="00F3187C">
      <w:pPr>
        <w:spacing w:line="360" w:lineRule="auto"/>
        <w:jc w:val="both"/>
        <w:rPr>
          <w:rFonts w:ascii="Palatino Linotype" w:eastAsia="Palatino Linotype" w:hAnsi="Palatino Linotype" w:cs="Palatino Linotype"/>
        </w:rPr>
      </w:pPr>
    </w:p>
    <w:p w14:paraId="15EBC1D6" w14:textId="77777777" w:rsidR="00F3187C" w:rsidRPr="00747408" w:rsidRDefault="00747408">
      <w:pPr>
        <w:tabs>
          <w:tab w:val="left" w:pos="709"/>
        </w:tabs>
        <w:spacing w:line="360" w:lineRule="auto"/>
        <w:ind w:right="49"/>
        <w:jc w:val="both"/>
        <w:rPr>
          <w:rFonts w:ascii="Palatino Linotype" w:eastAsia="Palatino Linotype" w:hAnsi="Palatino Linotype" w:cs="Palatino Linotype"/>
        </w:rPr>
      </w:pPr>
      <w:r w:rsidRPr="00747408">
        <w:rPr>
          <w:rFonts w:ascii="Palatino Linotype" w:eastAsia="Palatino Linotype" w:hAnsi="Palatino Linotype" w:cs="Palatino Linotype"/>
        </w:rPr>
        <w:t>En tal sentido,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77D9FB" w14:textId="77777777" w:rsidR="00F3187C" w:rsidRPr="00747408" w:rsidRDefault="00747408">
      <w:pPr>
        <w:spacing w:before="240"/>
        <w:ind w:left="709" w:right="760"/>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w:t>
      </w:r>
      <w:r w:rsidRPr="00747408">
        <w:rPr>
          <w:rFonts w:ascii="Palatino Linotype" w:eastAsia="Palatino Linotype" w:hAnsi="Palatino Linotype" w:cs="Palatino Linotype"/>
          <w:b/>
          <w:i/>
          <w:sz w:val="22"/>
          <w:szCs w:val="22"/>
        </w:rPr>
        <w:t>Artículo 4</w:t>
      </w:r>
      <w:r w:rsidRPr="0074740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0F21E3D" w14:textId="77777777" w:rsidR="00F3187C" w:rsidRPr="00747408" w:rsidRDefault="00747408">
      <w:pPr>
        <w:ind w:left="709" w:right="760"/>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4740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7F02DF" w14:textId="77777777" w:rsidR="00F3187C" w:rsidRPr="00747408" w:rsidRDefault="00747408">
      <w:pPr>
        <w:ind w:left="709" w:right="760"/>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47408">
        <w:rPr>
          <w:rFonts w:ascii="Palatino Linotype" w:eastAsia="Palatino Linotype" w:hAnsi="Palatino Linotype" w:cs="Palatino Linotype"/>
          <w:i/>
          <w:sz w:val="22"/>
          <w:szCs w:val="22"/>
        </w:rPr>
        <w:t>.”(Sic)</w:t>
      </w:r>
    </w:p>
    <w:p w14:paraId="7A9DF063" w14:textId="77777777" w:rsidR="00F3187C" w:rsidRPr="00747408" w:rsidRDefault="00F3187C">
      <w:pPr>
        <w:spacing w:line="360" w:lineRule="auto"/>
        <w:jc w:val="both"/>
        <w:rPr>
          <w:rFonts w:ascii="Palatino Linotype" w:eastAsia="Palatino Linotype" w:hAnsi="Palatino Linotype" w:cs="Palatino Linotype"/>
        </w:rPr>
      </w:pPr>
    </w:p>
    <w:p w14:paraId="181BFBD4"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498C338" w14:textId="77777777" w:rsidR="00F3187C" w:rsidRPr="00747408" w:rsidRDefault="00F3187C">
      <w:pPr>
        <w:spacing w:line="360" w:lineRule="auto"/>
        <w:jc w:val="both"/>
        <w:rPr>
          <w:rFonts w:ascii="Palatino Linotype" w:eastAsia="Palatino Linotype" w:hAnsi="Palatino Linotype" w:cs="Palatino Linotype"/>
        </w:rPr>
      </w:pPr>
    </w:p>
    <w:p w14:paraId="7385EE98" w14:textId="77777777" w:rsidR="00F3187C" w:rsidRPr="00747408" w:rsidRDefault="00747408">
      <w:pPr>
        <w:ind w:left="567" w:right="758"/>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“Artículo 12.-</w:t>
      </w:r>
      <w:r w:rsidRPr="0074740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1F2059" w14:textId="77777777" w:rsidR="00F3187C" w:rsidRPr="00747408" w:rsidRDefault="00F3187C">
      <w:pPr>
        <w:ind w:left="567" w:right="758"/>
        <w:jc w:val="both"/>
        <w:rPr>
          <w:rFonts w:ascii="Palatino Linotype" w:eastAsia="Palatino Linotype" w:hAnsi="Palatino Linotype" w:cs="Palatino Linotype"/>
          <w:i/>
          <w:sz w:val="22"/>
          <w:szCs w:val="22"/>
        </w:rPr>
      </w:pPr>
    </w:p>
    <w:p w14:paraId="6928DC28" w14:textId="77777777" w:rsidR="00F3187C" w:rsidRPr="00747408" w:rsidRDefault="00747408">
      <w:pPr>
        <w:ind w:left="567" w:right="758"/>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747408">
        <w:rPr>
          <w:rFonts w:ascii="Palatino Linotype" w:eastAsia="Palatino Linotype" w:hAnsi="Palatino Linotype" w:cs="Palatino Linotype"/>
          <w:i/>
          <w:sz w:val="22"/>
          <w:szCs w:val="22"/>
        </w:rPr>
        <w:t xml:space="preserve">. </w:t>
      </w:r>
      <w:r w:rsidRPr="0074740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F92E50A" w14:textId="77777777" w:rsidR="00F3187C" w:rsidRPr="00747408" w:rsidRDefault="00F3187C">
      <w:pPr>
        <w:spacing w:line="360" w:lineRule="auto"/>
        <w:ind w:right="-93"/>
        <w:jc w:val="both"/>
        <w:rPr>
          <w:rFonts w:ascii="Palatino Linotype" w:eastAsia="Palatino Linotype" w:hAnsi="Palatino Linotype" w:cs="Palatino Linotype"/>
        </w:rPr>
      </w:pPr>
    </w:p>
    <w:p w14:paraId="216989CD" w14:textId="77777777" w:rsidR="00F3187C" w:rsidRPr="00747408" w:rsidRDefault="00747408">
      <w:pPr>
        <w:spacing w:line="360" w:lineRule="auto"/>
        <w:ind w:right="-93"/>
        <w:jc w:val="both"/>
        <w:rPr>
          <w:rFonts w:ascii="Palatino Linotype" w:eastAsia="Palatino Linotype" w:hAnsi="Palatino Linotype" w:cs="Palatino Linotype"/>
        </w:rPr>
      </w:pPr>
      <w:r w:rsidRPr="0074740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8D836CA" w14:textId="77777777" w:rsidR="00F3187C" w:rsidRPr="00747408" w:rsidRDefault="00F3187C">
      <w:pPr>
        <w:spacing w:line="360" w:lineRule="auto"/>
        <w:ind w:right="-93"/>
        <w:jc w:val="both"/>
        <w:rPr>
          <w:rFonts w:ascii="Palatino Linotype" w:eastAsia="Palatino Linotype" w:hAnsi="Palatino Linotype" w:cs="Palatino Linotype"/>
        </w:rPr>
      </w:pPr>
    </w:p>
    <w:p w14:paraId="49BAE1DD" w14:textId="77777777" w:rsidR="00F3187C" w:rsidRPr="00747408" w:rsidRDefault="00747408">
      <w:pPr>
        <w:spacing w:line="360" w:lineRule="auto"/>
        <w:jc w:val="both"/>
        <w:rPr>
          <w:rFonts w:ascii="Palatino Linotype" w:eastAsia="Palatino Linotype" w:hAnsi="Palatino Linotype" w:cs="Palatino Linotype"/>
          <w:b/>
        </w:rPr>
      </w:pPr>
      <w:r w:rsidRPr="0074740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47408">
        <w:rPr>
          <w:rFonts w:ascii="Palatino Linotype" w:eastAsia="Palatino Linotype" w:hAnsi="Palatino Linotype" w:cs="Palatino Linotype"/>
          <w:b/>
        </w:rPr>
        <w:t xml:space="preserve"> </w:t>
      </w:r>
    </w:p>
    <w:p w14:paraId="2177A624" w14:textId="77777777" w:rsidR="00F3187C" w:rsidRPr="00747408" w:rsidRDefault="00F3187C">
      <w:pPr>
        <w:ind w:left="851" w:right="850"/>
        <w:jc w:val="both"/>
        <w:rPr>
          <w:rFonts w:ascii="Palatino Linotype" w:eastAsia="Palatino Linotype" w:hAnsi="Palatino Linotype" w:cs="Palatino Linotype"/>
        </w:rPr>
      </w:pPr>
    </w:p>
    <w:p w14:paraId="062D782A" w14:textId="77777777" w:rsidR="00F3187C" w:rsidRPr="00747408" w:rsidRDefault="00747408">
      <w:pPr>
        <w:ind w:left="851" w:right="901"/>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w:t>
      </w:r>
      <w:r w:rsidRPr="00747408">
        <w:rPr>
          <w:rFonts w:ascii="Palatino Linotype" w:eastAsia="Palatino Linotype" w:hAnsi="Palatino Linotype" w:cs="Palatino Linotype"/>
          <w:b/>
          <w:i/>
          <w:sz w:val="22"/>
          <w:szCs w:val="22"/>
        </w:rPr>
        <w:t>No existe obligación de elaborar documentos ad hoc para atender las solicitudes de acceso a la información.</w:t>
      </w:r>
      <w:r w:rsidRPr="0074740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747408">
        <w:rPr>
          <w:rFonts w:ascii="Palatino Linotype" w:eastAsia="Palatino Linotype" w:hAnsi="Palatino Linotype" w:cs="Palatino Linotype"/>
          <w:i/>
          <w:sz w:val="22"/>
          <w:szCs w:val="22"/>
        </w:rPr>
        <w:lastRenderedPageBreak/>
        <w:t>cuentan en el formato en que la misma obre en sus archivos; sin necesidad de elaborar documentos ad hoc para atender las solicitudes de información.”(Sic)</w:t>
      </w:r>
    </w:p>
    <w:p w14:paraId="1967A8DE" w14:textId="77777777" w:rsidR="00F3187C" w:rsidRPr="00747408" w:rsidRDefault="00F3187C">
      <w:pPr>
        <w:spacing w:line="360" w:lineRule="auto"/>
        <w:ind w:right="-93"/>
        <w:jc w:val="both"/>
        <w:rPr>
          <w:rFonts w:ascii="Palatino Linotype" w:eastAsia="Palatino Linotype" w:hAnsi="Palatino Linotype" w:cs="Palatino Linotype"/>
        </w:rPr>
      </w:pPr>
    </w:p>
    <w:p w14:paraId="38C61CAC"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46CC07" w14:textId="77777777" w:rsidR="00F3187C" w:rsidRPr="00747408" w:rsidRDefault="00F3187C">
      <w:pPr>
        <w:spacing w:line="360" w:lineRule="auto"/>
        <w:jc w:val="both"/>
        <w:rPr>
          <w:rFonts w:ascii="Palatino Linotype" w:eastAsia="Palatino Linotype" w:hAnsi="Palatino Linotype" w:cs="Palatino Linotype"/>
        </w:rPr>
      </w:pPr>
    </w:p>
    <w:p w14:paraId="6E0DDE57" w14:textId="77777777" w:rsidR="00F3187C" w:rsidRPr="00747408" w:rsidRDefault="00747408">
      <w:pPr>
        <w:spacing w:line="360" w:lineRule="auto"/>
        <w:ind w:right="49"/>
        <w:jc w:val="both"/>
        <w:rPr>
          <w:rFonts w:ascii="Palatino Linotype" w:eastAsia="Palatino Linotype" w:hAnsi="Palatino Linotype" w:cs="Palatino Linotype"/>
        </w:rPr>
      </w:pPr>
      <w:r w:rsidRPr="0074740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17997B" w14:textId="77777777" w:rsidR="00F3187C" w:rsidRPr="00747408" w:rsidRDefault="00F3187C">
      <w:pPr>
        <w:spacing w:line="360" w:lineRule="auto"/>
        <w:ind w:right="49"/>
        <w:jc w:val="both"/>
        <w:rPr>
          <w:rFonts w:ascii="Palatino Linotype" w:eastAsia="Palatino Linotype" w:hAnsi="Palatino Linotype" w:cs="Palatino Linotype"/>
        </w:rPr>
      </w:pPr>
    </w:p>
    <w:p w14:paraId="1567D07D"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w:t>
      </w:r>
      <w:r w:rsidRPr="00747408">
        <w:rPr>
          <w:rFonts w:ascii="Palatino Linotype" w:eastAsia="Palatino Linotype" w:hAnsi="Palatino Linotype" w:cs="Palatino Linotype"/>
        </w:rPr>
        <w:lastRenderedPageBreak/>
        <w:t xml:space="preserve">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B605DB" w14:textId="77777777" w:rsidR="00F3187C" w:rsidRPr="00747408" w:rsidRDefault="00F3187C">
      <w:pPr>
        <w:ind w:left="851" w:right="899"/>
        <w:jc w:val="both"/>
        <w:rPr>
          <w:rFonts w:ascii="Palatino Linotype" w:eastAsia="Palatino Linotype" w:hAnsi="Palatino Linotype" w:cs="Palatino Linotype"/>
          <w:i/>
          <w:sz w:val="22"/>
          <w:szCs w:val="22"/>
        </w:rPr>
      </w:pPr>
    </w:p>
    <w:p w14:paraId="440B701C"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w:t>
      </w:r>
      <w:r w:rsidRPr="00747408">
        <w:rPr>
          <w:rFonts w:ascii="Palatino Linotype" w:eastAsia="Palatino Linotype" w:hAnsi="Palatino Linotype" w:cs="Palatino Linotype"/>
          <w:b/>
          <w:i/>
          <w:sz w:val="22"/>
          <w:szCs w:val="22"/>
        </w:rPr>
        <w:t xml:space="preserve">Artículo 3. </w:t>
      </w:r>
      <w:r w:rsidRPr="00747408">
        <w:rPr>
          <w:rFonts w:ascii="Palatino Linotype" w:eastAsia="Palatino Linotype" w:hAnsi="Palatino Linotype" w:cs="Palatino Linotype"/>
          <w:i/>
          <w:sz w:val="22"/>
          <w:szCs w:val="22"/>
        </w:rPr>
        <w:t>Para los efectos de la presente Ley se entenderá por:</w:t>
      </w:r>
    </w:p>
    <w:p w14:paraId="05D8BBF1"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w:t>
      </w:r>
    </w:p>
    <w:p w14:paraId="66AEB0E4"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XI. Documento:</w:t>
      </w:r>
      <w:r w:rsidRPr="00747408">
        <w:rPr>
          <w:rFonts w:ascii="Palatino Linotype" w:eastAsia="Palatino Linotype" w:hAnsi="Palatino Linotype" w:cs="Palatino Linotype"/>
          <w:i/>
          <w:sz w:val="22"/>
          <w:szCs w:val="22"/>
        </w:rPr>
        <w:t xml:space="preserve"> Los expedientes, reportes, estudios, actas</w:t>
      </w:r>
      <w:r w:rsidRPr="00747408">
        <w:rPr>
          <w:rFonts w:ascii="Palatino Linotype" w:eastAsia="Palatino Linotype" w:hAnsi="Palatino Linotype" w:cs="Palatino Linotype"/>
          <w:b/>
          <w:i/>
          <w:sz w:val="22"/>
          <w:szCs w:val="22"/>
        </w:rPr>
        <w:t>,</w:t>
      </w:r>
      <w:r w:rsidRPr="0074740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6C4F856" w14:textId="77777777" w:rsidR="00F3187C" w:rsidRPr="00747408" w:rsidRDefault="00F3187C">
      <w:pPr>
        <w:ind w:left="851" w:right="899"/>
        <w:jc w:val="both"/>
        <w:rPr>
          <w:rFonts w:ascii="Palatino Linotype" w:eastAsia="Palatino Linotype" w:hAnsi="Palatino Linotype" w:cs="Palatino Linotype"/>
          <w:sz w:val="22"/>
          <w:szCs w:val="22"/>
        </w:rPr>
      </w:pPr>
    </w:p>
    <w:p w14:paraId="5D77EF74"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2A2AC7" w14:textId="77777777" w:rsidR="00F3187C" w:rsidRPr="00747408" w:rsidRDefault="00F3187C">
      <w:pPr>
        <w:ind w:left="851" w:right="899"/>
        <w:jc w:val="both"/>
        <w:rPr>
          <w:rFonts w:ascii="Palatino Linotype" w:eastAsia="Palatino Linotype" w:hAnsi="Palatino Linotype" w:cs="Palatino Linotype"/>
        </w:rPr>
      </w:pPr>
    </w:p>
    <w:p w14:paraId="35B7F4E0" w14:textId="77777777" w:rsidR="00F3187C" w:rsidRPr="00747408" w:rsidRDefault="00747408">
      <w:pPr>
        <w:ind w:left="851" w:right="899"/>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sz w:val="22"/>
          <w:szCs w:val="22"/>
        </w:rPr>
        <w:t>“</w:t>
      </w:r>
      <w:r w:rsidRPr="00747408">
        <w:rPr>
          <w:rFonts w:ascii="Palatino Linotype" w:eastAsia="Palatino Linotype" w:hAnsi="Palatino Linotype" w:cs="Palatino Linotype"/>
          <w:b/>
          <w:i/>
          <w:sz w:val="22"/>
          <w:szCs w:val="22"/>
        </w:rPr>
        <w:t>CRITERIO 0002-11</w:t>
      </w:r>
    </w:p>
    <w:p w14:paraId="6D3A1462"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4740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747408">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14:paraId="682CD9BA"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BA9A497" w14:textId="77777777" w:rsidR="00F3187C" w:rsidRPr="00747408" w:rsidRDefault="00747408">
      <w:pPr>
        <w:ind w:left="851"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61BFD89" w14:textId="77777777" w:rsidR="00F3187C" w:rsidRPr="00747408" w:rsidRDefault="00747408">
      <w:pPr>
        <w:ind w:left="851" w:right="899"/>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ADA51F5" w14:textId="77777777" w:rsidR="00F3187C" w:rsidRPr="00747408" w:rsidRDefault="00747408">
      <w:pPr>
        <w:ind w:left="851" w:right="899"/>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486C7AB" w14:textId="77777777" w:rsidR="00F3187C" w:rsidRPr="00747408" w:rsidRDefault="00F3187C">
      <w:pPr>
        <w:spacing w:line="360" w:lineRule="auto"/>
        <w:ind w:right="-93"/>
        <w:jc w:val="both"/>
        <w:rPr>
          <w:rFonts w:ascii="Palatino Linotype" w:eastAsia="Palatino Linotype" w:hAnsi="Palatino Linotype" w:cs="Palatino Linotype"/>
        </w:rPr>
      </w:pPr>
    </w:p>
    <w:p w14:paraId="71A6D6A4"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Una vez establecido lo anterior, existe información que por disposición de ley debe ser publicada de forma obligatoria para todos los Sujetos Obligados siendo esta la establecida en las fracciones del artículo 92 de la Ley de Transparencia y Acceso a la Información Pública del Estado de México y Municipio, el cual contempla lo siguiente:</w:t>
      </w:r>
    </w:p>
    <w:p w14:paraId="28854498" w14:textId="77777777" w:rsidR="00F3187C" w:rsidRPr="00747408" w:rsidRDefault="00747408">
      <w:pPr>
        <w:ind w:left="850" w:right="899"/>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i/>
          <w:sz w:val="22"/>
          <w:szCs w:val="22"/>
        </w:rPr>
        <w:t>“</w:t>
      </w:r>
      <w:r w:rsidRPr="00747408">
        <w:rPr>
          <w:rFonts w:ascii="Palatino Linotype" w:eastAsia="Palatino Linotype" w:hAnsi="Palatino Linotype" w:cs="Palatino Linotype"/>
          <w:b/>
          <w:i/>
          <w:sz w:val="22"/>
          <w:szCs w:val="22"/>
        </w:rPr>
        <w:t xml:space="preserve">Capítulo II </w:t>
      </w:r>
    </w:p>
    <w:p w14:paraId="1BA54E2B" w14:textId="77777777" w:rsidR="00F3187C" w:rsidRPr="00747408" w:rsidRDefault="00747408">
      <w:pPr>
        <w:ind w:left="850" w:right="899"/>
        <w:jc w:val="both"/>
        <w:rPr>
          <w:rFonts w:ascii="Palatino Linotype" w:eastAsia="Palatino Linotype" w:hAnsi="Palatino Linotype" w:cs="Palatino Linotype"/>
          <w:b/>
          <w:i/>
          <w:sz w:val="22"/>
          <w:szCs w:val="22"/>
        </w:rPr>
      </w:pPr>
      <w:r w:rsidRPr="00747408">
        <w:rPr>
          <w:rFonts w:ascii="Palatino Linotype" w:eastAsia="Palatino Linotype" w:hAnsi="Palatino Linotype" w:cs="Palatino Linotype"/>
          <w:b/>
          <w:i/>
          <w:sz w:val="22"/>
          <w:szCs w:val="22"/>
        </w:rPr>
        <w:t>De las Obligaciones de Transparencia Comunes</w:t>
      </w:r>
    </w:p>
    <w:p w14:paraId="2FB47E05"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i/>
          <w:sz w:val="22"/>
          <w:szCs w:val="22"/>
        </w:rPr>
        <w:t xml:space="preserve">Artículo 92. </w:t>
      </w:r>
      <w:r w:rsidRPr="00747408">
        <w:rPr>
          <w:rFonts w:ascii="Palatino Linotype" w:eastAsia="Palatino Linotype" w:hAnsi="Palatino Linotype" w:cs="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A535AB6"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14:paraId="2ACBCA3D"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671A62FF"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III. Las facultades de cada área; </w:t>
      </w:r>
    </w:p>
    <w:p w14:paraId="7A54AC7F"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1D6A788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V. Los indicadores relacionados con temas de interés público o trascendencia social que conforme a sus funciones, deban establecer, así como las matrices elaboradas para tal efecto; </w:t>
      </w:r>
    </w:p>
    <w:p w14:paraId="189DA3CA"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VI. Los indicadores que permitan rendir cuenta de sus objetivos y resultados, así como las matrices elaboradas para tal efecto; </w:t>
      </w:r>
    </w:p>
    <w:p w14:paraId="72A13553"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2D87B328"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9F0BEB4"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IX. Los gastos de representación y viáticos, así como el objeto e informe de comisión correspondiente; </w:t>
      </w:r>
    </w:p>
    <w:p w14:paraId="33D0C992"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 El número total de las plazas y del personal de base y de confianza, especificando el total de las vacantes, por nivel de puesto, para cada unidad administrativa; </w:t>
      </w:r>
    </w:p>
    <w:p w14:paraId="6BD1B922"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XI. Las contrataciones de servicios profesionales por honorarios, señalando los nombres de los prestadores de servicios, los servicios contratados, el monto de los honorarios y el periodo de contratación; </w:t>
      </w:r>
    </w:p>
    <w:p w14:paraId="67B8380C"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XII. El perfil de los puestos de los servidores públicos a su servicio en los casos que aplique; </w:t>
      </w:r>
    </w:p>
    <w:p w14:paraId="214B1760"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14:paraId="58CC90BF"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3AD9C52E"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a) Área; </w:t>
      </w:r>
    </w:p>
    <w:p w14:paraId="4F6E4EBA"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b) Denominación del programa;</w:t>
      </w:r>
    </w:p>
    <w:p w14:paraId="55CF0751"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c) Periodo de vigencia; d) Diseño, objetivos y alcances; </w:t>
      </w:r>
    </w:p>
    <w:p w14:paraId="02588ECA"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e) Metas físicas; </w:t>
      </w:r>
    </w:p>
    <w:p w14:paraId="1A6A7F20"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f) Población beneficiada estimada; </w:t>
      </w:r>
    </w:p>
    <w:p w14:paraId="029BBAC2"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g) Monto aprobado, modificado y ejercido, así como los calendarios de su programación presupuestal; </w:t>
      </w:r>
    </w:p>
    <w:p w14:paraId="2B585D93"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h) Requisitos y procedimientos de acceso; </w:t>
      </w:r>
    </w:p>
    <w:p w14:paraId="780A939D"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i) Procedimiento de queja o inconformidad ciudadana; </w:t>
      </w:r>
    </w:p>
    <w:p w14:paraId="48CDDC41"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j) Mecanismos de exigibilidad; </w:t>
      </w:r>
    </w:p>
    <w:p w14:paraId="1C878AF3"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k) Mecanismos e informes de evaluación y seguimiento de recomendaciones; </w:t>
      </w:r>
    </w:p>
    <w:p w14:paraId="16EA3DE2"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l) Indicadores con nombre, definición, método de cálculo, unidad de medida; dimensión, frecuencia de medición, nombre de las bases de datos utilizadas para su cálculo; m)Formas de participación social; </w:t>
      </w:r>
    </w:p>
    <w:p w14:paraId="3354C405"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n) Articulación con otros programas sociales; </w:t>
      </w:r>
    </w:p>
    <w:p w14:paraId="55F0C124"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ñ) Vínculo a las reglas de operación o documento equivalente; </w:t>
      </w:r>
    </w:p>
    <w:p w14:paraId="102E6D4E"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o) Informes periódicos sobre la ejecución y los resultados de las evaluaciones realizadas; y </w:t>
      </w:r>
    </w:p>
    <w:p w14:paraId="6023FA0A"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14:paraId="5F3C2E05"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XV. Agenda de reuniones públicas a las que convoquen los titulares de los sujetos obligados; </w:t>
      </w:r>
    </w:p>
    <w:p w14:paraId="22BE4E3C"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XVI. El domicilio de la Unidad de Transparencia y su ubicación, así como el nombre, teléfono oficial y horarios de atención al público de los responsables de las unidades de información; </w:t>
      </w:r>
    </w:p>
    <w:p w14:paraId="79CC1428"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XVII. Dirección electrónica donde podrán recibirse las solicitudes para obtener la información, así como el registro de las solicitudes recibidas y atendidas; </w:t>
      </w:r>
    </w:p>
    <w:p w14:paraId="252E43DC"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XVIII. Las convocatorias a concursos para ocupar cargos públicos y los resultados finales de los mismos; </w:t>
      </w:r>
    </w:p>
    <w:p w14:paraId="7AEE162D"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XIX. Índices semestrales en formatos abiertos de los expedientes clasificados como reservados que cada sujeto obligado posee y maneja; </w:t>
      </w:r>
    </w:p>
    <w:p w14:paraId="1AD5B296"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14:paraId="1330F03F"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XXI. La información curricular, desde el nivel de jefe de departamento o equivalente, hasta el titular del sujeto obligado, así como, en su caso, las sanciones administrativas de que haya sido objeto; </w:t>
      </w:r>
    </w:p>
    <w:p w14:paraId="577D6CDD"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XXII. El listado de Servidores Públicos con sanciones administrativas definitivas, especificando la causa de sanción y la disposición; </w:t>
      </w:r>
    </w:p>
    <w:p w14:paraId="01C63B2C"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XXIII. Los servicios que ofrecen señalando los requisitos para acceder a ellos, así como los tiempos de respuesta; </w:t>
      </w:r>
    </w:p>
    <w:p w14:paraId="2CD8B524"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XXIV. Los trámites, requisitos y formatos que ofrecen, así como los tiempos de respuesta; </w:t>
      </w:r>
    </w:p>
    <w:p w14:paraId="10A9FBBA"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XXV. La información financiera sobre el presupuesto asignado, así como los informes del ejercicio trimestral del gasto, en términos de la Ley General de Contabilidad Gubernamental y demás disposiciones jurídicas aplicables; </w:t>
      </w:r>
    </w:p>
    <w:p w14:paraId="642ACA49"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XXVI. La información relativa a la deuda pública, en términos de las disposiciones jurídicas aplicables: Los datos de todos los financiamientos contratados, así como de los movimientos que se efectúen, en la que se incluya: </w:t>
      </w:r>
    </w:p>
    <w:p w14:paraId="589F49CE" w14:textId="77777777" w:rsidR="00F3187C" w:rsidRPr="00747408" w:rsidRDefault="00747408">
      <w:pPr>
        <w:spacing w:before="280" w:after="280"/>
        <w:ind w:left="1275"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a) Los montos de financiamiento contratados; </w:t>
      </w:r>
    </w:p>
    <w:p w14:paraId="71DF4444" w14:textId="77777777" w:rsidR="00F3187C" w:rsidRPr="00747408" w:rsidRDefault="00747408">
      <w:pPr>
        <w:spacing w:before="280" w:after="280"/>
        <w:ind w:left="1275"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b) Los plazos; </w:t>
      </w:r>
    </w:p>
    <w:p w14:paraId="1D4ADC24" w14:textId="77777777" w:rsidR="00F3187C" w:rsidRPr="00747408" w:rsidRDefault="00747408">
      <w:pPr>
        <w:spacing w:before="280" w:after="280"/>
        <w:ind w:left="1275"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c) Las tasas de interés; y </w:t>
      </w:r>
    </w:p>
    <w:p w14:paraId="5BEC193C" w14:textId="77777777" w:rsidR="00F3187C" w:rsidRPr="00747408" w:rsidRDefault="00747408">
      <w:pPr>
        <w:spacing w:before="280" w:after="280"/>
        <w:ind w:left="1275"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d) Las garantías. </w:t>
      </w:r>
    </w:p>
    <w:p w14:paraId="0B90E99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XXVII. Los montos destinados a gastos relativos a todos los programas y campañas de comunicación social y publicidad oficial desglosada por tipo de medio, proveedores, número de contrato y concepto; </w:t>
      </w:r>
    </w:p>
    <w:p w14:paraId="515D2030"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XXVIII. Los informes de resultados de las auditorías al ejercicio presupuestal de cada sujeto obligado que se realicen y, en su caso, las aclaraciones que correspondan; </w:t>
      </w:r>
    </w:p>
    <w:p w14:paraId="7CA8BA55"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0015A78"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a) De licitaciones públicas o procedimientos de invitación restringida: </w:t>
      </w:r>
    </w:p>
    <w:p w14:paraId="7EF896B7"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21BAE4B1"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2) Los nombres de los participantes o invitados; </w:t>
      </w:r>
    </w:p>
    <w:p w14:paraId="19E417AB"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3) El nombre del ganador y las razones que lo justifican; </w:t>
      </w:r>
    </w:p>
    <w:p w14:paraId="5E6CCBE4"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4) El área solicitante y la responsable de su ejecución; </w:t>
      </w:r>
    </w:p>
    <w:p w14:paraId="0ED6E2B1"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5) Las convocatorias e invitaciones emitidas;</w:t>
      </w:r>
    </w:p>
    <w:p w14:paraId="64C35340"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6) Los dictámenes y fallo de adjudicación; </w:t>
      </w:r>
    </w:p>
    <w:p w14:paraId="345DABDF"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7) El contrato y, en su caso, sus anexos; </w:t>
      </w:r>
    </w:p>
    <w:p w14:paraId="089759E4"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1602512"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9) La partida presupuestal, de conformidad con el clasificador por objeto del gasto, en el caso de ser aplicable; </w:t>
      </w:r>
    </w:p>
    <w:p w14:paraId="507AE194"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152CD3E5"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73C9A598"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12) Los informes de avance físico y financiero sobre las obras o servicios contratados; </w:t>
      </w:r>
    </w:p>
    <w:p w14:paraId="19E2BB45"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13) El convenio de terminación; y </w:t>
      </w:r>
    </w:p>
    <w:p w14:paraId="2A371412"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14) El finiquito. </w:t>
      </w:r>
    </w:p>
    <w:p w14:paraId="1E09AD64"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b) De las adjudicaciones directas: </w:t>
      </w:r>
    </w:p>
    <w:p w14:paraId="744D874D"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 La propuesta enviada por el participante; </w:t>
      </w:r>
    </w:p>
    <w:p w14:paraId="5D4C9B18"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2) Los motivos y fundamentos legales aplicados para llevarla a cabo; </w:t>
      </w:r>
    </w:p>
    <w:p w14:paraId="5EE6C6F3"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3) La autorización del ejercicio de la opción; </w:t>
      </w:r>
    </w:p>
    <w:p w14:paraId="566B534F"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6E67E147"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5) El nombre de la persona física o jurídica colectiva adjudicada; </w:t>
      </w:r>
    </w:p>
    <w:p w14:paraId="223A49FF"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6) La unidad administrativa solicitante y la responsable de su ejecución; </w:t>
      </w:r>
    </w:p>
    <w:p w14:paraId="31357003"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6A16FBA7"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8) Los mecanismos de vigilancia y supervisión, incluyendo, en su caso, los estudios de impacto urbano y ambiental, según corresponda; </w:t>
      </w:r>
    </w:p>
    <w:p w14:paraId="0EC12A56"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9) Los informes de avance sobre las obras o servicios contratados; </w:t>
      </w:r>
    </w:p>
    <w:p w14:paraId="2381D19A"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10) El convenio de terminación; y </w:t>
      </w:r>
    </w:p>
    <w:p w14:paraId="4652C8CD" w14:textId="77777777" w:rsidR="00F3187C" w:rsidRPr="00747408" w:rsidRDefault="00747408">
      <w:pPr>
        <w:spacing w:before="280" w:after="280"/>
        <w:ind w:left="1417"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11) El finiquito.</w:t>
      </w:r>
    </w:p>
    <w:p w14:paraId="70EE41BA"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 El resultado de la dictaminación de los estados financieros; </w:t>
      </w:r>
    </w:p>
    <w:p w14:paraId="7F5C73ED"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14:paraId="18D858F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3ED8C32F"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XXXIII. Los informes que por disposición legal generen los sujetos obligados; </w:t>
      </w:r>
    </w:p>
    <w:p w14:paraId="1CC4AD4E"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XXXIV. Las estadísticas que generen en cumplimiento de sus facultades, competencias o funciones con la mayor desagregación posible; </w:t>
      </w:r>
    </w:p>
    <w:p w14:paraId="40394AE6"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XXXV. Informes de avances programáticos o presupuestales, balances generales y estado financiero; </w:t>
      </w:r>
    </w:p>
    <w:p w14:paraId="70FB30EB"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XXXVI. Padrón de proveedores y contratistas; </w:t>
      </w:r>
    </w:p>
    <w:p w14:paraId="6F909FA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XXXVII. Los convenios de coordinación, de concertación, entre otros, que suscriban con otros entes de los sectores público, social y privado; </w:t>
      </w:r>
    </w:p>
    <w:p w14:paraId="1A48D1DC"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XXXVIII. El inventario de bienes muebles e inmuebles en posesión y propiedad; </w:t>
      </w:r>
    </w:p>
    <w:p w14:paraId="76A7ADD3"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XXXIX. Las recomendaciones emitidas por los órganos públicos del Estado mexicano u organismos internacionales garantes de los derechos humanos, así como las acciones que han llevado a cabo para su atención; </w:t>
      </w:r>
    </w:p>
    <w:p w14:paraId="19C46DBE"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 Las resoluciones y laudos que se emitan en procesos o procedimientos seguidos en forma de juicio; </w:t>
      </w:r>
    </w:p>
    <w:p w14:paraId="1FB2CFB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XLI. Los mecanismos de participación ciudadana en los procesos de elaboración, implementación y evaluación de políticas públicas y toma de decisiones y demás mecanismos de participación; </w:t>
      </w:r>
    </w:p>
    <w:p w14:paraId="29D67F96"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XLII. Los programas que ofrecen, incluyendo información sobre la población, objetivo y destino, tiempos de respuesta, requisitos y formatos para acceder a los mismos; </w:t>
      </w:r>
    </w:p>
    <w:p w14:paraId="24E95F82"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XLIII. Las actas y resoluciones del Comité de Transparencia de los sujetos obligados; </w:t>
      </w:r>
    </w:p>
    <w:p w14:paraId="2801B2AE"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XLIV. Todas las evaluaciones y encuestas que hagan los sujetos obligados a programas financiados con recursos públicos; </w:t>
      </w:r>
    </w:p>
    <w:p w14:paraId="6430766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XLV. Los estudios financiados con recursos públicos; </w:t>
      </w:r>
    </w:p>
    <w:p w14:paraId="323A57C8"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XLVI. El listado de jubilados y pensionados y el monto que reciben; </w:t>
      </w:r>
    </w:p>
    <w:p w14:paraId="034666C1"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XLVII. Los ingresos recibidos por cualquier concepto señalando el nombre de los responsables de recibirlos, administrarlos y ejercerlos, indicando el destino de cada uno de ellos; </w:t>
      </w:r>
    </w:p>
    <w:p w14:paraId="3EE0BE73" w14:textId="77777777" w:rsidR="00F3187C" w:rsidRPr="00747408" w:rsidRDefault="00747408">
      <w:pPr>
        <w:spacing w:before="280" w:after="280"/>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XLVIII. Donaciones hechas a terceros en dinero o en especie;</w:t>
      </w:r>
    </w:p>
    <w:p w14:paraId="4EF70E6E" w14:textId="77777777" w:rsidR="00F3187C" w:rsidRPr="00747408" w:rsidRDefault="00747408">
      <w:pPr>
        <w:tabs>
          <w:tab w:val="left" w:pos="709"/>
        </w:tabs>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 xml:space="preserve">XLIX. El catálogo de disposición y guía de archivo documental; </w:t>
      </w:r>
    </w:p>
    <w:p w14:paraId="76F17BD5" w14:textId="77777777" w:rsidR="00F3187C" w:rsidRPr="00747408" w:rsidRDefault="00F3187C">
      <w:pPr>
        <w:tabs>
          <w:tab w:val="left" w:pos="709"/>
        </w:tabs>
        <w:ind w:left="850" w:right="899"/>
        <w:jc w:val="both"/>
        <w:rPr>
          <w:rFonts w:ascii="Palatino Linotype" w:eastAsia="Palatino Linotype" w:hAnsi="Palatino Linotype" w:cs="Palatino Linotype"/>
          <w:i/>
          <w:sz w:val="22"/>
          <w:szCs w:val="22"/>
        </w:rPr>
      </w:pPr>
    </w:p>
    <w:p w14:paraId="29288D78" w14:textId="77777777" w:rsidR="00F3187C" w:rsidRPr="00747408" w:rsidRDefault="00747408">
      <w:pPr>
        <w:tabs>
          <w:tab w:val="left" w:pos="709"/>
        </w:tabs>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lastRenderedPageBreak/>
        <w:t xml:space="preserve">L. Las actas de sesiones ordinarias y extraordinarias, así como las opiniones y recomendaciones de los consejos consultivos; </w:t>
      </w:r>
    </w:p>
    <w:p w14:paraId="13C80E70" w14:textId="77777777" w:rsidR="00F3187C" w:rsidRPr="00747408" w:rsidRDefault="00F3187C">
      <w:pPr>
        <w:tabs>
          <w:tab w:val="left" w:pos="709"/>
        </w:tabs>
        <w:ind w:left="850" w:right="899"/>
        <w:jc w:val="both"/>
        <w:rPr>
          <w:rFonts w:ascii="Palatino Linotype" w:eastAsia="Palatino Linotype" w:hAnsi="Palatino Linotype" w:cs="Palatino Linotype"/>
          <w:i/>
          <w:sz w:val="22"/>
          <w:szCs w:val="22"/>
        </w:rPr>
      </w:pPr>
    </w:p>
    <w:p w14:paraId="7CDE89FE" w14:textId="77777777" w:rsidR="00F3187C" w:rsidRPr="00747408" w:rsidRDefault="00747408">
      <w:pPr>
        <w:tabs>
          <w:tab w:val="left" w:pos="709"/>
        </w:tabs>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p w14:paraId="0060D508" w14:textId="77777777" w:rsidR="00F3187C" w:rsidRPr="00747408" w:rsidRDefault="00F3187C">
      <w:pPr>
        <w:tabs>
          <w:tab w:val="left" w:pos="709"/>
        </w:tabs>
        <w:ind w:left="850" w:right="899"/>
        <w:jc w:val="both"/>
        <w:rPr>
          <w:rFonts w:ascii="Palatino Linotype" w:eastAsia="Palatino Linotype" w:hAnsi="Palatino Linotype" w:cs="Palatino Linotype"/>
          <w:i/>
          <w:sz w:val="22"/>
          <w:szCs w:val="22"/>
        </w:rPr>
      </w:pPr>
    </w:p>
    <w:p w14:paraId="1DD93BD8" w14:textId="77777777" w:rsidR="00F3187C" w:rsidRPr="00747408" w:rsidRDefault="00747408">
      <w:pPr>
        <w:tabs>
          <w:tab w:val="left" w:pos="709"/>
        </w:tabs>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LII. Cualquier otra información que sea de utilidad o se considere relevante, además de la que, con base en la información estadística, responda a las preguntas hechas con más frecuencia por el público. “</w:t>
      </w:r>
    </w:p>
    <w:p w14:paraId="31D9A031" w14:textId="77777777" w:rsidR="00F3187C" w:rsidRPr="00747408" w:rsidRDefault="00747408">
      <w:pPr>
        <w:tabs>
          <w:tab w:val="left" w:pos="709"/>
        </w:tabs>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(énfasis añadido)</w:t>
      </w:r>
    </w:p>
    <w:p w14:paraId="04E34E0C" w14:textId="77777777" w:rsidR="00F3187C" w:rsidRPr="00747408" w:rsidRDefault="00F3187C">
      <w:pPr>
        <w:ind w:left="851" w:right="899"/>
        <w:jc w:val="both"/>
        <w:rPr>
          <w:rFonts w:ascii="Palatino Linotype" w:eastAsia="Palatino Linotype" w:hAnsi="Palatino Linotype" w:cs="Palatino Linotype"/>
          <w:i/>
          <w:sz w:val="22"/>
          <w:szCs w:val="22"/>
        </w:rPr>
      </w:pPr>
    </w:p>
    <w:p w14:paraId="1F35D876"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6" w:name="_heading=h.30j0zll" w:colFirst="0" w:colLast="0"/>
      <w:bookmarkEnd w:id="6"/>
      <w:r w:rsidRPr="00747408">
        <w:rPr>
          <w:rFonts w:ascii="Palatino Linotype" w:eastAsia="Palatino Linotype" w:hAnsi="Palatino Linotype" w:cs="Palatino Linotype"/>
        </w:rPr>
        <w:t xml:space="preserve">Del precepto anterior se pueden apreciar cincuenta y dos fracciones con información que deberá ser publicada y actualizada por los Sujetos Obligados. </w:t>
      </w:r>
    </w:p>
    <w:p w14:paraId="6FBDDFE3"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No obstante, hay ciertas fracciones que resultan no aplicables a todos los Sujetos Obligados, para ello existen tablas de aplicabilidad que indican la información que aplica para cada ente público en concreto. </w:t>
      </w:r>
    </w:p>
    <w:p w14:paraId="6242EA12"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7" w:name="_heading=h.cme523187k42" w:colFirst="0" w:colLast="0"/>
      <w:bookmarkEnd w:id="7"/>
      <w:r w:rsidRPr="00747408">
        <w:rPr>
          <w:rFonts w:ascii="Palatino Linotype" w:eastAsia="Palatino Linotype" w:hAnsi="Palatino Linotype" w:cs="Palatino Linotype"/>
        </w:rPr>
        <w:t xml:space="preserve">En tal sentido, dichas tablas se encuentran publicada en la página de Información Pública de Oficio Mexiquense IPOMEX disponible en la liga:  </w:t>
      </w:r>
      <w:hyperlink r:id="rId9" w:anchor="collapse001">
        <w:r w:rsidRPr="00747408">
          <w:rPr>
            <w:rFonts w:ascii="Palatino Linotype" w:eastAsia="Palatino Linotype" w:hAnsi="Palatino Linotype" w:cs="Palatino Linotype"/>
            <w:color w:val="1155CC"/>
            <w:u w:val="single"/>
          </w:rPr>
          <w:t>https://ipomex.org.mx/ipo3/lgt/portal.web#collapse001</w:t>
        </w:r>
      </w:hyperlink>
      <w:r w:rsidRPr="00747408">
        <w:rPr>
          <w:rFonts w:ascii="Palatino Linotype" w:eastAsia="Palatino Linotype" w:hAnsi="Palatino Linotype" w:cs="Palatino Linotype"/>
        </w:rPr>
        <w:t xml:space="preserve">. Así bien, para el caso del Sistema Municipal Para el Desarrollo Integral de la Familia de Naucalpan de Juárez, su tabla de aplicabilidad es la que se inserta a continuación: </w:t>
      </w:r>
    </w:p>
    <w:p w14:paraId="3C1A8FE1"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8" w:name="_heading=h.7roeibvdqir6" w:colFirst="0" w:colLast="0"/>
      <w:bookmarkEnd w:id="8"/>
      <w:r w:rsidRPr="00747408">
        <w:rPr>
          <w:rFonts w:ascii="Palatino Linotype" w:eastAsia="Palatino Linotype" w:hAnsi="Palatino Linotype" w:cs="Palatino Linotype"/>
          <w:noProof/>
        </w:rPr>
        <w:lastRenderedPageBreak/>
        <w:drawing>
          <wp:inline distT="114300" distB="114300" distL="114300" distR="114300" wp14:anchorId="72264188" wp14:editId="40ACF265">
            <wp:extent cx="5419725" cy="2830999"/>
            <wp:effectExtent l="0" t="0" r="0" b="0"/>
            <wp:docPr id="3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r="1545" b="1582"/>
                    <a:stretch>
                      <a:fillRect/>
                    </a:stretch>
                  </pic:blipFill>
                  <pic:spPr>
                    <a:xfrm>
                      <a:off x="0" y="0"/>
                      <a:ext cx="5419725" cy="2830999"/>
                    </a:xfrm>
                    <a:prstGeom prst="rect">
                      <a:avLst/>
                    </a:prstGeom>
                    <a:ln/>
                  </pic:spPr>
                </pic:pic>
              </a:graphicData>
            </a:graphic>
          </wp:inline>
        </w:drawing>
      </w:r>
    </w:p>
    <w:p w14:paraId="620E6E52"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9" w:name="_heading=h.nnk1v6mxz4e9" w:colFirst="0" w:colLast="0"/>
      <w:bookmarkEnd w:id="9"/>
      <w:r w:rsidRPr="00747408">
        <w:rPr>
          <w:rFonts w:ascii="Palatino Linotype" w:eastAsia="Palatino Linotype" w:hAnsi="Palatino Linotype" w:cs="Palatino Linotype"/>
          <w:noProof/>
        </w:rPr>
        <w:drawing>
          <wp:inline distT="114300" distB="114300" distL="114300" distR="114300" wp14:anchorId="45DBED6C" wp14:editId="2130352F">
            <wp:extent cx="5400675" cy="3084088"/>
            <wp:effectExtent l="0" t="0" r="0" b="0"/>
            <wp:docPr id="3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t="1094" b="30821"/>
                    <a:stretch>
                      <a:fillRect/>
                    </a:stretch>
                  </pic:blipFill>
                  <pic:spPr>
                    <a:xfrm>
                      <a:off x="0" y="0"/>
                      <a:ext cx="5400675" cy="3084088"/>
                    </a:xfrm>
                    <a:prstGeom prst="rect">
                      <a:avLst/>
                    </a:prstGeom>
                    <a:ln/>
                  </pic:spPr>
                </pic:pic>
              </a:graphicData>
            </a:graphic>
          </wp:inline>
        </w:drawing>
      </w:r>
    </w:p>
    <w:p w14:paraId="5EAB39D8"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10" w:name="_heading=h.42yoz4akc5rl" w:colFirst="0" w:colLast="0"/>
      <w:bookmarkEnd w:id="10"/>
      <w:r w:rsidRPr="00747408">
        <w:rPr>
          <w:rFonts w:ascii="Palatino Linotype" w:eastAsia="Palatino Linotype" w:hAnsi="Palatino Linotype" w:cs="Palatino Linotype"/>
          <w:noProof/>
        </w:rPr>
        <w:lastRenderedPageBreak/>
        <w:drawing>
          <wp:inline distT="114300" distB="114300" distL="114300" distR="114300" wp14:anchorId="51750398" wp14:editId="1117CEEA">
            <wp:extent cx="5152390" cy="3766709"/>
            <wp:effectExtent l="0" t="0" r="0" b="0"/>
            <wp:docPr id="3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152390" cy="3766709"/>
                    </a:xfrm>
                    <a:prstGeom prst="rect">
                      <a:avLst/>
                    </a:prstGeom>
                    <a:ln/>
                  </pic:spPr>
                </pic:pic>
              </a:graphicData>
            </a:graphic>
          </wp:inline>
        </w:drawing>
      </w:r>
      <w:r w:rsidRPr="00747408">
        <w:rPr>
          <w:rFonts w:ascii="Palatino Linotype" w:eastAsia="Palatino Linotype" w:hAnsi="Palatino Linotype" w:cs="Palatino Linotype"/>
          <w:noProof/>
        </w:rPr>
        <w:drawing>
          <wp:inline distT="114300" distB="114300" distL="114300" distR="114300" wp14:anchorId="5969A1AD" wp14:editId="446C4C4E">
            <wp:extent cx="5181600" cy="1246612"/>
            <wp:effectExtent l="0" t="0" r="0" b="0"/>
            <wp:docPr id="3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b="56769"/>
                    <a:stretch>
                      <a:fillRect/>
                    </a:stretch>
                  </pic:blipFill>
                  <pic:spPr>
                    <a:xfrm>
                      <a:off x="0" y="0"/>
                      <a:ext cx="5181600" cy="1246612"/>
                    </a:xfrm>
                    <a:prstGeom prst="rect">
                      <a:avLst/>
                    </a:prstGeom>
                    <a:ln/>
                  </pic:spPr>
                </pic:pic>
              </a:graphicData>
            </a:graphic>
          </wp:inline>
        </w:drawing>
      </w:r>
    </w:p>
    <w:p w14:paraId="69D70F8C"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11" w:name="_heading=h.yx5vijjvwr10" w:colFirst="0" w:colLast="0"/>
      <w:bookmarkEnd w:id="11"/>
      <w:r w:rsidRPr="00747408">
        <w:rPr>
          <w:rFonts w:ascii="Palatino Linotype" w:eastAsia="Palatino Linotype" w:hAnsi="Palatino Linotype" w:cs="Palatino Linotype"/>
        </w:rPr>
        <w:t xml:space="preserve">De la tabla anterior se puede apreciar que de las fracciones listadas en el artículo 92 las que no le son aplicables al </w:t>
      </w:r>
      <w:r w:rsidRPr="00747408">
        <w:rPr>
          <w:rFonts w:ascii="Palatino Linotype" w:eastAsia="Palatino Linotype" w:hAnsi="Palatino Linotype" w:cs="Palatino Linotype"/>
          <w:b/>
        </w:rPr>
        <w:t>SUJETO OBLIGADO</w:t>
      </w:r>
      <w:r w:rsidRPr="00747408">
        <w:rPr>
          <w:rFonts w:ascii="Palatino Linotype" w:eastAsia="Palatino Linotype" w:hAnsi="Palatino Linotype" w:cs="Palatino Linotype"/>
        </w:rPr>
        <w:t xml:space="preserve"> son XIII, XXII, XXVI, XXXI, XLVI, L y LI. </w:t>
      </w:r>
    </w:p>
    <w:p w14:paraId="7A7C6644"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12" w:name="_heading=h.ktwsc4r6fsie" w:colFirst="0" w:colLast="0"/>
      <w:bookmarkEnd w:id="12"/>
      <w:r w:rsidRPr="00747408">
        <w:rPr>
          <w:rFonts w:ascii="Palatino Linotype" w:eastAsia="Palatino Linotype" w:hAnsi="Palatino Linotype" w:cs="Palatino Linotype"/>
        </w:rPr>
        <w:lastRenderedPageBreak/>
        <w:t>Con lo anterior se advierte que de la tabla remitida por el ente recurrido en respuesta contempla las siguientes fracciones:</w:t>
      </w:r>
    </w:p>
    <w:p w14:paraId="116C3AF0"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13" w:name="_heading=h.jngmv560wh2w" w:colFirst="0" w:colLast="0"/>
      <w:bookmarkEnd w:id="13"/>
      <w:r w:rsidRPr="00747408">
        <w:rPr>
          <w:rFonts w:ascii="Palatino Linotype" w:eastAsia="Palatino Linotype" w:hAnsi="Palatino Linotype" w:cs="Palatino Linotype"/>
          <w:noProof/>
        </w:rPr>
        <w:drawing>
          <wp:inline distT="114300" distB="114300" distL="114300" distR="114300" wp14:anchorId="09B819BE" wp14:editId="76C0337C">
            <wp:extent cx="5077460" cy="2543175"/>
            <wp:effectExtent l="0" t="0" r="0" b="0"/>
            <wp:docPr id="3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b="25766"/>
                    <a:stretch>
                      <a:fillRect/>
                    </a:stretch>
                  </pic:blipFill>
                  <pic:spPr>
                    <a:xfrm>
                      <a:off x="0" y="0"/>
                      <a:ext cx="5077460" cy="2543175"/>
                    </a:xfrm>
                    <a:prstGeom prst="rect">
                      <a:avLst/>
                    </a:prstGeom>
                    <a:ln/>
                  </pic:spPr>
                </pic:pic>
              </a:graphicData>
            </a:graphic>
          </wp:inline>
        </w:drawing>
      </w:r>
      <w:r w:rsidRPr="00747408">
        <w:rPr>
          <w:rFonts w:ascii="Palatino Linotype" w:eastAsia="Palatino Linotype" w:hAnsi="Palatino Linotype" w:cs="Palatino Linotype"/>
          <w:noProof/>
        </w:rPr>
        <w:drawing>
          <wp:inline distT="114300" distB="114300" distL="114300" distR="114300" wp14:anchorId="4684155B" wp14:editId="543420E5">
            <wp:extent cx="5124450" cy="3066606"/>
            <wp:effectExtent l="0" t="0" r="0" b="0"/>
            <wp:docPr id="3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5967"/>
                    <a:stretch>
                      <a:fillRect/>
                    </a:stretch>
                  </pic:blipFill>
                  <pic:spPr>
                    <a:xfrm>
                      <a:off x="0" y="0"/>
                      <a:ext cx="5124450" cy="3066606"/>
                    </a:xfrm>
                    <a:prstGeom prst="rect">
                      <a:avLst/>
                    </a:prstGeom>
                    <a:ln/>
                  </pic:spPr>
                </pic:pic>
              </a:graphicData>
            </a:graphic>
          </wp:inline>
        </w:drawing>
      </w:r>
    </w:p>
    <w:p w14:paraId="001DC2F6"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14" w:name="_heading=h.at240eeoj4bs" w:colFirst="0" w:colLast="0"/>
      <w:bookmarkEnd w:id="14"/>
      <w:r w:rsidRPr="00747408">
        <w:rPr>
          <w:rFonts w:ascii="Palatino Linotype" w:eastAsia="Palatino Linotype" w:hAnsi="Palatino Linotype" w:cs="Palatino Linotype"/>
          <w:noProof/>
        </w:rPr>
        <w:lastRenderedPageBreak/>
        <w:drawing>
          <wp:inline distT="114300" distB="114300" distL="114300" distR="114300" wp14:anchorId="6EDECD0D" wp14:editId="746D6015">
            <wp:extent cx="5124450" cy="3274526"/>
            <wp:effectExtent l="0" t="0" r="0" b="0"/>
            <wp:docPr id="3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t="6070"/>
                    <a:stretch>
                      <a:fillRect/>
                    </a:stretch>
                  </pic:blipFill>
                  <pic:spPr>
                    <a:xfrm>
                      <a:off x="0" y="0"/>
                      <a:ext cx="5124450" cy="3274526"/>
                    </a:xfrm>
                    <a:prstGeom prst="rect">
                      <a:avLst/>
                    </a:prstGeom>
                    <a:ln/>
                  </pic:spPr>
                </pic:pic>
              </a:graphicData>
            </a:graphic>
          </wp:inline>
        </w:drawing>
      </w:r>
    </w:p>
    <w:p w14:paraId="10CD0C92"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15" w:name="_heading=h.dqewplr4yllu" w:colFirst="0" w:colLast="0"/>
      <w:bookmarkEnd w:id="15"/>
      <w:r w:rsidRPr="00747408">
        <w:rPr>
          <w:rFonts w:ascii="Palatino Linotype" w:eastAsia="Palatino Linotype" w:hAnsi="Palatino Linotype" w:cs="Palatino Linotype"/>
          <w:noProof/>
        </w:rPr>
        <w:drawing>
          <wp:inline distT="114300" distB="114300" distL="114300" distR="114300" wp14:anchorId="230C0948" wp14:editId="1FCCC82E">
            <wp:extent cx="5255340" cy="2959586"/>
            <wp:effectExtent l="0" t="0" r="0" b="0"/>
            <wp:docPr id="3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t="13907"/>
                    <a:stretch>
                      <a:fillRect/>
                    </a:stretch>
                  </pic:blipFill>
                  <pic:spPr>
                    <a:xfrm>
                      <a:off x="0" y="0"/>
                      <a:ext cx="5255340" cy="2959586"/>
                    </a:xfrm>
                    <a:prstGeom prst="rect">
                      <a:avLst/>
                    </a:prstGeom>
                    <a:ln/>
                  </pic:spPr>
                </pic:pic>
              </a:graphicData>
            </a:graphic>
          </wp:inline>
        </w:drawing>
      </w:r>
    </w:p>
    <w:p w14:paraId="2567EF2B"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16" w:name="_heading=h.alulyri8onsr" w:colFirst="0" w:colLast="0"/>
      <w:bookmarkEnd w:id="16"/>
      <w:r w:rsidRPr="00747408">
        <w:rPr>
          <w:rFonts w:ascii="Palatino Linotype" w:eastAsia="Palatino Linotype" w:hAnsi="Palatino Linotype" w:cs="Palatino Linotype"/>
          <w:noProof/>
        </w:rPr>
        <w:lastRenderedPageBreak/>
        <w:drawing>
          <wp:inline distT="114300" distB="114300" distL="114300" distR="114300" wp14:anchorId="0E2848F5" wp14:editId="3A8393FB">
            <wp:extent cx="5791200" cy="2874476"/>
            <wp:effectExtent l="0" t="0" r="0" b="0"/>
            <wp:docPr id="3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6568"/>
                    <a:stretch>
                      <a:fillRect/>
                    </a:stretch>
                  </pic:blipFill>
                  <pic:spPr>
                    <a:xfrm>
                      <a:off x="0" y="0"/>
                      <a:ext cx="5791200" cy="2874476"/>
                    </a:xfrm>
                    <a:prstGeom prst="rect">
                      <a:avLst/>
                    </a:prstGeom>
                    <a:ln/>
                  </pic:spPr>
                </pic:pic>
              </a:graphicData>
            </a:graphic>
          </wp:inline>
        </w:drawing>
      </w:r>
    </w:p>
    <w:p w14:paraId="1F4F1A53"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17" w:name="_heading=h.caygvi5ash3r" w:colFirst="0" w:colLast="0"/>
      <w:bookmarkEnd w:id="17"/>
      <w:r w:rsidRPr="00747408">
        <w:rPr>
          <w:rFonts w:ascii="Palatino Linotype" w:eastAsia="Palatino Linotype" w:hAnsi="Palatino Linotype" w:cs="Palatino Linotype"/>
          <w:noProof/>
        </w:rPr>
        <w:drawing>
          <wp:inline distT="114300" distB="114300" distL="114300" distR="114300" wp14:anchorId="64D0C7C4" wp14:editId="388CA443">
            <wp:extent cx="5791835" cy="3251200"/>
            <wp:effectExtent l="0" t="0" r="0" b="0"/>
            <wp:docPr id="3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91835" cy="3251200"/>
                    </a:xfrm>
                    <a:prstGeom prst="rect">
                      <a:avLst/>
                    </a:prstGeom>
                    <a:ln/>
                  </pic:spPr>
                </pic:pic>
              </a:graphicData>
            </a:graphic>
          </wp:inline>
        </w:drawing>
      </w:r>
    </w:p>
    <w:p w14:paraId="38B195B4"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18" w:name="_heading=h.srst0ria4ihz" w:colFirst="0" w:colLast="0"/>
      <w:bookmarkEnd w:id="18"/>
      <w:r w:rsidRPr="00747408">
        <w:rPr>
          <w:rFonts w:ascii="Palatino Linotype" w:eastAsia="Palatino Linotype" w:hAnsi="Palatino Linotype" w:cs="Palatino Linotype"/>
          <w:noProof/>
        </w:rPr>
        <w:lastRenderedPageBreak/>
        <w:drawing>
          <wp:inline distT="114300" distB="114300" distL="114300" distR="114300" wp14:anchorId="06867410" wp14:editId="6F1F357E">
            <wp:extent cx="5419725" cy="2640499"/>
            <wp:effectExtent l="0" t="0" r="0" b="0"/>
            <wp:docPr id="3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t="5554" b="17890"/>
                    <a:stretch>
                      <a:fillRect/>
                    </a:stretch>
                  </pic:blipFill>
                  <pic:spPr>
                    <a:xfrm>
                      <a:off x="0" y="0"/>
                      <a:ext cx="5419725" cy="2640499"/>
                    </a:xfrm>
                    <a:prstGeom prst="rect">
                      <a:avLst/>
                    </a:prstGeom>
                    <a:ln/>
                  </pic:spPr>
                </pic:pic>
              </a:graphicData>
            </a:graphic>
          </wp:inline>
        </w:drawing>
      </w:r>
    </w:p>
    <w:p w14:paraId="0FC8F309" w14:textId="77777777" w:rsidR="00F3187C" w:rsidRPr="00747408" w:rsidRDefault="00747408">
      <w:pPr>
        <w:spacing w:before="280" w:after="280" w:line="360" w:lineRule="auto"/>
        <w:jc w:val="center"/>
        <w:rPr>
          <w:rFonts w:ascii="Palatino Linotype" w:eastAsia="Palatino Linotype" w:hAnsi="Palatino Linotype" w:cs="Palatino Linotype"/>
        </w:rPr>
      </w:pPr>
      <w:bookmarkStart w:id="19" w:name="_heading=h.i79xgn3w7qxy" w:colFirst="0" w:colLast="0"/>
      <w:bookmarkEnd w:id="19"/>
      <w:r w:rsidRPr="00747408">
        <w:rPr>
          <w:rFonts w:ascii="Palatino Linotype" w:eastAsia="Palatino Linotype" w:hAnsi="Palatino Linotype" w:cs="Palatino Linotype"/>
          <w:noProof/>
        </w:rPr>
        <w:drawing>
          <wp:inline distT="114300" distB="114300" distL="114300" distR="114300" wp14:anchorId="1B541F02" wp14:editId="05364980">
            <wp:extent cx="5430203" cy="3242045"/>
            <wp:effectExtent l="0" t="0" r="0" b="0"/>
            <wp:docPr id="3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4781"/>
                    <a:stretch>
                      <a:fillRect/>
                    </a:stretch>
                  </pic:blipFill>
                  <pic:spPr>
                    <a:xfrm>
                      <a:off x="0" y="0"/>
                      <a:ext cx="5430203" cy="3242045"/>
                    </a:xfrm>
                    <a:prstGeom prst="rect">
                      <a:avLst/>
                    </a:prstGeom>
                    <a:ln/>
                  </pic:spPr>
                </pic:pic>
              </a:graphicData>
            </a:graphic>
          </wp:inline>
        </w:drawing>
      </w:r>
    </w:p>
    <w:p w14:paraId="2B204F2D"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20" w:name="_heading=h.a6jmf9q57zrp" w:colFirst="0" w:colLast="0"/>
      <w:bookmarkEnd w:id="20"/>
      <w:r w:rsidRPr="00747408">
        <w:rPr>
          <w:rFonts w:ascii="Palatino Linotype" w:eastAsia="Palatino Linotype" w:hAnsi="Palatino Linotype" w:cs="Palatino Linotype"/>
          <w:noProof/>
        </w:rPr>
        <w:lastRenderedPageBreak/>
        <w:drawing>
          <wp:inline distT="114300" distB="114300" distL="114300" distR="114300" wp14:anchorId="0EAE68B4" wp14:editId="53F37384">
            <wp:extent cx="5791200" cy="3731726"/>
            <wp:effectExtent l="0" t="0" r="0" b="0"/>
            <wp:docPr id="3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t="3738"/>
                    <a:stretch>
                      <a:fillRect/>
                    </a:stretch>
                  </pic:blipFill>
                  <pic:spPr>
                    <a:xfrm>
                      <a:off x="0" y="0"/>
                      <a:ext cx="5791200" cy="3731726"/>
                    </a:xfrm>
                    <a:prstGeom prst="rect">
                      <a:avLst/>
                    </a:prstGeom>
                    <a:ln/>
                  </pic:spPr>
                </pic:pic>
              </a:graphicData>
            </a:graphic>
          </wp:inline>
        </w:drawing>
      </w:r>
    </w:p>
    <w:p w14:paraId="118A3FF3"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21" w:name="_heading=h.gjo7qaxdiu1v" w:colFirst="0" w:colLast="0"/>
      <w:bookmarkEnd w:id="21"/>
      <w:r w:rsidRPr="00747408">
        <w:rPr>
          <w:rFonts w:ascii="Palatino Linotype" w:eastAsia="Palatino Linotype" w:hAnsi="Palatino Linotype" w:cs="Palatino Linotype"/>
          <w:noProof/>
        </w:rPr>
        <w:drawing>
          <wp:inline distT="114300" distB="114300" distL="114300" distR="114300" wp14:anchorId="3DA37CA6" wp14:editId="43F1C326">
            <wp:extent cx="5791200" cy="1864888"/>
            <wp:effectExtent l="0" t="0" r="0" b="0"/>
            <wp:docPr id="3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t="8935"/>
                    <a:stretch>
                      <a:fillRect/>
                    </a:stretch>
                  </pic:blipFill>
                  <pic:spPr>
                    <a:xfrm>
                      <a:off x="0" y="0"/>
                      <a:ext cx="5791200" cy="1864888"/>
                    </a:xfrm>
                    <a:prstGeom prst="rect">
                      <a:avLst/>
                    </a:prstGeom>
                    <a:ln/>
                  </pic:spPr>
                </pic:pic>
              </a:graphicData>
            </a:graphic>
          </wp:inline>
        </w:drawing>
      </w:r>
    </w:p>
    <w:p w14:paraId="7FC41581"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22" w:name="_heading=h.sab3bqxxis39" w:colFirst="0" w:colLast="0"/>
      <w:bookmarkEnd w:id="22"/>
      <w:r w:rsidRPr="00747408">
        <w:rPr>
          <w:rFonts w:ascii="Palatino Linotype" w:eastAsia="Palatino Linotype" w:hAnsi="Palatino Linotype" w:cs="Palatino Linotype"/>
        </w:rPr>
        <w:lastRenderedPageBreak/>
        <w:t>De las imágenes anteriores se observa que en su respuesta</w:t>
      </w:r>
      <w:r w:rsidRPr="00747408">
        <w:rPr>
          <w:rFonts w:ascii="Palatino Linotype" w:eastAsia="Palatino Linotype" w:hAnsi="Palatino Linotype" w:cs="Palatino Linotype"/>
          <w:b/>
        </w:rPr>
        <w:t xml:space="preserve"> EL SUJETO OBLIGADO </w:t>
      </w:r>
      <w:r w:rsidRPr="00747408">
        <w:rPr>
          <w:rFonts w:ascii="Palatino Linotype" w:eastAsia="Palatino Linotype" w:hAnsi="Palatino Linotype" w:cs="Palatino Linotype"/>
        </w:rPr>
        <w:t xml:space="preserve">remitió 52 fracciones, las cuales contemplan el respectivo contenido y el servidor público encargado de actualizar dicha información, observándose que son las mismas contempladas en el artículo 92 de la ley de la materia ya citada, por lo cual se tiene por colmado dicho rubro de la solicitud. </w:t>
      </w:r>
    </w:p>
    <w:p w14:paraId="2079F9F7" w14:textId="77777777" w:rsidR="00F3187C" w:rsidRPr="00747408" w:rsidRDefault="00747408">
      <w:pPr>
        <w:spacing w:before="280" w:after="280" w:line="360" w:lineRule="auto"/>
        <w:jc w:val="both"/>
        <w:rPr>
          <w:rFonts w:ascii="Palatino Linotype" w:eastAsia="Palatino Linotype" w:hAnsi="Palatino Linotype" w:cs="Palatino Linotype"/>
        </w:rPr>
      </w:pPr>
      <w:bookmarkStart w:id="23" w:name="_heading=h.6ie7ujv2u5zk" w:colFirst="0" w:colLast="0"/>
      <w:bookmarkEnd w:id="23"/>
      <w:r w:rsidRPr="00747408">
        <w:rPr>
          <w:rFonts w:ascii="Palatino Linotype" w:eastAsia="Palatino Linotype" w:hAnsi="Palatino Linotype" w:cs="Palatino Linotype"/>
        </w:rPr>
        <w:t xml:space="preserve">No obstante, si bien es cierto, </w:t>
      </w:r>
      <w:r w:rsidRPr="00747408">
        <w:rPr>
          <w:rFonts w:ascii="Palatino Linotype" w:eastAsia="Palatino Linotype" w:hAnsi="Palatino Linotype" w:cs="Palatino Linotype"/>
          <w:b/>
        </w:rPr>
        <w:t>EL SUJETO OBLIGADO</w:t>
      </w:r>
      <w:r w:rsidRPr="00747408">
        <w:rPr>
          <w:rFonts w:ascii="Palatino Linotype" w:eastAsia="Palatino Linotype" w:hAnsi="Palatino Linotype" w:cs="Palatino Linotype"/>
        </w:rPr>
        <w:t xml:space="preserve"> remitió las tablas de aplicabilidad relativas a las fracciones del artículo 92, lo cierto también es que dentro de las Obligaciones de Transparencia se encuentran otras que son específicas para ciertos Sujetos Obligados, mismas que se encuentran listadas en el artículo 94 de la Ley de Transparencia y Acceso a la Información Pública del Estado de México y Municipios mismo que a la letra dice: </w:t>
      </w:r>
    </w:p>
    <w:p w14:paraId="02773534" w14:textId="77777777" w:rsidR="00F3187C" w:rsidRPr="00747408" w:rsidRDefault="00747408">
      <w:pPr>
        <w:ind w:left="850" w:right="899"/>
        <w:jc w:val="both"/>
        <w:rPr>
          <w:rFonts w:ascii="Palatino Linotype" w:eastAsia="Palatino Linotype" w:hAnsi="Palatino Linotype" w:cs="Palatino Linotype"/>
          <w:b/>
          <w:i/>
          <w:sz w:val="22"/>
          <w:szCs w:val="22"/>
        </w:rPr>
      </w:pPr>
      <w:bookmarkStart w:id="24" w:name="_heading=h.eto1mpa5lelh" w:colFirst="0" w:colLast="0"/>
      <w:bookmarkEnd w:id="24"/>
      <w:r w:rsidRPr="00747408">
        <w:rPr>
          <w:rFonts w:ascii="Palatino Linotype" w:eastAsia="Palatino Linotype" w:hAnsi="Palatino Linotype" w:cs="Palatino Linotype"/>
          <w:b/>
          <w:i/>
          <w:sz w:val="22"/>
          <w:szCs w:val="22"/>
        </w:rPr>
        <w:t xml:space="preserve">“Capítulo III </w:t>
      </w:r>
    </w:p>
    <w:p w14:paraId="3240AF68" w14:textId="77777777" w:rsidR="00F3187C" w:rsidRPr="00747408" w:rsidRDefault="00747408">
      <w:pPr>
        <w:ind w:left="850" w:right="899"/>
        <w:jc w:val="both"/>
        <w:rPr>
          <w:rFonts w:ascii="Palatino Linotype" w:eastAsia="Palatino Linotype" w:hAnsi="Palatino Linotype" w:cs="Palatino Linotype"/>
          <w:b/>
          <w:i/>
          <w:sz w:val="22"/>
          <w:szCs w:val="22"/>
        </w:rPr>
      </w:pPr>
      <w:bookmarkStart w:id="25" w:name="_heading=h.zbv2eu8trbvg" w:colFirst="0" w:colLast="0"/>
      <w:bookmarkEnd w:id="25"/>
      <w:r w:rsidRPr="00747408">
        <w:rPr>
          <w:rFonts w:ascii="Palatino Linotype" w:eastAsia="Palatino Linotype" w:hAnsi="Palatino Linotype" w:cs="Palatino Linotype"/>
          <w:b/>
          <w:i/>
          <w:sz w:val="22"/>
          <w:szCs w:val="22"/>
        </w:rPr>
        <w:t xml:space="preserve">De las Obligaciones de Transparencia Específicas de los Sujetos Obligados </w:t>
      </w:r>
    </w:p>
    <w:p w14:paraId="7696065E" w14:textId="77777777" w:rsidR="00F3187C" w:rsidRPr="00747408" w:rsidRDefault="00F3187C">
      <w:pPr>
        <w:ind w:left="850" w:right="899"/>
        <w:jc w:val="both"/>
        <w:rPr>
          <w:rFonts w:ascii="Palatino Linotype" w:eastAsia="Palatino Linotype" w:hAnsi="Palatino Linotype" w:cs="Palatino Linotype"/>
          <w:i/>
          <w:sz w:val="22"/>
          <w:szCs w:val="22"/>
        </w:rPr>
      </w:pPr>
      <w:bookmarkStart w:id="26" w:name="_heading=h.kbc4zh7ph8p1" w:colFirst="0" w:colLast="0"/>
      <w:bookmarkEnd w:id="26"/>
    </w:p>
    <w:p w14:paraId="747F2FF8" w14:textId="77777777" w:rsidR="00F3187C" w:rsidRPr="00747408" w:rsidRDefault="00747408">
      <w:pPr>
        <w:ind w:left="850" w:right="899"/>
        <w:jc w:val="both"/>
        <w:rPr>
          <w:rFonts w:ascii="Palatino Linotype" w:eastAsia="Palatino Linotype" w:hAnsi="Palatino Linotype" w:cs="Palatino Linotype"/>
          <w:i/>
          <w:sz w:val="22"/>
          <w:szCs w:val="22"/>
        </w:rPr>
      </w:pPr>
      <w:bookmarkStart w:id="27" w:name="_heading=h.sunmvce3esb" w:colFirst="0" w:colLast="0"/>
      <w:bookmarkEnd w:id="27"/>
      <w:r w:rsidRPr="00747408">
        <w:rPr>
          <w:rFonts w:ascii="Palatino Linotype" w:eastAsia="Palatino Linotype" w:hAnsi="Palatino Linotype" w:cs="Palatino Linotype"/>
          <w:i/>
          <w:sz w:val="22"/>
          <w:szCs w:val="22"/>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14:paraId="4E60259E" w14:textId="77777777" w:rsidR="00F3187C" w:rsidRPr="00747408" w:rsidRDefault="00F3187C">
      <w:pPr>
        <w:ind w:left="850" w:right="899"/>
        <w:jc w:val="both"/>
        <w:rPr>
          <w:rFonts w:ascii="Palatino Linotype" w:eastAsia="Palatino Linotype" w:hAnsi="Palatino Linotype" w:cs="Palatino Linotype"/>
          <w:i/>
          <w:sz w:val="22"/>
          <w:szCs w:val="22"/>
        </w:rPr>
      </w:pPr>
      <w:bookmarkStart w:id="28" w:name="_heading=h.50ecwhdwxt5l" w:colFirst="0" w:colLast="0"/>
      <w:bookmarkEnd w:id="28"/>
    </w:p>
    <w:p w14:paraId="59900739" w14:textId="77777777" w:rsidR="00F3187C" w:rsidRPr="00747408" w:rsidRDefault="00747408">
      <w:pPr>
        <w:ind w:left="850" w:right="899"/>
        <w:jc w:val="both"/>
        <w:rPr>
          <w:rFonts w:ascii="Palatino Linotype" w:eastAsia="Palatino Linotype" w:hAnsi="Palatino Linotype" w:cs="Palatino Linotype"/>
          <w:i/>
          <w:sz w:val="22"/>
          <w:szCs w:val="22"/>
        </w:rPr>
      </w:pPr>
      <w:bookmarkStart w:id="29" w:name="_heading=h.lbw1mog89nut" w:colFirst="0" w:colLast="0"/>
      <w:bookmarkEnd w:id="29"/>
      <w:r w:rsidRPr="00747408">
        <w:rPr>
          <w:rFonts w:ascii="Palatino Linotype" w:eastAsia="Palatino Linotype" w:hAnsi="Palatino Linotype" w:cs="Palatino Linotype"/>
          <w:i/>
          <w:sz w:val="22"/>
          <w:szCs w:val="22"/>
        </w:rPr>
        <w:t xml:space="preserve">I. En el caso del Poder Ejecutivo y los Municipios, en el ámbito de su competencia: </w:t>
      </w:r>
    </w:p>
    <w:p w14:paraId="0571F3F9"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0" w:name="_heading=h.4b2pnq3tuyrr" w:colFirst="0" w:colLast="0"/>
      <w:bookmarkEnd w:id="30"/>
      <w:r w:rsidRPr="00747408">
        <w:rPr>
          <w:rFonts w:ascii="Palatino Linotype" w:eastAsia="Palatino Linotype" w:hAnsi="Palatino Linotype" w:cs="Palatino Linotype"/>
          <w:i/>
          <w:sz w:val="22"/>
          <w:szCs w:val="22"/>
        </w:rPr>
        <w:t xml:space="preserve">a) El Plan Estatal de Desarrollo y Plan de Desarrollo Municipal; </w:t>
      </w:r>
    </w:p>
    <w:p w14:paraId="7FA937E6"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1" w:name="_heading=h.ams9otcj7a4r" w:colFirst="0" w:colLast="0"/>
      <w:bookmarkEnd w:id="31"/>
      <w:r w:rsidRPr="00747408">
        <w:rPr>
          <w:rFonts w:ascii="Palatino Linotype" w:eastAsia="Palatino Linotype" w:hAnsi="Palatino Linotype" w:cs="Palatino Linotype"/>
          <w:i/>
          <w:sz w:val="22"/>
          <w:szCs w:val="22"/>
        </w:rPr>
        <w:t xml:space="preserve">b) El presupuesto de egresos y las fórmulas de distribución de los recursos otorgados; </w:t>
      </w:r>
    </w:p>
    <w:p w14:paraId="19D26559"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2" w:name="_heading=h.hkujxuaaufxh" w:colFirst="0" w:colLast="0"/>
      <w:bookmarkEnd w:id="32"/>
      <w:r w:rsidRPr="00747408">
        <w:rPr>
          <w:rFonts w:ascii="Palatino Linotype" w:eastAsia="Palatino Linotype" w:hAnsi="Palatino Linotype" w:cs="Palatino Linotype"/>
          <w:i/>
          <w:sz w:val="22"/>
          <w:szCs w:val="22"/>
        </w:rPr>
        <w:t xml:space="preserve">c) El listado de expropiaciones decretadas y ejecutadas que incluya, cuando menos, la fecha de expropiación, el domicilio y la causa de utilidad pública y las ocupaciones superficiales; </w:t>
      </w:r>
    </w:p>
    <w:p w14:paraId="3786C54C"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3" w:name="_heading=h.a9ee607lj020" w:colFirst="0" w:colLast="0"/>
      <w:bookmarkEnd w:id="33"/>
      <w:r w:rsidRPr="00747408">
        <w:rPr>
          <w:rFonts w:ascii="Palatino Linotype" w:eastAsia="Palatino Linotype" w:hAnsi="Palatino Linotype" w:cs="Palatino Linotype"/>
          <w:i/>
          <w:sz w:val="22"/>
          <w:szCs w:val="22"/>
        </w:rPr>
        <w:lastRenderedPageBreak/>
        <w:t xml:space="preserve">d)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484BD6C4"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4" w:name="_heading=h.sxmfjjr05okw" w:colFirst="0" w:colLast="0"/>
      <w:bookmarkEnd w:id="34"/>
      <w:r w:rsidRPr="00747408">
        <w:rPr>
          <w:rFonts w:ascii="Palatino Linotype" w:eastAsia="Palatino Linotype" w:hAnsi="Palatino Linotype" w:cs="Palatino Linotype"/>
          <w:i/>
          <w:sz w:val="22"/>
          <w:szCs w:val="22"/>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14:paraId="207AF519"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5" w:name="_heading=h.1awc7ehxyvcd" w:colFirst="0" w:colLast="0"/>
      <w:bookmarkEnd w:id="35"/>
      <w:r w:rsidRPr="00747408">
        <w:rPr>
          <w:rFonts w:ascii="Palatino Linotype" w:eastAsia="Palatino Linotype" w:hAnsi="Palatino Linotype" w:cs="Palatino Linotype"/>
          <w:i/>
          <w:sz w:val="22"/>
          <w:szCs w:val="22"/>
        </w:rPr>
        <w:t>f) La información detallada que contengan los planes de desarrollo urbano, ordenamiento territorial y ecológico, los tipos y usos de suelo, licencias de uso y construcción otorgadas por los gobiernos municipales;</w:t>
      </w:r>
    </w:p>
    <w:p w14:paraId="28197608"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6" w:name="_heading=h.sice6a69d5ku" w:colFirst="0" w:colLast="0"/>
      <w:bookmarkEnd w:id="36"/>
      <w:r w:rsidRPr="00747408">
        <w:rPr>
          <w:rFonts w:ascii="Palatino Linotype" w:eastAsia="Palatino Linotype" w:hAnsi="Palatino Linotype" w:cs="Palatino Linotype"/>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14:paraId="73D1E25A"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7" w:name="_heading=h.rtmqfsdtv5ai" w:colFirst="0" w:colLast="0"/>
      <w:bookmarkEnd w:id="37"/>
      <w:r w:rsidRPr="00747408">
        <w:rPr>
          <w:rFonts w:ascii="Palatino Linotype" w:eastAsia="Palatino Linotype" w:hAnsi="Palatino Linotype" w:cs="Palatino Linotype"/>
          <w:i/>
          <w:sz w:val="22"/>
          <w:szCs w:val="22"/>
        </w:rPr>
        <w:t xml:space="preserve">h) 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 </w:t>
      </w:r>
    </w:p>
    <w:p w14:paraId="55E5818B"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8" w:name="_heading=h.59jve790adjq" w:colFirst="0" w:colLast="0"/>
      <w:bookmarkEnd w:id="38"/>
      <w:r w:rsidRPr="00747408">
        <w:rPr>
          <w:rFonts w:ascii="Palatino Linotype" w:eastAsia="Palatino Linotype" w:hAnsi="Palatino Linotype" w:cs="Palatino Linotype"/>
          <w:i/>
          <w:sz w:val="22"/>
          <w:szCs w:val="22"/>
        </w:rPr>
        <w:t xml:space="preserve">i) Por conducto de la autoridad educativa de la Entidad: El calendario del ciclo escolar; directorio de escuelas públicas incorporadas al Sistema Educativo Estatal; la lista de útiles escolares básicos por nivel educativo; el Directorio de bibliotecas públicas incluyendo horarios, el domicilio, teléfonos, correo electrónico, requisitos de consulta, reglamento y sitio electrónico, en su caso; </w:t>
      </w:r>
    </w:p>
    <w:p w14:paraId="60A78C3C" w14:textId="77777777" w:rsidR="00F3187C" w:rsidRPr="00747408" w:rsidRDefault="00747408">
      <w:pPr>
        <w:ind w:left="850" w:right="899"/>
        <w:jc w:val="both"/>
        <w:rPr>
          <w:rFonts w:ascii="Palatino Linotype" w:eastAsia="Palatino Linotype" w:hAnsi="Palatino Linotype" w:cs="Palatino Linotype"/>
          <w:i/>
          <w:sz w:val="22"/>
          <w:szCs w:val="22"/>
        </w:rPr>
      </w:pPr>
      <w:bookmarkStart w:id="39" w:name="_heading=h.i015t6fwpugt" w:colFirst="0" w:colLast="0"/>
      <w:bookmarkEnd w:id="39"/>
      <w:r w:rsidRPr="00747408">
        <w:rPr>
          <w:rFonts w:ascii="Palatino Linotype" w:eastAsia="Palatino Linotype" w:hAnsi="Palatino Linotype" w:cs="Palatino Linotype"/>
          <w:i/>
          <w:sz w:val="22"/>
          <w:szCs w:val="22"/>
        </w:rPr>
        <w:t xml:space="preserve">j) En materia de protección civil el atlas estatal de riesgos, por municipio; y </w:t>
      </w:r>
    </w:p>
    <w:p w14:paraId="16BBB25D"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0" w:name="_heading=h.sal5kr422093" w:colFirst="0" w:colLast="0"/>
      <w:bookmarkEnd w:id="40"/>
      <w:r w:rsidRPr="00747408">
        <w:rPr>
          <w:rFonts w:ascii="Palatino Linotype" w:eastAsia="Palatino Linotype" w:hAnsi="Palatino Linotype" w:cs="Palatino Linotype"/>
          <w:i/>
          <w:sz w:val="22"/>
          <w:szCs w:val="22"/>
        </w:rPr>
        <w:t xml:space="preserve">k) La información que sea de utilidad o resulte relevante para el conocimiento y evaluación de las funciones y políticas públicas implementadas por el Poder Ejecutivo. </w:t>
      </w:r>
    </w:p>
    <w:p w14:paraId="39B66816" w14:textId="77777777" w:rsidR="00F3187C" w:rsidRPr="00747408" w:rsidRDefault="00F3187C">
      <w:pPr>
        <w:ind w:left="850" w:right="899"/>
        <w:jc w:val="both"/>
        <w:rPr>
          <w:rFonts w:ascii="Palatino Linotype" w:eastAsia="Palatino Linotype" w:hAnsi="Palatino Linotype" w:cs="Palatino Linotype"/>
          <w:i/>
          <w:sz w:val="22"/>
          <w:szCs w:val="22"/>
        </w:rPr>
      </w:pPr>
      <w:bookmarkStart w:id="41" w:name="_heading=h.o5tuhhtd0iot" w:colFirst="0" w:colLast="0"/>
      <w:bookmarkEnd w:id="41"/>
    </w:p>
    <w:p w14:paraId="25C3E6B7"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2" w:name="_heading=h.rh9tk0r0om04" w:colFirst="0" w:colLast="0"/>
      <w:bookmarkEnd w:id="42"/>
      <w:r w:rsidRPr="00747408">
        <w:rPr>
          <w:rFonts w:ascii="Palatino Linotype" w:eastAsia="Palatino Linotype" w:hAnsi="Palatino Linotype" w:cs="Palatino Linotype"/>
          <w:i/>
          <w:sz w:val="22"/>
          <w:szCs w:val="22"/>
        </w:rPr>
        <w:t xml:space="preserve">II. Adicionalmente en el caso de los municipios: </w:t>
      </w:r>
    </w:p>
    <w:p w14:paraId="6776C256"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3" w:name="_heading=h.kifh33ds3xlg" w:colFirst="0" w:colLast="0"/>
      <w:bookmarkEnd w:id="43"/>
      <w:r w:rsidRPr="00747408">
        <w:rPr>
          <w:rFonts w:ascii="Palatino Linotype" w:eastAsia="Palatino Linotype" w:hAnsi="Palatino Linotype" w:cs="Palatino Linotype"/>
          <w:i/>
          <w:sz w:val="22"/>
          <w:szCs w:val="22"/>
        </w:rPr>
        <w:t xml:space="preserve">a) El contenido de las gacetas municipales, las cuales deberán comprender los resolutivos y acuerdos aprobados por los ayuntamientos; </w:t>
      </w:r>
    </w:p>
    <w:p w14:paraId="520A3E80"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4" w:name="_heading=h.qfbup77y3cgf" w:colFirst="0" w:colLast="0"/>
      <w:bookmarkEnd w:id="44"/>
      <w:r w:rsidRPr="00747408">
        <w:rPr>
          <w:rFonts w:ascii="Palatino Linotype" w:eastAsia="Palatino Linotype" w:hAnsi="Palatino Linotype" w:cs="Palatino Linotype"/>
          <w:i/>
          <w:sz w:val="22"/>
          <w:szCs w:val="22"/>
        </w:rPr>
        <w:lastRenderedPageBreak/>
        <w:t xml:space="preserve">b) Las actas de sesiones de cabildo, los controles de asistencia de los integrantes del Ayuntamiento a las sesiones de cabildo y el sentido de votación de los miembros del cabildo sobre las iniciativas o acuerdos; </w:t>
      </w:r>
    </w:p>
    <w:p w14:paraId="6E0C857F"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5" w:name="_heading=h.k9yoh3pdpvbz" w:colFirst="0" w:colLast="0"/>
      <w:bookmarkEnd w:id="45"/>
      <w:r w:rsidRPr="00747408">
        <w:rPr>
          <w:rFonts w:ascii="Palatino Linotype" w:eastAsia="Palatino Linotype" w:hAnsi="Palatino Linotype" w:cs="Palatino Linotype"/>
          <w:i/>
          <w:sz w:val="22"/>
          <w:szCs w:val="22"/>
        </w:rPr>
        <w:t xml:space="preserve">c) Los Participaciones y Aportaciones derivadas de la Ley de Coordinación Fiscal; y d) Los recursos federales establecidos en el Título Segundo. Del Federalismo del Presupuesto de Egresos de la Federación en sus conceptos de: </w:t>
      </w:r>
    </w:p>
    <w:p w14:paraId="716A4089"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6" w:name="_heading=h.lfarhfxnwwa" w:colFirst="0" w:colLast="0"/>
      <w:bookmarkEnd w:id="46"/>
      <w:r w:rsidRPr="00747408">
        <w:rPr>
          <w:rFonts w:ascii="Palatino Linotype" w:eastAsia="Palatino Linotype" w:hAnsi="Palatino Linotype" w:cs="Palatino Linotype"/>
          <w:i/>
          <w:sz w:val="22"/>
          <w:szCs w:val="22"/>
        </w:rPr>
        <w:t xml:space="preserve">a. Subsidios federales; y </w:t>
      </w:r>
    </w:p>
    <w:p w14:paraId="143ABB16"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7" w:name="_heading=h.5p8vibqhzjn0" w:colFirst="0" w:colLast="0"/>
      <w:bookmarkEnd w:id="47"/>
      <w:r w:rsidRPr="00747408">
        <w:rPr>
          <w:rFonts w:ascii="Palatino Linotype" w:eastAsia="Palatino Linotype" w:hAnsi="Palatino Linotype" w:cs="Palatino Linotype"/>
          <w:i/>
          <w:sz w:val="22"/>
          <w:szCs w:val="22"/>
        </w:rPr>
        <w:t>b. Recursos del Ramo 23. Provisiones Salariales y Económicas.”</w:t>
      </w:r>
    </w:p>
    <w:p w14:paraId="2C280373" w14:textId="77777777" w:rsidR="00F3187C" w:rsidRPr="00747408" w:rsidRDefault="00747408">
      <w:pPr>
        <w:ind w:left="850" w:right="899"/>
        <w:jc w:val="both"/>
        <w:rPr>
          <w:rFonts w:ascii="Palatino Linotype" w:eastAsia="Palatino Linotype" w:hAnsi="Palatino Linotype" w:cs="Palatino Linotype"/>
          <w:i/>
          <w:sz w:val="22"/>
          <w:szCs w:val="22"/>
        </w:rPr>
      </w:pPr>
      <w:bookmarkStart w:id="48" w:name="_heading=h.qcvc51xtaoff" w:colFirst="0" w:colLast="0"/>
      <w:bookmarkEnd w:id="48"/>
      <w:r w:rsidRPr="00747408">
        <w:rPr>
          <w:rFonts w:ascii="Palatino Linotype" w:eastAsia="Palatino Linotype" w:hAnsi="Palatino Linotype" w:cs="Palatino Linotype"/>
          <w:i/>
          <w:sz w:val="22"/>
          <w:szCs w:val="22"/>
        </w:rPr>
        <w:t>(énfasis añadido)</w:t>
      </w:r>
    </w:p>
    <w:p w14:paraId="16191F0F"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Es así que dentro de la información que deberán publicar y mantener actualizada los Sujetos Obligados no solamente se encuentra contenida en el artículo 92, sino también en el artículo 94 cuando corresponda al Poder Ejecutivo y Municipios, siendo importante señalar que dentro de la tabla de aplicabilidad se encuentran incisos que le son aplicables al ente recurrido como se aprecia a continuación: </w:t>
      </w:r>
    </w:p>
    <w:p w14:paraId="5CC9327A"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noProof/>
        </w:rPr>
        <w:drawing>
          <wp:inline distT="114300" distB="114300" distL="114300" distR="114300" wp14:anchorId="2CD8504A" wp14:editId="018CE54D">
            <wp:extent cx="5791835" cy="1765300"/>
            <wp:effectExtent l="0" t="0" r="0" b="0"/>
            <wp:docPr id="3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791835" cy="1765300"/>
                    </a:xfrm>
                    <a:prstGeom prst="rect">
                      <a:avLst/>
                    </a:prstGeom>
                    <a:ln/>
                  </pic:spPr>
                </pic:pic>
              </a:graphicData>
            </a:graphic>
          </wp:inline>
        </w:drawing>
      </w:r>
    </w:p>
    <w:p w14:paraId="2DA25CB8"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Aunado a lo anterior, la misma ley de Transparencia y Acceso a la Información Pública del Estado de México y Municipios multicitada, contempla en su artículo 93 la </w:t>
      </w:r>
      <w:r w:rsidRPr="00747408">
        <w:rPr>
          <w:rFonts w:ascii="Palatino Linotype" w:eastAsia="Palatino Linotype" w:hAnsi="Palatino Linotype" w:cs="Palatino Linotype"/>
        </w:rPr>
        <w:lastRenderedPageBreak/>
        <w:t xml:space="preserve">obligación de los Sujetos Obligados de verificar y publicar las fracciones aplicables. Se inserta el precepto en comento para mayor referencia: </w:t>
      </w:r>
    </w:p>
    <w:p w14:paraId="48CBD5FC" w14:textId="77777777" w:rsidR="00F3187C" w:rsidRPr="00747408" w:rsidRDefault="00747408">
      <w:pPr>
        <w:ind w:left="850" w:right="899"/>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i/>
          <w:sz w:val="22"/>
          <w:szCs w:val="22"/>
        </w:rPr>
        <w:t>“</w:t>
      </w:r>
      <w:r w:rsidRPr="00747408">
        <w:rPr>
          <w:rFonts w:ascii="Palatino Linotype" w:eastAsia="Palatino Linotype" w:hAnsi="Palatino Linotype" w:cs="Palatino Linotype"/>
          <w:b/>
          <w:i/>
          <w:sz w:val="22"/>
          <w:szCs w:val="22"/>
        </w:rPr>
        <w:t>Artículo 93.</w:t>
      </w:r>
      <w:r w:rsidRPr="00747408">
        <w:rPr>
          <w:rFonts w:ascii="Palatino Linotype" w:eastAsia="Palatino Linotype" w:hAnsi="Palatino Linotype" w:cs="Palatino Linotype"/>
          <w:i/>
          <w:sz w:val="22"/>
          <w:szCs w:val="22"/>
        </w:rPr>
        <w:t xml:space="preserve"> Los sujetos obligados deberán informar al Instituto y verificar que se publiquen en la Plataforma Nacional, cuáles son los rubros que son aplicables a sus páginas de Internet, con el objeto de que éstos verifiquen y aprueben, de forma fundada y motivada, la relación de fracciones aplicables a cada sujeto obligado.”</w:t>
      </w:r>
    </w:p>
    <w:p w14:paraId="4EDD07E7" w14:textId="77777777" w:rsidR="00F3187C" w:rsidRPr="00747408" w:rsidRDefault="00747408">
      <w:pPr>
        <w:ind w:left="850" w:right="899"/>
        <w:jc w:val="both"/>
        <w:rPr>
          <w:rFonts w:ascii="Palatino Linotype" w:eastAsia="Palatino Linotype" w:hAnsi="Palatino Linotype" w:cs="Palatino Linotype"/>
        </w:rPr>
      </w:pPr>
      <w:r w:rsidRPr="00747408">
        <w:rPr>
          <w:rFonts w:ascii="Palatino Linotype" w:eastAsia="Palatino Linotype" w:hAnsi="Palatino Linotype" w:cs="Palatino Linotype"/>
          <w:i/>
          <w:sz w:val="22"/>
          <w:szCs w:val="22"/>
        </w:rPr>
        <w:t>(énfasis añadido)</w:t>
      </w:r>
    </w:p>
    <w:p w14:paraId="1084FD37" w14:textId="77777777" w:rsidR="00F3187C" w:rsidRPr="00747408" w:rsidRDefault="00747408">
      <w:pPr>
        <w:spacing w:before="280" w:after="280"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De tal manera que aun cuando la información relativa a las tablas de aplicabilidad se encuentra disponible en la página de IPOMEX, ésta únicamente contempla las fracciones aplicables; sin embargo, el particular solicitó no solo las tablas de aplicabilidad, sino también la clasificación de las fracciones aplicables por área encargada, sobre lo cual en respuesta </w:t>
      </w:r>
      <w:r w:rsidRPr="00747408">
        <w:rPr>
          <w:rFonts w:ascii="Palatino Linotype" w:eastAsia="Palatino Linotype" w:hAnsi="Palatino Linotype" w:cs="Palatino Linotype"/>
          <w:b/>
        </w:rPr>
        <w:t xml:space="preserve">EL SUJETO OBLIGADO </w:t>
      </w:r>
      <w:r w:rsidRPr="00747408">
        <w:rPr>
          <w:rFonts w:ascii="Palatino Linotype" w:eastAsia="Palatino Linotype" w:hAnsi="Palatino Linotype" w:cs="Palatino Linotype"/>
        </w:rPr>
        <w:t>hizo entrega de un documento donde consta la información desagregada como fue solicitado por el particular en lo que respecta a las fracciones del artículo 92, así también, dentro de la información que debe publicarse en el portal de IPOMEX de cada Sujeto Obligado obra el dato relativo al encargado de actualizar la fracción, como se aprecia en la captura de pantalla que se inserta a continuación a manera de ejemplo:</w:t>
      </w:r>
    </w:p>
    <w:p w14:paraId="58F2E7B8" w14:textId="77777777" w:rsidR="00F3187C" w:rsidRPr="00747408" w:rsidRDefault="00F3187C">
      <w:pPr>
        <w:spacing w:before="280" w:after="280" w:line="360" w:lineRule="auto"/>
        <w:jc w:val="both"/>
        <w:rPr>
          <w:rFonts w:ascii="Palatino Linotype" w:eastAsia="Palatino Linotype" w:hAnsi="Palatino Linotype" w:cs="Palatino Linotype"/>
        </w:rPr>
      </w:pPr>
    </w:p>
    <w:p w14:paraId="79B05548" w14:textId="77777777" w:rsidR="00F3187C" w:rsidRPr="00747408" w:rsidRDefault="00747408">
      <w:pPr>
        <w:spacing w:before="280" w:after="280" w:line="360" w:lineRule="auto"/>
        <w:jc w:val="center"/>
        <w:rPr>
          <w:rFonts w:ascii="Palatino Linotype" w:eastAsia="Palatino Linotype" w:hAnsi="Palatino Linotype" w:cs="Palatino Linotype"/>
        </w:rPr>
      </w:pPr>
      <w:r w:rsidRPr="00747408">
        <w:rPr>
          <w:rFonts w:ascii="Palatino Linotype" w:eastAsia="Palatino Linotype" w:hAnsi="Palatino Linotype" w:cs="Palatino Linotype"/>
          <w:noProof/>
        </w:rPr>
        <w:lastRenderedPageBreak/>
        <w:drawing>
          <wp:inline distT="114300" distB="114300" distL="114300" distR="114300" wp14:anchorId="15457A37" wp14:editId="256E4F26">
            <wp:extent cx="1914525" cy="1619250"/>
            <wp:effectExtent l="0" t="0" r="0" b="0"/>
            <wp:docPr id="3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914525" cy="1619250"/>
                    </a:xfrm>
                    <a:prstGeom prst="rect">
                      <a:avLst/>
                    </a:prstGeom>
                    <a:ln/>
                  </pic:spPr>
                </pic:pic>
              </a:graphicData>
            </a:graphic>
          </wp:inline>
        </w:drawing>
      </w:r>
    </w:p>
    <w:p w14:paraId="7CC4AA62"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 xml:space="preserve">En consecuencia, llegado a este punto y derivado de los argumentos vertidos a lo largo del presente Considerando, este Instituto determina </w:t>
      </w:r>
      <w:r w:rsidRPr="00747408">
        <w:rPr>
          <w:rFonts w:ascii="Palatino Linotype" w:eastAsia="Palatino Linotype" w:hAnsi="Palatino Linotype" w:cs="Palatino Linotype"/>
          <w:b/>
        </w:rPr>
        <w:t xml:space="preserve">MODIFICAR </w:t>
      </w:r>
      <w:r w:rsidRPr="00747408">
        <w:rPr>
          <w:rFonts w:ascii="Palatino Linotype" w:eastAsia="Palatino Linotype" w:hAnsi="Palatino Linotype" w:cs="Palatino Linotype"/>
        </w:rPr>
        <w:t xml:space="preserve">la respuesta del </w:t>
      </w:r>
      <w:r w:rsidRPr="00747408">
        <w:rPr>
          <w:rFonts w:ascii="Palatino Linotype" w:eastAsia="Palatino Linotype" w:hAnsi="Palatino Linotype" w:cs="Palatino Linotype"/>
          <w:b/>
        </w:rPr>
        <w:t>SUJETO OBLIGADO</w:t>
      </w:r>
      <w:r w:rsidRPr="00747408">
        <w:rPr>
          <w:rFonts w:ascii="Palatino Linotype" w:eastAsia="Palatino Linotype" w:hAnsi="Palatino Linotype" w:cs="Palatino Linotype"/>
        </w:rPr>
        <w:t xml:space="preserve"> por resultar parcialmente fundadas las razones o motivos de inconformidad vertidos por el </w:t>
      </w:r>
      <w:r w:rsidRPr="00747408">
        <w:rPr>
          <w:rFonts w:ascii="Palatino Linotype" w:eastAsia="Palatino Linotype" w:hAnsi="Palatino Linotype" w:cs="Palatino Linotype"/>
          <w:b/>
        </w:rPr>
        <w:t>RECURRENTE</w:t>
      </w:r>
      <w:r w:rsidRPr="00747408">
        <w:rPr>
          <w:rFonts w:ascii="Palatino Linotype" w:eastAsia="Palatino Linotype" w:hAnsi="Palatino Linotype" w:cs="Palatino Linotype"/>
        </w:rPr>
        <w:t xml:space="preserve"> en el presente Recurso de Revisión y se ordena al </w:t>
      </w:r>
      <w:r w:rsidRPr="00747408">
        <w:rPr>
          <w:rFonts w:ascii="Palatino Linotype" w:eastAsia="Palatino Linotype" w:hAnsi="Palatino Linotype" w:cs="Palatino Linotype"/>
          <w:b/>
        </w:rPr>
        <w:t xml:space="preserve">SUJETO OBLIGADO, </w:t>
      </w:r>
      <w:r w:rsidRPr="00747408">
        <w:rPr>
          <w:rFonts w:ascii="Palatino Linotype" w:eastAsia="Palatino Linotype" w:hAnsi="Palatino Linotype" w:cs="Palatino Linotype"/>
        </w:rPr>
        <w:t xml:space="preserve">haga entrega del soporte documental donde conste:  La tabla de aplicabilidad referente al artículo 94 indicando el área responsable de actualizarla. </w:t>
      </w:r>
    </w:p>
    <w:p w14:paraId="1FC95BED" w14:textId="77777777" w:rsidR="00F3187C" w:rsidRPr="00747408" w:rsidRDefault="00F3187C">
      <w:pPr>
        <w:spacing w:line="360" w:lineRule="auto"/>
        <w:jc w:val="both"/>
        <w:rPr>
          <w:rFonts w:ascii="Palatino Linotype" w:eastAsia="Palatino Linotype" w:hAnsi="Palatino Linotype" w:cs="Palatino Linotype"/>
        </w:rPr>
      </w:pPr>
    </w:p>
    <w:p w14:paraId="0AD86359"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rPr>
        <w:t>Así,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A68156A" w14:textId="77777777" w:rsidR="00F3187C" w:rsidRPr="00747408" w:rsidRDefault="00F3187C">
      <w:pPr>
        <w:spacing w:line="360" w:lineRule="auto"/>
        <w:jc w:val="both"/>
        <w:rPr>
          <w:rFonts w:ascii="Palatino Linotype" w:eastAsia="Palatino Linotype" w:hAnsi="Palatino Linotype" w:cs="Palatino Linotype"/>
        </w:rPr>
      </w:pPr>
    </w:p>
    <w:p w14:paraId="760A534E" w14:textId="77777777" w:rsidR="00F3187C" w:rsidRPr="00747408" w:rsidRDefault="00F3187C">
      <w:pPr>
        <w:spacing w:line="360" w:lineRule="auto"/>
        <w:jc w:val="center"/>
        <w:rPr>
          <w:rFonts w:ascii="Palatino Linotype" w:eastAsia="Palatino Linotype" w:hAnsi="Palatino Linotype" w:cs="Palatino Linotype"/>
          <w:b/>
          <w:sz w:val="26"/>
          <w:szCs w:val="26"/>
        </w:rPr>
      </w:pPr>
    </w:p>
    <w:p w14:paraId="052AC256" w14:textId="77777777" w:rsidR="00F3187C" w:rsidRPr="00747408" w:rsidRDefault="00747408">
      <w:pPr>
        <w:spacing w:line="360" w:lineRule="auto"/>
        <w:jc w:val="center"/>
        <w:rPr>
          <w:rFonts w:ascii="Palatino Linotype" w:eastAsia="Palatino Linotype" w:hAnsi="Palatino Linotype" w:cs="Palatino Linotype"/>
          <w:b/>
          <w:sz w:val="26"/>
          <w:szCs w:val="26"/>
        </w:rPr>
      </w:pPr>
      <w:r w:rsidRPr="00747408">
        <w:rPr>
          <w:rFonts w:ascii="Palatino Linotype" w:eastAsia="Palatino Linotype" w:hAnsi="Palatino Linotype" w:cs="Palatino Linotype"/>
          <w:b/>
          <w:sz w:val="26"/>
          <w:szCs w:val="26"/>
        </w:rPr>
        <w:lastRenderedPageBreak/>
        <w:t>RESUELVE</w:t>
      </w:r>
    </w:p>
    <w:p w14:paraId="546E1F67" w14:textId="77777777" w:rsidR="00F3187C" w:rsidRPr="00747408" w:rsidRDefault="00F3187C">
      <w:pPr>
        <w:spacing w:line="360" w:lineRule="auto"/>
        <w:jc w:val="center"/>
        <w:rPr>
          <w:rFonts w:ascii="Palatino Linotype" w:eastAsia="Palatino Linotype" w:hAnsi="Palatino Linotype" w:cs="Palatino Linotype"/>
          <w:b/>
          <w:sz w:val="26"/>
          <w:szCs w:val="26"/>
        </w:rPr>
      </w:pPr>
    </w:p>
    <w:p w14:paraId="1FB79B2C" w14:textId="77777777" w:rsidR="00F3187C" w:rsidRPr="00747408" w:rsidRDefault="00747408">
      <w:pPr>
        <w:spacing w:line="360" w:lineRule="auto"/>
        <w:ind w:right="49"/>
        <w:jc w:val="both"/>
        <w:rPr>
          <w:rFonts w:ascii="Palatino Linotype" w:eastAsia="Palatino Linotype" w:hAnsi="Palatino Linotype" w:cs="Palatino Linotype"/>
        </w:rPr>
      </w:pPr>
      <w:r w:rsidRPr="00747408">
        <w:rPr>
          <w:rFonts w:ascii="Palatino Linotype" w:eastAsia="Palatino Linotype" w:hAnsi="Palatino Linotype" w:cs="Palatino Linotype"/>
          <w:b/>
        </w:rPr>
        <w:t>PRIMERO.</w:t>
      </w:r>
      <w:r w:rsidRPr="00747408">
        <w:rPr>
          <w:rFonts w:ascii="Palatino Linotype" w:eastAsia="Palatino Linotype" w:hAnsi="Palatino Linotype" w:cs="Palatino Linotype"/>
        </w:rPr>
        <w:t xml:space="preserve"> Resultan </w:t>
      </w:r>
      <w:r w:rsidRPr="00747408">
        <w:rPr>
          <w:rFonts w:ascii="Palatino Linotype" w:eastAsia="Palatino Linotype" w:hAnsi="Palatino Linotype" w:cs="Palatino Linotype"/>
          <w:b/>
        </w:rPr>
        <w:t>parcialmente fundadas</w:t>
      </w:r>
      <w:r w:rsidRPr="00747408">
        <w:rPr>
          <w:rFonts w:ascii="Palatino Linotype" w:eastAsia="Palatino Linotype" w:hAnsi="Palatino Linotype" w:cs="Palatino Linotype"/>
        </w:rPr>
        <w:t xml:space="preserve"> las manifestaciones hechas valer por </w:t>
      </w:r>
      <w:r w:rsidRPr="00747408">
        <w:rPr>
          <w:rFonts w:ascii="Palatino Linotype" w:eastAsia="Palatino Linotype" w:hAnsi="Palatino Linotype" w:cs="Palatino Linotype"/>
          <w:b/>
        </w:rPr>
        <w:t>EL RECURRENTE</w:t>
      </w:r>
      <w:r w:rsidRPr="00747408">
        <w:rPr>
          <w:rFonts w:ascii="Palatino Linotype" w:eastAsia="Palatino Linotype" w:hAnsi="Palatino Linotype" w:cs="Palatino Linotype"/>
        </w:rPr>
        <w:t xml:space="preserve"> en el recurso de revisión </w:t>
      </w:r>
      <w:r w:rsidRPr="00747408">
        <w:rPr>
          <w:rFonts w:ascii="Palatino Linotype" w:eastAsia="Palatino Linotype" w:hAnsi="Palatino Linotype" w:cs="Palatino Linotype"/>
          <w:b/>
        </w:rPr>
        <w:t>06897/INFOEM/IP/RR/2022</w:t>
      </w:r>
      <w:r w:rsidRPr="00747408">
        <w:rPr>
          <w:rFonts w:ascii="Palatino Linotype" w:eastAsia="Palatino Linotype" w:hAnsi="Palatino Linotype" w:cs="Palatino Linotype"/>
        </w:rPr>
        <w:t xml:space="preserve">, en términos del considerando </w:t>
      </w:r>
      <w:r w:rsidRPr="00747408">
        <w:rPr>
          <w:rFonts w:ascii="Palatino Linotype" w:eastAsia="Palatino Linotype" w:hAnsi="Palatino Linotype" w:cs="Palatino Linotype"/>
          <w:b/>
        </w:rPr>
        <w:t>QUINTO</w:t>
      </w:r>
      <w:r w:rsidRPr="00747408">
        <w:rPr>
          <w:rFonts w:ascii="Palatino Linotype" w:eastAsia="Palatino Linotype" w:hAnsi="Palatino Linotype" w:cs="Palatino Linotype"/>
        </w:rPr>
        <w:t>.</w:t>
      </w:r>
    </w:p>
    <w:p w14:paraId="61C897E9" w14:textId="77777777" w:rsidR="00F3187C" w:rsidRPr="00747408" w:rsidRDefault="00F3187C">
      <w:pPr>
        <w:spacing w:line="360" w:lineRule="auto"/>
        <w:ind w:right="49"/>
        <w:jc w:val="both"/>
        <w:rPr>
          <w:rFonts w:ascii="Palatino Linotype" w:eastAsia="Palatino Linotype" w:hAnsi="Palatino Linotype" w:cs="Palatino Linotype"/>
        </w:rPr>
      </w:pPr>
    </w:p>
    <w:p w14:paraId="6778B6EF" w14:textId="77777777" w:rsidR="00F3187C" w:rsidRPr="00747408" w:rsidRDefault="00747408">
      <w:pPr>
        <w:spacing w:line="360" w:lineRule="auto"/>
        <w:jc w:val="both"/>
        <w:rPr>
          <w:rFonts w:ascii="Palatino Linotype" w:eastAsia="Palatino Linotype" w:hAnsi="Palatino Linotype" w:cs="Palatino Linotype"/>
          <w:i/>
          <w:sz w:val="22"/>
          <w:szCs w:val="22"/>
        </w:rPr>
      </w:pPr>
      <w:r w:rsidRPr="00747408">
        <w:rPr>
          <w:rFonts w:ascii="Palatino Linotype" w:eastAsia="Palatino Linotype" w:hAnsi="Palatino Linotype" w:cs="Palatino Linotype"/>
          <w:b/>
        </w:rPr>
        <w:t xml:space="preserve">SEGUNDO. </w:t>
      </w:r>
      <w:r w:rsidRPr="00747408">
        <w:rPr>
          <w:rFonts w:ascii="Palatino Linotype" w:eastAsia="Palatino Linotype" w:hAnsi="Palatino Linotype" w:cs="Palatino Linotype"/>
        </w:rPr>
        <w:t xml:space="preserve">Se </w:t>
      </w:r>
      <w:r w:rsidRPr="00747408">
        <w:rPr>
          <w:rFonts w:ascii="Palatino Linotype" w:eastAsia="Palatino Linotype" w:hAnsi="Palatino Linotype" w:cs="Palatino Linotype"/>
          <w:b/>
        </w:rPr>
        <w:t xml:space="preserve">MODIFICA </w:t>
      </w:r>
      <w:r w:rsidRPr="00747408">
        <w:rPr>
          <w:rFonts w:ascii="Palatino Linotype" w:eastAsia="Palatino Linotype" w:hAnsi="Palatino Linotype" w:cs="Palatino Linotype"/>
        </w:rPr>
        <w:t xml:space="preserve">la respuesta emitida por </w:t>
      </w:r>
      <w:r w:rsidRPr="00747408">
        <w:rPr>
          <w:rFonts w:ascii="Palatino Linotype" w:eastAsia="Palatino Linotype" w:hAnsi="Palatino Linotype" w:cs="Palatino Linotype"/>
          <w:b/>
        </w:rPr>
        <w:t>EL</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SUJETO OBLIGADO</w:t>
      </w:r>
      <w:r w:rsidRPr="00747408">
        <w:rPr>
          <w:rFonts w:ascii="Palatino Linotype" w:eastAsia="Palatino Linotype" w:hAnsi="Palatino Linotype" w:cs="Palatino Linotype"/>
        </w:rPr>
        <w:t xml:space="preserve"> y se ordena que en términos del Considerando </w:t>
      </w:r>
      <w:r w:rsidRPr="00747408">
        <w:rPr>
          <w:rFonts w:ascii="Palatino Linotype" w:eastAsia="Palatino Linotype" w:hAnsi="Palatino Linotype" w:cs="Palatino Linotype"/>
          <w:b/>
        </w:rPr>
        <w:t>Quinto</w:t>
      </w:r>
      <w:r w:rsidRPr="00747408">
        <w:rPr>
          <w:rFonts w:ascii="Palatino Linotype" w:eastAsia="Palatino Linotype" w:hAnsi="Palatino Linotype" w:cs="Palatino Linotype"/>
        </w:rPr>
        <w:t xml:space="preserve"> haga entrega al Recurrente mediante el Sistema de Acceso a la Información Mexiquense (SAIMEX) de lo siguiente: </w:t>
      </w:r>
    </w:p>
    <w:p w14:paraId="1D0EE13E" w14:textId="77777777" w:rsidR="00F3187C" w:rsidRPr="00747408" w:rsidRDefault="00747408">
      <w:pPr>
        <w:ind w:left="850" w:right="899"/>
        <w:jc w:val="both"/>
        <w:rPr>
          <w:rFonts w:ascii="Palatino Linotype" w:eastAsia="Palatino Linotype" w:hAnsi="Palatino Linotype" w:cs="Palatino Linotype"/>
          <w:b/>
          <w:i/>
          <w:sz w:val="20"/>
          <w:szCs w:val="20"/>
        </w:rPr>
      </w:pPr>
      <w:r w:rsidRPr="00747408">
        <w:rPr>
          <w:rFonts w:ascii="Palatino Linotype" w:eastAsia="Palatino Linotype" w:hAnsi="Palatino Linotype" w:cs="Palatino Linotype"/>
          <w:i/>
          <w:sz w:val="22"/>
          <w:szCs w:val="22"/>
        </w:rPr>
        <w:t>El soporte documental donde conste la tabla de aplicabilidad referente al artículo 94 indicando el área responsable de actualizarla.</w:t>
      </w:r>
    </w:p>
    <w:p w14:paraId="5EE3C902" w14:textId="77777777" w:rsidR="00F3187C" w:rsidRPr="00747408" w:rsidRDefault="00F3187C">
      <w:pPr>
        <w:tabs>
          <w:tab w:val="left" w:pos="709"/>
        </w:tabs>
        <w:ind w:left="850" w:right="899"/>
        <w:jc w:val="both"/>
        <w:rPr>
          <w:rFonts w:ascii="Palatino Linotype" w:eastAsia="Palatino Linotype" w:hAnsi="Palatino Linotype" w:cs="Palatino Linotype"/>
          <w:i/>
          <w:sz w:val="20"/>
          <w:szCs w:val="20"/>
        </w:rPr>
      </w:pPr>
    </w:p>
    <w:p w14:paraId="63A3487C" w14:textId="77777777" w:rsidR="00F3187C" w:rsidRPr="00747408" w:rsidRDefault="00F3187C">
      <w:pPr>
        <w:tabs>
          <w:tab w:val="left" w:pos="709"/>
        </w:tabs>
        <w:ind w:left="850" w:right="899"/>
        <w:jc w:val="both"/>
        <w:rPr>
          <w:rFonts w:ascii="Palatino Linotype" w:eastAsia="Palatino Linotype" w:hAnsi="Palatino Linotype" w:cs="Palatino Linotype"/>
          <w:i/>
          <w:sz w:val="20"/>
          <w:szCs w:val="20"/>
        </w:rPr>
      </w:pPr>
    </w:p>
    <w:p w14:paraId="0A20B96E"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b/>
        </w:rPr>
        <w:t>TERCERO.</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 xml:space="preserve">NOTIFÍQUESE </w:t>
      </w:r>
      <w:r w:rsidRPr="00747408">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4767885" w14:textId="77777777" w:rsidR="00F3187C" w:rsidRPr="00747408" w:rsidRDefault="00F3187C">
      <w:pPr>
        <w:spacing w:line="360" w:lineRule="auto"/>
        <w:jc w:val="both"/>
        <w:rPr>
          <w:rFonts w:ascii="Palatino Linotype" w:eastAsia="Palatino Linotype" w:hAnsi="Palatino Linotype" w:cs="Palatino Linotype"/>
          <w:sz w:val="22"/>
          <w:szCs w:val="22"/>
        </w:rPr>
      </w:pPr>
    </w:p>
    <w:p w14:paraId="6FFA4BB3"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b/>
        </w:rPr>
        <w:t xml:space="preserve">CUARTO. </w:t>
      </w:r>
      <w:r w:rsidRPr="0074740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747408">
        <w:rPr>
          <w:rFonts w:ascii="Palatino Linotype" w:eastAsia="Palatino Linotype" w:hAnsi="Palatino Linotype" w:cs="Palatino Linotype"/>
        </w:rPr>
        <w:lastRenderedPageBreak/>
        <w:t>el Sujeto Obligado de manera fundada y motivada, podrá solicitar una ampliación de plazo para el cumplimiento de la presente resolución.</w:t>
      </w:r>
    </w:p>
    <w:p w14:paraId="7036F382" w14:textId="77777777" w:rsidR="00F3187C" w:rsidRPr="00747408" w:rsidRDefault="00F3187C">
      <w:pPr>
        <w:spacing w:line="360" w:lineRule="auto"/>
        <w:jc w:val="both"/>
        <w:rPr>
          <w:rFonts w:ascii="Palatino Linotype" w:eastAsia="Palatino Linotype" w:hAnsi="Palatino Linotype" w:cs="Palatino Linotype"/>
          <w:sz w:val="22"/>
          <w:szCs w:val="22"/>
        </w:rPr>
      </w:pPr>
    </w:p>
    <w:p w14:paraId="0728A835" w14:textId="77777777" w:rsidR="00F3187C" w:rsidRPr="00747408" w:rsidRDefault="00747408">
      <w:pPr>
        <w:spacing w:line="360" w:lineRule="auto"/>
        <w:jc w:val="both"/>
        <w:rPr>
          <w:rFonts w:ascii="Palatino Linotype" w:eastAsia="Palatino Linotype" w:hAnsi="Palatino Linotype" w:cs="Palatino Linotype"/>
        </w:rPr>
      </w:pPr>
      <w:r w:rsidRPr="00747408">
        <w:rPr>
          <w:rFonts w:ascii="Palatino Linotype" w:eastAsia="Palatino Linotype" w:hAnsi="Palatino Linotype" w:cs="Palatino Linotype"/>
          <w:b/>
        </w:rPr>
        <w:t>QUINTO.</w:t>
      </w:r>
      <w:r w:rsidRPr="00747408">
        <w:rPr>
          <w:rFonts w:ascii="Palatino Linotype" w:eastAsia="Palatino Linotype" w:hAnsi="Palatino Linotype" w:cs="Palatino Linotype"/>
        </w:rPr>
        <w:t xml:space="preserve"> </w:t>
      </w:r>
      <w:r w:rsidRPr="00747408">
        <w:rPr>
          <w:rFonts w:ascii="Palatino Linotype" w:eastAsia="Palatino Linotype" w:hAnsi="Palatino Linotype" w:cs="Palatino Linotype"/>
          <w:b/>
        </w:rPr>
        <w:t>NOTIFÍQUESE</w:t>
      </w:r>
      <w:r w:rsidRPr="00747408">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DC9B4F9" w14:textId="77777777" w:rsidR="00F3187C" w:rsidRPr="00747408" w:rsidRDefault="00F3187C">
      <w:pPr>
        <w:spacing w:line="360" w:lineRule="auto"/>
        <w:jc w:val="both"/>
        <w:rPr>
          <w:rFonts w:ascii="Palatino Linotype" w:eastAsia="Palatino Linotype" w:hAnsi="Palatino Linotype" w:cs="Palatino Linotype"/>
        </w:rPr>
      </w:pPr>
    </w:p>
    <w:p w14:paraId="7E308560" w14:textId="77777777" w:rsidR="00424984" w:rsidRPr="00747408" w:rsidRDefault="00424984" w:rsidP="00424984">
      <w:pPr>
        <w:widowControl w:val="0"/>
        <w:autoSpaceDE w:val="0"/>
        <w:autoSpaceDN w:val="0"/>
        <w:adjustRightInd w:val="0"/>
        <w:spacing w:line="360" w:lineRule="auto"/>
        <w:jc w:val="both"/>
        <w:rPr>
          <w:rFonts w:ascii="Palatino Linotype" w:hAnsi="Palatino Linotype" w:cs="Arial"/>
        </w:rPr>
      </w:pPr>
      <w:r w:rsidRPr="00747408">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DE AGOSTO DE DOS MIL VEINTIDÓS, ANTE EL SECRETARIO TÉCNICO DEL PLENO, ALEXIS TAPIA RAMÍREZ. </w:t>
      </w:r>
    </w:p>
    <w:p w14:paraId="2679BAAC" w14:textId="77777777" w:rsidR="00F3187C" w:rsidRDefault="00747408">
      <w:pPr>
        <w:spacing w:line="360" w:lineRule="auto"/>
        <w:jc w:val="both"/>
        <w:rPr>
          <w:rFonts w:ascii="Palatino Linotype" w:eastAsia="Palatino Linotype" w:hAnsi="Palatino Linotype" w:cs="Palatino Linotype"/>
          <w:sz w:val="14"/>
          <w:szCs w:val="14"/>
        </w:rPr>
      </w:pPr>
      <w:r w:rsidRPr="00747408">
        <w:rPr>
          <w:rFonts w:ascii="Palatino Linotype" w:eastAsia="Palatino Linotype" w:hAnsi="Palatino Linotype" w:cs="Palatino Linotype"/>
          <w:sz w:val="14"/>
          <w:szCs w:val="14"/>
        </w:rPr>
        <w:t>SCMM/BLA/DEMF/PMRE</w:t>
      </w:r>
    </w:p>
    <w:p w14:paraId="26FB29A2" w14:textId="77777777" w:rsidR="00F3187C" w:rsidRDefault="00747408">
      <w:pPr>
        <w:rPr>
          <w:rFonts w:ascii="Palatino Linotype" w:eastAsia="Palatino Linotype" w:hAnsi="Palatino Linotype" w:cs="Palatino Linotype"/>
        </w:rPr>
      </w:pPr>
      <w:r>
        <w:br w:type="page"/>
      </w:r>
    </w:p>
    <w:p w14:paraId="0C78FAD4" w14:textId="77777777" w:rsidR="00F3187C" w:rsidRDefault="00F3187C">
      <w:pPr>
        <w:spacing w:line="360" w:lineRule="auto"/>
        <w:jc w:val="both"/>
        <w:rPr>
          <w:rFonts w:ascii="Palatino Linotype" w:eastAsia="Palatino Linotype" w:hAnsi="Palatino Linotype" w:cs="Palatino Linotype"/>
        </w:rPr>
      </w:pPr>
    </w:p>
    <w:p w14:paraId="183B5BBA" w14:textId="77777777" w:rsidR="00F3187C" w:rsidRDefault="00F3187C">
      <w:pPr>
        <w:spacing w:line="360" w:lineRule="auto"/>
        <w:jc w:val="both"/>
        <w:rPr>
          <w:rFonts w:ascii="Palatino Linotype" w:eastAsia="Palatino Linotype" w:hAnsi="Palatino Linotype" w:cs="Palatino Linotype"/>
        </w:rPr>
      </w:pPr>
    </w:p>
    <w:p w14:paraId="383AB7B3" w14:textId="77777777" w:rsidR="00F3187C" w:rsidRDefault="00F3187C">
      <w:pPr>
        <w:spacing w:line="360" w:lineRule="auto"/>
        <w:jc w:val="both"/>
        <w:rPr>
          <w:rFonts w:ascii="Palatino Linotype" w:eastAsia="Palatino Linotype" w:hAnsi="Palatino Linotype" w:cs="Palatino Linotype"/>
        </w:rPr>
      </w:pPr>
    </w:p>
    <w:p w14:paraId="3FA632A8" w14:textId="77777777" w:rsidR="00F3187C" w:rsidRDefault="00F3187C">
      <w:pPr>
        <w:spacing w:line="360" w:lineRule="auto"/>
        <w:jc w:val="both"/>
        <w:rPr>
          <w:rFonts w:ascii="Palatino Linotype" w:eastAsia="Palatino Linotype" w:hAnsi="Palatino Linotype" w:cs="Palatino Linotype"/>
        </w:rPr>
      </w:pPr>
    </w:p>
    <w:p w14:paraId="65F22EB2" w14:textId="77777777" w:rsidR="00F3187C" w:rsidRDefault="00F3187C">
      <w:pPr>
        <w:spacing w:line="360" w:lineRule="auto"/>
        <w:jc w:val="both"/>
        <w:rPr>
          <w:rFonts w:ascii="Palatino Linotype" w:eastAsia="Palatino Linotype" w:hAnsi="Palatino Linotype" w:cs="Palatino Linotype"/>
        </w:rPr>
      </w:pPr>
    </w:p>
    <w:p w14:paraId="16F65070" w14:textId="77777777" w:rsidR="00F3187C" w:rsidRDefault="00F3187C">
      <w:pPr>
        <w:spacing w:line="360" w:lineRule="auto"/>
        <w:jc w:val="both"/>
        <w:rPr>
          <w:rFonts w:ascii="Palatino Linotype" w:eastAsia="Palatino Linotype" w:hAnsi="Palatino Linotype" w:cs="Palatino Linotype"/>
        </w:rPr>
      </w:pPr>
    </w:p>
    <w:p w14:paraId="02789023" w14:textId="77777777" w:rsidR="00F3187C" w:rsidRDefault="00F3187C">
      <w:pPr>
        <w:spacing w:line="360" w:lineRule="auto"/>
        <w:jc w:val="both"/>
        <w:rPr>
          <w:rFonts w:ascii="Palatino Linotype" w:eastAsia="Palatino Linotype" w:hAnsi="Palatino Linotype" w:cs="Palatino Linotype"/>
        </w:rPr>
      </w:pPr>
    </w:p>
    <w:p w14:paraId="663E5213" w14:textId="77777777" w:rsidR="00F3187C" w:rsidRDefault="00F3187C">
      <w:pPr>
        <w:spacing w:line="360" w:lineRule="auto"/>
        <w:jc w:val="both"/>
        <w:rPr>
          <w:rFonts w:ascii="Palatino Linotype" w:eastAsia="Palatino Linotype" w:hAnsi="Palatino Linotype" w:cs="Palatino Linotype"/>
        </w:rPr>
      </w:pPr>
    </w:p>
    <w:p w14:paraId="7FDF880E" w14:textId="77777777" w:rsidR="00F3187C" w:rsidRDefault="00F3187C">
      <w:pPr>
        <w:spacing w:line="360" w:lineRule="auto"/>
        <w:jc w:val="both"/>
        <w:rPr>
          <w:rFonts w:ascii="Palatino Linotype" w:eastAsia="Palatino Linotype" w:hAnsi="Palatino Linotype" w:cs="Palatino Linotype"/>
        </w:rPr>
      </w:pPr>
    </w:p>
    <w:p w14:paraId="3D737A2C" w14:textId="77777777" w:rsidR="00F3187C" w:rsidRDefault="00F3187C">
      <w:pPr>
        <w:spacing w:line="360" w:lineRule="auto"/>
        <w:jc w:val="both"/>
        <w:rPr>
          <w:rFonts w:ascii="Palatino Linotype" w:eastAsia="Palatino Linotype" w:hAnsi="Palatino Linotype" w:cs="Palatino Linotype"/>
        </w:rPr>
      </w:pPr>
    </w:p>
    <w:p w14:paraId="1222B1D8" w14:textId="77777777" w:rsidR="00F3187C" w:rsidRDefault="00F3187C">
      <w:pPr>
        <w:spacing w:line="360" w:lineRule="auto"/>
        <w:jc w:val="both"/>
        <w:rPr>
          <w:rFonts w:ascii="Palatino Linotype" w:eastAsia="Palatino Linotype" w:hAnsi="Palatino Linotype" w:cs="Palatino Linotype"/>
        </w:rPr>
      </w:pPr>
    </w:p>
    <w:p w14:paraId="580D665C" w14:textId="77777777" w:rsidR="00F3187C" w:rsidRDefault="00F3187C">
      <w:pPr>
        <w:spacing w:line="360" w:lineRule="auto"/>
        <w:jc w:val="both"/>
        <w:rPr>
          <w:rFonts w:ascii="Palatino Linotype" w:eastAsia="Palatino Linotype" w:hAnsi="Palatino Linotype" w:cs="Palatino Linotype"/>
        </w:rPr>
      </w:pPr>
    </w:p>
    <w:p w14:paraId="151CCEC9" w14:textId="77777777" w:rsidR="00F3187C" w:rsidRDefault="00F3187C">
      <w:pPr>
        <w:spacing w:line="360" w:lineRule="auto"/>
        <w:jc w:val="both"/>
        <w:rPr>
          <w:rFonts w:ascii="Palatino Linotype" w:eastAsia="Palatino Linotype" w:hAnsi="Palatino Linotype" w:cs="Palatino Linotype"/>
        </w:rPr>
      </w:pPr>
    </w:p>
    <w:p w14:paraId="0D35B610" w14:textId="77777777" w:rsidR="00F3187C" w:rsidRDefault="00F3187C">
      <w:pPr>
        <w:spacing w:line="360" w:lineRule="auto"/>
        <w:jc w:val="both"/>
        <w:rPr>
          <w:rFonts w:ascii="Palatino Linotype" w:eastAsia="Palatino Linotype" w:hAnsi="Palatino Linotype" w:cs="Palatino Linotype"/>
        </w:rPr>
      </w:pPr>
    </w:p>
    <w:p w14:paraId="60962A66" w14:textId="77777777" w:rsidR="00F3187C" w:rsidRDefault="00F3187C">
      <w:pPr>
        <w:spacing w:line="360" w:lineRule="auto"/>
        <w:jc w:val="both"/>
        <w:rPr>
          <w:rFonts w:ascii="Palatino Linotype" w:eastAsia="Palatino Linotype" w:hAnsi="Palatino Linotype" w:cs="Palatino Linotype"/>
        </w:rPr>
      </w:pPr>
    </w:p>
    <w:p w14:paraId="7BE579CC" w14:textId="77777777" w:rsidR="00F3187C" w:rsidRDefault="00F3187C">
      <w:pPr>
        <w:spacing w:line="360" w:lineRule="auto"/>
        <w:jc w:val="both"/>
        <w:rPr>
          <w:rFonts w:ascii="Palatino Linotype" w:eastAsia="Palatino Linotype" w:hAnsi="Palatino Linotype" w:cs="Palatino Linotype"/>
        </w:rPr>
      </w:pPr>
    </w:p>
    <w:p w14:paraId="2D7E72C8" w14:textId="77777777" w:rsidR="00F3187C" w:rsidRDefault="00F3187C">
      <w:pPr>
        <w:spacing w:line="360" w:lineRule="auto"/>
        <w:jc w:val="both"/>
        <w:rPr>
          <w:rFonts w:ascii="Palatino Linotype" w:eastAsia="Palatino Linotype" w:hAnsi="Palatino Linotype" w:cs="Palatino Linotype"/>
        </w:rPr>
      </w:pPr>
    </w:p>
    <w:p w14:paraId="67063D3E" w14:textId="77777777" w:rsidR="00F3187C" w:rsidRDefault="00F3187C">
      <w:pPr>
        <w:spacing w:line="360" w:lineRule="auto"/>
        <w:jc w:val="both"/>
        <w:rPr>
          <w:rFonts w:ascii="Palatino Linotype" w:eastAsia="Palatino Linotype" w:hAnsi="Palatino Linotype" w:cs="Palatino Linotype"/>
        </w:rPr>
      </w:pPr>
    </w:p>
    <w:sectPr w:rsidR="00F3187C">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9BE55" w14:textId="77777777" w:rsidR="00747150" w:rsidRDefault="00747150">
      <w:r>
        <w:separator/>
      </w:r>
    </w:p>
  </w:endnote>
  <w:endnote w:type="continuationSeparator" w:id="0">
    <w:p w14:paraId="692BBD85" w14:textId="77777777" w:rsidR="00747150" w:rsidRDefault="0074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75743" w14:textId="77777777" w:rsidR="00F3187C" w:rsidRDefault="007474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B59D3">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B59D3">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5FAC9" w14:textId="77777777" w:rsidR="00F3187C" w:rsidRDefault="0074740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B59D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B59D3">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011A8" w14:textId="77777777" w:rsidR="00747150" w:rsidRDefault="00747150">
      <w:r>
        <w:separator/>
      </w:r>
    </w:p>
  </w:footnote>
  <w:footnote w:type="continuationSeparator" w:id="0">
    <w:p w14:paraId="2A00962A" w14:textId="77777777" w:rsidR="00747150" w:rsidRDefault="00747150">
      <w:r>
        <w:continuationSeparator/>
      </w:r>
    </w:p>
  </w:footnote>
  <w:footnote w:id="1">
    <w:p w14:paraId="0B4F7894" w14:textId="77777777" w:rsidR="00F3187C" w:rsidRDefault="00747408">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69F7" w14:textId="77777777" w:rsidR="00F3187C" w:rsidRDefault="0074715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5994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37B7" w14:textId="77777777" w:rsidR="00F3187C" w:rsidRDefault="0074715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40CB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ffffe"/>
      <w:tblW w:w="9534" w:type="dxa"/>
      <w:tblInd w:w="-142" w:type="dxa"/>
      <w:tblLayout w:type="fixed"/>
      <w:tblLook w:val="0400" w:firstRow="0" w:lastRow="0" w:firstColumn="0" w:lastColumn="0" w:noHBand="0" w:noVBand="1"/>
    </w:tblPr>
    <w:tblGrid>
      <w:gridCol w:w="3261"/>
      <w:gridCol w:w="2551"/>
      <w:gridCol w:w="3722"/>
    </w:tblGrid>
    <w:tr w:rsidR="00F3187C" w14:paraId="2E486253" w14:textId="77777777">
      <w:tc>
        <w:tcPr>
          <w:tcW w:w="3261" w:type="dxa"/>
          <w:vMerge w:val="restart"/>
        </w:tcPr>
        <w:p w14:paraId="29C672EC"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06F75EA1" wp14:editId="5AF5EDD3">
                <wp:extent cx="1692162" cy="852673"/>
                <wp:effectExtent l="0" t="0" r="0" b="0"/>
                <wp:docPr id="3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D33A2EC"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0FE13C0" w14:textId="77777777" w:rsidR="00F3187C" w:rsidRDefault="00747408">
          <w:pPr>
            <w:jc w:val="both"/>
            <w:rPr>
              <w:rFonts w:ascii="Palatino Linotype" w:eastAsia="Palatino Linotype" w:hAnsi="Palatino Linotype" w:cs="Palatino Linotype"/>
              <w:b/>
            </w:rPr>
          </w:pPr>
          <w:r>
            <w:rPr>
              <w:rFonts w:ascii="Palatino Linotype" w:eastAsia="Palatino Linotype" w:hAnsi="Palatino Linotype" w:cs="Palatino Linotype"/>
              <w:b/>
            </w:rPr>
            <w:t>06897/INFOEM/IP/RR/2022</w:t>
          </w:r>
        </w:p>
      </w:tc>
    </w:tr>
    <w:tr w:rsidR="00F3187C" w14:paraId="75324098" w14:textId="77777777">
      <w:tc>
        <w:tcPr>
          <w:tcW w:w="3261" w:type="dxa"/>
          <w:vMerge/>
        </w:tcPr>
        <w:p w14:paraId="29F0DF20" w14:textId="77777777" w:rsidR="00F3187C" w:rsidRDefault="00F3187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8AC8CDB"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A46E8F" w14:textId="77777777" w:rsidR="00F3187C" w:rsidRDefault="0074740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Sistema Municipal </w:t>
          </w:r>
          <w:r w:rsidR="00424984">
            <w:rPr>
              <w:rFonts w:ascii="Palatino Linotype" w:eastAsia="Palatino Linotype" w:hAnsi="Palatino Linotype" w:cs="Palatino Linotype"/>
              <w:b/>
            </w:rPr>
            <w:t>p</w:t>
          </w:r>
          <w:r>
            <w:rPr>
              <w:rFonts w:ascii="Palatino Linotype" w:eastAsia="Palatino Linotype" w:hAnsi="Palatino Linotype" w:cs="Palatino Linotype"/>
              <w:b/>
            </w:rPr>
            <w:t>ara el Desarrollo Integral de la Familia de Naucalpan de Juárez</w:t>
          </w:r>
        </w:p>
      </w:tc>
    </w:tr>
    <w:tr w:rsidR="00F3187C" w14:paraId="4327C7E5" w14:textId="77777777">
      <w:trPr>
        <w:trHeight w:val="790"/>
      </w:trPr>
      <w:tc>
        <w:tcPr>
          <w:tcW w:w="3261" w:type="dxa"/>
          <w:vMerge/>
        </w:tcPr>
        <w:p w14:paraId="23E50B35" w14:textId="77777777" w:rsidR="00F3187C" w:rsidRDefault="00F3187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4EBB56A"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019B7017" w14:textId="77777777" w:rsidR="00F3187C" w:rsidRDefault="0074740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82C761B" w14:textId="77777777" w:rsidR="00F3187C" w:rsidRDefault="00F3187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AA9A0" w14:textId="77777777" w:rsidR="00F3187C" w:rsidRDefault="0074715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7B19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
      <w:tblW w:w="9900" w:type="dxa"/>
      <w:tblInd w:w="-833" w:type="dxa"/>
      <w:tblLayout w:type="fixed"/>
      <w:tblLook w:val="0400" w:firstRow="0" w:lastRow="0" w:firstColumn="0" w:lastColumn="0" w:noHBand="0" w:noVBand="1"/>
    </w:tblPr>
    <w:tblGrid>
      <w:gridCol w:w="3805"/>
      <w:gridCol w:w="3000"/>
      <w:gridCol w:w="3095"/>
    </w:tblGrid>
    <w:tr w:rsidR="00F3187C" w14:paraId="6B1DDE5B" w14:textId="77777777">
      <w:tc>
        <w:tcPr>
          <w:tcW w:w="3805" w:type="dxa"/>
          <w:vMerge w:val="restart"/>
          <w:shd w:val="clear" w:color="auto" w:fill="auto"/>
        </w:tcPr>
        <w:p w14:paraId="752A14C5" w14:textId="77777777" w:rsidR="00F3187C" w:rsidRDefault="0074740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43B2885" wp14:editId="4C8E5493">
                <wp:extent cx="1692162" cy="852673"/>
                <wp:effectExtent l="0" t="0" r="0" b="0"/>
                <wp:docPr id="3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6A6BCBDD"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478D8B1" w14:textId="77777777" w:rsidR="00F3187C" w:rsidRDefault="0074740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06897/INFOEM/IP/RR/2022 </w:t>
          </w:r>
        </w:p>
      </w:tc>
    </w:tr>
    <w:tr w:rsidR="00F3187C" w14:paraId="20975D7B" w14:textId="77777777">
      <w:tc>
        <w:tcPr>
          <w:tcW w:w="3805" w:type="dxa"/>
          <w:vMerge/>
          <w:shd w:val="clear" w:color="auto" w:fill="auto"/>
        </w:tcPr>
        <w:p w14:paraId="73E84403" w14:textId="77777777" w:rsidR="00F3187C" w:rsidRDefault="00F3187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0862A24"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260B7515" w14:textId="4209E5E9" w:rsidR="00F3187C" w:rsidRDefault="009B59D3">
          <w:pPr>
            <w:jc w:val="both"/>
            <w:rPr>
              <w:rFonts w:ascii="Palatino Linotype" w:eastAsia="Palatino Linotype" w:hAnsi="Palatino Linotype" w:cs="Palatino Linotype"/>
              <w:b/>
            </w:rPr>
          </w:pPr>
          <w:r>
            <w:rPr>
              <w:rFonts w:ascii="Palatino Linotype" w:eastAsia="Palatino Linotype" w:hAnsi="Palatino Linotype" w:cs="Palatino Linotype"/>
              <w:b/>
            </w:rPr>
            <w:t>XXXXXXXXXX XXX XXXXXXXXXXXXXX</w:t>
          </w:r>
        </w:p>
      </w:tc>
    </w:tr>
    <w:tr w:rsidR="00F3187C" w14:paraId="244B9759" w14:textId="77777777">
      <w:trPr>
        <w:trHeight w:val="228"/>
      </w:trPr>
      <w:tc>
        <w:tcPr>
          <w:tcW w:w="3805" w:type="dxa"/>
          <w:vMerge/>
          <w:shd w:val="clear" w:color="auto" w:fill="auto"/>
        </w:tcPr>
        <w:p w14:paraId="69E9E9A9" w14:textId="77777777" w:rsidR="00F3187C" w:rsidRDefault="00F3187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DB5D827"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4322F40" w14:textId="77777777" w:rsidR="00F3187C" w:rsidRDefault="0074740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Sistema Municipal </w:t>
          </w:r>
          <w:r w:rsidR="00424984">
            <w:rPr>
              <w:rFonts w:ascii="Palatino Linotype" w:eastAsia="Palatino Linotype" w:hAnsi="Palatino Linotype" w:cs="Palatino Linotype"/>
              <w:b/>
            </w:rPr>
            <w:t>p</w:t>
          </w:r>
          <w:r>
            <w:rPr>
              <w:rFonts w:ascii="Palatino Linotype" w:eastAsia="Palatino Linotype" w:hAnsi="Palatino Linotype" w:cs="Palatino Linotype"/>
              <w:b/>
            </w:rPr>
            <w:t>ara el Desarrollo Integral de la Familia de Naucalpan de Juárez</w:t>
          </w:r>
        </w:p>
      </w:tc>
    </w:tr>
    <w:tr w:rsidR="00F3187C" w14:paraId="01F8B350" w14:textId="77777777">
      <w:tc>
        <w:tcPr>
          <w:tcW w:w="3805" w:type="dxa"/>
          <w:vMerge/>
          <w:shd w:val="clear" w:color="auto" w:fill="auto"/>
        </w:tcPr>
        <w:p w14:paraId="02F9F6CB" w14:textId="77777777" w:rsidR="00F3187C" w:rsidRDefault="00F3187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A7D8BD5" w14:textId="77777777" w:rsidR="00F3187C" w:rsidRDefault="0074740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D6A4C2A" w14:textId="77777777" w:rsidR="00F3187C" w:rsidRDefault="0074740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3D03C58D" w14:textId="77777777" w:rsidR="00F3187C" w:rsidRDefault="00F3187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C44F24"/>
    <w:multiLevelType w:val="multilevel"/>
    <w:tmpl w:val="D228C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87C"/>
    <w:rsid w:val="001E7919"/>
    <w:rsid w:val="00424984"/>
    <w:rsid w:val="00747150"/>
    <w:rsid w:val="00747408"/>
    <w:rsid w:val="008C3A15"/>
    <w:rsid w:val="009B59D3"/>
    <w:rsid w:val="00C2312C"/>
    <w:rsid w:val="00F318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57A21"/>
  <w15:docId w15:val="{D34FA676-6E46-4622-9FDA-5DA9D4A13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f8"/>
    <w:tblPr>
      <w:tblStyleRowBandSize w:val="1"/>
      <w:tblStyleColBandSize w:val="1"/>
      <w:tblCellMar>
        <w:top w:w="100" w:type="dxa"/>
        <w:left w:w="100" w:type="dxa"/>
        <w:bottom w:w="100" w:type="dxa"/>
        <w:right w:w="100" w:type="dxa"/>
      </w:tblCellMar>
    </w:tblPr>
  </w:style>
  <w:style w:type="table" w:customStyle="1" w:styleId="a0">
    <w:basedOn w:val="TableNormalff8"/>
    <w:tblPr>
      <w:tblStyleRowBandSize w:val="1"/>
      <w:tblStyleColBandSize w:val="1"/>
      <w:tblCellMar>
        <w:left w:w="115" w:type="dxa"/>
        <w:right w:w="115" w:type="dxa"/>
      </w:tblCellMar>
    </w:tblPr>
  </w:style>
  <w:style w:type="table" w:customStyle="1" w:styleId="a1">
    <w:basedOn w:val="TableNormalff8"/>
    <w:tblPr>
      <w:tblStyleRowBandSize w:val="1"/>
      <w:tblStyleColBandSize w:val="1"/>
      <w:tblCellMar>
        <w:left w:w="115" w:type="dxa"/>
        <w:right w:w="115" w:type="dxa"/>
      </w:tblCellMar>
    </w:tblPr>
  </w:style>
  <w:style w:type="table" w:customStyle="1" w:styleId="a2">
    <w:basedOn w:val="TableNormalff8"/>
    <w:tblPr>
      <w:tblStyleRowBandSize w:val="1"/>
      <w:tblStyleColBandSize w:val="1"/>
      <w:tblCellMar>
        <w:left w:w="115" w:type="dxa"/>
        <w:right w:w="115" w:type="dxa"/>
      </w:tblCellMar>
    </w:tblPr>
  </w:style>
  <w:style w:type="table" w:customStyle="1" w:styleId="a3">
    <w:basedOn w:val="TableNormalff8"/>
    <w:tblPr>
      <w:tblStyleRowBandSize w:val="1"/>
      <w:tblStyleColBandSize w:val="1"/>
      <w:tblCellMar>
        <w:left w:w="115" w:type="dxa"/>
        <w:right w:w="115" w:type="dxa"/>
      </w:tblCellMar>
    </w:tblPr>
  </w:style>
  <w:style w:type="table" w:customStyle="1" w:styleId="a4">
    <w:basedOn w:val="TableNormalff8"/>
    <w:tblPr>
      <w:tblStyleRowBandSize w:val="1"/>
      <w:tblStyleColBandSize w:val="1"/>
      <w:tblCellMar>
        <w:left w:w="115" w:type="dxa"/>
        <w:right w:w="115" w:type="dxa"/>
      </w:tblCellMar>
    </w:tblPr>
  </w:style>
  <w:style w:type="table" w:customStyle="1" w:styleId="a5">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8"/>
    <w:tblPr>
      <w:tblStyleRowBandSize w:val="1"/>
      <w:tblStyleColBandSize w:val="1"/>
      <w:tblCellMar>
        <w:left w:w="115" w:type="dxa"/>
        <w:right w:w="115" w:type="dxa"/>
      </w:tblCellMar>
    </w:tblPr>
  </w:style>
  <w:style w:type="table" w:customStyle="1" w:styleId="a7">
    <w:basedOn w:val="TableNormalff8"/>
    <w:tblPr>
      <w:tblStyleRowBandSize w:val="1"/>
      <w:tblStyleColBandSize w:val="1"/>
      <w:tblCellMar>
        <w:left w:w="115" w:type="dxa"/>
        <w:right w:w="115" w:type="dxa"/>
      </w:tblCellMar>
    </w:tblPr>
  </w:style>
  <w:style w:type="table" w:customStyle="1" w:styleId="a8">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5"/>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7"/>
    <w:tblPr>
      <w:tblStyleRowBandSize w:val="1"/>
      <w:tblStyleColBandSize w:val="1"/>
      <w:tblCellMar>
        <w:left w:w="115" w:type="dxa"/>
        <w:right w:w="115" w:type="dxa"/>
      </w:tblCellMar>
    </w:tblPr>
  </w:style>
  <w:style w:type="table" w:customStyle="1" w:styleId="afff3">
    <w:basedOn w:val="TableNormalf7"/>
    <w:tblPr>
      <w:tblStyleRowBandSize w:val="1"/>
      <w:tblStyleColBandSize w:val="1"/>
      <w:tblCellMar>
        <w:top w:w="100" w:type="dxa"/>
        <w:left w:w="100" w:type="dxa"/>
        <w:bottom w:w="100" w:type="dxa"/>
        <w:right w:w="100" w:type="dxa"/>
      </w:tblCellMar>
    </w:tblPr>
  </w:style>
  <w:style w:type="table" w:customStyle="1" w:styleId="a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7"/>
    <w:tblPr>
      <w:tblStyleRowBandSize w:val="1"/>
      <w:tblStyleColBandSize w:val="1"/>
      <w:tblCellMar>
        <w:top w:w="100" w:type="dxa"/>
        <w:left w:w="100" w:type="dxa"/>
        <w:bottom w:w="100" w:type="dxa"/>
        <w:right w:w="100" w:type="dxa"/>
      </w:tblCellMar>
    </w:tblPr>
  </w:style>
  <w:style w:type="table" w:customStyle="1" w:styleId="a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7"/>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7"/>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omex.org.mx/ipo3/lgt/portal.we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H3cciXPiDYyhWorF5bOv4/S9gg==">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52</Pages>
  <Words>9408</Words>
  <Characters>51745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User</cp:lastModifiedBy>
  <cp:revision>5</cp:revision>
  <cp:lastPrinted>2022-08-05T03:27:00Z</cp:lastPrinted>
  <dcterms:created xsi:type="dcterms:W3CDTF">2022-07-14T04:06:00Z</dcterms:created>
  <dcterms:modified xsi:type="dcterms:W3CDTF">2022-08-17T19:40:00Z</dcterms:modified>
</cp:coreProperties>
</file>