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rtl w:val="0"/>
        </w:rPr>
        <w:t xml:space="preserve">treinta y uno de agosto del dos mil veintidós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05589/INFOEM/IP/RR/2022</w:t>
      </w:r>
      <w:r w:rsidDel="00000000" w:rsidR="00000000" w:rsidRPr="00000000">
        <w:rPr>
          <w:rFonts w:ascii="Palatino Linotype" w:cs="Palatino Linotype" w:eastAsia="Palatino Linotype" w:hAnsi="Palatino Linotype"/>
          <w:rtl w:val="0"/>
        </w:rPr>
        <w:t xml:space="preserve">, interpuesto por una persona de manera anónima, al cual en lo sucesivo se le denominara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00141/TEXCOCO/IP/2022, </w:t>
      </w:r>
      <w:r w:rsidDel="00000000" w:rsidR="00000000" w:rsidRPr="00000000">
        <w:rPr>
          <w:rFonts w:ascii="Palatino Linotype" w:cs="Palatino Linotype" w:eastAsia="Palatino Linotype" w:hAnsi="Palatino Linotype"/>
          <w:rtl w:val="0"/>
        </w:rPr>
        <w:t xml:space="preserve">por parte del</w:t>
      </w:r>
      <w:r w:rsidDel="00000000" w:rsidR="00000000" w:rsidRPr="00000000">
        <w:rPr>
          <w:rFonts w:ascii="Palatino Linotype" w:cs="Palatino Linotype" w:eastAsia="Palatino Linotype" w:hAnsi="Palatino Linotype"/>
          <w:b w:val="1"/>
          <w:rtl w:val="0"/>
        </w:rPr>
        <w:t xml:space="preserve"> Ayuntamiento de Texcoco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numPr>
          <w:ilvl w:val="0"/>
          <w:numId w:val="6"/>
        </w:numPr>
        <w:pBdr>
          <w:top w:space="0" w:sz="0" w:val="nil"/>
          <w:left w:space="0" w:sz="0" w:val="nil"/>
          <w:bottom w:space="0" w:sz="0" w:val="nil"/>
          <w:right w:space="0" w:sz="0" w:val="nil"/>
          <w:between w:space="0" w:sz="0" w:val="nil"/>
        </w:pBdr>
        <w:spacing w:after="240" w:before="240" w:line="360" w:lineRule="auto"/>
        <w:ind w:left="1077" w:hanging="720"/>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once de marzo del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spacing w:after="240" w:before="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“Muy buenas requiero saber el </w:t>
      </w:r>
      <w:r w:rsidDel="00000000" w:rsidR="00000000" w:rsidRPr="00000000">
        <w:rPr>
          <w:rFonts w:ascii="Palatino Linotype" w:cs="Palatino Linotype" w:eastAsia="Palatino Linotype" w:hAnsi="Palatino Linotype"/>
          <w:b w:val="1"/>
          <w:i w:val="1"/>
          <w:color w:val="000000"/>
          <w:sz w:val="22"/>
          <w:szCs w:val="22"/>
          <w:u w:val="single"/>
          <w:rtl w:val="0"/>
        </w:rPr>
        <w:t xml:space="preserve">itinerario de la presidente municipal</w:t>
      </w:r>
      <w:r w:rsidDel="00000000" w:rsidR="00000000" w:rsidRPr="00000000">
        <w:rPr>
          <w:rFonts w:ascii="Palatino Linotype" w:cs="Palatino Linotype" w:eastAsia="Palatino Linotype" w:hAnsi="Palatino Linotype"/>
          <w:i w:val="1"/>
          <w:color w:val="000000"/>
          <w:sz w:val="22"/>
          <w:szCs w:val="22"/>
          <w:rtl w:val="0"/>
        </w:rPr>
        <w:t xml:space="preserve"> Sandra Luz me refiero a que quiero saber </w:t>
      </w:r>
      <w:r w:rsidDel="00000000" w:rsidR="00000000" w:rsidRPr="00000000">
        <w:rPr>
          <w:rFonts w:ascii="Palatino Linotype" w:cs="Palatino Linotype" w:eastAsia="Palatino Linotype" w:hAnsi="Palatino Linotype"/>
          <w:b w:val="1"/>
          <w:i w:val="1"/>
          <w:color w:val="000000"/>
          <w:sz w:val="22"/>
          <w:szCs w:val="22"/>
          <w:rtl w:val="0"/>
        </w:rPr>
        <w:t xml:space="preserve">su horario de trabajo</w:t>
      </w:r>
      <w:r w:rsidDel="00000000" w:rsidR="00000000" w:rsidRPr="00000000">
        <w:rPr>
          <w:rFonts w:ascii="Palatino Linotype" w:cs="Palatino Linotype" w:eastAsia="Palatino Linotype" w:hAnsi="Palatino Linotype"/>
          <w:i w:val="1"/>
          <w:color w:val="000000"/>
          <w:sz w:val="22"/>
          <w:szCs w:val="22"/>
          <w:rtl w:val="0"/>
        </w:rPr>
        <w:t xml:space="preserve">, es decir a que hora inicia su quehacer gubernamental y </w:t>
      </w:r>
      <w:r w:rsidDel="00000000" w:rsidR="00000000" w:rsidRPr="00000000">
        <w:rPr>
          <w:rFonts w:ascii="Palatino Linotype" w:cs="Palatino Linotype" w:eastAsia="Palatino Linotype" w:hAnsi="Palatino Linotype"/>
          <w:b w:val="1"/>
          <w:i w:val="1"/>
          <w:color w:val="000000"/>
          <w:sz w:val="22"/>
          <w:szCs w:val="22"/>
          <w:rtl w:val="0"/>
        </w:rPr>
        <w:t xml:space="preserve">cuales son las principales actividades que realiza desde la mañana hasta el anochece</w:t>
      </w:r>
      <w:r w:rsidDel="00000000" w:rsidR="00000000" w:rsidRPr="00000000">
        <w:rPr>
          <w:rFonts w:ascii="Palatino Linotype" w:cs="Palatino Linotype" w:eastAsia="Palatino Linotype" w:hAnsi="Palatino Linotype"/>
          <w:i w:val="1"/>
          <w:color w:val="000000"/>
          <w:sz w:val="22"/>
          <w:szCs w:val="22"/>
          <w:rtl w:val="0"/>
        </w:rPr>
        <w:t xml:space="preserve">r, lo anterior incluyendo a que hora sale por el pan y su cafe.” (Sic)</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cinco de abril del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r w:rsidDel="00000000" w:rsidR="00000000" w:rsidRPr="00000000">
        <w:rPr>
          <w:rtl w:val="0"/>
        </w:rPr>
      </w:r>
    </w:p>
    <w:p w:rsidR="00000000" w:rsidDel="00000000" w:rsidP="00000000" w:rsidRDefault="00000000" w:rsidRPr="00000000" w14:paraId="00000008">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adjunta información en versión PDF.</w:t>
      </w:r>
    </w:p>
    <w:p w:rsidR="00000000" w:rsidDel="00000000" w:rsidP="00000000" w:rsidRDefault="00000000" w:rsidRPr="00000000" w14:paraId="0000000A">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0B">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Lic. René Jonathan Sandoval Tinoco” (Sic)</w:t>
      </w:r>
    </w:p>
    <w:p w:rsidR="00000000" w:rsidDel="00000000" w:rsidP="00000000" w:rsidRDefault="00000000" w:rsidRPr="00000000" w14:paraId="0000000C">
      <w:pPr>
        <w:ind w:right="902"/>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adjuntó el documento </w:t>
      </w:r>
      <w:r w:rsidDel="00000000" w:rsidR="00000000" w:rsidRPr="00000000">
        <w:rPr>
          <w:rFonts w:ascii="Palatino Linotype" w:cs="Palatino Linotype" w:eastAsia="Palatino Linotype" w:hAnsi="Palatino Linotype"/>
          <w:b w:val="1"/>
          <w:i w:val="1"/>
          <w:rtl w:val="0"/>
        </w:rPr>
        <w:t xml:space="preserve">SOLICITUD 141-2022.pdf,</w:t>
      </w:r>
      <w:r w:rsidDel="00000000" w:rsidR="00000000" w:rsidRPr="00000000">
        <w:rPr>
          <w:rFonts w:ascii="Palatino Linotype" w:cs="Palatino Linotype" w:eastAsia="Palatino Linotype" w:hAnsi="Palatino Linotype"/>
          <w:rtl w:val="0"/>
        </w:rPr>
        <w:t xml:space="preserve">  que sustancialmente refiere lo siguiente:</w:t>
      </w:r>
    </w:p>
    <w:p w:rsidR="00000000" w:rsidDel="00000000" w:rsidP="00000000" w:rsidRDefault="00000000" w:rsidRPr="00000000" w14:paraId="0000000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este sentido, nos permitimos hacer de su conocimiento que con fundamento en lo dispuesto el artículo 6 de la Constitución Política de los Estados Unidos Mexicanos, articulo 5 de la Constitución Local, los artículos 1, 4, 6 y 23 de la Ley General de Transparencia y Acceso a la Información Pública, además del artículo 53, Fracciones: II, V y VI de la Ley de Transparencia y Acceso a la Información Pública del Estado de México y Municipios. Y desde luego, atendiendo al artículo 162 de la Ley de Transparencia y Acceso a la Información Pública del Estado de México y Municipios</w:t>
      </w:r>
      <w:r w:rsidDel="00000000" w:rsidR="00000000" w:rsidRPr="00000000">
        <w:rPr>
          <w:rFonts w:ascii="Palatino Linotype" w:cs="Palatino Linotype" w:eastAsia="Palatino Linotype" w:hAnsi="Palatino Linotype"/>
          <w:b w:val="1"/>
          <w:i w:val="1"/>
          <w:sz w:val="22"/>
          <w:szCs w:val="22"/>
          <w:rtl w:val="0"/>
        </w:rPr>
        <w:t xml:space="preserve">, la Subdirección de Recursos Humanos y Nómina del H.</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Ayuntamiento hace saber que de acuerdo al Bando de Gobierno Municipal el cual, establece las facultades a las que es acreedora la figura de Presidente Municipal fundado y motivado con leyes tales como se adjunta a continuación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“Artículos 1, 115 de la Constitución Política de los Estados Unidos Mexicanos; los artículos 122, 128 fracciones III y XII, y 138 de la Constitución Política del Estado Libre y Soberano de México; el artículo 48 fracción III de la Ley Orgánica Municipal del Estado de México,</w:t>
      </w:r>
      <w:r w:rsidDel="00000000" w:rsidR="00000000" w:rsidRPr="00000000">
        <w:rPr>
          <w:rFonts w:ascii="Palatino Linotype" w:cs="Palatino Linotype" w:eastAsia="Palatino Linotype" w:hAnsi="Palatino Linotype"/>
          <w:i w:val="1"/>
          <w:sz w:val="22"/>
          <w:szCs w:val="22"/>
          <w:rtl w:val="0"/>
        </w:rPr>
        <w:t xml:space="preserve"> a todos los habitantes del Municipio de Texcoco hago saber: Que el Honorable Ayuntamiento de Texcoco, en cumplimiento de lo dispuesto en los artículos 4, 73 fracción XVI apartados 2a y 3a; 115 fracción II de la Constitución Política de los Estados Unidos Mexicanos; los artículos 140,147, 402, 403, 416 y 417 de la Ley General de Salud; los artículos 123 y 124 de la Constitución Política del Estado Libre y Soberano de México; los artículos 1, 2, 3, 31 fracción I, 160, 161, 162, 163, 164, 165, 166 y 170 de la Ley Orgánica Municipal del Estado de México en vigor y demás relativos aplicables en la materia”</w:t>
      </w:r>
    </w:p>
    <w:p w:rsidR="00000000" w:rsidDel="00000000" w:rsidP="00000000" w:rsidRDefault="00000000" w:rsidRPr="00000000" w14:paraId="00000010">
      <w:pPr>
        <w:spacing w:line="276" w:lineRule="auto"/>
        <w:ind w:left="1134"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Al respecto de que cuales son las principales actividades que realiza desde la mañana hasta el anochecer; un Presidente Municipal </w:t>
      </w:r>
      <w:r w:rsidDel="00000000" w:rsidR="00000000" w:rsidRPr="00000000">
        <w:rPr>
          <w:rFonts w:ascii="Palatino Linotype" w:cs="Palatino Linotype" w:eastAsia="Palatino Linotype" w:hAnsi="Palatino Linotype"/>
          <w:b w:val="1"/>
          <w:i w:val="1"/>
          <w:sz w:val="22"/>
          <w:szCs w:val="22"/>
          <w:u w:val="single"/>
          <w:rtl w:val="0"/>
        </w:rPr>
        <w:t xml:space="preserve">no cuenta con un horario establecido, </w:t>
      </w:r>
      <w:r w:rsidDel="00000000" w:rsidR="00000000" w:rsidRPr="00000000">
        <w:rPr>
          <w:rFonts w:ascii="Palatino Linotype" w:cs="Palatino Linotype" w:eastAsia="Palatino Linotype" w:hAnsi="Palatino Linotype"/>
          <w:b w:val="1"/>
          <w:i w:val="1"/>
          <w:sz w:val="22"/>
          <w:szCs w:val="22"/>
          <w:rtl w:val="0"/>
        </w:rPr>
        <w:t xml:space="preserve">derivado de las múltiples funciones a las que es responsable, por ser la titular de la Administración Municipal, se sugiere revisar el Articulo 128 fracciones III y XII, de la Constitución Política del Estado Libre y Soberano de México para mayor amplitud a las facultades y obligaciones de la Presidente Municipal, como persona jurídica para ejercer derechos y asumir obligaciones en términos de la Ley en materia.</w:t>
      </w:r>
    </w:p>
    <w:p w:rsidR="00000000" w:rsidDel="00000000" w:rsidP="00000000" w:rsidRDefault="00000000" w:rsidRPr="00000000" w14:paraId="00000011">
      <w:pPr>
        <w:spacing w:line="276" w:lineRule="auto"/>
        <w:ind w:left="1134"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Luego entonces; en relación a que se incluya a que hora sale por el pan y su café; me permito hacerle saber que efectivamente es una figura pública así lo marca la Ley pero de acuerdo a la Datos Personales en Posesión de Sujetos Obligados del Estado de México y Municipios. Misma que; tiene por objeto establecer las bases, principios y procedimientos para garantizar el derecho que tiene toda </w:t>
      </w:r>
      <w:r w:rsidDel="00000000" w:rsidR="00000000" w:rsidRPr="00000000">
        <w:rPr>
          <w:rFonts w:ascii="Palatino Linotype" w:cs="Palatino Linotype" w:eastAsia="Palatino Linotype" w:hAnsi="Palatino Linotype"/>
          <w:b w:val="1"/>
          <w:i w:val="1"/>
          <w:sz w:val="22"/>
          <w:szCs w:val="22"/>
          <w:u w:val="single"/>
          <w:rtl w:val="0"/>
        </w:rPr>
        <w:t xml:space="preserve">persona a la protección de sus datos personales así como su vida personal</w:t>
      </w:r>
      <w:r w:rsidDel="00000000" w:rsidR="00000000" w:rsidRPr="00000000">
        <w:rPr>
          <w:rFonts w:ascii="Palatino Linotype" w:cs="Palatino Linotype" w:eastAsia="Palatino Linotype" w:hAnsi="Palatino Linotype"/>
          <w:i w:val="1"/>
          <w:sz w:val="22"/>
          <w:szCs w:val="22"/>
          <w:rtl w:val="0"/>
        </w:rPr>
        <w:t xml:space="preserve">, dado que conforme a dicha ley, exponer las actividades que realiza en su quehacer como persona vulnera su identidad y </w:t>
      </w:r>
      <w:r w:rsidDel="00000000" w:rsidR="00000000" w:rsidRPr="00000000">
        <w:rPr>
          <w:rFonts w:ascii="Palatino Linotype" w:cs="Palatino Linotype" w:eastAsia="Palatino Linotype" w:hAnsi="Palatino Linotype"/>
          <w:b w:val="1"/>
          <w:i w:val="1"/>
          <w:sz w:val="22"/>
          <w:szCs w:val="22"/>
          <w:u w:val="single"/>
          <w:rtl w:val="0"/>
        </w:rPr>
        <w:t xml:space="preserve">su derecho a la protección de su identidad la cual, no es pública.</w:t>
      </w:r>
    </w:p>
    <w:p w:rsidR="00000000" w:rsidDel="00000000" w:rsidP="00000000" w:rsidRDefault="00000000" w:rsidRPr="00000000" w14:paraId="00000012">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Y con fundamento en el artículo 12 de la ley en materia y que a la letra sostiene;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le hace saber que la información que se adjunta, se entrega previo a una búsqueda exhaustiva y de acuerdo a la información que obra en los archivos del área responsable en brindar la información, misma que se compone de un análisis.</w:t>
      </w:r>
    </w:p>
    <w:p w:rsidR="00000000" w:rsidDel="00000000" w:rsidP="00000000" w:rsidRDefault="00000000" w:rsidRPr="00000000" w14:paraId="00000013">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omito mencionar que; el Sistema de Acceso a la Información Mexiquense es para proporcionar Información Pública de Oficio contenida en los documentos que los Sujetos Obligados posean, archiven, generen o administren y como Sujetos Obligados este H. Ayuntamiento buscaremos en todo momento que la información generada sea regida por los principios de Máxima Publicidad, Certeza, Legalidad, Transparencia e Imparcialidad, se otorgaran las medidas pertinentes para asegurar el acceso a la información pública a todas las personas con la normatividad aplicable para sus excepciones.</w:t>
      </w:r>
    </w:p>
    <w:p w:rsidR="00000000" w:rsidDel="00000000" w:rsidP="00000000" w:rsidRDefault="00000000" w:rsidRPr="00000000" w14:paraId="00000014">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La obligación de proporcionar información no comprende el procesamiento de la misma, ni presentarla conforme al interés del solicitante; no estarán obligados a generarla, resumirla, efectuar cálculos o practicar investigaciones. Como Sujetos Obligados este H. Ayuntamiento buscará en todo momento que la información generada sea regida por los principios de Máxima Publicidad, Certeza, Legalidad, Transparencia e Imparcialidad, se otorgarán las medidas. …”</w:t>
      </w:r>
    </w:p>
    <w:p w:rsidR="00000000" w:rsidDel="00000000" w:rsidP="00000000" w:rsidRDefault="00000000" w:rsidRPr="00000000" w14:paraId="00000015">
      <w:pP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interpuso recurso de revisión a través del SAIMEX el </w:t>
      </w:r>
      <w:r w:rsidDel="00000000" w:rsidR="00000000" w:rsidRPr="00000000">
        <w:rPr>
          <w:rFonts w:ascii="Palatino Linotype" w:cs="Palatino Linotype" w:eastAsia="Palatino Linotype" w:hAnsi="Palatino Linotype"/>
          <w:b w:val="1"/>
          <w:rtl w:val="0"/>
        </w:rPr>
        <w:t xml:space="preserve">seis de abril de dos mil veintidós</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7">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spacing w:line="360" w:lineRule="auto"/>
        <w:ind w:firstLine="993"/>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9">
      <w:pPr>
        <w:spacing w:after="240" w:line="276"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NIEGAN A ENVIAR LAS ACTAS DEL COMITÉ DE TRANSPARENCIA. LA ENTREGA DE INFORMACIÓN NUEVAMENTE NO ES CONFIABLE, EL AYUNTAMIENTO DE OPACIDAD DEL MUNICIPIO DE TEXCOCO INSISTE EN NEGARSE A ENTREGAR INFORMACIÓN CERTERA Y CONFIABLE” (Sic)</w:t>
      </w:r>
    </w:p>
    <w:p w:rsidR="00000000" w:rsidDel="00000000" w:rsidP="00000000" w:rsidRDefault="00000000" w:rsidRPr="00000000" w14:paraId="0000001A">
      <w:pPr>
        <w:spacing w:line="360" w:lineRule="auto"/>
        <w:ind w:firstLine="9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B">
      <w:pPr>
        <w:spacing w:after="240" w:line="276"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NIEGAN A ENVIAR LAS ACTAS DEL COMITÉ DE TRANSPARENCIA EN DONDE SEGUN ELLOS CLASIFICAN LA INFORMACIÓN LA ENTREGA DE INFORMACIÓN NUEVAMENTE NO ES CONFIABLE, EL AYUNTAMIENTO DE OPACIDAD DEL MUNICIPIO DE TEXCOCO INSISTE EN NEGARSE A ENTREGAR INFORMACIÓN CERTERA Y CONFIABLE. LA PERSONA QUE SE HACE PASAR POR TITULAR O ENCARGADO DEL ÁREA DE TRANSPARENCIA DEL AYUNTAMIENTO DE TEXCOCO, NO CONOCE NI SABE LOS PROTOCOLOS DE ENTREGA DE INFOMACION, TAMPOCO ES CONOCEDOR DE LA LEY APLICABLE EN MATERIA DE TRANSPARENCIA, </w:t>
      </w:r>
      <w:r w:rsidDel="00000000" w:rsidR="00000000" w:rsidRPr="00000000">
        <w:rPr>
          <w:rFonts w:ascii="Palatino Linotype" w:cs="Palatino Linotype" w:eastAsia="Palatino Linotype" w:hAnsi="Palatino Linotype"/>
          <w:b w:val="1"/>
          <w:i w:val="1"/>
          <w:color w:val="000000"/>
          <w:sz w:val="22"/>
          <w:szCs w:val="22"/>
          <w:rtl w:val="0"/>
        </w:rPr>
        <w:t xml:space="preserve">FUNDAMENTA POR FUNDAMENTAR</w:t>
      </w:r>
      <w:r w:rsidDel="00000000" w:rsidR="00000000" w:rsidRPr="00000000">
        <w:rPr>
          <w:rFonts w:ascii="Palatino Linotype" w:cs="Palatino Linotype" w:eastAsia="Palatino Linotype" w:hAnsi="Palatino Linotype"/>
          <w:i w:val="1"/>
          <w:color w:val="000000"/>
          <w:sz w:val="22"/>
          <w:szCs w:val="22"/>
          <w:rtl w:val="0"/>
        </w:rPr>
        <w:t xml:space="preserve"> EN LOS OFICIOS QUE ENVIA SIN SELLO OFICIAL Y SIN FIRMA.” (Sic)</w:t>
      </w:r>
    </w:p>
    <w:p w:rsidR="00000000" w:rsidDel="00000000" w:rsidP="00000000" w:rsidRDefault="00000000" w:rsidRPr="00000000" w14:paraId="0000001C">
      <w:pPr>
        <w:spacing w:after="240" w:lineRule="auto"/>
        <w:ind w:left="851" w:right="900" w:firstLine="992.0000000000002"/>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1D">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05589/INFOEM/IP/RR/2022, </w:t>
      </w:r>
      <w:r w:rsidDel="00000000" w:rsidR="00000000" w:rsidRPr="00000000">
        <w:rPr>
          <w:rFonts w:ascii="Palatino Linotype" w:cs="Palatino Linotype" w:eastAsia="Palatino Linotype" w:hAnsi="Palatino Linotype"/>
          <w:rtl w:val="0"/>
        </w:rPr>
        <w:t xml:space="preserve">se turno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 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dieciocho de abril de dos mil veintidós,</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bookmarkStart w:colFirst="0" w:colLast="0" w:name="_heading=h.gjdgxs" w:id="0"/>
      <w:bookmarkEnd w:id="0"/>
      <w:r w:rsidDel="00000000" w:rsidR="00000000" w:rsidRPr="00000000">
        <w:rPr>
          <w:rFonts w:ascii="Palatino Linotype" w:cs="Palatino Linotype" w:eastAsia="Palatino Linotype" w:hAnsi="Palatino Linotype"/>
          <w:b w:val="1"/>
          <w:color w:val="000000"/>
          <w:rtl w:val="0"/>
        </w:rPr>
        <w:t xml:space="preserve">6. Manifestaciones</w:t>
      </w:r>
      <w:r w:rsidDel="00000000" w:rsidR="00000000" w:rsidRPr="00000000">
        <w:rPr>
          <w:rFonts w:ascii="Palatino Linotype" w:cs="Palatino Linotype" w:eastAsia="Palatino Linotype" w:hAnsi="Palatino Linotype"/>
          <w:color w:val="000000"/>
          <w:rtl w:val="0"/>
        </w:rPr>
        <w:t xml:space="preserve">: De las constancias que integran el expediente en que se actúa se advierte que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fue omisa en presentar manifestaciones, pruebas o alegatos.</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Mientras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color w:val="000000"/>
          <w:rtl w:val="0"/>
        </w:rPr>
        <w:t xml:space="preserve"> presenta el informe justificado en fecha nueve de mayo de dos mii veintidós, adjuntando el archivo </w:t>
      </w:r>
      <w:r w:rsidDel="00000000" w:rsidR="00000000" w:rsidRPr="00000000">
        <w:rPr>
          <w:rFonts w:ascii="Palatino Linotype" w:cs="Palatino Linotype" w:eastAsia="Palatino Linotype" w:hAnsi="Palatino Linotype"/>
          <w:b w:val="1"/>
          <w:i w:val="1"/>
          <w:color w:val="000000"/>
          <w:rtl w:val="0"/>
        </w:rPr>
        <w:t xml:space="preserve">RR_05589PDF_0001.pdf, </w:t>
      </w:r>
      <w:r w:rsidDel="00000000" w:rsidR="00000000" w:rsidRPr="00000000">
        <w:rPr>
          <w:rFonts w:ascii="Palatino Linotype" w:cs="Palatino Linotype" w:eastAsia="Palatino Linotype" w:hAnsi="Palatino Linotype"/>
          <w:color w:val="000000"/>
          <w:rtl w:val="0"/>
        </w:rPr>
        <w:t xml:space="preserve">que contienen lo siguiente:</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tabs>
          <w:tab w:val="left" w:pos="709"/>
        </w:tabs>
        <w:spacing w:after="240" w:before="120"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4667854" cy="5034924"/>
            <wp:effectExtent b="0" l="0" r="0" t="0"/>
            <wp:docPr id="4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667854" cy="503492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tabs>
          <w:tab w:val="left" w:pos="709"/>
        </w:tabs>
        <w:spacing w:after="240" w:before="120" w:line="36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tabs>
          <w:tab w:val="left" w:pos="709"/>
        </w:tabs>
        <w:spacing w:after="240" w:before="120" w:line="36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tabs>
          <w:tab w:val="left" w:pos="709"/>
        </w:tabs>
        <w:spacing w:after="240" w:before="120"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4740443" cy="5942450"/>
            <wp:effectExtent b="0" l="0" r="0" t="0"/>
            <wp:docPr id="4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40443" cy="59424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tabs>
          <w:tab w:val="left" w:pos="709"/>
        </w:tabs>
        <w:spacing w:after="240" w:before="120"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4736153" cy="6016382"/>
            <wp:effectExtent b="0" l="0" r="0" t="0"/>
            <wp:docPr id="4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736153" cy="601638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tabs>
          <w:tab w:val="left" w:pos="709"/>
        </w:tabs>
        <w:spacing w:after="240" w:before="120"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4551531" cy="2580643"/>
            <wp:effectExtent b="0" l="0" r="0" t="0"/>
            <wp:docPr id="4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551531" cy="258064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Documento que fue puesto en la vista en fecha </w:t>
      </w:r>
      <w:r w:rsidDel="00000000" w:rsidR="00000000" w:rsidRPr="00000000">
        <w:rPr>
          <w:rFonts w:ascii="Palatino Linotype" w:cs="Palatino Linotype" w:eastAsia="Palatino Linotype" w:hAnsi="Palatino Linotype"/>
          <w:b w:val="1"/>
          <w:color w:val="000000"/>
          <w:rtl w:val="0"/>
        </w:rPr>
        <w:t xml:space="preserve">treinta de junio de dos mil veintidós</w:t>
      </w:r>
      <w:r w:rsidDel="00000000" w:rsidR="00000000" w:rsidRPr="00000000">
        <w:rPr>
          <w:rFonts w:ascii="Palatino Linotype" w:cs="Palatino Linotype" w:eastAsia="Palatino Linotype" w:hAnsi="Palatino Linotype"/>
          <w:color w:val="000000"/>
          <w:rtl w:val="0"/>
        </w:rPr>
        <w:t xml:space="preserve">, sin que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emitiera alguna manifestación.</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7.-Ampliación del plazo.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siete de julio del año dos mil veintidós</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A">
      <w:pPr>
        <w:spacing w:line="360" w:lineRule="auto"/>
        <w:jc w:val="both"/>
        <w:rPr>
          <w:rFonts w:ascii="Palatino Linotype" w:cs="Palatino Linotype" w:eastAsia="Palatino Linotype" w:hAnsi="Palatino Linotype"/>
        </w:rPr>
      </w:pPr>
      <w:bookmarkStart w:colFirst="0" w:colLast="0" w:name="_heading=h.2et92p0" w:id="1"/>
      <w:bookmarkEnd w:id="1"/>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trike w:val="1"/>
          <w:color w:val="ff0000"/>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numPr>
          <w:ilvl w:val="0"/>
          <w:numId w:val="7"/>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5">
      <w:pPr>
        <w:spacing w:line="360" w:lineRule="auto"/>
        <w:ind w:left="92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numPr>
          <w:ilvl w:val="0"/>
          <w:numId w:val="7"/>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numPr>
          <w:ilvl w:val="0"/>
          <w:numId w:val="7"/>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9">
      <w:pPr>
        <w:spacing w:line="360" w:lineRule="auto"/>
        <w:ind w:left="708"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line="360" w:lineRule="auto"/>
        <w:ind w:left="993" w:hanging="42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3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5">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spacing w:line="360" w:lineRule="auto"/>
        <w:jc w:val="both"/>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cuatro de agosto del año dos mil veintidós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spacing w:after="240" w:before="240" w:line="360" w:lineRule="auto"/>
        <w:ind w:left="720" w:hanging="720"/>
        <w:jc w:val="center"/>
        <w:rPr>
          <w:rFonts w:ascii="Palatino Linotype" w:cs="Palatino Linotype" w:eastAsia="Palatino Linotype" w:hAnsi="Palatino Linotype"/>
          <w:b w:val="1"/>
          <w:color w:val="000000"/>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color w:val="000000"/>
          <w:sz w:val="22"/>
          <w:szCs w:val="22"/>
          <w:rtl w:val="0"/>
        </w:rPr>
        <w:t xml:space="preserve">C O N S I D E R A N D O</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highlight w:val="white"/>
          <w:rtl w:val="0"/>
        </w:rPr>
        <w:t xml:space="preserve">RECURRENTE</w:t>
      </w:r>
      <w:r w:rsidDel="00000000" w:rsidR="00000000" w:rsidRPr="00000000">
        <w:rPr>
          <w:rFonts w:ascii="Palatino Linotype" w:cs="Palatino Linotype" w:eastAsia="Palatino Linotype" w:hAnsi="Palatino Linotype"/>
          <w:highlight w:val="whit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cinco de abril del dos mil veintidós, y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seis de abril del mismo año, esto es al día hábil siguiente de aquel en que tuvo conocimiento de la respuesta, evidenciándose que la interposición del recurso se encuentra dentro de los márgenes temporales previstos en el citado precepto legal.</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1">
      <w:pPr>
        <w:spacing w:after="24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solicitante."(Sic)</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las hipótesis previstas en el artículo 179, fracción XIII de la ley de la materia, que a la letra dice:</w:t>
      </w:r>
    </w:p>
    <w:p w:rsidR="00000000" w:rsidDel="00000000" w:rsidP="00000000" w:rsidRDefault="00000000" w:rsidRPr="00000000" w14:paraId="00000054">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5">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6">
      <w:pPr>
        <w:ind w:left="1276" w:right="175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 La falta, deficiencia o insuficiencia de la fundamentación y/o motivación en la respuesta;…” (Sic)</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80" w:before="280" w:line="360" w:lineRule="auto"/>
        <w:jc w:val="both"/>
        <w:rPr>
          <w:color w:val="000000"/>
        </w:rPr>
      </w:pPr>
      <w:r w:rsidDel="00000000" w:rsidR="00000000" w:rsidRPr="00000000">
        <w:rPr>
          <w:rFonts w:ascii="Palatino Linotype" w:cs="Palatino Linotype" w:eastAsia="Palatino Linotype" w:hAnsi="Palatino Linotype"/>
          <w:b w:val="1"/>
          <w:color w:val="000000"/>
          <w:rtl w:val="0"/>
        </w:rPr>
        <w:t xml:space="preserve">Tercero. Materia de la revisión. </w:t>
      </w:r>
      <w:r w:rsidDel="00000000" w:rsidR="00000000" w:rsidRPr="00000000">
        <w:rPr>
          <w:rFonts w:ascii="Palatino Linotype" w:cs="Palatino Linotype" w:eastAsia="Palatino Linotype" w:hAnsi="Palatino Linotype"/>
          <w:color w:val="000000"/>
          <w:rtl w:val="0"/>
        </w:rPr>
        <w:t xml:space="preserve">De la revisión a las constancias y documentos que obran en el expediente electrónico se advierte, que el tema sobre el que este Órgano Garante de Transparencia y Acceso a la Información se pronunciará será: </w:t>
      </w:r>
      <w:r w:rsidDel="00000000" w:rsidR="00000000" w:rsidRPr="00000000">
        <w:rPr>
          <w:rFonts w:ascii="Palatino Linotype" w:cs="Palatino Linotype" w:eastAsia="Palatino Linotype" w:hAnsi="Palatino Linotype"/>
          <w:b w:val="1"/>
          <w:color w:val="000000"/>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color w:val="000000"/>
          <w:rtl w:val="0"/>
        </w:rPr>
        <w:t xml:space="preserve">de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o en su defecto, en caso de ser procedente, ordenar la entrega de información oportuna.</w:t>
      </w:r>
      <w:r w:rsidDel="00000000" w:rsidR="00000000" w:rsidRPr="00000000">
        <w:rPr>
          <w:rtl w:val="0"/>
        </w:rPr>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9">
      <w:pPr>
        <w:tabs>
          <w:tab w:val="left" w:pos="709"/>
        </w:tabs>
        <w:spacing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A">
      <w:pPr>
        <w:tabs>
          <w:tab w:val="left" w:pos="709"/>
        </w:tabs>
        <w:spacing w:line="276" w:lineRule="auto"/>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B">
      <w:pPr>
        <w:tabs>
          <w:tab w:val="left" w:pos="709"/>
        </w:tabs>
        <w:spacing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C">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D">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E">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6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1">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3">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64">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5">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66">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7">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8">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9">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6E">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F">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70">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71">
      <w:pPr>
        <w:spacing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2">
      <w:pPr>
        <w:spacing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3">
      <w:pPr>
        <w:spacing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4">
      <w:pPr>
        <w:spacing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5">
      <w:pPr>
        <w:spacing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76">
      <w:pPr>
        <w:ind w:left="709" w:right="7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78">
      <w:pPr>
        <w:spacing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9">
      <w:pPr>
        <w:spacing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A">
      <w:pPr>
        <w:spacing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7B">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7D">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conviene mencionar que la Ley de Transparencia vigente en el Estado de México refiere: </w:t>
      </w:r>
    </w:p>
    <w:p w:rsidR="00000000" w:rsidDel="00000000" w:rsidP="00000000" w:rsidRDefault="00000000" w:rsidRPr="00000000" w14:paraId="0000008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83">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4">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5">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6">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87">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89">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8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D">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E">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8F">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0">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91">
      <w:pPr>
        <w:spacing w:line="276"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3">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95">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96">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97">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8">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9">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trasparencia señaladas en los artículos 92 y 100 de la Ley de la Materia.</w:t>
      </w:r>
    </w:p>
    <w:p w:rsidR="00000000" w:rsidDel="00000000" w:rsidP="00000000" w:rsidRDefault="00000000" w:rsidRPr="00000000" w14:paraId="0000009B">
      <w:pPr>
        <w:spacing w:after="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es pertinente recordar que de las constancias que integran el expediente de recurso de revisión al rubro indicado, el entonces solicitante formuló su requerimiento en el formato previamente establecido para tal efecto, en el que manifestó: </w:t>
      </w:r>
    </w:p>
    <w:p w:rsidR="00000000" w:rsidDel="00000000" w:rsidP="00000000" w:rsidRDefault="00000000" w:rsidRPr="00000000" w14:paraId="0000009C">
      <w:pPr>
        <w:spacing w:after="240" w:before="240" w:line="276" w:lineRule="auto"/>
        <w:ind w:left="1134"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 requiero saber </w:t>
      </w:r>
      <w:r w:rsidDel="00000000" w:rsidR="00000000" w:rsidRPr="00000000">
        <w:rPr>
          <w:rFonts w:ascii="Palatino Linotype" w:cs="Palatino Linotype" w:eastAsia="Palatino Linotype" w:hAnsi="Palatino Linotype"/>
          <w:i w:val="1"/>
          <w:u w:val="single"/>
          <w:rtl w:val="0"/>
        </w:rPr>
        <w:t xml:space="preserve">el </w:t>
      </w:r>
      <w:r w:rsidDel="00000000" w:rsidR="00000000" w:rsidRPr="00000000">
        <w:rPr>
          <w:rFonts w:ascii="Palatino Linotype" w:cs="Palatino Linotype" w:eastAsia="Palatino Linotype" w:hAnsi="Palatino Linotype"/>
          <w:b w:val="1"/>
          <w:i w:val="1"/>
          <w:u w:val="single"/>
          <w:rtl w:val="0"/>
        </w:rPr>
        <w:t xml:space="preserve">itinerario de la presidente municipal Sandra Luz</w:t>
      </w:r>
      <w:r w:rsidDel="00000000" w:rsidR="00000000" w:rsidRPr="00000000">
        <w:rPr>
          <w:rFonts w:ascii="Palatino Linotype" w:cs="Palatino Linotype" w:eastAsia="Palatino Linotype" w:hAnsi="Palatino Linotype"/>
          <w:i w:val="1"/>
          <w:rtl w:val="0"/>
        </w:rPr>
        <w:t xml:space="preserve"> me refiero a que quiero saber </w:t>
      </w:r>
      <w:r w:rsidDel="00000000" w:rsidR="00000000" w:rsidRPr="00000000">
        <w:rPr>
          <w:rFonts w:ascii="Palatino Linotype" w:cs="Palatino Linotype" w:eastAsia="Palatino Linotype" w:hAnsi="Palatino Linotype"/>
          <w:b w:val="1"/>
          <w:i w:val="1"/>
          <w:u w:val="single"/>
          <w:rtl w:val="0"/>
        </w:rPr>
        <w:t xml:space="preserve">su horario de trabajo</w:t>
      </w:r>
      <w:r w:rsidDel="00000000" w:rsidR="00000000" w:rsidRPr="00000000">
        <w:rPr>
          <w:rFonts w:ascii="Palatino Linotype" w:cs="Palatino Linotype" w:eastAsia="Palatino Linotype" w:hAnsi="Palatino Linotype"/>
          <w:i w:val="1"/>
          <w:u w:val="single"/>
          <w:rtl w:val="0"/>
        </w:rPr>
        <w:t xml:space="preserve">,</w:t>
      </w:r>
      <w:r w:rsidDel="00000000" w:rsidR="00000000" w:rsidRPr="00000000">
        <w:rPr>
          <w:rFonts w:ascii="Palatino Linotype" w:cs="Palatino Linotype" w:eastAsia="Palatino Linotype" w:hAnsi="Palatino Linotype"/>
          <w:i w:val="1"/>
          <w:rtl w:val="0"/>
        </w:rPr>
        <w:t xml:space="preserve"> es decir a que hora inicia su quehacer gubernamental y </w:t>
      </w:r>
      <w:r w:rsidDel="00000000" w:rsidR="00000000" w:rsidRPr="00000000">
        <w:rPr>
          <w:rFonts w:ascii="Palatino Linotype" w:cs="Palatino Linotype" w:eastAsia="Palatino Linotype" w:hAnsi="Palatino Linotype"/>
          <w:b w:val="1"/>
          <w:i w:val="1"/>
          <w:u w:val="single"/>
          <w:rtl w:val="0"/>
        </w:rPr>
        <w:t xml:space="preserve">cuales son las principales actividades que realiza desde la mañana hasta el anochecer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u w:val="single"/>
          <w:rtl w:val="0"/>
        </w:rPr>
        <w:t xml:space="preserve">lo anterior incluyendo a que hora sale por el pan y su cafe.”</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9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respuesta a través del Titular de la Unidad de Transparencia, donde refiere sustancialmente lo siguiente  </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94" w:right="90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 Subdirección de Recursos Humanos y Nómina del H.</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Ayuntamiento hace saber que: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94" w:right="900"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94" w:right="90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 acuerdo al Bando de Gobierno Municipal el cual, establece las facultades a las que es acreedora la figura de Presidente Municipal fundado y motivado con leyes tales como se adjunta a continuación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“Artículos 1, 115 de la Constitución Política de los Estados Unidos Mexicanos; los artículos 122, 128 fracciones III y XII, y 138 de la Constitución Política del Estado Libre y Soberano de México; el artículo 48 fracción III de la Ley Orgánica Municipal del Estado de México. </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9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94" w:right="900"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Respecto de que cuales son las principales actividades que realiza desde la mañana hasta el anochecer; un Presidente Municipal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 cuenta con un horario establecido, derivado de las múltiples funciones a las que es responsable, por ser la titular de la Administración Municipal, se sugiere revisar el Articulo 128 fracciones III y XII, de la Constitución Política del Estado Libre y Soberano de México para mayor amplitud a las facultades y obligaciones de la Presidente Municipal, como persona jurídica para ejercer derechos y asumir obligaciones en términos de la Ley en materia.</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94" w:right="900"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94" w:right="900"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relación a que se incluya a que hora sale por el pan y su café; me permito hacerle saber que efectivamente es una figura pública así lo marca la Ley pero de acuerdo a la Datos Personales en Posesión de Sujetos Obligados del Estado de México y Municipios. Misma que; tiene por objeto establecer las bases, principios y procedimientos para garantizar el derecho que tiene toda persona a la protección de sus datos personales así como su vida personal, dado que conforme a dicha ley, exponer las actividades que realiza en su quehacer como persona vulnera su identidad y su derecho a la protección de su identidad la cual, no es pública.</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94" w:right="900"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rtl w:val="0"/>
        </w:rPr>
        <w:t xml:space="preserve">En principio, es necesario mencionar se advierte que algunos de los requerimientos vertidos en la solicitud de información se hicieron a modo de cuestionamientos, lo cual nos podría llevar a pensar que el Particular se encuentra ejerciendo el derecho de petición y el cual, no podría ser atendido por esta vía, sin embargo, es menester traer a colación el Criterio 16/17 emitido por el Instituto Nacional de Transparencia, Acceso a la Información y Protección de Datos Personales, el cual establece que:  </w:t>
      </w:r>
    </w:p>
    <w:p w:rsidR="00000000" w:rsidDel="00000000" w:rsidP="00000000" w:rsidRDefault="00000000" w:rsidRPr="00000000" w14:paraId="000000A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Expresión documental.</w:t>
      </w:r>
      <w:r w:rsidDel="00000000" w:rsidR="00000000" w:rsidRPr="00000000">
        <w:rPr>
          <w:rFonts w:ascii="Palatino Linotype" w:cs="Palatino Linotype" w:eastAsia="Palatino Linotype" w:hAnsi="Palatino Linotype"/>
          <w:i w:val="1"/>
          <w:sz w:val="22"/>
          <w:szCs w:val="22"/>
          <w:rtl w:val="0"/>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w:t>
      </w:r>
    </w:p>
    <w:p w:rsidR="00000000" w:rsidDel="00000000" w:rsidP="00000000" w:rsidRDefault="00000000" w:rsidRPr="00000000" w14:paraId="000000A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dichas solicitudes una interpretación que les otorgue una expresión documental.</w:t>
      </w:r>
    </w:p>
    <w:p w:rsidR="00000000" w:rsidDel="00000000" w:rsidP="00000000" w:rsidRDefault="00000000" w:rsidRPr="00000000" w14:paraId="000000AB">
      <w:pPr>
        <w:spacing w:after="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resulta procedente realizar el análisis de los requerimientos del Particular, al tenor de lo siguiente: </w:t>
      </w:r>
    </w:p>
    <w:p w:rsidR="00000000" w:rsidDel="00000000" w:rsidP="00000000" w:rsidRDefault="00000000" w:rsidRPr="00000000" w14:paraId="000000A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60" w:lineRule="auto"/>
        <w:ind w:left="1854"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Respecto al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horario de trabajo de la presidente municipal Sandra Luz</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tiene que la Subdirección de Recursos Humanos y Nómina del H. Ayuntamiento hace saber que un Presidente Municipal no cuenta con un horario establecido, derivado de las múltiples funciones a las que es responsable, por ser la titular de la Administración Municipal,  y sugiere revisar el Articulo 128 fracciones III y XII, de la Constitución Política del Estado Libre y Soberano de México para mayor amplitud a las facultades y obligaciones de la Presidente Municipal, como persona jurídica para ejercer derechos y asumir obligaciones en términos de la Ley en materia.</w:t>
      </w:r>
    </w:p>
    <w:p w:rsidR="00000000" w:rsidDel="00000000" w:rsidP="00000000" w:rsidRDefault="00000000" w:rsidRPr="00000000" w14:paraId="000000B0">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el Bando Municipal de Texcoco 2022,  refiere:</w:t>
      </w:r>
    </w:p>
    <w:p w:rsidR="00000000" w:rsidDel="00000000" w:rsidP="00000000" w:rsidRDefault="00000000" w:rsidRPr="00000000" w14:paraId="000000B1">
      <w:pPr>
        <w:spacing w:after="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82. </w:t>
      </w:r>
      <w:r w:rsidDel="00000000" w:rsidR="00000000" w:rsidRPr="00000000">
        <w:rPr>
          <w:rFonts w:ascii="Palatino Linotype" w:cs="Palatino Linotype" w:eastAsia="Palatino Linotype" w:hAnsi="Palatino Linotype"/>
          <w:b w:val="1"/>
          <w:i w:val="1"/>
          <w:sz w:val="22"/>
          <w:szCs w:val="22"/>
          <w:rtl w:val="0"/>
        </w:rPr>
        <w:t xml:space="preserve">La Dirección General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 humanos</w:t>
      </w:r>
      <w:r w:rsidDel="00000000" w:rsidR="00000000" w:rsidRPr="00000000">
        <w:rPr>
          <w:rFonts w:ascii="Palatino Linotype" w:cs="Palatino Linotype" w:eastAsia="Palatino Linotype" w:hAnsi="Palatino Linotype"/>
          <w:i w:val="1"/>
          <w:sz w:val="22"/>
          <w:szCs w:val="22"/>
          <w:rtl w:val="0"/>
        </w:rPr>
        <w:t xml:space="preserve">, materiales, tecnológicos y de servicios, para el cumplimiento de los programas y proyectos del Gobierno Municipal.</w:t>
      </w:r>
    </w:p>
    <w:p w:rsidR="00000000" w:rsidDel="00000000" w:rsidP="00000000" w:rsidRDefault="00000000" w:rsidRPr="00000000" w14:paraId="000000B2">
      <w:pPr>
        <w:spacing w:after="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Así como también deberá brindar el soporte</w:t>
      </w:r>
      <w:r w:rsidDel="00000000" w:rsidR="00000000" w:rsidRPr="00000000">
        <w:rPr>
          <w:rFonts w:ascii="Palatino Linotype" w:cs="Palatino Linotype" w:eastAsia="Palatino Linotype" w:hAnsi="Palatino Linotype"/>
          <w:i w:val="1"/>
          <w:sz w:val="22"/>
          <w:szCs w:val="22"/>
          <w:rtl w:val="0"/>
        </w:rPr>
        <w:t xml:space="preserve"> material, técnico, humano, administrativo, organizacional e informático a las dependencias de la Administración Pública Municipal. Las demás que le instruya el Ayuntamiento y la Presidenta Municipal en el ejercicio de sus facultades. Así, como las que expresamente le otorguen otros ordenamientos jurídicos o administrativos.</w:t>
      </w:r>
    </w:p>
    <w:p w:rsidR="00000000" w:rsidDel="00000000" w:rsidP="00000000" w:rsidRDefault="00000000" w:rsidRPr="00000000" w14:paraId="000000B3">
      <w:pPr>
        <w:spacing w:after="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83. Para el eficiente y eficaz ejercicio de sus atribuciones la Dirección General de Administración contará con las siguientes unidades administrativas:</w:t>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76" w:lineRule="auto"/>
        <w:ind w:left="1134"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Subdirección de Recursos Humanos y Nómina;</w:t>
        <w:br w:type="textWrapping"/>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antes señalado,  se observa que la Subdirección de Recursos Humanos de la Dirección General de Administración, contó con facultades para proporcionar la respuesta en atención a los horarios de trabajo de la Presidenta Municipal, ya que tienen como atribución el control de recursos humanos. </w:t>
      </w:r>
    </w:p>
    <w:p w:rsidR="00000000" w:rsidDel="00000000" w:rsidP="00000000" w:rsidRDefault="00000000" w:rsidRPr="00000000" w14:paraId="000000B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cabe recordar que en respuesta, la Unidad de Transparencia en coordinación con la Subdirección de Recursos Humanos y Nómina, informó que un Presidente Municipal no cuenta con un horario establecido, derivado de las múltiples funciones a las que es responsable, por ser la titular de la Administración Municipal; pronunciamiento que resulta </w:t>
      </w:r>
      <w:r w:rsidDel="00000000" w:rsidR="00000000" w:rsidRPr="00000000">
        <w:rPr>
          <w:rFonts w:ascii="Palatino Linotype" w:cs="Palatino Linotype" w:eastAsia="Palatino Linotype" w:hAnsi="Palatino Linotype"/>
          <w:b w:val="1"/>
          <w:rtl w:val="0"/>
        </w:rPr>
        <w:t xml:space="preserve">congruente</w:t>
      </w:r>
      <w:r w:rsidDel="00000000" w:rsidR="00000000" w:rsidRPr="00000000">
        <w:rPr>
          <w:rFonts w:ascii="Palatino Linotype" w:cs="Palatino Linotype" w:eastAsia="Palatino Linotype" w:hAnsi="Palatino Linotype"/>
          <w:rtl w:val="0"/>
        </w:rPr>
        <w:t xml:space="preserve">, pues derivado del marco normativo antes señalado no cuenta con una jornada de trabajo.</w:t>
      </w:r>
    </w:p>
    <w:p w:rsidR="00000000" w:rsidDel="00000000" w:rsidP="00000000" w:rsidRDefault="00000000" w:rsidRPr="00000000" w14:paraId="000000B8">
      <w:pPr>
        <w:tabs>
          <w:tab w:val="left" w:pos="5430"/>
        </w:tabs>
        <w:spacing w:line="360" w:lineRule="auto"/>
        <w:ind w:left="5430" w:hanging="543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no se omite comentar que, al haber existido un pronunciamiento por parte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y de manera particular por parte del servidor público habilitado competente, a fin de dar respuesta a la solicitud planteada, este Instituto no está facultado para manifestarse sobre la veracidad de la información proporcionada, pues este Organismo Garante conforme al artículo 36 de la Ley de la Materia, no se encuentra facultado para pronunciarse acerca de la veracidad de la información remitida por los Sujetos Obligados.</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Sirve de sustento a lo anterior, el criterio 31/10 emitido por el entonces Instituto Federal de Acceso a la Información y Protección de Datos, ahora Instituto Nacional de Acceso a la Información y Protección de Datos, el cual refiere: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104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104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Criterio 31/10</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(sic)</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36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En mérito de lo expuesto, esta Autoridad estima procedente</w:t>
      </w:r>
      <w:r w:rsidDel="00000000" w:rsidR="00000000" w:rsidRPr="00000000">
        <w:rPr>
          <w:rFonts w:ascii="Palatino Linotype" w:cs="Palatino Linotype" w:eastAsia="Palatino Linotype" w:hAnsi="Palatino Linotype"/>
          <w:b w:val="1"/>
          <w:i w:val="0"/>
          <w:smallCaps w:val="0"/>
          <w:strike w:val="0"/>
          <w:color w:val="222222"/>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confirmar este punto en la respuesta del </w:t>
      </w:r>
      <w:r w:rsidDel="00000000" w:rsidR="00000000" w:rsidRPr="00000000">
        <w:rPr>
          <w:rFonts w:ascii="Palatino Linotype" w:cs="Palatino Linotype" w:eastAsia="Palatino Linotype" w:hAnsi="Palatino Linotype"/>
          <w:b w:val="1"/>
          <w:i w:val="0"/>
          <w:smallCaps w:val="0"/>
          <w:strike w:val="0"/>
          <w:color w:val="222222"/>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en atención al horario de Trabajo de la Presidenta Municipal.</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854"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En cuanto al </w:t>
      </w:r>
      <w:r w:rsidDel="00000000" w:rsidR="00000000" w:rsidRPr="00000000">
        <w:rPr>
          <w:rFonts w:ascii="Palatino Linotype" w:cs="Palatino Linotype" w:eastAsia="Palatino Linotype" w:hAnsi="Palatino Linotype"/>
          <w:b w:val="1"/>
          <w:i w:val="1"/>
          <w:smallCaps w:val="0"/>
          <w:strike w:val="0"/>
          <w:color w:val="000000"/>
          <w:sz w:val="24"/>
          <w:szCs w:val="24"/>
          <w:u w:val="single"/>
          <w:shd w:fill="auto" w:val="clear"/>
          <w:vertAlign w:val="baseline"/>
          <w:rtl w:val="0"/>
        </w:rPr>
        <w:t xml:space="preserve">itinerario de la presidente municipal Sandra Luz</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 y </w:t>
      </w:r>
      <w:r w:rsidDel="00000000" w:rsidR="00000000" w:rsidRPr="00000000">
        <w:rPr>
          <w:rFonts w:ascii="Palatino Linotype" w:cs="Palatino Linotype" w:eastAsia="Palatino Linotype" w:hAnsi="Palatino Linotype"/>
          <w:b w:val="1"/>
          <w:i w:val="1"/>
          <w:smallCaps w:val="0"/>
          <w:strike w:val="0"/>
          <w:color w:val="000000"/>
          <w:sz w:val="24"/>
          <w:szCs w:val="24"/>
          <w:u w:val="single"/>
          <w:shd w:fill="auto" w:val="clear"/>
          <w:vertAlign w:val="baseline"/>
          <w:rtl w:val="0"/>
        </w:rPr>
        <w:t xml:space="preserve">cuáles son las principales actividades que realiza desde la mañana hasta el anochecer</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42" w:right="49" w:firstLine="0"/>
        <w:jc w:val="both"/>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respecto se tiene que de igual manera la Subdirección de Recursos Humanos y Nómina del H. Ayuntamiento respondió que las facultades a las que es acreedora la figura de Presidente Municipal fundado y motivado con leyes tales como se adjunta a continuación</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“Artículos 1, 115 de la Constitución Política de los Estados Unidos Mexicanos; los artículos 122, 128 fracciones III y XII, y 138 de la Constitución Política del Estado Libre y Soberano de México; el artículo 48 fracción III de la Ley Orgánica Municipal del Estado de México”.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42"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efecto dichos numerales establecen las atribuciones de los Presidentes Municipales, como se advierte en el artículo 115, de la Constitución Política de los Estados Unidos Mexicanos: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76"/>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(sic DOF 03-02-1983) alegatos que a su juicio convengan.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 alguno de los miembros dejare de desempeñar su cargo, será sustituido por su suplente, o se procederá según lo disponga la ley.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caso de declararse desaparecido un Ayuntamiento o por renuncia o falta absoluta de la mayoría de sus miembros, si conforme a la ley no procede que entren en funciones los suplentes ni que se celebren nuevas elecciones, las legislaturas de los Estados designarán de entre los vecinos a los Concejos Municipales que concluirán los períodos respectivos; estos Concejos estarán integrados por el número de miembros que determine la ley, quienes deberán cumplir los requisitos de elegibilidad establecidos para los regidores;</w:t>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418"/>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objeto de las leyes a que se refiere el párrafo anterior será establecer:</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b) 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 Las normas de aplicación general para celebrar los convenios a que se refieren tanto las fracciones III y IV de este artículo, como el segundo párrafo de la fracción VII del artículo 116 de esta Constitución;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 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 Las disposiciones aplicables en aquellos municipios que no cuenten con los bandos o reglamentos correspondientes.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legislaturas estatales emitirán las normas que establezcan los procedimientos mediante los cuales se resolverán los conflictos que se presenten entre los municipios y el gobierno del estado, o entre aquéllos, con motivo de los actos derivados de los incisos c) y d) anteriores;</w:t>
      </w:r>
    </w:p>
    <w:p w:rsidR="00000000" w:rsidDel="00000000" w:rsidP="00000000" w:rsidRDefault="00000000" w:rsidRPr="00000000" w14:paraId="000000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Municipios tendrán a su cargo las funciones y servicios públicos siguientes: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 Agua potable, drenaje, alcantarillado, tratamiento y disposición de sus aguas residuales;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b) Alumbrado público.</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 Limpia, recolección, traslado, tratamiento y disposición final de residuos;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 Mercados y centrales de abasto.</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 Panteones.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 Rastro.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g) Calles, parques y jardines y su equipamiento;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 Seguridad pública, en los términos del artículo 21 de esta Constitución, policía preventiva municipal y tránsito; e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 Los demás que las Legislaturas locales determinen según las condiciones territoriales y socio-económicas de los Municipios, así como su capacidad administrativa y financiera.</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Sin perjuicio de su competencia constitucional, en el desempeño de las funciones o la prestación de los servicios a su cargo, los municipios observarán lo dispuesto por las leyes federales y estatales.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a juicio del ayuntamiento respectivo sea necesario, podrán celebrar convenios con el Estado para que éste, de manera directa o a través del organismo correspondiente, se haga cargo en forma temporal de algunos de ellos, o bien se presten o ejerzan coordinadamente por el Estado y el propio municipio;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47"/>
        </w:tabs>
        <w:spacing w:after="240" w:before="24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comunidades indígenas, dentro del ámbito municipal, podrán coordinarse y asociarse en los términos y para los efectos que prevenga la ley. …”</w:t>
      </w:r>
    </w:p>
    <w:p w:rsidR="00000000" w:rsidDel="00000000" w:rsidP="00000000" w:rsidRDefault="00000000" w:rsidRPr="00000000" w14:paraId="000000DC">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Sin embargo, de la lectura a este punto de la solicitud de información, se advierte que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toda vez que la persona solicitante </w:t>
      </w:r>
      <w:r w:rsidDel="00000000" w:rsidR="00000000" w:rsidRPr="00000000">
        <w:rPr>
          <w:rFonts w:ascii="Palatino Linotype" w:cs="Palatino Linotype" w:eastAsia="Palatino Linotype" w:hAnsi="Palatino Linotype"/>
          <w:color w:val="000000"/>
          <w:rtl w:val="0"/>
        </w:rPr>
        <w:t xml:space="preserve">al no ser experta en la materia, omitió señalar de manera concreta el o los documentos a los que pretende acceder, es imprescindible mencionar que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rsidR="00000000" w:rsidDel="00000000" w:rsidP="00000000" w:rsidRDefault="00000000" w:rsidRPr="00000000" w14:paraId="000000DD">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Lo anterior en virtud de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sujetos obligados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deberán documentar todo acto que derive del ejercicio de sus facultades, competencias o funciones,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considerando desde su origen la eventual publicidad y reutilización de la información que generen.</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el cumplimiento de los objetivos de esta Ley,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sujetos obligados deberán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cumplir con las siguientes obligaciones, según corresponda, de acuerdo a su naturaleza:</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XXII.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Documentar todo acto que derive del ejercicio de sus facultades, competencias o funciones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abstenerse de destruirlos u ocultarlos, dentro de los que destacan los procesos deliberativos y de decisión definitiva;</w:t>
      </w:r>
    </w:p>
    <w:p w:rsidR="00000000" w:rsidDel="00000000" w:rsidP="00000000" w:rsidRDefault="00000000" w:rsidRPr="00000000" w14:paraId="000000E3">
      <w:pPr>
        <w:spacing w:after="120" w:before="120" w:lineRule="auto"/>
        <w:ind w:left="851" w:right="902"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w:t>
      </w:r>
    </w:p>
    <w:p w:rsidR="00000000" w:rsidDel="00000000" w:rsidP="00000000" w:rsidRDefault="00000000" w:rsidRPr="00000000" w14:paraId="000000E4">
      <w:pPr>
        <w:spacing w:after="120" w:before="120" w:lineRule="auto"/>
        <w:ind w:left="851" w:right="902" w:firstLine="0"/>
        <w:jc w:val="both"/>
        <w:rPr>
          <w:rFonts w:ascii="Palatino Linotype" w:cs="Palatino Linotype" w:eastAsia="Palatino Linotype" w:hAnsi="Palatino Linotype"/>
          <w:i w:val="1"/>
          <w:color w:val="000000"/>
          <w:sz w:val="36"/>
          <w:szCs w:val="36"/>
        </w:rPr>
      </w:pPr>
      <w:r w:rsidDel="00000000" w:rsidR="00000000" w:rsidRPr="00000000">
        <w:rPr>
          <w:rFonts w:ascii="Palatino Linotype" w:cs="Palatino Linotype" w:eastAsia="Palatino Linotype" w:hAnsi="Palatino Linotype"/>
          <w:b w:val="1"/>
          <w:i w:val="1"/>
          <w:color w:val="000000"/>
          <w:sz w:val="22"/>
          <w:szCs w:val="22"/>
          <w:rtl w:val="0"/>
        </w:rPr>
        <w:t xml:space="preserve">Artículo 160</w:t>
      </w:r>
      <w:r w:rsidDel="00000000" w:rsidR="00000000" w:rsidRPr="00000000">
        <w:rPr>
          <w:rFonts w:ascii="Palatino Linotype" w:cs="Palatino Linotype" w:eastAsia="Palatino Linotype" w:hAnsi="Palatino Linotype"/>
          <w:i w:val="1"/>
          <w:color w:val="000000"/>
          <w:sz w:val="22"/>
          <w:szCs w:val="22"/>
          <w:rtl w:val="0"/>
        </w:rPr>
        <w:t xml:space="preserve">. Los sujetos obligados </w:t>
      </w:r>
      <w:r w:rsidDel="00000000" w:rsidR="00000000" w:rsidRPr="00000000">
        <w:rPr>
          <w:rFonts w:ascii="Palatino Linotype" w:cs="Palatino Linotype" w:eastAsia="Palatino Linotype" w:hAnsi="Palatino Linotype"/>
          <w:b w:val="1"/>
          <w:i w:val="1"/>
          <w:color w:val="000000"/>
          <w:sz w:val="22"/>
          <w:szCs w:val="22"/>
          <w:rtl w:val="0"/>
        </w:rPr>
        <w:t xml:space="preserve">deberán otorgar acceso a los documentos que se encuentren en sus archivos o que estén obligados a documentar de acuerdo con sus facultades, competencias o funciones</w:t>
      </w:r>
      <w:r w:rsidDel="00000000" w:rsidR="00000000" w:rsidRPr="00000000">
        <w:rPr>
          <w:rFonts w:ascii="Palatino Linotype" w:cs="Palatino Linotype" w:eastAsia="Palatino Linotype" w:hAnsi="Palatino Linotype"/>
          <w:i w:val="1"/>
          <w:color w:val="000000"/>
          <w:sz w:val="22"/>
          <w:szCs w:val="22"/>
          <w:rtl w:val="0"/>
        </w:rPr>
        <w:t xml:space="preserve"> en el formato que el solicitante manifieste, de entre aquellos formatos existentes, conforme a las características físicas de la información o del lugar donde se encuentre así lo permita.”</w:t>
      </w:r>
      <w:r w:rsidDel="00000000" w:rsidR="00000000" w:rsidRPr="00000000">
        <w:rPr>
          <w:rtl w:val="0"/>
        </w:rPr>
      </w:r>
    </w:p>
    <w:p w:rsidR="00000000" w:rsidDel="00000000" w:rsidP="00000000" w:rsidRDefault="00000000" w:rsidRPr="00000000" w14:paraId="000000E5">
      <w:pPr>
        <w:spacing w:after="120" w:before="120" w:lineRule="auto"/>
        <w:ind w:left="851" w:right="902"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E6">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ello se estima que el documento que pudiera dar cuenta a este punto de la solicitud de información es precisamente la agenda pública, tal como se precisará en párrafos posteriores.</w:t>
      </w:r>
    </w:p>
    <w:p w:rsidR="00000000" w:rsidDel="00000000" w:rsidP="00000000" w:rsidRDefault="00000000" w:rsidRPr="00000000" w14:paraId="000000E7">
      <w:pPr>
        <w:spacing w:after="240" w:before="240"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000000"/>
          <w:rtl w:val="0"/>
        </w:rPr>
        <w:t xml:space="preserve">En ese sentido, se advierte que este punto de la solicitud de información únicamente fue atendido por  la Subdirección de Recursos Humanos y Nómina, en </w:t>
      </w:r>
      <w:r w:rsidDel="00000000" w:rsidR="00000000" w:rsidRPr="00000000">
        <w:rPr>
          <w:rFonts w:ascii="Palatino Linotype" w:cs="Palatino Linotype" w:eastAsia="Palatino Linotype" w:hAnsi="Palatino Linotype"/>
          <w:rtl w:val="0"/>
        </w:rPr>
        <w:t xml:space="preserve">consecuencia, se puede determinar que durante la respuesta,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color w:val="222222"/>
          <w:rtl w:val="0"/>
        </w:rPr>
        <w:t xml:space="preserve"> </w:t>
      </w:r>
      <w:r w:rsidDel="00000000" w:rsidR="00000000" w:rsidRPr="00000000">
        <w:rPr>
          <w:rFonts w:ascii="Palatino Linotype" w:cs="Palatino Linotype" w:eastAsia="Palatino Linotype" w:hAnsi="Palatino Linotype"/>
          <w:rtl w:val="0"/>
        </w:rPr>
        <w:t xml:space="preserve">no siguió a cabalidad el procedimiento de acceso a la información previsto en los artículos 162, 163, 164 y 165 de la Ley de Transparencia y Acceso a la Información Pública del Estado de México y Municipios, que rezan así:</w:t>
      </w:r>
      <w:r w:rsidDel="00000000" w:rsidR="00000000" w:rsidRPr="00000000">
        <w:rPr>
          <w:rtl w:val="0"/>
        </w:rPr>
      </w:r>
    </w:p>
    <w:p w:rsidR="00000000" w:rsidDel="00000000" w:rsidP="00000000" w:rsidRDefault="00000000" w:rsidRPr="00000000" w14:paraId="000000E8">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000000" w:rsidDel="00000000" w:rsidP="00000000" w:rsidRDefault="00000000" w:rsidRPr="00000000" w14:paraId="000000E9">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163.</w:t>
      </w:r>
      <w:r w:rsidDel="00000000" w:rsidR="00000000" w:rsidRPr="00000000">
        <w:rPr>
          <w:rFonts w:ascii="Palatino Linotype" w:cs="Palatino Linotype" w:eastAsia="Palatino Linotype" w:hAnsi="Palatino Linotype"/>
          <w:i w:val="1"/>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  </w:t>
      </w:r>
    </w:p>
    <w:p w:rsidR="00000000" w:rsidDel="00000000" w:rsidP="00000000" w:rsidRDefault="00000000" w:rsidRPr="00000000" w14:paraId="000000EA">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0EB">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0EC">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cualquier caso, se deberá fundar y motivar la necesidad de ofrecer otras modalidades.  </w:t>
      </w:r>
    </w:p>
    <w:p w:rsidR="00000000" w:rsidDel="00000000" w:rsidP="00000000" w:rsidRDefault="00000000" w:rsidRPr="00000000" w14:paraId="000000ED">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165.</w:t>
      </w:r>
      <w:r w:rsidDel="00000000" w:rsidR="00000000" w:rsidRPr="00000000">
        <w:rPr>
          <w:rFonts w:ascii="Palatino Linotype" w:cs="Palatino Linotype" w:eastAsia="Palatino Linotype" w:hAnsi="Palatino Linotype"/>
          <w:i w:val="1"/>
          <w:sz w:val="22"/>
          <w:szCs w:val="22"/>
          <w:rtl w:val="0"/>
        </w:rPr>
        <w:t xml:space="preserve"> Los sujetos obligados establecerán la forma y términos en que darán trámite interno a las solicitudes en materia de acceso a la información…”</w:t>
      </w:r>
    </w:p>
    <w:p w:rsidR="00000000" w:rsidDel="00000000" w:rsidP="00000000" w:rsidRDefault="00000000" w:rsidRPr="00000000" w14:paraId="000000E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cuerpo normativo transcrito, se advierte que las unidades de transparencia deberán garantizar que las solicitudes se turnen a todas las áreas que cuenten con la información o que deban tenerla de acuerdo a sus facultades, competencias o funciones.</w:t>
      </w:r>
    </w:p>
    <w:p w:rsidR="00000000" w:rsidDel="00000000" w:rsidP="00000000" w:rsidRDefault="00000000" w:rsidRPr="00000000" w14:paraId="000000F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rsidR="00000000" w:rsidDel="00000000" w:rsidP="00000000" w:rsidRDefault="00000000" w:rsidRPr="00000000" w14:paraId="000000F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derivado de las constancias que obran en el expediente, se advierte que el Titular de la Unidad de Transparencia </w:t>
      </w:r>
      <w:r w:rsidDel="00000000" w:rsidR="00000000" w:rsidRPr="00000000">
        <w:rPr>
          <w:rFonts w:ascii="Palatino Linotype" w:cs="Palatino Linotype" w:eastAsia="Palatino Linotype" w:hAnsi="Palatino Linotype"/>
          <w:b w:val="1"/>
          <w:rtl w:val="0"/>
        </w:rPr>
        <w:t xml:space="preserve">omitió turnar a todas las Áreas competentes</w:t>
      </w:r>
      <w:r w:rsidDel="00000000" w:rsidR="00000000" w:rsidRPr="00000000">
        <w:rPr>
          <w:rFonts w:ascii="Palatino Linotype" w:cs="Palatino Linotype" w:eastAsia="Palatino Linotype" w:hAnsi="Palatino Linotype"/>
          <w:rtl w:val="0"/>
        </w:rPr>
        <w:t xml:space="preserve"> que pudiesen contar con la información o deban tenerla de acuerdo a sus facultades, competencias y funciones, con el objeto de que realizaran una </w:t>
      </w:r>
      <w:r w:rsidDel="00000000" w:rsidR="00000000" w:rsidRPr="00000000">
        <w:rPr>
          <w:rFonts w:ascii="Palatino Linotype" w:cs="Palatino Linotype" w:eastAsia="Palatino Linotype" w:hAnsi="Palatino Linotype"/>
          <w:b w:val="1"/>
          <w:rtl w:val="0"/>
        </w:rPr>
        <w:t xml:space="preserve">búsqueda exhaustiva y razonable</w:t>
      </w:r>
      <w:r w:rsidDel="00000000" w:rsidR="00000000" w:rsidRPr="00000000">
        <w:rPr>
          <w:rFonts w:ascii="Palatino Linotype" w:cs="Palatino Linotype" w:eastAsia="Palatino Linotype" w:hAnsi="Palatino Linotype"/>
          <w:rtl w:val="0"/>
        </w:rPr>
        <w:t xml:space="preserve"> de la información solicitada; como pudiera ser la propia Presidencia Municipal o la Secretaría del Ayuntamiento. </w:t>
      </w:r>
    </w:p>
    <w:p w:rsidR="00000000" w:rsidDel="00000000" w:rsidP="00000000" w:rsidRDefault="00000000" w:rsidRPr="00000000" w14:paraId="000000F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el Bando Municipal de Texcoco 2022, muestra lo siguiente:</w:t>
      </w:r>
    </w:p>
    <w:p w:rsidR="00000000" w:rsidDel="00000000" w:rsidP="00000000" w:rsidRDefault="00000000" w:rsidRPr="00000000" w14:paraId="000000F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31.</w:t>
      </w:r>
      <w:r w:rsidDel="00000000" w:rsidR="00000000" w:rsidRPr="00000000">
        <w:rPr>
          <w:rFonts w:ascii="Palatino Linotype" w:cs="Palatino Linotype" w:eastAsia="Palatino Linotype" w:hAnsi="Palatino Linotype"/>
          <w:i w:val="1"/>
          <w:sz w:val="22"/>
          <w:szCs w:val="22"/>
          <w:rtl w:val="0"/>
        </w:rPr>
        <w:t xml:space="preserve"> Corresponde al titular de la </w:t>
      </w:r>
      <w:r w:rsidDel="00000000" w:rsidR="00000000" w:rsidRPr="00000000">
        <w:rPr>
          <w:rFonts w:ascii="Palatino Linotype" w:cs="Palatino Linotype" w:eastAsia="Palatino Linotype" w:hAnsi="Palatino Linotype"/>
          <w:b w:val="1"/>
          <w:i w:val="1"/>
          <w:sz w:val="22"/>
          <w:szCs w:val="22"/>
          <w:rtl w:val="0"/>
        </w:rPr>
        <w:t xml:space="preserve">Secretaría del Ayuntamiento</w:t>
      </w:r>
      <w:r w:rsidDel="00000000" w:rsidR="00000000" w:rsidRPr="00000000">
        <w:rPr>
          <w:rFonts w:ascii="Palatino Linotype" w:cs="Palatino Linotype" w:eastAsia="Palatino Linotype" w:hAnsi="Palatino Linotype"/>
          <w:i w:val="1"/>
          <w:sz w:val="22"/>
          <w:szCs w:val="22"/>
          <w:rtl w:val="0"/>
        </w:rPr>
        <w:t xml:space="preserve">, además de las atribuciones que expresamente le confiere el artículo 91 de la Ley Orgánica las siguientes facultades:</w:t>
      </w:r>
    </w:p>
    <w:p w:rsidR="00000000" w:rsidDel="00000000" w:rsidP="00000000" w:rsidRDefault="00000000" w:rsidRPr="00000000" w14:paraId="000000F6">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7">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w:t>
      </w:r>
      <w:r w:rsidDel="00000000" w:rsidR="00000000" w:rsidRPr="00000000">
        <w:rPr>
          <w:rFonts w:ascii="Palatino Linotype" w:cs="Palatino Linotype" w:eastAsia="Palatino Linotype" w:hAnsi="Palatino Linotype"/>
          <w:b w:val="1"/>
          <w:i w:val="1"/>
          <w:sz w:val="22"/>
          <w:szCs w:val="22"/>
          <w:rtl w:val="0"/>
        </w:rPr>
        <w:t xml:space="preserve">Coordinar las reuniones o mesas de trabajo que promuevan los integrantes del Ayuntamiento con los titulares de la Administración Pública Municipal,</w:t>
      </w:r>
      <w:r w:rsidDel="00000000" w:rsidR="00000000" w:rsidRPr="00000000">
        <w:rPr>
          <w:rFonts w:ascii="Palatino Linotype" w:cs="Palatino Linotype" w:eastAsia="Palatino Linotype" w:hAnsi="Palatino Linotype"/>
          <w:i w:val="1"/>
          <w:sz w:val="22"/>
          <w:szCs w:val="22"/>
          <w:rtl w:val="0"/>
        </w:rPr>
        <w:t xml:space="preserve"> para el seguimiento de los trabajos realizados por las comisiones edilicias o de los acuerdos tomados en las Sesiones de Cabildo. Garantizando para ello, la aplicación de las medidas sanitarias instruidas por las autoridades de salud y del Ayuntamiento para la prevención y control de enfermedades o contingencias sanitarias causadas por agentes infecciosos de características epidémicas o pandémicas;”</w:t>
      </w:r>
    </w:p>
    <w:p w:rsidR="00000000" w:rsidDel="00000000" w:rsidP="00000000" w:rsidRDefault="00000000" w:rsidRPr="00000000" w14:paraId="000000F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line="360" w:lineRule="auto"/>
        <w:jc w:val="both"/>
        <w:rPr>
          <w:color w:val="000000"/>
        </w:rPr>
      </w:pPr>
      <w:r w:rsidDel="00000000" w:rsidR="00000000" w:rsidRPr="00000000">
        <w:rPr>
          <w:rFonts w:ascii="Palatino Linotype" w:cs="Palatino Linotype" w:eastAsia="Palatino Linotype" w:hAnsi="Palatino Linotype"/>
          <w:rtl w:val="0"/>
        </w:rPr>
        <w:t xml:space="preserve">Más aún cuando </w:t>
      </w:r>
      <w:r w:rsidDel="00000000" w:rsidR="00000000" w:rsidRPr="00000000">
        <w:rPr>
          <w:rFonts w:ascii="Palatino Linotype" w:cs="Palatino Linotype" w:eastAsia="Palatino Linotype" w:hAnsi="Palatino Linotype"/>
          <w:b w:val="1"/>
          <w:color w:val="000000"/>
          <w:rtl w:val="0"/>
        </w:rPr>
        <w:t xml:space="preserve">la Agenda Pública del titular del SUJETO OBLIGADO </w:t>
      </w:r>
      <w:r w:rsidDel="00000000" w:rsidR="00000000" w:rsidRPr="00000000">
        <w:rPr>
          <w:rFonts w:ascii="Palatino Linotype" w:cs="Palatino Linotype" w:eastAsia="Palatino Linotype" w:hAnsi="Palatino Linotype"/>
          <w:color w:val="000000"/>
          <w:rtl w:val="0"/>
        </w:rPr>
        <w:t xml:space="preserve">es, como ya se había anunciado previamente, una obligación de transparencia común en términos de lo dispuesto por el artículo 92 de la Ley de Transparencia y Acceso a la Información Pública del Estado de México y Municipios, tal como se advierte a continuación: </w:t>
      </w:r>
      <w:r w:rsidDel="00000000" w:rsidR="00000000" w:rsidRPr="00000000">
        <w:rPr>
          <w:rtl w:val="0"/>
        </w:rPr>
      </w:r>
    </w:p>
    <w:p w:rsidR="00000000" w:rsidDel="00000000" w:rsidP="00000000" w:rsidRDefault="00000000" w:rsidRPr="00000000" w14:paraId="000000FB">
      <w:pPr>
        <w:rPr>
          <w:color w:val="00000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76" w:lineRule="auto"/>
        <w:ind w:left="1134" w:right="90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92.</w:t>
      </w:r>
      <w:r w:rsidDel="00000000" w:rsidR="00000000" w:rsidRPr="00000000">
        <w:rPr>
          <w:rFonts w:ascii="Palatino Linotype" w:cs="Palatino Linotype" w:eastAsia="Palatino Linotype" w:hAnsi="Palatino Linotype"/>
          <w:i w:val="1"/>
          <w:color w:val="000000"/>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76" w:lineRule="auto"/>
        <w:ind w:left="1134" w:right="90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76" w:lineRule="auto"/>
        <w:ind w:left="1134" w:right="900" w:firstLine="0"/>
        <w:jc w:val="both"/>
        <w:rPr>
          <w:b w:val="1"/>
          <w:color w:val="000000"/>
          <w:u w:val="single"/>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XV. Agenda de reuniones públicas a las que convoquen los titulares de los sujetos obligados;</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76" w:lineRule="auto"/>
        <w:ind w:left="1134" w:right="90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00">
      <w:pPr>
        <w:rPr>
          <w:color w:val="00000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 mayor abundamiento,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se aquella contemplada en el Título Quinto de la Ley General de Transparencia y Acceso a la Información Pública, establece que la Agenda Pública debe contener, las reuniones públicas a las que convoquen los titulares de los sujetos obligados en el ámbito de su competencia, con los contenidos siguientes:</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color w:val="000000"/>
        </w:rPr>
      </w:pPr>
      <w:r w:rsidDel="00000000" w:rsidR="00000000" w:rsidRPr="00000000">
        <w:rPr/>
        <w:drawing>
          <wp:inline distB="0" distT="0" distL="0" distR="0">
            <wp:extent cx="5644393" cy="1861865"/>
            <wp:effectExtent b="0" l="0" r="0" t="0"/>
            <wp:docPr id="44" name="image8.png"/>
            <a:graphic>
              <a:graphicData uri="http://schemas.openxmlformats.org/drawingml/2006/picture">
                <pic:pic>
                  <pic:nvPicPr>
                    <pic:cNvPr id="0" name="image8.png"/>
                    <pic:cNvPicPr preferRelativeResize="0"/>
                  </pic:nvPicPr>
                  <pic:blipFill>
                    <a:blip r:embed="rId12"/>
                    <a:srcRect b="60169" l="61332" r="6252" t="20821"/>
                    <a:stretch>
                      <a:fillRect/>
                    </a:stretch>
                  </pic:blipFill>
                  <pic:spPr>
                    <a:xfrm>
                      <a:off x="0" y="0"/>
                      <a:ext cx="5644393" cy="186186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drawing>
          <wp:inline distB="0" distT="0" distL="0" distR="0">
            <wp:extent cx="5648987" cy="4779177"/>
            <wp:effectExtent b="0" l="0" r="0" t="0"/>
            <wp:docPr id="47" name="image8.png"/>
            <a:graphic>
              <a:graphicData uri="http://schemas.openxmlformats.org/drawingml/2006/picture">
                <pic:pic>
                  <pic:nvPicPr>
                    <pic:cNvPr id="0" name="image8.png"/>
                    <pic:cNvPicPr preferRelativeResize="0"/>
                  </pic:nvPicPr>
                  <pic:blipFill>
                    <a:blip r:embed="rId12"/>
                    <a:srcRect b="14906" l="61268" r="5295" t="38323"/>
                    <a:stretch>
                      <a:fillRect/>
                    </a:stretch>
                  </pic:blipFill>
                  <pic:spPr>
                    <a:xfrm>
                      <a:off x="0" y="0"/>
                      <a:ext cx="5648987" cy="4779177"/>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el que se destaca que la actualización será trimestral o de conformidad con la normatividad aplicables y a la agenda de reuniones que utilicen los sujetos obligados.</w:t>
      </w:r>
    </w:p>
    <w:p w:rsidR="00000000" w:rsidDel="00000000" w:rsidP="00000000" w:rsidRDefault="00000000" w:rsidRPr="00000000" w14:paraId="00000108">
      <w:pPr>
        <w:tabs>
          <w:tab w:val="left" w:pos="7655"/>
        </w:tabs>
        <w:spacing w:after="1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ello,  también se procedió a revisar la tabla de aplicabilidad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 la cual se desprende que le aplica la fracción 15 del artículo uno la materia:</w:t>
      </w:r>
    </w:p>
    <w:p w:rsidR="00000000" w:rsidDel="00000000" w:rsidP="00000000" w:rsidRDefault="00000000" w:rsidRPr="00000000" w14:paraId="00000109">
      <w:pPr>
        <w:tabs>
          <w:tab w:val="left" w:pos="7655"/>
        </w:tabs>
        <w:spacing w:after="16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A">
      <w:pPr>
        <w:tabs>
          <w:tab w:val="left" w:pos="7655"/>
        </w:tabs>
        <w:spacing w:after="16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5612130" cy="1102995"/>
            <wp:effectExtent b="0" l="0" r="0" t="0"/>
            <wp:docPr id="4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12130" cy="110299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tabs>
          <w:tab w:val="left" w:pos="7655"/>
        </w:tabs>
        <w:spacing w:after="16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0C">
      <w:pPr>
        <w:tabs>
          <w:tab w:val="left" w:pos="7655"/>
        </w:tabs>
        <w:spacing w:after="16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5794540" cy="293726"/>
            <wp:effectExtent b="0" l="0" r="0" t="0"/>
            <wp:docPr id="4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94540" cy="29372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12700</wp:posOffset>
                </wp:positionV>
                <wp:extent cx="3305471" cy="360251"/>
                <wp:effectExtent b="0" l="0" r="0" t="0"/>
                <wp:wrapNone/>
                <wp:docPr id="38" name=""/>
                <a:graphic>
                  <a:graphicData uri="http://schemas.microsoft.com/office/word/2010/wordprocessingShape">
                    <wps:wsp>
                      <wps:cNvSpPr/>
                      <wps:cNvPr id="2" name="Shape 2"/>
                      <wps:spPr>
                        <a:xfrm flipH="1" rot="10800000">
                          <a:off x="3713902" y="3620512"/>
                          <a:ext cx="3264196" cy="318977"/>
                        </a:xfrm>
                        <a:prstGeom prst="rect">
                          <a:avLst/>
                        </a:prstGeom>
                        <a:noFill/>
                        <a:ln cap="flat" cmpd="sng" w="2857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12700</wp:posOffset>
                </wp:positionV>
                <wp:extent cx="3305471" cy="360251"/>
                <wp:effectExtent b="0" l="0" r="0" t="0"/>
                <wp:wrapNone/>
                <wp:docPr id="38"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3305471" cy="360251"/>
                        </a:xfrm>
                        <a:prstGeom prst="rect"/>
                        <a:ln/>
                      </pic:spPr>
                    </pic:pic>
                  </a:graphicData>
                </a:graphic>
              </wp:anchor>
            </w:drawing>
          </mc:Fallback>
        </mc:AlternateContent>
      </w:r>
    </w:p>
    <w:p w:rsidR="00000000" w:rsidDel="00000000" w:rsidP="00000000" w:rsidRDefault="00000000" w:rsidRPr="00000000" w14:paraId="0000010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E">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En virtud de lo anterior, se comprueba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 competente para dar a conocer la información solicitada, relacionada con la</w:t>
      </w:r>
      <w:r w:rsidDel="00000000" w:rsidR="00000000" w:rsidRPr="00000000">
        <w:rPr>
          <w:rFonts w:ascii="Palatino Linotype" w:cs="Palatino Linotype" w:eastAsia="Palatino Linotype" w:hAnsi="Palatino Linotype"/>
          <w:color w:val="000000"/>
          <w:rtl w:val="0"/>
        </w:rPr>
        <w:t xml:space="preserve"> Agenda de Reuniones Públicas a las que convoquen los titulares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por tanto deberá turnar el requerimiento a las unidades administrativas competentes para atender la solicitud. </w:t>
      </w:r>
      <w:r w:rsidDel="00000000" w:rsidR="00000000" w:rsidRPr="00000000">
        <w:rPr>
          <w:rtl w:val="0"/>
        </w:rPr>
      </w:r>
    </w:p>
    <w:p w:rsidR="00000000" w:rsidDel="00000000" w:rsidP="00000000" w:rsidRDefault="00000000" w:rsidRPr="00000000" w14:paraId="0000010F">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0">
      <w:pPr>
        <w:spacing w:after="1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anteriormente expuesto y fundado, resulta procedente ordenar una búsqueda exhaustiva y razonable, a efecto de hacer entrega de la Agenda de Reuniones </w:t>
      </w:r>
      <w:r w:rsidDel="00000000" w:rsidR="00000000" w:rsidRPr="00000000">
        <w:rPr>
          <w:rFonts w:ascii="Palatino Linotype" w:cs="Palatino Linotype" w:eastAsia="Palatino Linotype" w:hAnsi="Palatino Linotype"/>
          <w:color w:val="000000"/>
          <w:rtl w:val="0"/>
        </w:rPr>
        <w:t xml:space="preserve">Públicas del uno de enero al once de marzo de dos mil veintidós, fecha de la solicitud de información.</w:t>
      </w:r>
      <w:r w:rsidDel="00000000" w:rsidR="00000000" w:rsidRPr="00000000">
        <w:rPr>
          <w:rtl w:val="0"/>
        </w:rPr>
      </w:r>
    </w:p>
    <w:p w:rsidR="00000000" w:rsidDel="00000000" w:rsidP="00000000" w:rsidRDefault="00000000" w:rsidRPr="00000000" w14:paraId="00000111">
      <w:pPr>
        <w:spacing w:after="240" w:before="240" w:line="360" w:lineRule="auto"/>
        <w:ind w:left="426"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3.  </w:t>
      </w:r>
      <w:r w:rsidDel="00000000" w:rsidR="00000000" w:rsidRPr="00000000">
        <w:rPr>
          <w:rFonts w:ascii="Palatino Linotype" w:cs="Palatino Linotype" w:eastAsia="Palatino Linotype" w:hAnsi="Palatino Linotype"/>
          <w:u w:val="single"/>
          <w:rtl w:val="0"/>
        </w:rPr>
        <w:t xml:space="preserve">Finalmente respecto a que</w:t>
      </w:r>
      <w:r w:rsidDel="00000000" w:rsidR="00000000" w:rsidRPr="00000000">
        <w:rPr>
          <w:rFonts w:ascii="Palatino Linotype" w:cs="Palatino Linotype" w:eastAsia="Palatino Linotype" w:hAnsi="Palatino Linotype"/>
          <w:b w:val="1"/>
          <w:u w:val="single"/>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a que se incluya a que hora sale por el pan y su café</w:t>
      </w:r>
      <w:r w:rsidDel="00000000" w:rsidR="00000000" w:rsidRPr="00000000">
        <w:rPr>
          <w:rtl w:val="0"/>
        </w:rPr>
      </w:r>
    </w:p>
    <w:p w:rsidR="00000000" w:rsidDel="00000000" w:rsidP="00000000" w:rsidRDefault="00000000" w:rsidRPr="00000000" w14:paraId="000001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este punto, se advierte que el particular no pretendió ejercer su derecho de acceso a la información pública; sino que por este medio presentó una inquietud o interrogante, que no es factible atenderse vía acceso a la información pública, toda vez, que la atención a dicha pretensión no se puede colmar con documentos que obren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del análisis realizado al expediente electrónico, se advierte que esta parte de la solicitud no constituye un derecho de acceso a la información y por lo tanto, no es atendible mediante una solicitud de acceso a la información pública, porque se tratan de </w:t>
      </w:r>
      <w:r w:rsidDel="00000000" w:rsidR="00000000" w:rsidRPr="00000000">
        <w:rPr>
          <w:rFonts w:ascii="Palatino Linotype" w:cs="Palatino Linotype" w:eastAsia="Palatino Linotype" w:hAnsi="Palatino Linotype"/>
          <w:b w:val="1"/>
          <w:u w:val="single"/>
          <w:rtl w:val="0"/>
        </w:rPr>
        <w:t xml:space="preserve">manifestaciones subjetivas</w:t>
      </w:r>
      <w:r w:rsidDel="00000000" w:rsidR="00000000" w:rsidRPr="00000000">
        <w:rPr>
          <w:rFonts w:ascii="Palatino Linotype" w:cs="Palatino Linotype" w:eastAsia="Palatino Linotype" w:hAnsi="Palatino Linotype"/>
          <w:rtl w:val="0"/>
        </w:rPr>
        <w:t xml:space="preserve"> vertidas por el particular, interrogantes y declaraciones, situación que conlleva a afirmar que se está en presencia del ejercicio del derecho a la libre expresión y en todo caso a un derecho de petición. </w:t>
      </w:r>
    </w:p>
    <w:p w:rsidR="00000000" w:rsidDel="00000000" w:rsidP="00000000" w:rsidRDefault="00000000" w:rsidRPr="00000000" w14:paraId="00000114">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u w:val="single"/>
          <w:rtl w:val="0"/>
        </w:rPr>
        <w:t xml:space="preserve">el derecho de toda persona a ser escuchado por quienes ejercen el poder públic</w:t>
      </w:r>
      <w:r w:rsidDel="00000000" w:rsidR="00000000" w:rsidRPr="00000000">
        <w:rPr>
          <w:rFonts w:ascii="Palatino Linotype" w:cs="Palatino Linotype" w:eastAsia="Palatino Linotype" w:hAnsi="Palatino Linotype"/>
          <w:i w:val="1"/>
          <w:rtl w:val="0"/>
        </w:rPr>
        <w:t xml:space="preserve">o.</w:t>
      </w:r>
      <w:r w:rsidDel="00000000" w:rsidR="00000000" w:rsidRPr="00000000">
        <w:rPr>
          <w:rFonts w:ascii="Palatino Linotype" w:cs="Palatino Linotype" w:eastAsia="Palatino Linotype" w:hAnsi="Palatino Linotype"/>
          <w:i w:val="1"/>
          <w:vertAlign w:val="superscript"/>
          <w:rtl w:val="0"/>
        </w:rPr>
        <w:t xml:space="preserve"> </w:t>
      </w:r>
      <w:r w:rsidDel="00000000" w:rsidR="00000000" w:rsidRPr="00000000">
        <w:rPr>
          <w:rFonts w:ascii="Palatino Linotype" w:cs="Palatino Linotype" w:eastAsia="Palatino Linotype" w:hAnsi="Palatino Linotype"/>
          <w:i w:val="1"/>
          <w:vertAlign w:val="superscript"/>
        </w:rPr>
        <w:footnoteReference w:customMarkFollows="0" w:id="2"/>
      </w:r>
      <w:r w:rsidDel="00000000" w:rsidR="00000000" w:rsidRPr="00000000">
        <w:rPr>
          <w:rFonts w:ascii="Palatino Linotype" w:cs="Palatino Linotype" w:eastAsia="Palatino Linotype" w:hAnsi="Palatino Linotype"/>
          <w:i w:val="1"/>
          <w:rtl w:val="0"/>
        </w:rPr>
        <w:t xml:space="preserve">” (Sic) </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Miguel Carbonell en su libro “Los derechos fundamentales” refiere que el </w:t>
      </w:r>
      <w:r w:rsidDel="00000000" w:rsidR="00000000" w:rsidRPr="00000000">
        <w:rPr>
          <w:rFonts w:ascii="Palatino Linotype" w:cs="Palatino Linotype" w:eastAsia="Palatino Linotype" w:hAnsi="Palatino Linotype"/>
          <w:u w:val="single"/>
          <w:rtl w:val="0"/>
        </w:rPr>
        <w:t xml:space="preserve">derecho de petición se ha entendido de dos distintitas maneras</w:t>
      </w:r>
      <w:r w:rsidDel="00000000" w:rsidR="00000000" w:rsidRPr="00000000">
        <w:rPr>
          <w:rFonts w:ascii="Palatino Linotype" w:cs="Palatino Linotype" w:eastAsia="Palatino Linotype" w:hAnsi="Palatino Linotype"/>
          <w:rtl w:val="0"/>
        </w:rPr>
        <w:t xml:space="preserve">, a saber: como un derecho fundamental de participación política ya que </w:t>
      </w:r>
      <w:r w:rsidDel="00000000" w:rsidR="00000000" w:rsidRPr="00000000">
        <w:rPr>
          <w:rFonts w:ascii="Palatino Linotype" w:cs="Palatino Linotype" w:eastAsia="Palatino Linotype" w:hAnsi="Palatino Linotype"/>
          <w:u w:val="single"/>
          <w:rtl w:val="0"/>
        </w:rPr>
        <w:t xml:space="preserve">permite a los particulares trasladar a las autoridades sus </w:t>
      </w:r>
      <w:r w:rsidDel="00000000" w:rsidR="00000000" w:rsidRPr="00000000">
        <w:rPr>
          <w:rFonts w:ascii="Palatino Linotype" w:cs="Palatino Linotype" w:eastAsia="Palatino Linotype" w:hAnsi="Palatino Linotype"/>
          <w:b w:val="1"/>
          <w:u w:val="single"/>
          <w:rtl w:val="0"/>
        </w:rPr>
        <w:t xml:space="preserve">inquietudes, quejas</w:t>
      </w:r>
      <w:r w:rsidDel="00000000" w:rsidR="00000000" w:rsidRPr="00000000">
        <w:rPr>
          <w:rFonts w:ascii="Palatino Linotype" w:cs="Palatino Linotype" w:eastAsia="Palatino Linotype" w:hAnsi="Palatino Linotype"/>
          <w:u w:val="single"/>
          <w:rtl w:val="0"/>
        </w:rPr>
        <w:t xml:space="preserve">, sugerencias</w:t>
      </w:r>
      <w:r w:rsidDel="00000000" w:rsidR="00000000" w:rsidRPr="00000000">
        <w:rPr>
          <w:rFonts w:ascii="Palatino Linotype" w:cs="Palatino Linotype" w:eastAsia="Palatino Linotype" w:hAnsi="Palatino Linotype"/>
          <w:rtl w:val="0"/>
        </w:rPr>
        <w:t xml:space="preserve"> y requerimientos en cualquier materia o asunto; y como una </w:t>
      </w:r>
      <w:r w:rsidDel="00000000" w:rsidR="00000000" w:rsidRPr="00000000">
        <w:rPr>
          <w:rFonts w:ascii="Palatino Linotype" w:cs="Palatino Linotype" w:eastAsia="Palatino Linotype" w:hAnsi="Palatino Linotype"/>
          <w:b w:val="1"/>
          <w:rtl w:val="0"/>
        </w:rPr>
        <w:t xml:space="preserve">forma específica de la libertad de expresión</w:t>
      </w:r>
      <w:r w:rsidDel="00000000" w:rsidR="00000000" w:rsidRPr="00000000">
        <w:rPr>
          <w:rFonts w:ascii="Palatino Linotype" w:cs="Palatino Linotype" w:eastAsia="Palatino Linotype" w:hAnsi="Palatino Linotype"/>
          <w:rtl w:val="0"/>
        </w:rPr>
        <w:t xml:space="preserve">,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autor anteriormente citado, indica que el </w:t>
      </w:r>
      <w:r w:rsidDel="00000000" w:rsidR="00000000" w:rsidRPr="00000000">
        <w:rPr>
          <w:rFonts w:ascii="Palatino Linotype" w:cs="Palatino Linotype" w:eastAsia="Palatino Linotype" w:hAnsi="Palatino Linotype"/>
          <w:b w:val="1"/>
          <w:u w:val="single"/>
          <w:rtl w:val="0"/>
        </w:rPr>
        <w:t xml:space="preserve">derecho de acceso a la información pública</w:t>
      </w:r>
      <w:r w:rsidDel="00000000" w:rsidR="00000000" w:rsidRPr="00000000">
        <w:rPr>
          <w:rFonts w:ascii="Palatino Linotype" w:cs="Palatino Linotype" w:eastAsia="Palatino Linotype" w:hAnsi="Palatino Linotype"/>
          <w:rtl w:val="0"/>
        </w:rPr>
        <w:t xml:space="preserve"> es el derecho de conocer la </w:t>
      </w:r>
      <w:r w:rsidDel="00000000" w:rsidR="00000000" w:rsidRPr="00000000">
        <w:rPr>
          <w:rFonts w:ascii="Palatino Linotype" w:cs="Palatino Linotype" w:eastAsia="Palatino Linotype" w:hAnsi="Palatino Linotype"/>
          <w:u w:val="single"/>
          <w:rtl w:val="0"/>
        </w:rPr>
        <w:t xml:space="preserve">información de carácter público que se genera o está en posesión de los órganos del poder público</w:t>
      </w:r>
      <w:r w:rsidDel="00000000" w:rsidR="00000000" w:rsidRPr="00000000">
        <w:rPr>
          <w:rFonts w:ascii="Palatino Linotype" w:cs="Palatino Linotype" w:eastAsia="Palatino Linotype" w:hAnsi="Palatino Linotype"/>
          <w:rtl w:val="0"/>
        </w:rPr>
        <w:t xml:space="preserve">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puede concluir que la distinción entre el </w:t>
      </w:r>
      <w:r w:rsidDel="00000000" w:rsidR="00000000" w:rsidRPr="00000000">
        <w:rPr>
          <w:rFonts w:ascii="Palatino Linotype" w:cs="Palatino Linotype" w:eastAsia="Palatino Linotype" w:hAnsi="Palatino Linotype"/>
          <w:b w:val="1"/>
          <w:rtl w:val="0"/>
        </w:rPr>
        <w:t xml:space="preserve">derecho de petición</w:t>
      </w:r>
      <w:r w:rsidDel="00000000" w:rsidR="00000000" w:rsidRPr="00000000">
        <w:rPr>
          <w:rFonts w:ascii="Palatino Linotype" w:cs="Palatino Linotype" w:eastAsia="Palatino Linotype" w:hAnsi="Palatino Linotype"/>
          <w:rtl w:val="0"/>
        </w:rPr>
        <w:t xml:space="preserve"> y el derecho de acceso a la información descansa, principalmente, en que </w:t>
      </w:r>
      <w:r w:rsidDel="00000000" w:rsidR="00000000" w:rsidRPr="00000000">
        <w:rPr>
          <w:rFonts w:ascii="Palatino Linotype" w:cs="Palatino Linotype" w:eastAsia="Palatino Linotype" w:hAnsi="Palatino Linotype"/>
          <w:u w:val="single"/>
          <w:rtl w:val="0"/>
        </w:rPr>
        <w:t xml:space="preserve">la pretensión del peticionario consiste generalmente en obligar a la autoridad responsable a que actúe </w:t>
      </w:r>
      <w:r w:rsidDel="00000000" w:rsidR="00000000" w:rsidRPr="00000000">
        <w:rPr>
          <w:rFonts w:ascii="Palatino Linotype" w:cs="Palatino Linotype" w:eastAsia="Palatino Linotype" w:hAnsi="Palatino Linotype"/>
          <w:rtl w:val="0"/>
        </w:rPr>
        <w:t xml:space="preserve">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a lo anterior, tenemos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través de su solicitud requirió conocer los horarios en los que la Presidenta Municipal sale por el pan y su café, por consiguiente, la atención a este punto que no encuentren en soporte documental alguno, no es algo que la Ley de la Materia establezca como atribución, derecho o facultad. </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360" w:lineRule="auto"/>
        <w:ind w:right="-93"/>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color w:val="000000"/>
          <w:rtl w:val="0"/>
        </w:rPr>
        <w:t xml:space="preserve">Ahora bien, en virtud de las manifestaciones con los que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siente agravio, también van relacionados con: </w:t>
      </w:r>
      <w:r w:rsidDel="00000000" w:rsidR="00000000" w:rsidRPr="00000000">
        <w:rPr>
          <w:rFonts w:ascii="Palatino Linotype" w:cs="Palatino Linotype" w:eastAsia="Palatino Linotype" w:hAnsi="Palatino Linotype"/>
          <w:b w:val="1"/>
          <w:color w:val="000000"/>
          <w:rtl w:val="0"/>
        </w:rPr>
        <w:t xml:space="preserve">la negativa a enviar las</w:t>
      </w:r>
      <w:r w:rsidDel="00000000" w:rsidR="00000000" w:rsidRPr="00000000">
        <w:rPr>
          <w:b w:val="1"/>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Actas del Comité de Transparencia en donde clasifican la información</w:t>
      </w:r>
      <w:r w:rsidDel="00000000" w:rsidR="00000000" w:rsidRPr="00000000">
        <w:rPr>
          <w:rFonts w:ascii="Palatino Linotype" w:cs="Palatino Linotype" w:eastAsia="Palatino Linotype" w:hAnsi="Palatino Linotype"/>
          <w:color w:val="000000"/>
          <w:rtl w:val="0"/>
        </w:rPr>
        <w:t xml:space="preserve">, respecto de dicho argumento, se advierte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refiere que:  “… </w:t>
      </w:r>
      <w:r w:rsidDel="00000000" w:rsidR="00000000" w:rsidRPr="00000000">
        <w:rPr>
          <w:rFonts w:ascii="Palatino Linotype" w:cs="Palatino Linotype" w:eastAsia="Palatino Linotype" w:hAnsi="Palatino Linotype"/>
          <w:b w:val="1"/>
          <w:i w:val="1"/>
          <w:color w:val="000000"/>
          <w:rtl w:val="0"/>
        </w:rPr>
        <w:t xml:space="preserve">en relación a que se incluya a que hora sale por el pan y su café; </w:t>
      </w:r>
      <w:r w:rsidDel="00000000" w:rsidR="00000000" w:rsidRPr="00000000">
        <w:rPr>
          <w:rFonts w:ascii="Palatino Linotype" w:cs="Palatino Linotype" w:eastAsia="Palatino Linotype" w:hAnsi="Palatino Linotype"/>
          <w:i w:val="1"/>
          <w:color w:val="000000"/>
          <w:rtl w:val="0"/>
        </w:rPr>
        <w:t xml:space="preserve">me permito hacerle saber que efectivamente es una figura pública así lo marca la Ley pero de acuerdo a la Datos Personales en Posesión de Sujetos Obligados del Estado de México y Municipios. Misma que; tiene por objeto establecer las bases, principios y procedimientos para garantizar el derecho que tiene toda persona a la protección de sus datos personales así como su vida personal, dado que conforme a dicha ley</w:t>
      </w:r>
      <w:r w:rsidDel="00000000" w:rsidR="00000000" w:rsidRPr="00000000">
        <w:rPr>
          <w:rFonts w:ascii="Palatino Linotype" w:cs="Palatino Linotype" w:eastAsia="Palatino Linotype" w:hAnsi="Palatino Linotype"/>
          <w:b w:val="1"/>
          <w:i w:val="1"/>
          <w:color w:val="000000"/>
          <w:rtl w:val="0"/>
        </w:rPr>
        <w:t xml:space="preserve">, exponer las actividades que realiza en su quehacer como persona vulnera su identidad y su derecho a la protección de su identidad la cual, no es pública</w:t>
      </w:r>
      <w:r w:rsidDel="00000000" w:rsidR="00000000" w:rsidRPr="00000000">
        <w:rPr>
          <w:rFonts w:ascii="Palatino Linotype" w:cs="Palatino Linotype" w:eastAsia="Palatino Linotype" w:hAnsi="Palatino Linotype"/>
          <w:i w:val="1"/>
          <w:color w:val="000000"/>
          <w:rtl w:val="0"/>
        </w:rPr>
        <w:t xml:space="preserve">….” (Sic)</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ind w:right="-93"/>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Sin embargo, por lo antes expuesto, difícilmente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cuenta con documentos que den cuenta de lo solicitado, por lo que </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a efecto de robustecer lo anterior, sirve de sustento el criterio orientador  29/10 emitido por el Instituto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Nacional de Transparencia, Acceso a la Información y Protección de Datos Personales, INAI</w:t>
      </w:r>
      <w:r w:rsidDel="00000000" w:rsidR="00000000" w:rsidRPr="00000000">
        <w:rPr>
          <w:rFonts w:ascii="Palatino Linotype" w:cs="Palatino Linotype" w:eastAsia="Palatino Linotype" w:hAnsi="Palatino Linotype"/>
          <w:b w:val="1"/>
          <w:i w:val="0"/>
          <w:smallCaps w:val="0"/>
          <w:strike w:val="0"/>
          <w:color w:val="222222"/>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el cual refiere lo siguiente:</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80" w:before="0" w:line="276" w:lineRule="auto"/>
        <w:ind w:left="0" w:right="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80" w:line="276" w:lineRule="auto"/>
        <w:ind w:left="567"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222222"/>
          <w:sz w:val="22"/>
          <w:szCs w:val="22"/>
          <w:u w:val="none"/>
          <w:shd w:fill="auto" w:val="clear"/>
          <w:vertAlign w:val="baseline"/>
          <w:rtl w:val="0"/>
        </w:rPr>
        <w:t xml:space="preserve">“La clasificación y la inexistencia de información son conceptos que no pueden coexistir. </w:t>
      </w:r>
      <w:r w:rsidDel="00000000" w:rsidR="00000000" w:rsidRPr="00000000">
        <w:rPr>
          <w:rFonts w:ascii="Palatino Linotype" w:cs="Palatino Linotype" w:eastAsia="Palatino Linotype" w:hAnsi="Palatino Linotype"/>
          <w:b w:val="0"/>
          <w:i w:val="1"/>
          <w:smallCaps w:val="0"/>
          <w:strike w:val="0"/>
          <w:color w:val="222222"/>
          <w:sz w:val="22"/>
          <w:szCs w:val="22"/>
          <w:u w:val="none"/>
          <w:shd w:fill="auto" w:val="clear"/>
          <w:vertAlign w:val="baseline"/>
          <w:rtl w:val="0"/>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w:t>
      </w:r>
      <w:r w:rsidDel="00000000" w:rsidR="00000000" w:rsidRPr="00000000">
        <w:rPr>
          <w:rFonts w:ascii="Palatino Linotype" w:cs="Palatino Linotype" w:eastAsia="Palatino Linotype" w:hAnsi="Palatino Linotype"/>
          <w:b w:val="1"/>
          <w:i w:val="1"/>
          <w:smallCaps w:val="0"/>
          <w:strike w:val="0"/>
          <w:color w:val="222222"/>
          <w:sz w:val="22"/>
          <w:szCs w:val="22"/>
          <w:u w:val="single"/>
          <w:shd w:fill="auto" w:val="clear"/>
          <w:vertAlign w:val="baseline"/>
          <w:rtl w:val="0"/>
        </w:rPr>
        <w:t xml:space="preserve">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Del="00000000" w:rsidR="00000000" w:rsidRPr="00000000">
        <w:rPr>
          <w:rFonts w:ascii="Palatino Linotype" w:cs="Palatino Linotype" w:eastAsia="Palatino Linotype" w:hAnsi="Palatino Linotype"/>
          <w:b w:val="0"/>
          <w:i w:val="1"/>
          <w:smallCaps w:val="0"/>
          <w:strike w:val="0"/>
          <w:color w:val="22222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567"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222222"/>
          <w:sz w:val="22"/>
          <w:szCs w:val="22"/>
          <w:u w:val="none"/>
          <w:shd w:fill="auto" w:val="clear"/>
          <w:vertAlign w:val="baseline"/>
          <w:rtl w:val="0"/>
        </w:rPr>
        <w:t xml:space="preserve">(Énfasis añadido)</w:t>
      </w:r>
      <w:r w:rsidDel="00000000" w:rsidR="00000000" w:rsidRPr="00000000">
        <w:rPr>
          <w:rtl w:val="0"/>
        </w:rPr>
      </w:r>
    </w:p>
    <w:p w:rsidR="00000000" w:rsidDel="00000000" w:rsidP="00000000" w:rsidRDefault="00000000" w:rsidRPr="00000000" w14:paraId="00000120">
      <w:pPr>
        <w:spacing w:line="360" w:lineRule="auto"/>
        <w:jc w:val="both"/>
        <w:rPr>
          <w:rFonts w:ascii="Palatino Linotype" w:cs="Palatino Linotype" w:eastAsia="Palatino Linotype" w:hAnsi="Palatino Linotype"/>
        </w:rPr>
      </w:pPr>
      <w:r w:rsidDel="00000000" w:rsidR="00000000" w:rsidRPr="00000000">
        <w:rPr>
          <w:color w:val="000000"/>
          <w:rtl w:val="0"/>
        </w:rPr>
        <w:t xml:space="preserve"> E</w:t>
      </w:r>
      <w:r w:rsidDel="00000000" w:rsidR="00000000" w:rsidRPr="00000000">
        <w:rPr>
          <w:rFonts w:ascii="Palatino Linotype" w:cs="Palatino Linotype" w:eastAsia="Palatino Linotype" w:hAnsi="Palatino Linotype"/>
          <w:color w:val="000000"/>
          <w:rtl w:val="0"/>
        </w:rPr>
        <w:t xml:space="preserve">n todo caso, para posteriores ocasiones en las que se pretenda clasificar información de un documento existente, deberá seguir el procedimiento </w:t>
      </w:r>
      <w:r w:rsidDel="00000000" w:rsidR="00000000" w:rsidRPr="00000000">
        <w:rPr>
          <w:rFonts w:ascii="Palatino Linotype" w:cs="Palatino Linotype" w:eastAsia="Palatino Linotype" w:hAnsi="Palatino Linotype"/>
          <w:rtl w:val="0"/>
        </w:rPr>
        <w:t xml:space="preserve">establecido en el artículo 168 de la Ley de Transparencia vigente en la Entidad; esto es, que el área competente deberá elaborar la versión pública, así como emitir el Acuerdo, por parte del Comité de Transparencia, donde confirme la clasificación de los datos que serán protegidos, fundando y motivando la clasificación.</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Finalmente, no pasa desapercibido para este Organismo Garante, que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refiere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fundamenta por fundamentar en los oficios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envía sin sello oficial y sin firma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40" w:before="24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contexto, es de señalar que dicho documento fue emitido a través del SAIMEX como respuesta del Titular de la Unidad de Transparencia, por lo que aún y cuando no se encontraran las firmas de los servidores públicos, dichas documentales siguen considerándose validas en materia de transparencia y a efecto de tener por colmado el Derecho de Acceso a la Información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 anterior de acuerdo con el Criterio Orientador número 07/19 emitido por el Instituto Nacional de Transparencia, Acceso a la Información y Protección de Datos Personales, que a la letra dice:</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Documentos sin firma o membrete</w:t>
      </w:r>
      <w:r w:rsidDel="00000000" w:rsidR="00000000" w:rsidRPr="00000000">
        <w:rPr>
          <w:rFonts w:ascii="Palatino Linotype" w:cs="Palatino Linotype" w:eastAsia="Palatino Linotype" w:hAnsi="Palatino Linotype"/>
          <w:i w:val="1"/>
          <w:sz w:val="22"/>
          <w:szCs w:val="22"/>
          <w:rtl w:val="0"/>
        </w:rPr>
        <w:t xml:space="preserve">. Los documentos que son emitidos por las Unidades de Transparencia son válidos en el ámbito de la Ley Federal de Transparencia y Acceso a la Información Pública cuando se proporcionan a través de la Plataforma Nacional de Transparencia, aunque no se encuentren firmados y no contengan membrete.” </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2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27">
      <w:pPr>
        <w:spacing w:line="360" w:lineRule="auto"/>
        <w:rPr>
          <w:color w:val="000000"/>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Para tal situación, el Sujeto Obligado deberá seguir el procedimiento establecido en </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168 de dicho ordenamiento jurídico; esto es, que el área competente deberá elaborar la versión pública, así como emitir el Acuerdo, por parte del Comité de Transparencia, donde confirme la clasificación de los datos, fundando y motivando la clasificación.</w:t>
      </w: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en mérito de lo expuesto en líneas anteriores, resultan parcialmente fundadas las razones o motivos de inconformidad hechos valer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05589/INFOEM/IP/RR/2022</w:t>
      </w:r>
      <w:r w:rsidDel="00000000" w:rsidR="00000000" w:rsidRPr="00000000">
        <w:rPr>
          <w:rFonts w:ascii="Palatino Linotype" w:cs="Palatino Linotype" w:eastAsia="Palatino Linotype" w:hAnsi="Palatino Linotype"/>
          <w:rtl w:val="0"/>
        </w:rPr>
        <w:t xml:space="preserve">; por ello, y con fundamento en la fracción IV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la respuesta de la solicitud de información </w:t>
      </w:r>
      <w:r w:rsidDel="00000000" w:rsidR="00000000" w:rsidRPr="00000000">
        <w:rPr>
          <w:rFonts w:ascii="Palatino Linotype" w:cs="Palatino Linotype" w:eastAsia="Palatino Linotype" w:hAnsi="Palatino Linotype"/>
          <w:b w:val="1"/>
          <w:rtl w:val="0"/>
        </w:rPr>
        <w:t xml:space="preserve"> 00141/TEXCOCO/IP/2022. </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240" w:before="24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2D">
      <w:pPr>
        <w:numPr>
          <w:ilvl w:val="0"/>
          <w:numId w:val="6"/>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 R E S U E L V E</w:t>
      </w:r>
    </w:p>
    <w:p w:rsidR="00000000" w:rsidDel="00000000" w:rsidP="00000000" w:rsidRDefault="00000000" w:rsidRPr="00000000" w14:paraId="0000012E">
      <w:pPr>
        <w:spacing w:after="240" w:before="240" w:line="360" w:lineRule="auto"/>
        <w:jc w:val="both"/>
        <w:rPr>
          <w:rFonts w:ascii="Palatino Linotype" w:cs="Palatino Linotype" w:eastAsia="Palatino Linotype" w:hAnsi="Palatino Linotype"/>
        </w:rPr>
      </w:pPr>
      <w:bookmarkStart w:colFirst="0" w:colLast="0" w:name="_heading=h.3dy6vkm" w:id="4"/>
      <w:bookmarkEnd w:id="4"/>
      <w:r w:rsidDel="00000000" w:rsidR="00000000" w:rsidRPr="00000000">
        <w:rPr>
          <w:rFonts w:ascii="Palatino Linotype" w:cs="Palatino Linotype" w:eastAsia="Palatino Linotype" w:hAnsi="Palatino Linotype"/>
          <w:b w:val="1"/>
          <w:color w:val="000000"/>
          <w:rtl w:val="0"/>
        </w:rPr>
        <w:t xml:space="preserve">PRIMERO. </w:t>
      </w:r>
      <w:r w:rsidDel="00000000" w:rsidR="00000000" w:rsidRPr="00000000">
        <w:rPr>
          <w:rFonts w:ascii="Palatino Linotype" w:cs="Palatino Linotype" w:eastAsia="Palatino Linotype" w:hAnsi="Palatino Linotype"/>
          <w:color w:val="000000"/>
          <w:rtl w:val="0"/>
        </w:rPr>
        <w:t xml:space="preserve">Resultan</w:t>
      </w:r>
      <w:r w:rsidDel="00000000" w:rsidR="00000000" w:rsidRPr="00000000">
        <w:rPr>
          <w:rFonts w:ascii="Palatino Linotype" w:cs="Palatino Linotype" w:eastAsia="Palatino Linotype" w:hAnsi="Palatino Linotype"/>
          <w:b w:val="1"/>
          <w:color w:val="000000"/>
          <w:rtl w:val="0"/>
        </w:rPr>
        <w:t xml:space="preserve"> parcialmente fundados</w:t>
      </w:r>
      <w:r w:rsidDel="00000000" w:rsidR="00000000" w:rsidRPr="00000000">
        <w:rPr>
          <w:rFonts w:ascii="Palatino Linotype" w:cs="Palatino Linotype" w:eastAsia="Palatino Linotype" w:hAnsi="Palatino Linotype"/>
          <w:color w:val="000000"/>
          <w:rtl w:val="0"/>
        </w:rPr>
        <w:t xml:space="preserve"> los motivos de inconformidad hechos valer por la parte </w:t>
      </w:r>
      <w:r w:rsidDel="00000000" w:rsidR="00000000" w:rsidRPr="00000000">
        <w:rPr>
          <w:rFonts w:ascii="Palatino Linotype" w:cs="Palatino Linotype" w:eastAsia="Palatino Linotype" w:hAnsi="Palatino Linotype"/>
          <w:b w:val="1"/>
          <w:color w:val="000000"/>
          <w:rtl w:val="0"/>
        </w:rPr>
        <w:t xml:space="preserve">RECURRENTE </w:t>
      </w:r>
      <w:r w:rsidDel="00000000" w:rsidR="00000000" w:rsidRPr="00000000">
        <w:rPr>
          <w:rFonts w:ascii="Palatino Linotype" w:cs="Palatino Linotype" w:eastAsia="Palatino Linotype" w:hAnsi="Palatino Linotype"/>
          <w:color w:val="000000"/>
          <w:rtl w:val="0"/>
        </w:rPr>
        <w:t xml:space="preserve">en el recurso de revisión </w:t>
      </w:r>
      <w:r w:rsidDel="00000000" w:rsidR="00000000" w:rsidRPr="00000000">
        <w:rPr>
          <w:rFonts w:ascii="Palatino Linotype" w:cs="Palatino Linotype" w:eastAsia="Palatino Linotype" w:hAnsi="Palatino Linotype"/>
          <w:b w:val="1"/>
          <w:color w:val="000000"/>
          <w:rtl w:val="0"/>
        </w:rPr>
        <w:t xml:space="preserve">05589/INFOEM/IP/RR/2022, </w:t>
      </w:r>
      <w:r w:rsidDel="00000000" w:rsidR="00000000" w:rsidRPr="00000000">
        <w:rPr>
          <w:rFonts w:ascii="Palatino Linotype" w:cs="Palatino Linotype" w:eastAsia="Palatino Linotype" w:hAnsi="Palatino Linotype"/>
          <w:color w:val="000000"/>
          <w:rtl w:val="0"/>
        </w:rPr>
        <w:t xml:space="preserve">por lo que en términos del Considerando </w:t>
      </w:r>
      <w:r w:rsidDel="00000000" w:rsidR="00000000" w:rsidRPr="00000000">
        <w:rPr>
          <w:rFonts w:ascii="Palatino Linotype" w:cs="Palatino Linotype" w:eastAsia="Palatino Linotype" w:hAnsi="Palatino Linotype"/>
          <w:b w:val="1"/>
          <w:color w:val="000000"/>
          <w:rtl w:val="0"/>
        </w:rPr>
        <w:t xml:space="preserve">Cuarto</w:t>
      </w:r>
      <w:r w:rsidDel="00000000" w:rsidR="00000000" w:rsidRPr="00000000">
        <w:rPr>
          <w:rFonts w:ascii="Palatino Linotype" w:cs="Palatino Linotype" w:eastAsia="Palatino Linotype" w:hAnsi="Palatino Linotype"/>
          <w:color w:val="000000"/>
          <w:rtl w:val="0"/>
        </w:rPr>
        <w:t xml:space="preserve"> de la presente resolución,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240" w:before="240" w:line="360" w:lineRule="auto"/>
        <w:ind w:right="48"/>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SEGUNDO. </w:t>
      </w:r>
      <w:r w:rsidDel="00000000" w:rsidR="00000000" w:rsidRPr="00000000">
        <w:rPr>
          <w:rFonts w:ascii="Palatino Linotype" w:cs="Palatino Linotype" w:eastAsia="Palatino Linotype" w:hAnsi="Palatino Linotype"/>
          <w:color w:val="000000"/>
          <w:rtl w:val="0"/>
        </w:rPr>
        <w:t xml:space="preserve">Se</w:t>
      </w:r>
      <w:r w:rsidDel="00000000" w:rsidR="00000000" w:rsidRPr="00000000">
        <w:rPr>
          <w:rFonts w:ascii="Palatino Linotype" w:cs="Palatino Linotype" w:eastAsia="Palatino Linotype" w:hAnsi="Palatino Linotype"/>
          <w:b w:val="1"/>
          <w:color w:val="000000"/>
          <w:rtl w:val="0"/>
        </w:rPr>
        <w:t xml:space="preserve"> ORDENA </w:t>
      </w:r>
      <w:r w:rsidDel="00000000" w:rsidR="00000000" w:rsidRPr="00000000">
        <w:rPr>
          <w:rFonts w:ascii="Palatino Linotype" w:cs="Palatino Linotype" w:eastAsia="Palatino Linotype" w:hAnsi="Palatino Linotype"/>
          <w:color w:val="000000"/>
          <w:rtl w:val="0"/>
        </w:rPr>
        <w:t xml:space="preserve">entregar vía Sistema de Accesos a la Información Mexiquense (SAIMEX), de ser procedente en versión pública, los documentos donde conste lo siguiente:</w:t>
      </w:r>
    </w:p>
    <w:p w:rsidR="00000000" w:rsidDel="00000000" w:rsidP="00000000" w:rsidRDefault="00000000" w:rsidRPr="00000000" w14:paraId="00000130">
      <w:pPr>
        <w:numPr>
          <w:ilvl w:val="0"/>
          <w:numId w:val="5"/>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Agenda Pública del uno de enero al once de marzo de dos mil veintidós, de  la Presidenta Municipal del Ayuntamiento de Texcoco. </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40" w:before="240" w:line="360" w:lineRule="auto"/>
        <w:ind w:left="72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b w:val="1"/>
          <w:color w:val="000000"/>
          <w:rtl w:val="0"/>
        </w:rPr>
        <w:t xml:space="preserve">TERCERO. Notifíquese, </w:t>
      </w:r>
      <w:r w:rsidDel="00000000" w:rsidR="00000000" w:rsidRPr="00000000">
        <w:rPr>
          <w:rFonts w:ascii="Palatino Linotype" w:cs="Palatino Linotype" w:eastAsia="Palatino Linotype" w:hAnsi="Palatino Linotype"/>
          <w:color w:val="000000"/>
          <w:rtl w:val="0"/>
        </w:rPr>
        <w:t xml:space="preserve">vía</w:t>
      </w:r>
      <w:r w:rsidDel="00000000" w:rsidR="00000000" w:rsidRPr="00000000">
        <w:rPr>
          <w:rFonts w:ascii="Palatino Linotype" w:cs="Palatino Linotype" w:eastAsia="Palatino Linotype" w:hAnsi="Palatino Linotype"/>
          <w:b w:val="1"/>
          <w:color w:val="000000"/>
          <w:rtl w:val="0"/>
        </w:rPr>
        <w:t xml:space="preserve"> SAIMEX, </w:t>
      </w:r>
      <w:r w:rsidDel="00000000" w:rsidR="00000000" w:rsidRPr="00000000">
        <w:rPr>
          <w:rFonts w:ascii="Palatino Linotype" w:cs="Palatino Linotype" w:eastAsia="Palatino Linotype" w:hAnsi="Palatino Linotype"/>
          <w:color w:val="000000"/>
          <w:rtl w:val="0"/>
        </w:rPr>
        <w:t xml:space="preserve">al Titular de la Unidad de Transparencia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Del="00000000" w:rsidR="00000000" w:rsidRPr="00000000">
        <w:rPr>
          <w:rFonts w:ascii="Palatino Linotype" w:cs="Palatino Linotype" w:eastAsia="Palatino Linotype" w:hAnsi="Palatino Linotype"/>
          <w:b w:val="1"/>
          <w:color w:val="000000"/>
          <w:rtl w:val="0"/>
        </w:rPr>
        <w:t xml:space="preserve">.</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de manera fundada y motivada, podrá solicitar una ampliación de plazo para el cumplimiento de la presente resolución.</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b w:val="1"/>
          <w:color w:val="000000"/>
          <w:rtl w:val="0"/>
        </w:rPr>
        <w:t xml:space="preserve">CUARTO.  Notifíquese, </w:t>
      </w:r>
      <w:r w:rsidDel="00000000" w:rsidR="00000000" w:rsidRPr="00000000">
        <w:rPr>
          <w:rFonts w:ascii="Palatino Linotype" w:cs="Palatino Linotype" w:eastAsia="Palatino Linotype" w:hAnsi="Palatino Linotype"/>
          <w:color w:val="000000"/>
          <w:rtl w:val="0"/>
        </w:rPr>
        <w:t xml:space="preserve">vía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a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Del="00000000" w:rsidR="00000000" w:rsidRPr="00000000">
        <w:rPr>
          <w:rtl w:val="0"/>
        </w:rPr>
      </w:r>
    </w:p>
    <w:p w:rsidR="00000000" w:rsidDel="00000000" w:rsidP="00000000" w:rsidRDefault="00000000" w:rsidRPr="00000000" w14:paraId="00000135">
      <w:pPr>
        <w:spacing w:after="240" w:before="240" w:line="360" w:lineRule="auto"/>
        <w:jc w:val="both"/>
        <w:rPr>
          <w:rFonts w:ascii="Palatino Linotype" w:cs="Palatino Linotype" w:eastAsia="Palatino Linotype" w:hAnsi="Palatino Linotype"/>
        </w:rPr>
        <w:sectPr>
          <w:headerReference r:id="rId16" w:type="default"/>
          <w:headerReference r:id="rId17" w:type="first"/>
          <w:footerReference r:id="rId18" w:type="default"/>
          <w:footerReference r:id="rId19" w:type="first"/>
          <w:pgSz w:h="15840" w:w="12240" w:orient="portrait"/>
          <w:pgMar w:bottom="1701" w:top="2041" w:left="1701" w:right="1701" w:header="709" w:footer="709"/>
          <w:pgNumType w:start="1"/>
          <w:titlePg w:val="1"/>
        </w:sectPr>
      </w:pPr>
      <w:bookmarkStart w:colFirst="0" w:colLast="0" w:name="_heading=h.3znysh7" w:id="5"/>
      <w:bookmarkEnd w:id="5"/>
      <w:r w:rsidDel="00000000" w:rsidR="00000000" w:rsidRPr="00000000">
        <w:rPr>
          <w:rFonts w:ascii="Palatino Linotype" w:cs="Palatino Linotype" w:eastAsia="Palatino Linotype" w:hAnsi="Palatino Linotype"/>
          <w:color w:val="222222"/>
          <w:highlight w:val="whit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w:t>
      </w:r>
      <w:r w:rsidDel="00000000" w:rsidR="00000000" w:rsidRPr="00000000">
        <w:rPr>
          <w:rFonts w:ascii="Palatino Linotype" w:cs="Palatino Linotype" w:eastAsia="Palatino Linotype" w:hAnsi="Palatino Linotype"/>
          <w:color w:val="222222"/>
          <w:rtl w:val="0"/>
        </w:rPr>
        <w:t xml:space="preserve">TREINTA Y UNO</w:t>
      </w:r>
      <w:r w:rsidDel="00000000" w:rsidR="00000000" w:rsidRPr="00000000">
        <w:rPr>
          <w:rFonts w:ascii="Palatino Linotype" w:cs="Palatino Linotype" w:eastAsia="Palatino Linotype" w:hAnsi="Palatino Linotype"/>
          <w:rtl w:val="0"/>
        </w:rPr>
        <w:t xml:space="preserve"> DE AGOSTO DEL DOS MIL VEINTIDÓS, ANTE EL SECRETARIO TÉCNICO DEL PLENO ALEXIS TAPIA RAMÍREZ.                             </w:t>
      </w:r>
    </w:p>
    <w:p w:rsidR="00000000" w:rsidDel="00000000" w:rsidP="00000000" w:rsidRDefault="00000000" w:rsidRPr="00000000" w14:paraId="00000136">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20"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pos="4252"/>
        <w:tab w:val="right"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7">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color w:val="000000"/>
          <w:sz w:val="20"/>
          <w:szCs w:val="20"/>
          <w:rtl w:val="0"/>
        </w:rPr>
        <w:t xml:space="preserve"> (…)</w:t>
      </w:r>
    </w:p>
  </w:footnote>
  <w:footnote w:id="1">
    <w:p w:rsidR="00000000" w:rsidDel="00000000" w:rsidP="00000000" w:rsidRDefault="00000000" w:rsidRPr="00000000" w14:paraId="0000013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139">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CIENFUEGOS SALGADO David. El Derecho de Petición en México. Ed. Instituto de Investigaciones Jurídica UNAM. México 2004. p. 31</w:t>
      </w:r>
    </w:p>
  </w:footnote>
  <w:footnote w:id="3">
    <w:p w:rsidR="00000000" w:rsidDel="00000000" w:rsidP="00000000" w:rsidRDefault="00000000" w:rsidRPr="00000000" w14:paraId="0000013A">
      <w:pPr>
        <w:spacing w:after="240"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Carbonell, M. (2004). Los Derechos Fundamentales (Primera Edición ed.), México: Instituto de investigaciones Jurídicas.</w:t>
      </w:r>
    </w:p>
  </w:footnote>
  <w:footnote w:id="4">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120" w:line="198" w:lineRule="auto"/>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VILLANUEVA VILLANUEVA Ernesto, Derecho de la Información, Ed, Porrúa S.A., México. 2006, pág.270.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-846153</wp:posOffset>
          </wp:positionH>
          <wp:positionV relativeFrom="paragraph">
            <wp:posOffset>-171224</wp:posOffset>
          </wp:positionV>
          <wp:extent cx="7809876" cy="10165823"/>
          <wp:effectExtent b="0" l="0" r="0" t="0"/>
          <wp:wrapNone/>
          <wp:docPr id="4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3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3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05589/INFOEM/IP/RR/2022. </w:t>
          </w:r>
        </w:p>
      </w:tc>
    </w:tr>
    <w:tr>
      <w:trPr>
        <w:cantSplit w:val="0"/>
        <w:tblHeader w:val="0"/>
      </w:trPr>
      <w:tc>
        <w:tcPr>
          <w:vAlign w:val="center"/>
        </w:tcPr>
        <w:p w:rsidR="00000000" w:rsidDel="00000000" w:rsidP="00000000" w:rsidRDefault="00000000" w:rsidRPr="00000000" w14:paraId="0000013F">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40">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4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42">
          <w:pPr>
            <w:ind w:right="-151"/>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Texcoco</w:t>
          </w:r>
        </w:p>
      </w:tc>
    </w:tr>
    <w:tr>
      <w:trPr>
        <w:cantSplit w:val="0"/>
        <w:tblHeader w:val="0"/>
      </w:trPr>
      <w:tc>
        <w:tcPr>
          <w:vAlign w:val="center"/>
        </w:tcPr>
        <w:p w:rsidR="00000000" w:rsidDel="00000000" w:rsidP="00000000" w:rsidRDefault="00000000" w:rsidRPr="00000000" w14:paraId="0000014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44">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2"/>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4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4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05589/INFOEM/IP/RR/2022</w:t>
          </w:r>
        </w:p>
      </w:tc>
    </w:tr>
    <w:tr>
      <w:trPr>
        <w:cantSplit w:val="0"/>
        <w:trHeight w:val="228" w:hRule="atLeast"/>
        <w:tblHeader w:val="0"/>
      </w:trPr>
      <w:tc>
        <w:tcPr>
          <w:vAlign w:val="center"/>
        </w:tcPr>
        <w:p w:rsidR="00000000" w:rsidDel="00000000" w:rsidP="00000000" w:rsidRDefault="00000000" w:rsidRPr="00000000" w14:paraId="0000014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4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Texcoco</w:t>
          </w:r>
        </w:p>
      </w:tc>
    </w:tr>
    <w:tr>
      <w:trPr>
        <w:cantSplit w:val="0"/>
        <w:tblHeader w:val="0"/>
      </w:trPr>
      <w:tc>
        <w:tcPr>
          <w:vAlign w:val="center"/>
        </w:tcPr>
        <w:p w:rsidR="00000000" w:rsidDel="00000000" w:rsidP="00000000" w:rsidRDefault="00000000" w:rsidRPr="00000000" w14:paraId="0000014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4C">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pos="4252"/>
        <w:tab w:val="right" w:pos="8504"/>
        <w:tab w:val="left"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-695763</wp:posOffset>
          </wp:positionH>
          <wp:positionV relativeFrom="paragraph">
            <wp:posOffset>-1200938</wp:posOffset>
          </wp:positionV>
          <wp:extent cx="7809876" cy="10165823"/>
          <wp:effectExtent b="0" l="0" r="0" t="0"/>
          <wp:wrapNone/>
          <wp:docPr id="3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494" w:hanging="360"/>
      </w:pPr>
      <w:rPr>
        <w:rFonts w:ascii="Palatino Linotype" w:cs="Palatino Linotype" w:eastAsia="Palatino Linotype" w:hAnsi="Palatino Linotype"/>
        <w:b w:val="1"/>
      </w:rPr>
    </w:lvl>
    <w:lvl w:ilvl="1">
      <w:start w:val="1"/>
      <w:numFmt w:val="bullet"/>
      <w:lvlText w:val="o"/>
      <w:lvlJc w:val="left"/>
      <w:pPr>
        <w:ind w:left="2214" w:hanging="360"/>
      </w:pPr>
      <w:rPr>
        <w:rFonts w:ascii="Courier New" w:cs="Courier New" w:eastAsia="Courier New" w:hAnsi="Courier New"/>
      </w:rPr>
    </w:lvl>
    <w:lvl w:ilvl="2">
      <w:start w:val="1"/>
      <w:numFmt w:val="bullet"/>
      <w:lvlText w:val="▪"/>
      <w:lvlJc w:val="left"/>
      <w:pPr>
        <w:ind w:left="2934" w:hanging="360"/>
      </w:pPr>
      <w:rPr>
        <w:rFonts w:ascii="Noto Sans Symbols" w:cs="Noto Sans Symbols" w:eastAsia="Noto Sans Symbols" w:hAnsi="Noto Sans Symbols"/>
      </w:rPr>
    </w:lvl>
    <w:lvl w:ilvl="3">
      <w:start w:val="1"/>
      <w:numFmt w:val="bullet"/>
      <w:lvlText w:val="●"/>
      <w:lvlJc w:val="left"/>
      <w:pPr>
        <w:ind w:left="3654" w:hanging="360"/>
      </w:pPr>
      <w:rPr>
        <w:rFonts w:ascii="Noto Sans Symbols" w:cs="Noto Sans Symbols" w:eastAsia="Noto Sans Symbols" w:hAnsi="Noto Sans Symbols"/>
      </w:rPr>
    </w:lvl>
    <w:lvl w:ilvl="4">
      <w:start w:val="1"/>
      <w:numFmt w:val="bullet"/>
      <w:lvlText w:val="o"/>
      <w:lvlJc w:val="left"/>
      <w:pPr>
        <w:ind w:left="4374" w:hanging="360"/>
      </w:pPr>
      <w:rPr>
        <w:rFonts w:ascii="Courier New" w:cs="Courier New" w:eastAsia="Courier New" w:hAnsi="Courier New"/>
      </w:rPr>
    </w:lvl>
    <w:lvl w:ilvl="5">
      <w:start w:val="1"/>
      <w:numFmt w:val="bullet"/>
      <w:lvlText w:val="▪"/>
      <w:lvlJc w:val="left"/>
      <w:pPr>
        <w:ind w:left="5094" w:hanging="360"/>
      </w:pPr>
      <w:rPr>
        <w:rFonts w:ascii="Noto Sans Symbols" w:cs="Noto Sans Symbols" w:eastAsia="Noto Sans Symbols" w:hAnsi="Noto Sans Symbols"/>
      </w:rPr>
    </w:lvl>
    <w:lvl w:ilvl="6">
      <w:start w:val="1"/>
      <w:numFmt w:val="bullet"/>
      <w:lvlText w:val="●"/>
      <w:lvlJc w:val="left"/>
      <w:pPr>
        <w:ind w:left="5814" w:hanging="360"/>
      </w:pPr>
      <w:rPr>
        <w:rFonts w:ascii="Noto Sans Symbols" w:cs="Noto Sans Symbols" w:eastAsia="Noto Sans Symbols" w:hAnsi="Noto Sans Symbols"/>
      </w:rPr>
    </w:lvl>
    <w:lvl w:ilvl="7">
      <w:start w:val="1"/>
      <w:numFmt w:val="bullet"/>
      <w:lvlText w:val="o"/>
      <w:lvlJc w:val="left"/>
      <w:pPr>
        <w:ind w:left="6534" w:hanging="360"/>
      </w:pPr>
      <w:rPr>
        <w:rFonts w:ascii="Courier New" w:cs="Courier New" w:eastAsia="Courier New" w:hAnsi="Courier New"/>
      </w:rPr>
    </w:lvl>
    <w:lvl w:ilvl="8">
      <w:start w:val="1"/>
      <w:numFmt w:val="bullet"/>
      <w:lvlText w:val="▪"/>
      <w:lvlJc w:val="left"/>
      <w:pPr>
        <w:ind w:left="7254" w:hanging="360"/>
      </w:pPr>
      <w:rPr>
        <w:rFonts w:ascii="Noto Sans Symbols" w:cs="Noto Sans Symbols" w:eastAsia="Noto Sans Symbols" w:hAnsi="Noto Sans Symbols"/>
      </w:rPr>
    </w:lvl>
  </w:abstractNum>
  <w:abstractNum w:abstractNumId="2">
    <w:lvl w:ilvl="0">
      <w:start w:val="1"/>
      <w:numFmt w:val="upperRoman"/>
      <w:lvlText w:val="%1."/>
      <w:lvlJc w:val="left"/>
      <w:pPr>
        <w:ind w:left="862" w:hanging="72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3">
    <w:lvl w:ilvl="0">
      <w:start w:val="1"/>
      <w:numFmt w:val="decimal"/>
      <w:lvlText w:val="%1)"/>
      <w:lvlJc w:val="left"/>
      <w:pPr>
        <w:ind w:left="1854" w:hanging="360"/>
      </w:pPr>
      <w:rPr>
        <w:sz w:val="24"/>
        <w:szCs w:val="24"/>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A0BBE"/>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link w:val="Ttulo3Car"/>
    <w:uiPriority w:val="9"/>
    <w:semiHidden w:val="1"/>
    <w:unhideWhenUsed w:val="1"/>
    <w:qFormat w:val="1"/>
    <w:rsid w:val="002D2EAC"/>
    <w:pPr>
      <w:spacing w:after="100" w:afterAutospacing="1" w:before="100" w:beforeAutospacing="1"/>
      <w:outlineLvl w:val="2"/>
    </w:pPr>
    <w:rPr>
      <w:b w:val="1"/>
      <w:bCs w:val="1"/>
      <w:sz w:val="27"/>
      <w:szCs w:val="27"/>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5"/>
    <w:tblPr>
      <w:tblStyleRowBandSize w:val="1"/>
      <w:tblStyleColBandSize w:val="1"/>
      <w:tblCellMar>
        <w:left w:w="108.0" w:type="dxa"/>
        <w:right w:w="108.0" w:type="dxa"/>
      </w:tblCellMar>
    </w:tblPr>
  </w:style>
  <w:style w:type="table" w:styleId="a0" w:customStyle="1">
    <w:basedOn w:val="TableNormal5"/>
    <w:tblPr>
      <w:tblStyleRowBandSize w:val="1"/>
      <w:tblStyleColBandSize w:val="1"/>
      <w:tblCellMar>
        <w:left w:w="115.0" w:type="dxa"/>
        <w:right w:w="115.0" w:type="dxa"/>
      </w:tblCellMar>
    </w:tblPr>
  </w:style>
  <w:style w:type="table" w:styleId="a1" w:customStyle="1">
    <w:basedOn w:val="TableNormal5"/>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5"/>
    <w:tblPr>
      <w:tblStyleRowBandSize w:val="1"/>
      <w:tblStyleColBandSize w:val="1"/>
      <w:tblCellMar>
        <w:left w:w="108.0" w:type="dxa"/>
        <w:right w:w="108.0" w:type="dxa"/>
      </w:tblCellMar>
    </w:tblPr>
  </w:style>
  <w:style w:type="table" w:styleId="a3" w:customStyle="1">
    <w:basedOn w:val="TableNormal5"/>
    <w:tblPr>
      <w:tblStyleRowBandSize w:val="1"/>
      <w:tblStyleColBandSize w:val="1"/>
      <w:tblCellMar>
        <w:left w:w="108.0" w:type="dxa"/>
        <w:right w:w="108.0" w:type="dxa"/>
      </w:tblCellMar>
    </w:tblPr>
  </w:style>
  <w:style w:type="table" w:styleId="a4" w:customStyle="1">
    <w:basedOn w:val="TableNormal5"/>
    <w:tblPr>
      <w:tblStyleRowBandSize w:val="1"/>
      <w:tblStyleColBandSize w:val="1"/>
      <w:tblCellMar>
        <w:left w:w="108.0" w:type="dxa"/>
        <w:right w:w="108.0" w:type="dxa"/>
      </w:tblCellMar>
    </w:tblPr>
  </w:style>
  <w:style w:type="table" w:styleId="a5" w:customStyle="1">
    <w:basedOn w:val="TableNormal5"/>
    <w:tblPr>
      <w:tblStyleRowBandSize w:val="1"/>
      <w:tblStyleColBandSize w:val="1"/>
      <w:tblCellMar>
        <w:left w:w="108.0" w:type="dxa"/>
        <w:right w:w="108.0" w:type="dxa"/>
      </w:tblCellMar>
    </w:tblPr>
  </w:style>
  <w:style w:type="table" w:styleId="a6" w:customStyle="1">
    <w:basedOn w:val="TableNormal5"/>
    <w:tblPr>
      <w:tblStyleRowBandSize w:val="1"/>
      <w:tblStyleColBandSize w:val="1"/>
      <w:tblCellMar>
        <w:left w:w="108.0" w:type="dxa"/>
        <w:right w:w="108.0" w:type="dxa"/>
      </w:tblCellMar>
    </w:tblPr>
  </w:style>
  <w:style w:type="table" w:styleId="a7" w:customStyle="1">
    <w:basedOn w:val="TableNormal5"/>
    <w:tblPr>
      <w:tblStyleRowBandSize w:val="1"/>
      <w:tblStyleColBandSize w:val="1"/>
      <w:tblCellMar>
        <w:left w:w="108.0" w:type="dxa"/>
        <w:right w:w="108.0" w:type="dxa"/>
      </w:tblCellMar>
    </w:tblPr>
  </w:style>
  <w:style w:type="table" w:styleId="a8" w:customStyle="1">
    <w:basedOn w:val="TableNormal5"/>
    <w:tblPr>
      <w:tblStyleRowBandSize w:val="1"/>
      <w:tblStyleColBandSize w:val="1"/>
      <w:tblCellMar>
        <w:left w:w="108.0" w:type="dxa"/>
        <w:right w:w="108.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4"/>
    <w:tblPr>
      <w:tblStyleRowBandSize w:val="1"/>
      <w:tblStyleColBandSize w:val="1"/>
      <w:tblCellMar>
        <w:left w:w="115.0" w:type="dxa"/>
        <w:right w:w="115.0" w:type="dxa"/>
      </w:tblCellMar>
    </w:tblPr>
  </w:style>
  <w:style w:type="table" w:styleId="ad" w:customStyle="1">
    <w:basedOn w:val="TableNormal4"/>
    <w:tblPr>
      <w:tblStyleRowBandSize w:val="1"/>
      <w:tblStyleColBandSize w:val="1"/>
      <w:tblCellMar>
        <w:left w:w="115.0" w:type="dxa"/>
        <w:right w:w="115.0" w:type="dxa"/>
      </w:tblCellMar>
    </w:tblPr>
  </w:style>
  <w:style w:type="table" w:styleId="ae" w:customStyle="1">
    <w:basedOn w:val="TableNormal4"/>
    <w:tblPr>
      <w:tblStyleRowBandSize w:val="1"/>
      <w:tblStyleColBandSize w:val="1"/>
      <w:tblCellMar>
        <w:left w:w="115.0" w:type="dxa"/>
        <w:right w:w="115.0" w:type="dxa"/>
      </w:tblCellMar>
    </w:tblPr>
  </w:style>
  <w:style w:type="paragraph" w:styleId="Default" w:customStyle="1">
    <w:name w:val="Default"/>
    <w:rsid w:val="00FA3B65"/>
    <w:pPr>
      <w:autoSpaceDE w:val="0"/>
      <w:autoSpaceDN w:val="0"/>
      <w:adjustRightInd w:val="0"/>
    </w:pPr>
    <w:rPr>
      <w:rFonts w:ascii="Arial" w:cs="Arial" w:eastAsia="Calibri" w:hAnsi="Arial"/>
      <w:color w:val="000000"/>
      <w:lang w:eastAsia="en-US"/>
    </w:rPr>
  </w:style>
  <w:style w:type="character" w:styleId="Textoennegrita">
    <w:name w:val="Strong"/>
    <w:basedOn w:val="Fuentedeprrafopredeter"/>
    <w:uiPriority w:val="22"/>
    <w:qFormat w:val="1"/>
    <w:rsid w:val="00FA3B65"/>
    <w:rPr>
      <w:b w:val="1"/>
      <w:bCs w:val="1"/>
    </w:r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tblPr>
      <w:tblStyleRowBandSize w:val="1"/>
      <w:tblStyleColBandSize w:val="1"/>
      <w:tblCellMar>
        <w:left w:w="115.0" w:type="dxa"/>
        <w:right w:w="115.0" w:type="dxa"/>
      </w:tblCellMar>
    </w:tblPr>
  </w:style>
  <w:style w:type="table" w:styleId="af1" w:customStyle="1">
    <w:basedOn w:val="TableNormal3"/>
    <w:tblPr>
      <w:tblStyleRowBandSize w:val="1"/>
      <w:tblStyleColBandSize w:val="1"/>
      <w:tblCellMar>
        <w:left w:w="115.0" w:type="dxa"/>
        <w:right w:w="115.0" w:type="dxa"/>
      </w:tblCellMar>
    </w:tblPr>
  </w:style>
  <w:style w:type="character" w:styleId="Mencinsinresolver1" w:customStyle="1">
    <w:name w:val="Mención sin resolver1"/>
    <w:basedOn w:val="Fuentedeprrafopredeter"/>
    <w:uiPriority w:val="99"/>
    <w:semiHidden w:val="1"/>
    <w:unhideWhenUsed w:val="1"/>
    <w:rsid w:val="006D51FF"/>
    <w:rPr>
      <w:color w:val="605e5c"/>
      <w:shd w:color="auto" w:fill="e1dfdd" w:val="clear"/>
    </w:rPr>
  </w:style>
  <w:style w:type="table" w:styleId="af2" w:customStyle="1">
    <w:basedOn w:val="TableNormal2"/>
    <w:tblPr>
      <w:tblStyleRowBandSize w:val="1"/>
      <w:tblStyleColBandSize w:val="1"/>
      <w:tblCellMar>
        <w:left w:w="115.0" w:type="dxa"/>
        <w:right w:w="115.0" w:type="dxa"/>
      </w:tblCellMar>
    </w:tblPr>
  </w:style>
  <w:style w:type="table" w:styleId="af3" w:customStyle="1">
    <w:basedOn w:val="TableNormal2"/>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left w:w="115.0" w:type="dxa"/>
        <w:right w:w="115.0" w:type="dxa"/>
      </w:tblCellMar>
    </w:tblPr>
  </w:style>
  <w:style w:type="table" w:styleId="af5" w:customStyle="1">
    <w:basedOn w:val="TableNormal1"/>
    <w:tblPr>
      <w:tblStyleRowBandSize w:val="1"/>
      <w:tblStyleColBandSize w:val="1"/>
      <w:tblCellMar>
        <w:left w:w="115.0" w:type="dxa"/>
        <w:right w:w="115.0" w:type="dxa"/>
      </w:tblCellMar>
    </w:tblPr>
  </w:style>
  <w:style w:type="character" w:styleId="apple-tab-span" w:customStyle="1">
    <w:name w:val="apple-tab-span"/>
    <w:basedOn w:val="Fuentedeprrafopredeter"/>
    <w:rsid w:val="00007B9B"/>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character" w:styleId="UnresolvedMention" w:customStyle="1">
    <w:name w:val="Unresolved Mention"/>
    <w:basedOn w:val="Fuentedeprrafopredeter"/>
    <w:uiPriority w:val="99"/>
    <w:semiHidden w:val="1"/>
    <w:unhideWhenUsed w:val="1"/>
    <w:rsid w:val="00ED2FA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7.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RadVWTW8P1dE6K8D7M84/t/AeQ==">AMUW2mU3uUfUM5qVcjgPRDisZhLUccM52+SvO91lXzB9nMK/cqHqUk8ex4xqCjQgcpB5Y2glv9nJGQqr1xsa0z7+BnIQH27gPg5aC8i9RVzkb2mCX0EVhwQgIcCb7kD9yUZ7zaHhtS96cvNhdY3mV5MK5szix7TVq7Cvnn18ZNG9OEy9nkAMuQ7uAWYBzemhRPYoKxR34lYl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2022-08-24T21:14:00Z</dcterms:created>
  <dc:creator>USER</dc:creator>
</cp:coreProperties>
</file>