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18A6A54" w:rsidR="00662C69" w:rsidRPr="00A0054B" w:rsidRDefault="009B11D6" w:rsidP="00B31E90">
      <w:pPr>
        <w:tabs>
          <w:tab w:val="left" w:pos="3465"/>
        </w:tabs>
        <w:spacing w:line="360" w:lineRule="auto"/>
        <w:jc w:val="both"/>
        <w:rPr>
          <w:rFonts w:ascii="Palatino Linotype" w:hAnsi="Palatino Linotype"/>
          <w:color w:val="000000" w:themeColor="text1"/>
        </w:rPr>
      </w:pPr>
      <w:r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35066B">
        <w:rPr>
          <w:rFonts w:ascii="Palatino Linotype" w:hAnsi="Palatino Linotype"/>
          <w:color w:val="000000" w:themeColor="text1"/>
        </w:rPr>
        <w:t>nueve</w:t>
      </w:r>
      <w:r w:rsidR="007076C5" w:rsidRPr="00A0054B">
        <w:rPr>
          <w:rFonts w:ascii="Palatino Linotype" w:hAnsi="Palatino Linotype"/>
          <w:color w:val="000000" w:themeColor="text1"/>
        </w:rPr>
        <w:t xml:space="preserve"> (</w:t>
      </w:r>
      <w:r w:rsidR="0035066B">
        <w:rPr>
          <w:rFonts w:ascii="Palatino Linotype" w:hAnsi="Palatino Linotype"/>
          <w:color w:val="000000" w:themeColor="text1"/>
        </w:rPr>
        <w:t>09</w:t>
      </w:r>
      <w:r w:rsidR="007076C5" w:rsidRPr="00A0054B">
        <w:rPr>
          <w:rFonts w:ascii="Palatino Linotype" w:hAnsi="Palatino Linotype"/>
          <w:color w:val="000000" w:themeColor="text1"/>
        </w:rPr>
        <w:t xml:space="preserve">) de </w:t>
      </w:r>
      <w:r w:rsidR="0035066B">
        <w:rPr>
          <w:rFonts w:ascii="Palatino Linotype" w:hAnsi="Palatino Linotype"/>
          <w:color w:val="000000" w:themeColor="text1"/>
        </w:rPr>
        <w:t>marzo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6118B89A" w:rsidR="005F0007" w:rsidRPr="00A0054B"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135C45" w:rsidRPr="00135C45">
        <w:rPr>
          <w:rFonts w:ascii="Palatino Linotype" w:hAnsi="Palatino Linotype"/>
          <w:b/>
        </w:rPr>
        <w:t>000</w:t>
      </w:r>
      <w:r w:rsidR="0035066B">
        <w:rPr>
          <w:rFonts w:ascii="Palatino Linotype" w:hAnsi="Palatino Linotype"/>
          <w:b/>
        </w:rPr>
        <w:t>63</w:t>
      </w:r>
      <w:r w:rsidR="00135C45" w:rsidRPr="00135C45">
        <w:rPr>
          <w:rFonts w:ascii="Palatino Linotype" w:hAnsi="Palatino Linotype"/>
          <w:b/>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E23E30" w:rsidRPr="00E23E30">
        <w:rPr>
          <w:rFonts w:ascii="Palatino Linotype" w:eastAsia="Times New Roman" w:hAnsi="Palatino Linotype" w:cs="Times New Roman"/>
          <w:b/>
          <w:color w:val="000000" w:themeColor="text1"/>
        </w:rPr>
        <w:t>XXXX</w:t>
      </w:r>
      <w:r w:rsidR="0035066B" w:rsidRPr="0035066B">
        <w:rPr>
          <w:rFonts w:ascii="Palatino Linotype" w:eastAsia="Times New Roman" w:hAnsi="Palatino Linotype" w:cs="Times New Roman"/>
          <w:b/>
          <w:color w:val="000000" w:themeColor="text1"/>
        </w:rPr>
        <w:t xml:space="preserve"> </w:t>
      </w:r>
      <w:r w:rsidR="00E23E30">
        <w:rPr>
          <w:rFonts w:ascii="Palatino Linotype" w:eastAsia="Times New Roman" w:hAnsi="Palatino Linotype" w:cs="Times New Roman"/>
          <w:b/>
          <w:color w:val="000000" w:themeColor="text1"/>
        </w:rPr>
        <w:t>XXXXXXXX</w:t>
      </w:r>
      <w:r w:rsidR="0035066B" w:rsidRPr="0035066B">
        <w:rPr>
          <w:rFonts w:ascii="Palatino Linotype" w:eastAsia="Times New Roman" w:hAnsi="Palatino Linotype" w:cs="Times New Roman"/>
          <w:b/>
          <w:color w:val="000000" w:themeColor="text1"/>
        </w:rPr>
        <w:t xml:space="preserve"> </w:t>
      </w:r>
      <w:r w:rsidR="00E23E30">
        <w:rPr>
          <w:rFonts w:ascii="Palatino Linotype" w:eastAsia="Times New Roman" w:hAnsi="Palatino Linotype" w:cs="Times New Roman"/>
          <w:b/>
          <w:color w:val="000000" w:themeColor="text1"/>
        </w:rPr>
        <w:t>XXXX</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w:t>
      </w:r>
      <w:r w:rsidR="00384F2B" w:rsidRPr="00A0054B">
        <w:rPr>
          <w:rFonts w:ascii="Palatino Linotype" w:eastAsia="Times New Roman" w:hAnsi="Palatino Linotype" w:cs="Arial"/>
          <w:color w:val="000000" w:themeColor="text1"/>
        </w:rPr>
        <w:t xml:space="preserve"> </w:t>
      </w:r>
      <w:r w:rsidR="005F1362" w:rsidRPr="00A0054B">
        <w:rPr>
          <w:rFonts w:ascii="Palatino Linotype" w:eastAsia="Times New Roman" w:hAnsi="Palatino Linotype" w:cs="Arial"/>
          <w:color w:val="000000" w:themeColor="text1"/>
        </w:rPr>
        <w:t>l</w:t>
      </w:r>
      <w:r w:rsidR="00384F2B" w:rsidRPr="00A0054B">
        <w:rPr>
          <w:rFonts w:ascii="Palatino Linotype" w:eastAsia="Times New Roman" w:hAnsi="Palatino Linotype" w:cs="Arial"/>
          <w:color w:val="000000" w:themeColor="text1"/>
        </w:rPr>
        <w:t>a</w:t>
      </w:r>
      <w:r w:rsidR="002C1007" w:rsidRPr="00A0054B">
        <w:rPr>
          <w:rFonts w:ascii="Palatino Linotype" w:eastAsia="Times New Roman" w:hAnsi="Palatino Linotype" w:cs="Arial"/>
          <w:color w:val="000000" w:themeColor="text1"/>
        </w:rPr>
        <w:t xml:space="preserve"> </w:t>
      </w:r>
      <w:r w:rsidR="0035066B" w:rsidRPr="0035066B">
        <w:rPr>
          <w:rFonts w:ascii="Palatino Linotype" w:hAnsi="Palatino Linotype"/>
          <w:b/>
          <w:bCs/>
          <w:color w:val="000000"/>
          <w:szCs w:val="22"/>
        </w:rPr>
        <w:t>Ayuntamiento de Tlalnepantla de Baz</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0054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402A4C0A" w14:textId="630B5814"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35066B">
        <w:rPr>
          <w:rFonts w:ascii="Palatino Linotype" w:eastAsia="Calibri" w:hAnsi="Palatino Linotype" w:cs="Arial"/>
          <w:color w:val="000000" w:themeColor="text1"/>
          <w:lang w:val="es-ES"/>
        </w:rPr>
        <w:t>ocho</w:t>
      </w:r>
      <w:r w:rsidR="007076C5" w:rsidRPr="00A0054B">
        <w:rPr>
          <w:rFonts w:ascii="Palatino Linotype" w:eastAsia="Calibri" w:hAnsi="Palatino Linotype" w:cs="Arial"/>
          <w:color w:val="000000" w:themeColor="text1"/>
          <w:lang w:val="es-ES"/>
        </w:rPr>
        <w:t xml:space="preserve"> (</w:t>
      </w:r>
      <w:r w:rsidR="0035066B">
        <w:rPr>
          <w:rFonts w:ascii="Palatino Linotype" w:eastAsia="Calibri" w:hAnsi="Palatino Linotype" w:cs="Arial"/>
          <w:color w:val="000000" w:themeColor="text1"/>
          <w:lang w:val="es-ES"/>
        </w:rPr>
        <w:t>8</w:t>
      </w:r>
      <w:r w:rsidR="007076C5" w:rsidRPr="00A0054B">
        <w:rPr>
          <w:rFonts w:ascii="Palatino Linotype" w:eastAsia="Calibri" w:hAnsi="Palatino Linotype" w:cs="Arial"/>
          <w:color w:val="000000" w:themeColor="text1"/>
          <w:lang w:val="es-ES"/>
        </w:rPr>
        <w:t xml:space="preserve">) de </w:t>
      </w:r>
      <w:r w:rsidR="00135C45">
        <w:rPr>
          <w:rFonts w:ascii="Palatino Linotype" w:eastAsia="Calibri" w:hAnsi="Palatino Linotype" w:cs="Arial"/>
          <w:color w:val="000000" w:themeColor="text1"/>
          <w:lang w:val="es-ES"/>
        </w:rPr>
        <w:t>diciembre</w:t>
      </w:r>
      <w:r w:rsidR="00B31E90" w:rsidRPr="00A0054B">
        <w:rPr>
          <w:rFonts w:ascii="Palatino Linotype" w:eastAsia="Calibri" w:hAnsi="Palatino Linotype" w:cs="Arial"/>
          <w:color w:val="000000" w:themeColor="text1"/>
          <w:lang w:val="es-ES"/>
        </w:rPr>
        <w:t xml:space="preserve"> de dos mil veintiuno</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del</w:t>
      </w:r>
      <w:r w:rsidR="007076C5" w:rsidRPr="00A0054B">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72239" w:rsidRPr="00A0054B">
        <w:rPr>
          <w:rFonts w:ascii="Palatino Linotype" w:hAnsi="Palatino Linotype"/>
          <w:b/>
          <w:bCs/>
          <w:color w:val="000000" w:themeColor="text1"/>
        </w:rPr>
        <w:t>0</w:t>
      </w:r>
      <w:r w:rsidR="0035066B">
        <w:rPr>
          <w:rFonts w:ascii="Palatino Linotype" w:hAnsi="Palatino Linotype"/>
          <w:b/>
          <w:bCs/>
          <w:color w:val="000000" w:themeColor="text1"/>
        </w:rPr>
        <w:t>101</w:t>
      </w:r>
      <w:r w:rsidR="0035066B">
        <w:rPr>
          <w:rFonts w:ascii="Palatino Linotype" w:eastAsia="Calibri" w:hAnsi="Palatino Linotype" w:cs="Arial"/>
          <w:color w:val="000000" w:themeColor="text1"/>
          <w:lang w:val="es-ES"/>
        </w:rPr>
        <w:t>3</w:t>
      </w:r>
      <w:r w:rsidR="00072239" w:rsidRPr="0035066B">
        <w:rPr>
          <w:rFonts w:ascii="Palatino Linotype" w:hAnsi="Palatino Linotype"/>
          <w:b/>
          <w:bCs/>
          <w:color w:val="000000" w:themeColor="text1"/>
        </w:rPr>
        <w:t>/</w:t>
      </w:r>
      <w:r w:rsidR="0035066B">
        <w:rPr>
          <w:rFonts w:ascii="Palatino Linotype" w:hAnsi="Palatino Linotype"/>
          <w:b/>
          <w:bCs/>
          <w:color w:val="000000" w:themeColor="text1"/>
        </w:rPr>
        <w:t>TLALNEPA</w:t>
      </w:r>
      <w:r w:rsidR="00072239" w:rsidRPr="0035066B">
        <w:rPr>
          <w:rFonts w:ascii="Palatino Linotype" w:hAnsi="Palatino Linotype"/>
          <w:b/>
          <w:bCs/>
          <w:color w:val="000000" w:themeColor="text1"/>
        </w:rPr>
        <w:t>/IP/2021</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0625BAE" w:rsidR="0097210F" w:rsidRPr="00A0054B"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0054B">
        <w:rPr>
          <w:rFonts w:ascii="Palatino Linotype" w:hAnsi="Palatino Linotype"/>
          <w:i/>
          <w:color w:val="000000" w:themeColor="text1"/>
          <w:sz w:val="22"/>
          <w:szCs w:val="22"/>
        </w:rPr>
        <w:t>“</w:t>
      </w:r>
      <w:r w:rsidR="0035066B" w:rsidRPr="0035066B">
        <w:rPr>
          <w:rFonts w:ascii="Palatino Linotype" w:hAnsi="Palatino Linotype"/>
          <w:i/>
          <w:iCs/>
          <w:color w:val="000000" w:themeColor="text1"/>
          <w:sz w:val="22"/>
          <w:szCs w:val="22"/>
        </w:rPr>
        <w:t>Ayuntamiento de Tlalnepantla de Baz, México. Solicito el Dictamen de Opinión favorable de la COPLADEMUN de la Quinta Sesión del 05 de Noviembre del 2020, del oficio DTU/COPLADEMUN/CG/SAYA/010/2020, también, el Proyecto Arquitectónico presentado para la autorización de Cambio de Uso de Suelo numero DTU/CUS/026/2020, así como, las Licencias y Autorizaciones para la construcción de un cuarto nivel a partir del nivel de la banqueta, para el edificio en construcción ubicado en el predio en Viveros de Yucatán no. 21, Viveros de la Loma, Tlalnepantla de Baz, Estado de México, C.P. 54080 (Lote 3 Mza 34-B).</w:t>
      </w:r>
      <w:r w:rsidR="00751F6F" w:rsidRPr="00751F6F">
        <w:rPr>
          <w:rFonts w:ascii="Palatino Linotype" w:hAnsi="Palatino Linotype"/>
          <w:i/>
          <w:iCs/>
          <w:color w:val="000000" w:themeColor="text1"/>
          <w:sz w:val="22"/>
          <w:szCs w:val="22"/>
        </w:rPr>
        <w:t>.</w:t>
      </w:r>
      <w:r w:rsidRPr="00A0054B">
        <w:rPr>
          <w:rFonts w:ascii="Palatino Linotype" w:hAnsi="Palatino Linotype"/>
          <w:i/>
          <w:color w:val="000000" w:themeColor="text1"/>
          <w:sz w:val="22"/>
          <w:szCs w:val="22"/>
        </w:rPr>
        <w:t xml:space="preserve">” </w:t>
      </w:r>
      <w:r w:rsidRPr="00A0054B">
        <w:rPr>
          <w:rFonts w:ascii="Palatino Linotype" w:hAnsi="Palatino Linotype"/>
          <w:color w:val="000000" w:themeColor="text1"/>
          <w:sz w:val="22"/>
          <w:szCs w:val="22"/>
        </w:rPr>
        <w:t>(Sic).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218AF1B6"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4E197E" w:rsidRPr="00A0054B">
        <w:rPr>
          <w:rFonts w:ascii="Palatino Linotype" w:hAnsi="Palatino Linotype" w:cs="Arial"/>
          <w:color w:val="000000" w:themeColor="text1"/>
        </w:rPr>
        <w:t xml:space="preserve"> </w:t>
      </w:r>
      <w:r w:rsidR="0035066B">
        <w:rPr>
          <w:rFonts w:ascii="Palatino Linotype" w:hAnsi="Palatino Linotype" w:cs="Arial"/>
          <w:color w:val="000000" w:themeColor="text1"/>
        </w:rPr>
        <w:t>CORREO ELECTRÓNICO</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BF62500"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35066B">
        <w:rPr>
          <w:rFonts w:ascii="Palatino Linotype" w:eastAsia="MS Mincho" w:hAnsi="Palatino Linotype" w:cs="Times New Roman"/>
          <w:color w:val="000000" w:themeColor="text1"/>
        </w:rPr>
        <w:t>veintidós</w:t>
      </w:r>
      <w:r w:rsidR="00D0377B">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35066B">
        <w:rPr>
          <w:rFonts w:ascii="Palatino Linotype" w:eastAsia="MS Mincho" w:hAnsi="Palatino Linotype" w:cs="Times New Roman"/>
          <w:color w:val="000000" w:themeColor="text1"/>
        </w:rPr>
        <w:t>22</w:t>
      </w:r>
      <w:r w:rsidR="007076C5" w:rsidRPr="00A0054B">
        <w:rPr>
          <w:rFonts w:ascii="Palatino Linotype" w:eastAsia="MS Mincho" w:hAnsi="Palatino Linotype" w:cs="Times New Roman"/>
          <w:color w:val="000000" w:themeColor="text1"/>
        </w:rPr>
        <w:t xml:space="preserve">) de </w:t>
      </w:r>
      <w:r w:rsidR="00D0377B">
        <w:rPr>
          <w:rFonts w:ascii="Palatino Linotype" w:eastAsia="MS Mincho" w:hAnsi="Palatino Linotype" w:cs="Times New Roman"/>
          <w:color w:val="000000" w:themeColor="text1"/>
        </w:rPr>
        <w:t>diciembre</w:t>
      </w:r>
      <w:r w:rsidR="00762697" w:rsidRPr="00A0054B">
        <w:rPr>
          <w:rFonts w:ascii="Palatino Linotype" w:eastAsia="MS Mincho" w:hAnsi="Palatino Linotype" w:cs="Times New Roman"/>
          <w:color w:val="000000" w:themeColor="text1"/>
        </w:rPr>
        <w:t xml:space="preserve"> de dos mil veintiuno,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35066B" w:rsidRPr="00A0054B">
        <w:rPr>
          <w:rFonts w:ascii="Palatino Linotype" w:hAnsi="Palatino Linotype"/>
          <w:b/>
          <w:bCs/>
          <w:color w:val="000000" w:themeColor="text1"/>
        </w:rPr>
        <w:t>0</w:t>
      </w:r>
      <w:r w:rsidR="0035066B">
        <w:rPr>
          <w:rFonts w:ascii="Palatino Linotype" w:hAnsi="Palatino Linotype"/>
          <w:b/>
          <w:bCs/>
          <w:color w:val="000000" w:themeColor="text1"/>
        </w:rPr>
        <w:t>101</w:t>
      </w:r>
      <w:r w:rsidR="0035066B">
        <w:rPr>
          <w:rFonts w:ascii="Palatino Linotype" w:eastAsia="Calibri" w:hAnsi="Palatino Linotype" w:cs="Arial"/>
          <w:color w:val="000000" w:themeColor="text1"/>
          <w:lang w:val="es-ES"/>
        </w:rPr>
        <w:t>3</w:t>
      </w:r>
      <w:r w:rsidR="0035066B" w:rsidRPr="0035066B">
        <w:rPr>
          <w:rFonts w:ascii="Palatino Linotype" w:hAnsi="Palatino Linotype"/>
          <w:b/>
          <w:bCs/>
          <w:color w:val="000000" w:themeColor="text1"/>
        </w:rPr>
        <w:t>/</w:t>
      </w:r>
      <w:r w:rsidR="0035066B">
        <w:rPr>
          <w:rFonts w:ascii="Palatino Linotype" w:hAnsi="Palatino Linotype"/>
          <w:b/>
          <w:bCs/>
          <w:color w:val="000000" w:themeColor="text1"/>
        </w:rPr>
        <w:t>TLALNEPA</w:t>
      </w:r>
      <w:r w:rsidR="0035066B" w:rsidRPr="0035066B">
        <w:rPr>
          <w:rFonts w:ascii="Palatino Linotype" w:hAnsi="Palatino Linotype"/>
          <w:b/>
          <w:bCs/>
          <w:color w:val="000000" w:themeColor="text1"/>
        </w:rPr>
        <w:t>/IP/2021</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21F72489" w14:textId="77777777" w:rsidR="0035066B" w:rsidRPr="0035066B" w:rsidRDefault="005F1362" w:rsidP="0035066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w:t>
      </w:r>
      <w:r w:rsidR="0035066B" w:rsidRPr="0035066B">
        <w:rPr>
          <w:rFonts w:ascii="Palatino Linotype" w:hAnsi="Palatino Linotype"/>
          <w:i/>
          <w:noProof/>
          <w:color w:val="000000" w:themeColor="text1"/>
          <w:sz w:val="22"/>
          <w:szCs w:val="22"/>
          <w:lang w:val="es-MX" w:eastAsia="es-MX"/>
        </w:rPr>
        <w:t>Tlalnepantla de Baz, México a 22 de Diciembre de 2021</w:t>
      </w:r>
    </w:p>
    <w:p w14:paraId="21414D73" w14:textId="57E1DE39" w:rsidR="0035066B" w:rsidRPr="0035066B" w:rsidRDefault="0035066B" w:rsidP="0035066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5066B">
        <w:rPr>
          <w:rFonts w:ascii="Palatino Linotype" w:hAnsi="Palatino Linotype"/>
          <w:i/>
          <w:noProof/>
          <w:color w:val="000000" w:themeColor="text1"/>
          <w:sz w:val="22"/>
          <w:szCs w:val="22"/>
          <w:lang w:val="es-MX" w:eastAsia="es-MX"/>
        </w:rPr>
        <w:t xml:space="preserve">Nombre del solicitante: </w:t>
      </w:r>
      <w:r w:rsidR="00E23E30">
        <w:rPr>
          <w:rFonts w:ascii="Palatino Linotype" w:hAnsi="Palatino Linotype"/>
          <w:i/>
          <w:noProof/>
          <w:color w:val="000000" w:themeColor="text1"/>
          <w:sz w:val="22"/>
          <w:szCs w:val="22"/>
          <w:lang w:val="es-MX" w:eastAsia="es-MX"/>
        </w:rPr>
        <w:t>XXXX</w:t>
      </w:r>
      <w:r w:rsidRPr="0035066B">
        <w:rPr>
          <w:rFonts w:ascii="Palatino Linotype" w:hAnsi="Palatino Linotype"/>
          <w:i/>
          <w:noProof/>
          <w:color w:val="000000" w:themeColor="text1"/>
          <w:sz w:val="22"/>
          <w:szCs w:val="22"/>
          <w:lang w:val="es-MX" w:eastAsia="es-MX"/>
        </w:rPr>
        <w:t xml:space="preserve"> </w:t>
      </w:r>
      <w:r w:rsidR="00E23E30">
        <w:rPr>
          <w:rFonts w:ascii="Palatino Linotype" w:hAnsi="Palatino Linotype"/>
          <w:i/>
          <w:noProof/>
          <w:color w:val="000000" w:themeColor="text1"/>
          <w:sz w:val="22"/>
          <w:szCs w:val="22"/>
          <w:lang w:val="es-MX" w:eastAsia="es-MX"/>
        </w:rPr>
        <w:t>XXXXXXX</w:t>
      </w:r>
      <w:r w:rsidRPr="0035066B">
        <w:rPr>
          <w:rFonts w:ascii="Palatino Linotype" w:hAnsi="Palatino Linotype"/>
          <w:i/>
          <w:noProof/>
          <w:color w:val="000000" w:themeColor="text1"/>
          <w:sz w:val="22"/>
          <w:szCs w:val="22"/>
          <w:lang w:val="es-MX" w:eastAsia="es-MX"/>
        </w:rPr>
        <w:t xml:space="preserve"> </w:t>
      </w:r>
      <w:r w:rsidR="00E23E30">
        <w:rPr>
          <w:rFonts w:ascii="Palatino Linotype" w:hAnsi="Palatino Linotype"/>
          <w:i/>
          <w:noProof/>
          <w:color w:val="000000" w:themeColor="text1"/>
          <w:sz w:val="22"/>
          <w:szCs w:val="22"/>
          <w:lang w:val="es-MX" w:eastAsia="es-MX"/>
        </w:rPr>
        <w:t>XXXX</w:t>
      </w:r>
    </w:p>
    <w:p w14:paraId="6144F8A9" w14:textId="77777777" w:rsidR="0035066B" w:rsidRPr="0035066B" w:rsidRDefault="0035066B" w:rsidP="0035066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5066B">
        <w:rPr>
          <w:rFonts w:ascii="Palatino Linotype" w:hAnsi="Palatino Linotype"/>
          <w:i/>
          <w:noProof/>
          <w:color w:val="000000" w:themeColor="text1"/>
          <w:sz w:val="22"/>
          <w:szCs w:val="22"/>
          <w:lang w:val="es-MX" w:eastAsia="es-MX"/>
        </w:rPr>
        <w:t>Folio de la solicitud: 01013/TLALNEPA/IP/2021</w:t>
      </w:r>
    </w:p>
    <w:p w14:paraId="2E045AF7" w14:textId="77777777" w:rsidR="0035066B" w:rsidRPr="0035066B" w:rsidRDefault="0035066B" w:rsidP="0035066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5066B">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227AF6" w14:textId="77777777" w:rsidR="0035066B" w:rsidRPr="0035066B" w:rsidRDefault="0035066B" w:rsidP="0035066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5066B">
        <w:rPr>
          <w:rFonts w:ascii="Palatino Linotype" w:hAnsi="Palatino Linotype"/>
          <w:i/>
          <w:noProof/>
          <w:color w:val="000000" w:themeColor="text1"/>
          <w:sz w:val="22"/>
          <w:szCs w:val="22"/>
          <w:lang w:val="es-MX" w:eastAsia="es-MX"/>
        </w:rPr>
        <w:t>Se anexa respuesta respectiva.</w:t>
      </w:r>
    </w:p>
    <w:p w14:paraId="5DD42946" w14:textId="77777777" w:rsidR="0035066B" w:rsidRPr="0035066B" w:rsidRDefault="0035066B" w:rsidP="0035066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5066B">
        <w:rPr>
          <w:rFonts w:ascii="Palatino Linotype" w:hAnsi="Palatino Linotype"/>
          <w:i/>
          <w:noProof/>
          <w:color w:val="000000" w:themeColor="text1"/>
          <w:sz w:val="22"/>
          <w:szCs w:val="22"/>
          <w:lang w:val="es-MX" w:eastAsia="es-MX"/>
        </w:rPr>
        <w:t>ATENTAMENTE</w:t>
      </w:r>
    </w:p>
    <w:p w14:paraId="35A36DE0" w14:textId="2F4050A7" w:rsidR="0039142B" w:rsidRPr="00A0054B" w:rsidRDefault="0035066B" w:rsidP="0035066B">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35066B">
        <w:rPr>
          <w:rFonts w:ascii="Palatino Linotype" w:hAnsi="Palatino Linotype"/>
          <w:i/>
          <w:noProof/>
          <w:color w:val="000000" w:themeColor="text1"/>
          <w:sz w:val="22"/>
          <w:szCs w:val="22"/>
          <w:lang w:val="es-MX" w:eastAsia="es-MX"/>
        </w:rPr>
        <w:t>MTRA. SANDRA MARÍA HERNÁNDEZ LÓPEZ</w:t>
      </w:r>
      <w:r w:rsidR="005F1362" w:rsidRPr="00A0054B">
        <w:rPr>
          <w:rFonts w:ascii="Palatino Linotype" w:hAnsi="Palatino Linotype"/>
          <w:i/>
          <w:noProof/>
          <w:color w:val="000000" w:themeColor="text1"/>
          <w:sz w:val="22"/>
          <w:szCs w:val="22"/>
          <w:lang w:val="es-MX" w:eastAsia="es-MX"/>
        </w:rPr>
        <w:t>”</w:t>
      </w:r>
      <w:r w:rsidR="00EB3DF7" w:rsidRPr="00A0054B">
        <w:rPr>
          <w:rFonts w:ascii="Palatino Linotype" w:hAnsi="Palatino Linotype"/>
          <w:noProof/>
          <w:color w:val="000000" w:themeColor="text1"/>
          <w:sz w:val="22"/>
          <w:szCs w:val="22"/>
          <w:lang w:val="es-MX" w:eastAsia="es-MX"/>
        </w:rPr>
        <w:t xml:space="preserve">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292AC795" w14:textId="77777777" w:rsidR="0035066B" w:rsidRDefault="0035066B"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El Sujeto Obligado acompañó la respuesta del documento electrónico denominado </w:t>
      </w:r>
      <w:r w:rsidRPr="0035066B">
        <w:rPr>
          <w:rFonts w:ascii="Palatino Linotype" w:hAnsi="Palatino Linotype"/>
          <w:b/>
          <w:i/>
          <w:color w:val="000000" w:themeColor="text1"/>
          <w:szCs w:val="22"/>
        </w:rPr>
        <w:t>RESP_SAIMEX_01013.zip</w:t>
      </w:r>
      <w:r>
        <w:rPr>
          <w:rFonts w:ascii="Palatino Linotype" w:hAnsi="Palatino Linotype"/>
          <w:color w:val="000000" w:themeColor="text1"/>
          <w:szCs w:val="22"/>
        </w:rPr>
        <w:t>, cabe señalar que fue adjuntado dos veces y contiene la misma información.</w:t>
      </w:r>
    </w:p>
    <w:p w14:paraId="0DA7909C" w14:textId="77777777" w:rsidR="0035066B"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06361F9" w14:textId="2B5A1883" w:rsidR="0035066B" w:rsidRDefault="0035066B" w:rsidP="0035066B">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Pr>
          <w:rFonts w:ascii="Palatino Linotype" w:hAnsi="Palatino Linotype"/>
          <w:b/>
          <w:color w:val="000000" w:themeColor="text1"/>
          <w:szCs w:val="22"/>
        </w:rPr>
        <w:t xml:space="preserve">Acta 34_SECT.pdf: </w:t>
      </w:r>
      <w:r w:rsidRPr="00234CD2">
        <w:rPr>
          <w:rFonts w:ascii="Palatino Linotype" w:hAnsi="Palatino Linotype"/>
          <w:color w:val="000000" w:themeColor="text1"/>
          <w:szCs w:val="22"/>
        </w:rPr>
        <w:t>Contiene el acta de la Trigésima Cuarta Sesión Extraordinaria del Comité de Transparencia del Municipio de Tlalnepantla de Baz</w:t>
      </w:r>
      <w:r w:rsidR="00234CD2" w:rsidRPr="00234CD2">
        <w:rPr>
          <w:rFonts w:ascii="Palatino Linotype" w:hAnsi="Palatino Linotype"/>
          <w:color w:val="000000" w:themeColor="text1"/>
          <w:szCs w:val="22"/>
        </w:rPr>
        <w:t>, mediante el cual se confirmó la clasificación como información confidencial del nombre de propietario y clave catastral.</w:t>
      </w:r>
    </w:p>
    <w:p w14:paraId="7EF22A9F" w14:textId="77777777" w:rsidR="00234CD2" w:rsidRPr="0035066B" w:rsidRDefault="00234CD2" w:rsidP="00234CD2">
      <w:pPr>
        <w:pStyle w:val="Prrafodelista"/>
        <w:tabs>
          <w:tab w:val="left" w:pos="284"/>
          <w:tab w:val="left" w:pos="426"/>
        </w:tabs>
        <w:spacing w:line="360" w:lineRule="auto"/>
        <w:jc w:val="both"/>
        <w:rPr>
          <w:rFonts w:ascii="Palatino Linotype" w:hAnsi="Palatino Linotype"/>
          <w:b/>
          <w:color w:val="000000" w:themeColor="text1"/>
          <w:szCs w:val="22"/>
        </w:rPr>
      </w:pPr>
    </w:p>
    <w:p w14:paraId="6D2E3DF4" w14:textId="5759250F" w:rsidR="0035066B" w:rsidRDefault="0035066B" w:rsidP="0035066B">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sidRPr="0035066B">
        <w:rPr>
          <w:rFonts w:ascii="Palatino Linotype" w:hAnsi="Palatino Linotype"/>
          <w:b/>
          <w:color w:val="000000" w:themeColor="text1"/>
          <w:szCs w:val="22"/>
        </w:rPr>
        <w:t>RESP</w:t>
      </w:r>
      <w:r w:rsidR="00234CD2">
        <w:rPr>
          <w:rFonts w:ascii="Palatino Linotype" w:hAnsi="Palatino Linotype"/>
          <w:b/>
          <w:color w:val="000000" w:themeColor="text1"/>
          <w:szCs w:val="22"/>
        </w:rPr>
        <w:t>_SAIMEX_01013_TRANSF_URBANA.pdf: Contiene lo siguiente:</w:t>
      </w:r>
    </w:p>
    <w:p w14:paraId="11EF87E5" w14:textId="51653B98" w:rsidR="00234CD2" w:rsidRPr="00C6521F" w:rsidRDefault="00234CD2" w:rsidP="00C6521F">
      <w:pPr>
        <w:pStyle w:val="Prrafodelista"/>
        <w:numPr>
          <w:ilvl w:val="0"/>
          <w:numId w:val="36"/>
        </w:numPr>
        <w:rPr>
          <w:rFonts w:ascii="Palatino Linotype" w:hAnsi="Palatino Linotype"/>
          <w:color w:val="000000" w:themeColor="text1"/>
          <w:szCs w:val="22"/>
        </w:rPr>
      </w:pPr>
      <w:r w:rsidRPr="00C6521F">
        <w:rPr>
          <w:rFonts w:ascii="Palatino Linotype" w:hAnsi="Palatino Linotype"/>
          <w:color w:val="000000" w:themeColor="text1"/>
          <w:szCs w:val="22"/>
        </w:rPr>
        <w:t>No se localizaron licencias y/o permisos que autoricen el cuarto nivel de dicha construcción en el domicilio referido por el particular;</w:t>
      </w:r>
    </w:p>
    <w:p w14:paraId="1022B6F2" w14:textId="64094707" w:rsidR="00234CD2" w:rsidRPr="00C6521F" w:rsidRDefault="00234CD2" w:rsidP="00C6521F">
      <w:pPr>
        <w:pStyle w:val="Prrafodelista"/>
        <w:numPr>
          <w:ilvl w:val="0"/>
          <w:numId w:val="36"/>
        </w:numPr>
        <w:rPr>
          <w:rFonts w:ascii="Palatino Linotype" w:hAnsi="Palatino Linotype"/>
          <w:color w:val="000000" w:themeColor="text1"/>
          <w:szCs w:val="22"/>
        </w:rPr>
      </w:pPr>
      <w:r w:rsidRPr="00C6521F">
        <w:rPr>
          <w:rFonts w:ascii="Palatino Linotype" w:hAnsi="Palatino Linotype"/>
          <w:color w:val="000000" w:themeColor="text1"/>
          <w:szCs w:val="22"/>
        </w:rPr>
        <w:t>Autorización de cambio de uso de suelo;</w:t>
      </w:r>
    </w:p>
    <w:p w14:paraId="52F6C443" w14:textId="3A78359D" w:rsidR="00C6521F" w:rsidRPr="00C6521F" w:rsidRDefault="00C6521F" w:rsidP="00C6521F">
      <w:pPr>
        <w:pStyle w:val="Prrafodelista"/>
        <w:numPr>
          <w:ilvl w:val="0"/>
          <w:numId w:val="36"/>
        </w:numPr>
        <w:rPr>
          <w:rFonts w:ascii="Palatino Linotype" w:hAnsi="Palatino Linotype"/>
          <w:color w:val="000000" w:themeColor="text1"/>
          <w:szCs w:val="22"/>
        </w:rPr>
      </w:pPr>
      <w:r w:rsidRPr="00C6521F">
        <w:rPr>
          <w:rFonts w:ascii="Palatino Linotype" w:hAnsi="Palatino Linotype"/>
          <w:color w:val="000000" w:themeColor="text1"/>
          <w:szCs w:val="22"/>
        </w:rPr>
        <w:t>Documento que contiene la opinión favorable del cambio de uso de suelo del inmueble referido por el particular.</w:t>
      </w:r>
    </w:p>
    <w:p w14:paraId="69C8CC79" w14:textId="77777777" w:rsidR="00234CD2" w:rsidRDefault="00234CD2" w:rsidP="00234CD2">
      <w:pPr>
        <w:pStyle w:val="Prrafodelista"/>
        <w:tabs>
          <w:tab w:val="left" w:pos="284"/>
          <w:tab w:val="left" w:pos="426"/>
        </w:tabs>
        <w:spacing w:line="360" w:lineRule="auto"/>
        <w:jc w:val="both"/>
        <w:rPr>
          <w:rFonts w:ascii="Palatino Linotype" w:hAnsi="Palatino Linotype"/>
          <w:b/>
          <w:color w:val="000000" w:themeColor="text1"/>
          <w:szCs w:val="22"/>
        </w:rPr>
      </w:pPr>
    </w:p>
    <w:p w14:paraId="7A6DA487" w14:textId="77777777" w:rsidR="00234CD2" w:rsidRPr="0035066B" w:rsidRDefault="00234CD2" w:rsidP="00234CD2">
      <w:pPr>
        <w:pStyle w:val="Prrafodelista"/>
        <w:tabs>
          <w:tab w:val="left" w:pos="284"/>
          <w:tab w:val="left" w:pos="426"/>
        </w:tabs>
        <w:spacing w:line="360" w:lineRule="auto"/>
        <w:jc w:val="both"/>
        <w:rPr>
          <w:rFonts w:ascii="Palatino Linotype" w:hAnsi="Palatino Linotype"/>
          <w:b/>
          <w:color w:val="000000" w:themeColor="text1"/>
          <w:szCs w:val="22"/>
        </w:rPr>
      </w:pPr>
    </w:p>
    <w:p w14:paraId="7CF62526" w14:textId="7B8E9FB7" w:rsidR="0035066B" w:rsidRPr="0035066B" w:rsidRDefault="0035066B" w:rsidP="0035066B">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sidRPr="0035066B">
        <w:rPr>
          <w:rFonts w:ascii="Palatino Linotype" w:hAnsi="Palatino Linotype"/>
          <w:b/>
          <w:color w:val="000000" w:themeColor="text1"/>
          <w:szCs w:val="22"/>
        </w:rPr>
        <w:t>RESP_SAIMEX_01013_TRANSF_URBANA_C</w:t>
      </w:r>
      <w:r w:rsidR="00234CD2">
        <w:rPr>
          <w:rFonts w:ascii="Palatino Linotype" w:hAnsi="Palatino Linotype"/>
          <w:b/>
          <w:color w:val="000000" w:themeColor="text1"/>
          <w:szCs w:val="22"/>
        </w:rPr>
        <w:t xml:space="preserve">T_pdf: </w:t>
      </w:r>
      <w:r w:rsidR="00234CD2" w:rsidRPr="00234CD2">
        <w:rPr>
          <w:rFonts w:ascii="Palatino Linotype" w:hAnsi="Palatino Linotype"/>
          <w:color w:val="000000" w:themeColor="text1"/>
          <w:szCs w:val="22"/>
        </w:rPr>
        <w:t>Documento suscrito por la Jefa de Departamento de Enlace Intermunicipal Metropolitano y de Ciudad y el Servidor Público Habilitado de la Dirección de Transformación Urbana que contiene la propuesta de clasificación.</w:t>
      </w:r>
    </w:p>
    <w:p w14:paraId="23D5FC63" w14:textId="77777777" w:rsidR="0035066B" w:rsidRDefault="0035066B" w:rsidP="0035066B">
      <w:pPr>
        <w:tabs>
          <w:tab w:val="left" w:pos="284"/>
          <w:tab w:val="left" w:pos="426"/>
        </w:tabs>
        <w:spacing w:line="360" w:lineRule="auto"/>
        <w:jc w:val="both"/>
        <w:rPr>
          <w:rFonts w:ascii="Palatino Linotype" w:hAnsi="Palatino Linotype"/>
          <w:color w:val="000000" w:themeColor="text1"/>
          <w:szCs w:val="22"/>
        </w:rPr>
      </w:pPr>
    </w:p>
    <w:p w14:paraId="272B63B3" w14:textId="1B16DEDC"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751F6F">
        <w:rPr>
          <w:rFonts w:ascii="Palatino Linotype" w:eastAsia="Times New Roman" w:hAnsi="Palatino Linotype" w:cs="Arial"/>
          <w:color w:val="000000" w:themeColor="text1"/>
          <w:lang w:val="es-ES"/>
        </w:rPr>
        <w:t>diez</w:t>
      </w:r>
      <w:r w:rsidR="002D6CF5" w:rsidRPr="00A0054B">
        <w:rPr>
          <w:rFonts w:ascii="Palatino Linotype" w:eastAsia="Times New Roman" w:hAnsi="Palatino Linotype" w:cs="Arial"/>
          <w:color w:val="000000" w:themeColor="text1"/>
          <w:lang w:val="es-ES"/>
        </w:rPr>
        <w:t xml:space="preserve"> (</w:t>
      </w:r>
      <w:r w:rsidR="005B42D8">
        <w:rPr>
          <w:rFonts w:ascii="Palatino Linotype" w:eastAsia="Times New Roman" w:hAnsi="Palatino Linotype" w:cs="Arial"/>
          <w:color w:val="000000" w:themeColor="text1"/>
          <w:lang w:val="es-ES"/>
        </w:rPr>
        <w:t>1</w:t>
      </w:r>
      <w:r w:rsidR="00751F6F">
        <w:rPr>
          <w:rFonts w:ascii="Palatino Linotype" w:eastAsia="Times New Roman" w:hAnsi="Palatino Linotype" w:cs="Arial"/>
          <w:color w:val="000000" w:themeColor="text1"/>
          <w:lang w:val="es-ES"/>
        </w:rPr>
        <w:t>0</w:t>
      </w:r>
      <w:r w:rsidR="007A078A" w:rsidRPr="00A0054B">
        <w:rPr>
          <w:rFonts w:ascii="Palatino Linotype" w:eastAsia="Times New Roman" w:hAnsi="Palatino Linotype" w:cs="Arial"/>
          <w:color w:val="000000" w:themeColor="text1"/>
          <w:lang w:val="es-ES"/>
        </w:rPr>
        <w:t xml:space="preserve">) de </w:t>
      </w:r>
      <w:r w:rsidR="00751F6F">
        <w:rPr>
          <w:rFonts w:ascii="Palatino Linotype" w:eastAsia="Times New Roman" w:hAnsi="Palatino Linotype" w:cs="Arial"/>
          <w:color w:val="000000" w:themeColor="text1"/>
          <w:lang w:val="es-ES"/>
        </w:rPr>
        <w:t>enero</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135C45">
        <w:rPr>
          <w:rFonts w:ascii="Palatino Linotype" w:hAnsi="Palatino Linotype"/>
          <w:b/>
          <w:sz w:val="22"/>
          <w:szCs w:val="22"/>
        </w:rPr>
        <w:t>000</w:t>
      </w:r>
      <w:r w:rsidR="0035066B">
        <w:rPr>
          <w:rFonts w:ascii="Palatino Linotype" w:hAnsi="Palatino Linotype"/>
          <w:b/>
          <w:sz w:val="22"/>
          <w:szCs w:val="22"/>
        </w:rPr>
        <w:t>63</w:t>
      </w:r>
      <w:r w:rsidR="00135C45" w:rsidRPr="00025127">
        <w:rPr>
          <w:rFonts w:ascii="Palatino Linotype" w:hAnsi="Palatino Linotype"/>
          <w:b/>
          <w:sz w:val="22"/>
          <w:szCs w:val="22"/>
        </w:rPr>
        <w:t>/INFOEM/IP/RR/</w:t>
      </w:r>
      <w:r w:rsidR="00135C45">
        <w:rPr>
          <w:rFonts w:ascii="Palatino Linotype" w:hAnsi="Palatino Linotype"/>
          <w:b/>
          <w:sz w:val="22"/>
          <w:szCs w:val="22"/>
        </w:rPr>
        <w:t>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A60127C" w:rsidR="00E34622" w:rsidRPr="00413D35" w:rsidRDefault="00E34622" w:rsidP="00C6521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00C6521F" w:rsidRPr="00413D35">
        <w:rPr>
          <w:rFonts w:ascii="Palatino Linotype" w:eastAsia="Times New Roman" w:hAnsi="Palatino Linotype" w:cs="Arial"/>
          <w:i/>
          <w:color w:val="000000" w:themeColor="text1"/>
          <w:lang w:val="es-ES"/>
        </w:rPr>
        <w:t>La respuesta está incompleta</w:t>
      </w:r>
      <w:r w:rsidRPr="00413D35">
        <w:rPr>
          <w:rFonts w:ascii="Palatino Linotype" w:eastAsia="Times New Roman" w:hAnsi="Palatino Linotype" w:cs="Arial"/>
          <w:i/>
          <w:color w:val="000000" w:themeColor="text1"/>
          <w:lang w:val="es-ES"/>
        </w:rPr>
        <w:t>”</w:t>
      </w:r>
      <w:r w:rsidRPr="00413D35">
        <w:rPr>
          <w:rFonts w:ascii="Palatino Linotype" w:eastAsia="Times New Roman" w:hAnsi="Palatino Linotype" w:cs="Arial"/>
          <w:color w:val="000000" w:themeColor="text1"/>
          <w:lang w:val="es-ES"/>
        </w:rPr>
        <w:t xml:space="preserve"> (Sic).</w:t>
      </w:r>
    </w:p>
    <w:p w14:paraId="033BFDE8" w14:textId="0D9BDC02" w:rsidR="00901BB1" w:rsidRDefault="00901BB1" w:rsidP="00C6521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Motivos o razones de inconformidad:</w:t>
      </w:r>
      <w:r w:rsidRPr="00413D35">
        <w:rPr>
          <w:rFonts w:ascii="Palatino Linotype" w:eastAsia="Times New Roman" w:hAnsi="Palatino Linotype" w:cs="Arial"/>
          <w:color w:val="000000" w:themeColor="text1"/>
          <w:lang w:val="es-ES"/>
        </w:rPr>
        <w:t xml:space="preserve"> “</w:t>
      </w:r>
      <w:r w:rsidR="00C6521F" w:rsidRPr="00413D35">
        <w:rPr>
          <w:rFonts w:ascii="Palatino Linotype" w:eastAsia="Times New Roman" w:hAnsi="Palatino Linotype" w:cs="Arial"/>
          <w:color w:val="000000" w:themeColor="text1"/>
          <w:lang w:val="es-ES"/>
        </w:rPr>
        <w:t>Considero que la información que me fue entregada no está completa toda vez que en la respuesta no me mandan el proyecto arquitectonico por el cual se autorizó el cambio de uso de suelo del edificio mencionado en la solicitud. La autorización de Cambio de Uso de Suelo numero DTU/CUS/026/2020. Requiero que se me hagan las notificaciones al correo odd.odyssey@yandex.com. Anexo pruebas de respuesta y notificación. Gracias.</w:t>
      </w:r>
      <w:r w:rsidRPr="00413D35">
        <w:rPr>
          <w:rFonts w:ascii="Palatino Linotype" w:eastAsia="Times New Roman" w:hAnsi="Palatino Linotype" w:cs="Arial"/>
          <w:color w:val="000000" w:themeColor="text1"/>
          <w:lang w:val="es-ES"/>
        </w:rPr>
        <w:t>”</w:t>
      </w:r>
      <w:r w:rsidR="005B0765" w:rsidRPr="00413D35">
        <w:rPr>
          <w:rFonts w:ascii="Palatino Linotype" w:eastAsia="Times New Roman" w:hAnsi="Palatino Linotype" w:cs="Arial"/>
          <w:color w:val="000000" w:themeColor="text1"/>
          <w:lang w:val="es-ES"/>
        </w:rPr>
        <w:t xml:space="preserve"> (sic)</w:t>
      </w:r>
      <w:r w:rsidR="00E76251" w:rsidRPr="00413D35">
        <w:rPr>
          <w:rFonts w:ascii="Palatino Linotype" w:eastAsia="Times New Roman" w:hAnsi="Palatino Linotype" w:cs="Arial"/>
          <w:color w:val="000000" w:themeColor="text1"/>
          <w:lang w:val="es-ES"/>
        </w:rPr>
        <w:t xml:space="preserve"> </w:t>
      </w:r>
    </w:p>
    <w:p w14:paraId="38724B8B" w14:textId="77777777" w:rsidR="001468E9" w:rsidRPr="00A0054B"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3597724A" w14:textId="39C64847" w:rsidR="007D01B0" w:rsidRDefault="007D01B0"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Recurrente adjuntó a su escrito recursal los documentos electrónicos denominados Acuse de solicitud presentada </w:t>
      </w:r>
      <w:r w:rsidRPr="007D01B0">
        <w:rPr>
          <w:rFonts w:ascii="Palatino Linotype" w:eastAsia="Calibri" w:hAnsi="Palatino Linotype" w:cs="Arial"/>
          <w:b/>
          <w:bCs/>
          <w:i/>
          <w:iCs/>
          <w:color w:val="000000" w:themeColor="text1"/>
          <w:lang w:val="es-ES"/>
        </w:rPr>
        <w:t>físicamente.pdf; Correo notificación respuesta de Sujeto Obligado.pdf; RESP_SAIMEX_01013.zip</w:t>
      </w:r>
    </w:p>
    <w:p w14:paraId="06CF9228" w14:textId="50B5908A" w:rsidR="007D01B0" w:rsidRDefault="007D01B0" w:rsidP="007D01B0">
      <w:pPr>
        <w:tabs>
          <w:tab w:val="left" w:pos="426"/>
        </w:tabs>
        <w:spacing w:line="360" w:lineRule="auto"/>
        <w:jc w:val="both"/>
        <w:rPr>
          <w:rFonts w:ascii="Palatino Linotype" w:eastAsia="Calibri" w:hAnsi="Palatino Linotype" w:cs="Arial"/>
          <w:color w:val="000000" w:themeColor="text1"/>
          <w:lang w:val="es-ES"/>
        </w:rPr>
      </w:pPr>
    </w:p>
    <w:p w14:paraId="79E725CB" w14:textId="638350EB" w:rsidR="007D01B0" w:rsidRPr="007D01B0" w:rsidRDefault="007D01B0" w:rsidP="007D01B0">
      <w:pPr>
        <w:pStyle w:val="Prrafodelista"/>
        <w:numPr>
          <w:ilvl w:val="0"/>
          <w:numId w:val="35"/>
        </w:numPr>
        <w:tabs>
          <w:tab w:val="left" w:pos="426"/>
        </w:tabs>
        <w:spacing w:line="360" w:lineRule="auto"/>
        <w:jc w:val="both"/>
        <w:rPr>
          <w:rFonts w:ascii="Palatino Linotype" w:eastAsia="Calibri" w:hAnsi="Palatino Linotype" w:cs="Arial"/>
          <w:color w:val="000000" w:themeColor="text1"/>
          <w:lang w:val="es-ES"/>
        </w:rPr>
      </w:pPr>
      <w:r w:rsidRPr="007D01B0">
        <w:rPr>
          <w:rFonts w:ascii="Palatino Linotype" w:eastAsia="Calibri" w:hAnsi="Palatino Linotype" w:cs="Arial"/>
          <w:b/>
          <w:bCs/>
          <w:i/>
          <w:iCs/>
          <w:color w:val="000000" w:themeColor="text1"/>
          <w:lang w:val="es-ES"/>
        </w:rPr>
        <w:t>físicamente.pdf;</w:t>
      </w:r>
      <w:r>
        <w:rPr>
          <w:rFonts w:ascii="Palatino Linotype" w:eastAsia="Calibri" w:hAnsi="Palatino Linotype" w:cs="Arial"/>
          <w:b/>
          <w:bCs/>
          <w:i/>
          <w:iCs/>
          <w:color w:val="000000" w:themeColor="text1"/>
          <w:lang w:val="es-ES"/>
        </w:rPr>
        <w:t xml:space="preserve"> </w:t>
      </w:r>
      <w:r>
        <w:rPr>
          <w:rFonts w:ascii="Palatino Linotype" w:eastAsia="Calibri" w:hAnsi="Palatino Linotype" w:cs="Arial"/>
          <w:color w:val="000000" w:themeColor="text1"/>
          <w:lang w:val="es-ES"/>
        </w:rPr>
        <w:t>Contiene el formato de la solicitud de acceso a la información número 01013/TLALNEPA/IP/2021;</w:t>
      </w:r>
    </w:p>
    <w:p w14:paraId="60F726DB" w14:textId="01EAF70B" w:rsidR="007D01B0" w:rsidRPr="007D01B0" w:rsidRDefault="007D01B0" w:rsidP="007D01B0">
      <w:pPr>
        <w:pStyle w:val="Prrafodelista"/>
        <w:numPr>
          <w:ilvl w:val="0"/>
          <w:numId w:val="35"/>
        </w:numPr>
        <w:tabs>
          <w:tab w:val="left" w:pos="426"/>
        </w:tabs>
        <w:spacing w:line="360" w:lineRule="auto"/>
        <w:jc w:val="both"/>
        <w:rPr>
          <w:rFonts w:ascii="Palatino Linotype" w:eastAsia="Calibri" w:hAnsi="Palatino Linotype" w:cs="Arial"/>
          <w:color w:val="000000" w:themeColor="text1"/>
          <w:lang w:val="es-ES"/>
        </w:rPr>
      </w:pPr>
      <w:r w:rsidRPr="007D01B0">
        <w:rPr>
          <w:rFonts w:ascii="Palatino Linotype" w:eastAsia="Calibri" w:hAnsi="Palatino Linotype" w:cs="Arial"/>
          <w:b/>
          <w:bCs/>
          <w:i/>
          <w:iCs/>
          <w:color w:val="000000" w:themeColor="text1"/>
          <w:lang w:val="es-ES"/>
        </w:rPr>
        <w:lastRenderedPageBreak/>
        <w:t>Correo notificación respuesta de Sujeto Obligado.pdf</w:t>
      </w:r>
      <w:r>
        <w:rPr>
          <w:rFonts w:ascii="Palatino Linotype" w:eastAsia="Calibri" w:hAnsi="Palatino Linotype" w:cs="Arial"/>
          <w:b/>
          <w:bCs/>
          <w:i/>
          <w:iCs/>
          <w:color w:val="000000" w:themeColor="text1"/>
          <w:lang w:val="es-ES"/>
        </w:rPr>
        <w:t xml:space="preserve">: </w:t>
      </w:r>
      <w:r>
        <w:rPr>
          <w:rFonts w:ascii="Palatino Linotype" w:eastAsia="Calibri" w:hAnsi="Palatino Linotype" w:cs="Arial"/>
          <w:color w:val="000000" w:themeColor="text1"/>
          <w:lang w:val="es-ES"/>
        </w:rPr>
        <w:t>Contiene un correo electrónico con la respuesta del Servidor Público Habilitado al Recurrente.</w:t>
      </w:r>
      <w:r w:rsidRPr="007D01B0">
        <w:rPr>
          <w:rFonts w:ascii="Palatino Linotype" w:eastAsia="Calibri" w:hAnsi="Palatino Linotype" w:cs="Arial"/>
          <w:b/>
          <w:bCs/>
          <w:i/>
          <w:iCs/>
          <w:color w:val="000000" w:themeColor="text1"/>
          <w:lang w:val="es-ES"/>
        </w:rPr>
        <w:t xml:space="preserve"> </w:t>
      </w:r>
    </w:p>
    <w:p w14:paraId="4B1FD36E" w14:textId="1DEA6DA3" w:rsidR="007D01B0" w:rsidRDefault="007D01B0" w:rsidP="007D01B0">
      <w:pPr>
        <w:pStyle w:val="Prrafodelista"/>
        <w:numPr>
          <w:ilvl w:val="0"/>
          <w:numId w:val="35"/>
        </w:numPr>
        <w:tabs>
          <w:tab w:val="left" w:pos="426"/>
        </w:tabs>
        <w:spacing w:line="360" w:lineRule="auto"/>
        <w:jc w:val="both"/>
        <w:rPr>
          <w:rFonts w:ascii="Palatino Linotype" w:eastAsia="Calibri" w:hAnsi="Palatino Linotype" w:cs="Arial"/>
          <w:color w:val="000000" w:themeColor="text1"/>
          <w:lang w:val="es-ES"/>
        </w:rPr>
      </w:pPr>
      <w:r w:rsidRPr="007D01B0">
        <w:rPr>
          <w:rFonts w:ascii="Palatino Linotype" w:eastAsia="Calibri" w:hAnsi="Palatino Linotype" w:cs="Arial"/>
          <w:b/>
          <w:bCs/>
          <w:i/>
          <w:iCs/>
          <w:color w:val="000000" w:themeColor="text1"/>
          <w:lang w:val="es-ES"/>
        </w:rPr>
        <w:t>RESP_SAIMEX_01013.zip</w:t>
      </w:r>
      <w:r>
        <w:rPr>
          <w:rFonts w:ascii="Palatino Linotype" w:eastAsia="Calibri" w:hAnsi="Palatino Linotype" w:cs="Arial"/>
          <w:b/>
          <w:bCs/>
          <w:i/>
          <w:iCs/>
          <w:color w:val="000000" w:themeColor="text1"/>
          <w:lang w:val="es-ES"/>
        </w:rPr>
        <w:t xml:space="preserve">: </w:t>
      </w:r>
      <w:r w:rsidRPr="007D01B0">
        <w:rPr>
          <w:rFonts w:ascii="Palatino Linotype" w:eastAsia="Calibri" w:hAnsi="Palatino Linotype" w:cs="Arial"/>
          <w:color w:val="000000" w:themeColor="text1"/>
          <w:lang w:val="es-ES"/>
        </w:rPr>
        <w:t>Contiene una carpeta en formato zip con los documentos proporcionados en Respuesta.</w:t>
      </w:r>
    </w:p>
    <w:p w14:paraId="6076DD97" w14:textId="77777777" w:rsidR="007D01B0" w:rsidRDefault="007D01B0" w:rsidP="007D01B0">
      <w:pPr>
        <w:tabs>
          <w:tab w:val="left" w:pos="426"/>
        </w:tabs>
        <w:spacing w:line="360" w:lineRule="auto"/>
        <w:jc w:val="both"/>
        <w:rPr>
          <w:rFonts w:ascii="Palatino Linotype" w:eastAsia="Calibri" w:hAnsi="Palatino Linotype" w:cs="Arial"/>
          <w:color w:val="000000" w:themeColor="text1"/>
          <w:lang w:val="es-ES"/>
        </w:rPr>
      </w:pPr>
    </w:p>
    <w:p w14:paraId="65CB77BE" w14:textId="49BB6827"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27D34B1" w:rsidR="007446C2" w:rsidRPr="00A0054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B81371" w:rsidRPr="00A0054B">
        <w:rPr>
          <w:rFonts w:ascii="Palatino Linotype" w:eastAsia="Calibri" w:hAnsi="Palatino Linotype" w:cs="Arial"/>
          <w:color w:val="000000" w:themeColor="text1"/>
          <w:lang w:val="es-ES"/>
        </w:rPr>
        <w:t xml:space="preserve">de </w:t>
      </w:r>
      <w:r w:rsidR="00751F6F">
        <w:rPr>
          <w:rFonts w:ascii="Palatino Linotype" w:eastAsia="Calibri" w:hAnsi="Palatino Linotype" w:cs="Arial"/>
          <w:color w:val="000000" w:themeColor="text1"/>
          <w:lang w:val="es-ES"/>
        </w:rPr>
        <w:t>diecisiete</w:t>
      </w:r>
      <w:r w:rsidR="00BD6C40" w:rsidRPr="00A0054B">
        <w:rPr>
          <w:rFonts w:ascii="Palatino Linotype" w:eastAsia="Calibri" w:hAnsi="Palatino Linotype" w:cs="Arial"/>
          <w:color w:val="000000" w:themeColor="text1"/>
          <w:lang w:val="es-ES"/>
        </w:rPr>
        <w:t xml:space="preserve"> (</w:t>
      </w:r>
      <w:r w:rsidR="00751F6F">
        <w:rPr>
          <w:rFonts w:ascii="Palatino Linotype" w:eastAsia="Calibri" w:hAnsi="Palatino Linotype" w:cs="Arial"/>
          <w:color w:val="000000" w:themeColor="text1"/>
          <w:lang w:val="es-ES"/>
        </w:rPr>
        <w:t>17</w:t>
      </w:r>
      <w:r w:rsidR="00BD6C40" w:rsidRPr="00A0054B">
        <w:rPr>
          <w:rFonts w:ascii="Palatino Linotype" w:eastAsia="Calibri" w:hAnsi="Palatino Linotype" w:cs="Arial"/>
          <w:color w:val="000000" w:themeColor="text1"/>
          <w:lang w:val="es-ES"/>
        </w:rPr>
        <w:t xml:space="preserve">) de </w:t>
      </w:r>
      <w:r w:rsidR="00751F6F">
        <w:rPr>
          <w:rFonts w:ascii="Palatino Linotype" w:eastAsia="Calibri" w:hAnsi="Palatino Linotype" w:cs="Arial"/>
          <w:color w:val="000000" w:themeColor="text1"/>
          <w:lang w:val="es-ES"/>
        </w:rPr>
        <w:t>enero</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455C196B" w14:textId="77777777" w:rsidR="003F0DDA" w:rsidRPr="00A0054B"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0D78F23" w14:textId="52AD379A" w:rsidR="00F465D8" w:rsidRPr="00F465D8" w:rsidRDefault="00751F6F" w:rsidP="00751F6F">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255189">
        <w:rPr>
          <w:rFonts w:ascii="Palatino Linotype" w:hAnsi="Palatino Linotype"/>
          <w:color w:val="000000"/>
          <w:lang w:val="es-ES_tradnl"/>
        </w:rPr>
        <w:t xml:space="preserve">El </w:t>
      </w:r>
      <w:r w:rsidRPr="00255189">
        <w:rPr>
          <w:rFonts w:ascii="Palatino Linotype" w:hAnsi="Palatino Linotype"/>
          <w:b/>
          <w:color w:val="000000"/>
          <w:lang w:val="es-ES_tradnl"/>
        </w:rPr>
        <w:t>SUJETO OBLIGADO</w:t>
      </w:r>
      <w:r w:rsidR="00F465D8">
        <w:rPr>
          <w:rFonts w:ascii="Palatino Linotype" w:hAnsi="Palatino Linotype"/>
          <w:b/>
          <w:color w:val="000000"/>
          <w:lang w:val="es-ES_tradnl"/>
        </w:rPr>
        <w:t xml:space="preserve">, </w:t>
      </w:r>
      <w:r w:rsidR="00F465D8" w:rsidRPr="00F465D8">
        <w:rPr>
          <w:rFonts w:ascii="Palatino Linotype" w:hAnsi="Palatino Linotype"/>
          <w:bCs/>
          <w:color w:val="000000"/>
          <w:lang w:val="es-ES_tradnl"/>
        </w:rPr>
        <w:t xml:space="preserve">el veintiséis </w:t>
      </w:r>
      <w:r w:rsidR="00F465D8">
        <w:rPr>
          <w:rFonts w:ascii="Palatino Linotype" w:hAnsi="Palatino Linotype"/>
          <w:b/>
          <w:color w:val="000000"/>
          <w:lang w:val="es-ES_tradnl"/>
        </w:rPr>
        <w:t xml:space="preserve">(26) </w:t>
      </w:r>
      <w:r w:rsidR="00F465D8" w:rsidRPr="00F465D8">
        <w:rPr>
          <w:rFonts w:ascii="Palatino Linotype" w:hAnsi="Palatino Linotype"/>
          <w:bCs/>
          <w:color w:val="000000"/>
          <w:lang w:val="es-ES_tradnl"/>
        </w:rPr>
        <w:t xml:space="preserve">de enero de dos mil veintidós, remitió su informe justificado a través del documento electrónico denominado </w:t>
      </w:r>
      <w:r w:rsidR="00F465D8" w:rsidRPr="00F465D8">
        <w:rPr>
          <w:rFonts w:ascii="Palatino Linotype" w:hAnsi="Palatino Linotype"/>
          <w:b/>
          <w:i/>
          <w:iCs/>
          <w:color w:val="000000"/>
          <w:lang w:val="es-ES_tradnl"/>
        </w:rPr>
        <w:t>MANIFESTACIONES_01013_RR_0063_DESARROLLO_URBANO.pdf</w:t>
      </w:r>
      <w:r w:rsidR="00F465D8">
        <w:rPr>
          <w:rFonts w:ascii="Palatino Linotype" w:hAnsi="Palatino Linotype"/>
          <w:bCs/>
          <w:color w:val="000000"/>
          <w:lang w:val="es-ES_tradnl"/>
        </w:rPr>
        <w:t xml:space="preserve">, el cual se </w:t>
      </w:r>
      <w:r w:rsidR="00F465D8">
        <w:rPr>
          <w:rFonts w:ascii="Palatino Linotype" w:hAnsi="Palatino Linotype"/>
          <w:bCs/>
          <w:color w:val="000000"/>
          <w:lang w:val="es-ES_tradnl"/>
        </w:rPr>
        <w:lastRenderedPageBreak/>
        <w:t>puso a la vista el catorce (14) de febrero del mismo año; no obstante, se describe su contenido medular.</w:t>
      </w:r>
    </w:p>
    <w:p w14:paraId="2168B40A" w14:textId="77777777" w:rsidR="00F465D8" w:rsidRDefault="00F465D8" w:rsidP="00F465D8">
      <w:pPr>
        <w:pStyle w:val="Prrafodelista"/>
        <w:rPr>
          <w:rFonts w:ascii="Palatino Linotype" w:hAnsi="Palatino Linotype"/>
          <w:i/>
          <w:color w:val="000000"/>
          <w:lang w:val="es-ES_tradnl"/>
        </w:rPr>
      </w:pPr>
    </w:p>
    <w:p w14:paraId="5A3AEB7B" w14:textId="38C76F80" w:rsidR="00F465D8" w:rsidRPr="00F465D8" w:rsidRDefault="00F465D8" w:rsidP="00236319">
      <w:pPr>
        <w:pStyle w:val="Prrafodelista"/>
        <w:numPr>
          <w:ilvl w:val="0"/>
          <w:numId w:val="35"/>
        </w:numPr>
        <w:tabs>
          <w:tab w:val="left" w:pos="284"/>
        </w:tabs>
        <w:spacing w:before="240" w:after="240" w:line="360" w:lineRule="auto"/>
        <w:ind w:left="426" w:hanging="142"/>
        <w:jc w:val="both"/>
        <w:rPr>
          <w:rFonts w:ascii="Palatino Linotype" w:hAnsi="Palatino Linotype"/>
          <w:i/>
          <w:color w:val="000000"/>
          <w:lang w:val="es-ES_tradnl"/>
        </w:rPr>
      </w:pPr>
      <w:r w:rsidRPr="00F465D8">
        <w:rPr>
          <w:rFonts w:ascii="Palatino Linotype" w:hAnsi="Palatino Linotype"/>
          <w:b/>
          <w:i/>
          <w:iCs/>
          <w:color w:val="000000"/>
          <w:lang w:val="es-ES_tradnl"/>
        </w:rPr>
        <w:t>MANIFESTACIONES_01013_RR_0063_DESARROLLO_URBANO.pdf</w:t>
      </w:r>
      <w:r>
        <w:rPr>
          <w:rFonts w:ascii="Palatino Linotype" w:hAnsi="Palatino Linotype"/>
          <w:b/>
          <w:i/>
          <w:iCs/>
          <w:color w:val="000000"/>
          <w:lang w:val="es-ES_tradnl"/>
        </w:rPr>
        <w:t xml:space="preserve">: </w:t>
      </w:r>
      <w:r w:rsidRPr="00236319">
        <w:rPr>
          <w:rFonts w:ascii="Palatino Linotype" w:hAnsi="Palatino Linotype"/>
          <w:bCs/>
          <w:color w:val="000000"/>
          <w:lang w:val="es-ES_tradnl"/>
        </w:rPr>
        <w:t>Se integra por siete páginas. Contiene el oficio DDU/132/2022, suscrito por la Directora de Desarrollo Urbano mediante el cual refiere que, no fue localizado dentro del expediente DTU/CUS/026/2020 ningún documento denominado PROYECTO ARQUITECTONICO</w:t>
      </w:r>
      <w:r w:rsidR="00236319">
        <w:rPr>
          <w:rFonts w:ascii="Palatino Linotype" w:hAnsi="Palatino Linotype"/>
          <w:bCs/>
          <w:color w:val="000000"/>
          <w:lang w:val="es-ES_tradnl"/>
        </w:rPr>
        <w:t>, ya que la normatividad en materia no lo contempla como un requisito. Asimismo, se anexó la cédula de información para el cambio de uso de suelo.</w:t>
      </w:r>
    </w:p>
    <w:p w14:paraId="089AEEEF" w14:textId="77777777" w:rsidR="00F465D8" w:rsidRDefault="00F465D8" w:rsidP="00F465D8">
      <w:pPr>
        <w:pStyle w:val="Prrafodelista"/>
        <w:rPr>
          <w:rFonts w:ascii="Palatino Linotype" w:hAnsi="Palatino Linotype"/>
          <w:b/>
          <w:color w:val="000000"/>
          <w:lang w:val="es-ES_tradnl"/>
        </w:rPr>
      </w:pPr>
    </w:p>
    <w:p w14:paraId="599A7F5B" w14:textId="0DF881C5" w:rsidR="00872622" w:rsidRPr="00236319" w:rsidRDefault="00751F6F" w:rsidP="00236319">
      <w:pPr>
        <w:numPr>
          <w:ilvl w:val="0"/>
          <w:numId w:val="1"/>
        </w:numPr>
        <w:tabs>
          <w:tab w:val="left" w:pos="284"/>
        </w:tabs>
        <w:spacing w:before="240" w:after="240" w:line="360" w:lineRule="auto"/>
        <w:contextualSpacing/>
        <w:jc w:val="both"/>
        <w:rPr>
          <w:rFonts w:ascii="Palatino Linotype" w:eastAsia="Calibri" w:hAnsi="Palatino Linotype" w:cs="Arial"/>
          <w:bCs/>
          <w:i/>
          <w:iCs/>
          <w:color w:val="000000" w:themeColor="text1"/>
          <w:lang w:val="es-ES"/>
        </w:rPr>
      </w:pPr>
      <w:r w:rsidRPr="00236319">
        <w:rPr>
          <w:rFonts w:ascii="Palatino Linotype" w:hAnsi="Palatino Linotype"/>
          <w:b/>
          <w:color w:val="000000"/>
          <w:lang w:val="es-ES_tradnl"/>
        </w:rPr>
        <w:t xml:space="preserve"> </w:t>
      </w:r>
      <w:r w:rsidR="00236319" w:rsidRPr="00236319">
        <w:rPr>
          <w:rFonts w:ascii="Palatino Linotype" w:hAnsi="Palatino Linotype"/>
          <w:bCs/>
          <w:color w:val="000000"/>
          <w:lang w:val="es-ES_tradnl"/>
        </w:rPr>
        <w:t>Por su parte, el Recurrente fue omiso en realizar manifestaciones, presentar pruebas o alegatos.</w:t>
      </w:r>
    </w:p>
    <w:p w14:paraId="26AA1C40" w14:textId="3DFA7C20" w:rsidR="00236319" w:rsidRPr="00236319" w:rsidRDefault="00236319" w:rsidP="00335793">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El veintiuno (21) de febrero de dos mil veintidós, la Comisionada Ponente notificó el acuerdo mediante el cual se amplió el plazo para emitir resolución por un periodo de quince (15) días hábiles adicionales.</w:t>
      </w:r>
    </w:p>
    <w:p w14:paraId="670A79B9" w14:textId="77777777" w:rsidR="00236319" w:rsidRPr="00236319" w:rsidRDefault="00236319" w:rsidP="00236319">
      <w:pPr>
        <w:pStyle w:val="Prrafodelista"/>
        <w:rPr>
          <w:rFonts w:ascii="Palatino Linotype" w:eastAsia="Calibri" w:hAnsi="Palatino Linotype" w:cs="Arial"/>
          <w:color w:val="000000" w:themeColor="text1"/>
          <w:lang w:val="es-ES"/>
        </w:rPr>
      </w:pPr>
    </w:p>
    <w:p w14:paraId="3001AA57" w14:textId="475FC7BA" w:rsidR="008965EF" w:rsidRPr="003718A1"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lang w:val="es-ES"/>
        </w:rPr>
        <w:t>El</w:t>
      </w:r>
      <w:bookmarkStart w:id="3" w:name="_Toc461555889"/>
      <w:bookmarkStart w:id="4" w:name="_Toc466371858"/>
      <w:r w:rsidR="00B855AA" w:rsidRPr="00A0054B">
        <w:rPr>
          <w:rFonts w:ascii="Palatino Linotype" w:eastAsia="Calibri" w:hAnsi="Palatino Linotype" w:cs="Arial"/>
          <w:color w:val="000000" w:themeColor="text1"/>
          <w:lang w:val="es-ES"/>
        </w:rPr>
        <w:t xml:space="preserve"> </w:t>
      </w:r>
      <w:r w:rsidR="00236319">
        <w:rPr>
          <w:rFonts w:ascii="Palatino Linotype" w:eastAsia="Calibri" w:hAnsi="Palatino Linotype" w:cs="Arial"/>
          <w:color w:val="000000" w:themeColor="text1"/>
          <w:lang w:val="es-ES"/>
        </w:rPr>
        <w:t>veinticinco</w:t>
      </w:r>
      <w:r w:rsidR="00C7137A" w:rsidRPr="00A0054B">
        <w:rPr>
          <w:rFonts w:ascii="Palatino Linotype" w:eastAsia="Calibri" w:hAnsi="Palatino Linotype" w:cs="Arial"/>
          <w:color w:val="000000" w:themeColor="text1"/>
          <w:lang w:val="es-ES"/>
        </w:rPr>
        <w:t xml:space="preserve"> (</w:t>
      </w:r>
      <w:r w:rsidR="00236319">
        <w:rPr>
          <w:rFonts w:ascii="Palatino Linotype" w:eastAsia="Calibri" w:hAnsi="Palatino Linotype" w:cs="Arial"/>
          <w:color w:val="000000" w:themeColor="text1"/>
          <w:lang w:val="es-ES"/>
        </w:rPr>
        <w:t>25</w:t>
      </w:r>
      <w:r w:rsidR="00C7137A" w:rsidRPr="00A0054B">
        <w:rPr>
          <w:rFonts w:ascii="Palatino Linotype" w:eastAsia="Calibri" w:hAnsi="Palatino Linotype" w:cs="Arial"/>
          <w:color w:val="000000" w:themeColor="text1"/>
          <w:lang w:val="es-ES"/>
        </w:rPr>
        <w:t xml:space="preserve">) de </w:t>
      </w:r>
      <w:r w:rsidR="003718A1">
        <w:rPr>
          <w:rFonts w:ascii="Palatino Linotype" w:eastAsia="Calibri" w:hAnsi="Palatino Linotype" w:cs="Arial"/>
          <w:color w:val="000000" w:themeColor="text1"/>
          <w:lang w:val="es-ES"/>
        </w:rPr>
        <w:t>febrero</w:t>
      </w:r>
      <w:r w:rsidR="00C7137A" w:rsidRPr="00A0054B">
        <w:rPr>
          <w:rFonts w:ascii="Palatino Linotype" w:eastAsia="Calibri" w:hAnsi="Palatino Linotype" w:cs="Arial"/>
          <w:color w:val="000000" w:themeColor="text1"/>
          <w:lang w:val="es-ES"/>
        </w:rPr>
        <w:t xml:space="preserve"> de dos mil veintidós la Comisionada Ponente </w:t>
      </w:r>
      <w:r w:rsidR="003718A1">
        <w:rPr>
          <w:rFonts w:ascii="Palatino Linotype" w:eastAsia="Calibri" w:hAnsi="Palatino Linotype" w:cs="Arial"/>
          <w:color w:val="000000" w:themeColor="text1"/>
          <w:lang w:val="es-ES"/>
        </w:rPr>
        <w:t>decretó</w:t>
      </w:r>
      <w:r w:rsidR="00AD6AC5" w:rsidRPr="00A0054B">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A0054B">
        <w:rPr>
          <w:rFonts w:ascii="Palatino Linotype" w:hAnsi="Palatino Linotype" w:cs="Arial"/>
          <w:color w:val="000000" w:themeColor="text1"/>
        </w:rPr>
        <w:t xml:space="preserve">; </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0054B">
        <w:rPr>
          <w:rFonts w:ascii="Palatino Linotype" w:hAnsi="Palatino Linotype"/>
          <w:b/>
          <w:color w:val="000000" w:themeColor="text1"/>
          <w:sz w:val="24"/>
        </w:rPr>
        <w:t>PRIMERO. De la competencia</w:t>
      </w:r>
      <w:bookmarkEnd w:id="6"/>
      <w:bookmarkEnd w:id="7"/>
      <w:bookmarkEnd w:id="8"/>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9"/>
      <w:bookmarkEnd w:id="10"/>
      <w:bookmarkEnd w:id="11"/>
    </w:p>
    <w:p w14:paraId="18E22450" w14:textId="77777777" w:rsidR="00C6440A" w:rsidRPr="00A0054B" w:rsidRDefault="00C6440A" w:rsidP="00B31E90">
      <w:pPr>
        <w:rPr>
          <w:color w:val="000000" w:themeColor="text1"/>
          <w:lang w:eastAsia="en-US"/>
        </w:rPr>
      </w:pPr>
    </w:p>
    <w:p w14:paraId="7D631690" w14:textId="1106BC0B" w:rsidR="00B34758" w:rsidRPr="00061A86"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236319">
        <w:rPr>
          <w:rFonts w:ascii="Palatino Linotype" w:eastAsia="Calibri" w:hAnsi="Palatino Linotype" w:cs="Arial"/>
          <w:color w:val="000000" w:themeColor="text1"/>
        </w:rPr>
        <w:t>veintidós</w:t>
      </w:r>
      <w:r w:rsidR="00921375" w:rsidRPr="00A0054B">
        <w:rPr>
          <w:rFonts w:ascii="Palatino Linotype" w:eastAsia="Calibri" w:hAnsi="Palatino Linotype" w:cs="Arial"/>
          <w:color w:val="000000" w:themeColor="text1"/>
        </w:rPr>
        <w:t xml:space="preserve"> (</w:t>
      </w:r>
      <w:r w:rsidR="00236319">
        <w:rPr>
          <w:rFonts w:ascii="Palatino Linotype" w:eastAsia="Calibri" w:hAnsi="Palatino Linotype" w:cs="Arial"/>
          <w:color w:val="000000" w:themeColor="text1"/>
        </w:rPr>
        <w:t>22</w:t>
      </w:r>
      <w:r w:rsidR="00921375" w:rsidRPr="00A0054B">
        <w:rPr>
          <w:rFonts w:ascii="Palatino Linotype" w:eastAsia="Calibri" w:hAnsi="Palatino Linotype" w:cs="Arial"/>
          <w:color w:val="000000" w:themeColor="text1"/>
        </w:rPr>
        <w:t xml:space="preserve">) de </w:t>
      </w:r>
      <w:r w:rsidR="00AA37A7">
        <w:rPr>
          <w:rFonts w:ascii="Palatino Linotype" w:eastAsia="Calibri" w:hAnsi="Palatino Linotype" w:cs="Arial"/>
          <w:color w:val="000000" w:themeColor="text1"/>
        </w:rPr>
        <w:t>diciembre</w:t>
      </w:r>
      <w:r w:rsidR="007F372C" w:rsidRPr="00A0054B">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 xml:space="preserve">de dos mil veintiuno, de tal forma que el plazo para interponer el recurso de revisión transcurrió del </w:t>
      </w:r>
      <w:r w:rsidR="00236319">
        <w:rPr>
          <w:rFonts w:ascii="Palatino Linotype" w:eastAsia="Calibri" w:hAnsi="Palatino Linotype" w:cs="Arial"/>
          <w:color w:val="000000" w:themeColor="text1"/>
        </w:rPr>
        <w:t>diez</w:t>
      </w:r>
      <w:r w:rsidR="00CE035D" w:rsidRPr="00A0054B">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w:t>
      </w:r>
      <w:r w:rsidR="00236319">
        <w:rPr>
          <w:rFonts w:ascii="Palatino Linotype" w:eastAsia="Calibri" w:hAnsi="Palatino Linotype" w:cs="Arial"/>
          <w:color w:val="000000" w:themeColor="text1"/>
        </w:rPr>
        <w:t>10</w:t>
      </w:r>
      <w:r w:rsidR="00921375" w:rsidRPr="00A0054B">
        <w:rPr>
          <w:rFonts w:ascii="Palatino Linotype" w:eastAsia="Calibri" w:hAnsi="Palatino Linotype" w:cs="Arial"/>
          <w:color w:val="000000" w:themeColor="text1"/>
        </w:rPr>
        <w:t xml:space="preserve">) </w:t>
      </w:r>
      <w:r w:rsidR="00236319">
        <w:rPr>
          <w:rFonts w:ascii="Palatino Linotype" w:eastAsia="Calibri" w:hAnsi="Palatino Linotype" w:cs="Arial"/>
          <w:color w:val="000000" w:themeColor="text1"/>
        </w:rPr>
        <w:t>al treinta y uno (31) de enero</w:t>
      </w:r>
      <w:r w:rsidR="00AA37A7">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 xml:space="preserve">de dos mil </w:t>
      </w:r>
      <w:r w:rsidR="00AA37A7">
        <w:rPr>
          <w:rFonts w:ascii="Palatino Linotype" w:eastAsia="Calibri" w:hAnsi="Palatino Linotype" w:cs="Arial"/>
          <w:color w:val="000000" w:themeColor="text1"/>
        </w:rPr>
        <w:t>veintidós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061A86">
        <w:rPr>
          <w:rFonts w:ascii="Palatino Linotype" w:hAnsi="Palatino Linotype"/>
          <w:color w:val="000000" w:themeColor="text1"/>
        </w:rPr>
        <w:t>diez</w:t>
      </w:r>
      <w:r w:rsidR="00CE035D" w:rsidRPr="00A0054B">
        <w:rPr>
          <w:rFonts w:ascii="Palatino Linotype" w:hAnsi="Palatino Linotype"/>
          <w:color w:val="000000" w:themeColor="text1"/>
        </w:rPr>
        <w:t xml:space="preserve"> </w:t>
      </w:r>
      <w:r w:rsidR="00921375" w:rsidRPr="00A0054B">
        <w:rPr>
          <w:rFonts w:ascii="Palatino Linotype" w:hAnsi="Palatino Linotype"/>
          <w:color w:val="000000" w:themeColor="text1"/>
        </w:rPr>
        <w:t>(</w:t>
      </w:r>
      <w:r w:rsidR="00061A86">
        <w:rPr>
          <w:rFonts w:ascii="Palatino Linotype" w:hAnsi="Palatino Linotype"/>
          <w:color w:val="000000" w:themeColor="text1"/>
        </w:rPr>
        <w:t>10</w:t>
      </w:r>
      <w:r w:rsidR="00921375" w:rsidRPr="00A0054B">
        <w:rPr>
          <w:rFonts w:ascii="Palatino Linotype" w:hAnsi="Palatino Linotype"/>
          <w:color w:val="000000" w:themeColor="text1"/>
        </w:rPr>
        <w:t xml:space="preserve">) de </w:t>
      </w:r>
      <w:r w:rsidR="00061A86">
        <w:rPr>
          <w:rFonts w:ascii="Palatino Linotype" w:hAnsi="Palatino Linotype"/>
          <w:color w:val="000000" w:themeColor="text1"/>
        </w:rPr>
        <w:t>enero de dos mil veintidós</w:t>
      </w:r>
      <w:r w:rsidR="00E95534" w:rsidRPr="00A0054B">
        <w:rPr>
          <w:rFonts w:ascii="Palatino Linotype" w:hAnsi="Palatino Linotype"/>
          <w:color w:val="000000" w:themeColor="text1"/>
        </w:rPr>
        <w:t>,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4407F6BE" w14:textId="77777777" w:rsidR="00061A86" w:rsidRDefault="00061A86" w:rsidP="00061A8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B34758"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lastRenderedPageBreak/>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A0054B"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0BAFD86F"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xml:space="preserve">. </w:t>
      </w:r>
      <w:r w:rsidR="00C43C34">
        <w:rPr>
          <w:rFonts w:ascii="Palatino Linotype" w:hAnsi="Palatino Linotype"/>
          <w:b/>
          <w:color w:val="000000" w:themeColor="text1"/>
          <w:sz w:val="24"/>
          <w:szCs w:val="24"/>
        </w:rPr>
        <w:t>De las causales del sobreseimiento.</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07B86E60" w14:textId="1F34006F" w:rsidR="00236319"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E777E8">
        <w:rPr>
          <w:rFonts w:ascii="Palatino Linotype" w:hAnsi="Palatino Linotype" w:cs="Arial"/>
          <w:color w:val="000000" w:themeColor="text1"/>
        </w:rPr>
        <w:t>,</w:t>
      </w:r>
      <w:r w:rsidRPr="00CE2885">
        <w:rPr>
          <w:rFonts w:ascii="Palatino Linotype" w:hAnsi="Palatino Linotype" w:cs="Arial"/>
          <w:color w:val="000000" w:themeColor="text1"/>
        </w:rPr>
        <w:t xml:space="preserve"> </w:t>
      </w:r>
      <w:r w:rsidR="00E777E8">
        <w:rPr>
          <w:rFonts w:ascii="Palatino Linotype" w:hAnsi="Palatino Linotype" w:cs="Arial"/>
          <w:color w:val="000000" w:themeColor="text1"/>
        </w:rPr>
        <w:t>del edificio con dirección señalada en la solicitud, lo siguiente:</w:t>
      </w:r>
    </w:p>
    <w:p w14:paraId="7149BDE3" w14:textId="77777777" w:rsidR="00236319" w:rsidRPr="00E777E8" w:rsidRDefault="00236319" w:rsidP="00C43C34">
      <w:pPr>
        <w:pStyle w:val="Prrafodelista"/>
        <w:numPr>
          <w:ilvl w:val="0"/>
          <w:numId w:val="25"/>
        </w:numPr>
        <w:spacing w:line="360" w:lineRule="auto"/>
        <w:ind w:hanging="294"/>
        <w:jc w:val="both"/>
        <w:rPr>
          <w:rFonts w:ascii="Palatino Linotype" w:eastAsia="Times New Roman" w:hAnsi="Palatino Linotype" w:cs="Times New Roman"/>
          <w:lang w:eastAsia="es-MX"/>
        </w:rPr>
      </w:pPr>
      <w:r w:rsidRPr="00E777E8">
        <w:rPr>
          <w:rFonts w:ascii="Palatino Linotype" w:eastAsia="Times New Roman" w:hAnsi="Palatino Linotype" w:cs="Times New Roman"/>
          <w:lang w:eastAsia="es-MX"/>
        </w:rPr>
        <w:t>Dictamen de opinión favorable de la COPLADEMUN</w:t>
      </w:r>
    </w:p>
    <w:p w14:paraId="5A390259" w14:textId="65F7BA33" w:rsidR="00236319" w:rsidRPr="00E777E8" w:rsidRDefault="00236319" w:rsidP="00C43C34">
      <w:pPr>
        <w:pStyle w:val="Prrafodelista"/>
        <w:numPr>
          <w:ilvl w:val="0"/>
          <w:numId w:val="25"/>
        </w:numPr>
        <w:spacing w:line="360" w:lineRule="auto"/>
        <w:ind w:hanging="294"/>
        <w:jc w:val="both"/>
        <w:rPr>
          <w:rFonts w:ascii="Palatino Linotype" w:eastAsia="Times New Roman" w:hAnsi="Palatino Linotype" w:cs="Times New Roman"/>
          <w:lang w:eastAsia="es-MX"/>
        </w:rPr>
      </w:pPr>
      <w:r w:rsidRPr="00E777E8">
        <w:rPr>
          <w:rFonts w:ascii="Palatino Linotype" w:eastAsia="Times New Roman" w:hAnsi="Palatino Linotype" w:cs="Times New Roman"/>
          <w:lang w:eastAsia="es-MX"/>
        </w:rPr>
        <w:t>Proyecto arquitectónico presentado;</w:t>
      </w:r>
      <w:r w:rsidR="00C43C34">
        <w:rPr>
          <w:rFonts w:ascii="Palatino Linotype" w:eastAsia="Times New Roman" w:hAnsi="Palatino Linotype" w:cs="Times New Roman"/>
          <w:lang w:eastAsia="es-MX"/>
        </w:rPr>
        <w:t xml:space="preserve"> y,</w:t>
      </w:r>
    </w:p>
    <w:p w14:paraId="1B5AC5B8" w14:textId="4E9CD7CC" w:rsidR="00236319" w:rsidRPr="00E777E8" w:rsidRDefault="00236319" w:rsidP="00C43C34">
      <w:pPr>
        <w:pStyle w:val="Prrafodelista"/>
        <w:numPr>
          <w:ilvl w:val="0"/>
          <w:numId w:val="25"/>
        </w:numPr>
        <w:spacing w:line="360" w:lineRule="auto"/>
        <w:ind w:hanging="294"/>
        <w:jc w:val="both"/>
        <w:rPr>
          <w:rFonts w:ascii="Palatino Linotype" w:eastAsia="Times New Roman" w:hAnsi="Palatino Linotype" w:cs="Times New Roman"/>
          <w:lang w:eastAsia="es-MX"/>
        </w:rPr>
      </w:pPr>
      <w:r w:rsidRPr="00E777E8">
        <w:rPr>
          <w:rFonts w:ascii="Palatino Linotype" w:eastAsia="Times New Roman" w:hAnsi="Palatino Linotype" w:cs="Times New Roman"/>
          <w:lang w:eastAsia="es-MX"/>
        </w:rPr>
        <w:t>Licencias y autorizaciones para la construcción de un cuarto nivel</w:t>
      </w:r>
      <w:r w:rsidR="00C43C34">
        <w:rPr>
          <w:rFonts w:ascii="Palatino Linotype" w:eastAsia="Times New Roman" w:hAnsi="Palatino Linotype" w:cs="Times New Roman"/>
          <w:lang w:eastAsia="es-MX"/>
        </w:rPr>
        <w:t>.</w:t>
      </w:r>
    </w:p>
    <w:p w14:paraId="42C32636" w14:textId="539DAFCC" w:rsidR="00DD5654" w:rsidRPr="00CE2885" w:rsidRDefault="00DD5654" w:rsidP="00F63F09">
      <w:pPr>
        <w:ind w:right="616"/>
        <w:jc w:val="both"/>
        <w:rPr>
          <w:rFonts w:ascii="Palatino Linotype" w:hAnsi="Palatino Linotype" w:cs="Arial"/>
          <w:color w:val="000000" w:themeColor="text1"/>
        </w:rPr>
      </w:pPr>
    </w:p>
    <w:p w14:paraId="636DF834" w14:textId="77777777" w:rsidR="00DD5654" w:rsidRPr="00CE2885" w:rsidRDefault="00DD5654" w:rsidP="00F63F09">
      <w:pPr>
        <w:ind w:right="616"/>
        <w:jc w:val="both"/>
        <w:rPr>
          <w:rFonts w:ascii="Palatino Linotype" w:hAnsi="Palatino Linotype" w:cs="Arial"/>
          <w:color w:val="000000" w:themeColor="text1"/>
        </w:rPr>
      </w:pPr>
    </w:p>
    <w:p w14:paraId="4CDA43D6" w14:textId="31D121BA" w:rsidR="00E777E8"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Sujeto Obligado</w:t>
      </w:r>
      <w:r w:rsidR="005946F4" w:rsidRPr="00CE2885">
        <w:rPr>
          <w:rFonts w:ascii="Palatino Linotype" w:hAnsi="Palatino Linotype" w:cs="Arial"/>
          <w:color w:val="000000" w:themeColor="text1"/>
        </w:rPr>
        <w:t xml:space="preserve"> </w:t>
      </w:r>
      <w:r w:rsidR="00E777E8">
        <w:rPr>
          <w:rFonts w:ascii="Palatino Linotype" w:hAnsi="Palatino Linotype" w:cs="Arial"/>
          <w:color w:val="000000" w:themeColor="text1"/>
        </w:rPr>
        <w:t xml:space="preserve">manifestó que no se localizaron licencias y/o permisos que autoricen el cuarto nivel, entregó la autorización de cambio de uso de suelo y el documento que contiene la opinión favorable del cambio de uso de suelo </w:t>
      </w:r>
    </w:p>
    <w:p w14:paraId="28B8FEFD" w14:textId="77777777" w:rsidR="006F0FB5" w:rsidRPr="00CE2885"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40824F94" w14:textId="094AE3B0" w:rsidR="00E777E8" w:rsidRPr="00E777E8" w:rsidRDefault="00E777E8"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szCs w:val="23"/>
        </w:rPr>
        <w:t xml:space="preserve">El </w:t>
      </w:r>
      <w:r w:rsidR="00951B27">
        <w:rPr>
          <w:rFonts w:ascii="Palatino Linotype" w:hAnsi="Palatino Linotype" w:cs="Arial"/>
          <w:color w:val="000000" w:themeColor="text1"/>
          <w:szCs w:val="23"/>
        </w:rPr>
        <w:t>Recurrente</w:t>
      </w:r>
      <w:r>
        <w:rPr>
          <w:rFonts w:ascii="Palatino Linotype" w:hAnsi="Palatino Linotype" w:cs="Arial"/>
          <w:color w:val="000000" w:themeColor="text1"/>
          <w:szCs w:val="23"/>
        </w:rPr>
        <w:t xml:space="preserve"> se inconformó porque la información se encuentra incompleta.</w:t>
      </w:r>
    </w:p>
    <w:p w14:paraId="6233A89F" w14:textId="77777777" w:rsidR="00E777E8" w:rsidRPr="00E777E8" w:rsidRDefault="00E777E8" w:rsidP="00E777E8">
      <w:pPr>
        <w:pStyle w:val="Prrafodelista"/>
        <w:rPr>
          <w:rFonts w:ascii="Palatino Linotype" w:hAnsi="Palatino Linotype" w:cs="Arial"/>
          <w:color w:val="000000" w:themeColor="text1"/>
          <w:szCs w:val="23"/>
        </w:rPr>
      </w:pPr>
    </w:p>
    <w:p w14:paraId="1C5AB6B5" w14:textId="01EEEB47" w:rsidR="009F1566" w:rsidRPr="00CE2885"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szCs w:val="23"/>
        </w:rPr>
        <w:t xml:space="preserve">Por lo anterior, la </w:t>
      </w:r>
      <w:r w:rsidRPr="00CE2885">
        <w:rPr>
          <w:rFonts w:ascii="Palatino Linotype" w:hAnsi="Palatino Linotype" w:cs="Arial"/>
          <w:i/>
          <w:color w:val="000000" w:themeColor="text1"/>
          <w:szCs w:val="23"/>
        </w:rPr>
        <w:t>Litis</w:t>
      </w:r>
      <w:r w:rsidRPr="00CE2885">
        <w:rPr>
          <w:rFonts w:ascii="Palatino Linotype" w:hAnsi="Palatino Linotype" w:cs="Arial"/>
          <w:color w:val="000000" w:themeColor="text1"/>
          <w:szCs w:val="23"/>
        </w:rPr>
        <w:t xml:space="preserve"> a resolver en el presente recurso se circunscribe en determinar si</w:t>
      </w:r>
      <w:r w:rsidR="002C6561" w:rsidRPr="00CE2885">
        <w:rPr>
          <w:rFonts w:ascii="Palatino Linotype" w:hAnsi="Palatino Linotype" w:cs="Arial"/>
          <w:color w:val="000000" w:themeColor="text1"/>
          <w:szCs w:val="23"/>
        </w:rPr>
        <w:t xml:space="preserve"> </w:t>
      </w:r>
      <w:r w:rsidR="004B0EB6" w:rsidRPr="00CE2885">
        <w:rPr>
          <w:rFonts w:ascii="Palatino Linotype" w:hAnsi="Palatino Linotype" w:cs="Arial"/>
          <w:color w:val="000000" w:themeColor="text1"/>
          <w:szCs w:val="23"/>
        </w:rPr>
        <w:t>la respuesta del</w:t>
      </w:r>
      <w:r w:rsidR="002C6561" w:rsidRPr="00CE2885">
        <w:rPr>
          <w:rFonts w:ascii="Palatino Linotype" w:hAnsi="Palatino Linotype" w:cs="Arial"/>
          <w:color w:val="000000" w:themeColor="text1"/>
          <w:szCs w:val="23"/>
        </w:rPr>
        <w:t xml:space="preserve"> </w:t>
      </w:r>
      <w:r w:rsidR="002C6561" w:rsidRPr="00CE2885">
        <w:rPr>
          <w:rFonts w:ascii="Palatino Linotype" w:hAnsi="Palatino Linotype" w:cs="Arial"/>
          <w:b/>
          <w:bCs/>
          <w:color w:val="000000" w:themeColor="text1"/>
          <w:szCs w:val="23"/>
        </w:rPr>
        <w:t>SUJETO OBLIGADO</w:t>
      </w:r>
      <w:r w:rsidR="002C6561" w:rsidRPr="00CE2885">
        <w:rPr>
          <w:rFonts w:ascii="Palatino Linotype" w:hAnsi="Palatino Linotype" w:cs="Arial"/>
          <w:color w:val="000000" w:themeColor="text1"/>
          <w:szCs w:val="23"/>
        </w:rPr>
        <w:t xml:space="preserve"> </w:t>
      </w:r>
      <w:r w:rsidR="004B0EB6" w:rsidRPr="00CE2885">
        <w:rPr>
          <w:rFonts w:ascii="Palatino Linotype" w:hAnsi="Palatino Linotype" w:cs="Arial"/>
          <w:color w:val="000000" w:themeColor="text1"/>
          <w:szCs w:val="23"/>
        </w:rPr>
        <w:t xml:space="preserve">colma el derecho de acceso a la información ejercido por el </w:t>
      </w:r>
      <w:r w:rsidR="004B0EB6" w:rsidRPr="00CE2885">
        <w:rPr>
          <w:rFonts w:ascii="Palatino Linotype" w:hAnsi="Palatino Linotype" w:cs="Arial"/>
          <w:b/>
          <w:bCs/>
          <w:color w:val="000000" w:themeColor="text1"/>
          <w:szCs w:val="23"/>
        </w:rPr>
        <w:t>RECURRENTE</w:t>
      </w:r>
      <w:r w:rsidR="002C6561" w:rsidRPr="00CE2885">
        <w:rPr>
          <w:rFonts w:ascii="Palatino Linotype" w:hAnsi="Palatino Linotype" w:cs="Arial"/>
          <w:color w:val="000000" w:themeColor="text1"/>
          <w:szCs w:val="23"/>
        </w:rPr>
        <w:t>; o si, por el contrario, se</w:t>
      </w:r>
      <w:r w:rsidR="00E32652" w:rsidRPr="00CE2885">
        <w:rPr>
          <w:rFonts w:ascii="Palatino Linotype" w:hAnsi="Palatino Linotype" w:cs="Arial"/>
          <w:color w:val="000000" w:themeColor="text1"/>
          <w:szCs w:val="23"/>
        </w:rPr>
        <w:t xml:space="preserve"> </w:t>
      </w:r>
      <w:r w:rsidR="0028248C" w:rsidRPr="00CE2885">
        <w:rPr>
          <w:rFonts w:ascii="Palatino Linotype" w:hAnsi="Palatino Linotype"/>
          <w:color w:val="000000" w:themeColor="text1"/>
        </w:rPr>
        <w:t>actualiza la causal de procedencia</w:t>
      </w:r>
      <w:r w:rsidR="00E66A80" w:rsidRPr="00CE2885">
        <w:rPr>
          <w:rFonts w:ascii="Palatino Linotype" w:hAnsi="Palatino Linotype" w:cs="Arial"/>
          <w:color w:val="000000" w:themeColor="text1"/>
          <w:szCs w:val="23"/>
        </w:rPr>
        <w:t xml:space="preserve"> del recurso de revisión establecida</w:t>
      </w:r>
      <w:r w:rsidR="00A42161" w:rsidRPr="00CE2885">
        <w:rPr>
          <w:rFonts w:ascii="Palatino Linotype" w:hAnsi="Palatino Linotype" w:cs="Arial"/>
          <w:color w:val="000000" w:themeColor="text1"/>
          <w:szCs w:val="23"/>
        </w:rPr>
        <w:t xml:space="preserve"> en la fracci</w:t>
      </w:r>
      <w:r w:rsidR="00765786">
        <w:rPr>
          <w:rFonts w:ascii="Palatino Linotype" w:hAnsi="Palatino Linotype" w:cs="Arial"/>
          <w:color w:val="000000" w:themeColor="text1"/>
          <w:szCs w:val="23"/>
        </w:rPr>
        <w:t>ón</w:t>
      </w:r>
      <w:r w:rsidR="00A42161" w:rsidRPr="00CE2885">
        <w:rPr>
          <w:rFonts w:ascii="Palatino Linotype" w:hAnsi="Palatino Linotype" w:cs="Arial"/>
          <w:color w:val="000000" w:themeColor="text1"/>
          <w:szCs w:val="23"/>
        </w:rPr>
        <w:t xml:space="preserve"> </w:t>
      </w:r>
      <w:r w:rsidR="00765786">
        <w:rPr>
          <w:rFonts w:ascii="Palatino Linotype" w:hAnsi="Palatino Linotype" w:cs="Arial"/>
          <w:color w:val="000000" w:themeColor="text1"/>
          <w:szCs w:val="23"/>
        </w:rPr>
        <w:t>V</w:t>
      </w:r>
      <w:r w:rsidR="00E66A80" w:rsidRPr="00CE2885">
        <w:rPr>
          <w:rFonts w:ascii="Palatino Linotype" w:hAnsi="Palatino Linotype" w:cs="Arial"/>
          <w:color w:val="000000" w:themeColor="text1"/>
          <w:szCs w:val="23"/>
        </w:rPr>
        <w:t xml:space="preserve"> </w:t>
      </w:r>
      <w:r w:rsidR="00A42161" w:rsidRPr="00CE2885">
        <w:rPr>
          <w:rFonts w:ascii="Palatino Linotype" w:hAnsi="Palatino Linotype" w:cs="Arial"/>
          <w:color w:val="000000" w:themeColor="text1"/>
          <w:szCs w:val="23"/>
        </w:rPr>
        <w:t>de</w:t>
      </w:r>
      <w:r w:rsidR="00E66A80" w:rsidRPr="00CE2885">
        <w:rPr>
          <w:rFonts w:ascii="Palatino Linotype" w:hAnsi="Palatino Linotype" w:cs="Arial"/>
          <w:color w:val="000000" w:themeColor="text1"/>
          <w:szCs w:val="23"/>
        </w:rPr>
        <w:t xml:space="preserve">l </w:t>
      </w:r>
      <w:r w:rsidR="00E66A80" w:rsidRPr="00CE2885">
        <w:rPr>
          <w:rFonts w:ascii="Palatino Linotype" w:hAnsi="Palatino Linotype" w:cs="Arial"/>
          <w:color w:val="000000" w:themeColor="text1"/>
          <w:szCs w:val="23"/>
        </w:rPr>
        <w:lastRenderedPageBreak/>
        <w:t>artículo 179</w:t>
      </w:r>
      <w:r w:rsidR="008E4483" w:rsidRPr="00CE2885">
        <w:rPr>
          <w:rFonts w:ascii="Palatino Linotype" w:hAnsi="Palatino Linotype" w:cs="Arial"/>
          <w:color w:val="000000" w:themeColor="text1"/>
          <w:szCs w:val="23"/>
        </w:rPr>
        <w:t xml:space="preserve"> </w:t>
      </w:r>
      <w:r w:rsidR="00E66A80" w:rsidRPr="00CE2885">
        <w:rPr>
          <w:rFonts w:ascii="Palatino Linotype" w:hAnsi="Palatino Linotype" w:cs="Arial"/>
          <w:color w:val="000000" w:themeColor="text1"/>
          <w:szCs w:val="23"/>
        </w:rPr>
        <w:t xml:space="preserve">de la Ley de Transparencia y Acceso a la Información Pública del Estado de México y Municipios, </w:t>
      </w:r>
      <w:r w:rsidR="004364EE" w:rsidRPr="00CE2885">
        <w:rPr>
          <w:rFonts w:ascii="Palatino Linotype" w:hAnsi="Palatino Linotype" w:cs="Arial"/>
          <w:color w:val="000000" w:themeColor="text1"/>
          <w:szCs w:val="23"/>
        </w:rPr>
        <w:t>misma</w:t>
      </w:r>
      <w:r w:rsidR="00C51671" w:rsidRPr="00CE2885">
        <w:rPr>
          <w:rFonts w:ascii="Palatino Linotype" w:hAnsi="Palatino Linotype" w:cs="Arial"/>
          <w:color w:val="000000" w:themeColor="text1"/>
          <w:szCs w:val="23"/>
        </w:rPr>
        <w:t xml:space="preserve"> </w:t>
      </w:r>
      <w:r w:rsidR="00E66A80" w:rsidRPr="00CE2885">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Pr="00CE2885"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77777777" w:rsidR="005946F4" w:rsidRPr="00CE2885" w:rsidRDefault="005946F4" w:rsidP="005946F4">
      <w:pPr>
        <w:tabs>
          <w:tab w:val="left" w:pos="426"/>
        </w:tabs>
        <w:spacing w:line="360" w:lineRule="auto"/>
        <w:ind w:left="567" w:right="616"/>
        <w:jc w:val="both"/>
        <w:rPr>
          <w:rFonts w:ascii="Palatino Linotype" w:hAnsi="Palatino Linotype"/>
          <w:i/>
          <w:iCs/>
        </w:rPr>
      </w:pPr>
    </w:p>
    <w:p w14:paraId="54E923BA" w14:textId="48F56791" w:rsidR="005946F4" w:rsidRPr="00CE2885"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CE2885">
        <w:rPr>
          <w:rFonts w:ascii="Palatino Linotype" w:hAnsi="Palatino Linotype"/>
          <w:i/>
          <w:iCs/>
        </w:rPr>
        <w:t xml:space="preserve">I. La </w:t>
      </w:r>
      <w:r w:rsidR="00765786">
        <w:rPr>
          <w:rFonts w:ascii="Palatino Linotype" w:hAnsi="Palatino Linotype"/>
          <w:i/>
          <w:iCs/>
        </w:rPr>
        <w:t>entrega de la información incompleta</w:t>
      </w:r>
      <w:r w:rsidRPr="00CE2885">
        <w:rPr>
          <w:rFonts w:ascii="Palatino Linotype" w:hAnsi="Palatino Linotype"/>
          <w:i/>
          <w:iCs/>
        </w:rPr>
        <w:t>;</w:t>
      </w:r>
    </w:p>
    <w:p w14:paraId="46B0833E" w14:textId="1807394B" w:rsidR="00DA2D95" w:rsidRPr="00C43C34" w:rsidRDefault="005946F4" w:rsidP="00C43C34">
      <w:pPr>
        <w:tabs>
          <w:tab w:val="left" w:pos="426"/>
        </w:tabs>
        <w:spacing w:line="360" w:lineRule="auto"/>
        <w:ind w:left="567" w:right="616"/>
        <w:jc w:val="both"/>
        <w:rPr>
          <w:rFonts w:ascii="Palatino Linotype" w:hAnsi="Palatino Linotype" w:cs="Arial"/>
          <w:i/>
          <w:iCs/>
          <w:color w:val="000000" w:themeColor="text1"/>
        </w:rPr>
      </w:pPr>
      <w:r w:rsidRPr="00CE2885">
        <w:rPr>
          <w:rFonts w:ascii="Palatino Linotype" w:hAnsi="Palatino Linotype" w:cs="Arial"/>
          <w:i/>
          <w:iCs/>
          <w:color w:val="000000" w:themeColor="text1"/>
        </w:rPr>
        <w:t>…</w:t>
      </w:r>
      <w:bookmarkStart w:id="22" w:name="_Toc466371865"/>
      <w:bookmarkStart w:id="23" w:name="_Toc466377653"/>
      <w:bookmarkEnd w:id="17"/>
      <w:bookmarkEnd w:id="18"/>
      <w:bookmarkEnd w:id="19"/>
      <w:bookmarkEnd w:id="20"/>
      <w:bookmarkEnd w:id="21"/>
    </w:p>
    <w:p w14:paraId="4AC32336" w14:textId="72D54E59" w:rsidR="008E4483" w:rsidRPr="00A0054B" w:rsidRDefault="008E4483" w:rsidP="00C43C34">
      <w:pPr>
        <w:pStyle w:val="Ttulo2"/>
        <w:numPr>
          <w:ilvl w:val="0"/>
          <w:numId w:val="40"/>
        </w:numPr>
        <w:ind w:left="709"/>
        <w:rPr>
          <w:rFonts w:ascii="Palatino Linotype" w:hAnsi="Palatino Linotype"/>
          <w:b/>
          <w:color w:val="auto"/>
          <w:sz w:val="24"/>
        </w:rPr>
      </w:pPr>
      <w:bookmarkStart w:id="24" w:name="_Toc59195561"/>
      <w:bookmarkStart w:id="25" w:name="_Toc83830727"/>
      <w:bookmarkStart w:id="26" w:name="_Toc85112350"/>
      <w:bookmarkStart w:id="27" w:name="_Toc27141117"/>
      <w:bookmarkStart w:id="28" w:name="_Toc4061684"/>
      <w:r w:rsidRPr="00A0054B">
        <w:rPr>
          <w:rFonts w:ascii="Palatino Linotype" w:hAnsi="Palatino Linotype"/>
          <w:b/>
          <w:color w:val="auto"/>
          <w:sz w:val="24"/>
        </w:rPr>
        <w:t>De la fuente obligacional</w:t>
      </w:r>
      <w:bookmarkEnd w:id="24"/>
      <w:bookmarkEnd w:id="25"/>
      <w:bookmarkEnd w:id="26"/>
    </w:p>
    <w:bookmarkEnd w:id="27"/>
    <w:bookmarkEnd w:id="28"/>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lastRenderedPageBreak/>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w:t>
      </w:r>
      <w:r w:rsidRPr="00A0054B">
        <w:rPr>
          <w:rFonts w:ascii="Palatino Linotype" w:hAnsi="Palatino Linotype" w:cs="Arial"/>
          <w:i/>
          <w:sz w:val="22"/>
          <w:szCs w:val="22"/>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8E4483">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w:t>
      </w:r>
      <w:r w:rsidRPr="00A0054B">
        <w:rPr>
          <w:rFonts w:ascii="Palatino Linotype" w:eastAsia="Calibri" w:hAnsi="Palatino Linotype" w:cs="Arial"/>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0054B" w:rsidRDefault="008E4483" w:rsidP="008E4483">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0054B" w:rsidRDefault="008E4483" w:rsidP="008E4483">
      <w:pPr>
        <w:pStyle w:val="Prrafodelista"/>
        <w:spacing w:line="360" w:lineRule="auto"/>
        <w:rPr>
          <w:rFonts w:ascii="Palatino Linotype" w:hAnsi="Palatino Linotype"/>
          <w:lang w:val="es-ES"/>
        </w:rPr>
      </w:pPr>
    </w:p>
    <w:p w14:paraId="1C9461BC"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A0054B">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0054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31A63FA8" w14:textId="77777777" w:rsidR="008E4483" w:rsidRPr="00A0054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A0054B" w:rsidRDefault="008E4483" w:rsidP="008E4483">
      <w:pPr>
        <w:spacing w:line="360" w:lineRule="auto"/>
        <w:jc w:val="both"/>
        <w:rPr>
          <w:rFonts w:ascii="Palatino Linotype" w:hAnsi="Palatino Linotype" w:cs="Arial"/>
        </w:rPr>
      </w:pPr>
    </w:p>
    <w:p w14:paraId="61E5DFB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8E4483">
      <w:pPr>
        <w:ind w:left="567" w:right="567"/>
        <w:jc w:val="both"/>
        <w:rPr>
          <w:rFonts w:ascii="Palatino Linotype" w:hAnsi="Palatino Linotype" w:cs="Arial"/>
          <w:i/>
          <w:sz w:val="22"/>
        </w:rPr>
      </w:pPr>
    </w:p>
    <w:p w14:paraId="4B5681D6"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8E4483">
      <w:pPr>
        <w:ind w:left="567" w:right="567"/>
        <w:jc w:val="both"/>
        <w:rPr>
          <w:rFonts w:ascii="Palatino Linotype" w:hAnsi="Palatino Linotype" w:cs="Arial"/>
          <w:i/>
          <w:sz w:val="22"/>
        </w:rPr>
      </w:pPr>
    </w:p>
    <w:p w14:paraId="681A32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8E4483">
      <w:pPr>
        <w:ind w:left="567" w:right="567"/>
        <w:jc w:val="both"/>
        <w:rPr>
          <w:rFonts w:ascii="Palatino Linotype" w:hAnsi="Palatino Linotype" w:cs="Arial"/>
          <w:i/>
          <w:sz w:val="22"/>
        </w:rPr>
      </w:pPr>
    </w:p>
    <w:p w14:paraId="1A00976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8E4483">
      <w:pPr>
        <w:ind w:left="567" w:right="567"/>
        <w:jc w:val="both"/>
        <w:rPr>
          <w:rFonts w:ascii="Palatino Linotype" w:hAnsi="Palatino Linotype" w:cs="Arial"/>
          <w:b/>
          <w:i/>
          <w:sz w:val="22"/>
        </w:rPr>
      </w:pPr>
    </w:p>
    <w:p w14:paraId="3A80ED3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8E4483">
      <w:pPr>
        <w:ind w:left="567" w:right="567"/>
        <w:jc w:val="both"/>
        <w:rPr>
          <w:rFonts w:ascii="Palatino Linotype" w:hAnsi="Palatino Linotype" w:cs="Arial"/>
          <w:i/>
          <w:sz w:val="22"/>
        </w:rPr>
      </w:pPr>
    </w:p>
    <w:p w14:paraId="0CECF8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8E4483">
      <w:pPr>
        <w:ind w:left="567" w:right="567"/>
        <w:jc w:val="both"/>
        <w:rPr>
          <w:rFonts w:ascii="Palatino Linotype" w:hAnsi="Palatino Linotype" w:cs="Arial"/>
          <w:i/>
          <w:sz w:val="22"/>
        </w:rPr>
      </w:pPr>
    </w:p>
    <w:p w14:paraId="4EF8A8A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8E4483">
      <w:pPr>
        <w:ind w:left="567" w:right="567"/>
        <w:jc w:val="both"/>
        <w:rPr>
          <w:rFonts w:ascii="Palatino Linotype" w:hAnsi="Palatino Linotype" w:cs="Arial"/>
          <w:i/>
          <w:sz w:val="22"/>
        </w:rPr>
      </w:pPr>
    </w:p>
    <w:p w14:paraId="112801FD"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8E4483">
      <w:pPr>
        <w:ind w:left="567" w:right="567"/>
        <w:jc w:val="both"/>
        <w:rPr>
          <w:rFonts w:ascii="Palatino Linotype" w:hAnsi="Palatino Linotype" w:cs="Arial"/>
          <w:b/>
          <w:i/>
          <w:sz w:val="22"/>
        </w:rPr>
      </w:pPr>
    </w:p>
    <w:p w14:paraId="3FB33C7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8E4483">
      <w:pPr>
        <w:ind w:left="567" w:right="567"/>
        <w:jc w:val="both"/>
        <w:rPr>
          <w:rFonts w:ascii="Palatino Linotype" w:hAnsi="Palatino Linotype" w:cs="Arial"/>
          <w:i/>
          <w:sz w:val="22"/>
        </w:rPr>
      </w:pPr>
    </w:p>
    <w:p w14:paraId="3739931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8E4483">
      <w:pPr>
        <w:ind w:left="567" w:right="567"/>
        <w:jc w:val="both"/>
        <w:rPr>
          <w:rFonts w:ascii="Palatino Linotype" w:hAnsi="Palatino Linotype" w:cs="Arial"/>
          <w:i/>
          <w:sz w:val="22"/>
        </w:rPr>
      </w:pPr>
    </w:p>
    <w:p w14:paraId="4D04B6B7"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8E4483">
      <w:pPr>
        <w:ind w:left="567" w:right="567"/>
        <w:jc w:val="both"/>
        <w:rPr>
          <w:rFonts w:ascii="Palatino Linotype" w:hAnsi="Palatino Linotype" w:cs="Arial"/>
          <w:i/>
          <w:sz w:val="22"/>
        </w:rPr>
      </w:pPr>
    </w:p>
    <w:p w14:paraId="30D06838"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8E4483">
      <w:pPr>
        <w:ind w:left="567" w:right="567"/>
        <w:jc w:val="both"/>
        <w:rPr>
          <w:rFonts w:ascii="Palatino Linotype" w:hAnsi="Palatino Linotype"/>
          <w:i/>
          <w:sz w:val="22"/>
        </w:rPr>
      </w:pPr>
    </w:p>
    <w:p w14:paraId="70B9AFAD"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8E4483">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A0054B">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087D3FFB" w14:textId="77777777" w:rsidR="008E4483" w:rsidRPr="00A0054B" w:rsidRDefault="008E4483" w:rsidP="008E4483">
      <w:pPr>
        <w:ind w:left="567" w:right="567"/>
        <w:jc w:val="both"/>
        <w:rPr>
          <w:rFonts w:ascii="Palatino Linotype" w:hAnsi="Palatino Linotype"/>
          <w:i/>
          <w:sz w:val="22"/>
        </w:rPr>
      </w:pPr>
    </w:p>
    <w:p w14:paraId="480C22E0"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8E4483">
      <w:pPr>
        <w:ind w:left="567" w:right="567"/>
        <w:jc w:val="both"/>
        <w:rPr>
          <w:rFonts w:ascii="Palatino Linotype" w:hAnsi="Palatino Linotype"/>
          <w:b/>
          <w:i/>
          <w:sz w:val="22"/>
        </w:rPr>
      </w:pPr>
    </w:p>
    <w:p w14:paraId="44073A0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8E4483">
      <w:pPr>
        <w:ind w:left="567" w:right="567"/>
        <w:jc w:val="both"/>
        <w:rPr>
          <w:rFonts w:ascii="Palatino Linotype" w:hAnsi="Palatino Linotype"/>
          <w:i/>
          <w:sz w:val="22"/>
        </w:rPr>
      </w:pPr>
    </w:p>
    <w:p w14:paraId="2FF70804"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8E4483">
      <w:pPr>
        <w:ind w:left="567" w:right="567"/>
        <w:jc w:val="both"/>
        <w:rPr>
          <w:rFonts w:ascii="Palatino Linotype" w:hAnsi="Palatino Linotype"/>
          <w:i/>
          <w:sz w:val="22"/>
        </w:rPr>
      </w:pPr>
    </w:p>
    <w:p w14:paraId="6FA24126"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8E4483">
      <w:pPr>
        <w:ind w:left="567" w:right="567"/>
        <w:jc w:val="both"/>
        <w:rPr>
          <w:rFonts w:ascii="Palatino Linotype" w:hAnsi="Palatino Linotype"/>
          <w:i/>
          <w:sz w:val="22"/>
        </w:rPr>
      </w:pPr>
    </w:p>
    <w:p w14:paraId="24C5C6F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8E4483">
      <w:pPr>
        <w:ind w:left="567" w:right="567"/>
        <w:jc w:val="both"/>
        <w:rPr>
          <w:rFonts w:ascii="Palatino Linotype" w:hAnsi="Palatino Linotype"/>
          <w:i/>
          <w:sz w:val="22"/>
        </w:rPr>
      </w:pPr>
    </w:p>
    <w:p w14:paraId="2D1804C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8E4483">
      <w:pPr>
        <w:ind w:left="567" w:right="567"/>
        <w:jc w:val="both"/>
        <w:rPr>
          <w:rFonts w:ascii="Palatino Linotype" w:hAnsi="Palatino Linotype"/>
          <w:b/>
          <w:i/>
          <w:sz w:val="22"/>
        </w:rPr>
      </w:pPr>
    </w:p>
    <w:p w14:paraId="6DB2EC7A"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VI. Los sujetos obligados deberán preservar sus documentos en archivos administrativos actualizados y publicarán, a través de los medios electrónicos </w:t>
      </w:r>
      <w:r w:rsidRPr="00A0054B">
        <w:rPr>
          <w:rFonts w:ascii="Palatino Linotype" w:hAnsi="Palatino Linotype"/>
          <w:b/>
          <w:i/>
          <w:sz w:val="22"/>
        </w:rPr>
        <w:lastRenderedPageBreak/>
        <w:t>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8E4483">
      <w:pPr>
        <w:ind w:left="567" w:right="567"/>
        <w:jc w:val="both"/>
        <w:rPr>
          <w:rFonts w:ascii="Palatino Linotype" w:hAnsi="Palatino Linotype"/>
          <w:i/>
          <w:sz w:val="22"/>
        </w:rPr>
      </w:pPr>
    </w:p>
    <w:p w14:paraId="6810788F"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8E4483">
      <w:pPr>
        <w:ind w:left="567" w:right="567"/>
        <w:jc w:val="both"/>
        <w:rPr>
          <w:rFonts w:ascii="Palatino Linotype" w:hAnsi="Palatino Linotype"/>
          <w:sz w:val="22"/>
        </w:rPr>
      </w:pPr>
    </w:p>
    <w:p w14:paraId="76F0890A" w14:textId="77777777" w:rsidR="008E4483" w:rsidRPr="00A0054B" w:rsidRDefault="008E4483" w:rsidP="008E4483">
      <w:pPr>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8E4483">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8E4483">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8E4483">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8E4483">
      <w:pPr>
        <w:ind w:left="567" w:right="822"/>
        <w:jc w:val="both"/>
        <w:rPr>
          <w:rFonts w:ascii="Palatino Linotype" w:eastAsia="MS Mincho" w:hAnsi="Palatino Linotype"/>
          <w:b/>
          <w:i/>
          <w:sz w:val="22"/>
          <w:szCs w:val="22"/>
        </w:rPr>
      </w:pPr>
    </w:p>
    <w:p w14:paraId="7FF5ACCA"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8E4483">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A0054B">
        <w:rPr>
          <w:rFonts w:ascii="Palatino Linotype" w:hAnsi="Palatino Linotype" w:cs="Arial"/>
        </w:rPr>
        <w:lastRenderedPageBreak/>
        <w:t xml:space="preserve">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1952F1AB"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35066B" w:rsidRPr="0035066B">
        <w:rPr>
          <w:rFonts w:ascii="Palatino Linotype" w:hAnsi="Palatino Linotype"/>
          <w:b/>
          <w:bCs/>
          <w:color w:val="000000"/>
          <w:szCs w:val="22"/>
        </w:rPr>
        <w:t>Ayuntamiento de Tlalnepantla de Baz</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ACA06ED" w14:textId="77777777" w:rsidR="007820F2" w:rsidRPr="00A0054B"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2CB4493" w14:textId="4C73167B" w:rsidR="00671FDF" w:rsidRPr="00A0054B" w:rsidRDefault="00FD0BDD" w:rsidP="00C43C34">
      <w:pPr>
        <w:pStyle w:val="Prrafodelista"/>
        <w:numPr>
          <w:ilvl w:val="0"/>
          <w:numId w:val="40"/>
        </w:numPr>
        <w:tabs>
          <w:tab w:val="left" w:pos="426"/>
        </w:tabs>
        <w:spacing w:before="240" w:after="240" w:line="360" w:lineRule="auto"/>
        <w:ind w:left="709" w:right="51"/>
        <w:jc w:val="both"/>
        <w:outlineLvl w:val="2"/>
        <w:rPr>
          <w:rFonts w:ascii="Palatino Linotype" w:hAnsi="Palatino Linotype"/>
          <w:b/>
          <w:color w:val="000000" w:themeColor="text1"/>
        </w:rPr>
      </w:pPr>
      <w:bookmarkStart w:id="29" w:name="_Toc87456491"/>
      <w:r w:rsidRPr="00A0054B">
        <w:rPr>
          <w:rFonts w:ascii="Palatino Linotype" w:hAnsi="Palatino Linotype"/>
          <w:b/>
          <w:color w:val="000000" w:themeColor="text1"/>
        </w:rPr>
        <w:t>De</w:t>
      </w:r>
      <w:r w:rsidR="00765786">
        <w:rPr>
          <w:rFonts w:ascii="Palatino Linotype" w:hAnsi="Palatino Linotype"/>
          <w:b/>
          <w:color w:val="000000" w:themeColor="text1"/>
        </w:rPr>
        <w:t xml:space="preserve"> las actuaciones de las partes.</w:t>
      </w:r>
      <w:bookmarkEnd w:id="29"/>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4FF9FCDD" w14:textId="7629B702" w:rsidR="00765786" w:rsidRDefault="00765786" w:rsidP="00765786">
      <w:pPr>
        <w:pStyle w:val="Prrafodelista"/>
        <w:numPr>
          <w:ilvl w:val="0"/>
          <w:numId w:val="1"/>
        </w:numPr>
        <w:tabs>
          <w:tab w:val="left" w:pos="567"/>
        </w:tabs>
        <w:spacing w:line="360" w:lineRule="auto"/>
        <w:jc w:val="both"/>
        <w:rPr>
          <w:rFonts w:ascii="Palatino Linotype" w:eastAsia="Calibri" w:hAnsi="Palatino Linotype" w:cs="Arial"/>
        </w:rPr>
      </w:pPr>
      <w:r w:rsidRPr="006C3151">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w:t>
      </w:r>
      <w:r>
        <w:rPr>
          <w:rFonts w:ascii="Palatino Linotype" w:eastAsia="Calibri" w:hAnsi="Palatino Linotype" w:cs="Arial"/>
        </w:rPr>
        <w:t xml:space="preserve"> a un inmueble del cual otorgó la dirección, requiriendo el dictamen de opinión favorable por la COPLADEMUN, licencias y autorizaciones para la construcción de un cuarto nivel y el proyecto arquitectónico.</w:t>
      </w:r>
    </w:p>
    <w:p w14:paraId="4466985B" w14:textId="77777777" w:rsidR="00765786" w:rsidRDefault="00765786" w:rsidP="00765786">
      <w:pPr>
        <w:pStyle w:val="Prrafodelista"/>
        <w:tabs>
          <w:tab w:val="left" w:pos="567"/>
        </w:tabs>
        <w:spacing w:line="360" w:lineRule="auto"/>
        <w:ind w:left="0"/>
        <w:jc w:val="both"/>
        <w:rPr>
          <w:rFonts w:ascii="Palatino Linotype" w:eastAsia="Calibri" w:hAnsi="Palatino Linotype" w:cs="Arial"/>
        </w:rPr>
      </w:pPr>
    </w:p>
    <w:p w14:paraId="2EEFAE61" w14:textId="5120BE6A" w:rsidR="00765786" w:rsidRDefault="00765786" w:rsidP="00765786">
      <w:pPr>
        <w:pStyle w:val="Prrafodelista"/>
        <w:numPr>
          <w:ilvl w:val="0"/>
          <w:numId w:val="1"/>
        </w:numPr>
        <w:tabs>
          <w:tab w:val="left" w:pos="567"/>
        </w:tabs>
        <w:spacing w:line="360" w:lineRule="auto"/>
        <w:jc w:val="both"/>
        <w:rPr>
          <w:rFonts w:ascii="Palatino Linotype" w:eastAsia="Calibri" w:hAnsi="Palatino Linotype" w:cs="Arial"/>
        </w:rPr>
      </w:pPr>
      <w:r w:rsidRPr="00B86F21">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w:t>
      </w:r>
      <w:r>
        <w:rPr>
          <w:rFonts w:ascii="Palatino Linotype" w:eastAsia="Calibri" w:hAnsi="Palatino Linotype" w:cs="Arial"/>
        </w:rPr>
        <w:t>ella, tan es así que entregó parte de los documentos solicitados.</w:t>
      </w:r>
    </w:p>
    <w:p w14:paraId="78A401D3" w14:textId="77777777" w:rsidR="00765786" w:rsidRPr="00765786" w:rsidRDefault="00765786" w:rsidP="00765786">
      <w:pPr>
        <w:pStyle w:val="Prrafodelista"/>
        <w:spacing w:line="360" w:lineRule="auto"/>
        <w:ind w:left="0"/>
        <w:jc w:val="both"/>
        <w:rPr>
          <w:rFonts w:ascii="Palatino Linotype" w:eastAsia="MS Mincho" w:hAnsi="Palatino Linotype"/>
        </w:rPr>
      </w:pPr>
    </w:p>
    <w:p w14:paraId="48434E95" w14:textId="77777777" w:rsidR="00765786" w:rsidRPr="00765786" w:rsidRDefault="00765786" w:rsidP="00C160D4">
      <w:pPr>
        <w:pStyle w:val="Prrafodelista"/>
        <w:numPr>
          <w:ilvl w:val="0"/>
          <w:numId w:val="1"/>
        </w:numPr>
        <w:spacing w:line="360" w:lineRule="auto"/>
        <w:jc w:val="both"/>
        <w:rPr>
          <w:rFonts w:ascii="Palatino Linotype" w:eastAsia="MS Mincho" w:hAnsi="Palatino Linotype"/>
        </w:rPr>
      </w:pPr>
      <w:r>
        <w:rPr>
          <w:rFonts w:ascii="Palatino Linotype" w:eastAsia="Palatino Linotype" w:hAnsi="Palatino Linotype" w:cs="Palatino Linotype"/>
        </w:rPr>
        <w:t>Para una mejor referencia de lo que fue requerido por el particular, frente a lo que fue proporcionado por el Sujeto Obligado, es necesario realizar el siguiente recuadro:</w:t>
      </w:r>
    </w:p>
    <w:p w14:paraId="592A9679" w14:textId="77777777" w:rsidR="00765786" w:rsidRPr="00765786" w:rsidRDefault="00765786" w:rsidP="00765786">
      <w:pPr>
        <w:pStyle w:val="Prrafodelista"/>
        <w:rPr>
          <w:rFonts w:ascii="Palatino Linotype" w:eastAsia="Palatino Linotype" w:hAnsi="Palatino Linotype" w:cs="Palatino Linotype"/>
        </w:rPr>
      </w:pPr>
    </w:p>
    <w:p w14:paraId="6C92B0F5" w14:textId="77777777" w:rsidR="00765786" w:rsidRDefault="00765786" w:rsidP="00765786">
      <w:pPr>
        <w:pStyle w:val="Prrafodelista"/>
        <w:spacing w:line="360" w:lineRule="auto"/>
        <w:ind w:left="0"/>
        <w:jc w:val="both"/>
        <w:rPr>
          <w:rFonts w:ascii="Palatino Linotype" w:eastAsia="Palatino Linotype" w:hAnsi="Palatino Linotype" w:cs="Palatino Linotype"/>
        </w:rPr>
      </w:pPr>
    </w:p>
    <w:p w14:paraId="355C912E" w14:textId="77777777" w:rsidR="00765786" w:rsidRDefault="00765786" w:rsidP="00765786">
      <w:pPr>
        <w:pStyle w:val="Prrafodelista"/>
        <w:spacing w:line="360" w:lineRule="auto"/>
        <w:ind w:left="0"/>
        <w:jc w:val="both"/>
        <w:rPr>
          <w:rFonts w:ascii="Palatino Linotype" w:eastAsia="Palatino Linotype" w:hAnsi="Palatino Linotype" w:cs="Palatino Linotype"/>
        </w:rPr>
      </w:pPr>
    </w:p>
    <w:p w14:paraId="47B91A60" w14:textId="77777777" w:rsidR="00765786" w:rsidRDefault="00765786" w:rsidP="00765786">
      <w:pPr>
        <w:pStyle w:val="Prrafodelista"/>
        <w:spacing w:line="360" w:lineRule="auto"/>
        <w:ind w:left="0"/>
        <w:jc w:val="both"/>
        <w:rPr>
          <w:rFonts w:ascii="Palatino Linotype" w:eastAsia="Palatino Linotype" w:hAnsi="Palatino Linotype" w:cs="Palatino Linotype"/>
        </w:rPr>
      </w:pPr>
    </w:p>
    <w:p w14:paraId="5B406DE3" w14:textId="77777777" w:rsidR="00765786" w:rsidRDefault="00765786" w:rsidP="00765786">
      <w:pPr>
        <w:pStyle w:val="Prrafodelista"/>
        <w:spacing w:line="360" w:lineRule="auto"/>
        <w:ind w:left="0"/>
        <w:jc w:val="both"/>
        <w:rPr>
          <w:rFonts w:ascii="Palatino Linotype" w:eastAsia="Palatino Linotype" w:hAnsi="Palatino Linotype" w:cs="Palatino Linotype"/>
        </w:rPr>
      </w:pPr>
    </w:p>
    <w:p w14:paraId="7B3B44D2" w14:textId="77777777" w:rsidR="00765786" w:rsidRDefault="00765786" w:rsidP="00765786">
      <w:pPr>
        <w:pStyle w:val="Prrafodelista"/>
        <w:spacing w:line="360" w:lineRule="auto"/>
        <w:ind w:left="0"/>
        <w:jc w:val="both"/>
        <w:rPr>
          <w:rFonts w:ascii="Palatino Linotype" w:eastAsia="Palatino Linotype" w:hAnsi="Palatino Linotype" w:cs="Palatino Linotype"/>
        </w:rPr>
      </w:pPr>
    </w:p>
    <w:p w14:paraId="5241160A" w14:textId="77777777" w:rsidR="00765786" w:rsidRDefault="00765786" w:rsidP="00765786">
      <w:pPr>
        <w:pStyle w:val="Prrafodelista"/>
        <w:spacing w:line="360" w:lineRule="auto"/>
        <w:ind w:left="0"/>
        <w:jc w:val="both"/>
        <w:rPr>
          <w:rFonts w:ascii="Palatino Linotype" w:eastAsia="Palatino Linotype" w:hAnsi="Palatino Linotype" w:cs="Palatino Linotype"/>
        </w:rPr>
      </w:pPr>
    </w:p>
    <w:p w14:paraId="1F928FB9" w14:textId="77777777" w:rsidR="00765786" w:rsidRDefault="00765786" w:rsidP="00765786">
      <w:pPr>
        <w:pStyle w:val="Prrafodelista"/>
        <w:spacing w:line="360" w:lineRule="auto"/>
        <w:ind w:left="0"/>
        <w:jc w:val="both"/>
        <w:rPr>
          <w:rFonts w:ascii="Palatino Linotype" w:eastAsia="Palatino Linotype" w:hAnsi="Palatino Linotype" w:cs="Palatino Linotype"/>
        </w:rPr>
      </w:pPr>
    </w:p>
    <w:tbl>
      <w:tblPr>
        <w:tblStyle w:val="Tablaconcuadrcula"/>
        <w:tblW w:w="8783" w:type="dxa"/>
        <w:tblLook w:val="04A0" w:firstRow="1" w:lastRow="0" w:firstColumn="1" w:lastColumn="0" w:noHBand="0" w:noVBand="1"/>
      </w:tblPr>
      <w:tblGrid>
        <w:gridCol w:w="3902"/>
        <w:gridCol w:w="3606"/>
        <w:gridCol w:w="1275"/>
      </w:tblGrid>
      <w:tr w:rsidR="00FE6243" w14:paraId="2C3072F0" w14:textId="77777777" w:rsidTr="00FE6243">
        <w:tc>
          <w:tcPr>
            <w:tcW w:w="3902" w:type="dxa"/>
          </w:tcPr>
          <w:p w14:paraId="19F40B80" w14:textId="0BCF1100" w:rsidR="00FE6243" w:rsidRDefault="00FE6243" w:rsidP="00765786">
            <w:pPr>
              <w:pStyle w:val="Prrafodelista"/>
              <w:spacing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Requerimiento</w:t>
            </w:r>
          </w:p>
        </w:tc>
        <w:tc>
          <w:tcPr>
            <w:tcW w:w="3606" w:type="dxa"/>
          </w:tcPr>
          <w:p w14:paraId="4269E7CB" w14:textId="4516B508" w:rsidR="00FE6243" w:rsidRDefault="00FE6243" w:rsidP="00765786">
            <w:pPr>
              <w:pStyle w:val="Prrafodelista"/>
              <w:spacing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Información proporcionada</w:t>
            </w:r>
          </w:p>
        </w:tc>
        <w:tc>
          <w:tcPr>
            <w:tcW w:w="1275" w:type="dxa"/>
          </w:tcPr>
          <w:p w14:paraId="73EE3CB8" w14:textId="6B831136" w:rsidR="00FE6243" w:rsidRDefault="00FE6243" w:rsidP="00765786">
            <w:pPr>
              <w:pStyle w:val="Prrafodelista"/>
              <w:spacing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¿Colma?</w:t>
            </w:r>
          </w:p>
        </w:tc>
      </w:tr>
      <w:tr w:rsidR="00FE6243" w14:paraId="2E63E141" w14:textId="77777777" w:rsidTr="00FE6243">
        <w:tc>
          <w:tcPr>
            <w:tcW w:w="3902" w:type="dxa"/>
          </w:tcPr>
          <w:p w14:paraId="59B61F60" w14:textId="48712128" w:rsidR="00FE6243" w:rsidRPr="00765786" w:rsidRDefault="00FE6243" w:rsidP="00765786">
            <w:pPr>
              <w:pStyle w:val="Prrafodelista"/>
              <w:spacing w:line="360" w:lineRule="auto"/>
              <w:ind w:left="0"/>
              <w:jc w:val="both"/>
              <w:rPr>
                <w:rFonts w:ascii="Palatino Linotype" w:eastAsia="Palatino Linotype" w:hAnsi="Palatino Linotype" w:cs="Palatino Linotype"/>
                <w:sz w:val="20"/>
                <w:szCs w:val="20"/>
              </w:rPr>
            </w:pPr>
            <w:r w:rsidRPr="00765786">
              <w:rPr>
                <w:rFonts w:ascii="Palatino Linotype" w:hAnsi="Palatino Linotype"/>
                <w:i/>
                <w:iCs/>
                <w:color w:val="000000" w:themeColor="text1"/>
                <w:sz w:val="20"/>
                <w:szCs w:val="20"/>
              </w:rPr>
              <w:t>Dictamen de Opinión favorable de la COPLADEMUN de la Quinta Sesión del 05 de Noviembre del 2020, del oficio DTU/COPLADEMUN/CG/SAYA/010/2020</w:t>
            </w:r>
          </w:p>
        </w:tc>
        <w:tc>
          <w:tcPr>
            <w:tcW w:w="3606" w:type="dxa"/>
          </w:tcPr>
          <w:p w14:paraId="3ADE9CF0" w14:textId="3098B53C" w:rsidR="00FE6243" w:rsidRDefault="00FE6243" w:rsidP="00765786">
            <w:pPr>
              <w:pStyle w:val="Prrafodelista"/>
              <w:spacing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Entregó el documento que contiene la opinión favorable emitido por la Comisión de Planeación para el Desarrollo Municipal 2019- 2021 de la Quinta Sesión de la Comisión de fecha 5 de noviembre de 2020.</w:t>
            </w:r>
          </w:p>
        </w:tc>
        <w:tc>
          <w:tcPr>
            <w:tcW w:w="1275" w:type="dxa"/>
          </w:tcPr>
          <w:p w14:paraId="09376EB8" w14:textId="5530C1FB" w:rsidR="00FE6243" w:rsidRDefault="00FE6243" w:rsidP="00765786">
            <w:pPr>
              <w:pStyle w:val="Prrafodelista"/>
              <w:spacing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Si colma.</w:t>
            </w:r>
          </w:p>
        </w:tc>
      </w:tr>
      <w:tr w:rsidR="00FE6243" w14:paraId="5CE093AA" w14:textId="77777777" w:rsidTr="00FE6243">
        <w:tc>
          <w:tcPr>
            <w:tcW w:w="3902" w:type="dxa"/>
          </w:tcPr>
          <w:p w14:paraId="48C54E02" w14:textId="0EC13599" w:rsidR="00FE6243" w:rsidRPr="00765786" w:rsidRDefault="00FE6243" w:rsidP="00765786">
            <w:pPr>
              <w:pStyle w:val="Prrafodelista"/>
              <w:spacing w:line="360" w:lineRule="auto"/>
              <w:ind w:left="0"/>
              <w:jc w:val="both"/>
              <w:rPr>
                <w:rFonts w:ascii="Palatino Linotype" w:eastAsia="Palatino Linotype" w:hAnsi="Palatino Linotype" w:cs="Palatino Linotype"/>
                <w:sz w:val="20"/>
                <w:szCs w:val="20"/>
              </w:rPr>
            </w:pPr>
            <w:r w:rsidRPr="00765786">
              <w:rPr>
                <w:rFonts w:ascii="Palatino Linotype" w:hAnsi="Palatino Linotype"/>
                <w:i/>
                <w:iCs/>
                <w:color w:val="000000" w:themeColor="text1"/>
                <w:sz w:val="20"/>
                <w:szCs w:val="20"/>
              </w:rPr>
              <w:t>Proyecto Arquitectónico presentado para la autorización de Cambio de Uso de Suelo número DTU/CUS/026/2020</w:t>
            </w:r>
          </w:p>
        </w:tc>
        <w:tc>
          <w:tcPr>
            <w:tcW w:w="3606" w:type="dxa"/>
          </w:tcPr>
          <w:p w14:paraId="544E82EF" w14:textId="4FEB4B99" w:rsidR="00FE6243" w:rsidRDefault="00FE6243" w:rsidP="00765786">
            <w:pPr>
              <w:pStyle w:val="Prrafodelista"/>
              <w:spacing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No se pronunció al respecto.</w:t>
            </w:r>
          </w:p>
        </w:tc>
        <w:tc>
          <w:tcPr>
            <w:tcW w:w="1275" w:type="dxa"/>
          </w:tcPr>
          <w:p w14:paraId="6301ED5A" w14:textId="2ABA22F0" w:rsidR="00FE6243" w:rsidRDefault="00FE6243" w:rsidP="00765786">
            <w:pPr>
              <w:pStyle w:val="Prrafodelista"/>
              <w:spacing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No colma</w:t>
            </w:r>
          </w:p>
        </w:tc>
      </w:tr>
      <w:tr w:rsidR="00FE6243" w14:paraId="20C2C06F" w14:textId="77777777" w:rsidTr="00FE6243">
        <w:tc>
          <w:tcPr>
            <w:tcW w:w="3902" w:type="dxa"/>
          </w:tcPr>
          <w:p w14:paraId="2E8DDA71" w14:textId="6C23937F" w:rsidR="00FE6243" w:rsidRPr="00765786" w:rsidRDefault="00FE6243" w:rsidP="00765786">
            <w:pPr>
              <w:pStyle w:val="Prrafodelista"/>
              <w:spacing w:line="360" w:lineRule="auto"/>
              <w:ind w:left="0"/>
              <w:jc w:val="both"/>
              <w:rPr>
                <w:rFonts w:ascii="Palatino Linotype" w:eastAsia="Palatino Linotype" w:hAnsi="Palatino Linotype" w:cs="Palatino Linotype"/>
                <w:sz w:val="20"/>
                <w:szCs w:val="20"/>
              </w:rPr>
            </w:pPr>
            <w:r w:rsidRPr="00765786">
              <w:rPr>
                <w:rFonts w:ascii="Palatino Linotype" w:hAnsi="Palatino Linotype"/>
                <w:i/>
                <w:iCs/>
                <w:color w:val="000000" w:themeColor="text1"/>
                <w:sz w:val="20"/>
                <w:szCs w:val="20"/>
              </w:rPr>
              <w:lastRenderedPageBreak/>
              <w:t>Licencias y Autorizaciones para la construcción de un cuarto nivel a partir del nivel de la banqueta</w:t>
            </w:r>
          </w:p>
        </w:tc>
        <w:tc>
          <w:tcPr>
            <w:tcW w:w="3606" w:type="dxa"/>
          </w:tcPr>
          <w:p w14:paraId="1301FA4B" w14:textId="5C8E4E05" w:rsidR="00FE6243" w:rsidRDefault="00FE6243" w:rsidP="00765786">
            <w:pPr>
              <w:pStyle w:val="Prrafodelista"/>
              <w:spacing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Se realizó una búsqueda en la Dirección de Transformación urbana y en los Departamentos de Licencias y Autorizaciones Urbanas y Planeación Urbana y Política Territorial sin que se localizara algún permiso o licencia en los que se autorice un cuarto nivel de dicha construcción.</w:t>
            </w:r>
          </w:p>
        </w:tc>
        <w:tc>
          <w:tcPr>
            <w:tcW w:w="1275" w:type="dxa"/>
          </w:tcPr>
          <w:p w14:paraId="4DEBCF89" w14:textId="2F93DE5C" w:rsidR="00FE6243" w:rsidRDefault="00FE6243" w:rsidP="00765786">
            <w:pPr>
              <w:pStyle w:val="Prrafodelista"/>
              <w:spacing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Si colma</w:t>
            </w:r>
          </w:p>
        </w:tc>
      </w:tr>
    </w:tbl>
    <w:p w14:paraId="787646CF" w14:textId="77777777" w:rsidR="00413D35" w:rsidRPr="00413D35" w:rsidRDefault="00413D35" w:rsidP="00413D35">
      <w:pPr>
        <w:pStyle w:val="Prrafodelista"/>
        <w:numPr>
          <w:ilvl w:val="0"/>
          <w:numId w:val="1"/>
        </w:numPr>
        <w:spacing w:line="360" w:lineRule="auto"/>
        <w:jc w:val="both"/>
        <w:rPr>
          <w:rFonts w:ascii="Palatino Linotype" w:eastAsia="MS Mincho" w:hAnsi="Palatino Linotype"/>
        </w:rPr>
      </w:pPr>
      <w:r>
        <w:rPr>
          <w:rFonts w:ascii="Palatino Linotype" w:eastAsia="Palatino Linotype" w:hAnsi="Palatino Linotype" w:cs="Palatino Linotype"/>
        </w:rPr>
        <w:t xml:space="preserve">De la respuesta del Sujeto Obligado se puede apreciar que se entregó el dictamen de opinión favorable de la COPLADEMUN con los datos que corresponden a la información de interés para el particular. Asimismo, manifestó que no se localizaron licencias y/o permisos que autoricen el cuarto nivel de dicha construcción en el domicilio de referencia por el particular. </w:t>
      </w:r>
    </w:p>
    <w:p w14:paraId="1FFC0F47" w14:textId="77777777" w:rsidR="00413D35" w:rsidRDefault="00413D35" w:rsidP="00413D35">
      <w:pPr>
        <w:pStyle w:val="Prrafodelista"/>
        <w:spacing w:line="360" w:lineRule="auto"/>
        <w:ind w:left="0"/>
        <w:jc w:val="both"/>
        <w:rPr>
          <w:rFonts w:ascii="Palatino Linotype" w:eastAsia="MS Mincho" w:hAnsi="Palatino Linotype"/>
        </w:rPr>
      </w:pPr>
    </w:p>
    <w:p w14:paraId="71EB6544" w14:textId="6C875CB2" w:rsidR="00413D35" w:rsidRPr="00413D35" w:rsidRDefault="00413D35" w:rsidP="00413D35">
      <w:pPr>
        <w:pStyle w:val="Prrafodelista"/>
        <w:numPr>
          <w:ilvl w:val="0"/>
          <w:numId w:val="1"/>
        </w:numPr>
        <w:spacing w:line="360" w:lineRule="auto"/>
        <w:jc w:val="both"/>
        <w:rPr>
          <w:rFonts w:ascii="Palatino Linotype" w:eastAsia="MS Mincho" w:hAnsi="Palatino Linotype"/>
        </w:rPr>
      </w:pPr>
      <w:r w:rsidRPr="00413D35">
        <w:rPr>
          <w:rFonts w:ascii="Palatino Linotype" w:hAnsi="Palatino Linotype"/>
          <w:lang w:val="es-ES"/>
        </w:rPr>
        <w:t xml:space="preserve">En consecuencia, </w:t>
      </w:r>
      <w:r w:rsidRPr="00413D35">
        <w:rPr>
          <w:rFonts w:ascii="Palatino Linotype" w:hAnsi="Palatino Linotype" w:cs="Arial"/>
          <w:color w:val="000000" w:themeColor="text1"/>
          <w:lang w:eastAsia="es-MX"/>
        </w:rPr>
        <w:t xml:space="preserve">es necesario </w:t>
      </w:r>
      <w:r w:rsidRPr="00413D35">
        <w:rPr>
          <w:rFonts w:ascii="Palatino Linotype" w:hAnsi="Palatino Linotype" w:cs="Arial"/>
        </w:rPr>
        <w:t>hacer referencia a l</w:t>
      </w:r>
      <w:r w:rsidRPr="00413D35">
        <w:rPr>
          <w:rFonts w:ascii="Palatino Linotype" w:hAnsi="Palatino Linotype"/>
        </w:rPr>
        <w:t>a presunción de veracidad</w:t>
      </w:r>
      <w:r w:rsidRPr="007C12AC">
        <w:rPr>
          <w:rStyle w:val="Refdenotaalpie"/>
          <w:rFonts w:ascii="Palatino Linotype" w:hAnsi="Palatino Linotype"/>
        </w:rPr>
        <w:footnoteReference w:id="6"/>
      </w:r>
      <w:r w:rsidRPr="00413D35">
        <w:rPr>
          <w:rFonts w:ascii="Palatino Linotype" w:hAnsi="Palatino Linotype"/>
        </w:rPr>
        <w:t xml:space="preserve"> supone una declaración</w:t>
      </w:r>
      <w:r w:rsidRPr="00413D35">
        <w:rPr>
          <w:rFonts w:ascii="Palatino Linotype" w:hAnsi="Palatino Linotype"/>
          <w:lang w:val="es-ES"/>
        </w:rPr>
        <w:t xml:space="preserve"> </w:t>
      </w:r>
      <w:r w:rsidRPr="00413D35">
        <w:rPr>
          <w:rFonts w:ascii="Palatino Linotype" w:hAnsi="Palatino Linotype"/>
          <w:i/>
        </w:rPr>
        <w:t>iurus tantum</w:t>
      </w:r>
      <w:r w:rsidRPr="00413D35">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6E98C62E" w14:textId="77777777" w:rsidR="00413D35" w:rsidRPr="007C12AC" w:rsidRDefault="00413D35" w:rsidP="00413D35">
      <w:pPr>
        <w:pStyle w:val="Prrafodelista"/>
        <w:rPr>
          <w:rFonts w:ascii="Palatino Linotype" w:hAnsi="Palatino Linotype"/>
        </w:rPr>
      </w:pPr>
    </w:p>
    <w:p w14:paraId="75F7C2E0" w14:textId="77777777" w:rsidR="00413D35" w:rsidRPr="007C12AC" w:rsidRDefault="00413D35" w:rsidP="00413D35">
      <w:pPr>
        <w:pStyle w:val="Prrafodelista"/>
        <w:numPr>
          <w:ilvl w:val="0"/>
          <w:numId w:val="1"/>
        </w:numPr>
        <w:spacing w:line="360" w:lineRule="auto"/>
        <w:jc w:val="both"/>
        <w:rPr>
          <w:rFonts w:ascii="Palatino Linotype" w:hAnsi="Palatino Linotype"/>
        </w:rPr>
      </w:pPr>
      <w:r w:rsidRPr="007C12AC">
        <w:rPr>
          <w:rFonts w:ascii="Palatino Linotype" w:hAnsi="Palatino Linotype"/>
        </w:rPr>
        <w:lastRenderedPageBreak/>
        <w:t>Sirve de apoyo a lo anterior por analogía el criterio 31-10 emitido por el entonces Instituto Federal de Acceso a la Información y Protección de Datos, que a la letra dice:</w:t>
      </w:r>
    </w:p>
    <w:p w14:paraId="3CFC086E" w14:textId="77777777" w:rsidR="00413D35" w:rsidRPr="004F0D36" w:rsidRDefault="00413D35" w:rsidP="00413D35">
      <w:pPr>
        <w:pStyle w:val="Prrafodelista"/>
        <w:rPr>
          <w:rFonts w:ascii="Palatino Linotype" w:hAnsi="Palatino Linotype"/>
        </w:rPr>
      </w:pPr>
    </w:p>
    <w:p w14:paraId="2BDC43F2" w14:textId="77777777" w:rsidR="00413D35" w:rsidRDefault="00413D35" w:rsidP="00413D35">
      <w:pPr>
        <w:autoSpaceDE w:val="0"/>
        <w:autoSpaceDN w:val="0"/>
        <w:adjustRightInd w:val="0"/>
        <w:spacing w:line="360" w:lineRule="auto"/>
        <w:ind w:left="567" w:right="567"/>
        <w:jc w:val="both"/>
        <w:rPr>
          <w:rFonts w:ascii="Palatino Linotype" w:hAnsi="Palatino Linotype"/>
          <w:i/>
          <w:iCs/>
          <w:sz w:val="22"/>
        </w:rPr>
      </w:pPr>
      <w:r w:rsidRPr="007C12AC">
        <w:rPr>
          <w:rFonts w:ascii="Palatino Linotype" w:hAnsi="Palatino Linotype"/>
          <w:b/>
          <w:i/>
          <w:iCs/>
          <w:sz w:val="22"/>
        </w:rPr>
        <w:t>El Instituto Federal de Acceso a la Información y Protección de Datos </w:t>
      </w:r>
      <w:r w:rsidRPr="007C12AC">
        <w:rPr>
          <w:rFonts w:ascii="Palatino Linotype" w:hAnsi="Palatino Linotype"/>
          <w:b/>
          <w:bCs/>
          <w:i/>
          <w:iCs/>
          <w:sz w:val="22"/>
        </w:rPr>
        <w:t>no cuenta con facultades para pronunciarse respecto de la veracidad de los documentos proporcionados por los sujetos obligados.</w:t>
      </w:r>
      <w:r w:rsidRPr="007C12AC">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C27688A" w14:textId="77777777" w:rsidR="00413D35" w:rsidRPr="007C12AC" w:rsidRDefault="00413D35" w:rsidP="00413D35">
      <w:pPr>
        <w:autoSpaceDE w:val="0"/>
        <w:autoSpaceDN w:val="0"/>
        <w:adjustRightInd w:val="0"/>
        <w:spacing w:line="360" w:lineRule="auto"/>
        <w:ind w:left="567" w:right="567"/>
        <w:jc w:val="both"/>
        <w:rPr>
          <w:rFonts w:ascii="Palatino Linotype" w:hAnsi="Palatino Linotype"/>
          <w:i/>
          <w:iCs/>
          <w:sz w:val="22"/>
        </w:rPr>
      </w:pPr>
    </w:p>
    <w:p w14:paraId="4EE256DD" w14:textId="77777777" w:rsidR="00413D35" w:rsidRPr="007C12AC" w:rsidRDefault="00413D35" w:rsidP="00413D35">
      <w:pPr>
        <w:pStyle w:val="Prrafodelista"/>
        <w:numPr>
          <w:ilvl w:val="0"/>
          <w:numId w:val="1"/>
        </w:numPr>
        <w:spacing w:line="360" w:lineRule="auto"/>
        <w:jc w:val="both"/>
        <w:rPr>
          <w:rFonts w:ascii="Palatino Linotype" w:hAnsi="Palatino Linotype" w:cs="Arial"/>
        </w:rPr>
      </w:pPr>
      <w:r w:rsidRPr="007C12AC">
        <w:rPr>
          <w:rFonts w:ascii="Palatino Linotype" w:hAnsi="Palatino Linotype" w:cs="Arial"/>
          <w:color w:val="000000"/>
        </w:rPr>
        <w:t xml:space="preserve">Este Órgano Garante carece de facultades para dudar de la veracidad en relación a la información proporcionada, en consecuencia, se determina que la </w:t>
      </w:r>
      <w:r>
        <w:rPr>
          <w:rFonts w:ascii="Palatino Linotype" w:hAnsi="Palatino Linotype" w:cs="Arial"/>
          <w:color w:val="000000"/>
        </w:rPr>
        <w:t xml:space="preserve">información proporcionada en informe justificado complementa la respuesta otorgada y </w:t>
      </w:r>
      <w:r w:rsidRPr="007C12AC">
        <w:rPr>
          <w:rFonts w:ascii="Palatino Linotype" w:hAnsi="Palatino Linotype" w:cs="Arial"/>
          <w:color w:val="000000"/>
        </w:rPr>
        <w:t>satisface los requerimientos antes señalados</w:t>
      </w:r>
      <w:r>
        <w:rPr>
          <w:rFonts w:ascii="Palatino Linotype" w:hAnsi="Palatino Linotype" w:cs="Arial"/>
          <w:color w:val="000000"/>
        </w:rPr>
        <w:t>.</w:t>
      </w:r>
    </w:p>
    <w:p w14:paraId="7A1AD1B1" w14:textId="77777777" w:rsidR="00413D35" w:rsidRPr="00413D35" w:rsidRDefault="00413D35" w:rsidP="00413D35">
      <w:pPr>
        <w:pStyle w:val="Prrafodelista"/>
        <w:spacing w:line="360" w:lineRule="auto"/>
        <w:ind w:left="0"/>
        <w:jc w:val="both"/>
        <w:rPr>
          <w:rFonts w:ascii="Palatino Linotype" w:eastAsia="MS Mincho" w:hAnsi="Palatino Linotype"/>
        </w:rPr>
      </w:pPr>
    </w:p>
    <w:p w14:paraId="227E8521" w14:textId="4702FB46" w:rsidR="00413D35" w:rsidRPr="00C41747" w:rsidRDefault="00413D35" w:rsidP="00C41747">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Ahora bien, </w:t>
      </w:r>
      <w:r w:rsidRPr="00413D35">
        <w:rPr>
          <w:rFonts w:ascii="Palatino Linotype" w:eastAsia="MS Mincho" w:hAnsi="Palatino Linotype"/>
        </w:rPr>
        <w:t>como se observa, el Recurrente únicamente mostró su inconformidad por</w:t>
      </w:r>
      <w:r w:rsidR="00C41747">
        <w:rPr>
          <w:rFonts w:ascii="Palatino Linotype" w:eastAsia="MS Mincho" w:hAnsi="Palatino Linotype"/>
        </w:rPr>
        <w:t xml:space="preserve"> el proyecto arquitectónico y la autorización de cambio de uso de suelo, es decir, no mostró inconformidad por las licencias y/o permisos y el </w:t>
      </w:r>
      <w:r w:rsidR="00C41747">
        <w:rPr>
          <w:rFonts w:ascii="Palatino Linotype" w:eastAsia="MS Mincho" w:hAnsi="Palatino Linotype"/>
        </w:rPr>
        <w:lastRenderedPageBreak/>
        <w:t xml:space="preserve">documento que contiene la opinión favorable de la COPLADEMUN, </w:t>
      </w:r>
      <w:r w:rsidRPr="00C41747">
        <w:rPr>
          <w:rFonts w:ascii="Palatino Linotype" w:eastAsia="MS Mincho" w:hAnsi="Palatino Linotype"/>
        </w:rPr>
        <w:t xml:space="preserve">por ende, </w:t>
      </w:r>
      <w:r w:rsidRPr="00C41747">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AC60ED0" w14:textId="77777777" w:rsidR="00413D35" w:rsidRPr="002B1A41" w:rsidRDefault="00413D35" w:rsidP="00413D35">
      <w:pPr>
        <w:autoSpaceDE w:val="0"/>
        <w:autoSpaceDN w:val="0"/>
        <w:adjustRightInd w:val="0"/>
        <w:spacing w:before="240" w:after="360"/>
        <w:ind w:left="851" w:right="900"/>
        <w:jc w:val="both"/>
        <w:rPr>
          <w:rFonts w:ascii="Palatino Linotype" w:eastAsia="Calibri" w:hAnsi="Palatino Linotype" w:cs="Arial"/>
          <w:i/>
          <w:sz w:val="22"/>
        </w:rPr>
      </w:pPr>
      <w:r w:rsidRPr="002B1A41">
        <w:rPr>
          <w:rFonts w:ascii="Palatino Linotype" w:eastAsia="Calibri" w:hAnsi="Palatino Linotype" w:cs="Arial"/>
          <w:b/>
          <w:i/>
          <w:sz w:val="22"/>
        </w:rPr>
        <w:t xml:space="preserve">“REVISIÓN EN AMPARO. LOS RESOLUTIVOS NO COMBATIDOS DEBEN DECLARARSE FIRMES. </w:t>
      </w:r>
      <w:r w:rsidRPr="002B1A41">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B333ADF" w14:textId="77777777" w:rsidR="00413D35" w:rsidRDefault="00413D35" w:rsidP="00413D35">
      <w:pPr>
        <w:pStyle w:val="Prrafodelista"/>
        <w:numPr>
          <w:ilvl w:val="0"/>
          <w:numId w:val="1"/>
        </w:numPr>
        <w:spacing w:before="240" w:after="240" w:line="360" w:lineRule="auto"/>
        <w:jc w:val="both"/>
        <w:rPr>
          <w:rFonts w:ascii="Palatino Linotype" w:eastAsia="Arial Unicode MS" w:hAnsi="Palatino Linotype" w:cs="Arial"/>
        </w:rPr>
      </w:pPr>
      <w:r w:rsidRPr="0068584F">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076659DA" w14:textId="77777777" w:rsidR="00413D35" w:rsidRDefault="00413D35" w:rsidP="00413D35">
      <w:pPr>
        <w:pStyle w:val="Prrafodelista"/>
        <w:spacing w:before="240" w:after="240" w:line="360" w:lineRule="auto"/>
        <w:ind w:left="0"/>
        <w:jc w:val="both"/>
        <w:rPr>
          <w:rFonts w:ascii="Palatino Linotype" w:eastAsia="Arial Unicode MS" w:hAnsi="Palatino Linotype" w:cs="Arial"/>
        </w:rPr>
      </w:pPr>
    </w:p>
    <w:p w14:paraId="7C91B5B1" w14:textId="77777777" w:rsidR="00413D35" w:rsidRPr="001631F7" w:rsidRDefault="00413D35" w:rsidP="00413D35">
      <w:pPr>
        <w:pStyle w:val="Prrafodelista"/>
        <w:numPr>
          <w:ilvl w:val="0"/>
          <w:numId w:val="1"/>
        </w:numPr>
        <w:spacing w:before="240" w:after="240" w:line="360" w:lineRule="auto"/>
        <w:jc w:val="both"/>
        <w:rPr>
          <w:rFonts w:ascii="Palatino Linotype" w:eastAsia="Arial Unicode MS" w:hAnsi="Palatino Linotype" w:cs="Arial"/>
        </w:rPr>
      </w:pPr>
      <w:r w:rsidRPr="0068584F">
        <w:rPr>
          <w:rFonts w:ascii="Palatino Linotype" w:eastAsia="Arial Unicode MS" w:hAnsi="Palatino Linotype" w:cs="Arial"/>
        </w:rPr>
        <w:t xml:space="preserve">Sirve de sustento a lo anterior por analogía la tesis jurisprudencial número </w:t>
      </w:r>
      <w:r w:rsidRPr="0068584F">
        <w:rPr>
          <w:rFonts w:ascii="Palatino Linotype" w:eastAsia="Calibri" w:hAnsi="Palatino Linotype" w:cs="Arial"/>
        </w:rPr>
        <w:t>VI.3o.C. J/60, publicada en el Semanario Judicial de la Federación y su Gaceta bajo el número de registro 176,608 que a la letra dice:</w:t>
      </w:r>
    </w:p>
    <w:p w14:paraId="7CF43BA9" w14:textId="77777777" w:rsidR="00413D35" w:rsidRPr="001631F7" w:rsidRDefault="00413D35" w:rsidP="00413D35">
      <w:pPr>
        <w:pStyle w:val="Prrafodelista"/>
        <w:rPr>
          <w:rFonts w:ascii="Palatino Linotype" w:eastAsia="Arial Unicode MS" w:hAnsi="Palatino Linotype" w:cs="Arial"/>
        </w:rPr>
      </w:pPr>
    </w:p>
    <w:p w14:paraId="40A1C60B" w14:textId="77777777" w:rsidR="00413D35" w:rsidRDefault="00413D35" w:rsidP="00413D35">
      <w:pPr>
        <w:pStyle w:val="Prrafodelista"/>
        <w:spacing w:line="360" w:lineRule="auto"/>
        <w:ind w:left="567" w:right="616"/>
        <w:jc w:val="both"/>
        <w:rPr>
          <w:rFonts w:ascii="Palatino Linotype" w:hAnsi="Palatino Linotype" w:cs="Arial"/>
          <w:i/>
          <w:sz w:val="22"/>
        </w:rPr>
      </w:pPr>
      <w:r w:rsidRPr="002B1A41">
        <w:rPr>
          <w:rFonts w:ascii="Palatino Linotype" w:hAnsi="Palatino Linotype" w:cs="Arial"/>
          <w:b/>
          <w:bCs/>
          <w:i/>
          <w:caps/>
          <w:sz w:val="22"/>
        </w:rPr>
        <w:t xml:space="preserve">“ACTOS CONSENTIDOS. SON LOS QUE NO SE IMPUGNAN MEDIANTE EL RECURSO IDÓNEO. </w:t>
      </w:r>
      <w:r w:rsidRPr="002B1A41">
        <w:rPr>
          <w:rFonts w:ascii="Palatino Linotype" w:hAnsi="Palatino Linotype" w:cs="Arial"/>
          <w:i/>
          <w:sz w:val="22"/>
        </w:rPr>
        <w:t xml:space="preserve">Debe reputarse como consentido el acto que no se impugnó </w:t>
      </w:r>
      <w:r w:rsidRPr="002B1A41">
        <w:rPr>
          <w:rFonts w:ascii="Palatino Linotype" w:hAnsi="Palatino Linotype" w:cs="Arial"/>
          <w:i/>
          <w:sz w:val="22"/>
        </w:rPr>
        <w:lastRenderedPageBreak/>
        <w:t>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86E7A47" w14:textId="1E99DB37" w:rsidR="00C41747" w:rsidRDefault="00C41747" w:rsidP="00C41747">
      <w:pPr>
        <w:pStyle w:val="Prrafodelista"/>
        <w:spacing w:line="360" w:lineRule="auto"/>
        <w:ind w:left="0" w:right="616"/>
        <w:jc w:val="both"/>
        <w:rPr>
          <w:rFonts w:ascii="Palatino Linotype" w:eastAsia="MS Mincho" w:hAnsi="Palatino Linotype"/>
        </w:rPr>
      </w:pPr>
    </w:p>
    <w:p w14:paraId="68BDE0B0" w14:textId="6F9B165E" w:rsidR="00C41747" w:rsidRDefault="00C41747" w:rsidP="00801202">
      <w:pPr>
        <w:pStyle w:val="Prrafodelista"/>
        <w:numPr>
          <w:ilvl w:val="0"/>
          <w:numId w:val="1"/>
        </w:numPr>
        <w:spacing w:line="360" w:lineRule="auto"/>
        <w:ind w:right="49"/>
        <w:jc w:val="both"/>
        <w:rPr>
          <w:rFonts w:ascii="Palatino Linotype" w:eastAsia="MS Mincho" w:hAnsi="Palatino Linotype"/>
        </w:rPr>
      </w:pPr>
      <w:r>
        <w:rPr>
          <w:rFonts w:ascii="Palatino Linotype" w:eastAsia="MS Mincho" w:hAnsi="Palatino Linotype"/>
        </w:rPr>
        <w:t>Por lo que corresponde al Proyecto Arquitectónico, el Sujeto Obligado a través de su informe justificado manifestó que se realizó la búsqueda de la información en la Dirección de Desarrollo Urbano y no se localizó, dentro del expediente, algún documento denominado PROYECTO ARQUITECTÓNICO.</w:t>
      </w:r>
    </w:p>
    <w:p w14:paraId="18F8E1D4" w14:textId="77777777" w:rsidR="00801202" w:rsidRDefault="00801202" w:rsidP="00801202">
      <w:pPr>
        <w:pStyle w:val="Prrafodelista"/>
        <w:spacing w:line="360" w:lineRule="auto"/>
        <w:ind w:left="0" w:right="49"/>
        <w:jc w:val="both"/>
        <w:rPr>
          <w:rFonts w:ascii="Palatino Linotype" w:eastAsia="MS Mincho" w:hAnsi="Palatino Linotype"/>
        </w:rPr>
      </w:pPr>
    </w:p>
    <w:p w14:paraId="2BB61806" w14:textId="00713607" w:rsidR="00C41747" w:rsidRDefault="00C41747" w:rsidP="00801202">
      <w:pPr>
        <w:pStyle w:val="Prrafodelista"/>
        <w:numPr>
          <w:ilvl w:val="0"/>
          <w:numId w:val="1"/>
        </w:numPr>
        <w:spacing w:line="360" w:lineRule="auto"/>
        <w:ind w:right="49"/>
        <w:jc w:val="both"/>
        <w:rPr>
          <w:rFonts w:ascii="Palatino Linotype" w:eastAsia="MS Mincho" w:hAnsi="Palatino Linotype"/>
        </w:rPr>
      </w:pPr>
      <w:r>
        <w:rPr>
          <w:rFonts w:ascii="Palatino Linotype" w:eastAsia="MS Mincho" w:hAnsi="Palatino Linotype"/>
        </w:rPr>
        <w:t>Asimismo, refiere que, de acuerdo al Libro Quinto del Código Administrativo del Estado de México y su Reglamento, no contemplan como requisito para el trámite de cambio de uso de suelo la presentación de dicho Plano Arquitectónico</w:t>
      </w:r>
      <w:r w:rsidR="00801202">
        <w:rPr>
          <w:rFonts w:ascii="Palatino Linotype" w:eastAsia="MS Mincho" w:hAnsi="Palatino Linotype"/>
        </w:rPr>
        <w:t>.</w:t>
      </w:r>
    </w:p>
    <w:p w14:paraId="311CD9B0" w14:textId="77777777" w:rsidR="00801202" w:rsidRDefault="00801202" w:rsidP="00801202">
      <w:pPr>
        <w:pStyle w:val="Prrafodelista"/>
        <w:spacing w:line="360" w:lineRule="auto"/>
        <w:ind w:left="0" w:right="49"/>
        <w:jc w:val="both"/>
        <w:rPr>
          <w:rFonts w:ascii="Palatino Linotype" w:eastAsia="MS Mincho" w:hAnsi="Palatino Linotype"/>
        </w:rPr>
      </w:pPr>
    </w:p>
    <w:p w14:paraId="78DA940F" w14:textId="77777777" w:rsidR="00801202" w:rsidRDefault="00801202" w:rsidP="00801202">
      <w:pPr>
        <w:pStyle w:val="Prrafodelista"/>
        <w:numPr>
          <w:ilvl w:val="0"/>
          <w:numId w:val="1"/>
        </w:numPr>
        <w:spacing w:line="360" w:lineRule="auto"/>
        <w:ind w:right="49"/>
        <w:jc w:val="both"/>
        <w:rPr>
          <w:rFonts w:ascii="Palatino Linotype" w:eastAsia="MS Mincho" w:hAnsi="Palatino Linotype"/>
        </w:rPr>
      </w:pPr>
      <w:r>
        <w:rPr>
          <w:rFonts w:ascii="Palatino Linotype" w:eastAsia="MS Mincho" w:hAnsi="Palatino Linotype"/>
        </w:rPr>
        <w:t>En consecuencia, se hace de conocimiento al Recurrente que los Sujetos Obligados, de acuerdo a lo que establece la Ley de Transparencia y Acceso a la Información Pública del Estado de México y Municipios en sus artículos 4 y 12 indican que únicamente harán pública aquella información que obre en su posesión y en el estado en el que se encuentre, es decir, al no estar dentro de sus archivos por no ser un requisito exigible para la realización de dicho trámite, es materialmente imposible que entreguen dicha documentación.</w:t>
      </w:r>
    </w:p>
    <w:p w14:paraId="60C99C8D" w14:textId="77777777" w:rsidR="00801202" w:rsidRPr="00801202" w:rsidRDefault="00801202" w:rsidP="00801202">
      <w:pPr>
        <w:pStyle w:val="Prrafodelista"/>
        <w:rPr>
          <w:rFonts w:ascii="Palatino Linotype" w:hAnsi="Palatino Linotype"/>
          <w:iCs/>
        </w:rPr>
      </w:pPr>
    </w:p>
    <w:p w14:paraId="66B0ACEF" w14:textId="77777777" w:rsidR="00801202" w:rsidRPr="00801202" w:rsidRDefault="00801202" w:rsidP="00801202">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801202">
        <w:rPr>
          <w:rFonts w:ascii="Palatino Linotype" w:hAnsi="Palatino Linotype"/>
          <w:iCs/>
        </w:rPr>
        <w:t xml:space="preserve">Es así que, con la información que proporcionó el Sujeto Obligado mediante el informe justificado, es suficiente para satisfacer los requerimientos del particular, </w:t>
      </w:r>
      <w:r w:rsidRPr="00801202">
        <w:rPr>
          <w:rFonts w:ascii="Palatino Linotype" w:hAnsi="Palatino Linotype"/>
          <w:iCs/>
        </w:rPr>
        <w:lastRenderedPageBreak/>
        <w:t>toda vez que, se le hizo de conocimiento que no se localizó la información porque el proyecto arquitectónico no es un requisito para realizar el trámite de camb</w:t>
      </w:r>
      <w:r>
        <w:rPr>
          <w:rFonts w:ascii="Palatino Linotype" w:hAnsi="Palatino Linotype"/>
          <w:iCs/>
        </w:rPr>
        <w:t>io de uso de suelo, en consecuencia, la información no se posee.</w:t>
      </w:r>
    </w:p>
    <w:p w14:paraId="1C7A8EA0" w14:textId="77777777" w:rsidR="00801202" w:rsidRPr="00801202" w:rsidRDefault="00801202" w:rsidP="00801202">
      <w:pPr>
        <w:pStyle w:val="Prrafodelista"/>
        <w:rPr>
          <w:rFonts w:ascii="Palatino Linotype" w:hAnsi="Palatino Linotype" w:cs="Arial"/>
          <w:color w:val="000000" w:themeColor="text1"/>
        </w:rPr>
      </w:pPr>
    </w:p>
    <w:p w14:paraId="2EC96909" w14:textId="22E73F77" w:rsidR="00801202" w:rsidRPr="00801202" w:rsidRDefault="00801202" w:rsidP="00801202">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801202">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7FCF5435" w14:textId="77777777" w:rsidR="00801202" w:rsidRPr="004B7E50" w:rsidRDefault="00801202" w:rsidP="00801202">
      <w:pPr>
        <w:pStyle w:val="Prrafodelista"/>
        <w:tabs>
          <w:tab w:val="left" w:pos="426"/>
        </w:tabs>
        <w:spacing w:before="240" w:after="240" w:line="360" w:lineRule="auto"/>
        <w:ind w:left="567" w:right="567"/>
        <w:jc w:val="both"/>
        <w:rPr>
          <w:rFonts w:ascii="Palatino Linotype" w:hAnsi="Palatino Linotype" w:cs="Arial"/>
          <w:i/>
        </w:rPr>
      </w:pPr>
      <w:r w:rsidRPr="004B7E50">
        <w:rPr>
          <w:rFonts w:ascii="Palatino Linotype" w:hAnsi="Palatino Linotype" w:cs="Arial"/>
          <w:i/>
        </w:rPr>
        <w:t>“</w:t>
      </w:r>
      <w:r w:rsidRPr="004B7E50">
        <w:rPr>
          <w:rFonts w:ascii="Palatino Linotype" w:hAnsi="Palatino Linotype" w:cs="Arial"/>
          <w:b/>
          <w:i/>
        </w:rPr>
        <w:t>HECHOS NEGATIVOS, NO SON SUSCEPTIBLES DE DEMOSTRACION.</w:t>
      </w:r>
      <w:r w:rsidRPr="004B7E50">
        <w:rPr>
          <w:rFonts w:ascii="Palatino Linotype" w:hAnsi="Palatino Linotype" w:cs="Arial"/>
          <w:i/>
        </w:rPr>
        <w:t xml:space="preserve"> </w:t>
      </w:r>
      <w:r w:rsidRPr="004B7E50">
        <w:rPr>
          <w:rFonts w:ascii="Palatino Linotype" w:hAnsi="Palatino Linotype" w:cs="Arial"/>
          <w:b/>
          <w:i/>
        </w:rPr>
        <w:t>Tratándose de un hecho negativo, el Juez no tiene por que invocar prueba alguna de la que se desprenda</w:t>
      </w:r>
      <w:r w:rsidRPr="004B7E50">
        <w:rPr>
          <w:rFonts w:ascii="Palatino Linotype" w:hAnsi="Palatino Linotype" w:cs="Arial"/>
          <w:i/>
        </w:rPr>
        <w:t>, ya que es bien sabido que esta clase de hechos no son susceptibles de demostración.”</w:t>
      </w:r>
    </w:p>
    <w:p w14:paraId="4FDE8291" w14:textId="77777777" w:rsidR="00801202" w:rsidRPr="004B7E50" w:rsidRDefault="00801202" w:rsidP="00801202">
      <w:pPr>
        <w:pStyle w:val="Prrafodelista"/>
        <w:tabs>
          <w:tab w:val="left" w:pos="426"/>
        </w:tabs>
        <w:spacing w:before="240" w:after="240" w:line="360" w:lineRule="auto"/>
        <w:ind w:left="567" w:right="567"/>
        <w:jc w:val="both"/>
        <w:rPr>
          <w:rFonts w:ascii="Palatino Linotype" w:hAnsi="Palatino Linotype" w:cs="Arial"/>
          <w:i/>
        </w:rPr>
      </w:pPr>
    </w:p>
    <w:p w14:paraId="2643E4B2" w14:textId="77777777" w:rsidR="00801202" w:rsidRPr="004B7E50" w:rsidRDefault="00801202" w:rsidP="00801202">
      <w:pPr>
        <w:pStyle w:val="Prrafodelista"/>
        <w:tabs>
          <w:tab w:val="left" w:pos="426"/>
        </w:tabs>
        <w:spacing w:before="240" w:after="240" w:line="360" w:lineRule="auto"/>
        <w:ind w:left="567" w:right="567"/>
        <w:jc w:val="both"/>
        <w:rPr>
          <w:rFonts w:ascii="Palatino Linotype" w:hAnsi="Palatino Linotype" w:cs="Arial"/>
          <w:i/>
        </w:rPr>
      </w:pPr>
      <w:r w:rsidRPr="004B7E50">
        <w:rPr>
          <w:rFonts w:ascii="Palatino Linotype" w:hAnsi="Palatino Linotype" w:cs="Arial"/>
          <w:i/>
        </w:rPr>
        <w:t>“</w:t>
      </w:r>
      <w:r w:rsidRPr="004B7E50">
        <w:rPr>
          <w:rFonts w:ascii="Palatino Linotype" w:hAnsi="Palatino Linotype" w:cs="Arial"/>
          <w:b/>
          <w:i/>
        </w:rPr>
        <w:t>INEXISTENCIA DE LA INFORMACIÓN. EL COMITÉ DE ACCESO A LA INFORMACIÓN PUEDE DECLARARLA ANTE SU EVIDENCIA, SIN NECESIDAD DE DICTAR MEDIDAS PARA SU LOCALIZACIÓN.</w:t>
      </w:r>
      <w:r w:rsidRPr="004B7E50">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w:t>
      </w:r>
      <w:r w:rsidRPr="004B7E50">
        <w:rPr>
          <w:rFonts w:ascii="Palatino Linotype" w:hAnsi="Palatino Linotype" w:cs="Arial"/>
          <w:i/>
        </w:rPr>
        <w:lastRenderedPageBreak/>
        <w:t>concluir que cua</w:t>
      </w:r>
      <w:r w:rsidRPr="004B7E50">
        <w:rPr>
          <w:rFonts w:ascii="Palatino Linotype" w:hAnsi="Palatino Linotype" w:cs="Arial"/>
          <w:b/>
          <w:i/>
        </w:rPr>
        <w:t>ndo la referida Unidad señala, o</w:t>
      </w:r>
      <w:r w:rsidRPr="004B7E50">
        <w:rPr>
          <w:rFonts w:ascii="Palatino Linotype" w:hAnsi="Palatino Linotype" w:cs="Arial"/>
          <w:i/>
        </w:rPr>
        <w:t xml:space="preserve"> el mencionado Comité </w:t>
      </w:r>
      <w:r w:rsidRPr="004B7E50">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4B7E50">
        <w:rPr>
          <w:rFonts w:ascii="Palatino Linotype" w:hAnsi="Palatino Linotype" w:cs="Arial"/>
          <w:i/>
        </w:rPr>
        <w:t>”</w:t>
      </w:r>
    </w:p>
    <w:p w14:paraId="15A94959" w14:textId="77777777" w:rsidR="00801202" w:rsidRPr="004B7E50" w:rsidRDefault="00801202" w:rsidP="00801202">
      <w:pPr>
        <w:pStyle w:val="Prrafodelista"/>
        <w:tabs>
          <w:tab w:val="left" w:pos="426"/>
        </w:tabs>
        <w:spacing w:line="360" w:lineRule="auto"/>
        <w:ind w:left="567" w:right="567"/>
        <w:jc w:val="both"/>
        <w:rPr>
          <w:rFonts w:ascii="Palatino Linotype" w:hAnsi="Palatino Linotype" w:cs="Arial"/>
          <w:iCs/>
        </w:rPr>
      </w:pPr>
      <w:r w:rsidRPr="004B7E50">
        <w:rPr>
          <w:rFonts w:ascii="Palatino Linotype" w:hAnsi="Palatino Linotype" w:cs="Arial"/>
          <w:iCs/>
        </w:rPr>
        <w:t>(Énfasis añadido)</w:t>
      </w:r>
    </w:p>
    <w:p w14:paraId="1A6F9627" w14:textId="77777777" w:rsidR="00801202" w:rsidRPr="004B7E50" w:rsidRDefault="00801202" w:rsidP="00801202">
      <w:pPr>
        <w:tabs>
          <w:tab w:val="left" w:pos="426"/>
        </w:tabs>
        <w:spacing w:line="360" w:lineRule="auto"/>
        <w:ind w:right="49"/>
        <w:contextualSpacing/>
        <w:jc w:val="both"/>
        <w:rPr>
          <w:rFonts w:ascii="Palatino Linotype" w:hAnsi="Palatino Linotype" w:cs="Arial"/>
          <w:color w:val="000000" w:themeColor="text1"/>
        </w:rPr>
      </w:pPr>
    </w:p>
    <w:p w14:paraId="45E02032" w14:textId="7140A46B" w:rsidR="00801202" w:rsidRPr="00801202" w:rsidRDefault="00801202" w:rsidP="00801202">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801202">
        <w:rPr>
          <w:rFonts w:ascii="Palatino Linotype" w:hAnsi="Palatino Linotype" w:cs="Arial"/>
          <w:color w:val="000000" w:themeColor="text1"/>
        </w:rPr>
        <w:t>Razones por las que no ha lugar a ordenar un Acuerdo de Inexistencia, ya que como lo señaló el Sujeto Obligado, no se encontró información que se relacione con lo requerido por el particular y no se trata de información que haya existido y por alguna razón ya no exista, o bien, se trate de información que de manera obligatoria deba generar el Sujeto Obligado.</w:t>
      </w:r>
    </w:p>
    <w:p w14:paraId="60C05400" w14:textId="0C3A38BD" w:rsidR="00C41747" w:rsidRPr="004A7883" w:rsidRDefault="00C41747" w:rsidP="00C41747">
      <w:pPr>
        <w:pStyle w:val="Ttulo3"/>
        <w:rPr>
          <w:rFonts w:ascii="Palatino Linotype" w:hAnsi="Palatino Linotype"/>
          <w:b/>
          <w:color w:val="auto"/>
        </w:rPr>
      </w:pPr>
      <w:r w:rsidRPr="004A7883">
        <w:rPr>
          <w:rFonts w:ascii="Palatino Linotype" w:hAnsi="Palatino Linotype"/>
          <w:b/>
          <w:color w:val="auto"/>
        </w:rPr>
        <w:t>I</w:t>
      </w:r>
      <w:r w:rsidR="00C43C34">
        <w:rPr>
          <w:rFonts w:ascii="Palatino Linotype" w:hAnsi="Palatino Linotype"/>
          <w:b/>
          <w:color w:val="auto"/>
        </w:rPr>
        <w:t>II</w:t>
      </w:r>
      <w:r w:rsidRPr="004A7883">
        <w:rPr>
          <w:rFonts w:ascii="Palatino Linotype" w:hAnsi="Palatino Linotype"/>
          <w:b/>
          <w:color w:val="auto"/>
        </w:rPr>
        <w:t>. Actualización del Sobreseimiento.</w:t>
      </w:r>
    </w:p>
    <w:p w14:paraId="4D636BED" w14:textId="77777777" w:rsidR="00C41747" w:rsidRPr="00DB7ABD" w:rsidRDefault="00C41747" w:rsidP="00C41747">
      <w:pPr>
        <w:pStyle w:val="Prrafodelista"/>
        <w:numPr>
          <w:ilvl w:val="0"/>
          <w:numId w:val="1"/>
        </w:numPr>
        <w:spacing w:before="240" w:after="240" w:line="360" w:lineRule="auto"/>
        <w:jc w:val="both"/>
        <w:rPr>
          <w:rFonts w:ascii="Palatino Linotype" w:hAnsi="Palatino Linotype" w:cs="Arial"/>
        </w:rPr>
      </w:pPr>
      <w:r w:rsidRPr="00DB7ABD">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7A303A76" w14:textId="77777777" w:rsidR="00C41747" w:rsidRPr="00BE0511" w:rsidRDefault="00C41747" w:rsidP="00C41747">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BE0511">
        <w:rPr>
          <w:rFonts w:ascii="Palatino Linotype" w:eastAsiaTheme="minorHAnsi" w:hAnsi="Palatino Linotype" w:cs="Bookman Old Style,Bold"/>
          <w:b/>
          <w:bCs/>
          <w:i/>
          <w:sz w:val="22"/>
          <w:lang w:eastAsia="en-US"/>
        </w:rPr>
        <w:t xml:space="preserve">Artículo 192. </w:t>
      </w:r>
      <w:r w:rsidRPr="00BE0511">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273FB921" w14:textId="77777777" w:rsidR="00C41747" w:rsidRPr="00BE0511" w:rsidRDefault="00C41747" w:rsidP="00C41747">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BE0511">
        <w:rPr>
          <w:rFonts w:ascii="Palatino Linotype" w:eastAsiaTheme="minorHAnsi" w:hAnsi="Palatino Linotype" w:cs="Bookman Old Style"/>
          <w:i/>
          <w:sz w:val="22"/>
          <w:lang w:eastAsia="en-US"/>
        </w:rPr>
        <w:t>…</w:t>
      </w:r>
    </w:p>
    <w:p w14:paraId="52ADEEFE" w14:textId="77777777" w:rsidR="00C41747" w:rsidRPr="00BE0511" w:rsidRDefault="00C41747" w:rsidP="00C41747">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BE0511">
        <w:rPr>
          <w:rFonts w:ascii="Palatino Linotype" w:eastAsiaTheme="minorHAnsi" w:hAnsi="Palatino Linotype" w:cs="Bookman Old Style,Bold"/>
          <w:b/>
          <w:bCs/>
          <w:i/>
          <w:sz w:val="22"/>
          <w:lang w:eastAsia="en-US"/>
        </w:rPr>
        <w:t xml:space="preserve">III. </w:t>
      </w:r>
      <w:r w:rsidRPr="00BE0511">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75B67577" w14:textId="77777777" w:rsidR="00C41747" w:rsidRPr="00DB7ABD" w:rsidRDefault="00C41747" w:rsidP="00C41747">
      <w:pPr>
        <w:pStyle w:val="Prrafodelista"/>
        <w:numPr>
          <w:ilvl w:val="0"/>
          <w:numId w:val="1"/>
        </w:numPr>
        <w:spacing w:before="240" w:after="240" w:line="360" w:lineRule="auto"/>
        <w:jc w:val="both"/>
        <w:rPr>
          <w:rFonts w:ascii="Palatino Linotype" w:eastAsia="Calibri" w:hAnsi="Palatino Linotype" w:cs="Arial"/>
          <w:lang w:val="es-ES"/>
        </w:rPr>
      </w:pPr>
      <w:r w:rsidRPr="00DB7ABD">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DB7ABD">
        <w:rPr>
          <w:rFonts w:ascii="Palatino Linotype" w:hAnsi="Palatino Linotype" w:cs="Arial"/>
          <w:b/>
        </w:rPr>
        <w:t>SUJETO OBLIGADO</w:t>
      </w:r>
      <w:r w:rsidRPr="00DB7ABD">
        <w:rPr>
          <w:rFonts w:ascii="Palatino Linotype" w:hAnsi="Palatino Linotype" w:cs="Arial"/>
        </w:rPr>
        <w:t>:</w:t>
      </w:r>
    </w:p>
    <w:p w14:paraId="73C54559" w14:textId="77777777" w:rsidR="00C41747" w:rsidRPr="00DB7ABD" w:rsidRDefault="00C41747" w:rsidP="00C41747">
      <w:pPr>
        <w:pStyle w:val="Prrafodelista"/>
        <w:spacing w:before="240" w:after="240" w:line="360" w:lineRule="auto"/>
        <w:ind w:left="0"/>
        <w:jc w:val="both"/>
        <w:rPr>
          <w:rFonts w:ascii="Palatino Linotype" w:eastAsia="Calibri" w:hAnsi="Palatino Linotype" w:cs="Arial"/>
          <w:lang w:val="es-ES"/>
        </w:rPr>
      </w:pPr>
    </w:p>
    <w:p w14:paraId="72024F8E" w14:textId="77777777" w:rsidR="00C41747" w:rsidRPr="00DB7ABD" w:rsidRDefault="00C41747" w:rsidP="00C41747">
      <w:pPr>
        <w:pStyle w:val="Prrafodelista"/>
        <w:numPr>
          <w:ilvl w:val="0"/>
          <w:numId w:val="39"/>
        </w:numPr>
        <w:spacing w:before="240" w:after="240" w:line="360" w:lineRule="auto"/>
        <w:ind w:left="567" w:right="567" w:firstLine="0"/>
        <w:jc w:val="both"/>
        <w:rPr>
          <w:rFonts w:ascii="Palatino Linotype" w:hAnsi="Palatino Linotype" w:cs="Arial"/>
        </w:rPr>
      </w:pPr>
      <w:r w:rsidRPr="00DB7ABD">
        <w:rPr>
          <w:rFonts w:ascii="Palatino Linotype" w:hAnsi="Palatino Linotype" w:cs="Arial"/>
          <w:b/>
        </w:rPr>
        <w:t>Modifique el acto impugnado:</w:t>
      </w:r>
      <w:r w:rsidRPr="00DB7ABD">
        <w:rPr>
          <w:rFonts w:ascii="Palatino Linotype" w:hAnsi="Palatino Linotype" w:cs="Arial"/>
        </w:rPr>
        <w:t xml:space="preserve"> Se actualiza cuando el </w:t>
      </w:r>
      <w:r w:rsidRPr="00DB7ABD">
        <w:rPr>
          <w:rFonts w:ascii="Palatino Linotype" w:hAnsi="Palatino Linotype" w:cs="Arial"/>
          <w:b/>
        </w:rPr>
        <w:t>SUJETO OBLIGADO</w:t>
      </w:r>
      <w:r w:rsidRPr="00DB7ABD">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DB2EDE6" w14:textId="77777777" w:rsidR="00C41747" w:rsidRPr="00DB7ABD" w:rsidRDefault="00C41747" w:rsidP="00C41747">
      <w:pPr>
        <w:pStyle w:val="Prrafodelista"/>
        <w:numPr>
          <w:ilvl w:val="0"/>
          <w:numId w:val="39"/>
        </w:numPr>
        <w:spacing w:before="240" w:after="240" w:line="360" w:lineRule="auto"/>
        <w:ind w:left="567" w:right="616" w:firstLine="0"/>
        <w:jc w:val="both"/>
        <w:rPr>
          <w:rFonts w:ascii="Palatino Linotype" w:hAnsi="Palatino Linotype" w:cs="Arial"/>
        </w:rPr>
      </w:pPr>
      <w:r w:rsidRPr="00DB7ABD">
        <w:rPr>
          <w:rFonts w:ascii="Palatino Linotype" w:hAnsi="Palatino Linotype" w:cs="Arial"/>
          <w:b/>
        </w:rPr>
        <w:t>Revoque el acto impugnado:</w:t>
      </w:r>
      <w:r w:rsidRPr="00DB7ABD">
        <w:rPr>
          <w:rFonts w:ascii="Palatino Linotype" w:hAnsi="Palatino Linotype" w:cs="Arial"/>
        </w:rPr>
        <w:t xml:space="preserve"> En este supuesto, el </w:t>
      </w:r>
      <w:r w:rsidRPr="00DB7ABD">
        <w:rPr>
          <w:rFonts w:ascii="Palatino Linotype" w:hAnsi="Palatino Linotype" w:cs="Arial"/>
          <w:b/>
        </w:rPr>
        <w:t>SUJETO OBLIGADO</w:t>
      </w:r>
      <w:r w:rsidRPr="00DB7ABD">
        <w:rPr>
          <w:rFonts w:ascii="Palatino Linotype" w:hAnsi="Palatino Linotype" w:cs="Arial"/>
        </w:rPr>
        <w:t xml:space="preserve"> deja sin efectos la primera respuesta y en su lugar emite otra que satisfaga lo solicitado por el particular en un primer momento.</w:t>
      </w:r>
    </w:p>
    <w:p w14:paraId="345D7F60" w14:textId="77777777" w:rsidR="00C41747" w:rsidRPr="00DB7ABD" w:rsidRDefault="00C41747" w:rsidP="00C41747">
      <w:pPr>
        <w:pStyle w:val="Prrafodelista"/>
        <w:spacing w:before="240" w:after="240" w:line="360" w:lineRule="auto"/>
        <w:ind w:left="567" w:right="616"/>
        <w:jc w:val="both"/>
        <w:rPr>
          <w:rFonts w:ascii="Palatino Linotype" w:hAnsi="Palatino Linotype" w:cs="Arial"/>
        </w:rPr>
      </w:pPr>
    </w:p>
    <w:p w14:paraId="01EC5228" w14:textId="77777777" w:rsidR="00C41747" w:rsidRPr="00DB7ABD" w:rsidRDefault="00C41747" w:rsidP="00C41747">
      <w:pPr>
        <w:pStyle w:val="Prrafodelista"/>
        <w:numPr>
          <w:ilvl w:val="0"/>
          <w:numId w:val="1"/>
        </w:numPr>
        <w:spacing w:before="240" w:after="240" w:line="360" w:lineRule="auto"/>
        <w:ind w:right="49"/>
        <w:jc w:val="both"/>
        <w:rPr>
          <w:rFonts w:ascii="Palatino Linotype" w:hAnsi="Palatino Linotype"/>
        </w:rPr>
      </w:pPr>
      <w:r w:rsidRPr="00DB7ABD">
        <w:rPr>
          <w:rFonts w:ascii="Palatino Linotype" w:hAnsi="Palatino Linotype" w:cs="Arial"/>
        </w:rPr>
        <w:t>Las consecuencias jurídicas de esta modificación o revocación es que el recurso de revisión interpuesto quede sin efectos o sin materia.</w:t>
      </w:r>
    </w:p>
    <w:p w14:paraId="6218788F" w14:textId="77777777" w:rsidR="00C41747" w:rsidRPr="00DB7ABD" w:rsidRDefault="00C41747" w:rsidP="00C41747">
      <w:pPr>
        <w:pStyle w:val="Prrafodelista"/>
        <w:spacing w:before="240" w:after="240" w:line="360" w:lineRule="auto"/>
        <w:ind w:left="0" w:right="49"/>
        <w:jc w:val="both"/>
        <w:rPr>
          <w:rFonts w:ascii="Palatino Linotype" w:hAnsi="Palatino Linotype"/>
        </w:rPr>
      </w:pPr>
    </w:p>
    <w:p w14:paraId="5FD5F059" w14:textId="77777777" w:rsidR="00C41747" w:rsidRPr="00DB7ABD" w:rsidRDefault="00C41747" w:rsidP="00C41747">
      <w:pPr>
        <w:pStyle w:val="Prrafodelista"/>
        <w:numPr>
          <w:ilvl w:val="0"/>
          <w:numId w:val="1"/>
        </w:numPr>
        <w:spacing w:before="240" w:after="240" w:line="360" w:lineRule="auto"/>
        <w:ind w:right="49"/>
        <w:jc w:val="both"/>
        <w:rPr>
          <w:rFonts w:ascii="Palatino Linotype" w:hAnsi="Palatino Linotype"/>
        </w:rPr>
      </w:pPr>
      <w:r w:rsidRPr="00DB7ABD">
        <w:rPr>
          <w:rFonts w:ascii="Palatino Linotype" w:hAnsi="Palatino Linotype" w:cs="Arial"/>
        </w:rPr>
        <w:t xml:space="preserve">En el presente asunto, con la información enviada a través del informe de justificación, </w:t>
      </w:r>
      <w:r w:rsidRPr="00DB7ABD">
        <w:rPr>
          <w:rFonts w:ascii="Palatino Linotype" w:hAnsi="Palatino Linotype" w:cs="Arial"/>
          <w:b/>
        </w:rPr>
        <w:t>modificó</w:t>
      </w:r>
      <w:r w:rsidRPr="00DB7ABD">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2D72747A" w14:textId="77777777" w:rsidR="00C41747" w:rsidRPr="00DB7ABD" w:rsidRDefault="00C41747" w:rsidP="00C41747">
      <w:pPr>
        <w:pStyle w:val="Prrafodelista"/>
        <w:rPr>
          <w:rFonts w:ascii="Palatino Linotype" w:hAnsi="Palatino Linotype"/>
        </w:rPr>
      </w:pPr>
    </w:p>
    <w:p w14:paraId="4F00A3CA" w14:textId="77777777" w:rsidR="00C41747" w:rsidRPr="00DB7ABD" w:rsidRDefault="00C41747" w:rsidP="00C41747">
      <w:pPr>
        <w:pStyle w:val="Prrafodelista"/>
        <w:numPr>
          <w:ilvl w:val="0"/>
          <w:numId w:val="1"/>
        </w:numPr>
        <w:spacing w:before="240" w:after="240" w:line="360" w:lineRule="auto"/>
        <w:ind w:right="49"/>
        <w:jc w:val="both"/>
        <w:rPr>
          <w:rFonts w:ascii="Palatino Linotype" w:hAnsi="Palatino Linotype"/>
        </w:rPr>
      </w:pPr>
      <w:r w:rsidRPr="00DB7ABD">
        <w:rPr>
          <w:rFonts w:ascii="Palatino Linotype" w:hAnsi="Palatino Linotype"/>
        </w:rPr>
        <w:t xml:space="preserve">De lo anterior, se aprecia que </w:t>
      </w:r>
      <w:r>
        <w:rPr>
          <w:rFonts w:ascii="Palatino Linotype" w:hAnsi="Palatino Linotype"/>
        </w:rPr>
        <w:t xml:space="preserve">la información </w:t>
      </w:r>
      <w:r w:rsidRPr="00DB7ABD">
        <w:rPr>
          <w:rFonts w:ascii="Palatino Linotype" w:hAnsi="Palatino Linotype"/>
        </w:rPr>
        <w:t xml:space="preserve">que remitió el Sujeto Obligado a través de su informe justificado, </w:t>
      </w:r>
      <w:r>
        <w:rPr>
          <w:rFonts w:ascii="Palatino Linotype" w:hAnsi="Palatino Linotype"/>
        </w:rPr>
        <w:t xml:space="preserve">complementa las respuestas y </w:t>
      </w:r>
      <w:r w:rsidRPr="00DB7ABD">
        <w:rPr>
          <w:rFonts w:ascii="Palatino Linotype" w:hAnsi="Palatino Linotype"/>
        </w:rPr>
        <w:t>atiende los motivos o razones de inconformidad que hizo valer el recurrente en</w:t>
      </w:r>
      <w:r>
        <w:rPr>
          <w:rFonts w:ascii="Palatino Linotype" w:hAnsi="Palatino Linotype"/>
        </w:rPr>
        <w:t xml:space="preserve"> los </w:t>
      </w:r>
      <w:r w:rsidRPr="00DB7ABD">
        <w:rPr>
          <w:rFonts w:ascii="Palatino Linotype" w:hAnsi="Palatino Linotype"/>
        </w:rPr>
        <w:t>recurso</w:t>
      </w:r>
      <w:r>
        <w:rPr>
          <w:rFonts w:ascii="Palatino Linotype" w:hAnsi="Palatino Linotype"/>
        </w:rPr>
        <w:t>s</w:t>
      </w:r>
      <w:r w:rsidRPr="00DB7ABD">
        <w:rPr>
          <w:rFonts w:ascii="Palatino Linotype" w:hAnsi="Palatino Linotype"/>
        </w:rPr>
        <w:t xml:space="preserve"> de revisión.</w:t>
      </w:r>
    </w:p>
    <w:p w14:paraId="66986368" w14:textId="77777777" w:rsidR="00C41747" w:rsidRPr="00DB7ABD" w:rsidRDefault="00C41747" w:rsidP="00C41747">
      <w:pPr>
        <w:pStyle w:val="Prrafodelista"/>
        <w:spacing w:before="240" w:after="240" w:line="360" w:lineRule="auto"/>
        <w:ind w:left="0" w:right="49"/>
        <w:jc w:val="both"/>
        <w:rPr>
          <w:rFonts w:ascii="Palatino Linotype" w:hAnsi="Palatino Linotype"/>
        </w:rPr>
      </w:pPr>
    </w:p>
    <w:p w14:paraId="7F2A839D" w14:textId="77777777" w:rsidR="00C41747" w:rsidRPr="00DB7ABD" w:rsidRDefault="00C41747" w:rsidP="00C41747">
      <w:pPr>
        <w:pStyle w:val="Prrafodelista"/>
        <w:numPr>
          <w:ilvl w:val="0"/>
          <w:numId w:val="1"/>
        </w:numPr>
        <w:spacing w:before="240" w:after="240" w:line="360" w:lineRule="auto"/>
        <w:ind w:right="49"/>
        <w:jc w:val="both"/>
        <w:rPr>
          <w:rFonts w:ascii="Palatino Linotype" w:hAnsi="Palatino Linotype"/>
        </w:rPr>
      </w:pPr>
      <w:r w:rsidRPr="00DB7ABD">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w:t>
      </w:r>
      <w:r w:rsidRPr="00DB7ABD">
        <w:rPr>
          <w:rFonts w:ascii="Palatino Linotype" w:hAnsi="Palatino Linotype" w:cs="Arial"/>
        </w:rPr>
        <w:lastRenderedPageBreak/>
        <w:t xml:space="preserve">los </w:t>
      </w:r>
      <w:r w:rsidRPr="00DB7ABD">
        <w:rPr>
          <w:rFonts w:ascii="Palatino Linotype" w:hAnsi="Palatino Linotype" w:cs="Arial"/>
          <w:b/>
        </w:rPr>
        <w:t>Sujetos Obligados</w:t>
      </w:r>
      <w:r w:rsidRPr="00DB7ABD">
        <w:rPr>
          <w:rFonts w:ascii="Palatino Linotype" w:hAnsi="Palatino Linotype" w:cs="Arial"/>
        </w:rPr>
        <w:t xml:space="preserve"> o la negativa de entrega de la misma, derivada de la solicitud de información pública.</w:t>
      </w:r>
    </w:p>
    <w:p w14:paraId="1D082163" w14:textId="77777777" w:rsidR="00C41747" w:rsidRPr="00DB7ABD" w:rsidRDefault="00C41747" w:rsidP="00C41747">
      <w:pPr>
        <w:pStyle w:val="Prrafodelista"/>
        <w:spacing w:before="240" w:after="240" w:line="360" w:lineRule="auto"/>
        <w:ind w:left="0" w:right="49"/>
        <w:jc w:val="both"/>
        <w:rPr>
          <w:rFonts w:ascii="Palatino Linotype" w:hAnsi="Palatino Linotype"/>
        </w:rPr>
      </w:pPr>
    </w:p>
    <w:p w14:paraId="5BF59679" w14:textId="77777777" w:rsidR="00C41747" w:rsidRPr="00DB7ABD" w:rsidRDefault="00C41747" w:rsidP="00C41747">
      <w:pPr>
        <w:pStyle w:val="Prrafodelista"/>
        <w:numPr>
          <w:ilvl w:val="0"/>
          <w:numId w:val="1"/>
        </w:numPr>
        <w:spacing w:before="240" w:after="240" w:line="360" w:lineRule="auto"/>
        <w:ind w:right="49"/>
        <w:jc w:val="both"/>
        <w:rPr>
          <w:rFonts w:ascii="Palatino Linotype" w:hAnsi="Palatino Linotype"/>
        </w:rPr>
      </w:pPr>
      <w:r w:rsidRPr="00DB7ABD">
        <w:rPr>
          <w:rFonts w:ascii="Palatino Linotype" w:hAnsi="Palatino Linotype" w:cs="Arial"/>
        </w:rPr>
        <w:t>De este modo, p</w:t>
      </w:r>
      <w:r w:rsidRPr="00DB7ABD">
        <w:rPr>
          <w:rFonts w:ascii="Palatino Linotype" w:hAnsi="Palatino Linotype"/>
        </w:rPr>
        <w:t xml:space="preserve">ara que se actualice el sobreseimiento de un recurso de revisión, el </w:t>
      </w:r>
      <w:r w:rsidRPr="00DB7ABD">
        <w:rPr>
          <w:rFonts w:ascii="Palatino Linotype" w:hAnsi="Palatino Linotype"/>
          <w:b/>
        </w:rPr>
        <w:t>SUJETO OBLIGADO</w:t>
      </w:r>
      <w:r w:rsidRPr="00DB7ABD">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779A930B" w14:textId="77777777" w:rsidR="00C41747" w:rsidRPr="00DB7ABD" w:rsidRDefault="00C41747" w:rsidP="00C41747">
      <w:pPr>
        <w:pStyle w:val="Prrafodelista"/>
        <w:spacing w:before="240" w:after="240" w:line="360" w:lineRule="auto"/>
        <w:ind w:left="0" w:right="49"/>
        <w:jc w:val="both"/>
        <w:rPr>
          <w:rFonts w:ascii="Palatino Linotype" w:hAnsi="Palatino Linotype"/>
        </w:rPr>
      </w:pPr>
    </w:p>
    <w:p w14:paraId="00080D34" w14:textId="77777777" w:rsidR="00C41747" w:rsidRPr="00DB7ABD" w:rsidRDefault="00C41747" w:rsidP="00C41747">
      <w:pPr>
        <w:pStyle w:val="Prrafodelista"/>
        <w:numPr>
          <w:ilvl w:val="0"/>
          <w:numId w:val="1"/>
        </w:numPr>
        <w:spacing w:before="240" w:after="240" w:line="360" w:lineRule="auto"/>
        <w:ind w:right="49"/>
        <w:jc w:val="both"/>
        <w:rPr>
          <w:rFonts w:ascii="Palatino Linotype" w:hAnsi="Palatino Linotype"/>
        </w:rPr>
      </w:pPr>
      <w:r w:rsidRPr="00DB7ABD">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4FEF2F46" w14:textId="77777777" w:rsidR="00C41747" w:rsidRPr="00BE0511" w:rsidRDefault="00C41747" w:rsidP="00C41747">
      <w:pPr>
        <w:spacing w:line="360" w:lineRule="auto"/>
        <w:ind w:left="567" w:right="567"/>
        <w:jc w:val="both"/>
        <w:rPr>
          <w:rFonts w:ascii="Palatino Linotype" w:hAnsi="Palatino Linotype" w:cs="Arial"/>
          <w:i/>
          <w:sz w:val="22"/>
          <w:szCs w:val="22"/>
        </w:rPr>
      </w:pPr>
      <w:r w:rsidRPr="00BE0511">
        <w:rPr>
          <w:rFonts w:ascii="Palatino Linotype" w:hAnsi="Palatino Linotype" w:cs="Arial"/>
          <w:b/>
          <w:i/>
          <w:sz w:val="22"/>
          <w:szCs w:val="22"/>
        </w:rPr>
        <w:t>SOBRESEIMIENTO EN EL JUICIO DE AMPARO DIRECTO. IMPIDE EL ESTUDIO DE LAS VIOLACIONES PROCESALES PLANTEADAS EN LOS CONCEPTOS DE VIOLACIÓN.</w:t>
      </w:r>
      <w:r w:rsidRPr="00BE0511">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5F570CA" w14:textId="77777777" w:rsidR="00C41747" w:rsidRPr="00BE0511" w:rsidRDefault="00C41747" w:rsidP="00C41747">
      <w:pPr>
        <w:spacing w:line="360" w:lineRule="auto"/>
        <w:ind w:left="567" w:right="567"/>
        <w:jc w:val="both"/>
        <w:rPr>
          <w:rFonts w:ascii="Palatino Linotype" w:hAnsi="Palatino Linotype" w:cs="Arial"/>
          <w:i/>
          <w:sz w:val="22"/>
          <w:szCs w:val="22"/>
        </w:rPr>
      </w:pPr>
      <w:r w:rsidRPr="00BE0511">
        <w:rPr>
          <w:rFonts w:ascii="Palatino Linotype" w:hAnsi="Palatino Linotype" w:cs="Arial"/>
          <w:i/>
          <w:sz w:val="22"/>
          <w:szCs w:val="22"/>
        </w:rPr>
        <w:lastRenderedPageBreak/>
        <w:t>SEPTIMO TRIBUNAL COLEGIADO EN MATERIA CIVIL DEL PRIMER CIRCUITO</w:t>
      </w:r>
    </w:p>
    <w:p w14:paraId="53F4CD1F" w14:textId="77777777" w:rsidR="00C41747" w:rsidRPr="00BE0511" w:rsidRDefault="00C41747" w:rsidP="00C41747">
      <w:pPr>
        <w:spacing w:line="360" w:lineRule="auto"/>
        <w:ind w:left="567" w:right="567"/>
        <w:jc w:val="both"/>
        <w:rPr>
          <w:rFonts w:ascii="Palatino Linotype" w:hAnsi="Palatino Linotype" w:cs="Arial"/>
          <w:i/>
          <w:sz w:val="22"/>
          <w:szCs w:val="22"/>
        </w:rPr>
      </w:pPr>
      <w:r w:rsidRPr="00BE0511">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716E12FF" w14:textId="77777777" w:rsidR="00C41747" w:rsidRPr="00BE0511" w:rsidRDefault="00C41747" w:rsidP="00C41747">
      <w:pPr>
        <w:spacing w:line="360" w:lineRule="auto"/>
        <w:jc w:val="both"/>
        <w:rPr>
          <w:rFonts w:ascii="Palatino Linotype" w:hAnsi="Palatino Linotype" w:cs="Arial"/>
        </w:rPr>
      </w:pPr>
    </w:p>
    <w:p w14:paraId="26DBC0B1" w14:textId="0C403FF5" w:rsidR="00C41747" w:rsidRPr="00DB7ABD" w:rsidRDefault="00C41747" w:rsidP="00C41747">
      <w:pPr>
        <w:pStyle w:val="Prrafodelista"/>
        <w:numPr>
          <w:ilvl w:val="0"/>
          <w:numId w:val="1"/>
        </w:numPr>
        <w:spacing w:line="360" w:lineRule="auto"/>
        <w:jc w:val="both"/>
        <w:rPr>
          <w:rFonts w:ascii="Palatino Linotype" w:hAnsi="Palatino Linotype" w:cs="Palatino Linotype"/>
        </w:rPr>
      </w:pPr>
      <w:r w:rsidRPr="00DB7ABD">
        <w:rPr>
          <w:rFonts w:ascii="Palatino Linotype" w:hAnsi="Palatino Linotype" w:cs="Arial"/>
        </w:rPr>
        <w:t xml:space="preserve">Bajo esas consideraciones, se afirma que en el recurso de revisión sujeto a estudio se actualiza la hipótesis jurídica citada, toda vez que quedó probado que el </w:t>
      </w:r>
      <w:r w:rsidRPr="00DB7ABD">
        <w:rPr>
          <w:rFonts w:ascii="Palatino Linotype" w:hAnsi="Palatino Linotype" w:cs="Arial"/>
          <w:b/>
        </w:rPr>
        <w:t>SUJETO OBLIGADO</w:t>
      </w:r>
      <w:r w:rsidRPr="00DB7ABD">
        <w:rPr>
          <w:rFonts w:ascii="Palatino Linotype" w:hAnsi="Palatino Linotype" w:cs="Arial"/>
        </w:rPr>
        <w:t xml:space="preserve"> mediante un acto posterior como lo es el Informe justificado </w:t>
      </w:r>
      <w:r w:rsidR="00801202">
        <w:rPr>
          <w:rFonts w:ascii="Palatino Linotype" w:hAnsi="Palatino Linotype" w:cs="Arial"/>
        </w:rPr>
        <w:t>indicó los motivos por los cuales no cuenta con la información requerida por el particular.</w:t>
      </w:r>
    </w:p>
    <w:p w14:paraId="270CC622" w14:textId="77777777" w:rsidR="00C41747" w:rsidRDefault="00C41747" w:rsidP="00C41747">
      <w:pPr>
        <w:pStyle w:val="Prrafodelista"/>
        <w:spacing w:line="360" w:lineRule="auto"/>
        <w:ind w:left="0"/>
        <w:jc w:val="both"/>
        <w:rPr>
          <w:rFonts w:ascii="Palatino Linotype" w:eastAsia="MS Mincho" w:hAnsi="Palatino Linotype"/>
        </w:rPr>
      </w:pPr>
    </w:p>
    <w:p w14:paraId="0499EA56" w14:textId="40177D16" w:rsidR="00C41747" w:rsidRPr="00D007D1" w:rsidRDefault="00C41747" w:rsidP="00C41747">
      <w:pPr>
        <w:pStyle w:val="Ttulo3"/>
        <w:spacing w:line="360" w:lineRule="auto"/>
        <w:rPr>
          <w:rFonts w:ascii="Palatino Linotype" w:hAnsi="Palatino Linotype"/>
          <w:b/>
          <w:bCs/>
          <w:color w:val="000000" w:themeColor="text1"/>
        </w:rPr>
      </w:pPr>
      <w:r w:rsidRPr="00D007D1">
        <w:rPr>
          <w:rFonts w:ascii="Palatino Linotype" w:hAnsi="Palatino Linotype"/>
          <w:b/>
          <w:bCs/>
          <w:color w:val="000000" w:themeColor="text1"/>
        </w:rPr>
        <w:t>I</w:t>
      </w:r>
      <w:r w:rsidR="00C43C34">
        <w:rPr>
          <w:rFonts w:ascii="Palatino Linotype" w:hAnsi="Palatino Linotype"/>
          <w:b/>
          <w:bCs/>
          <w:color w:val="000000" w:themeColor="text1"/>
        </w:rPr>
        <w:t>V</w:t>
      </w:r>
      <w:r w:rsidRPr="00D007D1">
        <w:rPr>
          <w:rFonts w:ascii="Palatino Linotype" w:hAnsi="Palatino Linotype"/>
          <w:b/>
          <w:bCs/>
          <w:color w:val="000000" w:themeColor="text1"/>
        </w:rPr>
        <w:t>. De la ampliación de la solicitud de información a través del recurso de revisión.</w:t>
      </w:r>
    </w:p>
    <w:p w14:paraId="1FBF96B2" w14:textId="77777777" w:rsidR="00C41747" w:rsidRPr="00801202" w:rsidRDefault="00C41747" w:rsidP="00C417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007D1">
        <w:rPr>
          <w:rFonts w:ascii="Palatino Linotype" w:eastAsia="Calibri" w:hAnsi="Palatino Linotype" w:cs="Tahoma"/>
          <w:bCs/>
          <w:lang w:eastAsia="en-US"/>
        </w:rPr>
        <w:t xml:space="preserve">Por último y no menos importante, no pasa desapercibido </w:t>
      </w:r>
      <w:r>
        <w:rPr>
          <w:rFonts w:ascii="Palatino Linotype" w:eastAsia="Calibri" w:hAnsi="Palatino Linotype" w:cs="Tahoma"/>
          <w:bCs/>
          <w:lang w:eastAsia="en-US"/>
        </w:rPr>
        <w:t>para</w:t>
      </w:r>
      <w:r w:rsidRPr="00D007D1">
        <w:rPr>
          <w:rFonts w:ascii="Palatino Linotype" w:eastAsia="Calibri" w:hAnsi="Palatino Linotype" w:cs="Tahoma"/>
          <w:bCs/>
          <w:lang w:eastAsia="en-US"/>
        </w:rPr>
        <w:t xml:space="preserve"> este Órgano Garante que el recurrente en el apartado </w:t>
      </w:r>
      <w:r>
        <w:rPr>
          <w:rFonts w:ascii="Palatino Linotype" w:eastAsia="Calibri" w:hAnsi="Palatino Linotype" w:cs="Tahoma"/>
          <w:bCs/>
          <w:lang w:eastAsia="en-US"/>
        </w:rPr>
        <w:t>“Razones o motivos de inconformidad”:</w:t>
      </w:r>
    </w:p>
    <w:p w14:paraId="5C705AC8" w14:textId="77777777" w:rsidR="00801202" w:rsidRPr="00D007D1" w:rsidRDefault="00801202" w:rsidP="00801202">
      <w:pPr>
        <w:pStyle w:val="Prrafodelista"/>
        <w:tabs>
          <w:tab w:val="left" w:pos="426"/>
        </w:tabs>
        <w:spacing w:before="240" w:after="240" w:line="360" w:lineRule="auto"/>
        <w:ind w:left="0" w:right="51"/>
        <w:jc w:val="both"/>
        <w:rPr>
          <w:rFonts w:ascii="Palatino Linotype" w:hAnsi="Palatino Linotype"/>
          <w:color w:val="000000" w:themeColor="text1"/>
        </w:rPr>
      </w:pPr>
    </w:p>
    <w:p w14:paraId="14050003" w14:textId="4F752745" w:rsidR="00C41747" w:rsidRPr="00B77310" w:rsidRDefault="00C41747" w:rsidP="00C41747">
      <w:pPr>
        <w:pStyle w:val="Prrafodelista"/>
        <w:spacing w:line="360" w:lineRule="auto"/>
        <w:ind w:left="567" w:right="567"/>
        <w:jc w:val="both"/>
        <w:rPr>
          <w:rFonts w:ascii="Palatino Linotype" w:hAnsi="Palatino Linotype"/>
          <w:b/>
          <w:bCs/>
          <w:i/>
          <w:sz w:val="22"/>
        </w:rPr>
      </w:pPr>
      <w:r w:rsidRPr="007C5B45">
        <w:rPr>
          <w:rFonts w:ascii="Palatino Linotype" w:eastAsia="Calibri" w:hAnsi="Palatino Linotype" w:cs="Tahoma"/>
          <w:bCs/>
          <w:i/>
          <w:sz w:val="22"/>
          <w:lang w:eastAsia="en-US"/>
        </w:rPr>
        <w:t>“</w:t>
      </w:r>
      <w:r w:rsidR="00801202" w:rsidRPr="00801202">
        <w:rPr>
          <w:rFonts w:ascii="Palatino Linotype" w:hAnsi="Palatino Linotype"/>
          <w:i/>
          <w:sz w:val="22"/>
          <w:szCs w:val="14"/>
          <w:lang w:eastAsia="es-MX"/>
        </w:rPr>
        <w:t xml:space="preserve">Considero que la información que me fue entregada no está completa toda vez que en la respuesta no me mandan el proyecto arquitectonico por el cual se autorizó el cambio de uso de suelo del edificio mencionado en la solicitud. </w:t>
      </w:r>
      <w:r w:rsidR="00801202" w:rsidRPr="00801202">
        <w:rPr>
          <w:rFonts w:ascii="Palatino Linotype" w:hAnsi="Palatino Linotype"/>
          <w:b/>
          <w:i/>
          <w:sz w:val="22"/>
          <w:szCs w:val="14"/>
          <w:lang w:eastAsia="es-MX"/>
        </w:rPr>
        <w:t>La autorización de Cambio de Uso de Suelo numero DTU/CUS/026/2020</w:t>
      </w:r>
      <w:r w:rsidR="00801202" w:rsidRPr="00801202">
        <w:rPr>
          <w:rFonts w:ascii="Palatino Linotype" w:hAnsi="Palatino Linotype"/>
          <w:i/>
          <w:sz w:val="22"/>
          <w:szCs w:val="14"/>
          <w:lang w:eastAsia="es-MX"/>
        </w:rPr>
        <w:t>. Requiero que se me hagan las notificaciones al correo odd.odyssey@yandex.com. Anexo pruebas de respuesta y notificación. Gracias.</w:t>
      </w:r>
      <w:r w:rsidRPr="00B77310">
        <w:rPr>
          <w:rFonts w:ascii="Palatino Linotype" w:hAnsi="Palatino Linotype"/>
          <w:b/>
          <w:bCs/>
          <w:i/>
          <w:sz w:val="22"/>
        </w:rPr>
        <w:t>” (sic)</w:t>
      </w:r>
    </w:p>
    <w:p w14:paraId="1EDE224C" w14:textId="77777777" w:rsidR="00C41747" w:rsidRPr="00B9068E" w:rsidRDefault="00C41747" w:rsidP="00C41747">
      <w:pPr>
        <w:pStyle w:val="Prrafodelista"/>
        <w:spacing w:line="360" w:lineRule="auto"/>
        <w:ind w:left="567" w:right="567"/>
        <w:jc w:val="both"/>
        <w:rPr>
          <w:rFonts w:ascii="Palatino Linotype" w:hAnsi="Palatino Linotype"/>
          <w:i/>
        </w:rPr>
      </w:pPr>
    </w:p>
    <w:p w14:paraId="4AD681B8" w14:textId="77777777" w:rsidR="00C41747" w:rsidRDefault="00C41747" w:rsidP="00C41747">
      <w:pPr>
        <w:pStyle w:val="Prrafodelista"/>
        <w:numPr>
          <w:ilvl w:val="0"/>
          <w:numId w:val="1"/>
        </w:numPr>
        <w:spacing w:line="360" w:lineRule="auto"/>
        <w:ind w:right="-93"/>
        <w:jc w:val="both"/>
        <w:rPr>
          <w:rFonts w:ascii="Palatino Linotype" w:eastAsia="Calibri" w:hAnsi="Palatino Linotype" w:cs="Tahoma"/>
          <w:bCs/>
          <w:lang w:eastAsia="en-US"/>
        </w:rPr>
      </w:pPr>
      <w:r w:rsidRPr="00B9068E">
        <w:rPr>
          <w:rFonts w:ascii="Palatino Linotype" w:eastAsia="Calibri" w:hAnsi="Palatino Linotype" w:cs="Tahoma"/>
          <w:bCs/>
          <w:lang w:eastAsia="en-US"/>
        </w:rPr>
        <w:lastRenderedPageBreak/>
        <w:t>De la</w:t>
      </w:r>
      <w:r>
        <w:rPr>
          <w:rFonts w:ascii="Palatino Linotype" w:eastAsia="Calibri" w:hAnsi="Palatino Linotype" w:cs="Tahoma"/>
          <w:bCs/>
          <w:lang w:eastAsia="en-US"/>
        </w:rPr>
        <w:t xml:space="preserve"> simple lectura del acto impugnado se aprecia que, corresponde a información adicional a lo requerido en la solicitud inicial.</w:t>
      </w:r>
    </w:p>
    <w:p w14:paraId="223B4DF5" w14:textId="77777777" w:rsidR="00C41747" w:rsidRDefault="00C41747" w:rsidP="00C41747">
      <w:pPr>
        <w:pStyle w:val="Prrafodelista"/>
        <w:spacing w:line="360" w:lineRule="auto"/>
        <w:ind w:left="0" w:right="-93"/>
        <w:jc w:val="both"/>
        <w:rPr>
          <w:rFonts w:ascii="Palatino Linotype" w:eastAsia="Calibri" w:hAnsi="Palatino Linotype" w:cs="Tahoma"/>
          <w:bCs/>
          <w:lang w:eastAsia="en-US"/>
        </w:rPr>
      </w:pPr>
    </w:p>
    <w:p w14:paraId="582A68E0" w14:textId="77777777" w:rsidR="00C41747" w:rsidRPr="00D007D1" w:rsidRDefault="00C41747" w:rsidP="00C41747">
      <w:pPr>
        <w:pStyle w:val="Prrafodelista"/>
        <w:numPr>
          <w:ilvl w:val="0"/>
          <w:numId w:val="1"/>
        </w:numPr>
        <w:spacing w:line="360" w:lineRule="auto"/>
        <w:ind w:right="-93"/>
        <w:jc w:val="both"/>
        <w:rPr>
          <w:rFonts w:ascii="Palatino Linotype" w:eastAsia="Calibri" w:hAnsi="Palatino Linotype" w:cs="Tahoma"/>
          <w:bCs/>
          <w:lang w:eastAsia="en-US"/>
        </w:rPr>
      </w:pPr>
      <w:r w:rsidRPr="00D007D1">
        <w:rPr>
          <w:rFonts w:ascii="Palatino Linotype" w:hAnsi="Palatino Linotype"/>
          <w:lang w:val="es-ES"/>
        </w:rPr>
        <w:t xml:space="preserve">Ante dicha situación, es necesario señalar que </w:t>
      </w:r>
      <w:r w:rsidRPr="00D007D1">
        <w:rPr>
          <w:rFonts w:ascii="Palatino Linotype" w:hAnsi="Palatino Linotype"/>
          <w:color w:val="222222"/>
          <w:lang w:val="es-ES" w:eastAsia="es-MX"/>
        </w:rPr>
        <w:t>el sistema de medios de impugnación en nuestro país se centra en el análisis de </w:t>
      </w:r>
      <w:r w:rsidRPr="00D007D1">
        <w:rPr>
          <w:rFonts w:ascii="Palatino Linotype" w:hAnsi="Palatino Linotype"/>
          <w:color w:val="222222"/>
          <w:u w:val="single"/>
          <w:lang w:val="es-ES" w:eastAsia="es-MX"/>
        </w:rPr>
        <w:t>los agravios o motivos de inconformidad</w:t>
      </w:r>
      <w:r w:rsidRPr="00D007D1">
        <w:rPr>
          <w:rFonts w:ascii="Palatino Linotype" w:hAnsi="Palatino Linotype"/>
          <w:color w:val="222222"/>
          <w:lang w:val="es-ES" w:eastAsia="es-MX"/>
        </w:rPr>
        <w:t>, los que </w:t>
      </w:r>
      <w:r w:rsidRPr="00D007D1">
        <w:rPr>
          <w:rFonts w:ascii="Palatino Linotype" w:hAnsi="Palatino Linotype"/>
          <w:color w:val="222222"/>
          <w:u w:val="single"/>
          <w:lang w:val="es-ES" w:eastAsia="es-MX"/>
        </w:rPr>
        <w:t>deben tener relación directa con el acto de autoridad que lo motiva</w:t>
      </w:r>
      <w:r w:rsidRPr="00D007D1">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D007D1">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6E062E0B" w14:textId="77777777" w:rsidR="00C41747" w:rsidRPr="00D007D1" w:rsidRDefault="00C41747" w:rsidP="00C41747">
      <w:pPr>
        <w:pStyle w:val="Prrafodelista"/>
        <w:rPr>
          <w:rFonts w:ascii="Palatino Linotype" w:eastAsia="Calibri" w:hAnsi="Palatino Linotype" w:cs="Tahoma"/>
          <w:bCs/>
          <w:lang w:eastAsia="en-US"/>
        </w:rPr>
      </w:pPr>
    </w:p>
    <w:p w14:paraId="7E213F93" w14:textId="77777777" w:rsidR="00C41747" w:rsidRPr="00D007D1" w:rsidRDefault="00C41747" w:rsidP="00C41747">
      <w:pPr>
        <w:pStyle w:val="Prrafodelista"/>
        <w:numPr>
          <w:ilvl w:val="0"/>
          <w:numId w:val="1"/>
        </w:numPr>
        <w:spacing w:line="360" w:lineRule="auto"/>
        <w:ind w:right="-93"/>
        <w:jc w:val="both"/>
        <w:rPr>
          <w:rFonts w:ascii="Palatino Linotype" w:eastAsia="Calibri" w:hAnsi="Palatino Linotype" w:cs="Tahoma"/>
          <w:bCs/>
          <w:lang w:eastAsia="en-US"/>
        </w:rPr>
      </w:pPr>
      <w:r w:rsidRPr="00D007D1">
        <w:rPr>
          <w:rFonts w:ascii="Palatino Linotype" w:hAnsi="Palatino Linotype"/>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5C90D3AD" w14:textId="77777777" w:rsidR="00C41747" w:rsidRPr="00B9068E" w:rsidRDefault="00C41747" w:rsidP="00C41747">
      <w:pPr>
        <w:pStyle w:val="Prrafodelista"/>
        <w:rPr>
          <w:rFonts w:ascii="Palatino Linotype" w:hAnsi="Palatino Linotype"/>
          <w:lang w:val="es-ES"/>
        </w:rPr>
      </w:pPr>
    </w:p>
    <w:p w14:paraId="3B1575A1" w14:textId="77777777" w:rsidR="00C41747" w:rsidRPr="00B9068E" w:rsidRDefault="00C41747" w:rsidP="00C41747">
      <w:pPr>
        <w:pStyle w:val="Prrafodelista"/>
        <w:tabs>
          <w:tab w:val="left" w:pos="851"/>
        </w:tabs>
        <w:ind w:left="567" w:right="567"/>
        <w:jc w:val="both"/>
        <w:rPr>
          <w:rFonts w:ascii="Palatino Linotype" w:hAnsi="Palatino Linotype" w:cs="Bookman Old Style"/>
          <w:i/>
          <w:szCs w:val="20"/>
        </w:rPr>
      </w:pPr>
      <w:r w:rsidRPr="00B9068E">
        <w:rPr>
          <w:rFonts w:ascii="Palatino Linotype" w:hAnsi="Palatino Linotype" w:cs="Bookman Old Style,Bold"/>
          <w:b/>
          <w:bCs/>
          <w:i/>
          <w:szCs w:val="20"/>
        </w:rPr>
        <w:t xml:space="preserve">Artículo 191. </w:t>
      </w:r>
      <w:r w:rsidRPr="00B9068E">
        <w:rPr>
          <w:rFonts w:ascii="Palatino Linotype" w:hAnsi="Palatino Linotype" w:cs="Bookman Old Style"/>
          <w:i/>
          <w:szCs w:val="20"/>
        </w:rPr>
        <w:t>El recurso será desechado por improcedente cuando:</w:t>
      </w:r>
    </w:p>
    <w:p w14:paraId="414E7CE7" w14:textId="77777777" w:rsidR="00C41747" w:rsidRPr="00B9068E" w:rsidRDefault="00C41747" w:rsidP="00C41747">
      <w:pPr>
        <w:pStyle w:val="Prrafodelista"/>
        <w:tabs>
          <w:tab w:val="left" w:pos="851"/>
        </w:tabs>
        <w:ind w:left="567" w:right="567"/>
        <w:jc w:val="both"/>
        <w:rPr>
          <w:rFonts w:ascii="Palatino Linotype" w:hAnsi="Palatino Linotype" w:cs="Bookman Old Style"/>
          <w:i/>
          <w:szCs w:val="20"/>
        </w:rPr>
      </w:pPr>
      <w:r w:rsidRPr="00B9068E">
        <w:rPr>
          <w:rFonts w:ascii="Palatino Linotype" w:hAnsi="Palatino Linotype" w:cs="Bookman Old Style"/>
          <w:i/>
          <w:szCs w:val="20"/>
        </w:rPr>
        <w:t>…</w:t>
      </w:r>
    </w:p>
    <w:p w14:paraId="7B1A7478" w14:textId="77777777" w:rsidR="00C41747" w:rsidRPr="00B9068E" w:rsidRDefault="00C41747" w:rsidP="00C41747">
      <w:pPr>
        <w:autoSpaceDE w:val="0"/>
        <w:autoSpaceDN w:val="0"/>
        <w:adjustRightInd w:val="0"/>
        <w:ind w:left="567" w:right="567"/>
        <w:rPr>
          <w:rFonts w:ascii="Palatino Linotype" w:hAnsi="Palatino Linotype"/>
          <w:i/>
          <w:sz w:val="28"/>
          <w:lang w:val="es-ES"/>
        </w:rPr>
      </w:pPr>
      <w:r w:rsidRPr="00B9068E">
        <w:rPr>
          <w:rFonts w:ascii="Palatino Linotype" w:hAnsi="Palatino Linotype" w:cs="Bookman Old Style,Bold"/>
          <w:b/>
          <w:bCs/>
          <w:i/>
          <w:sz w:val="22"/>
        </w:rPr>
        <w:t xml:space="preserve">VII. </w:t>
      </w:r>
      <w:r w:rsidRPr="00B9068E">
        <w:rPr>
          <w:rFonts w:ascii="Palatino Linotype" w:hAnsi="Palatino Linotype" w:cs="Bookman Old Style"/>
          <w:i/>
          <w:sz w:val="22"/>
        </w:rPr>
        <w:t>El recurrente amplíe su solicitud en el recurso de revisión, únicamente respecto de los nuevos contenidos.</w:t>
      </w:r>
    </w:p>
    <w:p w14:paraId="40F31588" w14:textId="77777777" w:rsidR="00C41747" w:rsidRPr="00B9068E" w:rsidRDefault="00C41747" w:rsidP="00C41747">
      <w:pPr>
        <w:pStyle w:val="Prrafodelista"/>
        <w:tabs>
          <w:tab w:val="left" w:pos="851"/>
        </w:tabs>
        <w:spacing w:line="360" w:lineRule="auto"/>
        <w:ind w:left="0" w:right="49"/>
        <w:jc w:val="both"/>
        <w:rPr>
          <w:rFonts w:ascii="Palatino Linotype" w:hAnsi="Palatino Linotype"/>
          <w:lang w:val="es-ES"/>
        </w:rPr>
      </w:pPr>
    </w:p>
    <w:p w14:paraId="488DD8A6" w14:textId="1A9D1093" w:rsidR="00C41747" w:rsidRPr="00801202" w:rsidRDefault="00C41747" w:rsidP="00C41747">
      <w:pPr>
        <w:pStyle w:val="Prrafodelista"/>
        <w:numPr>
          <w:ilvl w:val="0"/>
          <w:numId w:val="1"/>
        </w:numPr>
        <w:tabs>
          <w:tab w:val="left" w:pos="851"/>
        </w:tabs>
        <w:spacing w:line="360" w:lineRule="auto"/>
        <w:ind w:right="49"/>
        <w:jc w:val="both"/>
        <w:rPr>
          <w:rFonts w:ascii="Palatino Linotype" w:hAnsi="Palatino Linotype"/>
          <w:lang w:val="es-ES"/>
        </w:rPr>
      </w:pPr>
      <w:r w:rsidRPr="00B9068E">
        <w:rPr>
          <w:rFonts w:ascii="Palatino Linotype" w:hAnsi="Palatino Linotype"/>
          <w:color w:val="222222"/>
          <w:lang w:val="es-ES" w:eastAsia="es-MX"/>
        </w:rPr>
        <w:t>Por lo anterior, resulta improcedente el referido acto impugnado, toda vez que</w:t>
      </w:r>
      <w:r w:rsidRPr="00B9068E">
        <w:rPr>
          <w:rFonts w:ascii="Palatino Linotype" w:hAnsi="Palatino Linotype"/>
          <w:color w:val="000000"/>
          <w:lang w:eastAsia="es-MX"/>
        </w:rPr>
        <w:t xml:space="preserve"> la ahora recurrente se excede dentro de su inconformidad respecto a lo </w:t>
      </w:r>
      <w:r w:rsidRPr="00B9068E">
        <w:rPr>
          <w:rFonts w:ascii="Palatino Linotype" w:hAnsi="Palatino Linotype"/>
          <w:color w:val="000000"/>
          <w:lang w:eastAsia="es-MX"/>
        </w:rPr>
        <w:lastRenderedPageBreak/>
        <w:t>requerido originalmente en la solicitud de información, siendo el caso que pretende ampliar lo solicitado de origen</w:t>
      </w:r>
      <w:r w:rsidR="00801202">
        <w:rPr>
          <w:rFonts w:ascii="Palatino Linotype" w:hAnsi="Palatino Linotype"/>
          <w:color w:val="000000"/>
          <w:lang w:eastAsia="es-MX"/>
        </w:rPr>
        <w:t xml:space="preserve"> añadiendo lo relativo a la autorización de cambio de uso de suelo</w:t>
      </w:r>
      <w:r w:rsidRPr="00B9068E">
        <w:rPr>
          <w:rFonts w:ascii="Palatino Linotype" w:hAnsi="Palatino Linotype"/>
          <w:color w:val="000000"/>
          <w:lang w:eastAsia="es-MX"/>
        </w:rPr>
        <w:t>. Lo que hace que se surta lo que en la teoría jurídica se le denomina como </w:t>
      </w:r>
      <w:r w:rsidRPr="00B9068E">
        <w:rPr>
          <w:rFonts w:ascii="Palatino Linotype" w:hAnsi="Palatino Linotype"/>
          <w:b/>
          <w:bCs/>
          <w:color w:val="000000"/>
          <w:lang w:eastAsia="es-MX"/>
        </w:rPr>
        <w:t>plus petitio</w:t>
      </w:r>
      <w:r w:rsidRPr="00B9068E">
        <w:rPr>
          <w:rFonts w:ascii="Palatino Linotype" w:hAnsi="Palatino Linotype"/>
          <w:color w:val="000000"/>
          <w:lang w:eastAsia="es-MX"/>
        </w:rPr>
        <w:t>.</w:t>
      </w:r>
    </w:p>
    <w:p w14:paraId="70FB089C" w14:textId="77777777" w:rsidR="00801202" w:rsidRPr="00801202" w:rsidRDefault="00801202" w:rsidP="00801202">
      <w:pPr>
        <w:pStyle w:val="Prrafodelista"/>
        <w:tabs>
          <w:tab w:val="left" w:pos="851"/>
        </w:tabs>
        <w:spacing w:line="360" w:lineRule="auto"/>
        <w:ind w:left="0" w:right="49"/>
        <w:jc w:val="both"/>
        <w:rPr>
          <w:rFonts w:ascii="Palatino Linotype" w:hAnsi="Palatino Linotype"/>
          <w:lang w:val="es-ES"/>
        </w:rPr>
      </w:pPr>
    </w:p>
    <w:p w14:paraId="16919632" w14:textId="3A07D409" w:rsidR="00801202" w:rsidRPr="00D007D1" w:rsidRDefault="00801202" w:rsidP="00C41747">
      <w:pPr>
        <w:pStyle w:val="Prrafodelista"/>
        <w:numPr>
          <w:ilvl w:val="0"/>
          <w:numId w:val="1"/>
        </w:numPr>
        <w:tabs>
          <w:tab w:val="left" w:pos="851"/>
        </w:tabs>
        <w:spacing w:line="360" w:lineRule="auto"/>
        <w:ind w:right="49"/>
        <w:jc w:val="both"/>
        <w:rPr>
          <w:rFonts w:ascii="Palatino Linotype" w:hAnsi="Palatino Linotype"/>
          <w:lang w:val="es-ES"/>
        </w:rPr>
      </w:pPr>
      <w:r>
        <w:rPr>
          <w:rFonts w:ascii="Palatino Linotype" w:hAnsi="Palatino Linotype"/>
          <w:color w:val="222222"/>
          <w:lang w:val="es-ES" w:eastAsia="es-MX"/>
        </w:rPr>
        <w:t>No obstante, se aprecia de la respuesta que emitió el Sujeto Obligado que la información relativa a la autorización de cambio de uso de suelo ya fue emitida, aún y cuando esta no fue requerida en la solicitud inicial.</w:t>
      </w:r>
    </w:p>
    <w:p w14:paraId="3019C36B" w14:textId="77777777" w:rsidR="00C41747" w:rsidRDefault="00C41747" w:rsidP="00C41747">
      <w:pPr>
        <w:pStyle w:val="Prrafodelista"/>
        <w:spacing w:line="360" w:lineRule="auto"/>
        <w:ind w:left="0"/>
        <w:jc w:val="both"/>
        <w:rPr>
          <w:rFonts w:ascii="Palatino Linotype" w:eastAsia="MS Mincho" w:hAnsi="Palatino Linotype"/>
        </w:rPr>
      </w:pPr>
    </w:p>
    <w:p w14:paraId="19A111DC" w14:textId="15833E4F" w:rsidR="00266588" w:rsidRPr="00A0054B"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0054B">
        <w:rPr>
          <w:rFonts w:ascii="Palatino Linotype" w:hAnsi="Palatino Linotype"/>
          <w:color w:val="000000" w:themeColor="text1"/>
          <w:lang w:val="es-ES"/>
        </w:rPr>
        <w:t xml:space="preserve">Por </w:t>
      </w:r>
      <w:r w:rsidR="00B41516" w:rsidRPr="00A0054B">
        <w:rPr>
          <w:rFonts w:ascii="Palatino Linotype" w:hAnsi="Palatino Linotype"/>
          <w:color w:val="000000" w:themeColor="text1"/>
        </w:rPr>
        <w:t xml:space="preserve">lo anteriormente expuesto y fundado, </w:t>
      </w:r>
      <w:r w:rsidR="003E6079" w:rsidRPr="00A0054B">
        <w:rPr>
          <w:rFonts w:ascii="Palatino Linotype" w:hAnsi="Palatino Linotype"/>
          <w:color w:val="000000" w:themeColor="text1"/>
        </w:rPr>
        <w:t>e</w:t>
      </w:r>
      <w:r w:rsidR="00B41516" w:rsidRPr="00A0054B">
        <w:rPr>
          <w:rFonts w:ascii="Palatino Linotype" w:hAnsi="Palatino Linotype"/>
          <w:color w:val="000000" w:themeColor="text1"/>
        </w:rPr>
        <w:t xml:space="preserve">ste </w:t>
      </w:r>
      <w:r w:rsidR="00B41516" w:rsidRPr="00A0054B">
        <w:rPr>
          <w:rFonts w:ascii="Palatino Linotype" w:hAnsi="Palatino Linotype"/>
          <w:b/>
          <w:color w:val="000000" w:themeColor="text1"/>
        </w:rPr>
        <w:t>ÓRGANO GARANTE</w:t>
      </w:r>
      <w:r w:rsidR="00B41516" w:rsidRPr="00A0054B">
        <w:rPr>
          <w:rFonts w:ascii="Palatino Linotype" w:hAnsi="Palatino Linotype"/>
          <w:color w:val="000000" w:themeColor="text1"/>
        </w:rPr>
        <w:t xml:space="preserve"> emite los siguientes:</w:t>
      </w:r>
      <w:r w:rsidR="003E6079" w:rsidRPr="00A0054B">
        <w:rPr>
          <w:rFonts w:ascii="Palatino Linotype" w:hAnsi="Palatino Linotype"/>
          <w:color w:val="000000" w:themeColor="text1"/>
        </w:rPr>
        <w:t xml:space="preserve"> </w:t>
      </w:r>
    </w:p>
    <w:p w14:paraId="18C7D92B" w14:textId="77777777" w:rsidR="009959DB" w:rsidRPr="00A0054B" w:rsidRDefault="009959DB" w:rsidP="009959DB">
      <w:pPr>
        <w:pStyle w:val="Ttulo1"/>
        <w:spacing w:line="360" w:lineRule="auto"/>
        <w:jc w:val="center"/>
        <w:rPr>
          <w:b/>
          <w:color w:val="000000" w:themeColor="text1"/>
          <w:szCs w:val="24"/>
        </w:rPr>
      </w:pPr>
      <w:bookmarkStart w:id="30" w:name="_Toc495427547"/>
      <w:bookmarkStart w:id="31" w:name="_Toc497905366"/>
      <w:bookmarkStart w:id="32" w:name="_Toc87456497"/>
      <w:r w:rsidRPr="00A0054B">
        <w:rPr>
          <w:b/>
          <w:color w:val="000000" w:themeColor="text1"/>
          <w:szCs w:val="24"/>
        </w:rPr>
        <w:t>R E S O L U T I V O S</w:t>
      </w:r>
      <w:bookmarkEnd w:id="22"/>
      <w:bookmarkEnd w:id="23"/>
      <w:bookmarkEnd w:id="30"/>
      <w:bookmarkEnd w:id="31"/>
      <w:bookmarkEnd w:id="32"/>
    </w:p>
    <w:p w14:paraId="34E2986F" w14:textId="0A134DF8" w:rsidR="00370102" w:rsidRDefault="00370102" w:rsidP="00370102">
      <w:pPr>
        <w:spacing w:line="360" w:lineRule="auto"/>
        <w:jc w:val="both"/>
        <w:rPr>
          <w:rFonts w:ascii="Palatino Linotype" w:hAnsi="Palatino Linotype" w:cs="Arial"/>
          <w:bCs/>
        </w:rPr>
      </w:pPr>
      <w:r w:rsidRPr="004B7E50">
        <w:rPr>
          <w:rFonts w:ascii="Palatino Linotype" w:hAnsi="Palatino Linotype" w:cs="Arial"/>
          <w:b/>
        </w:rPr>
        <w:t xml:space="preserve">PRIMERO. </w:t>
      </w:r>
      <w:r w:rsidRPr="00CD61A4">
        <w:rPr>
          <w:rFonts w:ascii="Palatino Linotype" w:hAnsi="Palatino Linotype" w:cs="Arial"/>
        </w:rPr>
        <w:t xml:space="preserve">Se </w:t>
      </w:r>
      <w:r>
        <w:rPr>
          <w:rFonts w:ascii="Palatino Linotype" w:hAnsi="Palatino Linotype" w:cs="Arial"/>
          <w:b/>
        </w:rPr>
        <w:t xml:space="preserve">SOBRESEE </w:t>
      </w:r>
      <w:r>
        <w:rPr>
          <w:rFonts w:ascii="Palatino Linotype" w:hAnsi="Palatino Linotype" w:cs="Arial"/>
        </w:rPr>
        <w:t>el</w:t>
      </w:r>
      <w:r w:rsidRPr="00CD61A4">
        <w:rPr>
          <w:rFonts w:ascii="Palatino Linotype" w:hAnsi="Palatino Linotype" w:cs="Arial"/>
        </w:rPr>
        <w:t xml:space="preserve"> recurso de revisión número</w:t>
      </w:r>
      <w:r>
        <w:rPr>
          <w:rFonts w:ascii="Palatino Linotype" w:hAnsi="Palatino Linotype" w:cs="Arial"/>
          <w:b/>
        </w:rPr>
        <w:t xml:space="preserve"> </w:t>
      </w:r>
      <w:r w:rsidRPr="00597563">
        <w:rPr>
          <w:rFonts w:ascii="Palatino Linotype" w:hAnsi="Palatino Linotype" w:cs="Arial"/>
          <w:b/>
          <w:bCs/>
          <w:lang w:eastAsia="es-MX"/>
        </w:rPr>
        <w:t>0</w:t>
      </w:r>
      <w:r>
        <w:rPr>
          <w:rFonts w:ascii="Palatino Linotype" w:hAnsi="Palatino Linotype" w:cs="Arial"/>
          <w:b/>
          <w:bCs/>
          <w:lang w:eastAsia="es-MX"/>
        </w:rPr>
        <w:t>0063</w:t>
      </w:r>
      <w:r w:rsidRPr="00597563">
        <w:rPr>
          <w:rFonts w:ascii="Palatino Linotype" w:hAnsi="Palatino Linotype" w:cs="Arial"/>
          <w:b/>
          <w:bCs/>
          <w:lang w:eastAsia="es-MX"/>
        </w:rPr>
        <w:t>/INFOEM/IP/RR/202</w:t>
      </w:r>
      <w:r>
        <w:rPr>
          <w:rFonts w:ascii="Palatino Linotype" w:hAnsi="Palatino Linotype" w:cs="Arial"/>
          <w:b/>
          <w:bCs/>
          <w:lang w:eastAsia="es-MX"/>
        </w:rPr>
        <w:t xml:space="preserve">2 </w:t>
      </w:r>
      <w:r>
        <w:rPr>
          <w:rFonts w:ascii="Palatino Linotype" w:hAnsi="Palatino Linotype" w:cs="Arial"/>
          <w:bCs/>
          <w:lang w:eastAsia="es-MX"/>
        </w:rPr>
        <w:t>porque al modificar su actuar a través del informe justificado y atender lo solicitado</w:t>
      </w:r>
      <w:r w:rsidRPr="00C46E68">
        <w:rPr>
          <w:rFonts w:ascii="Palatino Linotype" w:hAnsi="Palatino Linotype" w:cs="Arial"/>
          <w:bCs/>
          <w:lang w:eastAsia="es-MX"/>
        </w:rPr>
        <w:t xml:space="preserve">, </w:t>
      </w:r>
      <w:r>
        <w:rPr>
          <w:rFonts w:ascii="Palatino Linotype" w:hAnsi="Palatino Linotype" w:cs="Arial"/>
          <w:bCs/>
          <w:lang w:eastAsia="es-MX"/>
        </w:rPr>
        <w:t>el recurso</w:t>
      </w:r>
      <w:r w:rsidRPr="00C46E68">
        <w:rPr>
          <w:rFonts w:ascii="Palatino Linotype" w:hAnsi="Palatino Linotype" w:cs="Arial"/>
          <w:bCs/>
          <w:lang w:eastAsia="es-MX"/>
        </w:rPr>
        <w:t xml:space="preserve"> de revisión qued</w:t>
      </w:r>
      <w:r>
        <w:rPr>
          <w:rFonts w:ascii="Palatino Linotype" w:hAnsi="Palatino Linotype" w:cs="Arial"/>
          <w:bCs/>
          <w:lang w:eastAsia="es-MX"/>
        </w:rPr>
        <w:t>ó</w:t>
      </w:r>
      <w:r w:rsidRPr="00C46E68">
        <w:rPr>
          <w:rFonts w:ascii="Palatino Linotype" w:hAnsi="Palatino Linotype" w:cs="Arial"/>
          <w:bCs/>
          <w:lang w:eastAsia="es-MX"/>
        </w:rPr>
        <w:t xml:space="preserve"> sin materia,</w:t>
      </w:r>
      <w:r w:rsidRPr="004B7E50">
        <w:rPr>
          <w:rFonts w:ascii="Palatino Linotype" w:hAnsi="Palatino Linotype" w:cs="Arial"/>
          <w:b/>
          <w:bCs/>
          <w:sz w:val="36"/>
          <w:lang w:eastAsia="es-MX"/>
        </w:rPr>
        <w:t xml:space="preserve"> </w:t>
      </w:r>
      <w:r w:rsidRPr="004B7E50">
        <w:rPr>
          <w:rFonts w:ascii="Palatino Linotype" w:hAnsi="Palatino Linotype" w:cs="Arial"/>
          <w:bCs/>
        </w:rPr>
        <w:t xml:space="preserve">en términos del considerando </w:t>
      </w:r>
      <w:r w:rsidRPr="00CD61A4">
        <w:rPr>
          <w:rFonts w:ascii="Palatino Linotype" w:hAnsi="Palatino Linotype" w:cs="Arial"/>
          <w:b/>
          <w:bCs/>
        </w:rPr>
        <w:t>TERCERO</w:t>
      </w:r>
      <w:r w:rsidRPr="004B7E50">
        <w:rPr>
          <w:rFonts w:ascii="Palatino Linotype" w:hAnsi="Palatino Linotype" w:cs="Arial"/>
          <w:b/>
          <w:bCs/>
        </w:rPr>
        <w:t xml:space="preserve"> </w:t>
      </w:r>
      <w:r w:rsidRPr="004B7E50">
        <w:rPr>
          <w:rFonts w:ascii="Palatino Linotype" w:hAnsi="Palatino Linotype" w:cs="Arial"/>
          <w:bCs/>
        </w:rPr>
        <w:t xml:space="preserve">de la presente resolución. </w:t>
      </w:r>
    </w:p>
    <w:p w14:paraId="73FE9A76" w14:textId="77777777" w:rsidR="00370102" w:rsidRPr="004B7E50" w:rsidRDefault="00370102" w:rsidP="00370102">
      <w:pPr>
        <w:spacing w:line="360" w:lineRule="auto"/>
        <w:jc w:val="both"/>
        <w:rPr>
          <w:rFonts w:ascii="Palatino Linotype" w:hAnsi="Palatino Linotype"/>
        </w:rPr>
      </w:pPr>
    </w:p>
    <w:p w14:paraId="09788D4B" w14:textId="77777777" w:rsidR="00370102" w:rsidRPr="004B7E50" w:rsidRDefault="00370102" w:rsidP="00370102">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hAnsi="Palatino Linotype"/>
          <w:b/>
        </w:rPr>
        <w:t>SEGUNDO</w:t>
      </w:r>
      <w:r w:rsidRPr="004B7E50">
        <w:rPr>
          <w:rFonts w:ascii="Palatino Linotype" w:eastAsia="Palatino Linotype" w:hAnsi="Palatino Linotype" w:cs="Palatino Linotype"/>
          <w:b/>
        </w:rPr>
        <w:t xml:space="preserve">. REMÍTASE, </w:t>
      </w:r>
      <w:r w:rsidRPr="00CD61A4">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SUJETO OBLIGADO </w:t>
      </w:r>
      <w:r w:rsidRPr="00CD61A4">
        <w:rPr>
          <w:rFonts w:ascii="Palatino Linotype" w:eastAsia="Palatino Linotype" w:hAnsi="Palatino Linotype" w:cs="Palatino Linotype"/>
        </w:rPr>
        <w:t>vía</w:t>
      </w:r>
      <w:r>
        <w:rPr>
          <w:rFonts w:ascii="Palatino Linotype" w:eastAsia="Palatino Linotype" w:hAnsi="Palatino Linotype" w:cs="Palatino Linotype"/>
          <w:b/>
        </w:rPr>
        <w:t xml:space="preserve"> </w:t>
      </w:r>
      <w:r w:rsidRPr="004B7E50">
        <w:rPr>
          <w:rFonts w:ascii="Palatino Linotype" w:eastAsia="Palatino Linotype" w:hAnsi="Palatino Linotype" w:cs="Palatino Linotype"/>
        </w:rPr>
        <w:t xml:space="preserve">Sistema de Acceso a la Información Mexiquense </w:t>
      </w:r>
      <w:r w:rsidRPr="004B7E50">
        <w:rPr>
          <w:rFonts w:ascii="Palatino Linotype" w:eastAsia="Palatino Linotype" w:hAnsi="Palatino Linotype" w:cs="Palatino Linotype"/>
          <w:b/>
        </w:rPr>
        <w:t>(SAIMEX)</w:t>
      </w:r>
      <w:r w:rsidRPr="004B7E50">
        <w:rPr>
          <w:rFonts w:ascii="Palatino Linotype" w:eastAsia="Palatino Linotype" w:hAnsi="Palatino Linotype" w:cs="Palatino Linotype"/>
        </w:rPr>
        <w:t>, la presente resolución</w:t>
      </w:r>
      <w:r>
        <w:rPr>
          <w:rFonts w:ascii="Palatino Linotype" w:eastAsia="Palatino Linotype" w:hAnsi="Palatino Linotype" w:cs="Palatino Linotype"/>
        </w:rPr>
        <w:t xml:space="preserve">. </w:t>
      </w:r>
    </w:p>
    <w:p w14:paraId="70D1236D" w14:textId="77777777" w:rsidR="00370102" w:rsidRPr="004B7E50" w:rsidRDefault="00370102" w:rsidP="00370102">
      <w:pPr>
        <w:tabs>
          <w:tab w:val="left" w:pos="8080"/>
        </w:tabs>
        <w:spacing w:line="360" w:lineRule="auto"/>
        <w:ind w:right="49"/>
        <w:contextualSpacing/>
        <w:jc w:val="both"/>
        <w:rPr>
          <w:rFonts w:ascii="Palatino Linotype" w:eastAsia="Palatino Linotype" w:hAnsi="Palatino Linotype" w:cs="Palatino Linotype"/>
          <w:b/>
        </w:rPr>
      </w:pPr>
    </w:p>
    <w:p w14:paraId="2248FABF" w14:textId="558C5746" w:rsidR="00370102" w:rsidRPr="004B7E50" w:rsidRDefault="00370102" w:rsidP="00370102">
      <w:pPr>
        <w:shd w:val="clear" w:color="auto" w:fill="FFFFFF"/>
        <w:spacing w:line="360" w:lineRule="auto"/>
        <w:jc w:val="both"/>
        <w:rPr>
          <w:rFonts w:ascii="Palatino Linotype" w:hAnsi="Palatino Linotype"/>
          <w:color w:val="222222"/>
          <w:lang w:val="es-ES" w:eastAsia="es-MX"/>
        </w:rPr>
      </w:pPr>
      <w:bookmarkStart w:id="33" w:name="_Toc462307694"/>
      <w:bookmarkStart w:id="34" w:name="_Toc473806819"/>
      <w:bookmarkStart w:id="35" w:name="_Toc477345211"/>
      <w:bookmarkStart w:id="36" w:name="_Toc480987181"/>
      <w:bookmarkStart w:id="37" w:name="_Toc480996314"/>
      <w:bookmarkStart w:id="38" w:name="_Toc485145214"/>
      <w:bookmarkStart w:id="39" w:name="_Toc490679149"/>
      <w:r>
        <w:rPr>
          <w:rFonts w:ascii="Palatino Linotype" w:hAnsi="Palatino Linotype"/>
          <w:b/>
        </w:rPr>
        <w:t>TERCERO</w:t>
      </w:r>
      <w:r w:rsidRPr="004B7E50">
        <w:rPr>
          <w:rFonts w:ascii="Palatino Linotype" w:hAnsi="Palatino Linotype"/>
          <w:b/>
        </w:rPr>
        <w:t>.</w:t>
      </w:r>
      <w:r w:rsidRPr="004B7E50">
        <w:rPr>
          <w:rStyle w:val="Ttulo2Car"/>
          <w:rFonts w:ascii="Palatino Linotype" w:hAnsi="Palatino Linotype"/>
          <w:b/>
          <w:sz w:val="32"/>
        </w:rPr>
        <w:t xml:space="preserve"> </w:t>
      </w:r>
      <w:r w:rsidRPr="004B7E50">
        <w:rPr>
          <w:rFonts w:ascii="Palatino Linotype" w:hAnsi="Palatino Linotype"/>
          <w:b/>
        </w:rPr>
        <w:t>Notifíquese</w:t>
      </w:r>
      <w:r w:rsidRPr="004B7E50">
        <w:rPr>
          <w:rStyle w:val="Ttulo2Car"/>
          <w:rFonts w:ascii="Palatino Linotype" w:hAnsi="Palatino Linotype"/>
          <w:sz w:val="32"/>
        </w:rPr>
        <w:t xml:space="preserve"> </w:t>
      </w:r>
      <w:bookmarkEnd w:id="33"/>
      <w:bookmarkEnd w:id="34"/>
      <w:bookmarkEnd w:id="35"/>
      <w:bookmarkEnd w:id="36"/>
      <w:bookmarkEnd w:id="37"/>
      <w:bookmarkEnd w:id="38"/>
      <w:bookmarkEnd w:id="39"/>
      <w:r w:rsidRPr="004B7E50">
        <w:rPr>
          <w:rFonts w:ascii="Palatino Linotype" w:hAnsi="Palatino Linotype"/>
        </w:rPr>
        <w:t>a</w:t>
      </w:r>
      <w:r>
        <w:rPr>
          <w:rFonts w:ascii="Palatino Linotype" w:hAnsi="Palatino Linotype"/>
        </w:rPr>
        <w:t xml:space="preserve">l </w:t>
      </w:r>
      <w:r>
        <w:rPr>
          <w:rFonts w:ascii="Palatino Linotype" w:hAnsi="Palatino Linotype"/>
          <w:b/>
        </w:rPr>
        <w:t>RECURRENTE</w:t>
      </w:r>
      <w:r w:rsidRPr="004B7E50">
        <w:rPr>
          <w:rFonts w:ascii="Palatino Linotype" w:hAnsi="Palatino Linotype"/>
          <w:b/>
        </w:rPr>
        <w:t>,</w:t>
      </w:r>
      <w:r w:rsidRPr="004B7E50">
        <w:rPr>
          <w:rFonts w:ascii="Palatino Linotype" w:hAnsi="Palatino Linotype"/>
        </w:rPr>
        <w:t xml:space="preserve"> la presente</w:t>
      </w:r>
      <w:r w:rsidRPr="004B7E50">
        <w:rPr>
          <w:rFonts w:ascii="Palatino Linotype" w:hAnsi="Palatino Linotype"/>
          <w:color w:val="222222"/>
          <w:lang w:val="es-ES" w:eastAsia="es-MX"/>
        </w:rPr>
        <w:t xml:space="preserve"> resolución</w:t>
      </w:r>
      <w:r>
        <w:rPr>
          <w:rFonts w:ascii="Palatino Linotype" w:hAnsi="Palatino Linotype"/>
          <w:color w:val="222222"/>
          <w:lang w:val="es-ES" w:eastAsia="es-MX"/>
        </w:rPr>
        <w:t xml:space="preserve"> vía Sistema de Acceso a la Información Mexiquense </w:t>
      </w:r>
      <w:r w:rsidRPr="008C1614">
        <w:rPr>
          <w:rFonts w:ascii="Palatino Linotype" w:hAnsi="Palatino Linotype"/>
          <w:b/>
          <w:color w:val="222222"/>
          <w:lang w:val="es-ES" w:eastAsia="es-MX"/>
        </w:rPr>
        <w:t>(SAIMEX)</w:t>
      </w:r>
      <w:r w:rsidR="00A87690">
        <w:rPr>
          <w:rFonts w:ascii="Palatino Linotype" w:hAnsi="Palatino Linotype"/>
          <w:b/>
          <w:color w:val="222222"/>
          <w:lang w:val="es-ES" w:eastAsia="es-MX"/>
        </w:rPr>
        <w:t xml:space="preserve"> y correo electrónico.</w:t>
      </w:r>
    </w:p>
    <w:p w14:paraId="64C82576" w14:textId="77777777" w:rsidR="00370102" w:rsidRDefault="00370102" w:rsidP="00370102">
      <w:pPr>
        <w:spacing w:before="240" w:after="240" w:line="360" w:lineRule="auto"/>
        <w:ind w:firstLine="1"/>
        <w:jc w:val="both"/>
        <w:rPr>
          <w:rFonts w:ascii="Palatino Linotype" w:hAnsi="Palatino Linotype"/>
        </w:rPr>
      </w:pPr>
      <w:r>
        <w:rPr>
          <w:rFonts w:ascii="Palatino Linotype" w:hAnsi="Palatino Linotype"/>
          <w:b/>
          <w:color w:val="222222"/>
          <w:lang w:val="es-ES" w:eastAsia="es-MX"/>
        </w:rPr>
        <w:lastRenderedPageBreak/>
        <w:t>CUARTO</w:t>
      </w:r>
      <w:r w:rsidRPr="004B7E50">
        <w:rPr>
          <w:rFonts w:ascii="Palatino Linotype" w:hAnsi="Palatino Linotype"/>
          <w:b/>
          <w:color w:val="222222"/>
          <w:lang w:val="es-ES" w:eastAsia="es-MX"/>
        </w:rPr>
        <w:t xml:space="preserve">. </w:t>
      </w:r>
      <w:r w:rsidRPr="004B7E50">
        <w:rPr>
          <w:rFonts w:ascii="Palatino Linotype" w:hAnsi="Palatino Linotype"/>
          <w:color w:val="222222"/>
          <w:lang w:val="es-ES" w:eastAsia="es-MX"/>
        </w:rPr>
        <w:t>Se hace del conocimiento de</w:t>
      </w:r>
      <w:r>
        <w:rPr>
          <w:rFonts w:ascii="Palatino Linotype" w:hAnsi="Palatino Linotype"/>
          <w:color w:val="222222"/>
          <w:lang w:val="es-ES" w:eastAsia="es-MX"/>
        </w:rPr>
        <w:t>l</w:t>
      </w:r>
      <w:r w:rsidRPr="004B7E50">
        <w:rPr>
          <w:rFonts w:ascii="Palatino Linotype" w:hAnsi="Palatino Linotype"/>
          <w:color w:val="222222"/>
          <w:lang w:val="es-ES" w:eastAsia="es-MX"/>
        </w:rPr>
        <w:t xml:space="preserve"> </w:t>
      </w:r>
      <w:r>
        <w:rPr>
          <w:rFonts w:ascii="Palatino Linotype" w:hAnsi="Palatino Linotype"/>
          <w:b/>
          <w:color w:val="222222"/>
          <w:lang w:val="es-ES" w:eastAsia="es-MX"/>
        </w:rPr>
        <w:t>RECURRENTE</w:t>
      </w:r>
      <w:r>
        <w:rPr>
          <w:rFonts w:ascii="Palatino Linotype" w:hAnsi="Palatino Linotype"/>
          <w:b/>
        </w:rPr>
        <w:t xml:space="preserve"> </w:t>
      </w:r>
      <w:r w:rsidRPr="004B7E50">
        <w:rPr>
          <w:rFonts w:ascii="Palatino Linotype" w:hAnsi="Palatino Linotype"/>
          <w:color w:val="222222"/>
          <w:lang w:val="es-ES" w:eastAsia="es-MX"/>
        </w:rPr>
        <w:t>que, de conformidad con lo establecido en el artículo 196 de la Ley de Transparencia y Acceso a la Información Pública del Estado de México y Municipios,</w:t>
      </w:r>
      <w:r w:rsidRPr="004B7E50">
        <w:rPr>
          <w:rFonts w:ascii="Palatino Linotype" w:hAnsi="Palatino Linotype"/>
          <w:color w:val="000000"/>
          <w:shd w:val="clear" w:color="auto" w:fill="FFFFFF"/>
        </w:rPr>
        <w:t xml:space="preserve"> en caso de que considere que la resolución le cause algún perjuicio podrá impugnarla vía </w:t>
      </w:r>
      <w:r w:rsidRPr="004B7E50">
        <w:rPr>
          <w:rFonts w:ascii="Palatino Linotype" w:hAnsi="Palatino Linotype"/>
          <w:color w:val="222222"/>
          <w:shd w:val="clear" w:color="auto" w:fill="FFFFFF"/>
          <w:lang w:val="es-ES"/>
        </w:rPr>
        <w:t>juicio de amparo en los términos de las leyes aplicables.</w:t>
      </w:r>
      <w:r w:rsidRPr="004B7E50">
        <w:rPr>
          <w:rFonts w:ascii="Palatino Linotype" w:hAnsi="Palatino Linotype"/>
        </w:rPr>
        <w:t xml:space="preserve"> </w:t>
      </w:r>
    </w:p>
    <w:p w14:paraId="202E9FBA" w14:textId="77777777" w:rsidR="00157621" w:rsidRPr="00624AAD" w:rsidRDefault="00157621" w:rsidP="00157621">
      <w:pPr>
        <w:spacing w:before="240" w:after="240" w:line="360" w:lineRule="auto"/>
        <w:ind w:firstLine="1"/>
        <w:jc w:val="both"/>
        <w:rPr>
          <w:rFonts w:ascii="Palatino Linotype" w:hAnsi="Palatino Linotype"/>
        </w:rPr>
      </w:pPr>
      <w:bookmarkStart w:id="40" w:name="_Hlk96506827"/>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NOVENA</w:t>
      </w:r>
      <w:r w:rsidRPr="00A0054B">
        <w:rPr>
          <w:rFonts w:ascii="Palatino Linotype" w:hAnsi="Palatino Linotype"/>
        </w:rPr>
        <w:t xml:space="preserve"> SESIÓN ORDINARIA CELEBRADA EL </w:t>
      </w:r>
      <w:r>
        <w:rPr>
          <w:rFonts w:ascii="Palatino Linotype" w:hAnsi="Palatino Linotype"/>
        </w:rPr>
        <w:t>NUEVE</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SECRETARIO TÉCNICO DEL PLENO ALEXIS TAPIA RAMÍREZ</w:t>
      </w:r>
      <w:r w:rsidRPr="00624AAD">
        <w:rPr>
          <w:rFonts w:ascii="Palatino Linotype" w:hAnsi="Palatino Linotype"/>
        </w:rPr>
        <w:t xml:space="preserve"> </w:t>
      </w:r>
    </w:p>
    <w:bookmarkEnd w:id="40"/>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9A154" w14:textId="77777777" w:rsidR="00E847BD" w:rsidRDefault="00E847BD" w:rsidP="00587366">
      <w:r>
        <w:separator/>
      </w:r>
    </w:p>
  </w:endnote>
  <w:endnote w:type="continuationSeparator" w:id="0">
    <w:p w14:paraId="14972B64" w14:textId="77777777" w:rsidR="00E847BD" w:rsidRDefault="00E847B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D879" w14:textId="77777777" w:rsidR="00E23E30" w:rsidRDefault="00E23E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71FDF" w:rsidRPr="00883450" w:rsidRDefault="00671FD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23E30">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23E30">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47B193F0" w:rsidR="00671FDF" w:rsidRDefault="00671FD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71FDF" w:rsidRPr="00883450" w:rsidRDefault="00671FD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23E30" w:rsidRPr="00E23E3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23E30" w:rsidRPr="00E23E30">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0A9A2B26" w:rsidR="00671FDF" w:rsidRPr="00883450" w:rsidRDefault="00671FD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E4780" w14:textId="77777777" w:rsidR="00E847BD" w:rsidRDefault="00E847BD" w:rsidP="00587366">
      <w:r>
        <w:separator/>
      </w:r>
    </w:p>
  </w:footnote>
  <w:footnote w:type="continuationSeparator" w:id="0">
    <w:p w14:paraId="3CEEBB5A" w14:textId="77777777" w:rsidR="00E847BD" w:rsidRDefault="00E847BD" w:rsidP="00587366">
      <w:r>
        <w:continuationSeparator/>
      </w:r>
    </w:p>
  </w:footnote>
  <w:footnote w:id="1">
    <w:p w14:paraId="32D56466" w14:textId="77777777" w:rsidR="00671FDF" w:rsidRDefault="00671FDF" w:rsidP="008E4483">
      <w:pPr>
        <w:pStyle w:val="Textonotapie"/>
      </w:pPr>
      <w:r>
        <w:rPr>
          <w:rStyle w:val="Refdenotaalpie"/>
        </w:rPr>
        <w:footnoteRef/>
      </w:r>
      <w:r>
        <w:t xml:space="preserve"> Convención Americana sobre Derechos Humanos. Artículo 13.</w:t>
      </w:r>
    </w:p>
  </w:footnote>
  <w:footnote w:id="2">
    <w:p w14:paraId="3F7967D5" w14:textId="77777777" w:rsidR="00671FDF" w:rsidRDefault="00671FDF"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671FDF" w:rsidRDefault="00671FDF"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671FDF" w:rsidRDefault="00671FDF" w:rsidP="008E4483">
      <w:pPr>
        <w:pStyle w:val="Textonotapie"/>
      </w:pPr>
      <w:r>
        <w:rPr>
          <w:rStyle w:val="Refdenotaalpie"/>
        </w:rPr>
        <w:footnoteRef/>
      </w:r>
      <w:r>
        <w:t xml:space="preserve"> Ibídem. Parr. 87.</w:t>
      </w:r>
    </w:p>
  </w:footnote>
  <w:footnote w:id="5">
    <w:p w14:paraId="1C437D52" w14:textId="77777777" w:rsidR="00671FDF" w:rsidRDefault="00671FDF"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671FDF" w:rsidRDefault="00671FDF" w:rsidP="008E4483">
      <w:pPr>
        <w:pStyle w:val="Textonotapie"/>
      </w:pPr>
      <w:r>
        <w:t>II. Eficacia: Obligación del Instituto para tutelar, de manera efectiva, el derecho de acceso a la información;</w:t>
      </w:r>
    </w:p>
    <w:p w14:paraId="707D8AAF" w14:textId="77777777" w:rsidR="00671FDF" w:rsidRDefault="00671FDF" w:rsidP="008E4483">
      <w:pPr>
        <w:pStyle w:val="Textonotapie"/>
      </w:pPr>
      <w:r>
        <w:t xml:space="preserve">… </w:t>
      </w:r>
    </w:p>
  </w:footnote>
  <w:footnote w:id="6">
    <w:p w14:paraId="5C2B493B" w14:textId="77777777" w:rsidR="00413D35" w:rsidRPr="00952F10" w:rsidRDefault="00413D35" w:rsidP="00413D35">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3A53A53" w14:textId="77777777" w:rsidR="00413D35" w:rsidRDefault="00413D35" w:rsidP="00413D3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CC838" w14:textId="77777777" w:rsidR="00E23E30" w:rsidRDefault="00E23E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71FDF" w:rsidRPr="00025127" w14:paraId="07F2896E" w14:textId="77777777" w:rsidTr="00FA0F09">
      <w:trPr>
        <w:trHeight w:val="138"/>
        <w:jc w:val="right"/>
      </w:trPr>
      <w:tc>
        <w:tcPr>
          <w:tcW w:w="3260" w:type="dxa"/>
          <w:vAlign w:val="center"/>
        </w:tcPr>
        <w:p w14:paraId="4A5B1974" w14:textId="44CA9AFE" w:rsidR="00671FDF" w:rsidRPr="00025127" w:rsidRDefault="00671FD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9DAA8AF" w:rsidR="00671FDF" w:rsidRPr="00025127" w:rsidRDefault="00135C45" w:rsidP="0035066B">
          <w:pPr>
            <w:pStyle w:val="Encabezado"/>
            <w:jc w:val="both"/>
            <w:rPr>
              <w:rFonts w:ascii="Palatino Linotype" w:hAnsi="Palatino Linotype"/>
              <w:b/>
              <w:sz w:val="22"/>
              <w:szCs w:val="22"/>
            </w:rPr>
          </w:pPr>
          <w:r>
            <w:rPr>
              <w:rFonts w:ascii="Palatino Linotype" w:hAnsi="Palatino Linotype"/>
              <w:b/>
              <w:sz w:val="22"/>
              <w:szCs w:val="22"/>
            </w:rPr>
            <w:t>000</w:t>
          </w:r>
          <w:r w:rsidR="0035066B">
            <w:rPr>
              <w:rFonts w:ascii="Palatino Linotype" w:hAnsi="Palatino Linotype"/>
              <w:b/>
              <w:sz w:val="22"/>
              <w:szCs w:val="22"/>
            </w:rPr>
            <w:t>63</w:t>
          </w:r>
          <w:r w:rsidRPr="00025127">
            <w:rPr>
              <w:rFonts w:ascii="Palatino Linotype" w:hAnsi="Palatino Linotype"/>
              <w:b/>
              <w:sz w:val="22"/>
              <w:szCs w:val="22"/>
            </w:rPr>
            <w:t>/INFOEM/IP/RR/</w:t>
          </w:r>
          <w:r>
            <w:rPr>
              <w:rFonts w:ascii="Palatino Linotype" w:hAnsi="Palatino Linotype"/>
              <w:b/>
              <w:sz w:val="22"/>
              <w:szCs w:val="22"/>
            </w:rPr>
            <w:t>2022</w:t>
          </w:r>
        </w:p>
      </w:tc>
    </w:tr>
    <w:tr w:rsidR="00671FDF" w:rsidRPr="00025127" w14:paraId="1B5D8690" w14:textId="77777777" w:rsidTr="00FA0F09">
      <w:trPr>
        <w:trHeight w:val="233"/>
        <w:jc w:val="right"/>
      </w:trPr>
      <w:tc>
        <w:tcPr>
          <w:tcW w:w="3260" w:type="dxa"/>
          <w:vAlign w:val="center"/>
        </w:tcPr>
        <w:p w14:paraId="3903F2C6" w14:textId="22D569F8" w:rsidR="00671FDF" w:rsidRPr="00025127" w:rsidRDefault="00671FDF"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26C60AD" w:rsidR="00671FDF" w:rsidRPr="00025127" w:rsidRDefault="00135C45" w:rsidP="0035066B">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35066B">
            <w:rPr>
              <w:rFonts w:ascii="Palatino Linotype" w:hAnsi="Palatino Linotype"/>
              <w:b/>
              <w:bCs/>
              <w:color w:val="000000"/>
              <w:sz w:val="22"/>
              <w:szCs w:val="22"/>
            </w:rPr>
            <w:t>Tlalnepantla de Baz</w:t>
          </w:r>
        </w:p>
      </w:tc>
    </w:tr>
    <w:tr w:rsidR="00671FDF" w:rsidRPr="00025127" w14:paraId="095EB01B" w14:textId="77777777" w:rsidTr="00FA0F09">
      <w:trPr>
        <w:trHeight w:val="321"/>
        <w:jc w:val="right"/>
      </w:trPr>
      <w:tc>
        <w:tcPr>
          <w:tcW w:w="3260" w:type="dxa"/>
          <w:vAlign w:val="center"/>
        </w:tcPr>
        <w:p w14:paraId="6E000A51" w14:textId="05E1861A" w:rsidR="00671FDF" w:rsidRPr="00025127" w:rsidRDefault="00671FD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71FDF" w:rsidRPr="00025127" w:rsidRDefault="00671FD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671FDF" w:rsidRDefault="00671FDF"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71FDF" w:rsidRDefault="00E847BD" w:rsidP="00472C41">
    <w:pPr>
      <w:pStyle w:val="Encabezado"/>
      <w:tabs>
        <w:tab w:val="clear" w:pos="4252"/>
        <w:tab w:val="clear" w:pos="8504"/>
        <w:tab w:val="left" w:pos="3103"/>
      </w:tabs>
    </w:pPr>
    <w:bookmarkStart w:id="41" w:name="_GoBack"/>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bookmarkEnd w:id="41"/>
    <w:r w:rsidR="00671FD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71FDF" w:rsidRPr="00025127" w14:paraId="0A3256F2" w14:textId="77777777" w:rsidTr="006E6B65">
      <w:trPr>
        <w:trHeight w:val="138"/>
        <w:jc w:val="right"/>
      </w:trPr>
      <w:tc>
        <w:tcPr>
          <w:tcW w:w="3261" w:type="dxa"/>
          <w:vAlign w:val="center"/>
        </w:tcPr>
        <w:p w14:paraId="3D80769D" w14:textId="316F11F8" w:rsidR="00671FDF" w:rsidRPr="00025127" w:rsidRDefault="00671FD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080534E" w:rsidR="00671FDF" w:rsidRPr="00025127" w:rsidRDefault="00671FDF" w:rsidP="0035066B">
          <w:pPr>
            <w:pStyle w:val="Encabezado"/>
            <w:rPr>
              <w:rFonts w:ascii="Palatino Linotype" w:hAnsi="Palatino Linotype"/>
              <w:b/>
              <w:sz w:val="22"/>
              <w:szCs w:val="22"/>
            </w:rPr>
          </w:pPr>
          <w:r>
            <w:rPr>
              <w:rFonts w:ascii="Palatino Linotype" w:hAnsi="Palatino Linotype"/>
              <w:b/>
              <w:sz w:val="22"/>
              <w:szCs w:val="22"/>
            </w:rPr>
            <w:t>0</w:t>
          </w:r>
          <w:r w:rsidR="00135C45">
            <w:rPr>
              <w:rFonts w:ascii="Palatino Linotype" w:hAnsi="Palatino Linotype"/>
              <w:b/>
              <w:sz w:val="22"/>
              <w:szCs w:val="22"/>
            </w:rPr>
            <w:t>00</w:t>
          </w:r>
          <w:r w:rsidR="0035066B">
            <w:rPr>
              <w:rFonts w:ascii="Palatino Linotype" w:hAnsi="Palatino Linotype"/>
              <w:b/>
              <w:sz w:val="22"/>
              <w:szCs w:val="22"/>
            </w:rPr>
            <w:t>63</w:t>
          </w:r>
          <w:r w:rsidRPr="00025127">
            <w:rPr>
              <w:rFonts w:ascii="Palatino Linotype" w:hAnsi="Palatino Linotype"/>
              <w:b/>
              <w:sz w:val="22"/>
              <w:szCs w:val="22"/>
            </w:rPr>
            <w:t>/INFOEM/IP/RR/</w:t>
          </w:r>
          <w:r>
            <w:rPr>
              <w:rFonts w:ascii="Palatino Linotype" w:hAnsi="Palatino Linotype"/>
              <w:b/>
              <w:sz w:val="22"/>
              <w:szCs w:val="22"/>
            </w:rPr>
            <w:t>202</w:t>
          </w:r>
          <w:r w:rsidR="00135C45">
            <w:rPr>
              <w:rFonts w:ascii="Palatino Linotype" w:hAnsi="Palatino Linotype"/>
              <w:b/>
              <w:sz w:val="22"/>
              <w:szCs w:val="22"/>
            </w:rPr>
            <w:t>2</w:t>
          </w:r>
        </w:p>
      </w:tc>
    </w:tr>
    <w:tr w:rsidR="00671FDF" w:rsidRPr="00025127" w14:paraId="128C8B3C" w14:textId="77777777" w:rsidTr="006E6B65">
      <w:trPr>
        <w:trHeight w:val="233"/>
        <w:jc w:val="right"/>
      </w:trPr>
      <w:tc>
        <w:tcPr>
          <w:tcW w:w="3261" w:type="dxa"/>
          <w:vAlign w:val="center"/>
        </w:tcPr>
        <w:p w14:paraId="483E3371" w14:textId="66B1BC74" w:rsidR="00671FDF" w:rsidRPr="00025127" w:rsidRDefault="00671FD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B26DBB7" w:rsidR="00671FDF" w:rsidRPr="0035066B" w:rsidRDefault="00E23E30" w:rsidP="00E23E30">
          <w:pPr>
            <w:pStyle w:val="Encabezado"/>
            <w:rPr>
              <w:rFonts w:ascii="Palatino Linotype" w:hAnsi="Palatino Linotype"/>
              <w:b/>
              <w:sz w:val="22"/>
              <w:szCs w:val="22"/>
            </w:rPr>
          </w:pPr>
          <w:r>
            <w:rPr>
              <w:rFonts w:ascii="Palatino Linotype" w:eastAsia="Times New Roman" w:hAnsi="Palatino Linotype" w:cs="Times New Roman"/>
              <w:b/>
              <w:color w:val="000000" w:themeColor="text1"/>
              <w:sz w:val="22"/>
            </w:rPr>
            <w:t>XXXX</w:t>
          </w:r>
          <w:r w:rsidR="0035066B" w:rsidRPr="0035066B">
            <w:rPr>
              <w:rFonts w:ascii="Palatino Linotype" w:eastAsia="Times New Roman" w:hAnsi="Palatino Linotype" w:cs="Times New Roman"/>
              <w:b/>
              <w:color w:val="000000" w:themeColor="text1"/>
              <w:sz w:val="22"/>
            </w:rPr>
            <w:t xml:space="preserve"> </w:t>
          </w:r>
          <w:r>
            <w:rPr>
              <w:rFonts w:ascii="Palatino Linotype" w:eastAsia="Times New Roman" w:hAnsi="Palatino Linotype" w:cs="Times New Roman"/>
              <w:b/>
              <w:color w:val="000000" w:themeColor="text1"/>
              <w:sz w:val="22"/>
            </w:rPr>
            <w:t>XXXXXXX</w:t>
          </w:r>
          <w:r w:rsidR="0035066B" w:rsidRPr="0035066B">
            <w:rPr>
              <w:rFonts w:ascii="Palatino Linotype" w:eastAsia="Times New Roman" w:hAnsi="Palatino Linotype" w:cs="Times New Roman"/>
              <w:b/>
              <w:color w:val="000000" w:themeColor="text1"/>
              <w:sz w:val="22"/>
            </w:rPr>
            <w:t xml:space="preserve"> </w:t>
          </w:r>
          <w:r>
            <w:rPr>
              <w:rFonts w:ascii="Palatino Linotype" w:eastAsia="Times New Roman" w:hAnsi="Palatino Linotype" w:cs="Times New Roman"/>
              <w:b/>
              <w:color w:val="000000" w:themeColor="text1"/>
              <w:sz w:val="22"/>
            </w:rPr>
            <w:t>XXXX</w:t>
          </w:r>
        </w:p>
      </w:tc>
    </w:tr>
    <w:tr w:rsidR="00671FDF" w:rsidRPr="00025127" w14:paraId="41BE0704" w14:textId="77777777" w:rsidTr="006E6B65">
      <w:trPr>
        <w:trHeight w:val="321"/>
        <w:jc w:val="right"/>
      </w:trPr>
      <w:tc>
        <w:tcPr>
          <w:tcW w:w="3261" w:type="dxa"/>
          <w:vAlign w:val="center"/>
        </w:tcPr>
        <w:p w14:paraId="34C64148" w14:textId="10C6C8A9" w:rsidR="00671FDF" w:rsidRPr="00025127" w:rsidRDefault="00671FD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570430B" w:rsidR="00671FDF" w:rsidRPr="00025127" w:rsidRDefault="0035066B" w:rsidP="00AD2718">
          <w:pPr>
            <w:pStyle w:val="Encabezado"/>
            <w:rPr>
              <w:rFonts w:ascii="Palatino Linotype" w:hAnsi="Palatino Linotype"/>
              <w:b/>
              <w:sz w:val="22"/>
              <w:szCs w:val="22"/>
            </w:rPr>
          </w:pPr>
          <w:r>
            <w:rPr>
              <w:rFonts w:ascii="Palatino Linotype" w:hAnsi="Palatino Linotype"/>
              <w:b/>
              <w:bCs/>
              <w:color w:val="000000"/>
              <w:sz w:val="22"/>
              <w:szCs w:val="22"/>
            </w:rPr>
            <w:t>Ayuntamiento de Tlalnepantla de Baz</w:t>
          </w:r>
        </w:p>
      </w:tc>
    </w:tr>
    <w:tr w:rsidR="00671FDF" w:rsidRPr="00025127" w14:paraId="0C8B6193" w14:textId="77777777" w:rsidTr="006E6B65">
      <w:trPr>
        <w:trHeight w:val="321"/>
        <w:jc w:val="right"/>
      </w:trPr>
      <w:tc>
        <w:tcPr>
          <w:tcW w:w="3261" w:type="dxa"/>
          <w:vAlign w:val="center"/>
        </w:tcPr>
        <w:p w14:paraId="321FFAFF" w14:textId="0E8C2CE7" w:rsidR="00671FDF" w:rsidRPr="00025127" w:rsidRDefault="00671FD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71FDF" w:rsidRPr="00025127" w:rsidRDefault="00671FD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71FDF" w:rsidRDefault="00671FD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C2A3355"/>
    <w:multiLevelType w:val="hybridMultilevel"/>
    <w:tmpl w:val="C1B83F7E"/>
    <w:lvl w:ilvl="0" w:tplc="1DACB2A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7DA90A71"/>
    <w:multiLevelType w:val="hybridMultilevel"/>
    <w:tmpl w:val="3DFC6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0"/>
  </w:num>
  <w:num w:numId="4">
    <w:abstractNumId w:val="18"/>
  </w:num>
  <w:num w:numId="5">
    <w:abstractNumId w:val="25"/>
  </w:num>
  <w:num w:numId="6">
    <w:abstractNumId w:val="26"/>
  </w:num>
  <w:num w:numId="7">
    <w:abstractNumId w:val="21"/>
  </w:num>
  <w:num w:numId="8">
    <w:abstractNumId w:val="29"/>
  </w:num>
  <w:num w:numId="9">
    <w:abstractNumId w:val="19"/>
  </w:num>
  <w:num w:numId="10">
    <w:abstractNumId w:val="20"/>
  </w:num>
  <w:num w:numId="11">
    <w:abstractNumId w:val="3"/>
  </w:num>
  <w:num w:numId="12">
    <w:abstractNumId w:val="17"/>
  </w:num>
  <w:num w:numId="13">
    <w:abstractNumId w:val="10"/>
  </w:num>
  <w:num w:numId="14">
    <w:abstractNumId w:val="6"/>
  </w:num>
  <w:num w:numId="15">
    <w:abstractNumId w:val="5"/>
  </w:num>
  <w:num w:numId="16">
    <w:abstractNumId w:val="4"/>
  </w:num>
  <w:num w:numId="17">
    <w:abstractNumId w:val="27"/>
  </w:num>
  <w:num w:numId="18">
    <w:abstractNumId w:val="14"/>
  </w:num>
  <w:num w:numId="19">
    <w:abstractNumId w:val="24"/>
  </w:num>
  <w:num w:numId="20">
    <w:abstractNumId w:val="34"/>
  </w:num>
  <w:num w:numId="21">
    <w:abstractNumId w:val="12"/>
  </w:num>
  <w:num w:numId="22">
    <w:abstractNumId w:val="13"/>
  </w:num>
  <w:num w:numId="23">
    <w:abstractNumId w:val="1"/>
  </w:num>
  <w:num w:numId="24">
    <w:abstractNumId w:val="11"/>
  </w:num>
  <w:num w:numId="25">
    <w:abstractNumId w:val="15"/>
  </w:num>
  <w:num w:numId="26">
    <w:abstractNumId w:val="8"/>
  </w:num>
  <w:num w:numId="27">
    <w:abstractNumId w:val="31"/>
  </w:num>
  <w:num w:numId="28">
    <w:abstractNumId w:val="7"/>
  </w:num>
  <w:num w:numId="29">
    <w:abstractNumId w:val="32"/>
  </w:num>
  <w:num w:numId="30">
    <w:abstractNumId w:val="22"/>
  </w:num>
  <w:num w:numId="31">
    <w:abstractNumId w:val="28"/>
  </w:num>
  <w:num w:numId="32">
    <w:abstractNumId w:val="16"/>
  </w:num>
  <w:num w:numId="33">
    <w:abstractNumId w:val="33"/>
  </w:num>
  <w:num w:numId="34">
    <w:abstractNumId w:val="9"/>
  </w:num>
  <w:num w:numId="35">
    <w:abstractNumId w:val="37"/>
  </w:num>
  <w:num w:numId="36">
    <w:abstractNumId w:val="30"/>
  </w:num>
  <w:num w:numId="37">
    <w:abstractNumId w:val="17"/>
  </w:num>
  <w:num w:numId="38">
    <w:abstractNumId w:val="2"/>
  </w:num>
  <w:num w:numId="39">
    <w:abstractNumId w:val="36"/>
  </w:num>
  <w:num w:numId="40">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57621"/>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5A68"/>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1E87"/>
    <w:rsid w:val="003522BF"/>
    <w:rsid w:val="00352901"/>
    <w:rsid w:val="00355AEE"/>
    <w:rsid w:val="00355D3B"/>
    <w:rsid w:val="0035606B"/>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1169"/>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49B0"/>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1B0"/>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534"/>
    <w:rsid w:val="00842C98"/>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B27"/>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10E7"/>
    <w:rsid w:val="00A61DCD"/>
    <w:rsid w:val="00A62B7B"/>
    <w:rsid w:val="00A64F7B"/>
    <w:rsid w:val="00A66AE9"/>
    <w:rsid w:val="00A67428"/>
    <w:rsid w:val="00A70C6A"/>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0"/>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CEF"/>
    <w:rsid w:val="00AF1F04"/>
    <w:rsid w:val="00AF246D"/>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3C34"/>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1B7F"/>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3E30"/>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77E8"/>
    <w:rsid w:val="00E82B54"/>
    <w:rsid w:val="00E8380C"/>
    <w:rsid w:val="00E838B2"/>
    <w:rsid w:val="00E84521"/>
    <w:rsid w:val="00E847BD"/>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115D"/>
    <w:rsid w:val="00EC152A"/>
    <w:rsid w:val="00EC3328"/>
    <w:rsid w:val="00EC34A9"/>
    <w:rsid w:val="00EC3934"/>
    <w:rsid w:val="00EC40E1"/>
    <w:rsid w:val="00EC437F"/>
    <w:rsid w:val="00EC6F0E"/>
    <w:rsid w:val="00EC7352"/>
    <w:rsid w:val="00ED2270"/>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3F703-52F6-462E-96F5-A52EE6DA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33</Pages>
  <Words>7667</Words>
  <Characters>42172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30</cp:revision>
  <cp:lastPrinted>2019-12-11T01:19:00Z</cp:lastPrinted>
  <dcterms:created xsi:type="dcterms:W3CDTF">2022-02-16T21:55:00Z</dcterms:created>
  <dcterms:modified xsi:type="dcterms:W3CDTF">2022-04-04T16:56:00Z</dcterms:modified>
</cp:coreProperties>
</file>