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B9" w:rsidRPr="002C3EC8" w:rsidRDefault="00FA31B9" w:rsidP="00FA31B9">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seis de jul</w:t>
      </w:r>
      <w:r w:rsidRPr="002C3EC8">
        <w:rPr>
          <w:rFonts w:ascii="Palatino Linotype" w:eastAsia="Times New Roman" w:hAnsi="Palatino Linotype" w:cs="Arial"/>
          <w:color w:val="000000"/>
          <w:sz w:val="24"/>
          <w:szCs w:val="24"/>
          <w:lang w:eastAsia="es-MX"/>
        </w:rPr>
        <w:t>io de dos mil veintidós.</w:t>
      </w:r>
    </w:p>
    <w:p w:rsidR="00FA31B9" w:rsidRPr="002C3EC8" w:rsidRDefault="00FA31B9" w:rsidP="00FA31B9">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sidRPr="002C3EC8">
        <w:rPr>
          <w:rFonts w:ascii="Palatino Linotype" w:hAnsi="Palatino Linotype" w:cs="Arial"/>
          <w:sz w:val="24"/>
        </w:rPr>
        <w:t xml:space="preserve"> los expedientes electrónicos formados con motivo del recurso de revisión números</w:t>
      </w:r>
      <w:r w:rsidRPr="002C3EC8">
        <w:rPr>
          <w:rFonts w:ascii="Palatino Linotype" w:hAnsi="Palatino Linotype" w:cs="Arial"/>
          <w:b/>
          <w:sz w:val="24"/>
        </w:rPr>
        <w:t xml:space="preserve"> </w:t>
      </w:r>
      <w:r w:rsidRPr="002C3EC8">
        <w:rPr>
          <w:rFonts w:ascii="Palatino Linotype" w:hAnsi="Palatino Linotype" w:cs="Arial"/>
          <w:b/>
          <w:bCs/>
          <w:sz w:val="24"/>
          <w:lang w:eastAsia="es-MX"/>
        </w:rPr>
        <w:t xml:space="preserve">07355/INFOEM/IP/RR/2022, 07359/INFOEM/IP/RR/2022, 07360/INFOEM/IP/RR/2022, 07361/INFOEM/IP/RR/2022, 07362/INFOEM/IP/RR/2022, 07363/INFOEM/IP/RR/2022, 07364/INFOEM/IP/RR/2022, </w:t>
      </w:r>
      <w:r w:rsidRPr="002C3EC8">
        <w:rPr>
          <w:rFonts w:ascii="Palatino Linotype" w:hAnsi="Palatino Linotype"/>
          <w:sz w:val="24"/>
        </w:rPr>
        <w:t xml:space="preserve">interpuestos por un particular que al momento de ingresar la solicitud de información e interponer los recursos de revisión, no señaló nombre o seudónimo, en lo sucesivo el </w:t>
      </w:r>
      <w:r w:rsidRPr="002C3EC8">
        <w:rPr>
          <w:rFonts w:ascii="Palatino Linotype" w:hAnsi="Palatino Linotype"/>
          <w:b/>
          <w:sz w:val="24"/>
        </w:rPr>
        <w:t>Recurrente</w:t>
      </w:r>
      <w:r w:rsidRPr="002C3EC8">
        <w:rPr>
          <w:rFonts w:ascii="Palatino Linotype" w:hAnsi="Palatino Linotype"/>
          <w:sz w:val="24"/>
        </w:rPr>
        <w:t xml:space="preserve">, en contra de las respuestas del </w:t>
      </w:r>
      <w:bookmarkStart w:id="0" w:name="_GoBack"/>
      <w:bookmarkEnd w:id="0"/>
      <w:r w:rsidRPr="002C3EC8">
        <w:rPr>
          <w:rFonts w:ascii="Palatino Linotype" w:hAnsi="Palatino Linotype"/>
          <w:b/>
          <w:sz w:val="24"/>
        </w:rPr>
        <w:t>Ayuntamiento de Tenancingo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FA31B9" w:rsidRPr="002C3EC8" w:rsidRDefault="00FA31B9" w:rsidP="00FA31B9">
      <w:pPr>
        <w:tabs>
          <w:tab w:val="left" w:pos="1701"/>
        </w:tabs>
        <w:spacing w:before="240" w:line="360" w:lineRule="auto"/>
        <w:jc w:val="both"/>
        <w:rPr>
          <w:rFonts w:ascii="Palatino Linotype" w:hAnsi="Palatino Linotype" w:cs="Arial"/>
          <w:b/>
          <w:sz w:val="24"/>
        </w:rPr>
      </w:pPr>
    </w:p>
    <w:p w:rsidR="00FA31B9" w:rsidRPr="002C3EC8" w:rsidRDefault="00FA31B9" w:rsidP="00FA31B9">
      <w:pPr>
        <w:pStyle w:val="infoemcitas"/>
        <w:jc w:val="center"/>
        <w:rPr>
          <w:b/>
          <w:bCs/>
          <w:i w:val="0"/>
          <w:iCs/>
          <w:sz w:val="28"/>
          <w:szCs w:val="28"/>
        </w:rPr>
      </w:pPr>
      <w:r w:rsidRPr="002C3EC8">
        <w:rPr>
          <w:b/>
          <w:bCs/>
          <w:i w:val="0"/>
          <w:iCs/>
          <w:sz w:val="28"/>
          <w:szCs w:val="28"/>
        </w:rPr>
        <w:t>A N T E C E D E N T E S   D E L   A S U N T O</w:t>
      </w:r>
    </w:p>
    <w:p w:rsidR="00FA31B9" w:rsidRPr="002C3EC8" w:rsidRDefault="00FA31B9" w:rsidP="00FA31B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De las Solicitudes de Información.</w:t>
      </w:r>
    </w:p>
    <w:p w:rsidR="00FA31B9" w:rsidRPr="002C3EC8" w:rsidRDefault="00FA31B9" w:rsidP="00FA31B9">
      <w:pPr>
        <w:spacing w:before="240" w:line="360" w:lineRule="auto"/>
        <w:jc w:val="both"/>
        <w:rPr>
          <w:rFonts w:ascii="Palatino Linotype" w:hAnsi="Palatino Linotype" w:cs="Arial"/>
          <w:sz w:val="24"/>
        </w:rPr>
      </w:pPr>
      <w:r w:rsidRPr="002C3EC8">
        <w:rPr>
          <w:rFonts w:ascii="Palatino Linotype" w:hAnsi="Palatino Linotype" w:cs="Arial"/>
          <w:sz w:val="24"/>
        </w:rPr>
        <w:t>Con fecha veinticuatro y veintiocho de ma</w:t>
      </w:r>
      <w:r>
        <w:rPr>
          <w:rFonts w:ascii="Palatino Linotype" w:hAnsi="Palatino Linotype" w:cs="Arial"/>
          <w:sz w:val="24"/>
        </w:rPr>
        <w:t>rzo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sidRPr="002C3EC8">
        <w:rPr>
          <w:rFonts w:ascii="Palatino Linotype" w:hAnsi="Palatino Linotype" w:cs="Arial"/>
          <w:sz w:val="24"/>
        </w:rPr>
        <w:t xml:space="preserve">, solicitudes de acceso a la información pública, registradas bajo los números de expediente </w:t>
      </w:r>
      <w:r w:rsidRPr="002C3EC8">
        <w:rPr>
          <w:rFonts w:ascii="Palatino Linotype" w:hAnsi="Palatino Linotype" w:cs="Arial"/>
          <w:b/>
          <w:sz w:val="24"/>
        </w:rPr>
        <w:t xml:space="preserve">00272/TENANCIN/IP/2022, 00335/TENANCIN/IP/2022, 00336/TENANCIN/IP/2022, 00337/TENANCIN/IP/2022, 00338/TENANCIN/IP/2022, </w:t>
      </w:r>
      <w:r w:rsidRPr="002C3EC8">
        <w:rPr>
          <w:rFonts w:ascii="Palatino Linotype" w:hAnsi="Palatino Linotype" w:cs="Arial"/>
          <w:b/>
          <w:sz w:val="24"/>
        </w:rPr>
        <w:lastRenderedPageBreak/>
        <w:t xml:space="preserve">00339/TENANCIN/IP/2022, 00340/TENANCIN/IP/2022, </w:t>
      </w:r>
      <w:r w:rsidRPr="002C3EC8">
        <w:rPr>
          <w:rFonts w:ascii="Palatino Linotype" w:hAnsi="Palatino Linotype" w:cs="Arial"/>
          <w:sz w:val="24"/>
        </w:rPr>
        <w:t>mediante las cuales solicitó información en el tenor siguiente:</w:t>
      </w:r>
    </w:p>
    <w:tbl>
      <w:tblPr>
        <w:tblStyle w:val="Tablaconcuadrcula"/>
        <w:tblW w:w="9160" w:type="dxa"/>
        <w:tblInd w:w="137" w:type="dxa"/>
        <w:tblLook w:val="04A0" w:firstRow="1" w:lastRow="0" w:firstColumn="1" w:lastColumn="0" w:noHBand="0" w:noVBand="1"/>
      </w:tblPr>
      <w:tblGrid>
        <w:gridCol w:w="3331"/>
        <w:gridCol w:w="5829"/>
      </w:tblGrid>
      <w:tr w:rsidR="00FA31B9" w:rsidRPr="002C3EC8" w:rsidTr="00755BDC">
        <w:trPr>
          <w:trHeight w:val="858"/>
        </w:trPr>
        <w:tc>
          <w:tcPr>
            <w:tcW w:w="3331" w:type="dxa"/>
            <w:shd w:val="clear" w:color="auto" w:fill="D9D9D9" w:themeFill="background1" w:themeFillShade="D9"/>
          </w:tcPr>
          <w:p w:rsidR="00FA31B9" w:rsidRPr="002C3EC8" w:rsidRDefault="00FA31B9" w:rsidP="00755BDC">
            <w:pPr>
              <w:spacing w:before="240" w:line="360" w:lineRule="auto"/>
              <w:jc w:val="both"/>
              <w:rPr>
                <w:rFonts w:ascii="Palatino Linotype" w:eastAsia="Times New Roman" w:hAnsi="Palatino Linotype" w:cs="Times New Roman"/>
                <w:b/>
                <w:i/>
                <w:szCs w:val="24"/>
                <w:lang w:val="es-ES_tradnl" w:eastAsia="es-ES"/>
              </w:rPr>
            </w:pPr>
            <w:r w:rsidRPr="002C3EC8">
              <w:rPr>
                <w:rFonts w:ascii="Palatino Linotype" w:eastAsia="Times New Roman" w:hAnsi="Palatino Linotype" w:cs="Times New Roman"/>
                <w:b/>
                <w:i/>
                <w:szCs w:val="24"/>
                <w:lang w:val="es-ES_tradnl" w:eastAsia="es-ES"/>
              </w:rPr>
              <w:t>Número de folio de la solicitud</w:t>
            </w:r>
          </w:p>
        </w:tc>
        <w:tc>
          <w:tcPr>
            <w:tcW w:w="5829" w:type="dxa"/>
            <w:shd w:val="clear" w:color="auto" w:fill="D9D9D9" w:themeFill="background1" w:themeFillShade="D9"/>
          </w:tcPr>
          <w:p w:rsidR="00FA31B9" w:rsidRPr="002C3EC8" w:rsidRDefault="00FA31B9" w:rsidP="00755BDC">
            <w:pPr>
              <w:spacing w:before="240" w:line="360" w:lineRule="auto"/>
              <w:jc w:val="both"/>
              <w:rPr>
                <w:rFonts w:ascii="Palatino Linotype" w:eastAsia="Times New Roman" w:hAnsi="Palatino Linotype" w:cs="Times New Roman"/>
                <w:b/>
                <w:i/>
                <w:szCs w:val="24"/>
                <w:lang w:val="es-ES_tradnl" w:eastAsia="es-ES"/>
              </w:rPr>
            </w:pPr>
            <w:r w:rsidRPr="002C3EC8">
              <w:rPr>
                <w:rFonts w:ascii="Palatino Linotype" w:eastAsia="Times New Roman" w:hAnsi="Palatino Linotype" w:cs="Times New Roman"/>
                <w:b/>
                <w:i/>
                <w:szCs w:val="24"/>
                <w:lang w:val="es-ES_tradnl" w:eastAsia="es-ES"/>
              </w:rPr>
              <w:t>Descripción clara y precisa de la información solicitada</w:t>
            </w:r>
          </w:p>
        </w:tc>
      </w:tr>
      <w:tr w:rsidR="00FA31B9" w:rsidRPr="002C3EC8" w:rsidTr="00755BDC">
        <w:trPr>
          <w:trHeight w:val="1431"/>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 w:val="24"/>
                <w:szCs w:val="24"/>
                <w:lang w:val="es-ES_tradnl" w:eastAsia="es-ES"/>
              </w:rPr>
            </w:pPr>
            <w:r w:rsidRPr="002C3EC8">
              <w:rPr>
                <w:rFonts w:ascii="Palatino Linotype" w:eastAsia="Times New Roman" w:hAnsi="Palatino Linotype" w:cs="Times New Roman"/>
                <w:b/>
                <w:bCs/>
                <w:szCs w:val="24"/>
                <w:lang w:eastAsia="es-ES"/>
              </w:rPr>
              <w:t>00272/TENANCIN/IP/2022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saber el ingreso que perciben los servidores públicos enunciados en el art.32 de la ley orgánica municipal” (Sic)</w:t>
            </w:r>
          </w:p>
        </w:tc>
      </w:tr>
      <w:tr w:rsidR="00FA31B9" w:rsidRPr="002C3EC8" w:rsidTr="00755BDC">
        <w:trPr>
          <w:trHeight w:val="877"/>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bCs/>
                <w:szCs w:val="24"/>
                <w:lang w:eastAsia="es-ES"/>
              </w:rPr>
              <w:t>00335/TENANCIN/IP/2022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 w:val="24"/>
                <w:szCs w:val="24"/>
                <w:lang w:val="es-ES_tradnl" w:eastAsia="es-ES"/>
              </w:rPr>
            </w:pPr>
            <w:r w:rsidRPr="002C3EC8">
              <w:rPr>
                <w:rFonts w:ascii="Palatino Linotype" w:eastAsia="Times New Roman" w:hAnsi="Palatino Linotype" w:cs="Times New Roman"/>
                <w:szCs w:val="24"/>
                <w:lang w:val="es-ES_tradnl" w:eastAsia="es-ES"/>
              </w:rPr>
              <w:t>“</w:t>
            </w:r>
            <w:r w:rsidRPr="002C3EC8">
              <w:rPr>
                <w:rFonts w:ascii="Palatino Linotype" w:eastAsia="Times New Roman" w:hAnsi="Palatino Linotype" w:cs="Times New Roman"/>
                <w:i/>
                <w:szCs w:val="24"/>
                <w:lang w:val="es-ES_tradnl" w:eastAsia="es-ES"/>
              </w:rPr>
              <w:t xml:space="preserve">solicito vía </w:t>
            </w:r>
            <w:proofErr w:type="spellStart"/>
            <w:r w:rsidRPr="002C3EC8">
              <w:rPr>
                <w:rFonts w:ascii="Palatino Linotype" w:eastAsia="Times New Roman" w:hAnsi="Palatino Linotype" w:cs="Times New Roman"/>
                <w:i/>
                <w:szCs w:val="24"/>
                <w:lang w:val="es-ES_tradnl" w:eastAsia="es-ES"/>
              </w:rPr>
              <w:t>saimex</w:t>
            </w:r>
            <w:proofErr w:type="spellEnd"/>
            <w:r w:rsidRPr="002C3EC8">
              <w:rPr>
                <w:rFonts w:ascii="Palatino Linotype" w:eastAsia="Times New Roman" w:hAnsi="Palatino Linotype" w:cs="Times New Roman"/>
                <w:i/>
                <w:szCs w:val="24"/>
                <w:lang w:val="es-ES_tradnl" w:eastAsia="es-ES"/>
              </w:rPr>
              <w:t xml:space="preserve"> toda la nómina 2017” (Sic)</w:t>
            </w:r>
          </w:p>
        </w:tc>
      </w:tr>
      <w:tr w:rsidR="00FA31B9" w:rsidRPr="002C3EC8" w:rsidTr="00755BDC">
        <w:trPr>
          <w:trHeight w:val="858"/>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szCs w:val="24"/>
                <w:lang w:val="es-ES_tradnl" w:eastAsia="es-ES"/>
              </w:rPr>
              <w:t>00336/TENANCIN/IP/2022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la nómina completa del 2018” (Sic)</w:t>
            </w:r>
          </w:p>
        </w:tc>
      </w:tr>
      <w:tr w:rsidR="00FA31B9" w:rsidRPr="002C3EC8" w:rsidTr="00755BDC">
        <w:trPr>
          <w:trHeight w:val="858"/>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szCs w:val="24"/>
                <w:lang w:val="es-ES_tradnl" w:eastAsia="es-ES"/>
              </w:rPr>
              <w:t>00337/TENANCIN/IP/2022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la nómina completa 2019” (Sic)</w:t>
            </w:r>
          </w:p>
        </w:tc>
      </w:tr>
      <w:tr w:rsidR="00FA31B9" w:rsidRPr="002C3EC8" w:rsidTr="00755BDC">
        <w:trPr>
          <w:trHeight w:val="877"/>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szCs w:val="24"/>
                <w:lang w:val="es-ES_tradnl" w:eastAsia="es-ES"/>
              </w:rPr>
              <w:t>00338/TENANCIN/IP/2022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la nómina 2020 completa” (Sic)</w:t>
            </w:r>
          </w:p>
        </w:tc>
      </w:tr>
      <w:tr w:rsidR="00FA31B9" w:rsidRPr="002C3EC8" w:rsidTr="00755BDC">
        <w:trPr>
          <w:trHeight w:val="858"/>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szCs w:val="24"/>
                <w:lang w:val="es-ES_tradnl" w:eastAsia="es-ES"/>
              </w:rPr>
              <w:t>00339/TENANCIN/IP/2022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la nómina 2021 completa” (Sic)</w:t>
            </w:r>
          </w:p>
        </w:tc>
      </w:tr>
      <w:tr w:rsidR="00FA31B9" w:rsidRPr="002C3EC8" w:rsidTr="00755BDC">
        <w:trPr>
          <w:trHeight w:val="858"/>
        </w:trPr>
        <w:tc>
          <w:tcPr>
            <w:tcW w:w="3331" w:type="dxa"/>
          </w:tcPr>
          <w:p w:rsidR="00FA31B9" w:rsidRPr="002C3EC8" w:rsidRDefault="00FA31B9" w:rsidP="00755BDC">
            <w:pPr>
              <w:spacing w:before="240" w:line="360" w:lineRule="auto"/>
              <w:jc w:val="both"/>
              <w:rPr>
                <w:rFonts w:ascii="Palatino Linotype" w:eastAsia="Times New Roman" w:hAnsi="Palatino Linotype" w:cs="Times New Roman"/>
                <w:b/>
                <w:szCs w:val="24"/>
                <w:lang w:val="es-ES_tradnl" w:eastAsia="es-ES"/>
              </w:rPr>
            </w:pPr>
            <w:r w:rsidRPr="002C3EC8">
              <w:rPr>
                <w:rFonts w:ascii="Palatino Linotype" w:eastAsia="Times New Roman" w:hAnsi="Palatino Linotype" w:cs="Times New Roman"/>
                <w:b/>
                <w:szCs w:val="24"/>
                <w:lang w:val="es-ES_tradnl" w:eastAsia="es-ES"/>
              </w:rPr>
              <w:t>00340/TENANCIN/IP/2022</w:t>
            </w:r>
          </w:p>
        </w:tc>
        <w:tc>
          <w:tcPr>
            <w:tcW w:w="5829" w:type="dxa"/>
          </w:tcPr>
          <w:p w:rsidR="00FA31B9" w:rsidRPr="002C3EC8" w:rsidRDefault="00FA31B9" w:rsidP="00755BDC">
            <w:pPr>
              <w:spacing w:before="240" w:line="360" w:lineRule="auto"/>
              <w:jc w:val="both"/>
              <w:rPr>
                <w:rFonts w:ascii="Palatino Linotype" w:eastAsia="Times New Roman" w:hAnsi="Palatino Linotype" w:cs="Times New Roman"/>
                <w:i/>
                <w:szCs w:val="24"/>
                <w:lang w:val="es-ES_tradnl" w:eastAsia="es-ES"/>
              </w:rPr>
            </w:pPr>
            <w:r w:rsidRPr="002C3EC8">
              <w:rPr>
                <w:rFonts w:ascii="Palatino Linotype" w:eastAsia="Times New Roman" w:hAnsi="Palatino Linotype" w:cs="Times New Roman"/>
                <w:i/>
                <w:szCs w:val="24"/>
                <w:lang w:val="es-ES_tradnl" w:eastAsia="es-ES"/>
              </w:rPr>
              <w:t>“solicito la nómina completa 2022” (Sic)</w:t>
            </w:r>
          </w:p>
        </w:tc>
      </w:tr>
    </w:tbl>
    <w:p w:rsidR="00FA31B9" w:rsidRPr="002C3EC8" w:rsidRDefault="00FA31B9" w:rsidP="00FA31B9">
      <w:pPr>
        <w:spacing w:before="240" w:line="360" w:lineRule="auto"/>
        <w:jc w:val="both"/>
        <w:rPr>
          <w:rFonts w:ascii="Palatino Linotype" w:eastAsia="Times New Roman" w:hAnsi="Palatino Linotype" w:cs="Times New Roman"/>
          <w:b/>
          <w:sz w:val="24"/>
          <w:szCs w:val="24"/>
          <w:lang w:val="es-ES_tradnl" w:eastAsia="es-ES"/>
        </w:rPr>
      </w:pPr>
    </w:p>
    <w:p w:rsidR="00FA31B9" w:rsidRPr="002C3EC8" w:rsidRDefault="00FA31B9" w:rsidP="00FA31B9">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FA31B9" w:rsidRPr="002C3EC8" w:rsidRDefault="00FA31B9" w:rsidP="00FA31B9">
      <w:pPr>
        <w:spacing w:before="240" w:line="360" w:lineRule="auto"/>
        <w:jc w:val="both"/>
        <w:rPr>
          <w:rFonts w:ascii="Palatino Linotype" w:eastAsia="Times New Roman" w:hAnsi="Palatino Linotype" w:cs="Times New Roman"/>
          <w:sz w:val="24"/>
          <w:szCs w:val="24"/>
          <w:lang w:val="es-ES_tradnl" w:eastAsia="es-ES"/>
        </w:rPr>
      </w:pPr>
    </w:p>
    <w:p w:rsidR="00FA31B9" w:rsidRPr="002C3EC8" w:rsidRDefault="00FA31B9" w:rsidP="00FA31B9">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SEGUNDO. </w:t>
      </w:r>
      <w:r w:rsidRPr="002C3EC8">
        <w:rPr>
          <w:rFonts w:ascii="Palatino Linotype" w:hAnsi="Palatino Linotype" w:cs="Arial"/>
          <w:b/>
          <w:sz w:val="28"/>
          <w:szCs w:val="20"/>
        </w:rPr>
        <w:t>De las respuestas del Sujeto Obligado.</w:t>
      </w:r>
    </w:p>
    <w:p w:rsidR="00FA31B9" w:rsidRPr="002C3EC8" w:rsidRDefault="00FA31B9" w:rsidP="00FA31B9">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00652B82">
        <w:rPr>
          <w:rFonts w:ascii="Palatino Linotype" w:hAnsi="Palatino Linotype" w:cs="Arial"/>
          <w:sz w:val="24"/>
          <w:szCs w:val="24"/>
        </w:rPr>
        <w:t>se aprecia que el veintiuno</w:t>
      </w:r>
      <w:r w:rsidRPr="002C3EC8">
        <w:rPr>
          <w:rFonts w:ascii="Palatino Linotype" w:hAnsi="Palatino Linotype" w:cs="Arial"/>
          <w:sz w:val="24"/>
          <w:szCs w:val="24"/>
        </w:rPr>
        <w:t xml:space="preserve"> de abril de dos mil veintidós,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las solicitudes de información en los mismos términos.</w:t>
      </w:r>
    </w:p>
    <w:p w:rsidR="00FA31B9" w:rsidRPr="002C3EC8" w:rsidRDefault="00FA31B9" w:rsidP="00FA31B9">
      <w:pPr>
        <w:spacing w:before="240" w:line="360" w:lineRule="auto"/>
        <w:jc w:val="both"/>
        <w:rPr>
          <w:rFonts w:ascii="Palatino Linotype" w:hAnsi="Palatino Linotype"/>
          <w:sz w:val="24"/>
        </w:rPr>
      </w:pPr>
      <w:r w:rsidRPr="002C3EC8">
        <w:rPr>
          <w:rFonts w:ascii="Palatino Linotype" w:hAnsi="Palatino Linotype"/>
          <w:sz w:val="24"/>
        </w:rPr>
        <w:t xml:space="preserve">De forma complementaria, </w:t>
      </w:r>
      <w:r w:rsidRPr="002C3EC8">
        <w:rPr>
          <w:rFonts w:ascii="Palatino Linotype" w:hAnsi="Palatino Linotype"/>
          <w:b/>
          <w:sz w:val="24"/>
        </w:rPr>
        <w:t xml:space="preserve">El Sujeto Obligado </w:t>
      </w:r>
      <w:r w:rsidRPr="002C3EC8">
        <w:rPr>
          <w:rFonts w:ascii="Palatino Linotype" w:hAnsi="Palatino Linotype"/>
          <w:sz w:val="24"/>
        </w:rPr>
        <w:t xml:space="preserve">adjuntó documentos electrónicos: </w:t>
      </w:r>
      <w:r w:rsidRPr="002C3EC8">
        <w:rPr>
          <w:rFonts w:ascii="Palatino Linotype" w:hAnsi="Palatino Linotype"/>
          <w:b/>
          <w:sz w:val="24"/>
        </w:rPr>
        <w:t>“</w:t>
      </w:r>
      <w:hyperlink r:id="rId7" w:tgtFrame="_blank" w:history="1">
        <w:r w:rsidRPr="002C3EC8">
          <w:rPr>
            <w:rFonts w:ascii="Palatino Linotype" w:hAnsi="Palatino Linotype"/>
            <w:b/>
          </w:rPr>
          <w:t>272-RESP-TESO.pdf</w:t>
        </w:r>
      </w:hyperlink>
      <w:r w:rsidRPr="002C3EC8">
        <w:rPr>
          <w:rFonts w:ascii="Palatino Linotype" w:hAnsi="Palatino Linotype"/>
          <w:b/>
          <w:sz w:val="24"/>
        </w:rPr>
        <w:t>”, “</w:t>
      </w:r>
      <w:hyperlink r:id="rId8" w:tgtFrame="_blank" w:history="1">
        <w:r w:rsidRPr="002C3EC8">
          <w:rPr>
            <w:rFonts w:ascii="Palatino Linotype" w:hAnsi="Palatino Linotype"/>
            <w:b/>
          </w:rPr>
          <w:t>335-RESP-TESO.pdf</w:t>
        </w:r>
      </w:hyperlink>
      <w:r w:rsidRPr="002C3EC8">
        <w:rPr>
          <w:rFonts w:ascii="Palatino Linotype" w:hAnsi="Palatino Linotype"/>
          <w:b/>
          <w:sz w:val="24"/>
        </w:rPr>
        <w:t>”, “</w:t>
      </w:r>
      <w:hyperlink r:id="rId9" w:tgtFrame="_blank" w:history="1">
        <w:r w:rsidRPr="002C3EC8">
          <w:rPr>
            <w:rFonts w:ascii="Palatino Linotype" w:hAnsi="Palatino Linotype"/>
            <w:b/>
          </w:rPr>
          <w:t>336-RESP-TESO.pdf</w:t>
        </w:r>
      </w:hyperlink>
      <w:r w:rsidRPr="002C3EC8">
        <w:rPr>
          <w:rFonts w:ascii="Palatino Linotype" w:hAnsi="Palatino Linotype"/>
          <w:b/>
          <w:sz w:val="24"/>
        </w:rPr>
        <w:t>”, “</w:t>
      </w:r>
      <w:hyperlink r:id="rId10" w:tgtFrame="_blank" w:history="1">
        <w:r w:rsidRPr="002C3EC8">
          <w:rPr>
            <w:rFonts w:ascii="Palatino Linotype" w:hAnsi="Palatino Linotype"/>
            <w:b/>
          </w:rPr>
          <w:t>337-RESP-TESO.pdf</w:t>
        </w:r>
      </w:hyperlink>
      <w:r w:rsidRPr="002C3EC8">
        <w:rPr>
          <w:rFonts w:ascii="Palatino Linotype" w:hAnsi="Palatino Linotype"/>
          <w:b/>
          <w:sz w:val="24"/>
        </w:rPr>
        <w:t>”, “</w:t>
      </w:r>
      <w:hyperlink r:id="rId11" w:tgtFrame="_blank" w:history="1">
        <w:r w:rsidRPr="002C3EC8">
          <w:rPr>
            <w:rFonts w:ascii="Palatino Linotype" w:hAnsi="Palatino Linotype"/>
            <w:b/>
          </w:rPr>
          <w:t>338-RESP-TESO.pdf</w:t>
        </w:r>
      </w:hyperlink>
      <w:r w:rsidRPr="002C3EC8">
        <w:rPr>
          <w:rFonts w:ascii="Palatino Linotype" w:hAnsi="Palatino Linotype"/>
          <w:b/>
          <w:sz w:val="24"/>
        </w:rPr>
        <w:t>”, “</w:t>
      </w:r>
      <w:hyperlink r:id="rId12" w:tgtFrame="_blank" w:history="1">
        <w:r w:rsidRPr="002C3EC8">
          <w:rPr>
            <w:rFonts w:ascii="Palatino Linotype" w:hAnsi="Palatino Linotype"/>
            <w:b/>
          </w:rPr>
          <w:t>339-RESP-TESO.pdf</w:t>
        </w:r>
      </w:hyperlink>
      <w:r w:rsidRPr="002C3EC8">
        <w:rPr>
          <w:rFonts w:ascii="Palatino Linotype" w:hAnsi="Palatino Linotype"/>
          <w:b/>
          <w:sz w:val="24"/>
        </w:rPr>
        <w:t>”, “</w:t>
      </w:r>
      <w:hyperlink r:id="rId13" w:tgtFrame="_blank" w:history="1">
        <w:r w:rsidRPr="002C3EC8">
          <w:rPr>
            <w:rFonts w:ascii="Palatino Linotype" w:hAnsi="Palatino Linotype"/>
            <w:b/>
          </w:rPr>
          <w:t>340-RESP-TESO.pdf</w:t>
        </w:r>
      </w:hyperlink>
      <w:r w:rsidRPr="002C3EC8">
        <w:rPr>
          <w:rFonts w:ascii="Palatino Linotype" w:hAnsi="Palatino Linotype"/>
          <w:b/>
          <w:sz w:val="24"/>
        </w:rPr>
        <w:t xml:space="preserve">”, </w:t>
      </w:r>
      <w:r w:rsidRPr="002C3EC8">
        <w:rPr>
          <w:rFonts w:ascii="Palatino Linotype" w:hAnsi="Palatino Linotype"/>
          <w:sz w:val="24"/>
        </w:rPr>
        <w:t xml:space="preserve">cuyo contenido es en los </w:t>
      </w:r>
      <w:r>
        <w:rPr>
          <w:rFonts w:ascii="Palatino Linotype" w:hAnsi="Palatino Linotype"/>
          <w:sz w:val="24"/>
        </w:rPr>
        <w:t>mismos términos, por lo que en aras de e</w:t>
      </w:r>
      <w:r w:rsidRPr="002C3EC8">
        <w:rPr>
          <w:rFonts w:ascii="Palatino Linotype" w:hAnsi="Palatino Linotype"/>
          <w:sz w:val="24"/>
        </w:rPr>
        <w:t>vitar repeticiones</w:t>
      </w:r>
      <w:r>
        <w:rPr>
          <w:rFonts w:ascii="Palatino Linotype" w:hAnsi="Palatino Linotype"/>
          <w:sz w:val="24"/>
        </w:rPr>
        <w:t xml:space="preserve"> innecesarias</w:t>
      </w:r>
      <w:r w:rsidRPr="002C3EC8">
        <w:rPr>
          <w:rFonts w:ascii="Palatino Linotype" w:hAnsi="Palatino Linotype"/>
          <w:sz w:val="24"/>
        </w:rPr>
        <w:t xml:space="preserve"> </w:t>
      </w:r>
      <w:r>
        <w:rPr>
          <w:rFonts w:ascii="Palatino Linotype" w:hAnsi="Palatino Linotype"/>
          <w:sz w:val="24"/>
        </w:rPr>
        <w:t xml:space="preserve">dichos documentos </w:t>
      </w:r>
      <w:r w:rsidRPr="002C3EC8">
        <w:rPr>
          <w:rFonts w:ascii="Palatino Linotype" w:hAnsi="Palatino Linotype"/>
          <w:sz w:val="24"/>
        </w:rPr>
        <w:t>se analizara</w:t>
      </w:r>
      <w:r>
        <w:rPr>
          <w:rFonts w:ascii="Palatino Linotype" w:hAnsi="Palatino Linotype"/>
          <w:sz w:val="24"/>
        </w:rPr>
        <w:t>n en el estudio</w:t>
      </w:r>
      <w:r w:rsidRPr="002C3EC8">
        <w:rPr>
          <w:rFonts w:ascii="Palatino Linotype" w:hAnsi="Palatino Linotype"/>
          <w:sz w:val="24"/>
        </w:rPr>
        <w:t>.</w:t>
      </w:r>
    </w:p>
    <w:p w:rsidR="00FA31B9" w:rsidRPr="002C3EC8" w:rsidRDefault="00FA31B9" w:rsidP="00FA31B9">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TERCERO. </w:t>
      </w:r>
      <w:r w:rsidRPr="002C3EC8">
        <w:rPr>
          <w:rFonts w:ascii="Palatino Linotype" w:hAnsi="Palatino Linotype"/>
          <w:b/>
          <w:sz w:val="28"/>
        </w:rPr>
        <w:t>Del recurso de revisión.</w:t>
      </w:r>
    </w:p>
    <w:p w:rsidR="00FA31B9" w:rsidRPr="002C3EC8" w:rsidRDefault="00FA31B9" w:rsidP="00FA31B9">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Inconforme con las respuestas notificadas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Pr="002C3EC8">
        <w:rPr>
          <w:rFonts w:ascii="Palatino Linotype" w:hAnsi="Palatino Linotype" w:cs="Arial"/>
          <w:b/>
          <w:sz w:val="24"/>
          <w:szCs w:val="24"/>
        </w:rPr>
        <w:t>ocho de mayo</w:t>
      </w:r>
      <w:r w:rsidRPr="002C3EC8">
        <w:rPr>
          <w:rFonts w:ascii="Palatino Linotype" w:hAnsi="Palatino Linotype" w:cs="Arial"/>
          <w:sz w:val="24"/>
          <w:szCs w:val="24"/>
        </w:rPr>
        <w:t xml:space="preserve"> de dos mil veintidós, los cuales fueron registrados en el sistema electrónico con los expedientes números </w:t>
      </w:r>
      <w:r w:rsidRPr="002C3EC8">
        <w:rPr>
          <w:rFonts w:ascii="Palatino Linotype" w:hAnsi="Palatino Linotype" w:cs="Arial"/>
          <w:b/>
          <w:sz w:val="24"/>
          <w:szCs w:val="24"/>
        </w:rPr>
        <w:t xml:space="preserve">07355/INFOEM/IP/RR/2022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00272/TENANCIN/IP/2022)</w:t>
      </w:r>
      <w:r w:rsidRPr="002C3EC8">
        <w:rPr>
          <w:rFonts w:ascii="Palatino Linotype" w:hAnsi="Palatino Linotype" w:cs="Arial"/>
          <w:b/>
          <w:sz w:val="24"/>
          <w:szCs w:val="24"/>
        </w:rPr>
        <w:t xml:space="preserve"> </w:t>
      </w:r>
      <w:r w:rsidRPr="002C3EC8">
        <w:rPr>
          <w:rFonts w:ascii="Palatino Linotype" w:hAnsi="Palatino Linotype" w:cs="Arial"/>
          <w:b/>
          <w:bCs/>
          <w:sz w:val="24"/>
          <w:lang w:eastAsia="es-MX"/>
        </w:rPr>
        <w:t xml:space="preserve">07359/INFOEM/IP/RR/2022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00235/TENANCIN/IP/2022)</w:t>
      </w:r>
      <w:r w:rsidRPr="002C3EC8">
        <w:rPr>
          <w:rFonts w:ascii="Palatino Linotype" w:hAnsi="Palatino Linotype" w:cs="Arial"/>
          <w:b/>
          <w:sz w:val="24"/>
          <w:szCs w:val="24"/>
        </w:rPr>
        <w:t xml:space="preserve"> </w:t>
      </w:r>
      <w:r w:rsidRPr="002C3EC8">
        <w:rPr>
          <w:rFonts w:ascii="Palatino Linotype" w:hAnsi="Palatino Linotype" w:cs="Arial"/>
          <w:b/>
          <w:bCs/>
          <w:sz w:val="24"/>
          <w:lang w:eastAsia="es-MX"/>
        </w:rPr>
        <w:t xml:space="preserve"> 07360/INFOEM/IP/RR/2022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00236/TENANCIN/IP/2022)</w:t>
      </w:r>
      <w:r w:rsidRPr="002C3EC8">
        <w:rPr>
          <w:rFonts w:ascii="Palatino Linotype" w:hAnsi="Palatino Linotype" w:cs="Arial"/>
          <w:b/>
          <w:sz w:val="24"/>
          <w:szCs w:val="24"/>
        </w:rPr>
        <w:t xml:space="preserve"> </w:t>
      </w:r>
      <w:r w:rsidRPr="002C3EC8">
        <w:rPr>
          <w:rFonts w:ascii="Palatino Linotype" w:hAnsi="Palatino Linotype" w:cs="Arial"/>
          <w:b/>
          <w:bCs/>
          <w:sz w:val="24"/>
          <w:lang w:eastAsia="es-MX"/>
        </w:rPr>
        <w:t xml:space="preserve"> 07361/INFOEM/IP/RR/2022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00237/TENANCIN/IP/2022)</w:t>
      </w:r>
      <w:r w:rsidRPr="002C3EC8">
        <w:rPr>
          <w:rFonts w:ascii="Palatino Linotype" w:hAnsi="Palatino Linotype" w:cs="Arial"/>
          <w:b/>
          <w:bCs/>
          <w:sz w:val="24"/>
          <w:lang w:eastAsia="es-MX"/>
        </w:rPr>
        <w:t xml:space="preserve"> 07362/INFOEM/IP/RR/2022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00238/TENANCIN/IP/2022)</w:t>
      </w:r>
      <w:r w:rsidRPr="002C3EC8">
        <w:rPr>
          <w:rFonts w:ascii="Palatino Linotype" w:hAnsi="Palatino Linotype" w:cs="Arial"/>
          <w:b/>
          <w:sz w:val="24"/>
          <w:szCs w:val="24"/>
        </w:rPr>
        <w:t xml:space="preserve"> </w:t>
      </w:r>
      <w:r w:rsidRPr="002C3EC8">
        <w:rPr>
          <w:rFonts w:ascii="Palatino Linotype" w:hAnsi="Palatino Linotype" w:cs="Arial"/>
          <w:b/>
          <w:bCs/>
          <w:sz w:val="24"/>
          <w:lang w:eastAsia="es-MX"/>
        </w:rPr>
        <w:t xml:space="preserve"> 07363/INFOEM/IP/RR/2022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00239/TENANCIN/IP/2022)</w:t>
      </w:r>
      <w:r w:rsidRPr="002C3EC8">
        <w:rPr>
          <w:rFonts w:ascii="Palatino Linotype" w:hAnsi="Palatino Linotype" w:cs="Arial"/>
          <w:b/>
          <w:sz w:val="24"/>
          <w:szCs w:val="24"/>
        </w:rPr>
        <w:t xml:space="preserve"> </w:t>
      </w:r>
      <w:r w:rsidRPr="002C3EC8">
        <w:rPr>
          <w:rFonts w:ascii="Palatino Linotype" w:hAnsi="Palatino Linotype" w:cs="Arial"/>
          <w:b/>
          <w:bCs/>
          <w:sz w:val="24"/>
          <w:lang w:eastAsia="es-MX"/>
        </w:rPr>
        <w:t>07364/INFOEM/IP/RR/2022</w:t>
      </w:r>
      <w:r w:rsidRPr="002C3EC8">
        <w:rPr>
          <w:rFonts w:ascii="Palatino Linotype" w:hAnsi="Palatino Linotype" w:cs="Arial"/>
          <w:b/>
          <w:sz w:val="24"/>
          <w:szCs w:val="24"/>
        </w:rPr>
        <w:t xml:space="preserve"> </w:t>
      </w:r>
      <w:r w:rsidRPr="002C3EC8">
        <w:rPr>
          <w:rFonts w:ascii="Palatino Linotype" w:hAnsi="Palatino Linotype" w:cs="Arial"/>
          <w:i/>
          <w:sz w:val="24"/>
          <w:szCs w:val="24"/>
        </w:rPr>
        <w:t xml:space="preserve">(para la solicitud </w:t>
      </w:r>
      <w:r w:rsidRPr="002C3EC8">
        <w:rPr>
          <w:rFonts w:ascii="Palatino Linotype" w:hAnsi="Palatino Linotype" w:cs="Arial"/>
          <w:i/>
          <w:sz w:val="24"/>
        </w:rPr>
        <w:t>00240/TENANCIN/IP/2022)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tbl>
      <w:tblPr>
        <w:tblStyle w:val="Tablaconcuadrcula"/>
        <w:tblW w:w="9676" w:type="dxa"/>
        <w:tblLook w:val="04A0" w:firstRow="1" w:lastRow="0" w:firstColumn="1" w:lastColumn="0" w:noHBand="0" w:noVBand="1"/>
      </w:tblPr>
      <w:tblGrid>
        <w:gridCol w:w="3114"/>
        <w:gridCol w:w="2410"/>
        <w:gridCol w:w="4152"/>
      </w:tblGrid>
      <w:tr w:rsidR="00FA31B9" w:rsidRPr="002C3EC8" w:rsidTr="00755BDC">
        <w:trPr>
          <w:trHeight w:val="1334"/>
        </w:trPr>
        <w:tc>
          <w:tcPr>
            <w:tcW w:w="3114" w:type="dxa"/>
            <w:shd w:val="clear" w:color="auto" w:fill="D9D9D9" w:themeFill="background1" w:themeFillShade="D9"/>
          </w:tcPr>
          <w:p w:rsidR="00FA31B9" w:rsidRPr="002C3EC8" w:rsidRDefault="00FA31B9" w:rsidP="00755BDC">
            <w:pPr>
              <w:spacing w:before="240" w:line="360" w:lineRule="auto"/>
              <w:jc w:val="both"/>
              <w:rPr>
                <w:rFonts w:ascii="Palatino Linotype" w:hAnsi="Palatino Linotype" w:cs="Arial"/>
                <w:b/>
                <w:i/>
                <w:sz w:val="24"/>
                <w:szCs w:val="24"/>
              </w:rPr>
            </w:pPr>
            <w:r w:rsidRPr="002C3EC8">
              <w:rPr>
                <w:rFonts w:ascii="Palatino Linotype" w:hAnsi="Palatino Linotype" w:cs="Arial"/>
                <w:b/>
                <w:i/>
                <w:sz w:val="24"/>
                <w:szCs w:val="24"/>
              </w:rPr>
              <w:lastRenderedPageBreak/>
              <w:t xml:space="preserve">Numero de recurso </w:t>
            </w:r>
          </w:p>
        </w:tc>
        <w:tc>
          <w:tcPr>
            <w:tcW w:w="2410" w:type="dxa"/>
            <w:shd w:val="clear" w:color="auto" w:fill="D9D9D9" w:themeFill="background1" w:themeFillShade="D9"/>
          </w:tcPr>
          <w:p w:rsidR="00FA31B9" w:rsidRPr="002C3EC8" w:rsidRDefault="00FA31B9" w:rsidP="00755BDC">
            <w:pPr>
              <w:spacing w:before="240" w:line="360" w:lineRule="auto"/>
              <w:jc w:val="both"/>
              <w:rPr>
                <w:rFonts w:ascii="Palatino Linotype" w:hAnsi="Palatino Linotype" w:cs="Arial"/>
                <w:b/>
                <w:i/>
                <w:sz w:val="24"/>
                <w:szCs w:val="24"/>
              </w:rPr>
            </w:pPr>
            <w:r w:rsidRPr="002C3EC8">
              <w:rPr>
                <w:rFonts w:ascii="Palatino Linotype" w:hAnsi="Palatino Linotype" w:cs="Arial"/>
                <w:b/>
                <w:i/>
                <w:sz w:val="24"/>
                <w:szCs w:val="24"/>
              </w:rPr>
              <w:t>Acto impugnado</w:t>
            </w:r>
          </w:p>
        </w:tc>
        <w:tc>
          <w:tcPr>
            <w:tcW w:w="4152" w:type="dxa"/>
            <w:shd w:val="clear" w:color="auto" w:fill="D9D9D9" w:themeFill="background1" w:themeFillShade="D9"/>
          </w:tcPr>
          <w:p w:rsidR="00FA31B9" w:rsidRPr="002C3EC8" w:rsidRDefault="00FA31B9" w:rsidP="00755BDC">
            <w:pPr>
              <w:spacing w:before="240" w:line="360" w:lineRule="auto"/>
              <w:jc w:val="both"/>
              <w:rPr>
                <w:rFonts w:ascii="Palatino Linotype" w:hAnsi="Palatino Linotype" w:cs="Arial"/>
                <w:b/>
                <w:i/>
                <w:sz w:val="24"/>
                <w:szCs w:val="24"/>
              </w:rPr>
            </w:pPr>
            <w:r w:rsidRPr="002C3EC8">
              <w:rPr>
                <w:rFonts w:ascii="Palatino Linotype" w:hAnsi="Palatino Linotype" w:cs="Arial"/>
                <w:b/>
                <w:i/>
                <w:sz w:val="24"/>
                <w:szCs w:val="24"/>
              </w:rPr>
              <w:t>Razones o motivos de inconformidad</w:t>
            </w:r>
          </w:p>
        </w:tc>
      </w:tr>
      <w:tr w:rsidR="00FA31B9" w:rsidRPr="002C3EC8" w:rsidTr="00755BDC">
        <w:trPr>
          <w:trHeight w:val="800"/>
        </w:trPr>
        <w:tc>
          <w:tcPr>
            <w:tcW w:w="3114" w:type="dxa"/>
          </w:tcPr>
          <w:p w:rsidR="00FA31B9" w:rsidRPr="002C3EC8" w:rsidRDefault="00FA31B9" w:rsidP="00755BDC">
            <w:pPr>
              <w:spacing w:before="240" w:line="360" w:lineRule="auto"/>
              <w:jc w:val="both"/>
              <w:rPr>
                <w:rFonts w:ascii="Palatino Linotype" w:hAnsi="Palatino Linotype" w:cs="Arial"/>
                <w:b/>
                <w:szCs w:val="24"/>
              </w:rPr>
            </w:pPr>
            <w:r w:rsidRPr="002C3EC8">
              <w:rPr>
                <w:rFonts w:ascii="Palatino Linotype" w:hAnsi="Palatino Linotype" w:cs="Arial"/>
                <w:b/>
                <w:szCs w:val="24"/>
              </w:rPr>
              <w:t>07355/INFOEM/IP/RR/2022</w:t>
            </w:r>
          </w:p>
        </w:tc>
        <w:tc>
          <w:tcPr>
            <w:tcW w:w="2410" w:type="dxa"/>
          </w:tcPr>
          <w:p w:rsidR="00FA31B9" w:rsidRPr="002C3EC8" w:rsidRDefault="00FA31B9" w:rsidP="00755BDC">
            <w:pPr>
              <w:spacing w:before="240" w:line="360" w:lineRule="auto"/>
              <w:jc w:val="both"/>
              <w:rPr>
                <w:rFonts w:ascii="Palatino Linotype" w:hAnsi="Palatino Linotype" w:cs="Arial"/>
                <w:b/>
                <w:i/>
                <w:szCs w:val="24"/>
              </w:rPr>
            </w:pPr>
            <w:r w:rsidRPr="002C3EC8">
              <w:rPr>
                <w:rFonts w:ascii="Palatino Linotype" w:hAnsi="Palatino Linotype"/>
                <w:i/>
                <w:color w:val="000000"/>
                <w:szCs w:val="14"/>
              </w:rPr>
              <w:t>“se niega la información” (sic)</w:t>
            </w:r>
          </w:p>
        </w:tc>
        <w:tc>
          <w:tcPr>
            <w:tcW w:w="4152" w:type="dxa"/>
          </w:tcPr>
          <w:p w:rsidR="00FA31B9" w:rsidRPr="002C3EC8" w:rsidRDefault="00FA31B9" w:rsidP="00755BDC">
            <w:pPr>
              <w:spacing w:before="240" w:line="360" w:lineRule="auto"/>
              <w:jc w:val="both"/>
              <w:rPr>
                <w:rFonts w:ascii="Palatino Linotype" w:hAnsi="Palatino Linotype" w:cs="Arial"/>
                <w:b/>
                <w:i/>
                <w:szCs w:val="24"/>
              </w:rPr>
            </w:pPr>
            <w:r w:rsidRPr="002C3EC8">
              <w:rPr>
                <w:rFonts w:ascii="Palatino Linotype" w:hAnsi="Palatino Linotype"/>
                <w:i/>
                <w:color w:val="000000"/>
                <w:szCs w:val="24"/>
              </w:rPr>
              <w:t>“se niega la información la cual se solicitó ser entregada por este medio y siendo que no existe ninguna razón para negarla siendo que es publica solicito la brinden”</w:t>
            </w:r>
            <w:r w:rsidRPr="002C3EC8">
              <w:rPr>
                <w:rFonts w:ascii="Palatino Linotype" w:hAnsi="Palatino Linotype"/>
                <w:i/>
                <w:color w:val="000000"/>
                <w:szCs w:val="14"/>
              </w:rPr>
              <w:t xml:space="preserve"> (sic)</w:t>
            </w:r>
          </w:p>
        </w:tc>
      </w:tr>
      <w:tr w:rsidR="00FA31B9" w:rsidRPr="002C3EC8" w:rsidTr="00755BDC">
        <w:trPr>
          <w:trHeight w:val="817"/>
        </w:trPr>
        <w:tc>
          <w:tcPr>
            <w:tcW w:w="3114" w:type="dxa"/>
          </w:tcPr>
          <w:p w:rsidR="00FA31B9" w:rsidRPr="002C3EC8" w:rsidRDefault="00FA31B9" w:rsidP="00755BDC">
            <w:pPr>
              <w:spacing w:before="240" w:line="360" w:lineRule="auto"/>
              <w:jc w:val="both"/>
              <w:rPr>
                <w:rFonts w:ascii="Palatino Linotype" w:hAnsi="Palatino Linotype" w:cs="Arial"/>
                <w:b/>
                <w:szCs w:val="24"/>
              </w:rPr>
            </w:pPr>
            <w:r w:rsidRPr="002C3EC8">
              <w:rPr>
                <w:rFonts w:ascii="Palatino Linotype" w:hAnsi="Palatino Linotype" w:cs="Arial"/>
                <w:b/>
                <w:bCs/>
                <w:lang w:eastAsia="es-MX"/>
              </w:rPr>
              <w:t>07359/INFOEM/IP/RR/2022</w:t>
            </w:r>
          </w:p>
        </w:tc>
        <w:tc>
          <w:tcPr>
            <w:tcW w:w="2410" w:type="dxa"/>
          </w:tcPr>
          <w:p w:rsidR="00FA31B9" w:rsidRPr="002C3EC8" w:rsidRDefault="00FA31B9" w:rsidP="00755BDC">
            <w:pPr>
              <w:spacing w:before="240" w:line="360" w:lineRule="auto"/>
              <w:jc w:val="both"/>
              <w:rPr>
                <w:rFonts w:ascii="Palatino Linotype" w:hAnsi="Palatino Linotype" w:cs="Arial"/>
                <w:i/>
                <w:szCs w:val="24"/>
              </w:rPr>
            </w:pPr>
            <w:r w:rsidRPr="002C3EC8">
              <w:rPr>
                <w:rFonts w:ascii="Palatino Linotype" w:hAnsi="Palatino Linotype"/>
                <w:i/>
                <w:color w:val="000000"/>
                <w:szCs w:val="14"/>
              </w:rPr>
              <w:t>“negativa de la información” (sic)</w:t>
            </w:r>
          </w:p>
        </w:tc>
        <w:tc>
          <w:tcPr>
            <w:tcW w:w="4152" w:type="dxa"/>
          </w:tcPr>
          <w:p w:rsidR="00FA31B9" w:rsidRPr="002C3EC8" w:rsidRDefault="00FA31B9" w:rsidP="00755BDC">
            <w:pPr>
              <w:spacing w:before="240" w:line="360" w:lineRule="auto"/>
              <w:jc w:val="both"/>
              <w:rPr>
                <w:rFonts w:ascii="Palatino Linotype" w:hAnsi="Palatino Linotype" w:cs="Arial"/>
                <w:i/>
                <w:szCs w:val="24"/>
              </w:rPr>
            </w:pPr>
            <w:r w:rsidRPr="002C3EC8">
              <w:rPr>
                <w:rFonts w:ascii="Palatino Linotype" w:hAnsi="Palatino Linotype"/>
                <w:i/>
                <w:color w:val="000000"/>
                <w:szCs w:val="14"/>
              </w:rPr>
              <w:t xml:space="preserve">“solicita el cambio de modalidad sin embargo la solicite por este medio siendo que </w:t>
            </w:r>
            <w:proofErr w:type="spellStart"/>
            <w:r w:rsidRPr="002C3EC8">
              <w:rPr>
                <w:rFonts w:ascii="Palatino Linotype" w:hAnsi="Palatino Linotype"/>
                <w:i/>
                <w:color w:val="000000"/>
                <w:szCs w:val="14"/>
              </w:rPr>
              <w:t>saimex</w:t>
            </w:r>
            <w:proofErr w:type="spellEnd"/>
            <w:r w:rsidRPr="002C3EC8">
              <w:rPr>
                <w:rFonts w:ascii="Palatino Linotype" w:hAnsi="Palatino Linotype"/>
                <w:i/>
                <w:color w:val="000000"/>
                <w:szCs w:val="14"/>
              </w:rPr>
              <w:t xml:space="preserve"> tiene la capacidad necesaria para cargarla información y porque esa información no se encuentra en el </w:t>
            </w:r>
            <w:proofErr w:type="spellStart"/>
            <w:r w:rsidRPr="002C3EC8">
              <w:rPr>
                <w:rFonts w:ascii="Palatino Linotype" w:hAnsi="Palatino Linotype"/>
                <w:i/>
                <w:color w:val="000000"/>
                <w:szCs w:val="14"/>
              </w:rPr>
              <w:t>ipomex</w:t>
            </w:r>
            <w:proofErr w:type="spellEnd"/>
            <w:r w:rsidRPr="002C3EC8">
              <w:rPr>
                <w:rFonts w:ascii="Palatino Linotype" w:hAnsi="Palatino Linotype"/>
                <w:i/>
                <w:color w:val="000000"/>
                <w:szCs w:val="14"/>
              </w:rPr>
              <w:t xml:space="preserve"> estando el municipio en incumplimiento de la ley y obstaculizando la transparencia” (sic)</w:t>
            </w:r>
          </w:p>
        </w:tc>
      </w:tr>
      <w:tr w:rsidR="00FA31B9" w:rsidRPr="002C3EC8" w:rsidTr="00755BDC">
        <w:trPr>
          <w:trHeight w:val="800"/>
        </w:trPr>
        <w:tc>
          <w:tcPr>
            <w:tcW w:w="3114" w:type="dxa"/>
          </w:tcPr>
          <w:p w:rsidR="00FA31B9" w:rsidRPr="004E145C" w:rsidRDefault="00FA31B9" w:rsidP="00755BDC">
            <w:pPr>
              <w:spacing w:before="240" w:line="360" w:lineRule="auto"/>
              <w:jc w:val="both"/>
              <w:rPr>
                <w:rFonts w:ascii="Palatino Linotype" w:hAnsi="Palatino Linotype" w:cs="Arial"/>
                <w:b/>
                <w:bCs/>
                <w:lang w:val="en-US" w:eastAsia="es-MX"/>
              </w:rPr>
            </w:pPr>
            <w:r w:rsidRPr="004E145C">
              <w:rPr>
                <w:rFonts w:ascii="Palatino Linotype" w:hAnsi="Palatino Linotype" w:cs="Arial"/>
                <w:b/>
                <w:bCs/>
                <w:lang w:val="en-US" w:eastAsia="es-MX"/>
              </w:rPr>
              <w:t>07360/INFOEM/IP/RR/2022</w:t>
            </w:r>
          </w:p>
          <w:p w:rsidR="00FA31B9" w:rsidRPr="004E145C" w:rsidRDefault="00FA31B9" w:rsidP="00755BDC">
            <w:pPr>
              <w:spacing w:before="240" w:line="360" w:lineRule="auto"/>
              <w:jc w:val="both"/>
              <w:rPr>
                <w:rFonts w:ascii="Palatino Linotype" w:hAnsi="Palatino Linotype" w:cs="Arial"/>
                <w:b/>
                <w:bCs/>
                <w:lang w:val="en-US" w:eastAsia="es-MX"/>
              </w:rPr>
            </w:pPr>
            <w:r w:rsidRPr="004E145C">
              <w:rPr>
                <w:rFonts w:ascii="Palatino Linotype" w:hAnsi="Palatino Linotype" w:cs="Arial"/>
                <w:b/>
                <w:bCs/>
                <w:lang w:val="en-US" w:eastAsia="es-MX"/>
              </w:rPr>
              <w:t>07361/INFOEM/IP/RR/2022</w:t>
            </w:r>
          </w:p>
          <w:p w:rsidR="00FA31B9" w:rsidRPr="004E145C" w:rsidRDefault="00FA31B9" w:rsidP="00755BDC">
            <w:pPr>
              <w:spacing w:before="240" w:line="360" w:lineRule="auto"/>
              <w:jc w:val="both"/>
              <w:rPr>
                <w:rFonts w:ascii="Palatino Linotype" w:hAnsi="Palatino Linotype" w:cs="Arial"/>
                <w:b/>
                <w:bCs/>
                <w:lang w:val="en-US" w:eastAsia="es-MX"/>
              </w:rPr>
            </w:pPr>
            <w:r w:rsidRPr="004E145C">
              <w:rPr>
                <w:rFonts w:ascii="Palatino Linotype" w:hAnsi="Palatino Linotype" w:cs="Arial"/>
                <w:b/>
                <w:bCs/>
                <w:lang w:val="en-US" w:eastAsia="es-MX"/>
              </w:rPr>
              <w:t>07362/INFOEM/IP/RR/2022</w:t>
            </w:r>
          </w:p>
          <w:p w:rsidR="00FA31B9" w:rsidRPr="004E145C" w:rsidRDefault="00FA31B9" w:rsidP="00755BDC">
            <w:pPr>
              <w:spacing w:before="240" w:line="360" w:lineRule="auto"/>
              <w:jc w:val="both"/>
              <w:rPr>
                <w:rFonts w:ascii="Palatino Linotype" w:hAnsi="Palatino Linotype" w:cs="Arial"/>
                <w:b/>
                <w:bCs/>
                <w:lang w:val="en-US" w:eastAsia="es-MX"/>
              </w:rPr>
            </w:pPr>
            <w:r w:rsidRPr="004E145C">
              <w:rPr>
                <w:rFonts w:ascii="Palatino Linotype" w:hAnsi="Palatino Linotype" w:cs="Arial"/>
                <w:b/>
                <w:bCs/>
                <w:lang w:val="en-US" w:eastAsia="es-MX"/>
              </w:rPr>
              <w:t>07363/INFOEM/IP/RR/2022</w:t>
            </w:r>
          </w:p>
          <w:p w:rsidR="00FA31B9" w:rsidRPr="002C3EC8" w:rsidRDefault="00FA31B9" w:rsidP="00755BDC">
            <w:pPr>
              <w:spacing w:before="240" w:line="360" w:lineRule="auto"/>
              <w:jc w:val="both"/>
              <w:rPr>
                <w:rFonts w:ascii="Palatino Linotype" w:hAnsi="Palatino Linotype" w:cs="Arial"/>
                <w:b/>
                <w:szCs w:val="24"/>
              </w:rPr>
            </w:pPr>
            <w:r w:rsidRPr="002C3EC8">
              <w:rPr>
                <w:rFonts w:ascii="Palatino Linotype" w:hAnsi="Palatino Linotype" w:cs="Arial"/>
                <w:b/>
                <w:bCs/>
                <w:lang w:eastAsia="es-MX"/>
              </w:rPr>
              <w:t>07364/INFOEM/IP/RR/2022</w:t>
            </w:r>
          </w:p>
        </w:tc>
        <w:tc>
          <w:tcPr>
            <w:tcW w:w="2410" w:type="dxa"/>
          </w:tcPr>
          <w:p w:rsidR="00FA31B9" w:rsidRPr="002C3EC8" w:rsidRDefault="00FA31B9" w:rsidP="00755BDC">
            <w:pPr>
              <w:spacing w:before="240" w:line="360" w:lineRule="auto"/>
              <w:rPr>
                <w:rFonts w:ascii="Palatino Linotype" w:hAnsi="Palatino Linotype" w:cs="Arial"/>
                <w:i/>
                <w:szCs w:val="24"/>
              </w:rPr>
            </w:pPr>
            <w:r w:rsidRPr="002C3EC8">
              <w:rPr>
                <w:rFonts w:ascii="Palatino Linotype" w:hAnsi="Palatino Linotype"/>
                <w:i/>
                <w:color w:val="000000"/>
                <w:szCs w:val="14"/>
              </w:rPr>
              <w:t>“negativa de la información” (sic)</w:t>
            </w:r>
          </w:p>
        </w:tc>
        <w:tc>
          <w:tcPr>
            <w:tcW w:w="4152" w:type="dxa"/>
          </w:tcPr>
          <w:p w:rsidR="00FA31B9" w:rsidRPr="002C3EC8" w:rsidRDefault="00FA31B9" w:rsidP="00755BDC">
            <w:pPr>
              <w:spacing w:before="240" w:line="360" w:lineRule="auto"/>
              <w:jc w:val="both"/>
              <w:rPr>
                <w:rFonts w:ascii="Palatino Linotype" w:hAnsi="Palatino Linotype" w:cs="Arial"/>
                <w:i/>
                <w:szCs w:val="24"/>
              </w:rPr>
            </w:pPr>
            <w:r w:rsidRPr="002C3EC8">
              <w:rPr>
                <w:rFonts w:ascii="Palatino Linotype" w:hAnsi="Palatino Linotype"/>
                <w:i/>
                <w:color w:val="000000"/>
                <w:szCs w:val="14"/>
              </w:rPr>
              <w:t xml:space="preserve">“solicita el cambio de modalidad sin embargo la solicite por este medio siendo que </w:t>
            </w:r>
            <w:proofErr w:type="spellStart"/>
            <w:r w:rsidRPr="002C3EC8">
              <w:rPr>
                <w:rFonts w:ascii="Palatino Linotype" w:hAnsi="Palatino Linotype"/>
                <w:i/>
                <w:color w:val="000000"/>
                <w:szCs w:val="14"/>
              </w:rPr>
              <w:t>saimex</w:t>
            </w:r>
            <w:proofErr w:type="spellEnd"/>
            <w:r w:rsidRPr="002C3EC8">
              <w:rPr>
                <w:rFonts w:ascii="Palatino Linotype" w:hAnsi="Palatino Linotype"/>
                <w:i/>
                <w:color w:val="000000"/>
                <w:szCs w:val="14"/>
              </w:rPr>
              <w:t xml:space="preserve"> tiene la capacidad necesaria para cargarla información y porque esa información no se encuentra en el </w:t>
            </w:r>
            <w:proofErr w:type="spellStart"/>
            <w:r w:rsidRPr="002C3EC8">
              <w:rPr>
                <w:rFonts w:ascii="Palatino Linotype" w:hAnsi="Palatino Linotype"/>
                <w:i/>
                <w:color w:val="000000"/>
                <w:szCs w:val="14"/>
              </w:rPr>
              <w:t>ipomex</w:t>
            </w:r>
            <w:proofErr w:type="spellEnd"/>
            <w:r w:rsidRPr="002C3EC8">
              <w:rPr>
                <w:rFonts w:ascii="Palatino Linotype" w:hAnsi="Palatino Linotype"/>
                <w:i/>
                <w:color w:val="000000"/>
                <w:szCs w:val="14"/>
              </w:rPr>
              <w:t xml:space="preserve"> estando el municipio en incumplimiento de la ley y obstaculizando mi derecho a la transparencia” (sic)</w:t>
            </w:r>
          </w:p>
        </w:tc>
      </w:tr>
    </w:tbl>
    <w:p w:rsidR="00FA31B9" w:rsidRPr="002C3EC8" w:rsidRDefault="00FA31B9" w:rsidP="00FA31B9">
      <w:pPr>
        <w:spacing w:before="240" w:line="360" w:lineRule="auto"/>
        <w:jc w:val="both"/>
        <w:rPr>
          <w:rFonts w:ascii="Palatino Linotype" w:hAnsi="Palatino Linotype" w:cs="Arial"/>
          <w:b/>
          <w:sz w:val="28"/>
        </w:rPr>
      </w:pPr>
    </w:p>
    <w:p w:rsidR="00FA31B9" w:rsidRPr="002C3EC8" w:rsidRDefault="00FA31B9" w:rsidP="00FA31B9">
      <w:pPr>
        <w:spacing w:before="240" w:line="360" w:lineRule="auto"/>
        <w:jc w:val="both"/>
        <w:rPr>
          <w:rFonts w:ascii="Palatino Linotype" w:hAnsi="Palatino Linotype" w:cs="Arial"/>
          <w:b/>
          <w:sz w:val="24"/>
          <w:szCs w:val="24"/>
        </w:rPr>
      </w:pPr>
      <w:r w:rsidRPr="002C3EC8">
        <w:rPr>
          <w:rFonts w:ascii="Palatino Linotype" w:hAnsi="Palatino Linotype" w:cs="Arial"/>
          <w:b/>
          <w:sz w:val="28"/>
        </w:rPr>
        <w:lastRenderedPageBreak/>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rsidR="00FA31B9" w:rsidRPr="002C3EC8" w:rsidRDefault="00FA31B9" w:rsidP="00FA31B9">
      <w:pPr>
        <w:spacing w:before="240" w:line="360" w:lineRule="auto"/>
        <w:jc w:val="both"/>
        <w:rPr>
          <w:rFonts w:ascii="Palatino Linotype" w:hAnsi="Palatino Linotype" w:cs="Arial"/>
          <w:sz w:val="28"/>
          <w:szCs w:val="24"/>
        </w:rPr>
      </w:pPr>
      <w:r w:rsidRPr="002C3EC8">
        <w:rPr>
          <w:rFonts w:ascii="Palatino Linotype" w:hAnsi="Palatino Linotype"/>
          <w:sz w:val="24"/>
        </w:rPr>
        <w:t xml:space="preserve">Los medios de impugnación le fueron turnados a los Comisionados </w:t>
      </w:r>
      <w:r w:rsidRPr="002C3EC8">
        <w:rPr>
          <w:rFonts w:ascii="Palatino Linotype" w:hAnsi="Palatino Linotype"/>
          <w:b/>
          <w:sz w:val="24"/>
        </w:rPr>
        <w:t>José Martínez Vilchis, Sharon Cristina Morales Martínez, María del Rosario Mejía Ayala, Guadalupe Ramírez Peña y Luis Gustavo Parra Noriega</w:t>
      </w:r>
      <w:r w:rsidRPr="002C3EC8">
        <w:rPr>
          <w:rFonts w:ascii="Palatino Linotype" w:hAnsi="Palatino Linotype"/>
          <w:sz w:val="24"/>
        </w:rPr>
        <w:t>, por medio del sistema electrónico SAIMEX, en términos del arábigo 185, fracción I, de la Ley de Transparencia y Acceso a la información Pública del Estado de México y Municipios, de los cuales recayeron acuerdos de admisión en fecha once, doce y trece de mayo de dos mil veintidós, determinándose en ellos, un plazo de siete días para que las partes manifestaran lo que a su derecho corresponda en términos del numeral ya citado.</w:t>
      </w:r>
    </w:p>
    <w:p w:rsidR="00FA31B9" w:rsidRPr="002C3EC8" w:rsidRDefault="00FA31B9" w:rsidP="00FA31B9">
      <w:pPr>
        <w:spacing w:before="240" w:line="360" w:lineRule="auto"/>
        <w:jc w:val="both"/>
        <w:rPr>
          <w:rFonts w:ascii="Palatino Linotype" w:hAnsi="Palatino Linotype" w:cs="Arial"/>
          <w:sz w:val="24"/>
          <w:szCs w:val="24"/>
        </w:rPr>
      </w:pPr>
    </w:p>
    <w:p w:rsidR="00FA31B9" w:rsidRPr="002C3EC8" w:rsidRDefault="00FA31B9" w:rsidP="00FA31B9">
      <w:pPr>
        <w:pStyle w:val="Prrafodelista"/>
        <w:spacing w:line="360" w:lineRule="auto"/>
        <w:ind w:left="0"/>
        <w:jc w:val="both"/>
        <w:rPr>
          <w:rFonts w:ascii="Palatino Linotype" w:hAnsi="Palatino Linotype"/>
        </w:rPr>
      </w:pPr>
      <w:r w:rsidRPr="002C3EC8">
        <w:rPr>
          <w:rFonts w:ascii="Palatino Linotype" w:hAnsi="Palatino Linotype" w:cs="Arial"/>
          <w:b/>
          <w:sz w:val="28"/>
        </w:rPr>
        <w:t>QUINTO</w:t>
      </w:r>
      <w:r w:rsidRPr="002C3EC8">
        <w:rPr>
          <w:rFonts w:ascii="Palatino Linotype" w:hAnsi="Palatino Linotype" w:cs="Arial"/>
          <w:b/>
          <w:sz w:val="28"/>
          <w:szCs w:val="28"/>
        </w:rPr>
        <w:t>.</w:t>
      </w:r>
      <w:r w:rsidRPr="002C3EC8">
        <w:rPr>
          <w:rFonts w:ascii="Palatino Linotype" w:hAnsi="Palatino Linotype"/>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rsidR="00FA31B9" w:rsidRPr="002C3EC8" w:rsidRDefault="00FA31B9" w:rsidP="00FA31B9">
      <w:pPr>
        <w:pStyle w:val="Prrafodelista"/>
        <w:spacing w:line="360" w:lineRule="auto"/>
        <w:ind w:left="0"/>
        <w:jc w:val="both"/>
        <w:rPr>
          <w:rFonts w:ascii="Palatino Linotype" w:hAnsi="Palatino Linotype"/>
        </w:rPr>
      </w:pPr>
    </w:p>
    <w:p w:rsidR="00FA31B9" w:rsidRPr="002C3EC8" w:rsidRDefault="00FA31B9" w:rsidP="00FA31B9">
      <w:pPr>
        <w:pStyle w:val="Prrafodelista"/>
        <w:spacing w:line="360" w:lineRule="auto"/>
        <w:ind w:left="0"/>
        <w:jc w:val="both"/>
        <w:rPr>
          <w:rFonts w:ascii="Palatino Linotype" w:hAnsi="Palatino Linotype"/>
        </w:rPr>
      </w:pPr>
      <w:r w:rsidRPr="002C3EC8">
        <w:rPr>
          <w:rFonts w:ascii="Palatino Linotype" w:hAnsi="Palatino Linotype"/>
        </w:rPr>
        <w:t>Posteriormente por acuerdo del Pleno del Instituto, en la Décimo Octava Sesión Ordinaria de Pleno, de fecha dieciocho de mayo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FA31B9" w:rsidRPr="002C3EC8" w:rsidRDefault="00FA31B9" w:rsidP="00FA31B9">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FA31B9" w:rsidRPr="002C3EC8" w:rsidTr="00755BDC">
        <w:trPr>
          <w:trHeight w:val="1071"/>
        </w:trPr>
        <w:tc>
          <w:tcPr>
            <w:tcW w:w="7587" w:type="dxa"/>
            <w:tcBorders>
              <w:top w:val="nil"/>
              <w:left w:val="nil"/>
              <w:bottom w:val="nil"/>
              <w:right w:val="nil"/>
            </w:tcBorders>
          </w:tcPr>
          <w:p w:rsidR="00FA31B9" w:rsidRPr="002C3EC8" w:rsidRDefault="00FA31B9" w:rsidP="00755BDC">
            <w:pPr>
              <w:pStyle w:val="Prrafodelista"/>
              <w:spacing w:line="360" w:lineRule="auto"/>
              <w:ind w:left="0"/>
              <w:jc w:val="both"/>
              <w:rPr>
                <w:rFonts w:ascii="Palatino Linotype" w:hAnsi="Palatino Linotype"/>
                <w:i/>
                <w:sz w:val="22"/>
              </w:rPr>
            </w:pPr>
            <w:r w:rsidRPr="002C3EC8">
              <w:rPr>
                <w:rFonts w:ascii="Palatino Linotype" w:hAnsi="Palatino Linotype"/>
                <w:i/>
                <w:sz w:val="22"/>
              </w:rPr>
              <w:lastRenderedPageBreak/>
              <w:t xml:space="preserve">“Artículo 195. En la tramitación del recurso de revisión se aplicarán supletoriamente las disposiciones contenidas en el Código de Procedimientos Administrativos del Estado de México.” </w:t>
            </w:r>
          </w:p>
        </w:tc>
      </w:tr>
      <w:tr w:rsidR="00FA31B9" w:rsidRPr="002C3EC8" w:rsidTr="00755BDC">
        <w:trPr>
          <w:trHeight w:val="2130"/>
        </w:trPr>
        <w:tc>
          <w:tcPr>
            <w:tcW w:w="7587" w:type="dxa"/>
            <w:tcBorders>
              <w:top w:val="nil"/>
              <w:left w:val="nil"/>
              <w:bottom w:val="nil"/>
              <w:right w:val="nil"/>
            </w:tcBorders>
          </w:tcPr>
          <w:p w:rsidR="00FA31B9" w:rsidRPr="002C3EC8" w:rsidRDefault="00FA31B9" w:rsidP="00755BDC">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FA31B9" w:rsidRPr="002C3EC8" w:rsidRDefault="00FA31B9" w:rsidP="00FA31B9">
      <w:pPr>
        <w:pStyle w:val="Prrafodelista"/>
        <w:spacing w:line="360" w:lineRule="auto"/>
        <w:ind w:left="0"/>
        <w:jc w:val="both"/>
        <w:rPr>
          <w:rFonts w:ascii="Palatino Linotype" w:hAnsi="Palatino Linotype"/>
        </w:rPr>
      </w:pPr>
    </w:p>
    <w:p w:rsidR="00FA31B9" w:rsidRPr="002C3EC8" w:rsidRDefault="00FA31B9" w:rsidP="00FA31B9">
      <w:pPr>
        <w:pStyle w:val="Prrafodelista"/>
        <w:spacing w:line="360" w:lineRule="auto"/>
        <w:ind w:left="0"/>
        <w:jc w:val="both"/>
        <w:rPr>
          <w:rFonts w:ascii="Palatino Linotype" w:hAnsi="Palatino Linotype" w:cs="Arial"/>
          <w:b/>
        </w:rPr>
      </w:pPr>
      <w:r w:rsidRPr="002C3EC8">
        <w:rPr>
          <w:rFonts w:ascii="Palatino Linotype" w:hAnsi="Palatino Linotype" w:cs="Arial"/>
          <w:b/>
          <w:sz w:val="28"/>
          <w:szCs w:val="28"/>
        </w:rPr>
        <w:t>SEXTO. De la etapa de instrucción.</w:t>
      </w:r>
    </w:p>
    <w:p w:rsidR="00FA31B9" w:rsidRPr="002C3EC8" w:rsidRDefault="00FA31B9" w:rsidP="00FA31B9">
      <w:pPr>
        <w:spacing w:after="0" w:line="360" w:lineRule="auto"/>
        <w:jc w:val="both"/>
        <w:rPr>
          <w:rFonts w:ascii="Palatino Linotype" w:hAnsi="Palatino Linotype" w:cs="Arial"/>
          <w:sz w:val="24"/>
          <w:szCs w:val="24"/>
        </w:rPr>
      </w:pPr>
    </w:p>
    <w:p w:rsidR="00FA31B9" w:rsidRPr="002C3EC8" w:rsidRDefault="00FA31B9" w:rsidP="00FA31B9">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Una vez abierta la etapa de instrucción, se advierte que el </w:t>
      </w:r>
      <w:r w:rsidRPr="002C3EC8">
        <w:rPr>
          <w:rFonts w:ascii="Palatino Linotype" w:hAnsi="Palatino Linotype" w:cs="Arial"/>
          <w:b/>
          <w:sz w:val="24"/>
          <w:szCs w:val="24"/>
        </w:rPr>
        <w:t>Sujeto Obligado</w:t>
      </w:r>
      <w:r w:rsidRPr="002C3EC8">
        <w:rPr>
          <w:rFonts w:ascii="Palatino Linotype" w:hAnsi="Palatino Linotype" w:cs="Arial"/>
          <w:sz w:val="24"/>
          <w:szCs w:val="24"/>
        </w:rPr>
        <w:t xml:space="preserve"> fue omiso en rendir sus informes justificados. De igual manera, se advierte que el </w:t>
      </w:r>
      <w:r w:rsidRPr="002C3EC8">
        <w:rPr>
          <w:rFonts w:ascii="Palatino Linotype" w:hAnsi="Palatino Linotype" w:cs="Arial"/>
          <w:b/>
          <w:sz w:val="24"/>
          <w:szCs w:val="24"/>
        </w:rPr>
        <w:t>Recurrente,</w:t>
      </w:r>
      <w:r w:rsidRPr="002C3EC8">
        <w:rPr>
          <w:rFonts w:ascii="Palatino Linotype" w:hAnsi="Palatino Linotype" w:cs="Arial"/>
          <w:sz w:val="24"/>
          <w:szCs w:val="24"/>
        </w:rPr>
        <w:t xml:space="preserve"> omitió rendir dentro del término de Ley, las manifestaciones</w:t>
      </w:r>
      <w:r>
        <w:rPr>
          <w:rFonts w:ascii="Palatino Linotype" w:hAnsi="Palatino Linotype" w:cs="Arial"/>
          <w:sz w:val="24"/>
          <w:szCs w:val="24"/>
        </w:rPr>
        <w:t xml:space="preserve"> que a sus intereses conviene. </w:t>
      </w:r>
    </w:p>
    <w:p w:rsidR="00FA31B9" w:rsidRPr="002C3EC8" w:rsidRDefault="00FA31B9" w:rsidP="00FA31B9">
      <w:pPr>
        <w:spacing w:after="0" w:line="360" w:lineRule="auto"/>
        <w:jc w:val="both"/>
        <w:rPr>
          <w:rFonts w:ascii="Palatino Linotype" w:hAnsi="Palatino Linotype" w:cs="Arial"/>
          <w:sz w:val="24"/>
          <w:szCs w:val="24"/>
        </w:rPr>
      </w:pPr>
    </w:p>
    <w:p w:rsidR="00FA31B9" w:rsidRPr="002C3EC8" w:rsidRDefault="00FA31B9" w:rsidP="00FA31B9">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2C3EC8">
        <w:rPr>
          <w:rFonts w:ascii="Palatino Linotype" w:hAnsi="Palatino Linotype" w:cs="Arial"/>
          <w:b/>
          <w:sz w:val="24"/>
          <w:szCs w:val="24"/>
        </w:rPr>
        <w:t>Recurrente</w:t>
      </w:r>
      <w:r w:rsidRPr="002C3EC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FA31B9" w:rsidRPr="002C3EC8" w:rsidRDefault="00FA31B9" w:rsidP="00FA31B9">
      <w:pPr>
        <w:spacing w:after="0" w:line="360" w:lineRule="auto"/>
        <w:jc w:val="both"/>
        <w:rPr>
          <w:rFonts w:ascii="Palatino Linotype" w:hAnsi="Palatino Linotype" w:cs="Arial"/>
          <w:sz w:val="24"/>
          <w:szCs w:val="24"/>
        </w:rPr>
      </w:pPr>
    </w:p>
    <w:p w:rsidR="00FA31B9" w:rsidRPr="002C3EC8" w:rsidRDefault="00FA31B9" w:rsidP="00FA31B9">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SEPTIMO. Del Cierre de Instrucción.</w:t>
      </w:r>
    </w:p>
    <w:p w:rsidR="00FA31B9" w:rsidRDefault="00FA31B9" w:rsidP="00FA31B9">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treinta y uno de mayo de dos mil veintidós, en términos del artículo 185 fracción VI de la Ley de Transparencia y Acceso a la Información Pública del Estado de México y Municipios, ordenándose turnar el expediente a la resolución que en derecho proceda.</w:t>
      </w:r>
    </w:p>
    <w:p w:rsidR="00FA31B9" w:rsidRDefault="00FA31B9" w:rsidP="00FA31B9">
      <w:pPr>
        <w:spacing w:after="0" w:line="360" w:lineRule="auto"/>
        <w:jc w:val="both"/>
        <w:rPr>
          <w:rFonts w:ascii="Palatino Linotype" w:hAnsi="Palatino Linotype" w:cs="Arial"/>
          <w:sz w:val="24"/>
          <w:szCs w:val="24"/>
        </w:rPr>
      </w:pPr>
    </w:p>
    <w:p w:rsidR="00FA31B9" w:rsidRPr="009E5E8F" w:rsidRDefault="00FA31B9" w:rsidP="00FA31B9">
      <w:pPr>
        <w:spacing w:line="360" w:lineRule="auto"/>
        <w:jc w:val="both"/>
        <w:rPr>
          <w:rFonts w:ascii="Palatino Linotype" w:hAnsi="Palatino Linotype" w:cs="Arial"/>
          <w:b/>
          <w:sz w:val="28"/>
        </w:rPr>
      </w:pPr>
      <w:r>
        <w:rPr>
          <w:rFonts w:ascii="Palatino Linotype" w:hAnsi="Palatino Linotype" w:cs="Arial"/>
          <w:b/>
          <w:sz w:val="28"/>
          <w:szCs w:val="28"/>
        </w:rPr>
        <w:t>OCTAV</w:t>
      </w:r>
      <w:r w:rsidRPr="00FE67DF">
        <w:rPr>
          <w:rFonts w:ascii="Palatino Linotype" w:hAnsi="Palatino Linotype" w:cs="Arial"/>
          <w:b/>
          <w:sz w:val="28"/>
          <w:szCs w:val="28"/>
        </w:rPr>
        <w:t>O.</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FA31B9" w:rsidRPr="00FA29BE" w:rsidRDefault="00FA31B9" w:rsidP="00FA31B9">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Pr>
          <w:rFonts w:ascii="Palatino Linotype" w:hAnsi="Palatino Linotype" w:cs="Arial"/>
          <w:b/>
          <w:sz w:val="24"/>
        </w:rPr>
        <w:t>10</w:t>
      </w:r>
      <w:r w:rsidRPr="00FA29BE">
        <w:rPr>
          <w:rFonts w:ascii="Palatino Linotype" w:hAnsi="Palatino Linotype" w:cs="Arial"/>
          <w:b/>
          <w:sz w:val="24"/>
        </w:rPr>
        <w:t xml:space="preserve"> de junio del año dos mil veintidós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rsidR="00FA31B9" w:rsidRPr="002C3EC8" w:rsidRDefault="00FA31B9" w:rsidP="00FA31B9">
      <w:pPr>
        <w:spacing w:after="0" w:line="360" w:lineRule="auto"/>
        <w:jc w:val="both"/>
        <w:rPr>
          <w:rFonts w:ascii="Palatino Linotype" w:hAnsi="Palatino Linotype" w:cs="Arial"/>
          <w:sz w:val="24"/>
          <w:szCs w:val="24"/>
        </w:rPr>
      </w:pPr>
    </w:p>
    <w:p w:rsidR="00FA31B9" w:rsidRPr="002C3EC8" w:rsidRDefault="00FA31B9" w:rsidP="00FA31B9">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FA31B9" w:rsidRPr="002C3EC8" w:rsidRDefault="00FA31B9" w:rsidP="00FA31B9">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FA31B9" w:rsidRPr="002C3EC8" w:rsidRDefault="00FA31B9" w:rsidP="00FA31B9">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w:t>
      </w:r>
      <w:r w:rsidRPr="002C3EC8">
        <w:rPr>
          <w:rFonts w:ascii="Palatino Linotype" w:eastAsia="Calibri" w:hAnsi="Palatino Linotype"/>
          <w:color w:val="000000" w:themeColor="text1"/>
          <w:sz w:val="24"/>
          <w:szCs w:val="24"/>
        </w:rPr>
        <w:lastRenderedPageBreak/>
        <w:t xml:space="preserve">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A31B9" w:rsidRPr="002C3EC8" w:rsidRDefault="00FA31B9" w:rsidP="00FA31B9">
      <w:pPr>
        <w:spacing w:before="240" w:line="360" w:lineRule="auto"/>
        <w:jc w:val="both"/>
        <w:rPr>
          <w:rFonts w:ascii="Palatino Linotype" w:eastAsia="Calibri" w:hAnsi="Palatino Linotype"/>
          <w:b/>
          <w:color w:val="000000" w:themeColor="text1"/>
          <w:sz w:val="24"/>
          <w:szCs w:val="24"/>
        </w:rPr>
      </w:pP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 los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r w:rsidRPr="002C3EC8">
        <w:rPr>
          <w:rFonts w:ascii="Palatino Linotype" w:hAnsi="Palatino Linotype" w:cs="Arial"/>
          <w:b/>
        </w:rPr>
        <w:t xml:space="preserve"> </w:t>
      </w: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FA31B9" w:rsidRPr="002C3EC8" w:rsidRDefault="00FA31B9" w:rsidP="00FA31B9">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FA31B9" w:rsidRPr="002C3EC8" w:rsidRDefault="00FA31B9" w:rsidP="00FA31B9">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lastRenderedPageBreak/>
        <w:t xml:space="preserve">I. El sujeto obligado ante la cual se presentó la solicitud; </w:t>
      </w:r>
    </w:p>
    <w:p w:rsidR="00FA31B9" w:rsidRPr="002C3EC8" w:rsidRDefault="00FA31B9" w:rsidP="00FA31B9">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FA31B9" w:rsidRPr="002C3EC8" w:rsidRDefault="00FA31B9" w:rsidP="00FA31B9">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rsidR="00FA31B9" w:rsidRPr="002C3EC8" w:rsidRDefault="00FA31B9" w:rsidP="00FA31B9">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FA31B9" w:rsidRPr="002C3EC8" w:rsidRDefault="00FA31B9" w:rsidP="00FA31B9">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rsidR="00FA31B9" w:rsidRPr="002C3EC8" w:rsidRDefault="00FA31B9" w:rsidP="00FA31B9">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rsidR="00FA31B9" w:rsidRPr="002C3EC8" w:rsidRDefault="00FA31B9" w:rsidP="00FA31B9">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FA31B9" w:rsidRPr="002C3EC8" w:rsidRDefault="00FA31B9" w:rsidP="00FA31B9">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FA31B9" w:rsidRPr="002C3EC8" w:rsidRDefault="00FA31B9" w:rsidP="00FA31B9">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FA31B9" w:rsidRPr="002C3EC8" w:rsidRDefault="00FA31B9" w:rsidP="00FA31B9">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rsidR="00FA31B9" w:rsidRPr="002C3EC8" w:rsidRDefault="00FA31B9" w:rsidP="00FA31B9">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rPr>
      </w:pP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A31B9" w:rsidRPr="002C3EC8" w:rsidTr="00755BDC">
        <w:trPr>
          <w:trHeight w:val="1360"/>
        </w:trPr>
        <w:tc>
          <w:tcPr>
            <w:tcW w:w="7982" w:type="dxa"/>
          </w:tcPr>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A31B9" w:rsidRPr="002C3EC8" w:rsidTr="00755BDC">
        <w:trPr>
          <w:jc w:val="center"/>
        </w:trPr>
        <w:tc>
          <w:tcPr>
            <w:tcW w:w="8075" w:type="dxa"/>
          </w:tcPr>
          <w:p w:rsidR="00FA31B9" w:rsidRPr="002C3EC8" w:rsidRDefault="00FA31B9" w:rsidP="00755BDC">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FA31B9" w:rsidRPr="002C3EC8" w:rsidRDefault="00FA31B9" w:rsidP="00755BDC">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FA31B9" w:rsidRPr="002C3EC8" w:rsidRDefault="00FA31B9" w:rsidP="00755B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FA31B9" w:rsidRPr="002C3EC8" w:rsidRDefault="00FA31B9" w:rsidP="00755B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2C3EC8">
              <w:rPr>
                <w:rFonts w:ascii="Palatino Linotype" w:hAnsi="Palatino Linotype" w:cs="Arial"/>
                <w:i/>
                <w:sz w:val="22"/>
                <w:lang w:val="es-MX"/>
              </w:rPr>
              <w:lastRenderedPageBreak/>
              <w:t>transparencia, acceso a la información pública y a la protección de datos personales en posesión de los sujetos obligados en los términos que establezca la ley. (…)”</w:t>
            </w:r>
          </w:p>
        </w:tc>
      </w:tr>
    </w:tbl>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FA31B9" w:rsidRPr="002C3EC8" w:rsidTr="00755BDC">
        <w:trPr>
          <w:trHeight w:val="1695"/>
          <w:jc w:val="center"/>
        </w:trPr>
        <w:tc>
          <w:tcPr>
            <w:tcW w:w="7561" w:type="dxa"/>
          </w:tcPr>
          <w:p w:rsidR="00FA31B9" w:rsidRPr="002C3EC8" w:rsidRDefault="00FA31B9" w:rsidP="00755BDC">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t>“</w:t>
            </w:r>
            <w:r w:rsidRPr="002C3EC8">
              <w:rPr>
                <w:rFonts w:ascii="Palatino Linotype" w:hAnsi="Palatino Linotype"/>
                <w:b/>
                <w:i/>
                <w:sz w:val="22"/>
                <w:lang w:val="es-MX"/>
              </w:rPr>
              <w:t>Artículo 1o</w:t>
            </w:r>
            <w:r w:rsidRPr="002C3EC8">
              <w:rPr>
                <w:rFonts w:ascii="Palatino Linotype" w:hAnsi="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FA31B9" w:rsidRPr="002C3EC8" w:rsidRDefault="00FA31B9" w:rsidP="00755BDC">
            <w:pPr>
              <w:pStyle w:val="Prrafodelista"/>
              <w:autoSpaceDE w:val="0"/>
              <w:autoSpaceDN w:val="0"/>
              <w:adjustRightInd w:val="0"/>
              <w:ind w:left="0"/>
              <w:jc w:val="both"/>
              <w:rPr>
                <w:rFonts w:ascii="Palatino Linotype" w:hAnsi="Palatino Linotype"/>
                <w:i/>
                <w:sz w:val="22"/>
                <w:lang w:val="es-MX"/>
              </w:rPr>
            </w:pPr>
          </w:p>
          <w:p w:rsidR="00FA31B9" w:rsidRPr="002C3EC8" w:rsidRDefault="00FA31B9" w:rsidP="00755BDC">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t xml:space="preserve">Las normas relativas a los derechos humanos se interpretarán de conformidad con esta Constitución y con los tratados internacionales de la materia favoreciendo en todo tiempo a las personas la protección más amplia. </w:t>
            </w:r>
          </w:p>
          <w:p w:rsidR="00FA31B9" w:rsidRPr="002C3EC8" w:rsidRDefault="00FA31B9" w:rsidP="00755BDC">
            <w:pPr>
              <w:pStyle w:val="Prrafodelista"/>
              <w:autoSpaceDE w:val="0"/>
              <w:autoSpaceDN w:val="0"/>
              <w:adjustRightInd w:val="0"/>
              <w:ind w:left="0"/>
              <w:jc w:val="both"/>
              <w:rPr>
                <w:rFonts w:ascii="Palatino Linotype" w:hAnsi="Palatino Linotype"/>
                <w:i/>
                <w:sz w:val="22"/>
                <w:lang w:val="es-MX"/>
              </w:rPr>
            </w:pPr>
          </w:p>
          <w:p w:rsidR="00FA31B9" w:rsidRPr="002C3EC8" w:rsidRDefault="00FA31B9" w:rsidP="00755BDC">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bl>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lang w:val="es-MX"/>
        </w:rPr>
      </w:pP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FA31B9" w:rsidRDefault="00FA31B9" w:rsidP="00FA31B9">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En conclusión, se cubrieron los requisitos de procedencia y </w:t>
      </w:r>
      <w:proofErr w:type="spellStart"/>
      <w:r w:rsidRPr="002C3EC8">
        <w:rPr>
          <w:rFonts w:ascii="Palatino Linotype" w:hAnsi="Palatino Linotype"/>
          <w:lang w:val="es-MX"/>
        </w:rPr>
        <w:t>procedibilidad</w:t>
      </w:r>
      <w:proofErr w:type="spellEnd"/>
      <w:r w:rsidRPr="002C3EC8">
        <w:rPr>
          <w:rFonts w:ascii="Palatino Linotype" w:hAnsi="Palatino Linotype"/>
          <w:lang w:val="es-MX"/>
        </w:rPr>
        <w:t xml:space="preserve"> y conforme a las constancias que obran en el expediente.</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 </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En ese sentido, el legislador fijó los términos procesales en las leyes, de manera general, sin que pudiera prever la variada gama de casos que son resueltos por los órganos </w:t>
      </w:r>
      <w:r w:rsidRPr="00F40D61">
        <w:rPr>
          <w:rFonts w:ascii="Palatino Linotype" w:hAnsi="Palatino Linotype"/>
          <w:sz w:val="24"/>
        </w:rPr>
        <w:lastRenderedPageBreak/>
        <w:t>jurisdiccionales o cuasi jurisdiccionales, tanto por la complejidad de los hechos, como por el número de casos que conocen.</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 </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a)      Complejidad del asunto: La complejidad de la prueba, la pluralidad de sujetos procesales, el tiempo transcurrido, las características y contexto del recurso.</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b)     Actividad Procesal del interesado: Acciones u omisiones del interesado.</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c)      Conducta de la Autoridad: Las Acciones u omisiones realizadas en el procedimiento. Así como si la autoridad actuó con la debida diligencia.</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d) La afectación generada en la situación jurídica de la persona involucrada en el proceso: Violación a sus derechos humanos.</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 xml:space="preserve">J. 32/92 emitida por el Pleno de la Suprema Corte de Justicia de la Nación de rubro “TÉRMINOS PROCESALES. PARA DETERMINAR SI UN FUNCIONARIO JUDICIAL ACTUÓ </w:t>
      </w:r>
      <w:r w:rsidRPr="00F40D61">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 </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t xml:space="preserve"> “PLAZO RAZONABLE PARA RESOLVER. DIMENSIÓN Y EFECTOS DE ESTE CONCEPTO CUANDO SE ADUCE EXCESIVA CARGA DE TRABAJO.” consultable en el Seminario Judicial de la Federación y su gaceta, con el registro digital 2002351.</w:t>
      </w:r>
    </w:p>
    <w:p w:rsidR="00FA31B9" w:rsidRPr="00F40D61" w:rsidRDefault="00FA31B9" w:rsidP="00FA31B9">
      <w:pPr>
        <w:spacing w:line="360" w:lineRule="auto"/>
        <w:jc w:val="both"/>
        <w:rPr>
          <w:rFonts w:ascii="Palatino Linotype" w:hAnsi="Palatino Linotype"/>
          <w:sz w:val="24"/>
        </w:rPr>
      </w:pPr>
      <w:r w:rsidRPr="00F40D61">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rsidR="00FA31B9" w:rsidRPr="00C95FB9" w:rsidRDefault="00FA31B9" w:rsidP="00FA31B9">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A31B9" w:rsidRPr="002C3EC8" w:rsidRDefault="00FA31B9" w:rsidP="00FA31B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2C3EC8">
        <w:rPr>
          <w:rFonts w:ascii="Palatino Linotype" w:hAnsi="Palatino Linotype" w:cs="Arial"/>
        </w:rPr>
        <w:lastRenderedPageBreak/>
        <w:t>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FA31B9" w:rsidRPr="002C3EC8" w:rsidRDefault="00FA31B9" w:rsidP="00FA31B9">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FA31B9" w:rsidRPr="007379EE"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A31B9" w:rsidRPr="007379EE"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A31B9" w:rsidRPr="007379EE"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 la nómina completa correspondiente a los años 2017, 2018, 2019, 2020, 2021 y 2022.</w:t>
      </w:r>
    </w:p>
    <w:p w:rsidR="00FA31B9"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como la nómina de los servidores públicos enunciados en el artículo 32 de la Ley Orgánica Municipal del Estado de México, como lo son los titular</w:t>
      </w:r>
      <w:r w:rsidRPr="00AA369D">
        <w:rPr>
          <w:rFonts w:ascii="Palatino Linotype" w:eastAsia="Palatino Linotype" w:hAnsi="Palatino Linotype" w:cs="Palatino Linotype"/>
          <w:color w:val="000000"/>
          <w:sz w:val="24"/>
          <w:szCs w:val="24"/>
        </w:rPr>
        <w:t>es de</w:t>
      </w:r>
      <w:r>
        <w:rPr>
          <w:rFonts w:ascii="Palatino Linotype" w:eastAsia="Palatino Linotype" w:hAnsi="Palatino Linotype" w:cs="Palatino Linotype"/>
          <w:color w:val="000000"/>
          <w:sz w:val="24"/>
          <w:szCs w:val="24"/>
        </w:rPr>
        <w:t xml:space="preserve">: </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Secretaría</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Tesorería</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Dirección de Obras</w:t>
      </w:r>
      <w:r>
        <w:rPr>
          <w:rFonts w:ascii="Palatino Linotype" w:eastAsia="Palatino Linotype" w:hAnsi="Palatino Linotype" w:cs="Palatino Linotype"/>
          <w:color w:val="000000"/>
        </w:rPr>
        <w:t xml:space="preserve"> Públicas</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Desarrollo Económico</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Turismo</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Ecología</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Desarrollo Urbano</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Desarrollo Social</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las Mujeres</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 xml:space="preserve">Coordinación General </w:t>
      </w:r>
      <w:r>
        <w:rPr>
          <w:rFonts w:ascii="Palatino Linotype" w:eastAsia="Palatino Linotype" w:hAnsi="Palatino Linotype" w:cs="Palatino Linotype"/>
          <w:color w:val="000000"/>
        </w:rPr>
        <w:t>Municipal de Mejora Regulatoria</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Coordinación Municipal de Protección Civil</w:t>
      </w:r>
    </w:p>
    <w:p w:rsidR="00FA31B9"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3104">
        <w:rPr>
          <w:rFonts w:ascii="Palatino Linotype" w:eastAsia="Palatino Linotype" w:hAnsi="Palatino Linotype" w:cs="Palatino Linotype"/>
          <w:color w:val="000000"/>
        </w:rPr>
        <w:t xml:space="preserve">Unidades administrativas </w:t>
      </w:r>
    </w:p>
    <w:p w:rsidR="00FA31B9" w:rsidRPr="00755BDC" w:rsidRDefault="00FA31B9" w:rsidP="00FA31B9">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w:t>
      </w:r>
      <w:r w:rsidRPr="00E23104">
        <w:rPr>
          <w:rFonts w:ascii="Palatino Linotype" w:eastAsia="Palatino Linotype" w:hAnsi="Palatino Linotype" w:cs="Palatino Linotype"/>
          <w:color w:val="000000"/>
        </w:rPr>
        <w:t>rganismos auxiliares</w:t>
      </w:r>
    </w:p>
    <w:p w:rsidR="00FA31B9" w:rsidRDefault="00FA31B9" w:rsidP="00FA31B9">
      <w:pPr>
        <w:pStyle w:val="INFOEM"/>
      </w:pPr>
      <w:r w:rsidRPr="00755BDC">
        <w:rPr>
          <w:b/>
        </w:rPr>
        <w:t>Artículo 32.</w:t>
      </w:r>
      <w: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lastRenderedPageBreak/>
        <w:t xml:space="preserve">unidades administrativas y de los organismos auxiliares, se deberán satisfacer los siguientes requisitos: </w:t>
      </w:r>
    </w:p>
    <w:p w:rsidR="00FA31B9" w:rsidRDefault="00FA31B9" w:rsidP="00FA31B9">
      <w:pPr>
        <w:pStyle w:val="INFOEM"/>
        <w:numPr>
          <w:ilvl w:val="0"/>
          <w:numId w:val="18"/>
        </w:numPr>
        <w:spacing w:line="276" w:lineRule="auto"/>
      </w:pPr>
      <w:r>
        <w:t>Ser persona ciudadana del Estado, en pleno uso de sus derechos;</w:t>
      </w:r>
    </w:p>
    <w:p w:rsidR="00FA31B9" w:rsidRDefault="00FA31B9" w:rsidP="00FA31B9">
      <w:pPr>
        <w:pStyle w:val="INFOEM"/>
        <w:numPr>
          <w:ilvl w:val="0"/>
          <w:numId w:val="18"/>
        </w:numPr>
        <w:spacing w:line="276" w:lineRule="auto"/>
      </w:pPr>
      <w:r>
        <w:t>No estar inhabilitada o inhabilitado para desempeñar cargo, empleo, o comisión pública;</w:t>
      </w:r>
    </w:p>
    <w:p w:rsidR="00FA31B9" w:rsidRDefault="00FA31B9" w:rsidP="00FA31B9">
      <w:pPr>
        <w:pStyle w:val="INFOEM"/>
        <w:numPr>
          <w:ilvl w:val="0"/>
          <w:numId w:val="18"/>
        </w:numPr>
        <w:spacing w:line="276" w:lineRule="auto"/>
      </w:pPr>
      <w:r>
        <w:t xml:space="preserve">Contar con título profesional o acreditar experiencia mínima de un año en la materia, ante la o el Presidente o el Ayuntamiento, cuando sea el caso, para el desempeño de los cargos que así lo requieran; </w:t>
      </w:r>
    </w:p>
    <w:p w:rsidR="00FA31B9" w:rsidRPr="00755BDC" w:rsidRDefault="00FA31B9" w:rsidP="00FA31B9">
      <w:pPr>
        <w:pStyle w:val="INFOEM"/>
        <w:numPr>
          <w:ilvl w:val="0"/>
          <w:numId w:val="18"/>
        </w:numPr>
        <w:spacing w:line="276" w:lineRule="auto"/>
        <w:rPr>
          <w:rStyle w:val="Refdenotaalpie"/>
          <w:vertAlign w:val="baseline"/>
        </w:rPr>
      </w:pPr>
      <w:r>
        <w:t>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FA31B9" w:rsidRDefault="00FA31B9" w:rsidP="00FA31B9">
      <w:pPr>
        <w:pStyle w:val="Prrafodelista"/>
        <w:rPr>
          <w:rFonts w:eastAsia="Palatino Linotype"/>
        </w:rPr>
      </w:pPr>
    </w:p>
    <w:p w:rsidR="00FA31B9" w:rsidRPr="002C3EC8" w:rsidRDefault="00FA31B9" w:rsidP="00FA31B9">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s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las solicitudes de información</w:t>
      </w:r>
      <w:r w:rsidRPr="00274A3D">
        <w:rPr>
          <w:rFonts w:ascii="Palatino Linotype" w:eastAsia="Palatino Linotype" w:hAnsi="Palatino Linotype" w:cs="Palatino Linotype"/>
          <w:b/>
          <w:color w:val="000000"/>
        </w:rPr>
        <w:t xml:space="preserve"> </w:t>
      </w:r>
      <w:r w:rsidRPr="002C3EC8">
        <w:rPr>
          <w:rFonts w:ascii="Palatino Linotype" w:hAnsi="Palatino Linotype" w:cs="Arial"/>
          <w:b/>
        </w:rPr>
        <w:t xml:space="preserve">00272/TENANCIN/IP/2022, 00335/TENANCIN/IP/2022, 00336/TENANCIN/IP/2022, 00337/TENANCIN/IP/2022, 00338/TENANCIN/IP/2022, 00339/TENANCIN/IP/2022, 00340/TENANCIN/IP/2022; </w:t>
      </w:r>
      <w:r w:rsidRPr="002C3EC8">
        <w:rPr>
          <w:rFonts w:ascii="Palatino Linotype" w:hAnsi="Palatino Linotype" w:cs="Arial"/>
        </w:rPr>
        <w:t xml:space="preserve">en los mismos términos, </w:t>
      </w:r>
      <w:r w:rsidRPr="002C3EC8">
        <w:rPr>
          <w:rFonts w:ascii="Palatino Linotype" w:hAnsi="Palatino Linotype" w:cs="Arial"/>
        </w:rPr>
        <w:lastRenderedPageBreak/>
        <w:t>adjuntando archivos electrónicos:</w:t>
      </w:r>
      <w:r w:rsidRPr="002C3EC8">
        <w:rPr>
          <w:rFonts w:ascii="Palatino Linotype" w:hAnsi="Palatino Linotype"/>
          <w:b/>
          <w:i/>
        </w:rPr>
        <w:t>“</w:t>
      </w:r>
      <w:hyperlink r:id="rId14" w:tgtFrame="_blank" w:history="1">
        <w:r w:rsidRPr="002C3EC8">
          <w:rPr>
            <w:rFonts w:ascii="Palatino Linotype" w:hAnsi="Palatino Linotype"/>
            <w:b/>
          </w:rPr>
          <w:t>272-RESP-TESO.pdf</w:t>
        </w:r>
      </w:hyperlink>
      <w:r w:rsidRPr="002C3EC8">
        <w:rPr>
          <w:rFonts w:ascii="Palatino Linotype" w:hAnsi="Palatino Linotype"/>
          <w:b/>
          <w:i/>
        </w:rPr>
        <w:t>”, “</w:t>
      </w:r>
      <w:hyperlink r:id="rId15" w:tgtFrame="_blank" w:history="1">
        <w:r w:rsidRPr="002C3EC8">
          <w:rPr>
            <w:rFonts w:ascii="Palatino Linotype" w:hAnsi="Palatino Linotype"/>
            <w:b/>
          </w:rPr>
          <w:t>335-RESP-TESO.pdf</w:t>
        </w:r>
      </w:hyperlink>
      <w:r w:rsidRPr="002C3EC8">
        <w:rPr>
          <w:rFonts w:ascii="Palatino Linotype" w:hAnsi="Palatino Linotype"/>
          <w:b/>
          <w:i/>
        </w:rPr>
        <w:t>”, “</w:t>
      </w:r>
      <w:hyperlink r:id="rId16" w:tgtFrame="_blank" w:history="1">
        <w:r w:rsidRPr="002C3EC8">
          <w:rPr>
            <w:rFonts w:ascii="Palatino Linotype" w:hAnsi="Palatino Linotype"/>
            <w:b/>
          </w:rPr>
          <w:t>336-RESP-TESO.pdf</w:t>
        </w:r>
      </w:hyperlink>
      <w:r w:rsidRPr="002C3EC8">
        <w:rPr>
          <w:rFonts w:ascii="Palatino Linotype" w:hAnsi="Palatino Linotype"/>
          <w:b/>
          <w:i/>
        </w:rPr>
        <w:t>”, “</w:t>
      </w:r>
      <w:hyperlink r:id="rId17" w:tgtFrame="_blank" w:history="1">
        <w:r w:rsidRPr="002C3EC8">
          <w:rPr>
            <w:rFonts w:ascii="Palatino Linotype" w:hAnsi="Palatino Linotype"/>
            <w:b/>
          </w:rPr>
          <w:t>337-RESP-TESO.pdf</w:t>
        </w:r>
      </w:hyperlink>
      <w:r w:rsidRPr="002C3EC8">
        <w:rPr>
          <w:rFonts w:ascii="Palatino Linotype" w:hAnsi="Palatino Linotype"/>
          <w:b/>
          <w:i/>
        </w:rPr>
        <w:t>”, “</w:t>
      </w:r>
      <w:hyperlink r:id="rId18" w:tgtFrame="_blank" w:history="1">
        <w:r w:rsidRPr="002C3EC8">
          <w:rPr>
            <w:rFonts w:ascii="Palatino Linotype" w:hAnsi="Palatino Linotype"/>
            <w:b/>
          </w:rPr>
          <w:t>338-RESP-TESO.pdf</w:t>
        </w:r>
      </w:hyperlink>
      <w:r w:rsidRPr="002C3EC8">
        <w:rPr>
          <w:rFonts w:ascii="Palatino Linotype" w:hAnsi="Palatino Linotype"/>
          <w:b/>
          <w:i/>
        </w:rPr>
        <w:t>”, “</w:t>
      </w:r>
      <w:hyperlink r:id="rId19" w:tgtFrame="_blank" w:history="1">
        <w:r w:rsidRPr="002C3EC8">
          <w:rPr>
            <w:rFonts w:ascii="Palatino Linotype" w:hAnsi="Palatino Linotype"/>
            <w:b/>
          </w:rPr>
          <w:t>339-RESP-TESO.pdf</w:t>
        </w:r>
      </w:hyperlink>
      <w:r w:rsidRPr="002C3EC8">
        <w:rPr>
          <w:rFonts w:ascii="Palatino Linotype" w:hAnsi="Palatino Linotype"/>
          <w:b/>
          <w:i/>
        </w:rPr>
        <w:t>”, “</w:t>
      </w:r>
      <w:hyperlink r:id="rId20" w:tgtFrame="_blank" w:history="1">
        <w:r w:rsidRPr="002C3EC8">
          <w:rPr>
            <w:rFonts w:ascii="Palatino Linotype" w:hAnsi="Palatino Linotype"/>
            <w:b/>
          </w:rPr>
          <w:t>340-RESP-TESO.pdf</w:t>
        </w:r>
      </w:hyperlink>
      <w:r w:rsidRPr="002C3EC8">
        <w:rPr>
          <w:rFonts w:ascii="Palatino Linotype" w:hAnsi="Palatino Linotype"/>
          <w:b/>
          <w:i/>
        </w:rPr>
        <w:t>”</w:t>
      </w:r>
      <w:r>
        <w:rPr>
          <w:rFonts w:ascii="Palatino Linotype" w:hAnsi="Palatino Linotype" w:cs="Arial"/>
        </w:rPr>
        <w:t>.</w:t>
      </w:r>
    </w:p>
    <w:p w:rsidR="00FA31B9" w:rsidRDefault="00FA31B9" w:rsidP="00FA31B9">
      <w:pPr>
        <w:spacing w:after="0" w:line="360" w:lineRule="auto"/>
        <w:jc w:val="both"/>
        <w:rPr>
          <w:rFonts w:ascii="Palatino Linotype" w:eastAsia="Palatino Linotype" w:hAnsi="Palatino Linotype" w:cs="Palatino Linotype"/>
          <w:color w:val="000000"/>
          <w:sz w:val="24"/>
          <w:szCs w:val="24"/>
        </w:rPr>
      </w:pPr>
    </w:p>
    <w:p w:rsidR="00FA31B9" w:rsidRPr="00AD27EB" w:rsidRDefault="00FA31B9" w:rsidP="00FA31B9">
      <w:pPr>
        <w:spacing w:after="0" w:line="360" w:lineRule="auto"/>
        <w:jc w:val="both"/>
        <w:rPr>
          <w:rFonts w:ascii="Palatino Linotype" w:hAnsi="Palatino Linotype" w:cs="Arial"/>
          <w:sz w:val="24"/>
          <w:szCs w:val="24"/>
        </w:rPr>
      </w:pPr>
      <w:r>
        <w:rPr>
          <w:rFonts w:ascii="Palatino Linotype" w:eastAsia="Palatino Linotype" w:hAnsi="Palatino Linotype" w:cs="Palatino Linotype"/>
          <w:color w:val="000000"/>
          <w:sz w:val="24"/>
          <w:szCs w:val="24"/>
        </w:rPr>
        <w:t>Mediante el cual se informó</w:t>
      </w:r>
      <w:r w:rsidR="009706CF">
        <w:rPr>
          <w:rFonts w:ascii="Palatino Linotype" w:eastAsia="Palatino Linotype" w:hAnsi="Palatino Linotype" w:cs="Palatino Linotype"/>
          <w:color w:val="000000"/>
          <w:sz w:val="24"/>
          <w:szCs w:val="24"/>
        </w:rPr>
        <w:t xml:space="preserve"> que no es posible proporcionar</w:t>
      </w:r>
      <w:r>
        <w:rPr>
          <w:rFonts w:ascii="Palatino Linotype" w:eastAsia="Palatino Linotype" w:hAnsi="Palatino Linotype" w:cs="Palatino Linotype"/>
          <w:color w:val="000000"/>
          <w:sz w:val="24"/>
          <w:szCs w:val="24"/>
        </w:rPr>
        <w:t xml:space="preserve"> la información de manera electrónica, toda vez que se encuentran en la imposibilidad de entregar al solicitante la información en la modalidad que se señala, por lo que, con el propósito de que el solicitante pueda consultar la información y, en su caso obtenerla deberá realizar </w:t>
      </w:r>
      <w:r>
        <w:rPr>
          <w:rFonts w:ascii="Palatino Linotype" w:eastAsia="Palatino Linotype" w:hAnsi="Palatino Linotype" w:cs="Palatino Linotype"/>
          <w:b/>
          <w:color w:val="000000"/>
          <w:sz w:val="24"/>
          <w:szCs w:val="24"/>
        </w:rPr>
        <w:t>CONSULTA DIRECTA</w:t>
      </w:r>
      <w:r>
        <w:rPr>
          <w:rFonts w:ascii="Palatino Linotype" w:eastAsia="Palatino Linotype" w:hAnsi="Palatino Linotype" w:cs="Palatino Linotype"/>
          <w:color w:val="000000"/>
          <w:sz w:val="24"/>
          <w:szCs w:val="24"/>
        </w:rPr>
        <w:t>.</w:t>
      </w:r>
    </w:p>
    <w:p w:rsidR="00FA31B9" w:rsidRDefault="00FA31B9" w:rsidP="00FA31B9">
      <w:pPr>
        <w:spacing w:line="360" w:lineRule="auto"/>
        <w:ind w:right="616"/>
        <w:jc w:val="both"/>
        <w:rPr>
          <w:rFonts w:ascii="Palatino Linotype" w:hAnsi="Palatino Linotype" w:cs="Arial"/>
          <w:sz w:val="24"/>
          <w:szCs w:val="24"/>
        </w:rPr>
      </w:pPr>
    </w:p>
    <w:p w:rsidR="00FA31B9" w:rsidRPr="00D3215B" w:rsidRDefault="00FA31B9" w:rsidP="00FA31B9">
      <w:pPr>
        <w:spacing w:line="360" w:lineRule="auto"/>
        <w:jc w:val="both"/>
        <w:rPr>
          <w:rFonts w:ascii="Palatino Linotype" w:hAnsi="Palatino Linotype"/>
          <w:sz w:val="24"/>
          <w:u w:val="single"/>
        </w:rPr>
      </w:pPr>
      <w:r w:rsidRPr="0039499D">
        <w:rPr>
          <w:rFonts w:ascii="Palatino Linotype" w:hAnsi="Palatino Linotype" w:cs="Arial"/>
          <w:sz w:val="24"/>
          <w:szCs w:val="24"/>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w:t>
      </w:r>
      <w:r>
        <w:rPr>
          <w:rFonts w:ascii="Palatino Linotype" w:hAnsi="Palatino Linotype" w:cs="Arial"/>
          <w:sz w:val="24"/>
          <w:szCs w:val="24"/>
        </w:rPr>
        <w:t>ella, seria ocioso delimitar la</w:t>
      </w:r>
      <w:r w:rsidRPr="0039499D">
        <w:rPr>
          <w:rFonts w:ascii="Palatino Linotype" w:hAnsi="Palatino Linotype" w:cs="Arial"/>
          <w:sz w:val="24"/>
          <w:szCs w:val="24"/>
        </w:rPr>
        <w:t xml:space="preserve"> norma jurídica que determine si la dependencia, cuenta con ella o no.</w:t>
      </w:r>
    </w:p>
    <w:p w:rsidR="00FA31B9" w:rsidRPr="00E75410" w:rsidRDefault="00FA31B9" w:rsidP="00FA31B9">
      <w:pPr>
        <w:spacing w:line="360" w:lineRule="auto"/>
        <w:jc w:val="both"/>
        <w:rPr>
          <w:rFonts w:ascii="Palatino Linotype" w:hAnsi="Palatino Linotype"/>
        </w:rPr>
      </w:pPr>
    </w:p>
    <w:p w:rsidR="00FA31B9" w:rsidRPr="00E75410" w:rsidRDefault="00FA31B9" w:rsidP="00FA31B9">
      <w:pPr>
        <w:ind w:left="567" w:right="567"/>
        <w:jc w:val="both"/>
        <w:rPr>
          <w:rFonts w:ascii="Palatino Linotype" w:hAnsi="Palatino Linotype"/>
          <w:i/>
        </w:rPr>
      </w:pPr>
      <w:r w:rsidRPr="00E75410">
        <w:rPr>
          <w:rFonts w:ascii="Palatino Linotype" w:hAnsi="Palatino Linotype"/>
          <w:i/>
        </w:rPr>
        <w:t>“</w:t>
      </w:r>
      <w:r w:rsidRPr="00E75410">
        <w:rPr>
          <w:rFonts w:ascii="Palatino Linotype" w:hAnsi="Palatino Linotype"/>
          <w:b/>
          <w:i/>
        </w:rPr>
        <w:t>Artículo 160.</w:t>
      </w:r>
      <w:r w:rsidRPr="00E75410">
        <w:rPr>
          <w:rFonts w:ascii="Palatino Linotype" w:hAnsi="Palatino Linotype"/>
          <w:i/>
        </w:rPr>
        <w:t xml:space="preserve"> </w:t>
      </w:r>
      <w:r w:rsidRPr="00E75410">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75410">
        <w:rPr>
          <w:rFonts w:ascii="Palatino Linotype" w:hAnsi="Palatino Linotype"/>
          <w:i/>
        </w:rPr>
        <w:t>.</w:t>
      </w:r>
    </w:p>
    <w:p w:rsidR="00FA31B9" w:rsidRPr="00E75410" w:rsidRDefault="00FA31B9" w:rsidP="00FA31B9">
      <w:pPr>
        <w:ind w:left="567" w:right="567"/>
        <w:jc w:val="both"/>
        <w:rPr>
          <w:rFonts w:ascii="Palatino Linotype" w:hAnsi="Palatino Linotype"/>
          <w:i/>
        </w:rPr>
      </w:pPr>
    </w:p>
    <w:p w:rsidR="00FA31B9" w:rsidRPr="00E75410" w:rsidRDefault="00FA31B9" w:rsidP="00FA31B9">
      <w:pPr>
        <w:ind w:left="567" w:right="567"/>
        <w:jc w:val="both"/>
        <w:rPr>
          <w:rFonts w:ascii="Palatino Linotype" w:hAnsi="Palatino Linotype"/>
          <w:i/>
        </w:rPr>
      </w:pPr>
      <w:r w:rsidRPr="00E75410">
        <w:rPr>
          <w:rFonts w:ascii="Palatino Linotype" w:hAnsi="Palatino Linotype"/>
          <w:i/>
        </w:rPr>
        <w:t>En caso que la información solicitada consista en bases de datos se deberá privilegiar la entrega de la misma en formatos abiertos.</w:t>
      </w:r>
    </w:p>
    <w:p w:rsidR="00FA31B9" w:rsidRPr="00E75410" w:rsidRDefault="00FA31B9" w:rsidP="00FA31B9">
      <w:pPr>
        <w:ind w:left="567" w:right="567"/>
        <w:jc w:val="both"/>
        <w:rPr>
          <w:rFonts w:ascii="Palatino Linotype" w:hAnsi="Palatino Linotype"/>
          <w:i/>
        </w:rPr>
      </w:pPr>
    </w:p>
    <w:p w:rsidR="00FA31B9" w:rsidRPr="00E75410" w:rsidRDefault="00FA31B9" w:rsidP="00FA31B9">
      <w:pPr>
        <w:ind w:left="567" w:right="567"/>
        <w:jc w:val="both"/>
        <w:rPr>
          <w:rFonts w:ascii="Palatino Linotype" w:hAnsi="Palatino Linotype" w:cs="Arial"/>
          <w:i/>
        </w:rPr>
      </w:pPr>
      <w:r w:rsidRPr="00E75410">
        <w:rPr>
          <w:rFonts w:ascii="Palatino Linotype" w:hAnsi="Palatino Linotype" w:cs="Arial"/>
          <w:b/>
          <w:i/>
        </w:rPr>
        <w:t>Artículo 166.</w:t>
      </w:r>
      <w:r w:rsidRPr="00E75410">
        <w:rPr>
          <w:rFonts w:ascii="Palatino Linotype" w:hAnsi="Palatino Linotype" w:cs="Arial"/>
          <w:i/>
        </w:rPr>
        <w:t xml:space="preserve"> </w:t>
      </w:r>
      <w:r w:rsidRPr="00E75410">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FA31B9" w:rsidRDefault="00FA31B9" w:rsidP="00FA31B9">
      <w:pPr>
        <w:spacing w:line="360" w:lineRule="auto"/>
        <w:jc w:val="both"/>
        <w:rPr>
          <w:rFonts w:ascii="Palatino Linotype" w:hAnsi="Palatino Linotype" w:cs="Arial"/>
          <w:color w:val="000000" w:themeColor="text1"/>
        </w:rPr>
      </w:pPr>
    </w:p>
    <w:p w:rsidR="00FA31B9" w:rsidRPr="00FA29BE" w:rsidRDefault="00FA31B9" w:rsidP="00FA31B9">
      <w:pPr>
        <w:spacing w:line="360" w:lineRule="auto"/>
        <w:jc w:val="both"/>
        <w:rPr>
          <w:rFonts w:ascii="Palatino Linotype" w:hAnsi="Palatino Linotype" w:cs="Arial"/>
          <w:color w:val="000000" w:themeColor="text1"/>
          <w:sz w:val="24"/>
          <w:szCs w:val="24"/>
        </w:rPr>
      </w:pPr>
      <w:r w:rsidRPr="00FA29BE">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FA31B9" w:rsidRDefault="00FA31B9" w:rsidP="00FA31B9">
      <w:pPr>
        <w:spacing w:line="360" w:lineRule="auto"/>
        <w:jc w:val="both"/>
        <w:rPr>
          <w:rFonts w:ascii="Palatino Linotype" w:hAnsi="Palatino Linotype"/>
          <w:bCs/>
          <w:sz w:val="24"/>
        </w:rPr>
      </w:pPr>
      <w:r>
        <w:rPr>
          <w:rFonts w:ascii="Palatino Linotype" w:hAnsi="Palatino Linotype" w:cs="Arial"/>
          <w:color w:val="000000" w:themeColor="text1"/>
          <w:sz w:val="24"/>
          <w:szCs w:val="24"/>
        </w:rPr>
        <w:t xml:space="preserve">Ahora bien, </w:t>
      </w:r>
      <w:r w:rsidRPr="0039499D">
        <w:rPr>
          <w:rFonts w:ascii="Palatino Linotype" w:hAnsi="Palatino Linotype"/>
          <w:bCs/>
          <w:sz w:val="24"/>
        </w:rPr>
        <w:t xml:space="preserve">si bien se obvio el estudio de la fuente obligacional, resulta necesario precisar respecto </w:t>
      </w:r>
      <w:r>
        <w:rPr>
          <w:rFonts w:ascii="Palatino Linotype" w:hAnsi="Palatino Linotype"/>
          <w:bCs/>
          <w:sz w:val="24"/>
        </w:rPr>
        <w:t>a las obligaciones de transparencia comunes</w:t>
      </w:r>
      <w:r w:rsidRPr="0039499D">
        <w:rPr>
          <w:rFonts w:ascii="Palatino Linotype" w:hAnsi="Palatino Linotype"/>
          <w:bCs/>
          <w:sz w:val="24"/>
        </w:rPr>
        <w:t xml:space="preserve">, que la Ley </w:t>
      </w:r>
      <w:r>
        <w:rPr>
          <w:rFonts w:ascii="Palatino Linotype" w:hAnsi="Palatino Linotype"/>
          <w:bCs/>
          <w:sz w:val="24"/>
        </w:rPr>
        <w:t>de Transparencia y Acceso a la Información Pública en su artículo 92</w:t>
      </w:r>
      <w:r w:rsidRPr="0039499D">
        <w:rPr>
          <w:rFonts w:ascii="Palatino Linotype" w:hAnsi="Palatino Linotype"/>
          <w:bCs/>
          <w:sz w:val="24"/>
        </w:rPr>
        <w:t xml:space="preserve"> </w:t>
      </w:r>
      <w:r>
        <w:rPr>
          <w:rFonts w:ascii="Palatino Linotype" w:hAnsi="Palatino Linotype"/>
          <w:bCs/>
          <w:sz w:val="24"/>
        </w:rPr>
        <w:t>fracción VI</w:t>
      </w:r>
      <w:r w:rsidRPr="0039499D">
        <w:rPr>
          <w:rFonts w:ascii="Palatino Linotype" w:hAnsi="Palatino Linotype"/>
          <w:bCs/>
          <w:sz w:val="24"/>
        </w:rPr>
        <w:t>II, establece lo siguiente:</w:t>
      </w:r>
    </w:p>
    <w:p w:rsidR="00FA31B9" w:rsidRDefault="00FA31B9" w:rsidP="00FA31B9">
      <w:pPr>
        <w:spacing w:line="360" w:lineRule="auto"/>
        <w:ind w:left="567"/>
        <w:jc w:val="both"/>
        <w:rPr>
          <w:rFonts w:ascii="Palatino Linotype" w:hAnsi="Palatino Linotype"/>
          <w:b/>
          <w:bCs/>
          <w:i/>
        </w:rPr>
      </w:pPr>
      <w:r w:rsidRPr="00990BF3">
        <w:rPr>
          <w:rFonts w:ascii="Palatino Linotype" w:hAnsi="Palatino Linotype"/>
          <w:b/>
          <w:bCs/>
          <w:i/>
        </w:rPr>
        <w:t>ARTÍCULO 9</w:t>
      </w:r>
      <w:r>
        <w:rPr>
          <w:rFonts w:ascii="Palatino Linotype" w:hAnsi="Palatino Linotype"/>
          <w:b/>
          <w:bCs/>
          <w:i/>
        </w:rPr>
        <w:t>2</w:t>
      </w:r>
      <w:r w:rsidRPr="00990BF3">
        <w:rPr>
          <w:rFonts w:ascii="Palatino Linotype" w:hAnsi="Palatino Linotype"/>
          <w:b/>
          <w:bCs/>
          <w:i/>
        </w:rPr>
        <w:t xml:space="preserve">. Son obligaciones de </w:t>
      </w:r>
      <w:r>
        <w:rPr>
          <w:rFonts w:ascii="Palatino Linotype" w:hAnsi="Palatino Linotype"/>
          <w:b/>
          <w:bCs/>
          <w:i/>
        </w:rPr>
        <w:t>transparencia comunes</w:t>
      </w:r>
      <w:r w:rsidRPr="00990BF3">
        <w:rPr>
          <w:rFonts w:ascii="Palatino Linotype" w:hAnsi="Palatino Linotype"/>
          <w:b/>
          <w:bCs/>
          <w:i/>
        </w:rPr>
        <w:t>:</w:t>
      </w:r>
    </w:p>
    <w:p w:rsidR="00FA31B9" w:rsidRDefault="00FA31B9" w:rsidP="00FA31B9">
      <w:pPr>
        <w:spacing w:line="360" w:lineRule="auto"/>
        <w:ind w:left="567"/>
        <w:jc w:val="both"/>
        <w:rPr>
          <w:rFonts w:ascii="Palatino Linotype" w:hAnsi="Palatino Linotype"/>
          <w:bCs/>
          <w:i/>
        </w:rPr>
      </w:pPr>
      <w:r>
        <w:rPr>
          <w:rFonts w:ascii="Palatino Linotype" w:hAnsi="Palatino Linotype"/>
          <w:bCs/>
          <w:i/>
        </w:rPr>
        <w:t>(…)</w:t>
      </w:r>
    </w:p>
    <w:p w:rsidR="00FA31B9" w:rsidRDefault="00FA31B9" w:rsidP="00FA31B9">
      <w:pPr>
        <w:spacing w:line="360" w:lineRule="auto"/>
        <w:ind w:left="567"/>
        <w:jc w:val="both"/>
        <w:rPr>
          <w:rFonts w:ascii="Palatino Linotype" w:hAnsi="Palatino Linotype"/>
          <w:bCs/>
          <w:i/>
        </w:rPr>
      </w:pPr>
      <w:r>
        <w:rPr>
          <w:rFonts w:ascii="Palatino Linotype" w:hAnsi="Palatino Linotype"/>
          <w:bCs/>
          <w:i/>
        </w:rPr>
        <w:t>VI</w:t>
      </w:r>
      <w:r w:rsidRPr="0039499D">
        <w:rPr>
          <w:rFonts w:ascii="Palatino Linotype" w:hAnsi="Palatino Linotype"/>
          <w:bCs/>
          <w:i/>
        </w:rPr>
        <w:t xml:space="preserve">II. </w:t>
      </w:r>
      <w:r w:rsidRPr="001917AF">
        <w:rPr>
          <w:rFonts w:ascii="Palatino Linotype" w:hAnsi="Palatino Linotype"/>
          <w:bCs/>
          <w:i/>
        </w:rPr>
        <w:t>La remuneración bruta y neta de todos los servidores públicos d</w:t>
      </w:r>
      <w:r>
        <w:rPr>
          <w:rFonts w:ascii="Palatino Linotype" w:hAnsi="Palatino Linotype"/>
          <w:bCs/>
          <w:i/>
        </w:rPr>
        <w:t xml:space="preserve">e base o de confianza, de todas </w:t>
      </w:r>
      <w:r w:rsidRPr="001917AF">
        <w:rPr>
          <w:rFonts w:ascii="Palatino Linotype" w:hAnsi="Palatino Linotype"/>
          <w:bCs/>
          <w:i/>
        </w:rPr>
        <w:t>las percepciones, incluyendo sueldos, prestaciones, gratificaciones, primas, comisiones</w:t>
      </w:r>
      <w:r>
        <w:rPr>
          <w:rFonts w:ascii="Palatino Linotype" w:hAnsi="Palatino Linotype"/>
          <w:bCs/>
          <w:i/>
        </w:rPr>
        <w:t xml:space="preserve">, </w:t>
      </w:r>
      <w:r>
        <w:rPr>
          <w:rFonts w:ascii="Palatino Linotype" w:hAnsi="Palatino Linotype"/>
          <w:bCs/>
          <w:i/>
        </w:rPr>
        <w:lastRenderedPageBreak/>
        <w:t xml:space="preserve">dietas, bonos, </w:t>
      </w:r>
      <w:r w:rsidRPr="001917AF">
        <w:rPr>
          <w:rFonts w:ascii="Palatino Linotype" w:hAnsi="Palatino Linotype"/>
          <w:bCs/>
          <w:i/>
        </w:rPr>
        <w:t>estímulos, ingresos y sistemas de compensación, señalando la periodicidad de dicha remuneración;</w:t>
      </w:r>
    </w:p>
    <w:p w:rsidR="00FA31B9" w:rsidRPr="0039499D" w:rsidRDefault="00FA31B9" w:rsidP="00FA31B9">
      <w:pPr>
        <w:spacing w:line="360" w:lineRule="auto"/>
        <w:ind w:left="567"/>
        <w:jc w:val="both"/>
        <w:rPr>
          <w:rFonts w:ascii="Palatino Linotype" w:hAnsi="Palatino Linotype"/>
          <w:bCs/>
          <w:i/>
        </w:rPr>
      </w:pPr>
      <w:r>
        <w:rPr>
          <w:rFonts w:ascii="Palatino Linotype" w:hAnsi="Palatino Linotype"/>
          <w:bCs/>
          <w:i/>
        </w:rPr>
        <w:t>(…)</w:t>
      </w:r>
    </w:p>
    <w:p w:rsidR="00FA31B9" w:rsidRPr="00FA29BE" w:rsidRDefault="00FA31B9" w:rsidP="00FA31B9">
      <w:pPr>
        <w:spacing w:line="360" w:lineRule="auto"/>
        <w:jc w:val="both"/>
        <w:rPr>
          <w:rFonts w:ascii="Palatino Linotype" w:hAnsi="Palatino Linotype" w:cs="Arial"/>
          <w:color w:val="000000" w:themeColor="text1"/>
          <w:sz w:val="24"/>
          <w:szCs w:val="24"/>
        </w:rPr>
      </w:pPr>
    </w:p>
    <w:p w:rsidR="00FA31B9" w:rsidRPr="00FA29BE" w:rsidRDefault="00FA31B9" w:rsidP="00FA31B9">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sidRPr="00FA29BE">
        <w:rPr>
          <w:rFonts w:ascii="Palatino Linotype" w:hAnsi="Palatino Linotype"/>
          <w:sz w:val="24"/>
          <w:szCs w:val="24"/>
        </w:rPr>
        <w:t xml:space="preserve">, se establece que éste vulnera el derecho de acceso a la información pública del </w:t>
      </w:r>
      <w:r w:rsidRPr="00FA29BE">
        <w:rPr>
          <w:rFonts w:ascii="Palatino Linotype" w:hAnsi="Palatino Linotype"/>
          <w:b/>
          <w:sz w:val="24"/>
          <w:szCs w:val="24"/>
        </w:rPr>
        <w:t>Recurrente</w:t>
      </w:r>
      <w:r w:rsidRPr="00FA29BE">
        <w:rPr>
          <w:rFonts w:ascii="Palatino Linotype" w:hAnsi="Palatino Linotype"/>
          <w:sz w:val="24"/>
          <w:szCs w:val="24"/>
        </w:rPr>
        <w:t>, toda vez que no entrega</w:t>
      </w:r>
      <w:r>
        <w:rPr>
          <w:rFonts w:ascii="Palatino Linotype" w:hAnsi="Palatino Linotype"/>
          <w:sz w:val="24"/>
          <w:szCs w:val="24"/>
        </w:rPr>
        <w:t xml:space="preserve"> la información en </w:t>
      </w:r>
      <w:r w:rsidRPr="00FA29BE">
        <w:rPr>
          <w:rFonts w:ascii="Palatino Linotype" w:hAnsi="Palatino Linotype"/>
          <w:sz w:val="24"/>
          <w:szCs w:val="24"/>
        </w:rPr>
        <w:t>respuesta</w:t>
      </w:r>
      <w:r>
        <w:rPr>
          <w:rFonts w:ascii="Palatino Linotype" w:hAnsi="Palatino Linotype"/>
          <w:sz w:val="24"/>
          <w:szCs w:val="24"/>
        </w:rPr>
        <w:t>s</w:t>
      </w:r>
      <w:r w:rsidRPr="00FA29BE">
        <w:rPr>
          <w:rFonts w:ascii="Palatino Linotype" w:hAnsi="Palatino Linotype"/>
          <w:sz w:val="24"/>
          <w:szCs w:val="24"/>
        </w:rPr>
        <w:t xml:space="preserve"> a la</w:t>
      </w:r>
      <w:r>
        <w:rPr>
          <w:rFonts w:ascii="Palatino Linotype" w:hAnsi="Palatino Linotype"/>
          <w:sz w:val="24"/>
          <w:szCs w:val="24"/>
        </w:rPr>
        <w:t>s</w:t>
      </w:r>
      <w:r w:rsidRPr="00FA29BE">
        <w:rPr>
          <w:rFonts w:ascii="Palatino Linotype" w:hAnsi="Palatino Linotype"/>
          <w:sz w:val="24"/>
          <w:szCs w:val="24"/>
        </w:rPr>
        <w:t xml:space="preserve"> solicitud</w:t>
      </w:r>
      <w:r>
        <w:rPr>
          <w:rFonts w:ascii="Palatino Linotype" w:hAnsi="Palatino Linotype"/>
          <w:sz w:val="24"/>
          <w:szCs w:val="24"/>
        </w:rPr>
        <w:t>es</w:t>
      </w:r>
      <w:r w:rsidRPr="00FA29BE">
        <w:rPr>
          <w:rFonts w:ascii="Palatino Linotype" w:hAnsi="Palatino Linotype"/>
          <w:sz w:val="24"/>
          <w:szCs w:val="24"/>
        </w:rPr>
        <w:t xml:space="preserve"> de información presentada</w:t>
      </w:r>
      <w:r>
        <w:rPr>
          <w:rFonts w:ascii="Palatino Linotype" w:hAnsi="Palatino Linotype"/>
          <w:sz w:val="24"/>
          <w:szCs w:val="24"/>
        </w:rPr>
        <w:t>s</w:t>
      </w:r>
      <w:r w:rsidRPr="00FA29BE">
        <w:rPr>
          <w:rFonts w:ascii="Palatino Linotype" w:hAnsi="Palatino Linotype"/>
          <w:sz w:val="24"/>
          <w:szCs w:val="24"/>
        </w:rPr>
        <w:t>.</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A31B9" w:rsidRPr="00532A84"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la negativa a hacer entrega de la información</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que no es procedente el cambio de modalidad para la entrega de la información debido a que SAIMEX tiene la capacidad necesaria para cargar la información, aunado a ello, dicha información no se encuentra disponible en IPOMEX.</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w:t>
      </w:r>
      <w:r w:rsidRPr="00532A84">
        <w:rPr>
          <w:rFonts w:ascii="Palatino Linotype" w:hAnsi="Palatino Linotype"/>
          <w:sz w:val="24"/>
          <w:szCs w:val="24"/>
        </w:rPr>
        <w:lastRenderedPageBreak/>
        <w:t xml:space="preserve">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bCs/>
          <w:sz w:val="24"/>
          <w:szCs w:val="24"/>
        </w:rPr>
        <w:t xml:space="preserve">Atento a ello, </w:t>
      </w:r>
      <w:r w:rsidRPr="00532A84">
        <w:rPr>
          <w:rFonts w:ascii="Palatino Linotype" w:hAnsi="Palatino Linotype"/>
          <w:bCs/>
          <w:sz w:val="24"/>
          <w:szCs w:val="24"/>
        </w:rPr>
        <w:t xml:space="preserve">primeramente,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p>
    <w:p w:rsidR="00FA31B9" w:rsidRPr="00532A84" w:rsidRDefault="00FA31B9" w:rsidP="00FA31B9">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rsidR="00FA31B9" w:rsidRPr="00532A84" w:rsidRDefault="00FA31B9" w:rsidP="00FA31B9">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rsidR="00FA31B9" w:rsidRPr="00532A84" w:rsidRDefault="00FA31B9" w:rsidP="00FA31B9">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FA31B9" w:rsidRPr="00532A84" w:rsidRDefault="00FA31B9" w:rsidP="00FA31B9">
      <w:pPr>
        <w:pBdr>
          <w:top w:val="nil"/>
          <w:left w:val="nil"/>
          <w:bottom w:val="nil"/>
          <w:right w:val="nil"/>
          <w:between w:val="nil"/>
        </w:pBdr>
        <w:spacing w:after="0" w:line="240" w:lineRule="auto"/>
        <w:ind w:left="567" w:right="616"/>
        <w:contextualSpacing/>
        <w:jc w:val="both"/>
        <w:rPr>
          <w:rFonts w:ascii="Palatino Linotype" w:hAnsi="Palatino Linotype"/>
          <w:i/>
        </w:rPr>
      </w:pPr>
    </w:p>
    <w:p w:rsidR="00FA31B9" w:rsidRPr="00532A84" w:rsidRDefault="00FA31B9" w:rsidP="00FA31B9">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p>
    <w:p w:rsidR="00FA31B9" w:rsidRPr="00532A84" w:rsidRDefault="00FA31B9" w:rsidP="00FA31B9">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A31B9" w:rsidRPr="00532A84" w:rsidRDefault="00FA31B9" w:rsidP="00FA31B9">
      <w:pPr>
        <w:spacing w:after="0" w:line="360" w:lineRule="auto"/>
        <w:jc w:val="both"/>
        <w:rPr>
          <w:rFonts w:ascii="Palatino Linotype" w:hAnsi="Palatino Linotype" w:cs="Arial"/>
          <w:i/>
          <w:sz w:val="24"/>
        </w:rPr>
      </w:pPr>
    </w:p>
    <w:p w:rsidR="00FA31B9" w:rsidRPr="00532A84" w:rsidRDefault="00FA31B9" w:rsidP="00FA31B9">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A31B9" w:rsidRPr="00532A84" w:rsidRDefault="00FA31B9" w:rsidP="00FA31B9">
      <w:pPr>
        <w:spacing w:after="0"/>
        <w:ind w:right="567"/>
        <w:jc w:val="both"/>
        <w:rPr>
          <w:rFonts w:ascii="Palatino Linotype" w:hAnsi="Palatino Linotype" w:cs="Arial"/>
          <w:sz w:val="24"/>
          <w:szCs w:val="24"/>
        </w:rPr>
      </w:pP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FA31B9" w:rsidRPr="00532A84" w:rsidRDefault="00FA31B9" w:rsidP="00FA31B9">
      <w:pPr>
        <w:spacing w:after="0" w:line="240" w:lineRule="auto"/>
        <w:ind w:left="567" w:right="567"/>
        <w:jc w:val="both"/>
        <w:rPr>
          <w:rFonts w:ascii="Palatino Linotype" w:hAnsi="Palatino Linotype" w:cs="Arial"/>
          <w:i/>
        </w:rPr>
      </w:pPr>
    </w:p>
    <w:p w:rsidR="00FA31B9" w:rsidRPr="00532A84" w:rsidRDefault="00FA31B9" w:rsidP="00FA31B9">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A31B9" w:rsidRPr="00532A84" w:rsidRDefault="00FA31B9" w:rsidP="00FA31B9">
      <w:pPr>
        <w:spacing w:after="0" w:line="360" w:lineRule="auto"/>
        <w:jc w:val="both"/>
        <w:rPr>
          <w:rFonts w:ascii="Palatino Linotype" w:hAnsi="Palatino Linotype" w:cs="Arial"/>
          <w:color w:val="000000"/>
          <w:sz w:val="24"/>
        </w:rPr>
      </w:pPr>
    </w:p>
    <w:p w:rsidR="00FA31B9" w:rsidRPr="00532A84" w:rsidRDefault="00FA31B9" w:rsidP="00FA31B9">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rsidR="00FA31B9" w:rsidRPr="00532A84" w:rsidRDefault="00FA31B9" w:rsidP="00FA31B9">
      <w:pPr>
        <w:spacing w:after="0" w:line="360" w:lineRule="auto"/>
        <w:jc w:val="both"/>
        <w:rPr>
          <w:rFonts w:ascii="Palatino Linotype" w:hAnsi="Palatino Linotype" w:cs="Arial"/>
          <w:color w:val="000000"/>
          <w:sz w:val="24"/>
        </w:rPr>
      </w:pPr>
    </w:p>
    <w:p w:rsidR="00FA31B9" w:rsidRPr="00532A84" w:rsidRDefault="00FA31B9" w:rsidP="00FA31B9">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rsidR="00FA31B9" w:rsidRPr="00532A84" w:rsidRDefault="00FA31B9" w:rsidP="00FA31B9">
      <w:pPr>
        <w:spacing w:after="0" w:line="360" w:lineRule="auto"/>
        <w:rPr>
          <w:rFonts w:ascii="Palatino Linotype" w:eastAsia="Times New Roman" w:hAnsi="Palatino Linotype" w:cs="Times New Roman"/>
          <w:sz w:val="24"/>
          <w:szCs w:val="24"/>
          <w:lang w:eastAsia="es-ES"/>
        </w:rPr>
      </w:pPr>
    </w:p>
    <w:p w:rsidR="00FA31B9" w:rsidRPr="00532A84" w:rsidRDefault="00FA31B9" w:rsidP="00FA31B9">
      <w:pPr>
        <w:spacing w:after="0"/>
        <w:ind w:left="851" w:right="850"/>
        <w:jc w:val="both"/>
        <w:rPr>
          <w:rFonts w:ascii="Palatino Linotype" w:hAnsi="Palatino Linotype" w:cs="Arial"/>
          <w:color w:val="000000"/>
          <w:sz w:val="2"/>
        </w:rPr>
      </w:pP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A31B9" w:rsidRPr="00532A84" w:rsidRDefault="00FA31B9" w:rsidP="00FA31B9">
      <w:pPr>
        <w:spacing w:after="0" w:line="240" w:lineRule="auto"/>
        <w:ind w:left="567" w:right="567"/>
        <w:jc w:val="both"/>
        <w:rPr>
          <w:rFonts w:ascii="Palatino Linotype" w:hAnsi="Palatino Linotype" w:cs="Arial"/>
          <w:i/>
          <w:color w:val="000000"/>
          <w:sz w:val="2"/>
        </w:rPr>
      </w:pPr>
    </w:p>
    <w:p w:rsidR="00FA31B9" w:rsidRPr="00532A84" w:rsidRDefault="00FA31B9" w:rsidP="00FA31B9">
      <w:pPr>
        <w:spacing w:after="0" w:line="360" w:lineRule="auto"/>
        <w:jc w:val="both"/>
        <w:rPr>
          <w:rFonts w:ascii="Palatino Linotype" w:hAnsi="Palatino Linotype" w:cs="Arial"/>
          <w:color w:val="000000" w:themeColor="text1"/>
          <w:sz w:val="24"/>
        </w:rPr>
      </w:pPr>
    </w:p>
    <w:p w:rsidR="00FA31B9" w:rsidRDefault="00FA31B9" w:rsidP="00FA31B9">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A31B9" w:rsidRPr="00532A84" w:rsidRDefault="00FA31B9" w:rsidP="00FA31B9">
      <w:pPr>
        <w:spacing w:after="0" w:line="360" w:lineRule="auto"/>
        <w:jc w:val="both"/>
        <w:rPr>
          <w:rFonts w:ascii="Palatino Linotype" w:hAnsi="Palatino Linotype" w:cs="Arial"/>
          <w:color w:val="000000" w:themeColor="text1"/>
          <w:sz w:val="24"/>
        </w:rPr>
      </w:pPr>
    </w:p>
    <w:p w:rsidR="00FA31B9" w:rsidRPr="00532A84" w:rsidRDefault="00FA31B9" w:rsidP="00FA31B9">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w:t>
      </w:r>
      <w:r>
        <w:rPr>
          <w:rFonts w:ascii="Palatino Linotype" w:hAnsi="Palatino Linotype" w:cs="Arial"/>
          <w:sz w:val="24"/>
        </w:rPr>
        <w:t>unciones y competencias de los sujetos o</w:t>
      </w:r>
      <w:r w:rsidRPr="00532A84">
        <w:rPr>
          <w:rFonts w:ascii="Palatino Linotype" w:hAnsi="Palatino Linotype" w:cs="Arial"/>
          <w:sz w:val="24"/>
        </w:rPr>
        <w:t>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rsidR="00FA31B9" w:rsidRPr="00532A84" w:rsidRDefault="00FA31B9" w:rsidP="00FA31B9">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rsidR="00FA31B9" w:rsidRPr="00532A84" w:rsidRDefault="00FA31B9" w:rsidP="00FA31B9">
      <w:pPr>
        <w:pBdr>
          <w:top w:val="nil"/>
          <w:left w:val="nil"/>
          <w:bottom w:val="nil"/>
          <w:right w:val="nil"/>
          <w:between w:val="nil"/>
        </w:pBdr>
        <w:spacing w:after="0" w:line="360" w:lineRule="auto"/>
        <w:contextualSpacing/>
        <w:jc w:val="both"/>
        <w:rPr>
          <w:rFonts w:ascii="Palatino Linotype" w:hAnsi="Palatino Linotype"/>
          <w:sz w:val="24"/>
          <w:szCs w:val="24"/>
        </w:rPr>
      </w:pPr>
    </w:p>
    <w:p w:rsidR="00FA31B9" w:rsidRPr="00532A84" w:rsidRDefault="00FA31B9" w:rsidP="00FA31B9">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2A84">
        <w:rPr>
          <w:rFonts w:ascii="Palatino Linotype" w:hAnsi="Palatino Linotype" w:cs="Arial"/>
          <w:sz w:val="24"/>
        </w:rPr>
        <w:t>cuyo rubro y texto dispone:</w:t>
      </w:r>
    </w:p>
    <w:p w:rsidR="00FA31B9" w:rsidRPr="00B331C1" w:rsidRDefault="00FA31B9" w:rsidP="00FA31B9">
      <w:pPr>
        <w:spacing w:after="0" w:line="240" w:lineRule="auto"/>
        <w:rPr>
          <w:rFonts w:ascii="Palatino Linotype" w:eastAsia="Times New Roman" w:hAnsi="Palatino Linotype" w:cs="Times New Roman"/>
          <w:sz w:val="24"/>
          <w:szCs w:val="24"/>
          <w:lang w:eastAsia="es-ES"/>
        </w:rPr>
      </w:pPr>
    </w:p>
    <w:p w:rsidR="00FA31B9" w:rsidRPr="00532A84" w:rsidRDefault="00FA31B9" w:rsidP="00FA31B9">
      <w:pPr>
        <w:spacing w:after="0"/>
        <w:ind w:left="567" w:right="567"/>
        <w:jc w:val="both"/>
        <w:rPr>
          <w:rFonts w:ascii="Palatino Linotype" w:hAnsi="Palatino Linotype" w:cs="Arial"/>
          <w:sz w:val="2"/>
        </w:rPr>
      </w:pPr>
    </w:p>
    <w:p w:rsidR="00FA31B9" w:rsidRPr="00532A84" w:rsidRDefault="00FA31B9" w:rsidP="00FA31B9">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A31B9" w:rsidRPr="00532A84" w:rsidRDefault="00FA31B9" w:rsidP="00FA31B9">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rsidR="00FA31B9" w:rsidRPr="00532A84" w:rsidRDefault="00FA31B9" w:rsidP="00FA31B9">
      <w:pPr>
        <w:spacing w:after="0" w:line="240" w:lineRule="auto"/>
        <w:ind w:left="567" w:right="567"/>
        <w:jc w:val="both"/>
        <w:rPr>
          <w:rFonts w:ascii="Palatino Linotype" w:hAnsi="Palatino Linotype" w:cs="Arial"/>
          <w:b/>
          <w:i/>
        </w:rPr>
      </w:pPr>
    </w:p>
    <w:p w:rsidR="00FA31B9" w:rsidRPr="00532A84" w:rsidRDefault="00FA31B9" w:rsidP="00FA31B9">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rsidR="00FA31B9" w:rsidRPr="00532A84" w:rsidRDefault="00FA31B9" w:rsidP="00FA31B9">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rsidR="00FA31B9" w:rsidRPr="00532A84" w:rsidRDefault="00FA31B9" w:rsidP="00FA31B9">
      <w:pPr>
        <w:spacing w:after="0" w:line="240" w:lineRule="auto"/>
        <w:ind w:left="567" w:right="567"/>
        <w:jc w:val="both"/>
        <w:rPr>
          <w:rFonts w:ascii="Palatino Linotype" w:hAnsi="Palatino Linotype" w:cs="Arial"/>
          <w:i/>
          <w:sz w:val="18"/>
        </w:rPr>
      </w:pPr>
      <w:r w:rsidRPr="00532A84">
        <w:rPr>
          <w:rFonts w:ascii="Palatino Linotype" w:hAnsi="Palatino Linotype" w:cs="Arial"/>
          <w:i/>
        </w:rPr>
        <w:lastRenderedPageBreak/>
        <w:t>3) Que se trate de información registrada en cualquier soporte documental, que en ejercicio de las atribuciones conferidas, se encuentre en posesión de los Sujetos Obligados.</w:t>
      </w:r>
    </w:p>
    <w:p w:rsidR="00FA31B9" w:rsidRPr="00532A84" w:rsidRDefault="00FA31B9" w:rsidP="00FA31B9">
      <w:pPr>
        <w:spacing w:after="0" w:line="360" w:lineRule="auto"/>
        <w:jc w:val="both"/>
        <w:rPr>
          <w:rFonts w:ascii="Palatino Linotype" w:hAnsi="Palatino Linotype" w:cs="Arial"/>
          <w:sz w:val="24"/>
        </w:rPr>
      </w:pPr>
    </w:p>
    <w:p w:rsidR="00FA31B9" w:rsidRPr="00532A84" w:rsidRDefault="00FA31B9" w:rsidP="00FA31B9">
      <w:pPr>
        <w:tabs>
          <w:tab w:val="left" w:pos="709"/>
        </w:tabs>
        <w:spacing w:after="0" w:line="360" w:lineRule="auto"/>
        <w:jc w:val="both"/>
        <w:rPr>
          <w:rFonts w:ascii="Palatino Linotype" w:hAnsi="Palatino Linotype" w:cs="Arial"/>
          <w:sz w:val="24"/>
          <w:szCs w:val="24"/>
        </w:rPr>
      </w:pPr>
    </w:p>
    <w:p w:rsidR="00FA31B9" w:rsidRPr="00532A84" w:rsidRDefault="00FA31B9" w:rsidP="00FA31B9">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rsidR="00FA31B9" w:rsidRPr="00532A84" w:rsidRDefault="00FA31B9" w:rsidP="00FA31B9">
      <w:pPr>
        <w:tabs>
          <w:tab w:val="left" w:pos="709"/>
        </w:tabs>
        <w:spacing w:after="0" w:line="360" w:lineRule="auto"/>
        <w:jc w:val="both"/>
        <w:rPr>
          <w:rFonts w:ascii="Palatino Linotype" w:hAnsi="Palatino Linotype"/>
          <w:sz w:val="24"/>
          <w:szCs w:val="24"/>
        </w:rPr>
      </w:pPr>
    </w:p>
    <w:p w:rsidR="00FA31B9" w:rsidRPr="00532A84" w:rsidRDefault="00FA31B9" w:rsidP="00FA31B9">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FA31B9" w:rsidRPr="00532A84" w:rsidRDefault="00FA31B9" w:rsidP="00FA31B9">
      <w:pPr>
        <w:tabs>
          <w:tab w:val="left" w:pos="709"/>
        </w:tabs>
        <w:spacing w:after="0" w:line="360" w:lineRule="auto"/>
        <w:jc w:val="both"/>
        <w:rPr>
          <w:rFonts w:ascii="Palatino Linotype" w:hAnsi="Palatino Linotype"/>
          <w:sz w:val="24"/>
          <w:szCs w:val="24"/>
        </w:rPr>
      </w:pPr>
    </w:p>
    <w:p w:rsidR="00FA31B9" w:rsidRPr="00532A84" w:rsidRDefault="00FA31B9" w:rsidP="00FA31B9">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rsidR="00FA31B9" w:rsidRPr="00532A84" w:rsidRDefault="00FA31B9" w:rsidP="00FA31B9">
      <w:pPr>
        <w:spacing w:after="0"/>
        <w:rPr>
          <w:rFonts w:ascii="Palatino Linotype" w:hAnsi="Palatino Linotype"/>
          <w:sz w:val="24"/>
          <w:szCs w:val="24"/>
          <w:lang w:eastAsia="es-CO"/>
        </w:rPr>
      </w:pPr>
    </w:p>
    <w:p w:rsidR="00FA31B9" w:rsidRPr="00532A84" w:rsidRDefault="00FA31B9" w:rsidP="00FA31B9">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rsidR="00FA31B9" w:rsidRPr="00532A84" w:rsidRDefault="00FA31B9" w:rsidP="00FA31B9">
      <w:pPr>
        <w:spacing w:after="0" w:line="240" w:lineRule="auto"/>
        <w:ind w:left="567" w:right="709"/>
        <w:jc w:val="both"/>
        <w:rPr>
          <w:rFonts w:ascii="Palatino Linotype" w:hAnsi="Palatino Linotype"/>
          <w:i/>
        </w:rPr>
      </w:pPr>
    </w:p>
    <w:p w:rsidR="00FA31B9" w:rsidRPr="00532A84" w:rsidRDefault="00FA31B9" w:rsidP="00FA31B9">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FA31B9" w:rsidRPr="00532A84" w:rsidRDefault="00FA31B9" w:rsidP="00FA31B9">
      <w:pPr>
        <w:spacing w:after="0" w:line="360" w:lineRule="auto"/>
        <w:rPr>
          <w:rFonts w:ascii="Palatino Linotype" w:hAnsi="Palatino Linotype"/>
          <w:sz w:val="24"/>
          <w:szCs w:val="24"/>
        </w:rPr>
      </w:pPr>
    </w:p>
    <w:p w:rsidR="00FA31B9" w:rsidRPr="00532A84" w:rsidRDefault="00FA31B9" w:rsidP="00FA31B9">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A31B9" w:rsidRPr="00532A84" w:rsidRDefault="00FA31B9" w:rsidP="00FA31B9">
      <w:pPr>
        <w:tabs>
          <w:tab w:val="left" w:pos="709"/>
        </w:tabs>
        <w:spacing w:after="0" w:line="360" w:lineRule="auto"/>
        <w:jc w:val="both"/>
        <w:rPr>
          <w:rFonts w:ascii="Palatino Linotype" w:hAnsi="Palatino Linotype" w:cs="Arial"/>
          <w:sz w:val="24"/>
          <w:szCs w:val="24"/>
        </w:rPr>
      </w:pPr>
    </w:p>
    <w:p w:rsidR="00FA31B9" w:rsidRPr="00532A84" w:rsidRDefault="00FA31B9" w:rsidP="00FA31B9">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rsidR="00FA31B9" w:rsidRPr="009353DC" w:rsidRDefault="00FA31B9" w:rsidP="00FA31B9">
      <w:pPr>
        <w:tabs>
          <w:tab w:val="left" w:pos="709"/>
        </w:tabs>
        <w:spacing w:after="0" w:line="360" w:lineRule="auto"/>
        <w:jc w:val="both"/>
        <w:rPr>
          <w:rFonts w:ascii="Palatino Linotype" w:hAnsi="Palatino Linotype"/>
          <w:sz w:val="20"/>
          <w:szCs w:val="24"/>
        </w:rPr>
      </w:pPr>
    </w:p>
    <w:p w:rsidR="00FA31B9" w:rsidRPr="00E818F0" w:rsidRDefault="00FA31B9" w:rsidP="00FA31B9">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r>
        <w:rPr>
          <w:rFonts w:ascii="Palatino Linotype" w:hAnsi="Palatino Linotype"/>
          <w:sz w:val="24"/>
          <w:szCs w:val="24"/>
        </w:rPr>
        <w:t xml:space="preserve">, en </w:t>
      </w:r>
      <w:r>
        <w:rPr>
          <w:rFonts w:ascii="Palatino Linotype" w:hAnsi="Palatino Linotype"/>
          <w:sz w:val="24"/>
          <w:szCs w:val="24"/>
        </w:rPr>
        <w:lastRenderedPageBreak/>
        <w:t>consecuencia</w:t>
      </w:r>
      <w:r w:rsidRPr="00532A84">
        <w:rPr>
          <w:rFonts w:ascii="Palatino Linotype" w:hAnsi="Palatino Linotype"/>
          <w:sz w:val="24"/>
          <w:szCs w:val="24"/>
        </w:rPr>
        <w:t>, se considera que con el pronunciamiento realizado d</w:t>
      </w:r>
      <w:r>
        <w:rPr>
          <w:rFonts w:ascii="Palatino Linotype" w:hAnsi="Palatino Linotype"/>
          <w:sz w:val="24"/>
          <w:szCs w:val="24"/>
        </w:rPr>
        <w:t>esde su respuesta primigenia,</w:t>
      </w:r>
      <w:r w:rsidRPr="00532A84">
        <w:rPr>
          <w:rFonts w:ascii="Palatino Linotype" w:hAnsi="Palatino Linotype"/>
          <w:sz w:val="24"/>
          <w:szCs w:val="24"/>
        </w:rPr>
        <w:t xml:space="preserve"> </w:t>
      </w:r>
      <w:r w:rsidRPr="0002504C">
        <w:rPr>
          <w:rFonts w:ascii="Palatino Linotype" w:hAnsi="Palatino Linotype"/>
          <w:sz w:val="24"/>
          <w:szCs w:val="24"/>
        </w:rPr>
        <w:t>el Sujeto Obligado</w:t>
      </w:r>
      <w:r w:rsidRPr="00532A84">
        <w:rPr>
          <w:rFonts w:ascii="Palatino Linotype" w:hAnsi="Palatino Linotype"/>
          <w:sz w:val="24"/>
          <w:szCs w:val="24"/>
        </w:rPr>
        <w:t xml:space="preserve"> no colma </w:t>
      </w:r>
      <w:r>
        <w:rPr>
          <w:rFonts w:ascii="Palatino Linotype" w:hAnsi="Palatino Linotype"/>
          <w:sz w:val="24"/>
          <w:szCs w:val="24"/>
        </w:rPr>
        <w:t>la información solicitada por el</w:t>
      </w:r>
      <w:r w:rsidRPr="00532A84">
        <w:rPr>
          <w:rFonts w:ascii="Palatino Linotype" w:hAnsi="Palatino Linotype"/>
          <w:sz w:val="24"/>
          <w:szCs w:val="24"/>
        </w:rPr>
        <w:t xml:space="preserve"> particular.</w:t>
      </w:r>
    </w:p>
    <w:p w:rsidR="00FA31B9" w:rsidRPr="009353DC" w:rsidRDefault="00FA31B9" w:rsidP="00FA31B9">
      <w:pPr>
        <w:spacing w:after="0" w:line="360" w:lineRule="auto"/>
        <w:jc w:val="both"/>
        <w:rPr>
          <w:rFonts w:ascii="Palatino Linotype" w:hAnsi="Palatino Linotype"/>
          <w:sz w:val="20"/>
          <w:szCs w:val="24"/>
        </w:rPr>
      </w:pPr>
    </w:p>
    <w:p w:rsidR="00FA31B9" w:rsidRDefault="00FA31B9" w:rsidP="00FA31B9">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señalado anteriormente y en virtud de que las pretensiones del Recurrente no fueron colmadas,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w:t>
      </w:r>
      <w:r w:rsidRPr="007868D9">
        <w:rPr>
          <w:rFonts w:ascii="Palatino Linotype" w:eastAsia="Palatino Linotype" w:hAnsi="Palatino Linotype" w:cs="Palatino Linotype"/>
          <w:sz w:val="24"/>
          <w:szCs w:val="24"/>
        </w:rPr>
        <w:t xml:space="preserve">la </w:t>
      </w:r>
      <w:r>
        <w:rPr>
          <w:rFonts w:ascii="Palatino Linotype" w:eastAsia="Palatino Linotype" w:hAnsi="Palatino Linotype" w:cs="Palatino Linotype"/>
          <w:color w:val="000000"/>
          <w:sz w:val="24"/>
          <w:szCs w:val="24"/>
        </w:rPr>
        <w:t>n</w:t>
      </w:r>
      <w:r w:rsidRPr="00501FBD">
        <w:rPr>
          <w:rFonts w:ascii="Palatino Linotype" w:eastAsia="Palatino Linotype" w:hAnsi="Palatino Linotype" w:cs="Palatino Linotype"/>
          <w:color w:val="000000"/>
          <w:sz w:val="24"/>
          <w:szCs w:val="24"/>
        </w:rPr>
        <w:t>ómina de los servidores públicos enunciados en el artículo 32 de la Ley Orgánica Municipal del Estado de México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por lo que hace al mes inmediato a la fecha de la solicitud, así como toda la nómina relativa a los años 2017, 2018, 2019, 2020, 2021 y de los meses de enero y febrero de 2022</w:t>
      </w:r>
      <w:r w:rsidRPr="007868D9">
        <w:rPr>
          <w:rFonts w:ascii="Palatino Linotype" w:eastAsia="Palatino Linotype" w:hAnsi="Palatino Linotype" w:cs="Palatino Linotype"/>
          <w:sz w:val="24"/>
          <w:szCs w:val="24"/>
        </w:rPr>
        <w:t>; lo anterior en versión pública de ser procedente.</w:t>
      </w:r>
    </w:p>
    <w:p w:rsidR="00FA31B9" w:rsidRDefault="00FA31B9" w:rsidP="00FA31B9">
      <w:pPr>
        <w:pStyle w:val="Sinespaciado"/>
        <w:spacing w:before="240" w:line="360" w:lineRule="auto"/>
        <w:jc w:val="both"/>
        <w:rPr>
          <w:rFonts w:ascii="Palatino Linotype" w:hAnsi="Palatino Linotype" w:cs="Arial"/>
        </w:rPr>
      </w:pPr>
    </w:p>
    <w:p w:rsidR="00FA31B9" w:rsidRPr="002C3EC8" w:rsidRDefault="00FA31B9" w:rsidP="00FA31B9">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rsidR="00FA31B9" w:rsidRPr="002C3EC8" w:rsidRDefault="00FA31B9" w:rsidP="00FA31B9">
      <w:pPr>
        <w:tabs>
          <w:tab w:val="left" w:pos="8647"/>
        </w:tabs>
        <w:spacing w:after="0" w:line="360" w:lineRule="auto"/>
        <w:ind w:right="51"/>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w:t>
      </w:r>
      <w:r w:rsidRPr="0039499D">
        <w:rPr>
          <w:rFonts w:ascii="Palatino Linotype" w:hAnsi="Palatino Linotype" w:cs="Arial"/>
          <w:i/>
          <w:szCs w:val="24"/>
        </w:rPr>
        <w:lastRenderedPageBreak/>
        <w:t xml:space="preserve">atención a las solicitudes de información en los términos de la Ley General y la presente Ley. </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39499D">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FA31B9" w:rsidRPr="0039499D" w:rsidRDefault="00FA31B9" w:rsidP="00FA31B9">
      <w:pPr>
        <w:spacing w:line="360" w:lineRule="auto"/>
        <w:jc w:val="both"/>
        <w:rPr>
          <w:rFonts w:ascii="Palatino Linotype" w:hAnsi="Palatino Linotype" w:cs="Arial"/>
          <w:sz w:val="24"/>
          <w:szCs w:val="24"/>
        </w:rPr>
      </w:pPr>
    </w:p>
    <w:p w:rsidR="00FA31B9" w:rsidRPr="00E5613E" w:rsidRDefault="00FA31B9" w:rsidP="00FA31B9">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E5613E">
        <w:rPr>
          <w:rFonts w:ascii="Palatino Linotype" w:hAnsi="Palatino Linotype" w:cs="Arial"/>
          <w:i/>
          <w:szCs w:val="24"/>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xml:space="preserve">, publicados en el Diario Oficial de la Federación en fecha quince de abril del </w:t>
      </w:r>
      <w:r w:rsidRPr="0039499D">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ello se destaca que a criterio de este Instituto la información relativa al nombre de </w:t>
      </w:r>
      <w:r w:rsidRPr="0039499D">
        <w:rPr>
          <w:rFonts w:ascii="Palatino Linotype" w:hAnsi="Palatino Linotype" w:cs="Arial"/>
          <w:b/>
          <w:sz w:val="24"/>
          <w:szCs w:val="24"/>
        </w:rPr>
        <w:t>los servidores públicos que ocupan un cargo en las dependencias de gobierno encargadas de la seguridad pública</w:t>
      </w:r>
      <w:r w:rsidRPr="0039499D">
        <w:rPr>
          <w:rFonts w:ascii="Palatino Linotype" w:hAnsi="Palatino Linotype" w:cs="Arial"/>
          <w:sz w:val="24"/>
          <w:szCs w:val="24"/>
        </w:rPr>
        <w:t xml:space="preserve">, debe ser objeto de un proceso de </w:t>
      </w:r>
      <w:r w:rsidRPr="0039499D">
        <w:rPr>
          <w:rFonts w:ascii="Palatino Linotype" w:hAnsi="Palatino Linotype" w:cs="Arial"/>
          <w:b/>
          <w:sz w:val="24"/>
          <w:szCs w:val="24"/>
        </w:rPr>
        <w:t>reserva de la información,</w:t>
      </w:r>
      <w:r w:rsidRPr="0039499D">
        <w:rPr>
          <w:rFonts w:ascii="Palatino Linotype" w:hAnsi="Palatino Linotype" w:cs="Arial"/>
          <w:sz w:val="24"/>
          <w:szCs w:val="24"/>
        </w:rPr>
        <w:t xml:space="preserve"> para no hacer identificable al titular de tal dato personal.</w:t>
      </w: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conforme al propio concepto de versión pública contenido en el artículo 3, fracción XXIV, de la multicitada Ley se define como:</w:t>
      </w:r>
    </w:p>
    <w:p w:rsidR="00FA31B9" w:rsidRPr="0039499D" w:rsidRDefault="00FA31B9" w:rsidP="00FA31B9">
      <w:pPr>
        <w:spacing w:line="360" w:lineRule="auto"/>
        <w:jc w:val="both"/>
        <w:rPr>
          <w:rFonts w:ascii="Palatino Linotype" w:hAnsi="Palatino Linotype" w:cs="Arial"/>
          <w:szCs w:val="24"/>
        </w:rPr>
      </w:pPr>
    </w:p>
    <w:p w:rsidR="00FA31B9" w:rsidRPr="0039499D" w:rsidRDefault="00FA31B9" w:rsidP="00FA31B9">
      <w:pPr>
        <w:spacing w:line="360"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XXIV</w:t>
      </w:r>
      <w:r w:rsidRPr="0039499D">
        <w:rPr>
          <w:rFonts w:ascii="Palatino Linotype" w:hAnsi="Palatino Linotype" w:cs="Arial"/>
          <w:i/>
          <w:szCs w:val="24"/>
        </w:rPr>
        <w:t xml:space="preserve">. </w:t>
      </w:r>
      <w:r w:rsidRPr="0039499D">
        <w:rPr>
          <w:rFonts w:ascii="Palatino Linotype" w:hAnsi="Palatino Linotype" w:cs="Arial"/>
          <w:b/>
          <w:i/>
          <w:szCs w:val="24"/>
        </w:rPr>
        <w:t>Información reservada:</w:t>
      </w:r>
      <w:r w:rsidRPr="0039499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w:t>
      </w:r>
      <w:r w:rsidRPr="0039499D">
        <w:rPr>
          <w:rFonts w:ascii="Palatino Linotype" w:hAnsi="Palatino Linotype" w:cs="Arial"/>
          <w:sz w:val="24"/>
          <w:szCs w:val="24"/>
        </w:rPr>
        <w:lastRenderedPageBreak/>
        <w:t xml:space="preserve">sean tributarios o de seguridad social y cualquier otro concepto vinculado con la erogación de recursos públicos en concordancia con el artículo 23, segundo párrafo, de la Ley ya analizado, lo cierto es que, en lo que respecta a la </w:t>
      </w:r>
      <w:r w:rsidRPr="0039499D">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9499D">
        <w:rPr>
          <w:rFonts w:ascii="Palatino Linotype" w:hAnsi="Palatino Linotype" w:cs="Arial"/>
          <w:sz w:val="24"/>
          <w:szCs w:val="24"/>
        </w:rPr>
        <w:t>.</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Esto es así, ya que el artículo 81, fracción III, de la Ley de Seguridad del Estado de México, establece lo siguiente: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81.-</w:t>
      </w:r>
      <w:r w:rsidRPr="0039499D">
        <w:rPr>
          <w:rFonts w:ascii="Palatino Linotype" w:hAnsi="Palatino Linotype" w:cs="Arial"/>
          <w:i/>
          <w:szCs w:val="24"/>
        </w:rPr>
        <w:t xml:space="preserve"> </w:t>
      </w:r>
      <w:r w:rsidRPr="0039499D">
        <w:rPr>
          <w:rFonts w:ascii="Palatino Linotype" w:hAnsi="Palatino Linotype" w:cs="Arial"/>
          <w:i/>
          <w:szCs w:val="24"/>
          <w:u w:val="single"/>
        </w:rPr>
        <w:t>Toda información para la seguridad pública</w:t>
      </w:r>
      <w:r w:rsidRPr="0039499D">
        <w:rPr>
          <w:rFonts w:ascii="Palatino Linotype" w:hAnsi="Palatino Linotype" w:cs="Arial"/>
          <w:i/>
          <w:szCs w:val="24"/>
        </w:rPr>
        <w:t xml:space="preserve"> generada o en poder de Instituciones de Seguridad Pública o de cualquier instancia del Sistema Estatal </w:t>
      </w:r>
      <w:r w:rsidRPr="0039499D">
        <w:rPr>
          <w:rFonts w:ascii="Palatino Linotype" w:hAnsi="Palatino Linotype" w:cs="Arial"/>
          <w:i/>
          <w:szCs w:val="24"/>
          <w:u w:val="single"/>
        </w:rPr>
        <w:t>debe</w:t>
      </w:r>
      <w:r w:rsidRPr="0039499D">
        <w:rPr>
          <w:rFonts w:ascii="Palatino Linotype" w:hAnsi="Palatino Linotype" w:cs="Arial"/>
          <w:i/>
          <w:szCs w:val="24"/>
        </w:rPr>
        <w:t xml:space="preserve"> registrarse, </w:t>
      </w:r>
      <w:r w:rsidRPr="0039499D">
        <w:rPr>
          <w:rFonts w:ascii="Palatino Linotype" w:hAnsi="Palatino Linotype" w:cs="Arial"/>
          <w:i/>
          <w:szCs w:val="24"/>
          <w:u w:val="single"/>
        </w:rPr>
        <w:t>clasificarse</w:t>
      </w:r>
      <w:r w:rsidRPr="0039499D">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xml:space="preserve">. </w:t>
      </w:r>
      <w:r w:rsidRPr="0039499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w:t>
      </w:r>
      <w:r w:rsidRPr="0039499D">
        <w:rPr>
          <w:rFonts w:ascii="Palatino Linotype" w:hAnsi="Palatino Linotype" w:cs="Arial"/>
          <w:sz w:val="24"/>
          <w:szCs w:val="24"/>
        </w:rPr>
        <w:lastRenderedPageBreak/>
        <w:t>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rsidR="00FA31B9" w:rsidRPr="0039499D" w:rsidRDefault="00FA31B9" w:rsidP="00FA31B9">
      <w:pPr>
        <w:spacing w:line="276"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Nombres de servidores públicos dedicados a actividades en materia de seguridad, por excepción pueden considerarse información reservada.</w:t>
      </w:r>
      <w:r w:rsidRPr="0039499D">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b/>
          <w:sz w:val="24"/>
          <w:szCs w:val="24"/>
        </w:rPr>
      </w:pPr>
      <w:r w:rsidRPr="0039499D">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sz w:val="24"/>
          <w:szCs w:val="24"/>
        </w:rPr>
        <w:t>homoclave</w:t>
      </w:r>
      <w:proofErr w:type="spellEnd"/>
      <w:r w:rsidRPr="0039499D">
        <w:rPr>
          <w:rFonts w:ascii="Palatino Linotype" w:hAnsi="Palatino Linotype" w:cs="Arial"/>
          <w:sz w:val="24"/>
          <w:szCs w:val="24"/>
        </w:rPr>
        <w:t>; la cual para su obtención es necesario acreditar personalidad, fecha de nacimiento entre otros con documentos oficiales.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lastRenderedPageBreak/>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xml:space="preserve">. El RFC es una clave de carácter fiscal, </w:t>
      </w:r>
      <w:proofErr w:type="gramStart"/>
      <w:r w:rsidRPr="0039499D">
        <w:rPr>
          <w:rFonts w:ascii="Palatino Linotype" w:hAnsi="Palatino Linotype" w:cs="Arial"/>
          <w:i/>
          <w:sz w:val="24"/>
          <w:szCs w:val="24"/>
        </w:rPr>
        <w:t>única</w:t>
      </w:r>
      <w:proofErr w:type="gramEnd"/>
      <w:r w:rsidRPr="0039499D">
        <w:rPr>
          <w:rFonts w:ascii="Palatino Linotype" w:hAnsi="Palatino Linotype" w:cs="Arial"/>
          <w:i/>
          <w:sz w:val="24"/>
          <w:szCs w:val="24"/>
        </w:rPr>
        <w:t xml:space="preserve"> e irrepetible, que permite identificar al titular, su edad y fecha de nacimiento, por lo que es un dato personal de carácter confidencial.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sz w:val="24"/>
          <w:szCs w:val="24"/>
        </w:rPr>
        <w:t>homoclave</w:t>
      </w:r>
      <w:proofErr w:type="spellEnd"/>
      <w:r w:rsidRPr="0039499D">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rsidR="00FA31B9" w:rsidRPr="0039499D" w:rsidRDefault="00FA31B9" w:rsidP="00FA31B9">
      <w:pPr>
        <w:spacing w:line="276" w:lineRule="auto"/>
        <w:jc w:val="both"/>
        <w:rPr>
          <w:rFonts w:ascii="Palatino Linotype" w:hAnsi="Palatino Linotype" w:cs="Arial"/>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lastRenderedPageBreak/>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A31B9" w:rsidRPr="0039499D" w:rsidRDefault="00FA31B9" w:rsidP="00FA31B9">
      <w:pPr>
        <w:spacing w:line="276"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w:t>
      </w:r>
      <w:r w:rsidRPr="0039499D">
        <w:rPr>
          <w:rFonts w:ascii="Palatino Linotype" w:hAnsi="Palatino Linotype" w:cs="Arial"/>
          <w:sz w:val="24"/>
          <w:szCs w:val="24"/>
        </w:rPr>
        <w:lastRenderedPageBreak/>
        <w:t>la Ley de Protección de Datos Personales en Posesión de Sujetos Obligados del Estado de México y Municipios.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rsidR="00FA31B9" w:rsidRPr="00E5613E" w:rsidRDefault="00FA31B9" w:rsidP="00FA31B9">
      <w:pPr>
        <w:spacing w:line="276" w:lineRule="auto"/>
        <w:ind w:left="567" w:right="567"/>
        <w:jc w:val="both"/>
        <w:rPr>
          <w:rFonts w:ascii="Palatino Linotype" w:hAnsi="Palatino Linotype" w:cs="Arial"/>
          <w:i/>
          <w:szCs w:val="24"/>
        </w:rPr>
      </w:pPr>
    </w:p>
    <w:p w:rsidR="00FA31B9" w:rsidRPr="00E5613E" w:rsidRDefault="00FA31B9" w:rsidP="00FA31B9">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rsidR="00FA31B9" w:rsidRPr="0039499D" w:rsidRDefault="00FA31B9" w:rsidP="00FA31B9">
      <w:pPr>
        <w:spacing w:line="276" w:lineRule="auto"/>
        <w:jc w:val="both"/>
        <w:rPr>
          <w:rFonts w:ascii="Palatino Linotype" w:hAnsi="Palatino Linotype" w:cs="Arial"/>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proofErr w:type="gramStart"/>
      <w:r w:rsidRPr="0039499D">
        <w:rPr>
          <w:rFonts w:ascii="Palatino Linotype" w:hAnsi="Palatino Linotype" w:cs="Arial"/>
          <w:b/>
          <w:i/>
          <w:szCs w:val="24"/>
        </w:rPr>
        <w:lastRenderedPageBreak/>
        <w:t>I</w:t>
      </w:r>
      <w:r w:rsidRPr="0039499D">
        <w:rPr>
          <w:rFonts w:ascii="Palatino Linotype" w:hAnsi="Palatino Linotype" w:cs="Arial"/>
          <w:i/>
          <w:szCs w:val="24"/>
        </w:rPr>
        <w:t>.</w:t>
      </w:r>
      <w:proofErr w:type="gramEnd"/>
      <w:r w:rsidRPr="0039499D">
        <w:rPr>
          <w:rFonts w:ascii="Palatino Linotype" w:hAnsi="Palatino Linotype" w:cs="Arial"/>
          <w:i/>
          <w:szCs w:val="24"/>
        </w:rPr>
        <w:t xml:space="preserve">  (…)</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w:t>
      </w:r>
      <w:r w:rsidRPr="0039499D">
        <w:rPr>
          <w:rFonts w:ascii="Palatino Linotype" w:hAnsi="Palatino Linotype" w:cs="Arial"/>
          <w:sz w:val="24"/>
          <w:szCs w:val="24"/>
        </w:rPr>
        <w:lastRenderedPageBreak/>
        <w:t>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39499D">
        <w:rPr>
          <w:rFonts w:ascii="Palatino Linotype" w:hAnsi="Palatino Linotype" w:cs="Arial"/>
          <w:sz w:val="24"/>
          <w:szCs w:val="24"/>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39499D">
        <w:rPr>
          <w:rFonts w:ascii="Palatino Linotype" w:hAnsi="Palatino Linotype" w:cs="Arial"/>
          <w:i/>
          <w:szCs w:val="24"/>
        </w:rPr>
        <w:lastRenderedPageBreak/>
        <w:t>de sus respectivas competencias, en tanto estas últimas no contravengan lo dispuesto en la Ley General.</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rsidR="00FA31B9" w:rsidRPr="0039499D" w:rsidRDefault="00FA31B9" w:rsidP="00FA31B9">
      <w:pPr>
        <w:spacing w:line="276" w:lineRule="auto"/>
        <w:ind w:left="567" w:right="567"/>
        <w:jc w:val="both"/>
        <w:rPr>
          <w:rFonts w:ascii="Palatino Linotype" w:hAnsi="Palatino Linotype" w:cs="Arial"/>
          <w:i/>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A31B9" w:rsidRPr="0039499D" w:rsidRDefault="00FA31B9" w:rsidP="00FA31B9">
      <w:pPr>
        <w:spacing w:line="276" w:lineRule="auto"/>
        <w:jc w:val="both"/>
        <w:rPr>
          <w:rFonts w:ascii="Palatino Linotype" w:hAnsi="Palatino Linotype" w:cs="Arial"/>
          <w:szCs w:val="24"/>
        </w:rPr>
      </w:pPr>
    </w:p>
    <w:p w:rsidR="00FA31B9" w:rsidRPr="0039499D" w:rsidRDefault="00FA31B9" w:rsidP="00FA31B9">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w:t>
      </w:r>
      <w:r w:rsidRPr="0039499D">
        <w:rPr>
          <w:rFonts w:ascii="Palatino Linotype" w:hAnsi="Palatino Linotype" w:cs="Arial"/>
          <w:i/>
          <w:sz w:val="24"/>
          <w:szCs w:val="24"/>
        </w:rPr>
        <w:lastRenderedPageBreak/>
        <w:t>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FA31B9" w:rsidRPr="0039499D" w:rsidRDefault="00FA31B9" w:rsidP="00FA31B9">
      <w:pPr>
        <w:spacing w:line="276"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FA31B9" w:rsidRPr="0039499D" w:rsidRDefault="00FA31B9" w:rsidP="00FA31B9">
      <w:pPr>
        <w:spacing w:line="360" w:lineRule="auto"/>
        <w:jc w:val="both"/>
        <w:rPr>
          <w:rFonts w:ascii="Palatino Linotype" w:hAnsi="Palatino Linotype" w:cs="Arial"/>
          <w:sz w:val="24"/>
          <w:szCs w:val="24"/>
        </w:rPr>
      </w:pPr>
    </w:p>
    <w:p w:rsidR="00FA31B9" w:rsidRPr="0039499D" w:rsidRDefault="00FA31B9" w:rsidP="00FA31B9">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w:t>
      </w:r>
      <w:r w:rsidRPr="0039499D">
        <w:rPr>
          <w:rFonts w:ascii="Palatino Linotype" w:hAnsi="Palatino Linotype" w:cs="Arial"/>
          <w:sz w:val="24"/>
          <w:szCs w:val="24"/>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A31B9" w:rsidRPr="002C3EC8" w:rsidRDefault="00FA31B9" w:rsidP="00FA31B9">
      <w:pPr>
        <w:spacing w:after="0" w:line="360" w:lineRule="auto"/>
        <w:jc w:val="both"/>
        <w:rPr>
          <w:rFonts w:ascii="Palatino Linotype" w:eastAsia="Times New Roman" w:hAnsi="Palatino Linotype" w:cs="Times New Roman"/>
          <w:sz w:val="24"/>
          <w:szCs w:val="24"/>
          <w:lang w:eastAsia="es-ES"/>
        </w:rPr>
      </w:pPr>
    </w:p>
    <w:p w:rsidR="00FA31B9" w:rsidRPr="002C3EC8" w:rsidRDefault="00FA31B9" w:rsidP="00FA31B9">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2C3EC8">
        <w:rPr>
          <w:rFonts w:ascii="Palatino Linotype" w:eastAsia="Times New Roman" w:hAnsi="Palatino Linotype" w:cs="Arial"/>
          <w:b/>
          <w:sz w:val="24"/>
          <w:szCs w:val="24"/>
          <w:lang w:eastAsia="es-ES"/>
        </w:rPr>
        <w:t xml:space="preserve">REVOCAN </w:t>
      </w:r>
      <w:r w:rsidRPr="002C3EC8">
        <w:rPr>
          <w:rFonts w:ascii="Palatino Linotype" w:eastAsia="Times New Roman" w:hAnsi="Palatino Linotype" w:cs="Arial"/>
          <w:sz w:val="24"/>
          <w:szCs w:val="24"/>
          <w:lang w:eastAsia="es-ES"/>
        </w:rPr>
        <w:t>las respuestas a la solicitudes de información números</w:t>
      </w:r>
      <w:r w:rsidRPr="002C3EC8">
        <w:rPr>
          <w:rFonts w:ascii="Palatino Linotype" w:eastAsia="Times New Roman" w:hAnsi="Palatino Linotype" w:cs="Times New Roman"/>
          <w:b/>
          <w:sz w:val="24"/>
          <w:szCs w:val="24"/>
          <w:lang w:eastAsia="es-ES"/>
        </w:rPr>
        <w:t xml:space="preserve"> </w:t>
      </w:r>
      <w:r w:rsidRPr="002C3EC8">
        <w:rPr>
          <w:rFonts w:ascii="Palatino Linotype" w:hAnsi="Palatino Linotype" w:cs="Arial"/>
          <w:b/>
          <w:sz w:val="24"/>
        </w:rPr>
        <w:t>00272/TENANCIN/IP/2022, 00335/TENANCIN/IP/2022, 00336/TENANCIN/IP/2022, 00337/TENANCIN/IP/2022, 00338/TENANCIN/IP/2022, 00339/TENANCIN/IP/2022, 00340/TENANCIN/IP/2022</w:t>
      </w:r>
      <w:r w:rsidRPr="002C3EC8">
        <w:rPr>
          <w:rFonts w:ascii="Palatino Linotype" w:hAnsi="Palatino Linotype" w:cs="Arial"/>
          <w:b/>
          <w:sz w:val="24"/>
          <w:szCs w:val="24"/>
        </w:rPr>
        <w:t xml:space="preserve"> </w:t>
      </w:r>
      <w:r w:rsidRPr="002C3EC8">
        <w:rPr>
          <w:rFonts w:ascii="Palatino Linotype" w:hAnsi="Palatino Linotype" w:cs="Arial"/>
          <w:sz w:val="24"/>
          <w:szCs w:val="24"/>
        </w:rPr>
        <w:t xml:space="preserve">que han sido materia del presente fallo. </w:t>
      </w:r>
    </w:p>
    <w:p w:rsidR="00FA31B9" w:rsidRPr="002C3EC8" w:rsidRDefault="00FA31B9" w:rsidP="00FA31B9">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FA31B9" w:rsidRPr="002C3EC8" w:rsidRDefault="00FA31B9" w:rsidP="00FA31B9">
      <w:pPr>
        <w:spacing w:line="360" w:lineRule="auto"/>
        <w:contextualSpacing/>
        <w:jc w:val="both"/>
        <w:rPr>
          <w:rFonts w:ascii="Palatino Linotype" w:eastAsia="MS Mincho" w:hAnsi="Palatino Linotype"/>
        </w:rPr>
      </w:pPr>
    </w:p>
    <w:p w:rsidR="00FA31B9" w:rsidRPr="002C3EC8" w:rsidRDefault="00FA31B9" w:rsidP="00FA31B9">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FA31B9" w:rsidRPr="002C3EC8" w:rsidRDefault="00FA31B9" w:rsidP="00FA31B9">
      <w:pPr>
        <w:spacing w:before="240" w:line="360" w:lineRule="auto"/>
        <w:jc w:val="both"/>
        <w:rPr>
          <w:rFonts w:ascii="Palatino Linotype" w:hAnsi="Palatino Linotype" w:cs="Arial"/>
          <w:sz w:val="24"/>
          <w:szCs w:val="24"/>
        </w:rPr>
      </w:pPr>
      <w:r w:rsidRPr="002C3EC8">
        <w:rPr>
          <w:rFonts w:ascii="Palatino Linotype" w:hAnsi="Palatino Linotype" w:cs="Arial"/>
          <w:b/>
          <w:sz w:val="28"/>
          <w:szCs w:val="28"/>
          <w:lang w:val="es-ES_tradnl"/>
        </w:rPr>
        <w:lastRenderedPageBreak/>
        <w:t>PRIMERO.</w:t>
      </w:r>
      <w:r w:rsidRPr="002C3EC8">
        <w:rPr>
          <w:rFonts w:ascii="Palatino Linotype" w:hAnsi="Palatino Linotype" w:cs="Arial"/>
          <w:sz w:val="24"/>
          <w:szCs w:val="24"/>
          <w:lang w:val="es-ES_tradnl"/>
        </w:rPr>
        <w:t xml:space="preserve"> </w:t>
      </w:r>
      <w:r w:rsidRPr="002C3EC8">
        <w:rPr>
          <w:rFonts w:ascii="Palatino Linotype" w:hAnsi="Palatino Linotype" w:cs="Arial"/>
          <w:sz w:val="24"/>
          <w:szCs w:val="24"/>
        </w:rPr>
        <w:t xml:space="preserve">Se </w:t>
      </w:r>
      <w:r w:rsidRPr="002C3EC8">
        <w:rPr>
          <w:rFonts w:ascii="Palatino Linotype" w:hAnsi="Palatino Linotype" w:cs="Arial"/>
          <w:b/>
          <w:sz w:val="24"/>
          <w:szCs w:val="24"/>
        </w:rPr>
        <w:t xml:space="preserve">REVOCA </w:t>
      </w:r>
      <w:r w:rsidRPr="002C3EC8">
        <w:rPr>
          <w:rFonts w:ascii="Palatino Linotype" w:hAnsi="Palatino Linotype" w:cs="Arial"/>
          <w:sz w:val="24"/>
          <w:szCs w:val="24"/>
        </w:rPr>
        <w:t>la</w:t>
      </w:r>
      <w:r>
        <w:rPr>
          <w:rFonts w:ascii="Palatino Linotype" w:hAnsi="Palatino Linotype" w:cs="Arial"/>
          <w:sz w:val="24"/>
          <w:szCs w:val="24"/>
        </w:rPr>
        <w:t>s</w:t>
      </w:r>
      <w:r w:rsidRPr="002C3EC8">
        <w:rPr>
          <w:rFonts w:ascii="Palatino Linotype" w:hAnsi="Palatino Linotype" w:cs="Arial"/>
          <w:sz w:val="24"/>
          <w:szCs w:val="24"/>
        </w:rPr>
        <w:t xml:space="preserve"> respuesta</w:t>
      </w:r>
      <w:r>
        <w:rPr>
          <w:rFonts w:ascii="Palatino Linotype" w:hAnsi="Palatino Linotype" w:cs="Arial"/>
          <w:sz w:val="24"/>
          <w:szCs w:val="24"/>
        </w:rPr>
        <w:t>s</w:t>
      </w:r>
      <w:r w:rsidRPr="002C3EC8">
        <w:rPr>
          <w:rFonts w:ascii="Palatino Linotype" w:hAnsi="Palatino Linotype" w:cs="Arial"/>
          <w:sz w:val="24"/>
          <w:szCs w:val="24"/>
        </w:rPr>
        <w:t xml:space="preserve"> entregada</w:t>
      </w:r>
      <w:r>
        <w:rPr>
          <w:rFonts w:ascii="Palatino Linotype" w:hAnsi="Palatino Linotype" w:cs="Arial"/>
          <w:sz w:val="24"/>
          <w:szCs w:val="24"/>
        </w:rPr>
        <w:t>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 xml:space="preserve">a las solicitudes de información números </w:t>
      </w:r>
      <w:r w:rsidRPr="002C3EC8">
        <w:rPr>
          <w:rFonts w:ascii="Palatino Linotype" w:hAnsi="Palatino Linotype" w:cs="Arial"/>
          <w:b/>
          <w:sz w:val="24"/>
        </w:rPr>
        <w:t xml:space="preserve">00272/TENANCIN/IP/2022, 00335/TENANCIN/IP/2022, 00336/TENANCIN/IP/2022, 00337/TENANCIN/IP/2022, 00338/TENANCIN/IP/2022, 00339/TENANCIN/IP/2022, 00340/TENANCIN/IP/2022 </w:t>
      </w:r>
      <w:r w:rsidRPr="002C3EC8">
        <w:rPr>
          <w:rFonts w:ascii="Palatino Linotype" w:hAnsi="Palatino Linotype" w:cs="Arial"/>
          <w:sz w:val="24"/>
          <w:szCs w:val="24"/>
        </w:rPr>
        <w:t>por resultar fundados los motivos de inconformidad que arguye 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en términos del considerando </w:t>
      </w:r>
      <w:r w:rsidRPr="002C3EC8">
        <w:rPr>
          <w:rFonts w:ascii="Palatino Linotype" w:hAnsi="Palatino Linotype" w:cs="Arial"/>
          <w:b/>
          <w:sz w:val="24"/>
          <w:szCs w:val="24"/>
        </w:rPr>
        <w:t xml:space="preserve">QUINTO </w:t>
      </w:r>
      <w:r w:rsidRPr="002C3EC8">
        <w:rPr>
          <w:rFonts w:ascii="Palatino Linotype" w:hAnsi="Palatino Linotype" w:cs="Arial"/>
          <w:sz w:val="24"/>
          <w:szCs w:val="24"/>
        </w:rPr>
        <w:t xml:space="preserve">de la presente resolución. </w:t>
      </w:r>
    </w:p>
    <w:p w:rsidR="00FA31B9" w:rsidRPr="002C3EC8" w:rsidRDefault="00FA31B9" w:rsidP="00FA31B9">
      <w:pPr>
        <w:spacing w:before="240" w:line="360" w:lineRule="auto"/>
        <w:jc w:val="both"/>
        <w:rPr>
          <w:rFonts w:ascii="Palatino Linotype" w:hAnsi="Palatino Linotype" w:cs="Arial"/>
          <w:sz w:val="24"/>
          <w:szCs w:val="24"/>
        </w:rPr>
      </w:pPr>
    </w:p>
    <w:p w:rsidR="00FA31B9" w:rsidRPr="0039499D" w:rsidRDefault="00FA31B9" w:rsidP="00FA31B9">
      <w:pPr>
        <w:spacing w:line="360" w:lineRule="auto"/>
        <w:ind w:right="49"/>
        <w:jc w:val="both"/>
        <w:rPr>
          <w:rFonts w:ascii="Palatino Linotype" w:hAnsi="Palatino Linotype" w:cs="Arial"/>
          <w:color w:val="000000" w:themeColor="text1"/>
          <w:sz w:val="24"/>
        </w:rPr>
      </w:pPr>
      <w:r w:rsidRPr="0039499D">
        <w:rPr>
          <w:rFonts w:ascii="Palatino Linotype" w:hAnsi="Palatino Linotype" w:cs="Arial"/>
          <w:b/>
          <w:sz w:val="28"/>
          <w:szCs w:val="28"/>
        </w:rPr>
        <w:t>SEGUNDO.</w:t>
      </w:r>
      <w:r w:rsidRPr="0039499D">
        <w:rPr>
          <w:rFonts w:ascii="Palatino Linotype" w:hAnsi="Palatino Linotype" w:cs="Arial"/>
          <w:sz w:val="24"/>
        </w:rPr>
        <w:t xml:space="preserve"> Se </w:t>
      </w:r>
      <w:r w:rsidRPr="0039499D">
        <w:rPr>
          <w:rFonts w:ascii="Palatino Linotype" w:hAnsi="Palatino Linotype" w:cs="Arial"/>
          <w:b/>
          <w:sz w:val="24"/>
        </w:rPr>
        <w:t>ORDENA</w:t>
      </w:r>
      <w:r w:rsidRPr="0039499D">
        <w:rPr>
          <w:rFonts w:ascii="Palatino Linotype" w:hAnsi="Palatino Linotype" w:cs="Arial"/>
          <w:sz w:val="24"/>
        </w:rPr>
        <w:t xml:space="preserve"> al </w:t>
      </w:r>
      <w:r w:rsidRPr="0039499D">
        <w:rPr>
          <w:rFonts w:ascii="Palatino Linotype" w:hAnsi="Palatino Linotype" w:cs="Arial"/>
          <w:b/>
          <w:sz w:val="24"/>
        </w:rPr>
        <w:t>Sujeto Obligado</w:t>
      </w:r>
      <w:r w:rsidRPr="0039499D">
        <w:rPr>
          <w:rFonts w:ascii="Palatino Linotype" w:hAnsi="Palatino Linotype" w:cs="Arial"/>
          <w:sz w:val="24"/>
        </w:rPr>
        <w:t xml:space="preserve">, en términos del considerando </w:t>
      </w:r>
      <w:r>
        <w:rPr>
          <w:rFonts w:ascii="Palatino Linotype" w:hAnsi="Palatino Linotype" w:cs="Arial"/>
          <w:b/>
          <w:sz w:val="24"/>
        </w:rPr>
        <w:t>Quinto</w:t>
      </w:r>
      <w:r w:rsidRPr="0039499D">
        <w:rPr>
          <w:rFonts w:ascii="Palatino Linotype" w:hAnsi="Palatino Linotype" w:cs="Arial"/>
          <w:b/>
          <w:sz w:val="24"/>
        </w:rPr>
        <w:t xml:space="preserve"> </w:t>
      </w:r>
      <w:r w:rsidRPr="0039499D">
        <w:rPr>
          <w:rFonts w:ascii="Palatino Linotype" w:hAnsi="Palatino Linotype" w:cs="Arial"/>
          <w:sz w:val="24"/>
        </w:rPr>
        <w:t>de esta resolución, haga entrega</w:t>
      </w:r>
      <w:r>
        <w:rPr>
          <w:rFonts w:ascii="Palatino Linotype" w:hAnsi="Palatino Linotype" w:cs="Arial"/>
          <w:sz w:val="24"/>
        </w:rPr>
        <w:t xml:space="preserve"> a través del SAIMEX,</w:t>
      </w:r>
      <w:r w:rsidRPr="0039499D">
        <w:rPr>
          <w:rFonts w:ascii="Palatino Linotype" w:hAnsi="Palatino Linotype" w:cs="Arial"/>
          <w:sz w:val="24"/>
        </w:rPr>
        <w:t xml:space="preserve"> en versión pública del soporte documental, en que obre lo siguiente</w:t>
      </w:r>
      <w:r w:rsidRPr="0039499D">
        <w:rPr>
          <w:rFonts w:ascii="Palatino Linotype" w:hAnsi="Palatino Linotype"/>
          <w:bCs/>
          <w:sz w:val="24"/>
        </w:rPr>
        <w:t>:</w:t>
      </w:r>
    </w:p>
    <w:p w:rsidR="00FA31B9" w:rsidRPr="00E23104" w:rsidRDefault="00FA31B9" w:rsidP="00FA31B9">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w:t>
      </w:r>
      <w:r w:rsidRPr="00501FBD">
        <w:rPr>
          <w:rFonts w:ascii="Palatino Linotype" w:eastAsia="Palatino Linotype" w:hAnsi="Palatino Linotype" w:cs="Palatino Linotype"/>
          <w:color w:val="000000"/>
        </w:rPr>
        <w:t xml:space="preserve">Nómina de </w:t>
      </w:r>
      <w:r>
        <w:rPr>
          <w:rFonts w:ascii="Palatino Linotype" w:eastAsia="Palatino Linotype" w:hAnsi="Palatino Linotype" w:cs="Palatino Linotype"/>
          <w:color w:val="000000"/>
        </w:rPr>
        <w:t>sus</w:t>
      </w:r>
      <w:r w:rsidRPr="00501FBD">
        <w:rPr>
          <w:rFonts w:ascii="Palatino Linotype" w:eastAsia="Palatino Linotype" w:hAnsi="Palatino Linotype" w:cs="Palatino Linotype"/>
          <w:color w:val="000000"/>
        </w:rPr>
        <w:t xml:space="preserve"> servidores públicos </w:t>
      </w:r>
      <w:r>
        <w:rPr>
          <w:rFonts w:ascii="Palatino Linotype" w:eastAsia="Palatino Linotype" w:hAnsi="Palatino Linotype" w:cs="Palatino Linotype"/>
          <w:color w:val="000000"/>
        </w:rPr>
        <w:t>que ostentan los cargos señalados</w:t>
      </w:r>
      <w:r w:rsidRPr="00501FBD">
        <w:rPr>
          <w:rFonts w:ascii="Palatino Linotype" w:eastAsia="Palatino Linotype" w:hAnsi="Palatino Linotype" w:cs="Palatino Linotype"/>
          <w:color w:val="000000"/>
        </w:rPr>
        <w:t xml:space="preserve"> en el artículo 32 de la Ley Orgánica Municipal del Estado de México</w:t>
      </w:r>
      <w:r>
        <w:rPr>
          <w:rFonts w:ascii="Palatino Linotype" w:eastAsia="Palatino Linotype" w:hAnsi="Palatino Linotype" w:cs="Palatino Linotype"/>
          <w:color w:val="000000"/>
        </w:rPr>
        <w:t>, del periodo del dieciséis de febrero al quince de marzo 2022</w:t>
      </w:r>
    </w:p>
    <w:p w:rsidR="00FA31B9" w:rsidRPr="00501FBD" w:rsidRDefault="00FA31B9" w:rsidP="00FA31B9">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1FBD">
        <w:rPr>
          <w:rFonts w:ascii="Palatino Linotype" w:eastAsia="Palatino Linotype" w:hAnsi="Palatino Linotype" w:cs="Palatino Linotype"/>
          <w:color w:val="000000"/>
        </w:rPr>
        <w:t>Nómina completa correspondiente a los años 2017, 2018, 2019, 2020, 2021</w:t>
      </w:r>
    </w:p>
    <w:p w:rsidR="00FA31B9" w:rsidRDefault="00FA31B9" w:rsidP="00FA31B9">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Nómina del periodo del uno de enero al quince de marzo de </w:t>
      </w:r>
      <w:r w:rsidRPr="00501FBD">
        <w:rPr>
          <w:rFonts w:ascii="Palatino Linotype" w:eastAsia="Palatino Linotype" w:hAnsi="Palatino Linotype" w:cs="Palatino Linotype"/>
          <w:color w:val="000000"/>
        </w:rPr>
        <w:t>2022</w:t>
      </w:r>
      <w:r>
        <w:rPr>
          <w:rFonts w:ascii="Palatino Linotype" w:eastAsia="Palatino Linotype" w:hAnsi="Palatino Linotype" w:cs="Palatino Linotype"/>
          <w:color w:val="000000"/>
        </w:rPr>
        <w:t>.</w:t>
      </w:r>
    </w:p>
    <w:p w:rsidR="00FA31B9" w:rsidRPr="00501FBD" w:rsidRDefault="00FA31B9" w:rsidP="00FA31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FA31B9" w:rsidRPr="0039499D" w:rsidRDefault="00FA31B9" w:rsidP="00FA31B9">
      <w:pPr>
        <w:spacing w:line="360" w:lineRule="auto"/>
        <w:jc w:val="both"/>
        <w:rPr>
          <w:rFonts w:ascii="Palatino Linotype" w:hAnsi="Palatino Linotype" w:cs="Arial"/>
          <w:sz w:val="24"/>
        </w:rPr>
      </w:pPr>
      <w:r w:rsidRPr="0039499D">
        <w:rPr>
          <w:rFonts w:ascii="Palatino Linotype" w:hAnsi="Palatino Linotype" w:cs="Arial"/>
          <w:sz w:val="24"/>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FA31B9" w:rsidRPr="0039499D" w:rsidRDefault="00FA31B9" w:rsidP="00FA31B9">
      <w:pPr>
        <w:spacing w:line="360" w:lineRule="auto"/>
        <w:jc w:val="both"/>
        <w:rPr>
          <w:rFonts w:ascii="Palatino Linotype" w:hAnsi="Palatino Linotype" w:cs="Arial"/>
          <w:sz w:val="24"/>
        </w:rPr>
      </w:pPr>
    </w:p>
    <w:p w:rsidR="00FA31B9" w:rsidRDefault="00FA31B9" w:rsidP="00FA31B9">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lastRenderedPageBreak/>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FA31B9" w:rsidRPr="00E5613E" w:rsidRDefault="00FA31B9" w:rsidP="00FA31B9">
      <w:pPr>
        <w:autoSpaceDE w:val="0"/>
        <w:autoSpaceDN w:val="0"/>
        <w:adjustRightInd w:val="0"/>
        <w:spacing w:line="360" w:lineRule="auto"/>
        <w:ind w:right="49"/>
        <w:jc w:val="both"/>
        <w:rPr>
          <w:rFonts w:ascii="Palatino Linotype" w:hAnsi="Palatino Linotype" w:cs="Arial"/>
          <w:sz w:val="24"/>
        </w:rPr>
      </w:pPr>
    </w:p>
    <w:p w:rsidR="00FA31B9" w:rsidRPr="0039499D" w:rsidRDefault="00FA31B9" w:rsidP="00FA31B9">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FA31B9" w:rsidRPr="0039499D" w:rsidRDefault="00FA31B9" w:rsidP="00FA31B9">
      <w:pPr>
        <w:autoSpaceDE w:val="0"/>
        <w:autoSpaceDN w:val="0"/>
        <w:adjustRightInd w:val="0"/>
        <w:spacing w:line="360" w:lineRule="auto"/>
        <w:jc w:val="both"/>
        <w:rPr>
          <w:rFonts w:ascii="Palatino Linotype" w:hAnsi="Palatino Linotype" w:cs="Arial"/>
          <w:sz w:val="24"/>
        </w:rPr>
      </w:pPr>
    </w:p>
    <w:p w:rsidR="00FA31B9" w:rsidRDefault="00FA31B9" w:rsidP="00FA31B9">
      <w:pPr>
        <w:autoSpaceDE w:val="0"/>
        <w:autoSpaceDN w:val="0"/>
        <w:adjustRightInd w:val="0"/>
        <w:spacing w:line="360" w:lineRule="auto"/>
        <w:jc w:val="both"/>
        <w:rPr>
          <w:rFonts w:ascii="Palatino Linotype" w:eastAsia="Times New Roman" w:hAnsi="Palatino Linotype" w:cs="Times New Roman"/>
          <w:sz w:val="24"/>
          <w:szCs w:val="24"/>
          <w:lang w:val="es-ES" w:eastAsia="es-ES"/>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y correo electrónico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A31B9" w:rsidRDefault="00FA31B9" w:rsidP="00FA31B9">
      <w:pPr>
        <w:spacing w:after="0" w:line="360" w:lineRule="auto"/>
        <w:jc w:val="both"/>
        <w:rPr>
          <w:rFonts w:ascii="Palatino Linotype" w:eastAsia="Times New Roman" w:hAnsi="Palatino Linotype" w:cs="Times New Roman"/>
          <w:sz w:val="24"/>
          <w:szCs w:val="24"/>
          <w:lang w:val="es-ES" w:eastAsia="es-ES"/>
        </w:rPr>
      </w:pPr>
    </w:p>
    <w:p w:rsidR="00FA31B9" w:rsidRPr="002C3EC8" w:rsidRDefault="00FA31B9" w:rsidP="00FA31B9">
      <w:pPr>
        <w:spacing w:after="0" w:line="360" w:lineRule="auto"/>
        <w:jc w:val="both"/>
        <w:rPr>
          <w:rFonts w:ascii="Palatino Linotype" w:eastAsia="Times New Roman" w:hAnsi="Palatino Linotype" w:cs="Times New Roman"/>
          <w:sz w:val="24"/>
          <w:szCs w:val="24"/>
          <w:lang w:val="es-ES" w:eastAsia="es-ES"/>
        </w:rPr>
      </w:pPr>
    </w:p>
    <w:p w:rsidR="00FA31B9" w:rsidRPr="002C3EC8" w:rsidRDefault="00FA31B9" w:rsidP="00FA31B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w:t>
      </w:r>
      <w:r>
        <w:rPr>
          <w:rFonts w:ascii="Palatino Linotype" w:hAnsi="Palatino Linotype" w:cs="Arial"/>
        </w:rPr>
        <w:t xml:space="preserve"> (EMITIENDO VOTO PARTICULAR)</w:t>
      </w:r>
      <w:r w:rsidRPr="002C3EC8">
        <w:rPr>
          <w:rFonts w:ascii="Palatino Linotype" w:hAnsi="Palatino Linotype" w:cs="Arial"/>
        </w:rPr>
        <w:t>, MARÍA DEL ROSARIO MEJÍA AYALA, SHARON CRISTINA MORALES MARTÍNEZ</w:t>
      </w:r>
      <w:r w:rsidR="00D40FB1">
        <w:rPr>
          <w:rFonts w:ascii="Palatino Linotype" w:hAnsi="Palatino Linotype" w:cs="Arial"/>
        </w:rPr>
        <w:t xml:space="preserve"> (CON AUSENCIA JUSTIFICADA)</w:t>
      </w:r>
      <w:r w:rsidRPr="002C3EC8">
        <w:rPr>
          <w:rFonts w:ascii="Palatino Linotype" w:hAnsi="Palatino Linotype" w:cs="Arial"/>
        </w:rPr>
        <w:t>, LUIS GUSTAVO PARRA NORIEGA</w:t>
      </w:r>
      <w:r w:rsidR="00AC4C37">
        <w:rPr>
          <w:rFonts w:ascii="Palatino Linotype" w:hAnsi="Palatino Linotype" w:cs="Arial"/>
        </w:rPr>
        <w:t xml:space="preserve"> (EMITIENDO VOTO PARTICULAR)</w:t>
      </w:r>
      <w:r w:rsidRPr="002C3EC8">
        <w:rPr>
          <w:rFonts w:ascii="Palatino Linotype" w:hAnsi="Palatino Linotype" w:cs="Arial"/>
        </w:rPr>
        <w:t xml:space="preserve"> Y GUADALUPE RAMÍREZ PEÑA; EN LA VIGÉSIMA </w:t>
      </w:r>
      <w:r>
        <w:rPr>
          <w:rFonts w:ascii="Palatino Linotype" w:hAnsi="Palatino Linotype" w:cs="Arial"/>
        </w:rPr>
        <w:t>QUINTA</w:t>
      </w:r>
      <w:r w:rsidRPr="002C3EC8">
        <w:rPr>
          <w:rFonts w:ascii="Palatino Linotype" w:hAnsi="Palatino Linotype" w:cs="Arial"/>
        </w:rPr>
        <w:t xml:space="preserve"> SESIÓN ORDINARIA CELEBRADA EL </w:t>
      </w:r>
      <w:r>
        <w:rPr>
          <w:rFonts w:ascii="Palatino Linotype" w:hAnsi="Palatino Linotype" w:cs="Arial"/>
        </w:rPr>
        <w:t>SEIS DE JUL</w:t>
      </w:r>
      <w:r w:rsidRPr="002C3EC8">
        <w:rPr>
          <w:rFonts w:ascii="Palatino Linotype" w:hAnsi="Palatino Linotype" w:cs="Arial"/>
        </w:rPr>
        <w:t xml:space="preserve">IO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sidR="00DB0290">
        <w:rPr>
          <w:rFonts w:ascii="Palatino Linotype" w:hAnsi="Palatino Linotype" w:cs="Arial"/>
        </w:rPr>
        <w:t>----------------------------------------------------------------------------------------------------------------------------------------------------------------------------------------------------------------------------------------------------------------------------------------------------------------------------------------------------------------------------------------------------------------------------------------------------------------------------------------------------------------------------------------------------------------------------------------------------------------------------------------------------------------------------------------------------------------------------------------------------------------------------------------------------------------------------------------------------------------------------------------------------------------------------------------------------------------------------------------------------------------------------------------------------------------------------------------------------------------------------------------------------------------------------------------------------------------------------------------------------------------------------------------------------------------------------------------------------------------------------------------------------------------------------------------------------------------------------------------------------</w:t>
      </w:r>
    </w:p>
    <w:p w:rsidR="00FA31B9" w:rsidRPr="002C3EC8" w:rsidRDefault="00FA31B9" w:rsidP="00FA31B9">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spacing w:after="0" w:line="360" w:lineRule="auto"/>
        <w:jc w:val="both"/>
        <w:rPr>
          <w:rFonts w:ascii="Palatino Linotype" w:eastAsia="Calibri" w:hAnsi="Palatino Linotype" w:cs="Times New Roman"/>
          <w:sz w:val="24"/>
          <w:szCs w:val="24"/>
          <w:lang w:eastAsia="es-ES"/>
        </w:rPr>
      </w:pPr>
    </w:p>
    <w:p w:rsidR="00FA31B9" w:rsidRPr="002C3EC8" w:rsidRDefault="00FA31B9" w:rsidP="00FA31B9">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FA31B9" w:rsidRPr="002C3EC8" w:rsidRDefault="00FA31B9" w:rsidP="00FA31B9">
      <w:pPr>
        <w:rPr>
          <w:rFonts w:ascii="Palatino Linotype" w:hAnsi="Palatino Linotype"/>
        </w:rPr>
      </w:pPr>
    </w:p>
    <w:p w:rsidR="004F0AA4" w:rsidRDefault="004F0AA4"/>
    <w:sectPr w:rsidR="004F0AA4" w:rsidSect="006A1146">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F4" w:rsidRDefault="002A5BF4" w:rsidP="00FA31B9">
      <w:pPr>
        <w:spacing w:after="0" w:line="240" w:lineRule="auto"/>
      </w:pPr>
      <w:r>
        <w:separator/>
      </w:r>
    </w:p>
  </w:endnote>
  <w:endnote w:type="continuationSeparator" w:id="0">
    <w:p w:rsidR="002A5BF4" w:rsidRDefault="002A5BF4" w:rsidP="00FA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FA8" w:rsidRPr="000B69FA" w:rsidRDefault="0055504E" w:rsidP="006A11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73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730">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FA8" w:rsidRPr="000B69FA" w:rsidRDefault="0055504E" w:rsidP="006A11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7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730">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F4" w:rsidRDefault="002A5BF4" w:rsidP="00FA31B9">
      <w:pPr>
        <w:spacing w:after="0" w:line="240" w:lineRule="auto"/>
      </w:pPr>
      <w:r>
        <w:separator/>
      </w:r>
    </w:p>
  </w:footnote>
  <w:footnote w:type="continuationSeparator" w:id="0">
    <w:p w:rsidR="002A5BF4" w:rsidRDefault="002A5BF4" w:rsidP="00FA31B9">
      <w:pPr>
        <w:spacing w:after="0" w:line="240" w:lineRule="auto"/>
      </w:pPr>
      <w:r>
        <w:continuationSeparator/>
      </w:r>
    </w:p>
  </w:footnote>
  <w:footnote w:id="1">
    <w:p w:rsidR="00FA31B9" w:rsidRPr="005552A8" w:rsidRDefault="00FA31B9" w:rsidP="00FA31B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A31B9" w:rsidRPr="005552A8" w:rsidRDefault="00FA31B9" w:rsidP="00FA31B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FA8" w:rsidRDefault="0055504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CDDC14A" wp14:editId="724CFF8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65FA8" w:rsidTr="006A1146">
      <w:trPr>
        <w:trHeight w:val="227"/>
      </w:trPr>
      <w:tc>
        <w:tcPr>
          <w:tcW w:w="5529" w:type="dxa"/>
          <w:hideMark/>
        </w:tcPr>
        <w:p w:rsidR="00E65FA8" w:rsidRDefault="0055504E" w:rsidP="006A114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5FA8" w:rsidRPr="00B4142F" w:rsidRDefault="0055504E" w:rsidP="00940EB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07355/INFOEM/IP/RR/2022 y acumulados</w:t>
          </w:r>
        </w:p>
      </w:tc>
    </w:tr>
    <w:tr w:rsidR="00E65FA8" w:rsidTr="006A1146">
      <w:trPr>
        <w:trHeight w:val="242"/>
      </w:trPr>
      <w:tc>
        <w:tcPr>
          <w:tcW w:w="5529" w:type="dxa"/>
          <w:hideMark/>
        </w:tcPr>
        <w:p w:rsidR="00E65FA8" w:rsidRDefault="0055504E" w:rsidP="006A11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5FA8" w:rsidRPr="00F06FED" w:rsidRDefault="0055504E" w:rsidP="00940EB9">
          <w:pPr>
            <w:spacing w:after="120" w:line="256" w:lineRule="auto"/>
            <w:ind w:left="639" w:right="214"/>
            <w:jc w:val="both"/>
            <w:rPr>
              <w:rFonts w:ascii="Palatino Linotype" w:hAnsi="Palatino Linotype" w:cs="Arial"/>
            </w:rPr>
          </w:pPr>
          <w:r>
            <w:rPr>
              <w:rFonts w:ascii="Palatino Linotype" w:hAnsi="Palatino Linotype" w:cs="Arial"/>
              <w:szCs w:val="20"/>
            </w:rPr>
            <w:t>Ayuntamiento de Tenancingo</w:t>
          </w:r>
        </w:p>
      </w:tc>
    </w:tr>
    <w:tr w:rsidR="00E65FA8" w:rsidTr="006A1146">
      <w:trPr>
        <w:trHeight w:val="342"/>
      </w:trPr>
      <w:tc>
        <w:tcPr>
          <w:tcW w:w="5529" w:type="dxa"/>
          <w:hideMark/>
        </w:tcPr>
        <w:p w:rsidR="00E65FA8" w:rsidRDefault="0055504E" w:rsidP="006A11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5FA8" w:rsidRDefault="0055504E" w:rsidP="006A114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65FA8" w:rsidRDefault="00B17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65FA8" w:rsidTr="006A1146">
      <w:trPr>
        <w:trHeight w:val="227"/>
      </w:trPr>
      <w:tc>
        <w:tcPr>
          <w:tcW w:w="5529" w:type="dxa"/>
          <w:hideMark/>
        </w:tcPr>
        <w:p w:rsidR="00E65FA8" w:rsidRDefault="0055504E" w:rsidP="006A114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5FA8" w:rsidRPr="00B4142F" w:rsidRDefault="0055504E" w:rsidP="006A11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07355/INFOEM/IP/RR/2022</w:t>
          </w:r>
        </w:p>
      </w:tc>
    </w:tr>
    <w:tr w:rsidR="00E65FA8" w:rsidTr="006A1146">
      <w:trPr>
        <w:trHeight w:val="196"/>
      </w:trPr>
      <w:tc>
        <w:tcPr>
          <w:tcW w:w="5529" w:type="dxa"/>
          <w:hideMark/>
        </w:tcPr>
        <w:p w:rsidR="00E65FA8" w:rsidRDefault="0055504E" w:rsidP="006A114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65FA8" w:rsidRPr="00F06FED" w:rsidRDefault="00B17730" w:rsidP="006A1146">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E65FA8" w:rsidTr="006A1146">
      <w:trPr>
        <w:trHeight w:val="242"/>
      </w:trPr>
      <w:tc>
        <w:tcPr>
          <w:tcW w:w="5529" w:type="dxa"/>
          <w:hideMark/>
        </w:tcPr>
        <w:p w:rsidR="00E65FA8" w:rsidRDefault="0055504E" w:rsidP="006A11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5FA8" w:rsidRDefault="0055504E" w:rsidP="00B5049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Tenancingo</w:t>
          </w:r>
        </w:p>
      </w:tc>
    </w:tr>
    <w:tr w:rsidR="00E65FA8" w:rsidTr="006A1146">
      <w:trPr>
        <w:trHeight w:val="342"/>
      </w:trPr>
      <w:tc>
        <w:tcPr>
          <w:tcW w:w="5529" w:type="dxa"/>
          <w:hideMark/>
        </w:tcPr>
        <w:p w:rsidR="00E65FA8" w:rsidRDefault="0055504E" w:rsidP="006A11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5FA8" w:rsidRDefault="0055504E" w:rsidP="006A114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65FA8" w:rsidRDefault="0055504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F4FC53" wp14:editId="6780BAD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4507"/>
    <w:multiLevelType w:val="hybridMultilevel"/>
    <w:tmpl w:val="FD4859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30421"/>
    <w:multiLevelType w:val="hybridMultilevel"/>
    <w:tmpl w:val="AEBA98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4E7BAD"/>
    <w:multiLevelType w:val="hybridMultilevel"/>
    <w:tmpl w:val="E2B6E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B8739B"/>
    <w:multiLevelType w:val="hybridMultilevel"/>
    <w:tmpl w:val="F7F89FA2"/>
    <w:lvl w:ilvl="0" w:tplc="3104D56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B4D39"/>
    <w:multiLevelType w:val="hybridMultilevel"/>
    <w:tmpl w:val="8A44C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095D12"/>
    <w:multiLevelType w:val="hybridMultilevel"/>
    <w:tmpl w:val="82E40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245C23"/>
    <w:multiLevelType w:val="hybridMultilevel"/>
    <w:tmpl w:val="DE26D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6B26C3"/>
    <w:multiLevelType w:val="hybridMultilevel"/>
    <w:tmpl w:val="378EC7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5023E1"/>
    <w:multiLevelType w:val="hybridMultilevel"/>
    <w:tmpl w:val="2EFE3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3"/>
  </w:num>
  <w:num w:numId="2">
    <w:abstractNumId w:val="6"/>
  </w:num>
  <w:num w:numId="3">
    <w:abstractNumId w:val="7"/>
  </w:num>
  <w:num w:numId="4">
    <w:abstractNumId w:val="10"/>
  </w:num>
  <w:num w:numId="5">
    <w:abstractNumId w:val="5"/>
  </w:num>
  <w:num w:numId="6">
    <w:abstractNumId w:val="4"/>
  </w:num>
  <w:num w:numId="7">
    <w:abstractNumId w:val="11"/>
  </w:num>
  <w:num w:numId="8">
    <w:abstractNumId w:val="15"/>
  </w:num>
  <w:num w:numId="9">
    <w:abstractNumId w:val="3"/>
  </w:num>
  <w:num w:numId="10">
    <w:abstractNumId w:val="8"/>
  </w:num>
  <w:num w:numId="11">
    <w:abstractNumId w:val="2"/>
  </w:num>
  <w:num w:numId="12">
    <w:abstractNumId w:val="9"/>
  </w:num>
  <w:num w:numId="13">
    <w:abstractNumId w:val="14"/>
  </w:num>
  <w:num w:numId="14">
    <w:abstractNumId w:val="0"/>
  </w:num>
  <w:num w:numId="15">
    <w:abstractNumId w:val="16"/>
  </w:num>
  <w:num w:numId="16">
    <w:abstractNumId w:val="1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B9"/>
    <w:rsid w:val="002A5BF4"/>
    <w:rsid w:val="002D57BB"/>
    <w:rsid w:val="004F0AA4"/>
    <w:rsid w:val="0055504E"/>
    <w:rsid w:val="00652B82"/>
    <w:rsid w:val="009706CF"/>
    <w:rsid w:val="00AC4C37"/>
    <w:rsid w:val="00B17730"/>
    <w:rsid w:val="00C96A55"/>
    <w:rsid w:val="00D40FB1"/>
    <w:rsid w:val="00DB0290"/>
    <w:rsid w:val="00FA3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A198A-8125-43E6-82EA-8D4B0D3D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31B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3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31B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31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31B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31B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A31B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31B9"/>
    <w:rPr>
      <w:color w:val="0563C1" w:themeColor="hyperlink"/>
      <w:u w:val="single"/>
    </w:rPr>
  </w:style>
  <w:style w:type="paragraph" w:styleId="Sinespaciado">
    <w:name w:val="No Spacing"/>
    <w:aliases w:val="Francesa,INAI"/>
    <w:link w:val="SinespaciadoCar"/>
    <w:uiPriority w:val="1"/>
    <w:qFormat/>
    <w:rsid w:val="00FA31B9"/>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A31B9"/>
    <w:rPr>
      <w:b/>
      <w:bCs/>
    </w:rPr>
  </w:style>
  <w:style w:type="character" w:customStyle="1" w:styleId="SinespaciadoCar">
    <w:name w:val="Sin espaciado Car"/>
    <w:aliases w:val="Francesa Car,INAI Car"/>
    <w:link w:val="Sinespaciado"/>
    <w:uiPriority w:val="1"/>
    <w:locked/>
    <w:rsid w:val="00FA31B9"/>
    <w:rPr>
      <w:rFonts w:ascii="Times New Roman" w:eastAsia="Times New Roman" w:hAnsi="Times New Roman" w:cs="Times New Roman"/>
      <w:sz w:val="24"/>
      <w:szCs w:val="24"/>
      <w:lang w:eastAsia="es-ES"/>
    </w:rPr>
  </w:style>
  <w:style w:type="paragraph" w:customStyle="1" w:styleId="infoemcitas">
    <w:name w:val="infoem citas"/>
    <w:basedOn w:val="Normal"/>
    <w:qFormat/>
    <w:rsid w:val="00FA31B9"/>
    <w:pPr>
      <w:spacing w:before="240" w:line="360" w:lineRule="auto"/>
      <w:ind w:left="851" w:right="851"/>
      <w:jc w:val="both"/>
    </w:pPr>
    <w:rPr>
      <w:rFonts w:ascii="Palatino Linotype" w:hAnsi="Palatino Linotype"/>
      <w:i/>
    </w:rPr>
  </w:style>
  <w:style w:type="paragraph" w:customStyle="1" w:styleId="Citas">
    <w:name w:val="Citas"/>
    <w:basedOn w:val="Normal"/>
    <w:qFormat/>
    <w:rsid w:val="00FA31B9"/>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FA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A31B9"/>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FA31B9"/>
    <w:rPr>
      <w:color w:val="954F72" w:themeColor="followedHyperlink"/>
      <w:u w:val="single"/>
    </w:rPr>
  </w:style>
  <w:style w:type="character" w:styleId="Referenciaintensa">
    <w:name w:val="Intense Reference"/>
    <w:basedOn w:val="Fuentedeprrafopredeter"/>
    <w:uiPriority w:val="32"/>
    <w:qFormat/>
    <w:rsid w:val="00FA31B9"/>
    <w:rPr>
      <w:b/>
      <w:bCs/>
      <w:smallCaps/>
      <w:color w:val="5B9BD5" w:themeColor="accent1"/>
      <w:spacing w:val="5"/>
    </w:rPr>
  </w:style>
  <w:style w:type="character" w:styleId="nfasisintenso">
    <w:name w:val="Intense Emphasis"/>
    <w:basedOn w:val="Fuentedeprrafopredeter"/>
    <w:uiPriority w:val="21"/>
    <w:qFormat/>
    <w:rsid w:val="00FA31B9"/>
    <w:rPr>
      <w:i/>
      <w:iCs/>
      <w:color w:val="5B9BD5" w:themeColor="accent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A31B9"/>
    <w:pPr>
      <w:spacing w:after="0" w:line="240" w:lineRule="auto"/>
    </w:pPr>
    <w:rPr>
      <w:rFonts w:ascii="Calibri" w:eastAsia="Calibri" w:hAnsi="Calibri"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31B9"/>
    <w:rPr>
      <w:rFonts w:ascii="Calibri" w:eastAsia="Calibri" w:hAnsi="Calibri" w:cs="Calibri"/>
      <w:sz w:val="20"/>
      <w:szCs w:val="20"/>
      <w:lang w:val="es-ES_tradnl" w:eastAsia="es-MX"/>
    </w:rPr>
  </w:style>
  <w:style w:type="character" w:styleId="Refdecomentario">
    <w:name w:val="annotation reference"/>
    <w:basedOn w:val="Fuentedeprrafopredeter"/>
    <w:uiPriority w:val="99"/>
    <w:semiHidden/>
    <w:unhideWhenUsed/>
    <w:rsid w:val="00FA31B9"/>
    <w:rPr>
      <w:sz w:val="16"/>
      <w:szCs w:val="16"/>
    </w:rPr>
  </w:style>
  <w:style w:type="paragraph" w:styleId="Textocomentario">
    <w:name w:val="annotation text"/>
    <w:basedOn w:val="Normal"/>
    <w:link w:val="TextocomentarioCar"/>
    <w:uiPriority w:val="99"/>
    <w:semiHidden/>
    <w:unhideWhenUsed/>
    <w:rsid w:val="00FA31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31B9"/>
    <w:rPr>
      <w:sz w:val="20"/>
      <w:szCs w:val="20"/>
    </w:rPr>
  </w:style>
  <w:style w:type="paragraph" w:styleId="Asuntodelcomentario">
    <w:name w:val="annotation subject"/>
    <w:basedOn w:val="Textocomentario"/>
    <w:next w:val="Textocomentario"/>
    <w:link w:val="AsuntodelcomentarioCar"/>
    <w:uiPriority w:val="99"/>
    <w:semiHidden/>
    <w:unhideWhenUsed/>
    <w:rsid w:val="00FA31B9"/>
    <w:rPr>
      <w:b/>
      <w:bCs/>
    </w:rPr>
  </w:style>
  <w:style w:type="character" w:customStyle="1" w:styleId="AsuntodelcomentarioCar">
    <w:name w:val="Asunto del comentario Car"/>
    <w:basedOn w:val="TextocomentarioCar"/>
    <w:link w:val="Asuntodelcomentario"/>
    <w:uiPriority w:val="99"/>
    <w:semiHidden/>
    <w:rsid w:val="00FA31B9"/>
    <w:rPr>
      <w:b/>
      <w:bCs/>
      <w:sz w:val="20"/>
      <w:szCs w:val="20"/>
    </w:rPr>
  </w:style>
  <w:style w:type="paragraph" w:styleId="Textodeglobo">
    <w:name w:val="Balloon Text"/>
    <w:basedOn w:val="Normal"/>
    <w:link w:val="TextodegloboCar"/>
    <w:uiPriority w:val="99"/>
    <w:semiHidden/>
    <w:unhideWhenUsed/>
    <w:rsid w:val="00FA3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2971.page" TargetMode="External"/><Relationship Id="rId13" Type="http://schemas.openxmlformats.org/officeDocument/2006/relationships/hyperlink" Target="https://saimex.org.mx/saimex/solicitud/downloadAttach/1412971.page" TargetMode="External"/><Relationship Id="rId18" Type="http://schemas.openxmlformats.org/officeDocument/2006/relationships/hyperlink" Target="https://saimex.org.mx/saimex/solicitud/downloadAttach/1412971.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aimex.org.mx/saimex/solicitud/downloadAttach/1412971.page" TargetMode="External"/><Relationship Id="rId12" Type="http://schemas.openxmlformats.org/officeDocument/2006/relationships/hyperlink" Target="https://saimex.org.mx/saimex/solicitud/downloadAttach/1412971.page" TargetMode="External"/><Relationship Id="rId17" Type="http://schemas.openxmlformats.org/officeDocument/2006/relationships/hyperlink" Target="https://saimex.org.mx/saimex/solicitud/downloadAttach/1412971.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1412971.page" TargetMode="External"/><Relationship Id="rId20" Type="http://schemas.openxmlformats.org/officeDocument/2006/relationships/hyperlink" Target="https://saimex.org.mx/saimex/solicitud/downloadAttach/1412971.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12971.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412971.page" TargetMode="External"/><Relationship Id="rId23" Type="http://schemas.openxmlformats.org/officeDocument/2006/relationships/header" Target="header2.xml"/><Relationship Id="rId10" Type="http://schemas.openxmlformats.org/officeDocument/2006/relationships/hyperlink" Target="https://saimex.org.mx/saimex/solicitud/downloadAttach/1412971.page" TargetMode="External"/><Relationship Id="rId19" Type="http://schemas.openxmlformats.org/officeDocument/2006/relationships/hyperlink" Target="https://saimex.org.mx/saimex/solicitud/downloadAttach/1412971.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412971.page" TargetMode="External"/><Relationship Id="rId14" Type="http://schemas.openxmlformats.org/officeDocument/2006/relationships/hyperlink" Target="https://saimex.org.mx/saimex/solicitud/downloadAttach/1412971.pa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58</Pages>
  <Words>13700</Words>
  <Characters>75353</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7</cp:revision>
  <dcterms:created xsi:type="dcterms:W3CDTF">2022-06-29T02:01:00Z</dcterms:created>
  <dcterms:modified xsi:type="dcterms:W3CDTF">2022-08-09T18:50:00Z</dcterms:modified>
</cp:coreProperties>
</file>