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siete de abril de dos mil veintidós. </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01049/INFOEM/IP/RR/2022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 xml:space="preserve">XXXXX </w:t>
      </w:r>
      <w:proofErr w:type="spellStart"/>
      <w:r>
        <w:rPr>
          <w:rFonts w:ascii="Palatino Linotype" w:eastAsia="Palatino Linotype" w:hAnsi="Palatino Linotype" w:cs="Palatino Linotype"/>
          <w:b/>
        </w:rPr>
        <w:t>XXXXX</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w:t>
      </w:r>
      <w:proofErr w:type="spellEnd"/>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w:t>
      </w:r>
      <w:r>
        <w:rPr>
          <w:rFonts w:ascii="Palatino Linotype" w:eastAsia="Palatino Linotype" w:hAnsi="Palatino Linotype" w:cs="Palatino Linotype"/>
          <w:b/>
        </w:rPr>
        <w:t xml:space="preserve">UJETO OBLIGADO, </w:t>
      </w:r>
      <w:r>
        <w:rPr>
          <w:rFonts w:ascii="Palatino Linotype" w:eastAsia="Palatino Linotype" w:hAnsi="Palatino Linotype" w:cs="Palatino Linotype"/>
        </w:rPr>
        <w:t xml:space="preserve">se procede a dictar la presente resolución con base en los siguientes: </w:t>
      </w:r>
    </w:p>
    <w:p w:rsidR="0028588D" w:rsidRDefault="00F34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veintisiete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través del Sistem</w:t>
      </w:r>
      <w:r>
        <w:rPr>
          <w:rFonts w:ascii="Palatino Linotype" w:eastAsia="Palatino Linotype" w:hAnsi="Palatino Linotype" w:cs="Palatino Linotype"/>
        </w:rPr>
        <w:t xml:space="preserve">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a la que se le asignó el </w:t>
      </w:r>
      <w:r>
        <w:rPr>
          <w:rFonts w:ascii="Palatino Linotype" w:eastAsia="Palatino Linotype" w:hAnsi="Palatino Linotype" w:cs="Palatino Linotype"/>
          <w:b/>
        </w:rPr>
        <w:t xml:space="preserve">número 00390/TOLUCA/IP/2022, </w:t>
      </w:r>
      <w:r>
        <w:rPr>
          <w:rFonts w:ascii="Palatino Linotype" w:eastAsia="Palatino Linotype" w:hAnsi="Palatino Linotype" w:cs="Palatino Linotype"/>
        </w:rPr>
        <w:t xml:space="preserve">mediante la cual requirió la información siguiente: </w:t>
      </w:r>
    </w:p>
    <w:p w:rsidR="0028588D" w:rsidRDefault="00F34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“Soli</w:t>
      </w:r>
      <w:r>
        <w:rPr>
          <w:rFonts w:ascii="Palatino Linotype" w:eastAsia="Palatino Linotype" w:hAnsi="Palatino Linotype" w:cs="Palatino Linotype"/>
          <w:i/>
          <w:sz w:val="22"/>
          <w:szCs w:val="22"/>
        </w:rPr>
        <w:t xml:space="preserve">cito saber </w:t>
      </w:r>
      <w:proofErr w:type="spellStart"/>
      <w:r>
        <w:rPr>
          <w:rFonts w:ascii="Palatino Linotype" w:eastAsia="Palatino Linotype" w:hAnsi="Palatino Linotype" w:cs="Palatino Linotype"/>
          <w:i/>
          <w:sz w:val="22"/>
          <w:szCs w:val="22"/>
        </w:rPr>
        <w:t>cuando</w:t>
      </w:r>
      <w:proofErr w:type="spellEnd"/>
      <w:r>
        <w:rPr>
          <w:rFonts w:ascii="Palatino Linotype" w:eastAsia="Palatino Linotype" w:hAnsi="Palatino Linotype" w:cs="Palatino Linotype"/>
          <w:i/>
          <w:sz w:val="22"/>
          <w:szCs w:val="22"/>
        </w:rPr>
        <w:t xml:space="preserve"> se adeuda a CFE, así como todos los ahora pagos efectuados mediante transferencias, pólizas </w:t>
      </w:r>
      <w:proofErr w:type="gramStart"/>
      <w:r>
        <w:rPr>
          <w:rFonts w:ascii="Palatino Linotype" w:eastAsia="Palatino Linotype" w:hAnsi="Palatino Linotype" w:cs="Palatino Linotype"/>
          <w:i/>
          <w:sz w:val="22"/>
          <w:szCs w:val="22"/>
        </w:rPr>
        <w:t>cheques ,</w:t>
      </w:r>
      <w:proofErr w:type="gram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etc</w:t>
      </w:r>
      <w:proofErr w:type="spellEnd"/>
      <w:r>
        <w:rPr>
          <w:rFonts w:ascii="Palatino Linotype" w:eastAsia="Palatino Linotype" w:hAnsi="Palatino Linotype" w:cs="Palatino Linotype"/>
          <w:i/>
          <w:sz w:val="22"/>
          <w:szCs w:val="22"/>
        </w:rPr>
        <w:t xml:space="preserve"> del mes de enero del año 2022.” (Sic)</w:t>
      </w:r>
    </w:p>
    <w:p w:rsidR="0028588D" w:rsidRDefault="0028588D">
      <w:pPr>
        <w:spacing w:line="360" w:lineRule="auto"/>
        <w:jc w:val="both"/>
        <w:rPr>
          <w:rFonts w:ascii="Palatino Linotype" w:eastAsia="Palatino Linotype" w:hAnsi="Palatino Linotype" w:cs="Palatino Linotype"/>
        </w:rPr>
      </w:pP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28588D" w:rsidRDefault="0028588D">
      <w:pPr>
        <w:spacing w:line="360" w:lineRule="auto"/>
        <w:jc w:val="both"/>
        <w:rPr>
          <w:rFonts w:ascii="Palatino Linotype" w:eastAsia="Palatino Linotype" w:hAnsi="Palatino Linotype" w:cs="Palatino Linotype"/>
        </w:rPr>
      </w:pPr>
    </w:p>
    <w:p w:rsidR="0028588D" w:rsidRDefault="00F34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dieciocho febrero de dos m</w:t>
      </w:r>
      <w:r>
        <w:rPr>
          <w:rFonts w:ascii="Palatino Linotype" w:eastAsia="Palatino Linotype" w:hAnsi="Palatino Linotype" w:cs="Palatino Linotype"/>
          <w:b/>
        </w:rPr>
        <w:t>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28588D" w:rsidRDefault="00F34B6E">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00390/TOLUCA/IP/2022, me permito adjuntar al</w:t>
      </w:r>
      <w:r>
        <w:rPr>
          <w:rFonts w:ascii="Palatino Linotype" w:eastAsia="Palatino Linotype" w:hAnsi="Palatino Linotype" w:cs="Palatino Linotype"/>
          <w:i/>
          <w:sz w:val="22"/>
          <w:szCs w:val="22"/>
        </w:rPr>
        <w:t xml:space="preserve"> presente la respuesta correspondiente. Sin más por el momento, le envío un cordial saludo....” (Sic)</w:t>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siguientes archivos:</w:t>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 xml:space="preserve">CFE </w:t>
        </w:r>
        <w:proofErr w:type="spellStart"/>
        <w:r>
          <w:rPr>
            <w:rFonts w:ascii="Palatino Linotype" w:eastAsia="Palatino Linotype" w:hAnsi="Palatino Linotype" w:cs="Palatino Linotype"/>
          </w:rPr>
          <w:t>Balanza</w:t>
        </w:r>
        <w:r>
          <w:rPr>
            <w:rFonts w:ascii="Palatino Linotype" w:eastAsia="Palatino Linotype" w:hAnsi="Palatino Linotype" w:cs="Palatino Linotype"/>
          </w:rPr>
          <w:t>Acumulada</w:t>
        </w:r>
        <w:proofErr w:type="spellEnd"/>
        <w:r>
          <w:rPr>
            <w:rFonts w:ascii="Palatino Linotype" w:eastAsia="Palatino Linotype" w:hAnsi="Palatino Linotype" w:cs="Palatino Linotype"/>
          </w:rPr>
          <w:t xml:space="preserve"> 2112 1 3 1 1 2021.pdf</w:t>
        </w:r>
      </w:hyperlink>
      <w:r>
        <w:rPr>
          <w:rFonts w:ascii="Palatino Linotype" w:eastAsia="Palatino Linotype" w:hAnsi="Palatino Linotype" w:cs="Palatino Linotype"/>
        </w:rPr>
        <w:t>”, el cual contiene la balanza analítica acumulada del primero de enero al treinta y uno de enero del año dos mil veintiuno, en donde se observa el concepto, saldo inicial, movimientos del mes y saldo final, y de manera espec</w:t>
      </w:r>
      <w:r>
        <w:rPr>
          <w:rFonts w:ascii="Palatino Linotype" w:eastAsia="Palatino Linotype" w:hAnsi="Palatino Linotype" w:cs="Palatino Linotype"/>
        </w:rPr>
        <w:t>ífica el “CFE suministrador de servicios básicos”, como se observa en la siguiente imagen:</w:t>
      </w:r>
    </w:p>
    <w:p w:rsidR="0028588D" w:rsidRDefault="00F34B6E">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713225" cy="207714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5978" t="17493" r="4557" b="37533"/>
                    <a:stretch>
                      <a:fillRect/>
                    </a:stretch>
                  </pic:blipFill>
                  <pic:spPr>
                    <a:xfrm>
                      <a:off x="0" y="0"/>
                      <a:ext cx="5713225" cy="2077140"/>
                    </a:xfrm>
                    <a:prstGeom prst="rect">
                      <a:avLst/>
                    </a:prstGeom>
                    <a:ln/>
                  </pic:spPr>
                </pic:pic>
              </a:graphicData>
            </a:graphic>
          </wp:inline>
        </w:drawing>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proofErr w:type="spellStart"/>
      <w:r>
        <w:rPr>
          <w:rFonts w:ascii="Palatino Linotype" w:eastAsia="Palatino Linotype" w:hAnsi="Palatino Linotype" w:cs="Palatino Linotype"/>
        </w:rPr>
        <w:fldChar w:fldCharType="begin"/>
      </w:r>
      <w:r>
        <w:rPr>
          <w:rFonts w:ascii="Palatino Linotype" w:eastAsia="Palatino Linotype" w:hAnsi="Palatino Linotype" w:cs="Palatino Linotype"/>
        </w:rPr>
        <w:instrText xml:space="preserve"> HYPERLINK "https://www.saimex.org.mx/saimex/solicitud/downloadAttach/1339133.page" \h </w:instrText>
      </w:r>
      <w:r>
        <w:rPr>
          <w:rFonts w:ascii="Palatino Linotype" w:eastAsia="Palatino Linotype" w:hAnsi="Palatino Linotype" w:cs="Palatino Linotype"/>
        </w:rPr>
        <w:fldChar w:fldCharType="separate"/>
      </w:r>
      <w:r>
        <w:rPr>
          <w:rFonts w:ascii="Palatino Linotype" w:eastAsia="Palatino Linotype" w:hAnsi="Palatino Linotype" w:cs="Palatino Linotype"/>
        </w:rPr>
        <w:t>Saimex</w:t>
      </w:r>
      <w:proofErr w:type="spellEnd"/>
      <w:r>
        <w:rPr>
          <w:rFonts w:ascii="Palatino Linotype" w:eastAsia="Palatino Linotype" w:hAnsi="Palatino Linotype" w:cs="Palatino Linotype"/>
        </w:rPr>
        <w:t xml:space="preserve"> 00390.pdf</w:t>
      </w:r>
      <w:r>
        <w:rPr>
          <w:rFonts w:ascii="Palatino Linotype" w:eastAsia="Palatino Linotype" w:hAnsi="Palatino Linotype" w:cs="Palatino Linotype"/>
        </w:rPr>
        <w:fldChar w:fldCharType="end"/>
      </w:r>
      <w:r>
        <w:rPr>
          <w:rFonts w:ascii="Palatino Linotype" w:eastAsia="Palatino Linotype" w:hAnsi="Palatino Linotype" w:cs="Palatino Linotype"/>
        </w:rPr>
        <w:t>”, por medio del cual el Titular de la Unidad de Transparencia informó a la solicitante, que el Tesorero Municipal y Servidor Público Habilitado le comunicó que después de realizar una búsqueda exhaustiva y razonable adjuntó el archivo que contiene el docu</w:t>
      </w:r>
      <w:r>
        <w:rPr>
          <w:rFonts w:ascii="Palatino Linotype" w:eastAsia="Palatino Linotype" w:hAnsi="Palatino Linotype" w:cs="Palatino Linotype"/>
        </w:rPr>
        <w:t xml:space="preserve">mento que genera el sistema de contabilidad que más </w:t>
      </w:r>
      <w:r>
        <w:rPr>
          <w:rFonts w:ascii="Palatino Linotype" w:eastAsia="Palatino Linotype" w:hAnsi="Palatino Linotype" w:cs="Palatino Linotype"/>
        </w:rPr>
        <w:lastRenderedPageBreak/>
        <w:t xml:space="preserve">se apega a lo solicitado, siendo esté la balanza de analítica acumulada, en el cual podrá visualizar el adeudo que se tiene con la Comisión Federal de Electricidad (CFE). </w:t>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señaló sobre los pagos</w:t>
      </w:r>
      <w:r>
        <w:rPr>
          <w:rFonts w:ascii="Palatino Linotype" w:eastAsia="Palatino Linotype" w:hAnsi="Palatino Linotype" w:cs="Palatino Linotype"/>
        </w:rPr>
        <w:t xml:space="preserve"> efectuados mediante cheque o transferencia son los siguientes:</w:t>
      </w:r>
    </w:p>
    <w:p w:rsidR="0028588D" w:rsidRDefault="00F34B6E">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680263" cy="855041"/>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2228" t="48531" r="25818" b="39421"/>
                    <a:stretch>
                      <a:fillRect/>
                    </a:stretch>
                  </pic:blipFill>
                  <pic:spPr>
                    <a:xfrm>
                      <a:off x="0" y="0"/>
                      <a:ext cx="5680263" cy="855041"/>
                    </a:xfrm>
                    <a:prstGeom prst="rect">
                      <a:avLst/>
                    </a:prstGeom>
                    <a:ln/>
                  </pic:spPr>
                </pic:pic>
              </a:graphicData>
            </a:graphic>
          </wp:inline>
        </w:drawing>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 indicó que no se entrega el auxiliar correspondiente al ejercicio fiscal 2022, emitido por la Tesorería Municipal en virtud de que para el ejercicio fiscal 2022 todavía no se han</w:t>
      </w:r>
      <w:r>
        <w:rPr>
          <w:rFonts w:ascii="Palatino Linotype" w:eastAsia="Palatino Linotype" w:hAnsi="Palatino Linotype" w:cs="Palatino Linotype"/>
        </w:rPr>
        <w:t xml:space="preserve"> realizado los registros por adecuaciones al sistema. </w:t>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xml:space="preserve"> la parte recurrente interpuso </w:t>
      </w:r>
      <w:r>
        <w:rPr>
          <w:rFonts w:ascii="Palatino Linotype" w:eastAsia="Palatino Linotype" w:hAnsi="Palatino Linotype" w:cs="Palatino Linotype"/>
        </w:rPr>
        <w:t xml:space="preserve">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28588D" w:rsidRDefault="00F34B6E">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28588D" w:rsidRDefault="00F34B6E">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ENTREGADA (Sic)</w:t>
      </w: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28588D" w:rsidRDefault="00F34B6E">
      <w:pPr>
        <w:ind w:left="851" w:right="902"/>
        <w:jc w:val="both"/>
        <w:rPr>
          <w:rFonts w:ascii="Palatino Linotype" w:eastAsia="Palatino Linotype" w:hAnsi="Palatino Linotype" w:cs="Palatino Linotype"/>
          <w:b/>
          <w:i/>
          <w:sz w:val="22"/>
          <w:szCs w:val="22"/>
          <w:u w:val="single"/>
        </w:rPr>
      </w:pPr>
      <w:bookmarkStart w:id="1" w:name="_heading=h.30j0zll" w:colFirst="0" w:colLast="0"/>
      <w:bookmarkEnd w:id="1"/>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“No me entregaron los oficios de las </w:t>
      </w:r>
      <w:proofErr w:type="spellStart"/>
      <w:r>
        <w:rPr>
          <w:rFonts w:ascii="Palatino Linotype" w:eastAsia="Palatino Linotype" w:hAnsi="Palatino Linotype" w:cs="Palatino Linotype"/>
          <w:b/>
          <w:i/>
          <w:sz w:val="22"/>
          <w:szCs w:val="22"/>
          <w:u w:val="single"/>
        </w:rPr>
        <w:t>areas</w:t>
      </w:r>
      <w:proofErr w:type="spellEnd"/>
      <w:r>
        <w:rPr>
          <w:rFonts w:ascii="Palatino Linotype" w:eastAsia="Palatino Linotype" w:hAnsi="Palatino Linotype" w:cs="Palatino Linotype"/>
          <w:b/>
          <w:i/>
          <w:sz w:val="22"/>
          <w:szCs w:val="22"/>
          <w:u w:val="single"/>
        </w:rPr>
        <w:t xml:space="preserve"> que atendieron la solicitud.” (Sic)</w:t>
      </w:r>
    </w:p>
    <w:p w:rsidR="0028588D" w:rsidRDefault="0028588D">
      <w:pPr>
        <w:spacing w:line="360" w:lineRule="auto"/>
        <w:ind w:right="51"/>
        <w:jc w:val="both"/>
        <w:rPr>
          <w:rFonts w:ascii="Palatino Linotype" w:eastAsia="Palatino Linotype" w:hAnsi="Palatino Linotype" w:cs="Palatino Linotype"/>
          <w:b/>
        </w:rPr>
      </w:pPr>
    </w:p>
    <w:p w:rsidR="0028588D" w:rsidRDefault="00F34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w:t>
      </w:r>
      <w:r>
        <w:rPr>
          <w:rFonts w:ascii="Palatino Linotype" w:eastAsia="Palatino Linotype" w:hAnsi="Palatino Linotype" w:cs="Palatino Linotype"/>
        </w:rPr>
        <w:t xml:space="preserve">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28588D" w:rsidRDefault="0028588D">
      <w:pPr>
        <w:spacing w:line="360" w:lineRule="auto"/>
        <w:ind w:right="51"/>
        <w:jc w:val="both"/>
        <w:rPr>
          <w:rFonts w:ascii="Palatino Linotype" w:eastAsia="Palatino Linotype" w:hAnsi="Palatino Linotype" w:cs="Palatino Linotype"/>
        </w:rPr>
      </w:pPr>
    </w:p>
    <w:p w:rsidR="0028588D" w:rsidRDefault="00F34B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veinticuatro de febrero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w:t>
      </w:r>
      <w:r>
        <w:rPr>
          <w:rFonts w:ascii="Palatino Linotype" w:eastAsia="Palatino Linotype" w:hAnsi="Palatino Linotype" w:cs="Palatino Linotype"/>
        </w:rPr>
        <w:t xml:space="preserve">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28588D" w:rsidRDefault="00F34B6E">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veintiocho de febrero d</w:t>
      </w:r>
      <w:r>
        <w:rPr>
          <w:rFonts w:ascii="Palatino Linotype" w:eastAsia="Palatino Linotype" w:hAnsi="Palatino Linotype" w:cs="Palatino Linotype"/>
          <w:b/>
        </w:rPr>
        <w:t xml:space="preserve">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informe justificado, mediante el cual ratifica en lo sustancial la respuesta proporcionada en primera instancia, asimismo, respecto del motivo de inconformidad aducido por el particular, indicó que la Unidad de Transparenci</w:t>
      </w:r>
      <w:r>
        <w:rPr>
          <w:rFonts w:ascii="Palatino Linotype" w:eastAsia="Palatino Linotype" w:hAnsi="Palatino Linotype" w:cs="Palatino Linotype"/>
        </w:rPr>
        <w:t>a tuvo a bien garantizar que la solicitud se turnara a todas las áreas competentes que cuenten con la información o deban tenerla de acuerdo a sus facultades, competencias y funciones, con el objeto de que realicen una búsqueda exhaustiva y razonable de la</w:t>
      </w:r>
      <w:r>
        <w:rPr>
          <w:rFonts w:ascii="Palatino Linotype" w:eastAsia="Palatino Linotype" w:hAnsi="Palatino Linotype" w:cs="Palatino Linotype"/>
        </w:rPr>
        <w:t xml:space="preserve"> información solicitada, acreditándolo con la captura de pantalla del apartado de requerimientos del SAIMEX.</w:t>
      </w:r>
    </w:p>
    <w:p w:rsidR="0028588D" w:rsidRDefault="00F34B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w:t>
      </w:r>
      <w:r>
        <w:rPr>
          <w:rFonts w:ascii="Palatino Linotype" w:eastAsia="Palatino Linotype" w:hAnsi="Palatino Linotype" w:cs="Palatino Linotype"/>
        </w:rPr>
        <w:t>nveniente, sin embargo, fue omiso en ejercer dicha prerrogativa en el plazo establecido para tal efecto.</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Una vez transcurrido el periodo otorgado a las partes para realizar sus manifestaciones y no habiendo documentos que integrar</w:t>
      </w:r>
      <w:r>
        <w:rPr>
          <w:rFonts w:ascii="Palatino Linotype" w:eastAsia="Palatino Linotype" w:hAnsi="Palatino Linotype" w:cs="Palatino Linotype"/>
        </w:rPr>
        <w:t xml:space="preserve"> al expediente, con fecha </w:t>
      </w:r>
      <w:r>
        <w:rPr>
          <w:rFonts w:ascii="Palatino Linotype" w:eastAsia="Palatino Linotype" w:hAnsi="Palatino Linotype" w:cs="Palatino Linotype"/>
          <w:b/>
        </w:rPr>
        <w:t>primero de abril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w:t>
      </w:r>
      <w:r>
        <w:rPr>
          <w:rFonts w:ascii="Palatino Linotype" w:eastAsia="Palatino Linotype" w:hAnsi="Palatino Linotype" w:cs="Palatino Linotype"/>
        </w:rPr>
        <w:t>nicipios.</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8588D" w:rsidRDefault="00F34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28588D" w:rsidRDefault="0028588D">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w:t>
      </w:r>
      <w:r>
        <w:rPr>
          <w:rFonts w:ascii="Palatino Linotype" w:eastAsia="Palatino Linotype" w:hAnsi="Palatino Linotype" w:cs="Palatino Linotype"/>
        </w:rPr>
        <w:t>te, conforme a lo dispuesto en los artículos 6, apartado A de la Constitución Política de los Estados Unidos Mexicanos; 5 párrafos trigésimo, trigésimo primero y trigésimo segundo fracciones IV y V de la Constitución Política del Estado Libre y Soberano de</w:t>
      </w:r>
      <w:r>
        <w:rPr>
          <w:rFonts w:ascii="Palatino Linotype" w:eastAsia="Palatino Linotype" w:hAnsi="Palatino Linotype" w:cs="Palatino Linotype"/>
        </w:rPr>
        <w:t xml:space="preserv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w:t>
      </w:r>
      <w:r>
        <w:rPr>
          <w:rFonts w:ascii="Palatino Linotype" w:eastAsia="Palatino Linotype" w:hAnsi="Palatino Linotype" w:cs="Palatino Linotype"/>
        </w:rPr>
        <w:t>ransparencia, Acceso a la Información Pública y Protección de Datos Personales del Estado de México y Municipios.</w:t>
      </w:r>
    </w:p>
    <w:p w:rsidR="0028588D" w:rsidRDefault="00F34B6E">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w:t>
      </w:r>
      <w:r>
        <w:rPr>
          <w:rFonts w:ascii="Palatino Linotype" w:eastAsia="Palatino Linotype" w:hAnsi="Palatino Linotype" w:cs="Palatino Linotype"/>
        </w:rPr>
        <w:t xml:space="preserve"> oportunidad y procedibilidad que debe reunir el recurso de revisión interpuesto, previstos en los artículos 178 y 180 de la Ley de Transparencia y Acceso a la Información Pública del Estado de México y Municipios.</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w:t>
      </w:r>
      <w:r>
        <w:rPr>
          <w:rFonts w:ascii="Palatino Linotype" w:eastAsia="Palatino Linotype" w:hAnsi="Palatino Linotype" w:cs="Palatino Linotype"/>
        </w:rPr>
        <w:t>eso a la Información Pública del Estado de México y Municipios, establece lo siguiente:</w:t>
      </w:r>
    </w:p>
    <w:p w:rsidR="0028588D" w:rsidRDefault="00F34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w:t>
      </w:r>
      <w:r>
        <w:rPr>
          <w:rFonts w:ascii="Palatino Linotype" w:eastAsia="Palatino Linotype" w:hAnsi="Palatino Linotype" w:cs="Palatino Linotype"/>
          <w:i/>
          <w:sz w:val="22"/>
          <w:szCs w:val="22"/>
        </w:rPr>
        <w:t>stituto o ante la Unidad de Transparencia que haya conocido de la solicitud dentro de los quince días hábiles, siguientes a la fecha de la notificación de la respuesta.</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w:t>
      </w:r>
      <w:r>
        <w:rPr>
          <w:rFonts w:ascii="Palatino Linotype" w:eastAsia="Palatino Linotype" w:hAnsi="Palatino Linotype" w:cs="Palatino Linotype"/>
        </w:rPr>
        <w:t xml:space="preserve">en el ejercicio del derecho de acceso a la información no se encuentren satisfechos con la información entregada por los sujetos obligados, podrán interponer recurso de revisión de manera directa o por medios electrónicos dentro de los quince días hábiles </w:t>
      </w:r>
      <w:r>
        <w:rPr>
          <w:rFonts w:ascii="Palatino Linotype" w:eastAsia="Palatino Linotype" w:hAnsi="Palatino Linotype" w:cs="Palatino Linotype"/>
        </w:rPr>
        <w:t xml:space="preserve">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dieciocho de febrero de dos mil veintidós, </w:t>
      </w:r>
      <w:r>
        <w:rPr>
          <w:rFonts w:ascii="Palatino Linotype" w:eastAsia="Palatino Linotype" w:hAnsi="Palatino Linotype" w:cs="Palatino Linotype"/>
        </w:rPr>
        <w:t>mientras que el recurso de revisión interpuesto por la parte recu</w:t>
      </w:r>
      <w:r>
        <w:rPr>
          <w:rFonts w:ascii="Palatino Linotype" w:eastAsia="Palatino Linotype" w:hAnsi="Palatino Linotype" w:cs="Palatino Linotype"/>
        </w:rPr>
        <w:t xml:space="preserve">rrente, se tuvo por presentado el día </w:t>
      </w:r>
      <w:r>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esto es, al primer día hábil siguiente de aquel en que tuvo conocimiento de la respuesta, evidenciánd</w:t>
      </w:r>
      <w:bookmarkStart w:id="4" w:name="_GoBack"/>
      <w:bookmarkEnd w:id="4"/>
      <w:r>
        <w:rPr>
          <w:rFonts w:ascii="Palatino Linotype" w:eastAsia="Palatino Linotype" w:hAnsi="Palatino Linotype" w:cs="Palatino Linotype"/>
        </w:rPr>
        <w:t xml:space="preserve">ose que la interposición del recurso </w:t>
      </w:r>
      <w:r>
        <w:rPr>
          <w:rFonts w:ascii="Palatino Linotype" w:eastAsia="Palatino Linotype" w:hAnsi="Palatino Linotype" w:cs="Palatino Linotype"/>
        </w:rPr>
        <w:lastRenderedPageBreak/>
        <w:t>se encuentra dentro de los márgenes t</w:t>
      </w:r>
      <w:r>
        <w:rPr>
          <w:rFonts w:ascii="Palatino Linotype" w:eastAsia="Palatino Linotype" w:hAnsi="Palatino Linotype" w:cs="Palatino Linotype"/>
        </w:rPr>
        <w:t>emporales previstos en el citado precepto legal.</w:t>
      </w:r>
    </w:p>
    <w:p w:rsidR="0028588D" w:rsidRDefault="00F34B6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w:t>
      </w:r>
      <w:r>
        <w:rPr>
          <w:rFonts w:ascii="Palatino Linotype" w:eastAsia="Palatino Linotype" w:hAnsi="Palatino Linotype" w:cs="Palatino Linotype"/>
          <w:color w:val="000000"/>
        </w:rPr>
        <w:t>arencia y Acceso a la Información Pública del Estado de México y Municipios, toda vez que fue ingresado a través del SAIMEX.</w:t>
      </w:r>
    </w:p>
    <w:p w:rsidR="0028588D" w:rsidRDefault="00F34B6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w:t>
      </w:r>
      <w:r>
        <w:rPr>
          <w:rFonts w:ascii="Palatino Linotype" w:eastAsia="Palatino Linotype" w:hAnsi="Palatino Linotype" w:cs="Palatino Linotype"/>
          <w:b/>
        </w:rPr>
        <w:t xml:space="preserve">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28588D" w:rsidRDefault="00F34B6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pública que motivó el recurso de revisión que ahora se res</w:t>
      </w:r>
      <w:r>
        <w:rPr>
          <w:rFonts w:ascii="Palatino Linotype" w:eastAsia="Palatino Linotype" w:hAnsi="Palatino Linotype" w:cs="Palatino Linotype"/>
        </w:rPr>
        <w:t>uelve, se advierte que el particular requirió al Ayuntamiento de Toluca, le proporcionara lo siguiente:</w:t>
      </w:r>
    </w:p>
    <w:p w:rsidR="0028588D" w:rsidRDefault="00F34B6E">
      <w:pPr>
        <w:numPr>
          <w:ilvl w:val="0"/>
          <w:numId w:val="1"/>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Cuando se adeuda a CFE, así como todos los ahora pagos efectuados mediante transferencias, pólizas cheques, etc. Del mes de enero del año 2022.</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lo siguiente: </w:t>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 xml:space="preserve">CFE </w:t>
        </w:r>
        <w:proofErr w:type="spellStart"/>
        <w:r>
          <w:rPr>
            <w:rFonts w:ascii="Palatino Linotype" w:eastAsia="Palatino Linotype" w:hAnsi="Palatino Linotype" w:cs="Palatino Linotype"/>
          </w:rPr>
          <w:t>BalanzaAcumulada</w:t>
        </w:r>
        <w:proofErr w:type="spellEnd"/>
        <w:r>
          <w:rPr>
            <w:rFonts w:ascii="Palatino Linotype" w:eastAsia="Palatino Linotype" w:hAnsi="Palatino Linotype" w:cs="Palatino Linotype"/>
          </w:rPr>
          <w:t xml:space="preserve"> 2112 1 3 1 1 2021.pdf</w:t>
        </w:r>
      </w:hyperlink>
      <w:r>
        <w:rPr>
          <w:rFonts w:ascii="Palatino Linotype" w:eastAsia="Palatino Linotype" w:hAnsi="Palatino Linotype" w:cs="Palatino Linotype"/>
        </w:rPr>
        <w:t>”, el cual contiene la balanza analítica acumulad</w:t>
      </w:r>
      <w:r>
        <w:rPr>
          <w:rFonts w:ascii="Palatino Linotype" w:eastAsia="Palatino Linotype" w:hAnsi="Palatino Linotype" w:cs="Palatino Linotype"/>
        </w:rPr>
        <w:t xml:space="preserve">a del primero de enero al treinta y uno de enero del año dos mil veintiuno, </w:t>
      </w:r>
      <w:r>
        <w:rPr>
          <w:rFonts w:ascii="Palatino Linotype" w:eastAsia="Palatino Linotype" w:hAnsi="Palatino Linotype" w:cs="Palatino Linotype"/>
        </w:rPr>
        <w:lastRenderedPageBreak/>
        <w:t>en donde se observa el concepto, saldo inicial, movimientos del mes y saldo final, y de manera específica el “CFE suministrador de servicios básicos”, como se observa en la siguien</w:t>
      </w:r>
      <w:r>
        <w:rPr>
          <w:rFonts w:ascii="Palatino Linotype" w:eastAsia="Palatino Linotype" w:hAnsi="Palatino Linotype" w:cs="Palatino Linotype"/>
        </w:rPr>
        <w:t>te imagen:</w:t>
      </w:r>
    </w:p>
    <w:p w:rsidR="0028588D" w:rsidRDefault="00F34B6E">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713225" cy="207714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5978" t="17493" r="4557" b="37533"/>
                    <a:stretch>
                      <a:fillRect/>
                    </a:stretch>
                  </pic:blipFill>
                  <pic:spPr>
                    <a:xfrm>
                      <a:off x="0" y="0"/>
                      <a:ext cx="5713225" cy="2077140"/>
                    </a:xfrm>
                    <a:prstGeom prst="rect">
                      <a:avLst/>
                    </a:prstGeom>
                    <a:ln/>
                  </pic:spPr>
                </pic:pic>
              </a:graphicData>
            </a:graphic>
          </wp:inline>
        </w:drawing>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proofErr w:type="spellStart"/>
      <w:r>
        <w:rPr>
          <w:rFonts w:ascii="Palatino Linotype" w:eastAsia="Palatino Linotype" w:hAnsi="Palatino Linotype" w:cs="Palatino Linotype"/>
        </w:rPr>
        <w:fldChar w:fldCharType="begin"/>
      </w:r>
      <w:r>
        <w:rPr>
          <w:rFonts w:ascii="Palatino Linotype" w:eastAsia="Palatino Linotype" w:hAnsi="Palatino Linotype" w:cs="Palatino Linotype"/>
        </w:rPr>
        <w:instrText xml:space="preserve"> HYPERLINK "https://www.saimex.org.mx/saimex/solicitud/downloadAttach/1339133.page" \h </w:instrText>
      </w:r>
      <w:r>
        <w:rPr>
          <w:rFonts w:ascii="Palatino Linotype" w:eastAsia="Palatino Linotype" w:hAnsi="Palatino Linotype" w:cs="Palatino Linotype"/>
        </w:rPr>
        <w:fldChar w:fldCharType="separate"/>
      </w:r>
      <w:r>
        <w:rPr>
          <w:rFonts w:ascii="Palatino Linotype" w:eastAsia="Palatino Linotype" w:hAnsi="Palatino Linotype" w:cs="Palatino Linotype"/>
        </w:rPr>
        <w:t>Saimex</w:t>
      </w:r>
      <w:proofErr w:type="spellEnd"/>
      <w:r>
        <w:rPr>
          <w:rFonts w:ascii="Palatino Linotype" w:eastAsia="Palatino Linotype" w:hAnsi="Palatino Linotype" w:cs="Palatino Linotype"/>
        </w:rPr>
        <w:t xml:space="preserve"> 00390.pdf</w:t>
      </w:r>
      <w:r>
        <w:rPr>
          <w:rFonts w:ascii="Palatino Linotype" w:eastAsia="Palatino Linotype" w:hAnsi="Palatino Linotype" w:cs="Palatino Linotype"/>
        </w:rPr>
        <w:fldChar w:fldCharType="end"/>
      </w:r>
      <w:r>
        <w:rPr>
          <w:rFonts w:ascii="Palatino Linotype" w:eastAsia="Palatino Linotype" w:hAnsi="Palatino Linotype" w:cs="Palatino Linotype"/>
        </w:rPr>
        <w:t>”, por medio del cual el Titular de la Unidad de Transparencia informó a la solicitante, que el Tesorero Municipal y Servidor Público Ha</w:t>
      </w:r>
      <w:r>
        <w:rPr>
          <w:rFonts w:ascii="Palatino Linotype" w:eastAsia="Palatino Linotype" w:hAnsi="Palatino Linotype" w:cs="Palatino Linotype"/>
        </w:rPr>
        <w:t xml:space="preserve">bilitado le comunicó que después de realizar una búsqueda exhaustiva y razonable adjuntó el archivo que contiene el documento que genera el sistema de contabilidad que más se apega a lo solicitado, siendo esta la balanza de analítica acumulada, en el cual </w:t>
      </w:r>
      <w:r>
        <w:rPr>
          <w:rFonts w:ascii="Palatino Linotype" w:eastAsia="Palatino Linotype" w:hAnsi="Palatino Linotype" w:cs="Palatino Linotype"/>
        </w:rPr>
        <w:t xml:space="preserve">podrá visualizar el adeudo que se tiene con la Comisión Federal de Electricidad (CFE). </w:t>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señaló sobre los pagos efectuados mediante cheque o transferencia son los siguientes:</w:t>
      </w:r>
    </w:p>
    <w:p w:rsidR="0028588D" w:rsidRDefault="00F34B6E">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680263" cy="855041"/>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2228" t="48531" r="25818" b="39421"/>
                    <a:stretch>
                      <a:fillRect/>
                    </a:stretch>
                  </pic:blipFill>
                  <pic:spPr>
                    <a:xfrm>
                      <a:off x="0" y="0"/>
                      <a:ext cx="5680263" cy="855041"/>
                    </a:xfrm>
                    <a:prstGeom prst="rect">
                      <a:avLst/>
                    </a:prstGeom>
                    <a:ln/>
                  </pic:spPr>
                </pic:pic>
              </a:graphicData>
            </a:graphic>
          </wp:inline>
        </w:drawing>
      </w:r>
    </w:p>
    <w:p w:rsidR="0028588D" w:rsidRDefault="00F34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indicó que no se entrega el auxiliar correspondiente al ej</w:t>
      </w:r>
      <w:r>
        <w:rPr>
          <w:rFonts w:ascii="Palatino Linotype" w:eastAsia="Palatino Linotype" w:hAnsi="Palatino Linotype" w:cs="Palatino Linotype"/>
        </w:rPr>
        <w:t xml:space="preserve">ercicio fiscal 2022, emitido por la Tesorería Municipal en virtud de que para el ejercicio fiscal 2022 todavía no se han realizado los registros por adecuaciones al sistema. </w:t>
      </w:r>
    </w:p>
    <w:p w:rsidR="0028588D" w:rsidRDefault="00F34B6E">
      <w:pPr>
        <w:spacing w:before="240" w:after="240" w:line="360" w:lineRule="auto"/>
        <w:ind w:right="51"/>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No obstante, la parte </w:t>
      </w:r>
      <w:r>
        <w:rPr>
          <w:rFonts w:ascii="Palatino Linotype" w:eastAsia="Palatino Linotype" w:hAnsi="Palatino Linotype" w:cs="Palatino Linotype"/>
          <w:b/>
        </w:rPr>
        <w:t>RECURRENTE</w:t>
      </w:r>
      <w:r>
        <w:rPr>
          <w:rFonts w:ascii="Palatino Linotype" w:eastAsia="Palatino Linotype" w:hAnsi="Palatino Linotype" w:cs="Palatino Linotype"/>
        </w:rPr>
        <w:t>, al presentar el recurso de revisión que nos ocu</w:t>
      </w:r>
      <w:r>
        <w:rPr>
          <w:rFonts w:ascii="Palatino Linotype" w:eastAsia="Palatino Linotype" w:hAnsi="Palatino Linotype" w:cs="Palatino Linotype"/>
        </w:rPr>
        <w:t xml:space="preserve">pa, señaló como motivo de inconformidad </w:t>
      </w:r>
      <w:r>
        <w:rPr>
          <w:rFonts w:ascii="Palatino Linotype" w:eastAsia="Palatino Linotype" w:hAnsi="Palatino Linotype" w:cs="Palatino Linotype"/>
          <w:b/>
          <w:u w:val="single"/>
        </w:rPr>
        <w:t>que no se le entregaron los oficios de las áreas que atendieron la solicitud.</w:t>
      </w:r>
    </w:p>
    <w:p w:rsidR="0028588D" w:rsidRDefault="00F34B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rindió su informe justificado, mediante el cual ratifica en lo sustancia</w:t>
      </w:r>
      <w:r>
        <w:rPr>
          <w:rFonts w:ascii="Palatino Linotype" w:eastAsia="Palatino Linotype" w:hAnsi="Palatino Linotype" w:cs="Palatino Linotype"/>
        </w:rPr>
        <w:t xml:space="preserve">l la respuesta proporcionada en primera instancia, asimismo, respecto del motivo de inconformidad aducido por el particular, indicó que la Unidad de Transparencia tuvo a bien garantizar que la solicitud se turnara a todas las áreas competentes que cuenten </w:t>
      </w:r>
      <w:r>
        <w:rPr>
          <w:rFonts w:ascii="Palatino Linotype" w:eastAsia="Palatino Linotype" w:hAnsi="Palatino Linotype" w:cs="Palatino Linotype"/>
        </w:rPr>
        <w:t>con la información o deban tenerla de acuerdo a sus facultades, competencias y funciones, con el objeto de que realicen una búsqueda exhaustiva y razonable de la información solicitada, acreditándolo con la captura de pantalla del apartado de requerimiento</w:t>
      </w:r>
      <w:r>
        <w:rPr>
          <w:rFonts w:ascii="Palatino Linotype" w:eastAsia="Palatino Linotype" w:hAnsi="Palatino Linotype" w:cs="Palatino Linotype"/>
        </w:rPr>
        <w:t>s del SAIMEX.</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 infundados para m</w:t>
      </w:r>
      <w:r>
        <w:rPr>
          <w:rFonts w:ascii="Palatino Linotype" w:eastAsia="Palatino Linotype" w:hAnsi="Palatino Linotype" w:cs="Palatino Linotype"/>
        </w:rPr>
        <w:t xml:space="preserve">odificar o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en razón de las consideraciones de derecho que a continuación se exponen:</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w:t>
      </w:r>
      <w:r>
        <w:rPr>
          <w:rFonts w:ascii="Palatino Linotype" w:eastAsia="Palatino Linotype" w:hAnsi="Palatino Linotype" w:cs="Palatino Linotype"/>
        </w:rPr>
        <w:t xml:space="preserve">ho de acceso a la información pública, en atención a que en la Ley de Transparencia y Acceso a la Información </w:t>
      </w:r>
      <w:r>
        <w:rPr>
          <w:rFonts w:ascii="Palatino Linotype" w:eastAsia="Palatino Linotype" w:hAnsi="Palatino Linotype" w:cs="Palatino Linotype"/>
        </w:rPr>
        <w:lastRenderedPageBreak/>
        <w:t xml:space="preserve">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w:t>
      </w:r>
      <w:r>
        <w:rPr>
          <w:rFonts w:ascii="Palatino Linotype" w:eastAsia="Palatino Linotype" w:hAnsi="Palatino Linotype" w:cs="Palatino Linotype"/>
          <w:color w:val="000000"/>
        </w:rPr>
        <w:t xml:space="preserve">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w:t>
      </w:r>
      <w:r>
        <w:rPr>
          <w:rFonts w:ascii="Palatino Linotype" w:eastAsia="Palatino Linotype" w:hAnsi="Palatino Linotype" w:cs="Palatino Linotype"/>
          <w:color w:val="000000"/>
        </w:rPr>
        <w:t>o:</w:t>
      </w:r>
    </w:p>
    <w:p w:rsidR="0028588D" w:rsidRDefault="00F34B6E">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8588D" w:rsidRDefault="00F34B6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w:t>
      </w:r>
      <w:r>
        <w:rPr>
          <w:rFonts w:ascii="Palatino Linotype" w:eastAsia="Palatino Linotype" w:hAnsi="Palatino Linotype" w:cs="Palatino Linotype"/>
          <w:b/>
          <w:i/>
          <w:sz w:val="22"/>
          <w:szCs w:val="22"/>
        </w:rPr>
        <w:t>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w:t>
      </w:r>
      <w:r>
        <w:rPr>
          <w:rFonts w:ascii="Palatino Linotype" w:eastAsia="Palatino Linotype" w:hAnsi="Palatino Linotype" w:cs="Palatino Linotype"/>
          <w:i/>
          <w:sz w:val="22"/>
          <w:szCs w:val="22"/>
        </w:rPr>
        <w:t xml:space="preserve">s de los que el Estado mexicano sea parte, en la Ley General, la presente Ley y demás disposiciones de la materia, privilegiando el principio de máxima publicidad de la información. Solo podrá ser clasificada excepcionalmente Ley de Transparencia y Acceso </w:t>
      </w:r>
      <w:r>
        <w:rPr>
          <w:rFonts w:ascii="Palatino Linotype" w:eastAsia="Palatino Linotype" w:hAnsi="Palatino Linotype" w:cs="Palatino Linotype"/>
          <w:i/>
          <w:sz w:val="22"/>
          <w:szCs w:val="22"/>
        </w:rPr>
        <w:t>a la Información Pública del Estado de México y Municipios 29 como reservada temporalmente por razones de interés público, en los términos de las causas legítimas y estrictamente necesarias previstas por esta Ley.</w:t>
      </w:r>
    </w:p>
    <w:p w:rsidR="0028588D" w:rsidRDefault="00F34B6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w:t>
      </w:r>
      <w:r>
        <w:rPr>
          <w:rFonts w:ascii="Palatino Linotype" w:eastAsia="Palatino Linotype" w:hAnsi="Palatino Linotype" w:cs="Palatino Linotype"/>
          <w:b/>
          <w:i/>
          <w:sz w:val="22"/>
          <w:szCs w:val="22"/>
        </w:rPr>
        <w: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28588D" w:rsidRDefault="0028588D">
      <w:pPr>
        <w:ind w:left="709" w:right="760"/>
        <w:jc w:val="both"/>
        <w:rPr>
          <w:rFonts w:ascii="Palatino Linotype" w:eastAsia="Palatino Linotype" w:hAnsi="Palatino Linotype" w:cs="Palatino Linotype"/>
          <w:i/>
        </w:rPr>
      </w:pP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w:t>
      </w:r>
      <w:r>
        <w:rPr>
          <w:rFonts w:ascii="Palatino Linotype" w:eastAsia="Palatino Linotype" w:hAnsi="Palatino Linotype" w:cs="Palatino Linotype"/>
        </w:rPr>
        <w:t>ión o deber de atender las solicitudes de acceso a la información pública que se les hagan de su conocimiento y proporcionar la información pública que obren en su poder conforme el estado que se encuentra y no hacer un procesamiento de la misma, ni presen</w:t>
      </w:r>
      <w:r>
        <w:rPr>
          <w:rFonts w:ascii="Palatino Linotype" w:eastAsia="Palatino Linotype" w:hAnsi="Palatino Linotype" w:cs="Palatino Linotype"/>
        </w:rPr>
        <w:t>tarla conforme al interés del solicitante; como así lo establece el artículo 12 de la Ley de Transparencia y Acceso a la Información Pública del Estado de México y Municipios, el cual a la letra dice:</w:t>
      </w:r>
    </w:p>
    <w:p w:rsidR="0028588D" w:rsidRDefault="00F34B6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w:t>
      </w:r>
      <w:r>
        <w:rPr>
          <w:rFonts w:ascii="Palatino Linotype" w:eastAsia="Palatino Linotype" w:hAnsi="Palatino Linotype" w:cs="Palatino Linotype"/>
          <w:i/>
          <w:sz w:val="22"/>
          <w:szCs w:val="22"/>
        </w:rPr>
        <w:t xml:space="preserve">manejen, procesen, archiven o conserven información pública serán responsables de la misma en los términos de las disposiciones jurídicas aplicables. </w:t>
      </w:r>
    </w:p>
    <w:p w:rsidR="0028588D" w:rsidRDefault="00F34B6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w:t>
      </w:r>
      <w:r>
        <w:rPr>
          <w:rFonts w:ascii="Palatino Linotype" w:eastAsia="Palatino Linotype" w:hAnsi="Palatino Linotype" w:cs="Palatino Linotype"/>
          <w:b/>
          <w:i/>
          <w:sz w:val="22"/>
          <w:szCs w:val="22"/>
        </w:rPr>
        <w:t>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w:t>
      </w:r>
      <w:r>
        <w:rPr>
          <w:rFonts w:ascii="Palatino Linotype" w:eastAsia="Palatino Linotype" w:hAnsi="Palatino Linotype" w:cs="Palatino Linotype"/>
          <w:b/>
          <w:i/>
          <w:sz w:val="22"/>
          <w:szCs w:val="22"/>
        </w:rPr>
        <w:t>cticar investigaciones.” (Sic)</w:t>
      </w:r>
    </w:p>
    <w:p w:rsidR="0028588D" w:rsidRDefault="0028588D">
      <w:pPr>
        <w:spacing w:line="360" w:lineRule="auto"/>
        <w:ind w:right="-93"/>
        <w:jc w:val="both"/>
        <w:rPr>
          <w:rFonts w:ascii="Palatino Linotype" w:eastAsia="Palatino Linotype" w:hAnsi="Palatino Linotype" w:cs="Palatino Linotype"/>
          <w:color w:val="000000"/>
        </w:rPr>
      </w:pPr>
    </w:p>
    <w:p w:rsidR="0028588D" w:rsidRDefault="00F34B6E">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w:t>
      </w:r>
      <w:r>
        <w:rPr>
          <w:rFonts w:ascii="Palatino Linotype" w:eastAsia="Palatino Linotype" w:hAnsi="Palatino Linotype" w:cs="Palatino Linotype"/>
          <w:color w:val="000000"/>
        </w:rPr>
        <w:t>ular y practicar investigaciones; es decir, los Sujetos Obligados sólo se concretarán a proporcionar la información solicitada que tengan en su poder en el estado que se encuentran, sin necesidad de concretarse al interés o términos específicos del solicit</w:t>
      </w:r>
      <w:r>
        <w:rPr>
          <w:rFonts w:ascii="Palatino Linotype" w:eastAsia="Palatino Linotype" w:hAnsi="Palatino Linotype" w:cs="Palatino Linotype"/>
          <w:color w:val="000000"/>
        </w:rPr>
        <w:t xml:space="preserve">ante. </w:t>
      </w:r>
    </w:p>
    <w:p w:rsidR="0028588D" w:rsidRDefault="0028588D">
      <w:pPr>
        <w:spacing w:line="360" w:lineRule="auto"/>
        <w:ind w:right="-93"/>
        <w:jc w:val="both"/>
        <w:rPr>
          <w:rFonts w:ascii="Palatino Linotype" w:eastAsia="Palatino Linotype" w:hAnsi="Palatino Linotype" w:cs="Palatino Linotype"/>
          <w:color w:val="000000"/>
        </w:rPr>
      </w:pPr>
    </w:p>
    <w:p w:rsidR="0028588D" w:rsidRDefault="00F34B6E">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28588D" w:rsidRDefault="0028588D">
      <w:pPr>
        <w:ind w:left="851" w:right="850"/>
        <w:jc w:val="both"/>
        <w:rPr>
          <w:rFonts w:ascii="Palatino Linotype" w:eastAsia="Palatino Linotype" w:hAnsi="Palatino Linotype" w:cs="Palatino Linotype"/>
          <w:color w:val="000000"/>
        </w:rPr>
      </w:pPr>
    </w:p>
    <w:p w:rsidR="0028588D" w:rsidRDefault="00F34B6E">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w:t>
      </w:r>
      <w:r>
        <w:rPr>
          <w:rFonts w:ascii="Palatino Linotype" w:eastAsia="Palatino Linotype" w:hAnsi="Palatino Linotype" w:cs="Palatino Linotype"/>
          <w:i/>
          <w:color w:val="000000"/>
          <w:sz w:val="22"/>
          <w:szCs w:val="22"/>
        </w:rPr>
        <w:t>cceso a la Información Pública, señalan que los sujetos obligados deberán otorgar acceso a los documentos que se encuentren en sus archivos o que estén obligados a documentar, de acuerdo con sus facultades, competencias o funciones, conforme a las caracter</w:t>
      </w:r>
      <w:r>
        <w:rPr>
          <w:rFonts w:ascii="Palatino Linotype" w:eastAsia="Palatino Linotype" w:hAnsi="Palatino Linotype" w:cs="Palatino Linotype"/>
          <w:i/>
          <w:color w:val="000000"/>
          <w:sz w:val="22"/>
          <w:szCs w:val="22"/>
        </w:rPr>
        <w:t>ísticas físicas de la información o del lugar donde se encuentre. Por lo anterior, los sujetos obligados deben garantizar el derecho de acceso a la información del particular, proporcionando la información con la que cuentan en el formato en que la misma o</w:t>
      </w:r>
      <w:r>
        <w:rPr>
          <w:rFonts w:ascii="Palatino Linotype" w:eastAsia="Palatino Linotype" w:hAnsi="Palatino Linotype" w:cs="Palatino Linotype"/>
          <w:i/>
          <w:color w:val="000000"/>
          <w:sz w:val="22"/>
          <w:szCs w:val="22"/>
        </w:rPr>
        <w:t>bre en sus archivos; sin necesidad de elaborar documentos ad hoc para atender las solicitudes de información.</w:t>
      </w:r>
    </w:p>
    <w:p w:rsidR="0028588D" w:rsidRDefault="00F34B6E">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Resoluciones: </w:t>
      </w:r>
    </w:p>
    <w:p w:rsidR="0028588D" w:rsidRDefault="00F34B6E">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w:t>
      </w:r>
      <w:r>
        <w:rPr>
          <w:rFonts w:ascii="Palatino Linotype" w:eastAsia="Palatino Linotype" w:hAnsi="Palatino Linotype" w:cs="Palatino Linotype"/>
          <w:i/>
          <w:color w:val="000000"/>
          <w:sz w:val="22"/>
          <w:szCs w:val="22"/>
        </w:rPr>
        <w:t>sco Javier Acuña Llamas.</w:t>
      </w:r>
    </w:p>
    <w:p w:rsidR="0028588D" w:rsidRDefault="00F34B6E">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28588D" w:rsidRDefault="00F34B6E">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w:t>
      </w:r>
      <w:r>
        <w:rPr>
          <w:rFonts w:ascii="Palatino Linotype" w:eastAsia="Palatino Linotype" w:hAnsi="Palatino Linotype" w:cs="Palatino Linotype"/>
          <w:i/>
          <w:color w:val="000000"/>
          <w:sz w:val="22"/>
          <w:szCs w:val="22"/>
        </w:rPr>
        <w:t>Crédito Público. 05 de octubre de 2016. Por unanimidad. Comisionada Ponente. Ximena Puente de la Mora.”(Sic)</w:t>
      </w:r>
    </w:p>
    <w:p w:rsidR="0028588D" w:rsidRDefault="0028588D">
      <w:pPr>
        <w:spacing w:line="360" w:lineRule="auto"/>
        <w:jc w:val="both"/>
        <w:rPr>
          <w:rFonts w:ascii="Palatino Linotype" w:eastAsia="Palatino Linotype" w:hAnsi="Palatino Linotype" w:cs="Palatino Linotype"/>
        </w:rPr>
      </w:pPr>
    </w:p>
    <w:p w:rsidR="0028588D" w:rsidRDefault="00F34B6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sólo proporcionarán la información</w:t>
      </w:r>
      <w:r>
        <w:rPr>
          <w:rFonts w:ascii="Palatino Linotype" w:eastAsia="Palatino Linotype" w:hAnsi="Palatino Linotype" w:cs="Palatino Linotype"/>
          <w:color w:val="000000"/>
        </w:rPr>
        <w:t xml:space="preserve">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w:t>
      </w:r>
      <w:r>
        <w:rPr>
          <w:rFonts w:ascii="Palatino Linotype" w:eastAsia="Palatino Linotype" w:hAnsi="Palatino Linotype" w:cs="Palatino Linotype"/>
          <w:color w:val="000000"/>
        </w:rPr>
        <w:t>a la Información Pública, lo que no sucedió en el presente caso.</w:t>
      </w:r>
    </w:p>
    <w:p w:rsidR="0028588D" w:rsidRDefault="0028588D">
      <w:pPr>
        <w:spacing w:line="360" w:lineRule="auto"/>
        <w:jc w:val="both"/>
        <w:rPr>
          <w:rFonts w:ascii="Palatino Linotype" w:eastAsia="Palatino Linotype" w:hAnsi="Palatino Linotype" w:cs="Palatino Linotype"/>
          <w:color w:val="000000"/>
        </w:rPr>
      </w:pPr>
    </w:p>
    <w:p w:rsidR="0028588D" w:rsidRDefault="00F34B6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w:t>
      </w:r>
      <w:r>
        <w:rPr>
          <w:rFonts w:ascii="Palatino Linotype" w:eastAsia="Palatino Linotype" w:hAnsi="Palatino Linotype" w:cs="Palatino Linotype"/>
        </w:rPr>
        <w:t xml:space="preserve"> Sujetos Obligados para cuidar esta información a través del acuerdo clasificatorio del comité de transparencia y la versión pública que emita el servidor público habilitado de cada Sujeto Obligado; como así se establece en la Ley de Transparencia y Acceso</w:t>
      </w:r>
      <w:r>
        <w:rPr>
          <w:rFonts w:ascii="Palatino Linotype" w:eastAsia="Palatino Linotype" w:hAnsi="Palatino Linotype" w:cs="Palatino Linotype"/>
        </w:rPr>
        <w:t xml:space="preserve"> a la Información Pública del Estado de México y Municipios.</w:t>
      </w:r>
    </w:p>
    <w:p w:rsidR="0028588D" w:rsidRDefault="0028588D">
      <w:pPr>
        <w:spacing w:line="360" w:lineRule="auto"/>
        <w:ind w:right="49"/>
        <w:jc w:val="both"/>
        <w:rPr>
          <w:rFonts w:ascii="Palatino Linotype" w:eastAsia="Palatino Linotype" w:hAnsi="Palatino Linotype" w:cs="Palatino Linotype"/>
        </w:rPr>
      </w:pP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w:t>
      </w:r>
      <w:r>
        <w:rPr>
          <w:rFonts w:ascii="Palatino Linotype" w:eastAsia="Palatino Linotype" w:hAnsi="Palatino Linotype" w:cs="Palatino Linotype"/>
        </w:rPr>
        <w:t xml:space="preserve">os, actas, resoluciones, oficios, correspondencia, acuerdos, directivas, directrices, circulares, contratos, convenios, instructivos, notas, </w:t>
      </w:r>
      <w:r>
        <w:rPr>
          <w:rFonts w:ascii="Palatino Linotype" w:eastAsia="Palatino Linotype" w:hAnsi="Palatino Linotype" w:cs="Palatino Linotype"/>
        </w:rPr>
        <w:lastRenderedPageBreak/>
        <w:t xml:space="preserve">memorandos, estadísticas o bien, cualquier otro registro que documente el ejercicio de las facultades, funciones y </w:t>
      </w:r>
      <w:r>
        <w:rPr>
          <w:rFonts w:ascii="Palatino Linotype" w:eastAsia="Palatino Linotype" w:hAnsi="Palatino Linotype" w:cs="Palatino Linotype"/>
        </w:rPr>
        <w:t>competencias de los Sujetos Obligados;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28588D" w:rsidRDefault="0028588D">
      <w:pPr>
        <w:ind w:left="851" w:right="899"/>
        <w:jc w:val="both"/>
        <w:rPr>
          <w:rFonts w:ascii="Palatino Linotype" w:eastAsia="Palatino Linotype" w:hAnsi="Palatino Linotype" w:cs="Palatino Linotype"/>
          <w:i/>
          <w:sz w:val="22"/>
          <w:szCs w:val="22"/>
        </w:rPr>
      </w:pP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588D" w:rsidRDefault="00F34B6E">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 (Sic)</w:t>
      </w:r>
    </w:p>
    <w:p w:rsidR="0028588D" w:rsidRDefault="0028588D">
      <w:pPr>
        <w:ind w:left="851" w:right="899"/>
        <w:jc w:val="both"/>
        <w:rPr>
          <w:rFonts w:ascii="Palatino Linotype" w:eastAsia="Palatino Linotype" w:hAnsi="Palatino Linotype" w:cs="Palatino Linotype"/>
          <w:sz w:val="22"/>
          <w:szCs w:val="22"/>
        </w:rPr>
      </w:pP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w:t>
      </w:r>
      <w:r>
        <w:rPr>
          <w:rFonts w:ascii="Palatino Linotype" w:eastAsia="Palatino Linotype" w:hAnsi="Palatino Linotype" w:cs="Palatino Linotype"/>
        </w:rPr>
        <w:t>el Gobierno del Estado Libre y Soberano de México “Gaceta del Gobierno”, el diecinueve de octubre de dos mil once, cuyo rubro y texto refieren lo siguiente:</w:t>
      </w:r>
    </w:p>
    <w:p w:rsidR="0028588D" w:rsidRDefault="0028588D">
      <w:pPr>
        <w:ind w:left="851" w:right="899"/>
        <w:jc w:val="both"/>
        <w:rPr>
          <w:rFonts w:ascii="Palatino Linotype" w:eastAsia="Palatino Linotype" w:hAnsi="Palatino Linotype" w:cs="Palatino Linotype"/>
        </w:rPr>
      </w:pPr>
    </w:p>
    <w:p w:rsidR="0028588D" w:rsidRDefault="00F34B6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w:t>
      </w:r>
      <w:r>
        <w:rPr>
          <w:rFonts w:ascii="Palatino Linotype" w:eastAsia="Palatino Linotype" w:hAnsi="Palatino Linotype" w:cs="Palatino Linotype"/>
          <w:b/>
          <w:i/>
          <w:sz w:val="22"/>
          <w:szCs w:val="22"/>
        </w:rPr>
        <w:t>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w:t>
      </w:r>
      <w:r>
        <w:rPr>
          <w:rFonts w:ascii="Palatino Linotype" w:eastAsia="Palatino Linotype" w:hAnsi="Palatino Linotype" w:cs="Palatino Linotype"/>
          <w:i/>
          <w:sz w:val="22"/>
          <w:szCs w:val="22"/>
        </w:rPr>
        <w:t>os y documentos públicos, administrados, generados o en posesión de los órganos u organismos públicos, en virtud del ejercicio de sus funciones de derecho público, sin importar su fuente, soporte o fecha de elaboración.</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w:t>
      </w:r>
      <w:r>
        <w:rPr>
          <w:rFonts w:ascii="Palatino Linotype" w:eastAsia="Palatino Linotype" w:hAnsi="Palatino Linotype" w:cs="Palatino Linotype"/>
          <w:i/>
          <w:sz w:val="22"/>
          <w:szCs w:val="22"/>
        </w:rPr>
        <w:t>mación se refiere a que se cumplan cualquiera de los siguientes tres supuestos:</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rsidR="0028588D" w:rsidRDefault="00F34B6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w:t>
      </w:r>
      <w:r>
        <w:rPr>
          <w:rFonts w:ascii="Palatino Linotype" w:eastAsia="Palatino Linotype" w:hAnsi="Palatino Linotype" w:cs="Palatino Linotype"/>
          <w:b/>
          <w:i/>
          <w:sz w:val="22"/>
          <w:szCs w:val="22"/>
        </w:rPr>
        <w:t>ate de información registrada en cualquier soporte documental, que en ejercicio de las atribuciones conferidas, sea administrada por los Sujetos Obligados, y</w:t>
      </w:r>
    </w:p>
    <w:p w:rsidR="0028588D" w:rsidRDefault="00F34B6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28588D" w:rsidRDefault="0028588D">
      <w:pPr>
        <w:spacing w:line="360" w:lineRule="auto"/>
        <w:ind w:right="-93"/>
        <w:jc w:val="both"/>
        <w:rPr>
          <w:rFonts w:ascii="Palatino Linotype" w:eastAsia="Palatino Linotype" w:hAnsi="Palatino Linotype" w:cs="Palatino Linotype"/>
          <w:color w:val="000000"/>
        </w:rPr>
      </w:pPr>
    </w:p>
    <w:p w:rsidR="0028588D" w:rsidRDefault="00F34B6E">
      <w:pPr>
        <w:spacing w:line="360" w:lineRule="auto"/>
        <w:ind w:right="-93"/>
        <w:jc w:val="both"/>
        <w:rPr>
          <w:rFonts w:ascii="Palatino Linotype" w:eastAsia="Palatino Linotype" w:hAnsi="Palatino Linotype" w:cs="Palatino Linotype"/>
        </w:rPr>
      </w:pPr>
      <w:bookmarkStart w:id="5" w:name="_heading=h.1fob9te" w:colFirst="0" w:colLast="0"/>
      <w:bookmarkEnd w:id="5"/>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w:t>
      </w:r>
      <w:r>
        <w:rPr>
          <w:rFonts w:ascii="Palatino Linotype" w:eastAsia="Palatino Linotype" w:hAnsi="Palatino Linotype" w:cs="Palatino Linotype"/>
          <w:b/>
        </w:rPr>
        <w:t>O OBLIGADO</w:t>
      </w:r>
      <w:r>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toda vez que en la información remitida en respuesta se advier</w:t>
      </w:r>
      <w:r>
        <w:rPr>
          <w:rFonts w:ascii="Palatino Linotype" w:eastAsia="Palatino Linotype" w:hAnsi="Palatino Linotype" w:cs="Palatino Linotype"/>
        </w:rPr>
        <w:t>te en efecto los adeudos con la Comisión Federal de Electricidad, los pagos efectuados mediante transferencia o cheque y que respecto de lo que va del año 2022, todavía no se han realizado los registros por adecuaciones al sistema; es decir, no habían gene</w:t>
      </w:r>
      <w:r>
        <w:rPr>
          <w:rFonts w:ascii="Palatino Linotype" w:eastAsia="Palatino Linotype" w:hAnsi="Palatino Linotype" w:cs="Palatino Linotype"/>
        </w:rPr>
        <w:t>rado la información.</w:t>
      </w:r>
    </w:p>
    <w:p w:rsidR="0028588D" w:rsidRDefault="0028588D">
      <w:pPr>
        <w:spacing w:line="360" w:lineRule="auto"/>
        <w:jc w:val="both"/>
        <w:rPr>
          <w:rFonts w:ascii="Palatino Linotype" w:eastAsia="Palatino Linotype" w:hAnsi="Palatino Linotype" w:cs="Palatino Linotype"/>
        </w:rPr>
      </w:pP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es pertinente señalar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pronunció fue la Tesorería Municipal, en razón de que el Titular de la Unidad de Transparencia, como así lo manifestó, turno la solicitud al área de Tesorer</w:t>
      </w:r>
      <w:r>
        <w:rPr>
          <w:rFonts w:ascii="Palatino Linotype" w:eastAsia="Palatino Linotype" w:hAnsi="Palatino Linotype" w:cs="Palatino Linotype"/>
        </w:rPr>
        <w:t>ía Municipal, como se advierte en la siguiente captura de imagen del apartado de requerimientos del SAIMEX:</w:t>
      </w:r>
    </w:p>
    <w:p w:rsidR="0028588D" w:rsidRDefault="0028588D">
      <w:pPr>
        <w:spacing w:line="360" w:lineRule="auto"/>
        <w:jc w:val="both"/>
      </w:pPr>
    </w:p>
    <w:p w:rsidR="0028588D" w:rsidRDefault="00F34B6E">
      <w:pPr>
        <w:spacing w:line="360" w:lineRule="auto"/>
        <w:jc w:val="both"/>
        <w:rPr>
          <w:rFonts w:ascii="Palatino Linotype" w:eastAsia="Palatino Linotype" w:hAnsi="Palatino Linotype" w:cs="Palatino Linotype"/>
        </w:rPr>
      </w:pPr>
      <w:r>
        <w:rPr>
          <w:noProof/>
          <w:lang w:val="es-MX"/>
        </w:rPr>
        <w:drawing>
          <wp:inline distT="0" distB="0" distL="0" distR="0">
            <wp:extent cx="5623283" cy="976219"/>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0945" t="35452" r="11341" b="50272"/>
                    <a:stretch>
                      <a:fillRect/>
                    </a:stretch>
                  </pic:blipFill>
                  <pic:spPr>
                    <a:xfrm>
                      <a:off x="0" y="0"/>
                      <a:ext cx="5623283" cy="976219"/>
                    </a:xfrm>
                    <a:prstGeom prst="rect">
                      <a:avLst/>
                    </a:prstGeom>
                    <a:ln/>
                  </pic:spPr>
                </pic:pic>
              </a:graphicData>
            </a:graphic>
          </wp:inline>
        </w:drawing>
      </w: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Y que de acuerdo a la página de la información pública de oficio mexiquense (IPOMEX) del </w:t>
      </w:r>
      <w:r>
        <w:rPr>
          <w:rFonts w:ascii="Palatino Linotype" w:eastAsia="Palatino Linotype" w:hAnsi="Palatino Linotype" w:cs="Palatino Linotype"/>
          <w:b/>
        </w:rPr>
        <w:t>SUJETO OBLIGADO</w:t>
      </w:r>
      <w:r>
        <w:rPr>
          <w:rFonts w:ascii="Palatino Linotype" w:eastAsia="Palatino Linotype" w:hAnsi="Palatino Linotype" w:cs="Palatino Linotype"/>
        </w:rPr>
        <w:t>, en el apartado de su Directorio, se adv</w:t>
      </w:r>
      <w:r>
        <w:rPr>
          <w:rFonts w:ascii="Palatino Linotype" w:eastAsia="Palatino Linotype" w:hAnsi="Palatino Linotype" w:cs="Palatino Linotype"/>
        </w:rPr>
        <w:t>ierte que dicho servidor público coincide con el actual titular de dicha área, como así se observa en la siguiente imagen:</w:t>
      </w:r>
    </w:p>
    <w:p w:rsidR="0028588D" w:rsidRDefault="0028588D">
      <w:pPr>
        <w:spacing w:line="360" w:lineRule="auto"/>
        <w:jc w:val="both"/>
      </w:pPr>
    </w:p>
    <w:p w:rsidR="0028588D" w:rsidRDefault="00F34B6E">
      <w:pPr>
        <w:spacing w:line="360" w:lineRule="auto"/>
        <w:jc w:val="both"/>
        <w:rPr>
          <w:rFonts w:ascii="Palatino Linotype" w:eastAsia="Palatino Linotype" w:hAnsi="Palatino Linotype" w:cs="Palatino Linotype"/>
        </w:rPr>
      </w:pPr>
      <w:r>
        <w:rPr>
          <w:noProof/>
          <w:lang w:val="es-MX"/>
        </w:rPr>
        <w:drawing>
          <wp:inline distT="0" distB="0" distL="0" distR="0">
            <wp:extent cx="5584274" cy="3051708"/>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4553" t="6035" r="38448" b="19935"/>
                    <a:stretch>
                      <a:fillRect/>
                    </a:stretch>
                  </pic:blipFill>
                  <pic:spPr>
                    <a:xfrm>
                      <a:off x="0" y="0"/>
                      <a:ext cx="5584274" cy="3051708"/>
                    </a:xfrm>
                    <a:prstGeom prst="rect">
                      <a:avLst/>
                    </a:prstGeom>
                    <a:ln/>
                  </pic:spPr>
                </pic:pic>
              </a:graphicData>
            </a:graphic>
          </wp:inline>
        </w:drawing>
      </w:r>
    </w:p>
    <w:p w:rsidR="0028588D" w:rsidRDefault="0028588D">
      <w:pPr>
        <w:spacing w:line="360" w:lineRule="auto"/>
        <w:jc w:val="both"/>
      </w:pPr>
    </w:p>
    <w:p w:rsidR="0028588D" w:rsidRDefault="00F34B6E">
      <w:pPr>
        <w:spacing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Siendo éste el competente para generar, poseer o administrar la información solicitada, ya que tiene las siguientes atribuciones </w:t>
      </w:r>
      <w:r>
        <w:rPr>
          <w:rFonts w:ascii="Palatino Linotype" w:eastAsia="Palatino Linotype" w:hAnsi="Palatino Linotype" w:cs="Palatino Linotype"/>
        </w:rPr>
        <w:t>conforme a lo señalado por los artículos 3.20 fracciones VII, XXII y XXXIII del Código Reglamentario Municipal de Toluca, que señalan:</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3.20. La o el titular de la Tesorería Municipal tendrá las siguientes atribuciones: </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 Supervisar el regis</w:t>
      </w:r>
      <w:r>
        <w:rPr>
          <w:rFonts w:ascii="Palatino Linotype" w:eastAsia="Palatino Linotype" w:hAnsi="Palatino Linotype" w:cs="Palatino Linotype"/>
          <w:b/>
          <w:i/>
          <w:sz w:val="22"/>
          <w:szCs w:val="22"/>
        </w:rPr>
        <w:t>tro y control de las operaciones financieras</w:t>
      </w:r>
      <w:r>
        <w:rPr>
          <w:rFonts w:ascii="Palatino Linotype" w:eastAsia="Palatino Linotype" w:hAnsi="Palatino Linotype" w:cs="Palatino Linotype"/>
          <w:i/>
          <w:sz w:val="22"/>
          <w:szCs w:val="22"/>
        </w:rPr>
        <w:t xml:space="preserve"> presupuestales y </w:t>
      </w:r>
      <w:r>
        <w:rPr>
          <w:rFonts w:ascii="Palatino Linotype" w:eastAsia="Palatino Linotype" w:hAnsi="Palatino Linotype" w:cs="Palatino Linotype"/>
          <w:b/>
          <w:i/>
          <w:sz w:val="22"/>
          <w:szCs w:val="22"/>
        </w:rPr>
        <w:t>contables</w:t>
      </w:r>
      <w:r>
        <w:rPr>
          <w:rFonts w:ascii="Palatino Linotype" w:eastAsia="Palatino Linotype" w:hAnsi="Palatino Linotype" w:cs="Palatino Linotype"/>
          <w:i/>
          <w:sz w:val="22"/>
          <w:szCs w:val="22"/>
        </w:rPr>
        <w:t xml:space="preserve">, revisar y autorizar la integración de los informes mensuales y la cuenta pública anual del Municipio para que se entregue de </w:t>
      </w:r>
      <w:r>
        <w:rPr>
          <w:rFonts w:ascii="Palatino Linotype" w:eastAsia="Palatino Linotype" w:hAnsi="Palatino Linotype" w:cs="Palatino Linotype"/>
          <w:i/>
          <w:sz w:val="22"/>
          <w:szCs w:val="22"/>
        </w:rPr>
        <w:lastRenderedPageBreak/>
        <w:t>manera oportuna y con apego a los lineamientos establecido</w:t>
      </w:r>
      <w:r>
        <w:rPr>
          <w:rFonts w:ascii="Palatino Linotype" w:eastAsia="Palatino Linotype" w:hAnsi="Palatino Linotype" w:cs="Palatino Linotype"/>
          <w:i/>
          <w:sz w:val="22"/>
          <w:szCs w:val="22"/>
        </w:rPr>
        <w:t>s en los ordenamientos jurídicos aplicables</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588D" w:rsidRDefault="00F34B6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Hacer efectivos los depósitos</w:t>
      </w:r>
      <w:r>
        <w:rPr>
          <w:rFonts w:ascii="Palatino Linotype" w:eastAsia="Palatino Linotype" w:hAnsi="Palatino Linotype" w:cs="Palatino Linotype"/>
          <w:i/>
          <w:sz w:val="22"/>
          <w:szCs w:val="22"/>
        </w:rPr>
        <w:t xml:space="preserve">, fianzas, títulos de crédito </w:t>
      </w:r>
      <w:r>
        <w:rPr>
          <w:rFonts w:ascii="Palatino Linotype" w:eastAsia="Palatino Linotype" w:hAnsi="Palatino Linotype" w:cs="Palatino Linotype"/>
          <w:b/>
          <w:i/>
          <w:sz w:val="22"/>
          <w:szCs w:val="22"/>
        </w:rPr>
        <w:t>y en general cualquier garantía o derecho otorgado para garantizar el interés fiscal, incluyendo el adeudo de intereses o de los accesorios legales</w:t>
      </w:r>
      <w:r>
        <w:rPr>
          <w:rFonts w:ascii="Palatino Linotype" w:eastAsia="Palatino Linotype" w:hAnsi="Palatino Linotype" w:cs="Palatino Linotype"/>
          <w:b/>
          <w:i/>
          <w:sz w:val="22"/>
          <w:szCs w:val="22"/>
        </w:rPr>
        <w:t xml:space="preserve"> generados por pago extemporáneo</w:t>
      </w:r>
      <w:r>
        <w:rPr>
          <w:rFonts w:ascii="Palatino Linotype" w:eastAsia="Palatino Linotype" w:hAnsi="Palatino Linotype" w:cs="Palatino Linotype"/>
          <w:i/>
          <w:sz w:val="22"/>
          <w:szCs w:val="22"/>
        </w:rPr>
        <w:t>…” (Sic)</w:t>
      </w:r>
    </w:p>
    <w:p w:rsidR="0028588D" w:rsidRDefault="0028588D">
      <w:pPr>
        <w:ind w:left="851" w:right="899"/>
        <w:jc w:val="both"/>
        <w:rPr>
          <w:rFonts w:ascii="Palatino Linotype" w:eastAsia="Palatino Linotype" w:hAnsi="Palatino Linotype" w:cs="Palatino Linotype"/>
          <w:i/>
          <w:sz w:val="22"/>
          <w:szCs w:val="22"/>
        </w:rPr>
      </w:pPr>
    </w:p>
    <w:p w:rsidR="0028588D" w:rsidRDefault="0028588D">
      <w:pPr>
        <w:spacing w:line="360" w:lineRule="auto"/>
        <w:jc w:val="both"/>
        <w:rPr>
          <w:rFonts w:ascii="Palatino Linotype" w:eastAsia="Palatino Linotype" w:hAnsi="Palatino Linotype" w:cs="Palatino Linotype"/>
        </w:rPr>
      </w:pPr>
    </w:p>
    <w:p w:rsidR="0028588D" w:rsidRDefault="00F34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con ello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máxime, que esté Órgano Garante estima conveniente señalar que no está facultado para manifestarse sobre la veracidad de la información proporcionada, ya que no existe precepto legal alguno en la Ley de la Materia que permita, vía recurso de revisión, se </w:t>
      </w:r>
      <w:r>
        <w:rPr>
          <w:rFonts w:ascii="Palatino Linotype" w:eastAsia="Palatino Linotype" w:hAnsi="Palatino Linotype" w:cs="Palatino Linotype"/>
        </w:rPr>
        <w:t>pronuncie al respecto. Por analogía, sirve de apoyo a lo anterior el Criterio 31-10 emitido por el entonces Instituto Federal de Accesos a la Información y Protección de Datos, que a la letra establece lo siguiente:</w:t>
      </w:r>
    </w:p>
    <w:p w:rsidR="0028588D" w:rsidRDefault="00F34B6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w:t>
      </w:r>
      <w:r>
        <w:rPr>
          <w:rFonts w:ascii="Palatino Linotype" w:eastAsia="Palatino Linotype" w:hAnsi="Palatino Linotype" w:cs="Palatino Linotype"/>
          <w:b/>
          <w:i/>
          <w:sz w:val="22"/>
          <w:szCs w:val="22"/>
        </w:rPr>
        <w:t>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w:t>
      </w:r>
      <w:r>
        <w:rPr>
          <w:rFonts w:ascii="Palatino Linotype" w:eastAsia="Palatino Linotype" w:hAnsi="Palatino Linotype" w:cs="Palatino Linotype"/>
          <w:i/>
          <w:sz w:val="22"/>
          <w:szCs w:val="22"/>
        </w:rPr>
        <w:t>ración Pública Federal con autonomía operativa, presupuestaria y de decisión, encargado de promover y difundir el ejercicio del derecho de acceso a la información; resolver sobre la negativa de las solicitudes de acceso a la información; y proteger los dat</w:t>
      </w:r>
      <w:r>
        <w:rPr>
          <w:rFonts w:ascii="Palatino Linotype" w:eastAsia="Palatino Linotype" w:hAnsi="Palatino Linotype" w:cs="Palatino Linotype"/>
          <w:i/>
          <w:sz w:val="22"/>
          <w:szCs w:val="22"/>
        </w:rPr>
        <w:t>os personales en poder de las dependencias y entidades. Sin embargo, no está facultado para pronunciarse sobre la veracidad de la información proporcionada por las autoridades en respuesta a las solicitudes de información que les presentan los particulares</w:t>
      </w:r>
      <w:r>
        <w:rPr>
          <w:rFonts w:ascii="Palatino Linotype" w:eastAsia="Palatino Linotype" w:hAnsi="Palatino Linotype" w:cs="Palatino Linotype"/>
          <w:i/>
          <w:sz w:val="22"/>
          <w:szCs w:val="22"/>
        </w:rPr>
        <w:t>, en virtud de que en los artículos 49 y 50 de la Ley Federal de Transparencia y Acceso a la Información Pública Gubernamental no se prevé una causal que permita al Instituto Federal de Acceso a la Información y Protección de Datos conocer, vía recurso rev</w:t>
      </w:r>
      <w:r>
        <w:rPr>
          <w:rFonts w:ascii="Palatino Linotype" w:eastAsia="Palatino Linotype" w:hAnsi="Palatino Linotype" w:cs="Palatino Linotype"/>
          <w:i/>
          <w:sz w:val="22"/>
          <w:szCs w:val="22"/>
        </w:rPr>
        <w:t>isión, al respecto.”</w:t>
      </w:r>
    </w:p>
    <w:p w:rsidR="0028588D" w:rsidRDefault="0028588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8588D" w:rsidRDefault="00F34B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este Órgano Resolutor en aras de tutelar el derecho de acceso a la información de los particulares, tiene la obligación de apegarse en todo momento a </w:t>
      </w:r>
      <w:r>
        <w:rPr>
          <w:rFonts w:ascii="Palatino Linotype" w:eastAsia="Palatino Linotype" w:hAnsi="Palatino Linotype" w:cs="Palatino Linotype"/>
          <w:color w:val="000000"/>
        </w:rPr>
        <w:lastRenderedPageBreak/>
        <w:t>lo que dispone la Ley de Transparencia y Acceso a la Información Púb</w:t>
      </w:r>
      <w:r>
        <w:rPr>
          <w:rFonts w:ascii="Palatino Linotype" w:eastAsia="Palatino Linotype" w:hAnsi="Palatino Linotype" w:cs="Palatino Linotype"/>
          <w:color w:val="000000"/>
        </w:rPr>
        <w:t>lica del Estado de México y Municipios garantizando los principios de imparcialidad y legalidad en el procedimiento de impugnación y resolución del recurso planteado.</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de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sobre que no se l</w:t>
      </w:r>
      <w:r>
        <w:rPr>
          <w:rFonts w:ascii="Palatino Linotype" w:eastAsia="Palatino Linotype" w:hAnsi="Palatino Linotype" w:cs="Palatino Linotype"/>
        </w:rPr>
        <w:t>e entregaron los oficios de las áreas que atendieron la solicitud, cabe señalar que de la confronta a la solicitud de información y el acto impugnado y las razones o motivos de inconformidad, dichos documentos no fueron solicitados, como se desprende del a</w:t>
      </w:r>
      <w:r>
        <w:rPr>
          <w:rFonts w:ascii="Palatino Linotype" w:eastAsia="Palatino Linotype" w:hAnsi="Palatino Linotype" w:cs="Palatino Linotype"/>
        </w:rPr>
        <w:t xml:space="preserve">ntecedente marcado con el numeral 1 de la presente resolución, por lo que constituyen en su totalidad nuevos requerimientos de información, configurándose así lo que se conoce como </w:t>
      </w:r>
      <w:r>
        <w:rPr>
          <w:rFonts w:ascii="Palatino Linotype" w:eastAsia="Palatino Linotype" w:hAnsi="Palatino Linotype" w:cs="Palatino Linotype"/>
          <w:i/>
        </w:rPr>
        <w:t>plus petitio</w:t>
      </w:r>
      <w:r>
        <w:rPr>
          <w:rFonts w:ascii="Palatino Linotype" w:eastAsia="Palatino Linotype" w:hAnsi="Palatino Linotype" w:cs="Palatino Linotype"/>
          <w:b/>
          <w:i/>
        </w:rPr>
        <w:t xml:space="preserve">, </w:t>
      </w:r>
      <w:r>
        <w:rPr>
          <w:rFonts w:ascii="Palatino Linotype" w:eastAsia="Palatino Linotype" w:hAnsi="Palatino Linotype" w:cs="Palatino Linotype"/>
        </w:rPr>
        <w:t>que consiste en una ampliación a su requerimiento informativo</w:t>
      </w:r>
      <w:r>
        <w:rPr>
          <w:rFonts w:ascii="Palatino Linotype" w:eastAsia="Palatino Linotype" w:hAnsi="Palatino Linotype" w:cs="Palatino Linotype"/>
        </w:rPr>
        <w:t xml:space="preserve">, argumentos que no son susceptibles de ser valorados en términos de la fracción VII del Artículo 191 de la Ley de Transparencia y Acceso a la Información Pública del Estado de México y Municipios, el cual señala la improcedencia cuando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amplí</w:t>
      </w:r>
      <w:r>
        <w:rPr>
          <w:rFonts w:ascii="Palatino Linotype" w:eastAsia="Palatino Linotype" w:hAnsi="Palatino Linotype" w:cs="Palatino Linotype"/>
        </w:rPr>
        <w:t xml:space="preserve">e su solicitud en el Recurso de Revisión, </w:t>
      </w:r>
      <w:r>
        <w:rPr>
          <w:rFonts w:ascii="Palatino Linotype" w:eastAsia="Palatino Linotype" w:hAnsi="Palatino Linotype" w:cs="Palatino Linotype"/>
          <w:b/>
          <w:u w:val="single"/>
        </w:rPr>
        <w:t xml:space="preserve">únicamente respecto de los nuevos contenidos; </w:t>
      </w:r>
      <w:r>
        <w:rPr>
          <w:rFonts w:ascii="Palatino Linotype" w:eastAsia="Palatino Linotype" w:hAnsi="Palatino Linotype" w:cs="Palatino Linotype"/>
        </w:rPr>
        <w:t xml:space="preserve">cuestión que tuvo lugar en el presente caso, pues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nuevos cuestionamientos, en los que solicitó información que no formó parte de su solicitu</w:t>
      </w:r>
      <w:r>
        <w:rPr>
          <w:rFonts w:ascii="Palatino Linotype" w:eastAsia="Palatino Linotype" w:hAnsi="Palatino Linotype" w:cs="Palatino Linotype"/>
        </w:rPr>
        <w:t>d inicial y por lo tanto son inatendibles a través del recurso de revisión.</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tenor, es posible determinar que para el caso que nos ocupa, la totalidad de los argumentos formulados como motivos o razones de inconformidad son una ampliación a la solic</w:t>
      </w:r>
      <w:r>
        <w:rPr>
          <w:rFonts w:ascii="Palatino Linotype" w:eastAsia="Palatino Linotype" w:hAnsi="Palatino Linotype" w:cs="Palatino Linotype"/>
        </w:rPr>
        <w:t>itud inicial y corresponden a nuevos requerimientos de información, que no se encuentran relacionados con lo solicitado en un primer momento; por lo que se actualiza el supuesto de improcedencia previsto en el artículo 191 fracción VII de la Ley de Transpa</w:t>
      </w:r>
      <w:r>
        <w:rPr>
          <w:rFonts w:ascii="Palatino Linotype" w:eastAsia="Palatino Linotype" w:hAnsi="Palatino Linotype" w:cs="Palatino Linotype"/>
        </w:rPr>
        <w:t xml:space="preserve">rencia y Acceso a la Información </w:t>
      </w:r>
      <w:r>
        <w:rPr>
          <w:rFonts w:ascii="Palatino Linotype" w:eastAsia="Palatino Linotype" w:hAnsi="Palatino Linotype" w:cs="Palatino Linotype"/>
        </w:rPr>
        <w:lastRenderedPageBreak/>
        <w:t>Pública del Estado de México y Municipios; que prevé que son improcedentes los Recursos de Revisión en los que se plantean ampliaciones a las solicitudes iniciales.</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una vez formulada su solicitud ini</w:t>
      </w:r>
      <w:r>
        <w:rPr>
          <w:rFonts w:ascii="Palatino Linotype" w:eastAsia="Palatino Linotype" w:hAnsi="Palatino Linotype" w:cs="Palatino Linotype"/>
        </w:rPr>
        <w:t>cial,</w:t>
      </w:r>
      <w:r>
        <w:rPr>
          <w:rFonts w:ascii="Palatino Linotype" w:eastAsia="Palatino Linotype" w:hAnsi="Palatino Linotype" w:cs="Palatino Linotype"/>
          <w:i/>
        </w:rPr>
        <w:t xml:space="preserve"> </w:t>
      </w:r>
      <w:r>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w:t>
      </w:r>
      <w:r>
        <w:rPr>
          <w:rFonts w:ascii="Palatino Linotype" w:eastAsia="Palatino Linotype" w:hAnsi="Palatino Linotype" w:cs="Palatino Linotype"/>
        </w:rPr>
        <w:t>ntos inicialmente solicitados y en su caso a los aclarados o corregidos.</w:t>
      </w:r>
    </w:p>
    <w:p w:rsidR="0028588D" w:rsidRDefault="00F34B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Robustece lo anterior lo plasmado en el criterio orientador número 01/17 emitido por el Instituto Nacional de Transparencia, Acceso a la Información y Protección de Datos Personales, </w:t>
      </w:r>
      <w:r>
        <w:rPr>
          <w:rFonts w:ascii="Palatino Linotype" w:eastAsia="Palatino Linotype" w:hAnsi="Palatino Linotype" w:cs="Palatino Linotype"/>
          <w:color w:val="000000"/>
        </w:rPr>
        <w:t>INAI, que lleva por rubro y texto lo que a continuación se transcribe:</w:t>
      </w:r>
    </w:p>
    <w:p w:rsidR="0028588D" w:rsidRDefault="00F34B6E">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w:t>
      </w:r>
      <w:r>
        <w:rPr>
          <w:rFonts w:ascii="Palatino Linotype" w:eastAsia="Palatino Linotype" w:hAnsi="Palatino Linotype" w:cs="Palatino Linotype"/>
          <w:i/>
          <w:sz w:val="22"/>
          <w:szCs w:val="22"/>
        </w:rPr>
        <w:t>e su recurso de revisión, amplíen los alcances de la solicitud de información inicial, los nuevos contenidos no podrán constituir materia del procedimiento a sustanciarse por el Instituto Nacional de Transparencia, Acceso a la Información y Protección de D</w:t>
      </w:r>
      <w:r>
        <w:rPr>
          <w:rFonts w:ascii="Palatino Linotype" w:eastAsia="Palatino Linotype" w:hAnsi="Palatino Linotype" w:cs="Palatino Linotype"/>
          <w:i/>
          <w:sz w:val="22"/>
          <w:szCs w:val="22"/>
        </w:rPr>
        <w:t>atos Personales; actualizándose la hipótesis de improcedencia respectiva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”(Sic)</w:t>
      </w:r>
    </w:p>
    <w:p w:rsidR="0028588D" w:rsidRDefault="00F34B6E">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rPr>
        <w:t xml:space="preserve">De conformidad con todo lo anterior, y una vez analizada las constancias que integran el expediente en que se actúa, el motivo inconformidad vertidos en relación a la respuesta, devienen infundados, por lo que lo </w:t>
      </w:r>
      <w:r>
        <w:rPr>
          <w:rFonts w:ascii="Palatino Linotype" w:eastAsia="Palatino Linotype" w:hAnsi="Palatino Linotype" w:cs="Palatino Linotype"/>
          <w:b/>
        </w:rPr>
        <w:t>PROCEDENTE</w:t>
      </w:r>
      <w:r>
        <w:rPr>
          <w:rFonts w:ascii="Palatino Linotype" w:eastAsia="Palatino Linotype" w:hAnsi="Palatino Linotype" w:cs="Palatino Linotype"/>
        </w:rPr>
        <w:t xml:space="preserve"> será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p>
    <w:p w:rsidR="0028588D" w:rsidRDefault="00F34B6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con fundamento en lo prescrito en los artículos 5 párrafos trigésimo, trigésimo primero y trigésimo segundo de la Constitución Política del Estado Libre y Soberano de México; 2, fracción II; 29, 36 fracciones I y II; 176, 178, 181, 18</w:t>
      </w:r>
      <w:r>
        <w:rPr>
          <w:rFonts w:ascii="Palatino Linotype" w:eastAsia="Palatino Linotype" w:hAnsi="Palatino Linotype" w:cs="Palatino Linotype"/>
          <w:color w:val="000000"/>
        </w:rPr>
        <w:t>5 y 186 fracción II de la Ley de Transparencia y Acceso a la Información Pública del Estado de México y Municipios, este Pleno:</w:t>
      </w:r>
    </w:p>
    <w:p w:rsidR="0028588D" w:rsidRDefault="00F34B6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28588D" w:rsidRDefault="00F34B6E">
      <w:pPr>
        <w:pBdr>
          <w:top w:val="nil"/>
          <w:left w:val="nil"/>
          <w:bottom w:val="nil"/>
          <w:right w:val="nil"/>
          <w:between w:val="nil"/>
        </w:pBdr>
        <w:spacing w:after="120" w:line="405" w:lineRule="auto"/>
        <w:jc w:val="both"/>
        <w:rPr>
          <w:rFonts w:ascii="Palatino Linotype" w:eastAsia="Palatino Linotype" w:hAnsi="Palatino Linotype" w:cs="Palatino Linotype"/>
          <w:color w:val="000000"/>
        </w:rPr>
      </w:pPr>
      <w:bookmarkStart w:id="6" w:name="_heading=h.3dy6vkm" w:colFirst="0" w:colLast="0"/>
      <w:bookmarkEnd w:id="6"/>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Resulta infundado el motivo de inconformidad aducido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el recurso de revisión </w:t>
      </w:r>
      <w:r>
        <w:rPr>
          <w:rFonts w:ascii="Palatino Linotype" w:eastAsia="Palatino Linotype" w:hAnsi="Palatino Linotype" w:cs="Palatino Linotype"/>
          <w:b/>
          <w:color w:val="000000"/>
        </w:rPr>
        <w:t>01049/INFOEM/IP/RR/2022</w:t>
      </w:r>
      <w:r>
        <w:rPr>
          <w:rFonts w:ascii="Palatino Linotype" w:eastAsia="Palatino Linotype" w:hAnsi="Palatino Linotype" w:cs="Palatino Linotype"/>
          <w:color w:val="000000"/>
        </w:rPr>
        <w:t xml:space="preserve">; por lo que, en términos de los argumentos señalados en el Considerando Cuarto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su conocimiento. </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w:t>
      </w:r>
      <w:r>
        <w:rPr>
          <w:rFonts w:ascii="Palatino Linotype" w:eastAsia="Palatino Linotype" w:hAnsi="Palatino Linotype" w:cs="Palatino Linotype"/>
        </w:rPr>
        <w:t>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y hágase del conocimiento que en caso de que considere que la presen</w:t>
      </w:r>
      <w:r>
        <w:rPr>
          <w:rFonts w:ascii="Palatino Linotype" w:eastAsia="Palatino Linotype" w:hAnsi="Palatino Linotype" w:cs="Palatino Linotype"/>
        </w:rPr>
        <w:t>te resolución le causa algún perjuicio, podrá promover el Juicio de Amparo en los términos de las leyes aplicables, de acuerdo a lo estipulado por el artículo 196 de la Ley de Transparencia y Acceso a la Información Pública del Estado de México y Municipio</w:t>
      </w:r>
      <w:r>
        <w:rPr>
          <w:rFonts w:ascii="Palatino Linotype" w:eastAsia="Palatino Linotype" w:hAnsi="Palatino Linotype" w:cs="Palatino Linotype"/>
        </w:rPr>
        <w:t>s.</w:t>
      </w:r>
    </w:p>
    <w:p w:rsidR="0028588D" w:rsidRDefault="00F34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w:t>
      </w:r>
      <w:r>
        <w:rPr>
          <w:rFonts w:ascii="Palatino Linotype" w:eastAsia="Palatino Linotype" w:hAnsi="Palatino Linotype" w:cs="Palatino Linotype"/>
        </w:rPr>
        <w:t xml:space="preserve">IO MEJÍA AYALA, SHARON CRISTINA </w:t>
      </w:r>
      <w:r>
        <w:rPr>
          <w:rFonts w:ascii="Palatino Linotype" w:eastAsia="Palatino Linotype" w:hAnsi="Palatino Linotype" w:cs="Palatino Linotype"/>
        </w:rPr>
        <w:lastRenderedPageBreak/>
        <w:t>MORALES MARTÍNEZ, LUIS GUSTAVO PARRA NORIEGA Y GUADALUPE RAMÍREZ PEÑA; EN LA DÉCIMA TERCERA SESIÓN ORDINARIA CELEBRADA EL SIETE DE ABRIL DE DOS MIL VEINTIDÓS, ANTE EL SECRETARIO TÉCNICO DEL PLENO ALEXIS TAPIA RAMÍREZ.</w:t>
      </w: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sectPr w:rsidR="0028588D">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p w:rsidR="0028588D" w:rsidRDefault="0028588D">
      <w:pPr>
        <w:spacing w:line="360" w:lineRule="auto"/>
        <w:jc w:val="both"/>
        <w:rPr>
          <w:rFonts w:ascii="Palatino Linotype" w:eastAsia="Palatino Linotype" w:hAnsi="Palatino Linotype" w:cs="Palatino Linotype"/>
        </w:rPr>
      </w:pPr>
    </w:p>
    <w:sectPr w:rsidR="0028588D">
      <w:head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34B6E">
      <w:r>
        <w:separator/>
      </w:r>
    </w:p>
  </w:endnote>
  <w:endnote w:type="continuationSeparator" w:id="0">
    <w:p w:rsidR="00000000" w:rsidRDefault="00F3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8D" w:rsidRDefault="00F34B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rsidR="0028588D" w:rsidRDefault="0028588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8D" w:rsidRDefault="00F34B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b/>
        <w:color w:val="000000"/>
        <w:sz w:val="20"/>
        <w:szCs w:val="20"/>
      </w:rPr>
      <w:t>9</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rsidR="0028588D" w:rsidRDefault="0028588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34B6E">
      <w:r>
        <w:separator/>
      </w:r>
    </w:p>
  </w:footnote>
  <w:footnote w:type="continuationSeparator" w:id="0">
    <w:p w:rsidR="00000000" w:rsidRDefault="00F34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8D" w:rsidRDefault="00F34B6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-488312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28588D">
      <w:tc>
        <w:tcPr>
          <w:tcW w:w="2489" w:type="dxa"/>
          <w:shd w:val="clear" w:color="auto" w:fill="auto"/>
        </w:tcPr>
        <w:p w:rsidR="0028588D" w:rsidRDefault="00F34B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28588D" w:rsidRDefault="00F34B6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01049/INFOEM/IP/RR/2022</w:t>
          </w:r>
        </w:p>
      </w:tc>
    </w:tr>
    <w:tr w:rsidR="0028588D">
      <w:trPr>
        <w:trHeight w:val="228"/>
      </w:trPr>
      <w:tc>
        <w:tcPr>
          <w:tcW w:w="2489" w:type="dxa"/>
          <w:shd w:val="clear" w:color="auto" w:fill="auto"/>
          <w:vAlign w:val="center"/>
        </w:tcPr>
        <w:p w:rsidR="0028588D" w:rsidRDefault="00F34B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28588D" w:rsidRDefault="00F34B6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28588D">
      <w:tc>
        <w:tcPr>
          <w:tcW w:w="2489" w:type="dxa"/>
          <w:shd w:val="clear" w:color="auto" w:fill="auto"/>
          <w:vAlign w:val="center"/>
        </w:tcPr>
        <w:p w:rsidR="0028588D" w:rsidRDefault="00F34B6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28588D" w:rsidRDefault="00F34B6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8588D" w:rsidRDefault="00F34B6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8D" w:rsidRDefault="0028588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28588D">
      <w:tc>
        <w:tcPr>
          <w:tcW w:w="2551" w:type="dxa"/>
          <w:shd w:val="clear" w:color="auto" w:fill="auto"/>
          <w:vAlign w:val="center"/>
        </w:tcPr>
        <w:p w:rsidR="0028588D" w:rsidRDefault="00F34B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28588D" w:rsidRDefault="00F34B6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01049/INFOEM/IP/RR/2022</w:t>
          </w:r>
        </w:p>
      </w:tc>
    </w:tr>
    <w:tr w:rsidR="0028588D">
      <w:trPr>
        <w:trHeight w:val="130"/>
      </w:trPr>
      <w:tc>
        <w:tcPr>
          <w:tcW w:w="2551" w:type="dxa"/>
          <w:shd w:val="clear" w:color="auto" w:fill="auto"/>
          <w:vAlign w:val="center"/>
        </w:tcPr>
        <w:p w:rsidR="0028588D" w:rsidRDefault="00F34B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28588D" w:rsidRDefault="00F34B6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p>
      </w:tc>
    </w:tr>
    <w:tr w:rsidR="0028588D">
      <w:trPr>
        <w:trHeight w:val="228"/>
      </w:trPr>
      <w:tc>
        <w:tcPr>
          <w:tcW w:w="2551" w:type="dxa"/>
          <w:shd w:val="clear" w:color="auto" w:fill="auto"/>
          <w:vAlign w:val="center"/>
        </w:tcPr>
        <w:p w:rsidR="0028588D" w:rsidRDefault="00F34B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28588D" w:rsidRDefault="00F34B6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28588D">
      <w:tc>
        <w:tcPr>
          <w:tcW w:w="2551" w:type="dxa"/>
          <w:shd w:val="clear" w:color="auto" w:fill="auto"/>
          <w:vAlign w:val="center"/>
        </w:tcPr>
        <w:p w:rsidR="0028588D" w:rsidRDefault="00F34B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28588D" w:rsidRDefault="00F34B6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8588D" w:rsidRDefault="00F34B6E">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-1089657</wp:posOffset>
          </wp:positionH>
          <wp:positionV relativeFrom="paragraph">
            <wp:posOffset>-1169667</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8D" w:rsidRDefault="0028588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28588D" w:rsidRDefault="0028588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C40C1"/>
    <w:multiLevelType w:val="multilevel"/>
    <w:tmpl w:val="DBC8376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1F03AB8"/>
    <w:multiLevelType w:val="multilevel"/>
    <w:tmpl w:val="A566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8D"/>
    <w:rsid w:val="0028588D"/>
    <w:rsid w:val="00F34B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2434A-9719-4135-9897-3F640410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24330.page"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24330.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F7Q8rYW4Fg5aJVws4WANy3gKLA==">AMUW2mW+wTnX+9brKzuNnC8iPYzKB/GMDiAzAMw0aVzTJvvc1IheBNDd8YPufeK9Li0edgrQWitjoqGMCWCcBzfiWdIvdubsWxN1G4xGmdjh6gxgQdq3K4HH6ERX4nd18N5NSEWBmANkxw9cqTGdfA6+rKswCmTdF8hgemvlOzZvnGk7IFi60jDn4xLwRPfsqsRnZQaTXphh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4760</Words>
  <Characters>26181</Characters>
  <Application>Microsoft Office Word</Application>
  <DocSecurity>0</DocSecurity>
  <Lines>218</Lines>
  <Paragraphs>61</Paragraphs>
  <ScaleCrop>false</ScaleCrop>
  <Company>HP Inc.</Company>
  <LinksUpToDate>false</LinksUpToDate>
  <CharactersWithSpaces>30880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Jhancarlo</cp:lastModifiedBy>
  <cp:revision>2</cp:revision>
  <dcterms:created xsi:type="dcterms:W3CDTF">2022-03-31T22:26:00Z</dcterms:created>
  <dcterms:modified xsi:type="dcterms:W3CDTF">2022-05-04T22:24:00Z</dcterms:modified>
</cp:coreProperties>
</file>