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0D9D" w14:textId="226252D2" w:rsidR="00346F8F" w:rsidRPr="006F4471" w:rsidRDefault="00346F8F" w:rsidP="00893559">
      <w:pPr>
        <w:spacing w:after="0" w:line="360" w:lineRule="auto"/>
        <w:rPr>
          <w:rFonts w:eastAsia="Times New Roman" w:cs="Tahoma"/>
          <w:bCs/>
          <w:lang w:eastAsia="es-ES"/>
        </w:rPr>
      </w:pPr>
      <w:r w:rsidRPr="006F4471">
        <w:rPr>
          <w:rFonts w:eastAsia="Calibri" w:cs="Tahoma"/>
          <w:bCs/>
        </w:rPr>
        <w:t xml:space="preserve">Resolución del Pleno del Instituto de Transparencia, Acceso a la Información Pública y </w:t>
      </w:r>
      <w:r w:rsidRPr="006F4471">
        <w:rPr>
          <w:rFonts w:eastAsia="Times New Roman" w:cs="Tahoma"/>
          <w:bCs/>
          <w:lang w:eastAsia="es-ES"/>
        </w:rPr>
        <w:t xml:space="preserve">Protección de Datos Personales del Estado de México y Municipios, con domicilio en Metepec, Estado de México, de fecha </w:t>
      </w:r>
      <w:r w:rsidR="00B6115B">
        <w:rPr>
          <w:rFonts w:eastAsia="Times New Roman" w:cs="Tahoma"/>
          <w:bCs/>
          <w:lang w:eastAsia="es-ES"/>
        </w:rPr>
        <w:t>treinta</w:t>
      </w:r>
      <w:r w:rsidR="0040241C" w:rsidRPr="006F4471">
        <w:rPr>
          <w:rFonts w:eastAsia="Times New Roman" w:cs="Tahoma"/>
          <w:bCs/>
          <w:lang w:eastAsia="es-ES"/>
        </w:rPr>
        <w:t xml:space="preserve"> </w:t>
      </w:r>
      <w:r w:rsidR="00C4052B">
        <w:rPr>
          <w:rFonts w:eastAsia="Times New Roman" w:cs="Tahoma"/>
          <w:bCs/>
          <w:lang w:eastAsia="es-ES"/>
        </w:rPr>
        <w:t xml:space="preserve">de </w:t>
      </w:r>
      <w:r w:rsidR="0040241C" w:rsidRPr="006F4471">
        <w:rPr>
          <w:rFonts w:eastAsia="Times New Roman" w:cs="Tahoma"/>
          <w:bCs/>
          <w:lang w:eastAsia="es-ES"/>
        </w:rPr>
        <w:t>marzo</w:t>
      </w:r>
      <w:r w:rsidRPr="006F4471">
        <w:rPr>
          <w:rFonts w:eastAsia="Times New Roman" w:cs="Tahoma"/>
          <w:bCs/>
          <w:lang w:eastAsia="es-ES"/>
        </w:rPr>
        <w:t xml:space="preserve"> de dos mil veintidós. </w:t>
      </w:r>
    </w:p>
    <w:p w14:paraId="3AE915C1" w14:textId="77777777" w:rsidR="00346F8F" w:rsidRPr="006F4471" w:rsidRDefault="00346F8F" w:rsidP="00893559">
      <w:pPr>
        <w:spacing w:after="0" w:line="360" w:lineRule="auto"/>
      </w:pPr>
    </w:p>
    <w:p w14:paraId="1AF45F2A" w14:textId="130DB077" w:rsidR="00346F8F" w:rsidRPr="006F4471" w:rsidRDefault="6CDE1F1C" w:rsidP="00893559">
      <w:pPr>
        <w:spacing w:after="0" w:line="360" w:lineRule="auto"/>
      </w:pPr>
      <w:r w:rsidRPr="6CDE1F1C">
        <w:rPr>
          <w:rFonts w:eastAsia="Times New Roman" w:cs="Tahoma"/>
          <w:b/>
          <w:bCs/>
          <w:lang w:eastAsia="es-ES"/>
        </w:rPr>
        <w:t xml:space="preserve">VISTO </w:t>
      </w:r>
      <w:r w:rsidRPr="6CDE1F1C">
        <w:rPr>
          <w:rFonts w:eastAsia="Times New Roman" w:cs="Tahoma"/>
          <w:lang w:eastAsia="es-ES"/>
        </w:rPr>
        <w:t>el expediente conformado con motivo del Recurso de Revisión 00181/INFOEM/IP/RR/2022, interpuesto por</w:t>
      </w:r>
      <w:r w:rsidRPr="6CDE1F1C">
        <w:rPr>
          <w:rFonts w:eastAsia="Calibri" w:cs="Tahoma"/>
        </w:rPr>
        <w:t xml:space="preserve"> </w:t>
      </w:r>
      <w:r w:rsidRPr="6CDE1F1C">
        <w:rPr>
          <w:rFonts w:eastAsia="Calibri" w:cs="Tahoma"/>
          <w:highlight w:val="black"/>
        </w:rPr>
        <w:t>XXXXXXXXXXXXX</w:t>
      </w:r>
      <w:r w:rsidRPr="6CDE1F1C">
        <w:rPr>
          <w:rFonts w:eastAsia="Times New Roman" w:cs="Tahoma"/>
          <w:lang w:eastAsia="es-ES"/>
        </w:rPr>
        <w:t xml:space="preserve">, en lo sucesivo el Recurrente o Particular, </w:t>
      </w:r>
      <w:r>
        <w:t>en contra de la respuesta del Sujeto Obligado, Universidad Politécnica del Valle de Toluca, a la solicitud de acceso a la información pública 00263/UPVT/IP/2021</w:t>
      </w:r>
      <w:r w:rsidRPr="6CDE1F1C">
        <w:rPr>
          <w:rFonts w:eastAsia="Times New Roman" w:cs="Tahoma"/>
          <w:lang w:eastAsia="es-ES"/>
        </w:rPr>
        <w:t>, se emite la presente Resolución, con base en los Antecedentes y Considerandos que se exponen a continuación:</w:t>
      </w:r>
    </w:p>
    <w:p w14:paraId="2BF37DC4" w14:textId="77777777" w:rsidR="00346F8F" w:rsidRPr="006F4471" w:rsidRDefault="00346F8F" w:rsidP="00893559">
      <w:pPr>
        <w:spacing w:after="0" w:line="360" w:lineRule="auto"/>
        <w:rPr>
          <w:rFonts w:eastAsia="Times New Roman" w:cs="Tahoma"/>
          <w:lang w:eastAsia="es-ES"/>
        </w:rPr>
      </w:pPr>
    </w:p>
    <w:p w14:paraId="372C81D3" w14:textId="77777777" w:rsidR="00346F8F" w:rsidRPr="006F4471" w:rsidRDefault="00346F8F" w:rsidP="00893559">
      <w:pPr>
        <w:tabs>
          <w:tab w:val="center" w:pos="4522"/>
          <w:tab w:val="left" w:pos="7245"/>
        </w:tabs>
        <w:spacing w:after="0" w:line="360" w:lineRule="auto"/>
        <w:jc w:val="center"/>
        <w:rPr>
          <w:rFonts w:eastAsia="Times New Roman" w:cs="Tahoma"/>
          <w:b/>
          <w:lang w:eastAsia="es-ES"/>
        </w:rPr>
      </w:pPr>
      <w:r w:rsidRPr="006F4471">
        <w:rPr>
          <w:rFonts w:eastAsia="Times New Roman" w:cs="Tahoma"/>
          <w:b/>
          <w:lang w:eastAsia="es-ES"/>
        </w:rPr>
        <w:t>A N T E C E D E N T E S:</w:t>
      </w:r>
    </w:p>
    <w:p w14:paraId="417D4947" w14:textId="11B29ADE" w:rsidR="00346F8F" w:rsidRPr="006F4471" w:rsidRDefault="00346F8F" w:rsidP="00893559">
      <w:pPr>
        <w:spacing w:after="0" w:line="360" w:lineRule="auto"/>
      </w:pPr>
    </w:p>
    <w:p w14:paraId="7AC82701" w14:textId="77777777" w:rsidR="00700129" w:rsidRPr="006F4471" w:rsidRDefault="00700129" w:rsidP="00893559">
      <w:pPr>
        <w:spacing w:after="0" w:line="360" w:lineRule="auto"/>
        <w:rPr>
          <w:b/>
        </w:rPr>
      </w:pPr>
      <w:r w:rsidRPr="006F4471">
        <w:rPr>
          <w:b/>
        </w:rPr>
        <w:t xml:space="preserve">I. Presentación de las solicitudes de información. </w:t>
      </w:r>
    </w:p>
    <w:p w14:paraId="6B8D46D9" w14:textId="77777777" w:rsidR="00700129" w:rsidRPr="006F4471" w:rsidRDefault="00700129" w:rsidP="00893559">
      <w:pPr>
        <w:spacing w:after="0" w:line="360" w:lineRule="auto"/>
      </w:pPr>
    </w:p>
    <w:p w14:paraId="25E3EBD8" w14:textId="6E1708AD" w:rsidR="00700129" w:rsidRPr="006F4471" w:rsidRDefault="00700129" w:rsidP="00893559">
      <w:pPr>
        <w:spacing w:after="0" w:line="360" w:lineRule="auto"/>
        <w:rPr>
          <w:bCs/>
        </w:rPr>
      </w:pPr>
      <w:r w:rsidRPr="006F4471">
        <w:t xml:space="preserve">Con fecha </w:t>
      </w:r>
      <w:r w:rsidR="007A717B">
        <w:t>veinticinco</w:t>
      </w:r>
      <w:r w:rsidRPr="006F4471">
        <w:t xml:space="preserve"> de noviembre de dos mil veint</w:t>
      </w:r>
      <w:r w:rsidR="007A717B">
        <w:t>iuno</w:t>
      </w:r>
      <w:r w:rsidRPr="006F4471">
        <w:t xml:space="preserve">, </w:t>
      </w:r>
      <w:r w:rsidR="007A717B">
        <w:t>la</w:t>
      </w:r>
      <w:r w:rsidRPr="006F4471">
        <w:t xml:space="preserve"> Particular presentó una solicitud de acceso a la información pública, a través del Sistema de Acceso a la Información Mexiquense </w:t>
      </w:r>
      <w:r w:rsidRPr="006F4471">
        <w:rPr>
          <w:lang w:val="es-ES"/>
        </w:rPr>
        <w:t xml:space="preserve">(SAIMEX), </w:t>
      </w:r>
      <w:r w:rsidRPr="006F4471">
        <w:rPr>
          <w:bCs/>
        </w:rPr>
        <w:t>en los términos siguientes:</w:t>
      </w:r>
    </w:p>
    <w:p w14:paraId="33DB7E6F" w14:textId="77777777" w:rsidR="00700129" w:rsidRPr="006F4471" w:rsidRDefault="00700129" w:rsidP="00893559">
      <w:pPr>
        <w:spacing w:after="0" w:line="360" w:lineRule="auto"/>
      </w:pPr>
    </w:p>
    <w:p w14:paraId="068E2E50" w14:textId="77777777" w:rsidR="00700129" w:rsidRPr="006F4471" w:rsidRDefault="00700129" w:rsidP="00893559">
      <w:pPr>
        <w:spacing w:after="0" w:line="360" w:lineRule="auto"/>
        <w:ind w:left="567" w:right="567"/>
        <w:rPr>
          <w:b/>
          <w:bCs/>
          <w:i/>
          <w:iCs/>
          <w:sz w:val="20"/>
          <w:szCs w:val="20"/>
        </w:rPr>
      </w:pPr>
      <w:r w:rsidRPr="006F4471">
        <w:rPr>
          <w:b/>
          <w:bCs/>
          <w:i/>
          <w:iCs/>
          <w:sz w:val="20"/>
          <w:szCs w:val="20"/>
        </w:rPr>
        <w:t>“DESCRIPCIÓN CLARA Y PRECISA DE LA INFORMACIÓN SOLICITADA</w:t>
      </w:r>
    </w:p>
    <w:p w14:paraId="17935934" w14:textId="1004F71F" w:rsidR="00700129" w:rsidRPr="006F4471" w:rsidRDefault="007A717B" w:rsidP="00893559">
      <w:pPr>
        <w:spacing w:after="0" w:line="360" w:lineRule="auto"/>
        <w:ind w:left="567" w:right="567"/>
        <w:rPr>
          <w:b/>
          <w:bCs/>
          <w:i/>
          <w:iCs/>
          <w:sz w:val="20"/>
          <w:szCs w:val="20"/>
        </w:rPr>
      </w:pPr>
      <w:r w:rsidRPr="007A717B">
        <w:rPr>
          <w:bCs/>
          <w:i/>
          <w:iCs/>
          <w:sz w:val="20"/>
          <w:szCs w:val="20"/>
        </w:rPr>
        <w:t xml:space="preserve">Solicito copia y recibo de finiquito de Nancy Claudia Aviña </w:t>
      </w:r>
      <w:proofErr w:type="spellStart"/>
      <w:r w:rsidRPr="007A717B">
        <w:rPr>
          <w:bCs/>
          <w:i/>
          <w:iCs/>
          <w:sz w:val="20"/>
          <w:szCs w:val="20"/>
        </w:rPr>
        <w:t>Garcia</w:t>
      </w:r>
      <w:proofErr w:type="spellEnd"/>
      <w:r w:rsidRPr="007A717B">
        <w:rPr>
          <w:bCs/>
          <w:i/>
          <w:iCs/>
          <w:sz w:val="20"/>
          <w:szCs w:val="20"/>
        </w:rPr>
        <w:t xml:space="preserve"> y recibos del periodo de Noviembre 2013 a Septiembre de 2016</w:t>
      </w:r>
      <w:r w:rsidR="00700129" w:rsidRPr="006F4471">
        <w:rPr>
          <w:bCs/>
          <w:i/>
          <w:iCs/>
          <w:sz w:val="20"/>
          <w:szCs w:val="20"/>
        </w:rPr>
        <w:t>” (sic)</w:t>
      </w:r>
      <w:r w:rsidR="00C92480" w:rsidRPr="006F4471">
        <w:rPr>
          <w:bCs/>
          <w:i/>
          <w:iCs/>
          <w:sz w:val="20"/>
          <w:szCs w:val="20"/>
        </w:rPr>
        <w:t xml:space="preserve"> </w:t>
      </w:r>
    </w:p>
    <w:p w14:paraId="0AD1E4D4" w14:textId="77777777" w:rsidR="00700129" w:rsidRPr="006F4471" w:rsidRDefault="00700129" w:rsidP="00893559">
      <w:pPr>
        <w:spacing w:after="0" w:line="360" w:lineRule="auto"/>
        <w:ind w:left="567" w:right="567"/>
        <w:rPr>
          <w:b/>
          <w:bCs/>
          <w:sz w:val="20"/>
          <w:szCs w:val="20"/>
        </w:rPr>
      </w:pPr>
    </w:p>
    <w:p w14:paraId="314450B0" w14:textId="77777777" w:rsidR="00700129" w:rsidRPr="006F4471" w:rsidRDefault="00700129" w:rsidP="00893559">
      <w:pPr>
        <w:spacing w:after="0" w:line="360" w:lineRule="auto"/>
        <w:ind w:left="567" w:right="567"/>
        <w:rPr>
          <w:bCs/>
          <w:i/>
          <w:iCs/>
          <w:sz w:val="20"/>
          <w:szCs w:val="20"/>
        </w:rPr>
      </w:pPr>
      <w:r w:rsidRPr="006F4471">
        <w:rPr>
          <w:b/>
          <w:bCs/>
          <w:i/>
          <w:iCs/>
          <w:sz w:val="20"/>
          <w:szCs w:val="20"/>
        </w:rPr>
        <w:t>“MODALIDAD DE ENTREGA</w:t>
      </w:r>
    </w:p>
    <w:p w14:paraId="24D84834" w14:textId="59F76982" w:rsidR="00700129" w:rsidRPr="006F4471" w:rsidRDefault="007A717B" w:rsidP="00893559">
      <w:pPr>
        <w:spacing w:after="0" w:line="360" w:lineRule="auto"/>
        <w:ind w:left="567" w:right="567"/>
        <w:rPr>
          <w:bCs/>
          <w:i/>
          <w:iCs/>
          <w:sz w:val="20"/>
          <w:szCs w:val="20"/>
        </w:rPr>
      </w:pPr>
      <w:r>
        <w:rPr>
          <w:bCs/>
          <w:i/>
          <w:iCs/>
          <w:sz w:val="20"/>
          <w:szCs w:val="20"/>
        </w:rPr>
        <w:t>A través del SAIMEX</w:t>
      </w:r>
    </w:p>
    <w:p w14:paraId="1856CBAF" w14:textId="77777777" w:rsidR="00700129" w:rsidRPr="006F4471" w:rsidRDefault="00700129" w:rsidP="00893559">
      <w:pPr>
        <w:spacing w:after="0" w:line="360" w:lineRule="auto"/>
        <w:rPr>
          <w:bCs/>
          <w:i/>
        </w:rPr>
      </w:pPr>
    </w:p>
    <w:p w14:paraId="54D0B56A" w14:textId="77777777" w:rsidR="00700129" w:rsidRPr="006F4471" w:rsidRDefault="00700129" w:rsidP="00893559">
      <w:pPr>
        <w:spacing w:after="0" w:line="360" w:lineRule="auto"/>
        <w:rPr>
          <w:b/>
        </w:rPr>
      </w:pPr>
      <w:r w:rsidRPr="006F4471">
        <w:rPr>
          <w:b/>
        </w:rPr>
        <w:t>II. Respuesta del Sujeto Obligado.</w:t>
      </w:r>
    </w:p>
    <w:p w14:paraId="1C82E540" w14:textId="218D694E" w:rsidR="007A717B" w:rsidRPr="007A717B" w:rsidRDefault="007A717B" w:rsidP="00893559">
      <w:pPr>
        <w:spacing w:after="0" w:line="360" w:lineRule="auto"/>
        <w:rPr>
          <w:bCs/>
        </w:rPr>
      </w:pPr>
      <w:r w:rsidRPr="007A717B">
        <w:rPr>
          <w:bCs/>
        </w:rPr>
        <w:lastRenderedPageBreak/>
        <w:t xml:space="preserve">El </w:t>
      </w:r>
      <w:r>
        <w:rPr>
          <w:bCs/>
        </w:rPr>
        <w:t>doce</w:t>
      </w:r>
      <w:r w:rsidRPr="007A717B">
        <w:rPr>
          <w:bCs/>
        </w:rPr>
        <w:t xml:space="preserve"> de enero de dos mil veintidós, </w:t>
      </w:r>
      <w:r w:rsidR="00627B5D">
        <w:rPr>
          <w:bCs/>
        </w:rPr>
        <w:t>la</w:t>
      </w:r>
      <w:r w:rsidRPr="007A717B">
        <w:rPr>
          <w:bCs/>
        </w:rPr>
        <w:t xml:space="preserve"> </w:t>
      </w:r>
      <w:r w:rsidR="00627B5D" w:rsidRPr="00627B5D">
        <w:rPr>
          <w:bCs/>
        </w:rPr>
        <w:t xml:space="preserve">Universidad Politécnica del Valle de Toluca </w:t>
      </w:r>
      <w:r w:rsidRPr="007A717B">
        <w:rPr>
          <w:bCs/>
        </w:rPr>
        <w:t>notificó a</w:t>
      </w:r>
      <w:r w:rsidR="00627B5D">
        <w:rPr>
          <w:bCs/>
        </w:rPr>
        <w:t xml:space="preserve"> </w:t>
      </w:r>
      <w:r w:rsidRPr="007A717B">
        <w:rPr>
          <w:bCs/>
        </w:rPr>
        <w:t>l</w:t>
      </w:r>
      <w:r w:rsidR="00627B5D">
        <w:rPr>
          <w:bCs/>
        </w:rPr>
        <w:t>a</w:t>
      </w:r>
      <w:r w:rsidRPr="007A717B">
        <w:rPr>
          <w:bCs/>
        </w:rPr>
        <w:t xml:space="preserve"> Solicitante, mediante el Sistema de Acceso a la Información Mexiquense (SAIMEX), la respuesta a la solicitud de acceso a la información, a través del oficio número </w:t>
      </w:r>
      <w:r w:rsidR="00627B5D">
        <w:rPr>
          <w:bCs/>
        </w:rPr>
        <w:t>210C2801020002L/010/2022</w:t>
      </w:r>
      <w:r w:rsidRPr="007A717B">
        <w:rPr>
          <w:bCs/>
        </w:rPr>
        <w:t xml:space="preserve">, del mismo día de recepción, suscrito por </w:t>
      </w:r>
      <w:r w:rsidR="00627B5D">
        <w:rPr>
          <w:bCs/>
        </w:rPr>
        <w:t>el</w:t>
      </w:r>
      <w:r w:rsidRPr="007A717B">
        <w:rPr>
          <w:bCs/>
        </w:rPr>
        <w:t xml:space="preserve"> </w:t>
      </w:r>
      <w:r w:rsidR="00627B5D">
        <w:rPr>
          <w:bCs/>
        </w:rPr>
        <w:t>Jefe de Departamento de Recursos Humanos y Materiales</w:t>
      </w:r>
      <w:r w:rsidRPr="007A717B">
        <w:rPr>
          <w:bCs/>
        </w:rPr>
        <w:t xml:space="preserve"> y dirigido a</w:t>
      </w:r>
      <w:r w:rsidR="00627B5D">
        <w:rPr>
          <w:bCs/>
        </w:rPr>
        <w:t xml:space="preserve"> </w:t>
      </w:r>
      <w:r w:rsidRPr="007A717B">
        <w:rPr>
          <w:bCs/>
        </w:rPr>
        <w:t>l</w:t>
      </w:r>
      <w:r w:rsidR="00627B5D">
        <w:rPr>
          <w:bCs/>
        </w:rPr>
        <w:t>a</w:t>
      </w:r>
      <w:r w:rsidRPr="007A717B">
        <w:rPr>
          <w:bCs/>
        </w:rPr>
        <w:t xml:space="preserve"> </w:t>
      </w:r>
      <w:r w:rsidR="00627B5D">
        <w:rPr>
          <w:bCs/>
        </w:rPr>
        <w:t xml:space="preserve">Jefa de Departamento de Información, Planeación, Programación y Evaluación y Titular de la Unidad de </w:t>
      </w:r>
      <w:r w:rsidR="009F696C">
        <w:rPr>
          <w:bCs/>
        </w:rPr>
        <w:t>Transparencia</w:t>
      </w:r>
      <w:r w:rsidRPr="007A717B">
        <w:rPr>
          <w:bCs/>
        </w:rPr>
        <w:t xml:space="preserve">, por medio del cual manifiesta y expone: </w:t>
      </w:r>
    </w:p>
    <w:p w14:paraId="64A18F81" w14:textId="77777777" w:rsidR="007A717B" w:rsidRPr="007A717B" w:rsidRDefault="007A717B" w:rsidP="00893559">
      <w:pPr>
        <w:spacing w:after="0" w:line="360" w:lineRule="auto"/>
        <w:rPr>
          <w:bCs/>
        </w:rPr>
      </w:pPr>
    </w:p>
    <w:p w14:paraId="250B3E1A" w14:textId="77777777" w:rsidR="007A717B" w:rsidRPr="009F696C" w:rsidRDefault="007A717B" w:rsidP="00893559">
      <w:pPr>
        <w:spacing w:after="0" w:line="360" w:lineRule="auto"/>
        <w:ind w:left="567" w:right="567"/>
        <w:rPr>
          <w:bCs/>
          <w:i/>
          <w:iCs/>
          <w:sz w:val="20"/>
          <w:szCs w:val="20"/>
        </w:rPr>
      </w:pPr>
      <w:r w:rsidRPr="009F696C">
        <w:rPr>
          <w:bCs/>
          <w:i/>
          <w:iCs/>
          <w:sz w:val="20"/>
          <w:szCs w:val="20"/>
        </w:rPr>
        <w:t>“…</w:t>
      </w:r>
    </w:p>
    <w:p w14:paraId="3B5A370C" w14:textId="6A7A4D2A" w:rsidR="007A717B" w:rsidRPr="009F696C" w:rsidRDefault="007A717B" w:rsidP="00893559">
      <w:pPr>
        <w:spacing w:after="0" w:line="360" w:lineRule="auto"/>
        <w:ind w:left="567" w:right="567"/>
        <w:rPr>
          <w:bCs/>
          <w:i/>
          <w:iCs/>
          <w:sz w:val="20"/>
          <w:szCs w:val="20"/>
        </w:rPr>
      </w:pPr>
      <w:r w:rsidRPr="009F696C">
        <w:rPr>
          <w:bCs/>
          <w:i/>
          <w:iCs/>
          <w:sz w:val="20"/>
          <w:szCs w:val="20"/>
        </w:rPr>
        <w:t>A</w:t>
      </w:r>
      <w:r w:rsidR="008A2A82" w:rsidRPr="009F696C">
        <w:rPr>
          <w:bCs/>
          <w:i/>
          <w:iCs/>
          <w:sz w:val="20"/>
          <w:szCs w:val="20"/>
        </w:rPr>
        <w:t xml:space="preserve">simismo, con fundamento en el apartado VII. Objetivos y funciones de esta Unidad Administrativa establecidas en el Manual  General de Organización de la Universidad Politécnica del Valle de Toluca, publicado en el Periódico oficial “Gaceta de Gobierno” de fecha 04 de febrero </w:t>
      </w:r>
      <w:r w:rsidR="00AB4B94" w:rsidRPr="009F696C">
        <w:rPr>
          <w:bCs/>
          <w:i/>
          <w:iCs/>
          <w:sz w:val="20"/>
          <w:szCs w:val="20"/>
        </w:rPr>
        <w:t>de 2020, derivado de la búsqueda exhaustiva y razonable en los archivos de esta Unidad</w:t>
      </w:r>
      <w:r w:rsidR="008015E3" w:rsidRPr="009F696C">
        <w:rPr>
          <w:bCs/>
          <w:i/>
          <w:iCs/>
          <w:sz w:val="20"/>
          <w:szCs w:val="20"/>
        </w:rPr>
        <w:t xml:space="preserve">, me permito informar que después </w:t>
      </w:r>
      <w:r w:rsidR="008015E3" w:rsidRPr="000106C5">
        <w:rPr>
          <w:bCs/>
          <w:i/>
          <w:iCs/>
          <w:sz w:val="20"/>
          <w:szCs w:val="20"/>
        </w:rPr>
        <w:t xml:space="preserve">de haber realizado una búsqueda exhaustiva y razonable en los archivos de esta Unidad Admirativa, no se genera ni se posee documento donde obre el recibo de finiquito de la persona física a la que hace referencia la solicitud, así mismo, no se cuenta  con documentos donde obren los recibos </w:t>
      </w:r>
      <w:r w:rsidR="009F696C" w:rsidRPr="000106C5">
        <w:rPr>
          <w:bCs/>
          <w:i/>
          <w:iCs/>
          <w:sz w:val="20"/>
          <w:szCs w:val="20"/>
        </w:rPr>
        <w:t>de la persona física referida en la solicitud, del periodo que comprende del 1 de noviembre de 2013 al 30 de septiembre de 2016.</w:t>
      </w:r>
    </w:p>
    <w:p w14:paraId="0BA4E934" w14:textId="5B1040F7" w:rsidR="00700129" w:rsidRPr="009F696C" w:rsidRDefault="007A717B" w:rsidP="00893559">
      <w:pPr>
        <w:spacing w:after="0" w:line="360" w:lineRule="auto"/>
        <w:ind w:left="567" w:right="567"/>
        <w:rPr>
          <w:bCs/>
          <w:i/>
          <w:iCs/>
          <w:sz w:val="20"/>
          <w:szCs w:val="20"/>
        </w:rPr>
      </w:pPr>
      <w:r w:rsidRPr="009F696C">
        <w:rPr>
          <w:bCs/>
          <w:i/>
          <w:iCs/>
          <w:sz w:val="20"/>
          <w:szCs w:val="20"/>
        </w:rPr>
        <w:t>…” (Sic)</w:t>
      </w:r>
    </w:p>
    <w:p w14:paraId="19991781" w14:textId="490DA848" w:rsidR="007A717B" w:rsidRDefault="007A717B" w:rsidP="00893559">
      <w:pPr>
        <w:spacing w:after="0" w:line="360" w:lineRule="auto"/>
        <w:rPr>
          <w:bCs/>
        </w:rPr>
      </w:pPr>
    </w:p>
    <w:p w14:paraId="2BFDAEEB" w14:textId="4CF676B9" w:rsidR="009F696C" w:rsidRDefault="009F696C" w:rsidP="00893559">
      <w:pPr>
        <w:spacing w:after="0" w:line="360" w:lineRule="auto"/>
        <w:rPr>
          <w:bCs/>
        </w:rPr>
      </w:pPr>
      <w:bookmarkStart w:id="0" w:name="_Hlk98939391"/>
      <w:r w:rsidRPr="009F696C">
        <w:rPr>
          <w:bCs/>
        </w:rPr>
        <w:t xml:space="preserve">El </w:t>
      </w:r>
      <w:r>
        <w:rPr>
          <w:bCs/>
        </w:rPr>
        <w:t xml:space="preserve">Sujeto Obligado </w:t>
      </w:r>
      <w:r w:rsidRPr="009F696C">
        <w:rPr>
          <w:bCs/>
        </w:rPr>
        <w:t xml:space="preserve">adjuntó la digitalización del oficio número </w:t>
      </w:r>
      <w:r>
        <w:rPr>
          <w:bCs/>
        </w:rPr>
        <w:t>210C28010110001L/011/2022</w:t>
      </w:r>
      <w:r w:rsidRPr="009F696C">
        <w:rPr>
          <w:bCs/>
        </w:rPr>
        <w:t>, de</w:t>
      </w:r>
      <w:r>
        <w:rPr>
          <w:bCs/>
        </w:rPr>
        <w:t xml:space="preserve"> </w:t>
      </w:r>
      <w:r w:rsidRPr="009F696C">
        <w:rPr>
          <w:bCs/>
        </w:rPr>
        <w:t>l</w:t>
      </w:r>
      <w:r>
        <w:rPr>
          <w:bCs/>
        </w:rPr>
        <w:t>a misma fecha de recepción</w:t>
      </w:r>
      <w:r w:rsidRPr="009F696C">
        <w:rPr>
          <w:bCs/>
        </w:rPr>
        <w:t xml:space="preserve">, suscrito por </w:t>
      </w:r>
      <w:r w:rsidR="007C3183" w:rsidRPr="007C3183">
        <w:rPr>
          <w:bCs/>
        </w:rPr>
        <w:t>la Jefa de Departamento de Información, Planeación, Programación y Evaluación y Titular de la Unidad de Transparencia</w:t>
      </w:r>
      <w:r w:rsidR="007C3183">
        <w:rPr>
          <w:bCs/>
        </w:rPr>
        <w:t xml:space="preserve"> </w:t>
      </w:r>
      <w:r w:rsidRPr="009F696C">
        <w:rPr>
          <w:bCs/>
        </w:rPr>
        <w:t xml:space="preserve">y dirigido al </w:t>
      </w:r>
      <w:r w:rsidR="007C3183">
        <w:rPr>
          <w:bCs/>
        </w:rPr>
        <w:t>Solicitante de la Información</w:t>
      </w:r>
      <w:r w:rsidRPr="009F696C">
        <w:rPr>
          <w:bCs/>
        </w:rPr>
        <w:t xml:space="preserve">, </w:t>
      </w:r>
      <w:r w:rsidR="007C3183">
        <w:rPr>
          <w:bCs/>
        </w:rPr>
        <w:t xml:space="preserve">mediante el cual remite el diverso </w:t>
      </w:r>
      <w:r w:rsidR="007C3183" w:rsidRPr="007C3183">
        <w:rPr>
          <w:bCs/>
        </w:rPr>
        <w:t>210C2801020002L/010/2022</w:t>
      </w:r>
      <w:r w:rsidR="007C3183">
        <w:rPr>
          <w:bCs/>
        </w:rPr>
        <w:t xml:space="preserve">, descrito con anterioridad. </w:t>
      </w:r>
    </w:p>
    <w:bookmarkEnd w:id="0"/>
    <w:p w14:paraId="2B37CF95" w14:textId="77777777" w:rsidR="009F696C" w:rsidRPr="006F4471" w:rsidRDefault="009F696C" w:rsidP="00893559">
      <w:pPr>
        <w:spacing w:after="0" w:line="360" w:lineRule="auto"/>
        <w:rPr>
          <w:bCs/>
        </w:rPr>
      </w:pPr>
    </w:p>
    <w:p w14:paraId="50932983" w14:textId="77777777" w:rsidR="00700129" w:rsidRPr="006F4471" w:rsidRDefault="00700129" w:rsidP="00893559">
      <w:pPr>
        <w:spacing w:after="0" w:line="360" w:lineRule="auto"/>
        <w:rPr>
          <w:b/>
        </w:rPr>
      </w:pPr>
      <w:r w:rsidRPr="006F4471">
        <w:rPr>
          <w:b/>
        </w:rPr>
        <w:t xml:space="preserve">III. Interposición del Recursos de Revisión. </w:t>
      </w:r>
    </w:p>
    <w:p w14:paraId="38AC5437" w14:textId="77777777" w:rsidR="00700129" w:rsidRPr="006F4471" w:rsidRDefault="00700129" w:rsidP="00893559">
      <w:pPr>
        <w:spacing w:after="0" w:line="360" w:lineRule="auto"/>
        <w:rPr>
          <w:b/>
        </w:rPr>
      </w:pPr>
    </w:p>
    <w:p w14:paraId="4627A2B6" w14:textId="4FAF61A9" w:rsidR="00700129" w:rsidRPr="006F4471" w:rsidRDefault="00700129" w:rsidP="00893559">
      <w:pPr>
        <w:spacing w:after="0" w:line="360" w:lineRule="auto"/>
      </w:pPr>
      <w:r w:rsidRPr="006F4471">
        <w:lastRenderedPageBreak/>
        <w:t>Con fecha dieci</w:t>
      </w:r>
      <w:r w:rsidR="007C3183">
        <w:t>nueve</w:t>
      </w:r>
      <w:r w:rsidRPr="006F4471">
        <w:t xml:space="preserve"> de </w:t>
      </w:r>
      <w:r w:rsidR="007C3183">
        <w:t>enero</w:t>
      </w:r>
      <w:r w:rsidRPr="006F4471">
        <w:t xml:space="preserve"> de dos mil veint</w:t>
      </w:r>
      <w:r w:rsidR="007C3183">
        <w:t>idós</w:t>
      </w:r>
      <w:r w:rsidRPr="006F4471">
        <w:t xml:space="preserve">, a través del </w:t>
      </w:r>
      <w:r w:rsidRPr="006F4471">
        <w:rPr>
          <w:lang w:val="es-ES"/>
        </w:rPr>
        <w:t>Sistema de Acceso a la Información Mexiquense (SAIMEX)</w:t>
      </w:r>
      <w:r w:rsidRPr="006F4471">
        <w:t xml:space="preserve">, el </w:t>
      </w:r>
      <w:r w:rsidRPr="006F4471">
        <w:rPr>
          <w:bCs/>
        </w:rPr>
        <w:t>Recurrente</w:t>
      </w:r>
      <w:r w:rsidRPr="006F4471">
        <w:t xml:space="preserve"> interpuso el Recurso de Revisión, en contra de la respuesta por el </w:t>
      </w:r>
      <w:r w:rsidRPr="006F4471">
        <w:rPr>
          <w:b/>
        </w:rPr>
        <w:t>Sujeto Obligado</w:t>
      </w:r>
      <w:r w:rsidRPr="006F4471">
        <w:t xml:space="preserve"> a la solicitud de información, en los siguientes términos:</w:t>
      </w:r>
    </w:p>
    <w:p w14:paraId="799A0D0F" w14:textId="77777777" w:rsidR="00700129" w:rsidRPr="006F4471" w:rsidRDefault="00700129" w:rsidP="00893559">
      <w:pPr>
        <w:spacing w:after="0" w:line="360" w:lineRule="auto"/>
        <w:rPr>
          <w:b/>
          <w:bCs/>
          <w:i/>
        </w:rPr>
      </w:pPr>
    </w:p>
    <w:p w14:paraId="25F3FCB3" w14:textId="0C605DAF" w:rsidR="00700129" w:rsidRPr="006F4471" w:rsidRDefault="00700129" w:rsidP="00893559">
      <w:pPr>
        <w:spacing w:after="0" w:line="360" w:lineRule="auto"/>
        <w:ind w:left="567" w:right="567"/>
        <w:rPr>
          <w:bCs/>
          <w:i/>
          <w:iCs/>
          <w:sz w:val="20"/>
          <w:szCs w:val="20"/>
        </w:rPr>
      </w:pPr>
      <w:r w:rsidRPr="006F4471">
        <w:rPr>
          <w:b/>
          <w:bCs/>
          <w:i/>
          <w:iCs/>
          <w:sz w:val="20"/>
          <w:szCs w:val="20"/>
        </w:rPr>
        <w:t>“ACTO IMPUGNADO</w:t>
      </w:r>
    </w:p>
    <w:p w14:paraId="1C32296F" w14:textId="61D08C4D" w:rsidR="00700129" w:rsidRPr="006F4471" w:rsidRDefault="007C3183" w:rsidP="00893559">
      <w:pPr>
        <w:spacing w:after="0" w:line="360" w:lineRule="auto"/>
        <w:ind w:left="567" w:right="567"/>
        <w:rPr>
          <w:i/>
          <w:iCs/>
          <w:sz w:val="20"/>
          <w:szCs w:val="20"/>
        </w:rPr>
      </w:pPr>
      <w:r w:rsidRPr="007C3183">
        <w:rPr>
          <w:i/>
          <w:iCs/>
          <w:sz w:val="20"/>
          <w:szCs w:val="20"/>
        </w:rPr>
        <w:t xml:space="preserve">Dado que en la solicitud de </w:t>
      </w:r>
      <w:proofErr w:type="spellStart"/>
      <w:r w:rsidRPr="007C3183">
        <w:rPr>
          <w:i/>
          <w:iCs/>
          <w:sz w:val="20"/>
          <w:szCs w:val="20"/>
        </w:rPr>
        <w:t>informacion</w:t>
      </w:r>
      <w:proofErr w:type="spellEnd"/>
      <w:r w:rsidRPr="007C3183">
        <w:rPr>
          <w:i/>
          <w:iCs/>
          <w:sz w:val="20"/>
          <w:szCs w:val="20"/>
        </w:rPr>
        <w:t xml:space="preserve"> No. 0215/UPVT/IP/2021 con el oficio número 201C2801070000L/641/2021 refiere el </w:t>
      </w:r>
      <w:proofErr w:type="spellStart"/>
      <w:r w:rsidRPr="007C3183">
        <w:rPr>
          <w:i/>
          <w:iCs/>
          <w:sz w:val="20"/>
          <w:szCs w:val="20"/>
        </w:rPr>
        <w:t>L.en</w:t>
      </w:r>
      <w:proofErr w:type="spellEnd"/>
      <w:r w:rsidRPr="007C3183">
        <w:rPr>
          <w:i/>
          <w:iCs/>
          <w:sz w:val="20"/>
          <w:szCs w:val="20"/>
        </w:rPr>
        <w:t xml:space="preserve"> C. Alfredo </w:t>
      </w:r>
      <w:proofErr w:type="spellStart"/>
      <w:r w:rsidRPr="007C3183">
        <w:rPr>
          <w:i/>
          <w:iCs/>
          <w:sz w:val="20"/>
          <w:szCs w:val="20"/>
        </w:rPr>
        <w:t>Rodriguez</w:t>
      </w:r>
      <w:proofErr w:type="spellEnd"/>
      <w:r w:rsidRPr="007C3183">
        <w:rPr>
          <w:i/>
          <w:iCs/>
          <w:sz w:val="20"/>
          <w:szCs w:val="20"/>
        </w:rPr>
        <w:t xml:space="preserve"> </w:t>
      </w:r>
      <w:proofErr w:type="spellStart"/>
      <w:r w:rsidRPr="007C3183">
        <w:rPr>
          <w:i/>
          <w:iCs/>
          <w:sz w:val="20"/>
          <w:szCs w:val="20"/>
        </w:rPr>
        <w:t>Perez</w:t>
      </w:r>
      <w:proofErr w:type="spellEnd"/>
      <w:r w:rsidRPr="007C3183">
        <w:rPr>
          <w:i/>
          <w:iCs/>
          <w:sz w:val="20"/>
          <w:szCs w:val="20"/>
        </w:rPr>
        <w:t xml:space="preserve"> Director de </w:t>
      </w:r>
      <w:proofErr w:type="spellStart"/>
      <w:r w:rsidRPr="007C3183">
        <w:rPr>
          <w:i/>
          <w:iCs/>
          <w:sz w:val="20"/>
          <w:szCs w:val="20"/>
        </w:rPr>
        <w:t>Administracion</w:t>
      </w:r>
      <w:proofErr w:type="spellEnd"/>
      <w:r w:rsidRPr="007C3183">
        <w:rPr>
          <w:i/>
          <w:iCs/>
          <w:sz w:val="20"/>
          <w:szCs w:val="20"/>
        </w:rPr>
        <w:t xml:space="preserve"> y Finanzas que no poseen </w:t>
      </w:r>
      <w:proofErr w:type="spellStart"/>
      <w:r w:rsidRPr="007C3183">
        <w:rPr>
          <w:i/>
          <w:iCs/>
          <w:sz w:val="20"/>
          <w:szCs w:val="20"/>
        </w:rPr>
        <w:t>documentacion</w:t>
      </w:r>
      <w:proofErr w:type="spellEnd"/>
      <w:r w:rsidRPr="007C3183">
        <w:rPr>
          <w:i/>
          <w:iCs/>
          <w:sz w:val="20"/>
          <w:szCs w:val="20"/>
        </w:rPr>
        <w:t xml:space="preserve"> sobre la demanda laboral de Nancy Claudia Aviña </w:t>
      </w:r>
      <w:proofErr w:type="spellStart"/>
      <w:r w:rsidRPr="007C3183">
        <w:rPr>
          <w:i/>
          <w:iCs/>
          <w:sz w:val="20"/>
          <w:szCs w:val="20"/>
        </w:rPr>
        <w:t>Garcia</w:t>
      </w:r>
      <w:proofErr w:type="spellEnd"/>
      <w:r w:rsidRPr="007C3183">
        <w:rPr>
          <w:i/>
          <w:iCs/>
          <w:sz w:val="20"/>
          <w:szCs w:val="20"/>
        </w:rPr>
        <w:t xml:space="preserve"> contra la Universidad </w:t>
      </w:r>
      <w:proofErr w:type="spellStart"/>
      <w:r w:rsidRPr="007C3183">
        <w:rPr>
          <w:i/>
          <w:iCs/>
          <w:sz w:val="20"/>
          <w:szCs w:val="20"/>
        </w:rPr>
        <w:t>Politecnica</w:t>
      </w:r>
      <w:proofErr w:type="spellEnd"/>
      <w:r w:rsidRPr="007C3183">
        <w:rPr>
          <w:i/>
          <w:iCs/>
          <w:sz w:val="20"/>
          <w:szCs w:val="20"/>
        </w:rPr>
        <w:t xml:space="preserve"> del Valle de Toluca, solicite </w:t>
      </w:r>
      <w:proofErr w:type="spellStart"/>
      <w:r w:rsidRPr="007C3183">
        <w:rPr>
          <w:i/>
          <w:iCs/>
          <w:sz w:val="20"/>
          <w:szCs w:val="20"/>
        </w:rPr>
        <w:t>informacion</w:t>
      </w:r>
      <w:proofErr w:type="spellEnd"/>
      <w:r w:rsidRPr="007C3183">
        <w:rPr>
          <w:i/>
          <w:iCs/>
          <w:sz w:val="20"/>
          <w:szCs w:val="20"/>
        </w:rPr>
        <w:t xml:space="preserve"> con el No. 00263/UPVT/IP/2021 refieren que tampoco hay </w:t>
      </w:r>
      <w:proofErr w:type="spellStart"/>
      <w:r w:rsidRPr="007C3183">
        <w:rPr>
          <w:i/>
          <w:iCs/>
          <w:sz w:val="20"/>
          <w:szCs w:val="20"/>
        </w:rPr>
        <w:t>informacion</w:t>
      </w:r>
      <w:proofErr w:type="spellEnd"/>
      <w:r w:rsidRPr="007C3183">
        <w:rPr>
          <w:i/>
          <w:iCs/>
          <w:sz w:val="20"/>
          <w:szCs w:val="20"/>
        </w:rPr>
        <w:t xml:space="preserve"> dentro de sus archivos de comprobantes de pago y finiquito</w:t>
      </w:r>
      <w:r w:rsidR="00700129" w:rsidRPr="006F4471">
        <w:rPr>
          <w:i/>
          <w:iCs/>
          <w:sz w:val="20"/>
          <w:szCs w:val="20"/>
        </w:rPr>
        <w:t xml:space="preserve">” </w:t>
      </w:r>
      <w:r w:rsidR="00D81D40">
        <w:rPr>
          <w:i/>
          <w:iCs/>
          <w:sz w:val="20"/>
          <w:szCs w:val="20"/>
        </w:rPr>
        <w:t>(Sic)</w:t>
      </w:r>
    </w:p>
    <w:p w14:paraId="4B6C48F6" w14:textId="77777777" w:rsidR="00700129" w:rsidRPr="006F4471" w:rsidRDefault="00700129" w:rsidP="00893559">
      <w:pPr>
        <w:spacing w:after="0" w:line="360" w:lineRule="auto"/>
        <w:ind w:left="567" w:right="567"/>
        <w:rPr>
          <w:i/>
          <w:iCs/>
          <w:sz w:val="20"/>
          <w:szCs w:val="20"/>
        </w:rPr>
      </w:pPr>
    </w:p>
    <w:p w14:paraId="1437E3B4" w14:textId="77777777" w:rsidR="00700129" w:rsidRPr="006F4471" w:rsidRDefault="00700129" w:rsidP="00893559">
      <w:pPr>
        <w:spacing w:after="0" w:line="360" w:lineRule="auto"/>
        <w:ind w:left="567" w:right="567"/>
        <w:rPr>
          <w:b/>
          <w:i/>
          <w:iCs/>
          <w:sz w:val="20"/>
          <w:szCs w:val="20"/>
        </w:rPr>
      </w:pPr>
      <w:r w:rsidRPr="006F4471">
        <w:rPr>
          <w:b/>
          <w:i/>
          <w:iCs/>
          <w:sz w:val="20"/>
          <w:szCs w:val="20"/>
        </w:rPr>
        <w:t>“RAZONES O MOTIVOS DE LA INCONFORMIDAD</w:t>
      </w:r>
    </w:p>
    <w:p w14:paraId="3F273E2B" w14:textId="56A237EE" w:rsidR="00700129" w:rsidRPr="006F4471" w:rsidRDefault="007C3183" w:rsidP="00893559">
      <w:pPr>
        <w:spacing w:after="0" w:line="360" w:lineRule="auto"/>
        <w:ind w:left="567" w:right="567"/>
        <w:rPr>
          <w:i/>
          <w:iCs/>
          <w:sz w:val="20"/>
          <w:szCs w:val="20"/>
        </w:rPr>
      </w:pPr>
      <w:r w:rsidRPr="007C3183">
        <w:rPr>
          <w:i/>
          <w:iCs/>
          <w:sz w:val="20"/>
          <w:szCs w:val="20"/>
        </w:rPr>
        <w:t xml:space="preserve">Por mencionar que no cuentan con </w:t>
      </w:r>
      <w:proofErr w:type="spellStart"/>
      <w:r w:rsidRPr="007C3183">
        <w:rPr>
          <w:i/>
          <w:iCs/>
          <w:sz w:val="20"/>
          <w:szCs w:val="20"/>
        </w:rPr>
        <w:t>informacion</w:t>
      </w:r>
      <w:proofErr w:type="spellEnd"/>
      <w:r w:rsidRPr="007C3183">
        <w:rPr>
          <w:i/>
          <w:iCs/>
          <w:sz w:val="20"/>
          <w:szCs w:val="20"/>
        </w:rPr>
        <w:t xml:space="preserve"> de </w:t>
      </w:r>
      <w:proofErr w:type="spellStart"/>
      <w:r w:rsidRPr="007C3183">
        <w:rPr>
          <w:i/>
          <w:iCs/>
          <w:sz w:val="20"/>
          <w:szCs w:val="20"/>
        </w:rPr>
        <w:t>demanada</w:t>
      </w:r>
      <w:proofErr w:type="spellEnd"/>
      <w:r w:rsidRPr="007C3183">
        <w:rPr>
          <w:i/>
          <w:iCs/>
          <w:sz w:val="20"/>
          <w:szCs w:val="20"/>
        </w:rPr>
        <w:t xml:space="preserve"> laboral y/o de finiquito y recibos del periodo solicitado, </w:t>
      </w:r>
      <w:proofErr w:type="spellStart"/>
      <w:r w:rsidRPr="007C3183">
        <w:rPr>
          <w:i/>
          <w:iCs/>
          <w:sz w:val="20"/>
          <w:szCs w:val="20"/>
        </w:rPr>
        <w:t>asi</w:t>
      </w:r>
      <w:proofErr w:type="spellEnd"/>
      <w:r w:rsidRPr="007C3183">
        <w:rPr>
          <w:i/>
          <w:iCs/>
          <w:sz w:val="20"/>
          <w:szCs w:val="20"/>
        </w:rPr>
        <w:t xml:space="preserve"> mismo adjunto comprobante de pago para corroborar la </w:t>
      </w:r>
      <w:proofErr w:type="spellStart"/>
      <w:r w:rsidRPr="007C3183">
        <w:rPr>
          <w:i/>
          <w:iCs/>
          <w:sz w:val="20"/>
          <w:szCs w:val="20"/>
        </w:rPr>
        <w:t>relacion</w:t>
      </w:r>
      <w:proofErr w:type="spellEnd"/>
      <w:r w:rsidRPr="007C3183">
        <w:rPr>
          <w:i/>
          <w:iCs/>
          <w:sz w:val="20"/>
          <w:szCs w:val="20"/>
        </w:rPr>
        <w:t xml:space="preserve"> laboral y la negatividad por parte del organismo a proporcionar </w:t>
      </w:r>
      <w:proofErr w:type="spellStart"/>
      <w:r w:rsidRPr="007C3183">
        <w:rPr>
          <w:i/>
          <w:iCs/>
          <w:sz w:val="20"/>
          <w:szCs w:val="20"/>
        </w:rPr>
        <w:t>informacion</w:t>
      </w:r>
      <w:proofErr w:type="spellEnd"/>
      <w:r w:rsidRPr="007C3183">
        <w:rPr>
          <w:i/>
          <w:iCs/>
          <w:sz w:val="20"/>
          <w:szCs w:val="20"/>
        </w:rPr>
        <w:t xml:space="preserve"> a dicha </w:t>
      </w:r>
      <w:r w:rsidR="00D81D40" w:rsidRPr="007C3183">
        <w:rPr>
          <w:i/>
          <w:iCs/>
          <w:sz w:val="20"/>
          <w:szCs w:val="20"/>
        </w:rPr>
        <w:t>solicitud</w:t>
      </w:r>
      <w:r w:rsidR="00D81D40" w:rsidRPr="006F4471">
        <w:rPr>
          <w:i/>
          <w:iCs/>
          <w:sz w:val="20"/>
          <w:szCs w:val="20"/>
        </w:rPr>
        <w:t>”</w:t>
      </w:r>
      <w:r w:rsidR="00D81D40">
        <w:rPr>
          <w:i/>
          <w:iCs/>
          <w:sz w:val="20"/>
          <w:szCs w:val="20"/>
        </w:rPr>
        <w:t xml:space="preserve"> (Sic.)</w:t>
      </w:r>
    </w:p>
    <w:p w14:paraId="662C4DDE" w14:textId="0E1292BC" w:rsidR="00346F8F" w:rsidRPr="007C3183" w:rsidRDefault="00346F8F" w:rsidP="00893559">
      <w:pPr>
        <w:spacing w:after="0" w:line="360" w:lineRule="auto"/>
        <w:rPr>
          <w:rFonts w:eastAsia="Times New Roman" w:cs="Tahoma"/>
          <w:bCs/>
          <w:lang w:eastAsia="es-ES"/>
        </w:rPr>
      </w:pPr>
    </w:p>
    <w:p w14:paraId="2B9ED60E" w14:textId="320A2D8F" w:rsidR="00D81D40" w:rsidRDefault="007C3183" w:rsidP="00893559">
      <w:pPr>
        <w:spacing w:after="0" w:line="360" w:lineRule="auto"/>
        <w:rPr>
          <w:rFonts w:eastAsia="Times New Roman" w:cs="Tahoma"/>
          <w:bCs/>
          <w:lang w:eastAsia="es-ES"/>
        </w:rPr>
      </w:pPr>
      <w:r w:rsidRPr="007C3183">
        <w:rPr>
          <w:rFonts w:eastAsia="Times New Roman" w:cs="Tahoma"/>
          <w:bCs/>
          <w:lang w:eastAsia="es-ES"/>
        </w:rPr>
        <w:t>La Particular adjuntó al Medio de Impugnación</w:t>
      </w:r>
      <w:r w:rsidR="00D81D40">
        <w:rPr>
          <w:rFonts w:eastAsia="Times New Roman" w:cs="Tahoma"/>
          <w:bCs/>
          <w:lang w:eastAsia="es-ES"/>
        </w:rPr>
        <w:t xml:space="preserve"> un recibo de nómina </w:t>
      </w:r>
      <w:r w:rsidR="00C97FFC">
        <w:rPr>
          <w:rFonts w:eastAsia="Times New Roman" w:cs="Tahoma"/>
          <w:bCs/>
          <w:lang w:eastAsia="es-ES"/>
        </w:rPr>
        <w:t>de Nancy Claudia Aviña García, adscrita a la Universidad Politécnica del Valle de Toluca.</w:t>
      </w:r>
    </w:p>
    <w:p w14:paraId="7994014C" w14:textId="1AA79F81" w:rsidR="007C3183" w:rsidRPr="007C3183" w:rsidRDefault="00D81D40" w:rsidP="00893559">
      <w:pPr>
        <w:spacing w:after="0" w:line="360" w:lineRule="auto"/>
        <w:rPr>
          <w:rFonts w:eastAsia="Times New Roman" w:cs="Tahoma"/>
          <w:bCs/>
          <w:lang w:eastAsia="es-ES"/>
        </w:rPr>
      </w:pPr>
      <w:r>
        <w:rPr>
          <w:rFonts w:eastAsia="Times New Roman" w:cs="Tahoma"/>
          <w:bCs/>
          <w:lang w:eastAsia="es-ES"/>
        </w:rPr>
        <w:t xml:space="preserve"> </w:t>
      </w:r>
    </w:p>
    <w:p w14:paraId="4CB43BD4" w14:textId="77777777" w:rsidR="00346F8F" w:rsidRPr="006F4471" w:rsidRDefault="00346F8F" w:rsidP="00893559">
      <w:pPr>
        <w:spacing w:after="0" w:line="360" w:lineRule="auto"/>
        <w:rPr>
          <w:rFonts w:eastAsia="Batang" w:cs="Tahoma"/>
          <w:b/>
          <w:bCs/>
          <w:lang w:eastAsia="es-ES"/>
        </w:rPr>
      </w:pPr>
      <w:r w:rsidRPr="006F4471">
        <w:rPr>
          <w:rFonts w:eastAsia="Times New Roman" w:cs="Tahoma"/>
          <w:b/>
          <w:lang w:eastAsia="es-ES"/>
        </w:rPr>
        <w:t xml:space="preserve">IV. </w:t>
      </w:r>
      <w:r w:rsidRPr="006F4471">
        <w:rPr>
          <w:rFonts w:eastAsia="Batang" w:cs="Tahoma"/>
          <w:b/>
          <w:bCs/>
          <w:lang w:eastAsia="es-ES"/>
        </w:rPr>
        <w:t xml:space="preserve">Trámite del </w:t>
      </w:r>
      <w:r w:rsidRPr="006F4471">
        <w:rPr>
          <w:rFonts w:eastAsia="Times New Roman" w:cs="Tahoma"/>
          <w:b/>
          <w:lang w:eastAsia="es-ES"/>
        </w:rPr>
        <w:t xml:space="preserve">Recurso de Revisión </w:t>
      </w:r>
      <w:r w:rsidRPr="006F4471">
        <w:rPr>
          <w:rFonts w:eastAsia="Batang" w:cs="Tahoma"/>
          <w:b/>
          <w:bCs/>
          <w:lang w:eastAsia="es-ES"/>
        </w:rPr>
        <w:t>ante el Instituto.</w:t>
      </w:r>
    </w:p>
    <w:p w14:paraId="3968095C" w14:textId="603B6BCF" w:rsidR="00346F8F" w:rsidRPr="006F4471" w:rsidRDefault="00346F8F" w:rsidP="00893559">
      <w:pPr>
        <w:spacing w:after="0" w:line="360" w:lineRule="auto"/>
      </w:pPr>
    </w:p>
    <w:p w14:paraId="73E109CF" w14:textId="70CFE706" w:rsidR="00700129" w:rsidRPr="006F4471" w:rsidRDefault="00700129" w:rsidP="00893559">
      <w:pPr>
        <w:spacing w:after="0" w:line="360" w:lineRule="auto"/>
        <w:rPr>
          <w:bCs/>
        </w:rPr>
      </w:pPr>
      <w:r w:rsidRPr="006F4471">
        <w:rPr>
          <w:b/>
          <w:bCs/>
        </w:rPr>
        <w:t xml:space="preserve">a) Turno de los </w:t>
      </w:r>
      <w:r w:rsidRPr="006F4471">
        <w:rPr>
          <w:b/>
        </w:rPr>
        <w:t>Recursos de Revisión</w:t>
      </w:r>
      <w:r w:rsidRPr="006F4471">
        <w:rPr>
          <w:b/>
          <w:bCs/>
        </w:rPr>
        <w:t xml:space="preserve">. </w:t>
      </w:r>
      <w:r w:rsidRPr="006F4471">
        <w:rPr>
          <w:bCs/>
        </w:rPr>
        <w:t>El dieci</w:t>
      </w:r>
      <w:r w:rsidR="00D81D40">
        <w:rPr>
          <w:bCs/>
        </w:rPr>
        <w:t xml:space="preserve">nueve </w:t>
      </w:r>
      <w:r w:rsidRPr="006F4471">
        <w:rPr>
          <w:bCs/>
        </w:rPr>
        <w:t xml:space="preserve">de </w:t>
      </w:r>
      <w:r w:rsidR="00D81D40">
        <w:rPr>
          <w:bCs/>
        </w:rPr>
        <w:t>enero</w:t>
      </w:r>
      <w:r w:rsidRPr="006F4471">
        <w:rPr>
          <w:bCs/>
        </w:rPr>
        <w:t xml:space="preserve"> </w:t>
      </w:r>
      <w:r w:rsidRPr="006F4471">
        <w:t>de dos mil veint</w:t>
      </w:r>
      <w:r w:rsidR="00D81D40">
        <w:t>idós</w:t>
      </w:r>
      <w:r w:rsidRPr="006F4471">
        <w:rPr>
          <w:bCs/>
        </w:rPr>
        <w:t xml:space="preserve">, el Sistema de Acceso a la Información Mexiquense (SAIMEX), asignó el número de expediente </w:t>
      </w:r>
      <w:r w:rsidR="00D81D40" w:rsidRPr="00D81D40">
        <w:rPr>
          <w:bCs/>
        </w:rPr>
        <w:t>00181/INFOEM/IP/RR/2022</w:t>
      </w:r>
      <w:r w:rsidRPr="006F4471">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424143" w14:textId="77777777" w:rsidR="00700129" w:rsidRPr="006F4471" w:rsidRDefault="00700129" w:rsidP="00893559">
      <w:pPr>
        <w:spacing w:after="0" w:line="360" w:lineRule="auto"/>
        <w:rPr>
          <w:bCs/>
        </w:rPr>
      </w:pPr>
    </w:p>
    <w:p w14:paraId="62A3DA22" w14:textId="28C1815F" w:rsidR="00700129" w:rsidRPr="006F4471" w:rsidRDefault="00700129" w:rsidP="00893559">
      <w:pPr>
        <w:spacing w:after="0" w:line="360" w:lineRule="auto"/>
      </w:pPr>
      <w:r w:rsidRPr="006F4471">
        <w:rPr>
          <w:b/>
          <w:bCs/>
        </w:rPr>
        <w:t xml:space="preserve">b) Admisión del </w:t>
      </w:r>
      <w:r w:rsidRPr="006F4471">
        <w:rPr>
          <w:b/>
        </w:rPr>
        <w:t>Recurso de Revisión</w:t>
      </w:r>
      <w:r w:rsidRPr="006F4471">
        <w:rPr>
          <w:b/>
          <w:bCs/>
          <w:lang w:val="es-ES_tradnl"/>
        </w:rPr>
        <w:t xml:space="preserve">. </w:t>
      </w:r>
      <w:r w:rsidRPr="006F4471">
        <w:rPr>
          <w:bCs/>
        </w:rPr>
        <w:t>El veint</w:t>
      </w:r>
      <w:r w:rsidR="00D81D40">
        <w:rPr>
          <w:bCs/>
        </w:rPr>
        <w:t>icuatro</w:t>
      </w:r>
      <w:r w:rsidRPr="006F4471">
        <w:rPr>
          <w:bCs/>
        </w:rPr>
        <w:t xml:space="preserve"> de enero de dos mil veinti</w:t>
      </w:r>
      <w:r w:rsidR="00D81D40">
        <w:rPr>
          <w:bCs/>
        </w:rPr>
        <w:t>dós</w:t>
      </w:r>
      <w:r w:rsidRPr="006F4471">
        <w:rPr>
          <w:bCs/>
        </w:rPr>
        <w:t xml:space="preserve">, se acordó la admisión del </w:t>
      </w:r>
      <w:r w:rsidRPr="006F4471">
        <w:rPr>
          <w:bCs/>
          <w:lang w:val="es-ES_tradnl"/>
        </w:rPr>
        <w:t xml:space="preserve">Recurso de Revisión interpuesto por el </w:t>
      </w:r>
      <w:r w:rsidRPr="006F4471">
        <w:rPr>
          <w:lang w:val="es-ES_tradnl"/>
        </w:rPr>
        <w:t>Recurrente</w:t>
      </w:r>
      <w:r w:rsidRPr="006F4471">
        <w:rPr>
          <w:bCs/>
          <w:lang w:val="es-ES_tradnl"/>
        </w:rPr>
        <w:t xml:space="preserve"> en contra del </w:t>
      </w:r>
      <w:r w:rsidRPr="006F4471">
        <w:rPr>
          <w:lang w:val="es-ES_tradnl"/>
        </w:rPr>
        <w:t>Sujeto Obligado</w:t>
      </w:r>
      <w:r w:rsidRPr="006F4471">
        <w:rPr>
          <w:bCs/>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04D41BA" w14:textId="1EDF3DD6" w:rsidR="00700129" w:rsidRPr="006F4471" w:rsidRDefault="00700129" w:rsidP="00893559">
      <w:pPr>
        <w:spacing w:after="0" w:line="360" w:lineRule="auto"/>
      </w:pPr>
    </w:p>
    <w:p w14:paraId="3A8D77ED" w14:textId="7921BC05" w:rsidR="00225B70" w:rsidRPr="00225B70" w:rsidRDefault="00225B70" w:rsidP="00893559">
      <w:pPr>
        <w:autoSpaceDE w:val="0"/>
        <w:autoSpaceDN w:val="0"/>
        <w:adjustRightInd w:val="0"/>
        <w:spacing w:after="0" w:line="360" w:lineRule="auto"/>
        <w:rPr>
          <w:rFonts w:eastAsia="Times New Roman" w:cs="Tahoma"/>
          <w:color w:val="auto"/>
          <w:lang w:eastAsia="es-ES"/>
        </w:rPr>
      </w:pPr>
      <w:r w:rsidRPr="00225B70">
        <w:rPr>
          <w:rFonts w:eastAsia="Times New Roman" w:cs="Tahoma"/>
          <w:b/>
          <w:color w:val="auto"/>
          <w:lang w:eastAsia="es-ES"/>
        </w:rPr>
        <w:t xml:space="preserve">c) Informe Justificado. </w:t>
      </w:r>
      <w:r w:rsidRPr="00225B70">
        <w:rPr>
          <w:rFonts w:eastAsia="Times New Roman" w:cs="Tahoma"/>
          <w:color w:val="auto"/>
          <w:lang w:eastAsia="es-ES"/>
        </w:rPr>
        <w:t xml:space="preserve">El </w:t>
      </w:r>
      <w:r>
        <w:rPr>
          <w:rFonts w:eastAsia="Times New Roman" w:cs="Tahoma"/>
          <w:color w:val="auto"/>
          <w:lang w:eastAsia="es-ES"/>
        </w:rPr>
        <w:t xml:space="preserve">dos </w:t>
      </w:r>
      <w:r w:rsidRPr="00225B70">
        <w:rPr>
          <w:rFonts w:eastAsia="Times New Roman" w:cs="Tahoma"/>
          <w:color w:val="auto"/>
          <w:lang w:eastAsia="es-ES"/>
        </w:rPr>
        <w:t xml:space="preserve">de </w:t>
      </w:r>
      <w:r>
        <w:rPr>
          <w:rFonts w:eastAsia="Times New Roman" w:cs="Tahoma"/>
          <w:color w:val="auto"/>
          <w:lang w:eastAsia="es-ES"/>
        </w:rPr>
        <w:t>febrero</w:t>
      </w:r>
      <w:r w:rsidRPr="00225B70">
        <w:rPr>
          <w:rFonts w:eastAsia="Times New Roman" w:cs="Tahoma"/>
          <w:color w:val="auto"/>
          <w:lang w:eastAsia="es-ES"/>
        </w:rPr>
        <w:t xml:space="preserve"> de dos mil veinti</w:t>
      </w:r>
      <w:r>
        <w:rPr>
          <w:rFonts w:eastAsia="Times New Roman" w:cs="Tahoma"/>
          <w:color w:val="auto"/>
          <w:lang w:eastAsia="es-ES"/>
        </w:rPr>
        <w:t>dós</w:t>
      </w:r>
      <w:r w:rsidRPr="00225B70">
        <w:rPr>
          <w:rFonts w:eastAsia="Times New Roman" w:cs="Tahoma"/>
          <w:color w:val="auto"/>
          <w:lang w:eastAsia="es-ES"/>
        </w:rPr>
        <w:t xml:space="preserve">, se recibió, a través del Sistema de Acceso a la Información Mexiquense (SAIMEX), el Informe Justificado del Sujeto Obligado, a través del oficio </w:t>
      </w:r>
      <w:r>
        <w:rPr>
          <w:rFonts w:eastAsia="Times New Roman" w:cs="Tahoma"/>
          <w:color w:val="auto"/>
          <w:lang w:eastAsia="es-ES"/>
        </w:rPr>
        <w:t>210C2801010001L/037/2022</w:t>
      </w:r>
      <w:r w:rsidRPr="00225B70">
        <w:rPr>
          <w:rFonts w:eastAsia="Times New Roman" w:cs="Tahoma"/>
          <w:color w:val="auto"/>
          <w:lang w:eastAsia="es-ES"/>
        </w:rPr>
        <w:t xml:space="preserve">, de la misma fecha de recepción, </w:t>
      </w:r>
      <w:r w:rsidRPr="00225B70">
        <w:rPr>
          <w:rFonts w:eastAsia="Times New Roman" w:cs="Tahoma"/>
          <w:bCs/>
          <w:color w:val="auto"/>
          <w:lang w:eastAsia="es-ES"/>
        </w:rPr>
        <w:t xml:space="preserve">suscrito por </w:t>
      </w:r>
      <w:r w:rsidR="00D3665C">
        <w:rPr>
          <w:rFonts w:eastAsia="Times New Roman" w:cs="Tahoma"/>
          <w:bCs/>
          <w:color w:val="auto"/>
          <w:lang w:eastAsia="es-ES"/>
        </w:rPr>
        <w:t xml:space="preserve">la </w:t>
      </w:r>
      <w:r w:rsidRPr="00225B70">
        <w:rPr>
          <w:rFonts w:eastAsia="Times New Roman" w:cs="Tahoma"/>
          <w:bCs/>
          <w:color w:val="auto"/>
          <w:lang w:eastAsia="es-ES"/>
        </w:rPr>
        <w:t>Titular de la Unidad de Transparencia y dirigido al Comisionado P</w:t>
      </w:r>
      <w:r w:rsidR="00D3665C">
        <w:rPr>
          <w:rFonts w:eastAsia="Times New Roman" w:cs="Tahoma"/>
          <w:bCs/>
          <w:color w:val="auto"/>
          <w:lang w:eastAsia="es-ES"/>
        </w:rPr>
        <w:t>residente</w:t>
      </w:r>
      <w:r w:rsidRPr="00225B70">
        <w:rPr>
          <w:rFonts w:eastAsia="Times New Roman" w:cs="Tahoma"/>
          <w:bCs/>
          <w:color w:val="auto"/>
          <w:lang w:eastAsia="es-ES"/>
        </w:rPr>
        <w:t>,</w:t>
      </w:r>
      <w:r w:rsidRPr="00225B70">
        <w:rPr>
          <w:rFonts w:eastAsia="Times New Roman" w:cs="Tahoma"/>
          <w:color w:val="auto"/>
          <w:lang w:eastAsia="es-ES"/>
        </w:rPr>
        <w:t xml:space="preserve"> por medio del cual </w:t>
      </w:r>
      <w:r w:rsidR="00D3665C">
        <w:rPr>
          <w:rFonts w:eastAsia="Times New Roman" w:cs="Tahoma"/>
          <w:color w:val="auto"/>
          <w:lang w:eastAsia="es-ES"/>
        </w:rPr>
        <w:t>confirmó</w:t>
      </w:r>
      <w:r w:rsidRPr="00225B70">
        <w:rPr>
          <w:rFonts w:eastAsia="Times New Roman" w:cs="Tahoma"/>
          <w:color w:val="auto"/>
          <w:lang w:eastAsia="es-ES"/>
        </w:rPr>
        <w:t xml:space="preserve"> la respuesta primigenia</w:t>
      </w:r>
      <w:r w:rsidR="00D37166">
        <w:rPr>
          <w:rFonts w:eastAsia="Times New Roman" w:cs="Tahoma"/>
          <w:color w:val="auto"/>
          <w:lang w:eastAsia="es-ES"/>
        </w:rPr>
        <w:t xml:space="preserve">. </w:t>
      </w:r>
    </w:p>
    <w:p w14:paraId="603E9603" w14:textId="3DA4924B" w:rsidR="00225B70" w:rsidRDefault="00225B70" w:rsidP="00893559">
      <w:pPr>
        <w:autoSpaceDE w:val="0"/>
        <w:autoSpaceDN w:val="0"/>
        <w:adjustRightInd w:val="0"/>
        <w:spacing w:after="0" w:line="360" w:lineRule="auto"/>
        <w:rPr>
          <w:rFonts w:eastAsia="Times New Roman" w:cs="Tahoma"/>
          <w:color w:val="auto"/>
          <w:lang w:eastAsia="es-ES"/>
        </w:rPr>
      </w:pPr>
    </w:p>
    <w:p w14:paraId="6D8D14B8" w14:textId="2F7B1AF5" w:rsidR="00D37166" w:rsidRDefault="00D37166" w:rsidP="00893559">
      <w:pPr>
        <w:autoSpaceDE w:val="0"/>
        <w:autoSpaceDN w:val="0"/>
        <w:adjustRightInd w:val="0"/>
        <w:spacing w:after="0" w:line="360" w:lineRule="auto"/>
        <w:rPr>
          <w:rFonts w:eastAsia="Times New Roman" w:cs="Tahoma"/>
          <w:color w:val="auto"/>
          <w:lang w:eastAsia="es-ES"/>
        </w:rPr>
      </w:pPr>
      <w:r w:rsidRPr="00D37166">
        <w:rPr>
          <w:rFonts w:eastAsia="Times New Roman" w:cs="Tahoma"/>
          <w:color w:val="auto"/>
          <w:lang w:eastAsia="es-ES"/>
        </w:rPr>
        <w:t>El Sujeto Obligado adjuntó la digitalización del oficio número 210C28010</w:t>
      </w:r>
      <w:r>
        <w:rPr>
          <w:rFonts w:eastAsia="Times New Roman" w:cs="Tahoma"/>
          <w:color w:val="auto"/>
          <w:lang w:eastAsia="es-ES"/>
        </w:rPr>
        <w:t>20002L</w:t>
      </w:r>
      <w:r w:rsidRPr="00D37166">
        <w:rPr>
          <w:rFonts w:eastAsia="Times New Roman" w:cs="Tahoma"/>
          <w:color w:val="auto"/>
          <w:lang w:eastAsia="es-ES"/>
        </w:rPr>
        <w:t>/0</w:t>
      </w:r>
      <w:r>
        <w:rPr>
          <w:rFonts w:eastAsia="Times New Roman" w:cs="Tahoma"/>
          <w:color w:val="auto"/>
          <w:lang w:eastAsia="es-ES"/>
        </w:rPr>
        <w:t>36</w:t>
      </w:r>
      <w:r w:rsidRPr="00D37166">
        <w:rPr>
          <w:rFonts w:eastAsia="Times New Roman" w:cs="Tahoma"/>
          <w:color w:val="auto"/>
          <w:lang w:eastAsia="es-ES"/>
        </w:rPr>
        <w:t xml:space="preserve">/2022, </w:t>
      </w:r>
      <w:r>
        <w:rPr>
          <w:rFonts w:eastAsia="Times New Roman" w:cs="Tahoma"/>
          <w:color w:val="auto"/>
          <w:lang w:eastAsia="es-ES"/>
        </w:rPr>
        <w:t>del primero de febrero de dos mil veintidós</w:t>
      </w:r>
      <w:r w:rsidRPr="00D37166">
        <w:rPr>
          <w:rFonts w:eastAsia="Times New Roman" w:cs="Tahoma"/>
          <w:color w:val="auto"/>
          <w:lang w:eastAsia="es-ES"/>
        </w:rPr>
        <w:t xml:space="preserve">, suscrito por </w:t>
      </w:r>
      <w:r w:rsidR="00E244E4">
        <w:rPr>
          <w:rFonts w:eastAsia="Times New Roman" w:cs="Tahoma"/>
          <w:color w:val="auto"/>
          <w:lang w:eastAsia="es-ES"/>
        </w:rPr>
        <w:t xml:space="preserve">el Jefe de Departamento de Recursos Humanos y Materiales </w:t>
      </w:r>
      <w:r w:rsidRPr="00D37166">
        <w:rPr>
          <w:rFonts w:eastAsia="Times New Roman" w:cs="Tahoma"/>
          <w:color w:val="auto"/>
          <w:lang w:eastAsia="es-ES"/>
        </w:rPr>
        <w:t xml:space="preserve">y dirigido al </w:t>
      </w:r>
      <w:r w:rsidR="00E244E4" w:rsidRPr="00E244E4">
        <w:rPr>
          <w:rFonts w:eastAsia="Times New Roman" w:cs="Tahoma"/>
          <w:color w:val="auto"/>
          <w:lang w:eastAsia="es-ES"/>
        </w:rPr>
        <w:t>Jefa de Departamento de Información, Planeación, Programación y Evaluación y Titular de la Unidad de Transparencia</w:t>
      </w:r>
      <w:r w:rsidRPr="00D37166">
        <w:rPr>
          <w:rFonts w:eastAsia="Times New Roman" w:cs="Tahoma"/>
          <w:color w:val="auto"/>
          <w:lang w:eastAsia="es-ES"/>
        </w:rPr>
        <w:t xml:space="preserve">, mediante el cual </w:t>
      </w:r>
      <w:r w:rsidR="00E244E4">
        <w:rPr>
          <w:rFonts w:eastAsia="Times New Roman" w:cs="Tahoma"/>
          <w:color w:val="auto"/>
          <w:lang w:eastAsia="es-ES"/>
        </w:rPr>
        <w:t xml:space="preserve">informa que se confirma la respuesta emitida a su cargo. </w:t>
      </w:r>
    </w:p>
    <w:p w14:paraId="20C5E46D" w14:textId="62D8DEA5" w:rsidR="00DF3D57" w:rsidRDefault="00DF3D57" w:rsidP="00893559">
      <w:pPr>
        <w:autoSpaceDE w:val="0"/>
        <w:autoSpaceDN w:val="0"/>
        <w:adjustRightInd w:val="0"/>
        <w:spacing w:after="0" w:line="360" w:lineRule="auto"/>
        <w:rPr>
          <w:rFonts w:eastAsia="Times New Roman" w:cs="Tahoma"/>
          <w:color w:val="auto"/>
          <w:lang w:eastAsia="es-ES"/>
        </w:rPr>
      </w:pPr>
    </w:p>
    <w:p w14:paraId="34E250DC" w14:textId="1EBC5C5A" w:rsidR="00DF3D57" w:rsidRPr="00DF3D57" w:rsidRDefault="00DF3D57" w:rsidP="00893559">
      <w:pPr>
        <w:spacing w:after="0" w:line="360" w:lineRule="auto"/>
      </w:pPr>
      <w:r>
        <w:rPr>
          <w:rFonts w:eastAsia="Palatino Linotype" w:cs="Palatino Linotype"/>
          <w:b/>
          <w:bCs/>
          <w:lang w:val="es-ES"/>
        </w:rPr>
        <w:t>d</w:t>
      </w:r>
      <w:r w:rsidRPr="006F4471">
        <w:rPr>
          <w:rFonts w:eastAsia="Palatino Linotype" w:cs="Palatino Linotype"/>
          <w:b/>
          <w:bCs/>
          <w:lang w:val="es-ES"/>
        </w:rPr>
        <w:t xml:space="preserve">) Ampliación de plazo para resolver. </w:t>
      </w:r>
      <w:r w:rsidRPr="006F4471">
        <w:rPr>
          <w:rFonts w:eastAsia="Palatino Linotype" w:cs="Palatino Linotype"/>
          <w:lang w:val="es-ES"/>
        </w:rPr>
        <w:t xml:space="preserve">El </w:t>
      </w:r>
      <w:r>
        <w:rPr>
          <w:rFonts w:eastAsia="Palatino Linotype" w:cs="Palatino Linotype"/>
          <w:lang w:val="es-ES"/>
        </w:rPr>
        <w:t>ocho</w:t>
      </w:r>
      <w:r w:rsidRPr="006F4471">
        <w:rPr>
          <w:rFonts w:eastAsia="Palatino Linotype" w:cs="Palatino Linotype"/>
          <w:lang w:val="es-ES"/>
        </w:rPr>
        <w:t xml:space="preserve"> de </w:t>
      </w:r>
      <w:r>
        <w:rPr>
          <w:rFonts w:eastAsia="Palatino Linotype" w:cs="Palatino Linotype"/>
          <w:lang w:val="es-ES"/>
        </w:rPr>
        <w:t>marz</w:t>
      </w:r>
      <w:r w:rsidRPr="006F4471">
        <w:rPr>
          <w:rFonts w:eastAsia="Palatino Linotype" w:cs="Palatino Linotype"/>
          <w:lang w:val="es-ES"/>
        </w:rPr>
        <w:t>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Pr>
          <w:rFonts w:eastAsia="Palatino Linotype" w:cs="Palatino Linotype"/>
          <w:lang w:val="es-ES"/>
        </w:rPr>
        <w:t xml:space="preserve"> el mismo día</w:t>
      </w:r>
      <w:r w:rsidRPr="006F4471">
        <w:rPr>
          <w:rFonts w:eastAsia="Palatino Linotype" w:cs="Palatino Linotype"/>
          <w:lang w:val="es-ES"/>
        </w:rPr>
        <w:t>, mediante el Sistema de Acceso a la Información Mexiquense (SAIMEX)</w:t>
      </w:r>
    </w:p>
    <w:p w14:paraId="01187E26" w14:textId="77777777" w:rsidR="00D37166" w:rsidRPr="00225B70" w:rsidRDefault="00D37166" w:rsidP="00893559">
      <w:pPr>
        <w:autoSpaceDE w:val="0"/>
        <w:autoSpaceDN w:val="0"/>
        <w:adjustRightInd w:val="0"/>
        <w:spacing w:after="0" w:line="360" w:lineRule="auto"/>
        <w:rPr>
          <w:rFonts w:eastAsia="Times New Roman" w:cs="Tahoma"/>
          <w:color w:val="auto"/>
          <w:lang w:eastAsia="es-ES"/>
        </w:rPr>
      </w:pPr>
    </w:p>
    <w:p w14:paraId="5C0DE5E7" w14:textId="2F5E54F0" w:rsidR="00225B70" w:rsidRPr="00225B70" w:rsidRDefault="00DF3D57" w:rsidP="00893559">
      <w:pPr>
        <w:spacing w:after="0" w:line="360" w:lineRule="auto"/>
        <w:rPr>
          <w:rFonts w:eastAsia="Times New Roman" w:cs="Tahoma"/>
          <w:b/>
          <w:bCs/>
          <w:color w:val="000000"/>
          <w:lang w:eastAsia="es-ES"/>
        </w:rPr>
      </w:pPr>
      <w:r>
        <w:rPr>
          <w:rFonts w:eastAsia="Times New Roman" w:cs="Tahoma"/>
          <w:b/>
          <w:bCs/>
          <w:color w:val="auto"/>
          <w:lang w:eastAsia="es-ES"/>
        </w:rPr>
        <w:t>e</w:t>
      </w:r>
      <w:r w:rsidR="00225B70" w:rsidRPr="00225B70">
        <w:rPr>
          <w:rFonts w:eastAsia="Times New Roman" w:cs="Tahoma"/>
          <w:b/>
          <w:bCs/>
          <w:color w:val="auto"/>
          <w:lang w:eastAsia="es-ES"/>
        </w:rPr>
        <w:t xml:space="preserve">) Vista del informe justificado. </w:t>
      </w:r>
      <w:r w:rsidR="00225B70" w:rsidRPr="00225B70">
        <w:rPr>
          <w:rFonts w:eastAsia="Times New Roman" w:cs="Tahoma"/>
          <w:color w:val="auto"/>
          <w:lang w:eastAsia="es-ES"/>
        </w:rPr>
        <w:t xml:space="preserve">El </w:t>
      </w:r>
      <w:r w:rsidR="007B3020">
        <w:rPr>
          <w:rFonts w:eastAsia="Times New Roman" w:cs="Tahoma"/>
          <w:color w:val="auto"/>
          <w:lang w:eastAsia="es-ES"/>
        </w:rPr>
        <w:t>diecisiete</w:t>
      </w:r>
      <w:r w:rsidR="00225B70" w:rsidRPr="00225B70">
        <w:rPr>
          <w:rFonts w:eastAsia="Times New Roman" w:cs="Tahoma"/>
          <w:color w:val="auto"/>
          <w:lang w:eastAsia="es-ES"/>
        </w:rPr>
        <w:t xml:space="preserve"> de </w:t>
      </w:r>
      <w:r w:rsidR="007B3020">
        <w:rPr>
          <w:rFonts w:eastAsia="Times New Roman" w:cs="Tahoma"/>
          <w:color w:val="auto"/>
          <w:lang w:eastAsia="es-ES"/>
        </w:rPr>
        <w:t>marzo</w:t>
      </w:r>
      <w:r w:rsidR="00225B70" w:rsidRPr="00225B70">
        <w:rPr>
          <w:rFonts w:eastAsia="Times New Roman" w:cs="Tahoma"/>
          <w:color w:val="auto"/>
          <w:lang w:eastAsia="es-ES"/>
        </w:rPr>
        <w:t xml:space="preserve"> de dos mil veinti</w:t>
      </w:r>
      <w:r w:rsidR="007B3020">
        <w:rPr>
          <w:rFonts w:eastAsia="Times New Roman" w:cs="Tahoma"/>
          <w:color w:val="auto"/>
          <w:lang w:eastAsia="es-ES"/>
        </w:rPr>
        <w:t>dós</w:t>
      </w:r>
      <w:r w:rsidR="00225B70" w:rsidRPr="00225B70">
        <w:rPr>
          <w:rFonts w:eastAsia="Times New Roman" w:cs="Tahoma"/>
          <w:color w:val="auto"/>
          <w:lang w:eastAsia="es-ES"/>
        </w:rPr>
        <w:t xml:space="preserve">, se dictó acuerdo mediante el cual </w:t>
      </w:r>
      <w:r w:rsidR="00225B70" w:rsidRPr="00225B70">
        <w:rPr>
          <w:rFonts w:eastAsia="Times New Roman" w:cs="Tahoma"/>
          <w:bCs/>
          <w:color w:val="auto"/>
          <w:lang w:eastAsia="es-ES"/>
        </w:rPr>
        <w:t>se puso a la vista del Particular el Informe Justificado</w:t>
      </w:r>
      <w:r w:rsidR="00225B70" w:rsidRPr="00225B70">
        <w:rPr>
          <w:rFonts w:eastAsia="Times New Roman" w:cs="Tahoma"/>
          <w:color w:val="auto"/>
          <w:lang w:eastAsia="es-ES"/>
        </w:rPr>
        <w:t xml:space="preserve"> entregado por el Sujeto Obligado, el cual fue notificado, a través del Sistema de Acceso a la Información Mexiquense (SAIMEX), el </w:t>
      </w:r>
      <w:r w:rsidR="007B3020">
        <w:rPr>
          <w:rFonts w:eastAsia="Times New Roman" w:cs="Tahoma"/>
          <w:color w:val="auto"/>
          <w:lang w:eastAsia="es-ES"/>
        </w:rPr>
        <w:t>veintitrés del mismo mes y año.</w:t>
      </w:r>
      <w:r w:rsidR="00225B70" w:rsidRPr="00225B70">
        <w:rPr>
          <w:rFonts w:eastAsia="Times New Roman" w:cs="Tahoma"/>
          <w:color w:val="auto"/>
          <w:lang w:eastAsia="es-ES"/>
        </w:rPr>
        <w:t xml:space="preserve"> </w:t>
      </w:r>
      <w:r w:rsidR="00225B70" w:rsidRPr="00225B70">
        <w:rPr>
          <w:rFonts w:eastAsia="Times New Roman" w:cs="Tahoma"/>
          <w:b/>
          <w:bCs/>
          <w:color w:val="000000"/>
          <w:lang w:eastAsia="es-ES"/>
        </w:rPr>
        <w:t>Cabe señalar que la parte Recurrente fue omisa en emitir manifestaciones.</w:t>
      </w:r>
    </w:p>
    <w:p w14:paraId="5BF9CF1F" w14:textId="77777777" w:rsidR="00700129" w:rsidRPr="006F4471" w:rsidRDefault="00700129" w:rsidP="00893559">
      <w:pPr>
        <w:spacing w:after="0" w:line="360" w:lineRule="auto"/>
        <w:rPr>
          <w:b/>
          <w:bCs/>
          <w:lang w:val="es-ES"/>
        </w:rPr>
      </w:pPr>
    </w:p>
    <w:p w14:paraId="582FEC1A" w14:textId="664A6E65" w:rsidR="00DF3D57" w:rsidRPr="00985822" w:rsidRDefault="00DF3D57" w:rsidP="00893559">
      <w:pPr>
        <w:spacing w:after="0" w:line="360" w:lineRule="auto"/>
        <w:rPr>
          <w:rFonts w:eastAsia="Times New Roman" w:cs="Tahoma"/>
          <w:bCs/>
          <w:szCs w:val="24"/>
          <w:lang w:eastAsia="es-ES"/>
        </w:rPr>
      </w:pPr>
      <w:r w:rsidRPr="006F4471">
        <w:rPr>
          <w:rFonts w:eastAsia="Times New Roman" w:cs="Tahoma"/>
          <w:b/>
          <w:szCs w:val="24"/>
          <w:lang w:eastAsia="es-ES"/>
        </w:rPr>
        <w:t xml:space="preserve">f) </w:t>
      </w:r>
      <w:r w:rsidRPr="00C82C27">
        <w:rPr>
          <w:rFonts w:eastAsia="Times New Roman" w:cs="Tahoma"/>
          <w:b/>
          <w:bCs/>
          <w:szCs w:val="24"/>
          <w:lang w:eastAsia="es-ES"/>
        </w:rPr>
        <w:t>Requerimiento de información adicional:</w:t>
      </w:r>
      <w:r w:rsidRPr="00C82C27">
        <w:rPr>
          <w:rFonts w:eastAsia="Times New Roman" w:cs="Tahoma"/>
          <w:szCs w:val="24"/>
          <w:lang w:eastAsia="es-ES"/>
        </w:rPr>
        <w:t xml:space="preserve"> El </w:t>
      </w:r>
      <w:r>
        <w:rPr>
          <w:rFonts w:eastAsia="Times New Roman" w:cs="Tahoma"/>
          <w:szCs w:val="24"/>
          <w:lang w:eastAsia="es-ES"/>
        </w:rPr>
        <w:t>catorce</w:t>
      </w:r>
      <w:r w:rsidRPr="00C82C27">
        <w:rPr>
          <w:rFonts w:eastAsia="Times New Roman" w:cs="Tahoma"/>
          <w:szCs w:val="24"/>
          <w:lang w:eastAsia="es-ES"/>
        </w:rPr>
        <w:t xml:space="preserve"> de </w:t>
      </w:r>
      <w:r>
        <w:rPr>
          <w:rFonts w:eastAsia="Times New Roman" w:cs="Tahoma"/>
          <w:szCs w:val="24"/>
          <w:lang w:eastAsia="es-ES"/>
        </w:rPr>
        <w:t>marzo</w:t>
      </w:r>
      <w:r w:rsidRPr="00C82C27">
        <w:rPr>
          <w:rFonts w:eastAsia="Times New Roman" w:cs="Tahoma"/>
          <w:szCs w:val="24"/>
          <w:lang w:eastAsia="es-ES"/>
        </w:rPr>
        <w:t xml:space="preserve"> de dos mil veintidós, se emitió un requerimiento de información adicional suscrito por el Comisionado Ponente el cual es dirigido a la Titular de la Unidad de Transparencia del Sujeto Obligado, lo anterior de conformidad con </w:t>
      </w:r>
      <w:r w:rsidRPr="00C82C27">
        <w:rPr>
          <w:rFonts w:eastAsia="Times New Roman" w:cs="Tahoma"/>
          <w:szCs w:val="24"/>
          <w:lang w:val="es-ES_tradnl" w:eastAsia="es-ES"/>
        </w:rPr>
        <w:t xml:space="preserve">los artículos 14, fracciones I, II, V y XVI, del Reglamento Interior del Instituto de Transparencia, Acceso a la Información Pública y Protección de Datos Personales del Estado de México y Municipios, mismo que fue notificado a la </w:t>
      </w:r>
      <w:r w:rsidR="00985822" w:rsidRPr="00985822">
        <w:rPr>
          <w:rFonts w:eastAsia="Times New Roman" w:cs="Tahoma"/>
          <w:bCs/>
          <w:szCs w:val="24"/>
          <w:lang w:eastAsia="es-ES"/>
        </w:rPr>
        <w:t>Universidad Politécnica del Valle de</w:t>
      </w:r>
      <w:r w:rsidR="00985822">
        <w:rPr>
          <w:rFonts w:eastAsia="Times New Roman" w:cs="Tahoma"/>
          <w:bCs/>
          <w:szCs w:val="24"/>
          <w:lang w:eastAsia="es-ES"/>
        </w:rPr>
        <w:t xml:space="preserve"> </w:t>
      </w:r>
      <w:r w:rsidR="00985822" w:rsidRPr="00985822">
        <w:rPr>
          <w:rFonts w:eastAsia="Times New Roman" w:cs="Tahoma"/>
          <w:bCs/>
          <w:szCs w:val="24"/>
          <w:lang w:eastAsia="es-ES"/>
        </w:rPr>
        <w:t>Toluca</w:t>
      </w:r>
      <w:r w:rsidR="00985822">
        <w:rPr>
          <w:rFonts w:eastAsia="Times New Roman" w:cs="Tahoma"/>
          <w:bCs/>
          <w:szCs w:val="24"/>
          <w:lang w:eastAsia="es-ES"/>
        </w:rPr>
        <w:t xml:space="preserve"> </w:t>
      </w:r>
      <w:r w:rsidRPr="00C82C27">
        <w:rPr>
          <w:rFonts w:eastAsia="Times New Roman" w:cs="Tahoma"/>
          <w:szCs w:val="24"/>
          <w:lang w:eastAsia="es-ES"/>
        </w:rPr>
        <w:t xml:space="preserve">el </w:t>
      </w:r>
      <w:r w:rsidR="00985822">
        <w:rPr>
          <w:rFonts w:eastAsia="Times New Roman" w:cs="Tahoma"/>
          <w:szCs w:val="24"/>
          <w:lang w:eastAsia="es-ES"/>
        </w:rPr>
        <w:t>quince del mismo mes y año</w:t>
      </w:r>
      <w:r w:rsidRPr="00C82C27">
        <w:rPr>
          <w:rFonts w:eastAsia="Times New Roman" w:cs="Tahoma"/>
          <w:szCs w:val="24"/>
          <w:lang w:val="es-ES_tradnl" w:eastAsia="es-ES"/>
        </w:rPr>
        <w:t xml:space="preserve">, a través de correo electrónico y el Sistema de Acceso a la Información Mexiquense (SAIMEX), por medio del cual se le solicitó </w:t>
      </w:r>
      <w:r w:rsidR="00BF09FA">
        <w:rPr>
          <w:rFonts w:eastAsia="Times New Roman" w:cs="Tahoma"/>
          <w:szCs w:val="24"/>
          <w:lang w:val="es-ES_tradnl" w:eastAsia="es-ES"/>
        </w:rPr>
        <w:t xml:space="preserve">indicara </w:t>
      </w:r>
      <w:r w:rsidRPr="00C82C27">
        <w:rPr>
          <w:rFonts w:eastAsia="Times New Roman" w:cs="Tahoma"/>
          <w:szCs w:val="24"/>
          <w:lang w:val="es-ES_tradnl" w:eastAsia="es-ES"/>
        </w:rPr>
        <w:t>lo siguiente:</w:t>
      </w:r>
    </w:p>
    <w:p w14:paraId="418191B0" w14:textId="77777777" w:rsidR="00DF3D57" w:rsidRPr="00C82C27" w:rsidRDefault="00DF3D57" w:rsidP="00893559">
      <w:pPr>
        <w:spacing w:after="0" w:line="360" w:lineRule="auto"/>
        <w:rPr>
          <w:rFonts w:eastAsia="Times New Roman" w:cs="Tahoma"/>
          <w:szCs w:val="24"/>
          <w:lang w:eastAsia="es-ES"/>
        </w:rPr>
      </w:pPr>
    </w:p>
    <w:p w14:paraId="540ED792" w14:textId="2151EA13" w:rsidR="00985822" w:rsidRPr="00985822" w:rsidRDefault="00DF3D57" w:rsidP="00893559">
      <w:pPr>
        <w:spacing w:after="0" w:line="360" w:lineRule="auto"/>
        <w:ind w:left="567" w:right="567"/>
        <w:rPr>
          <w:rFonts w:eastAsia="Times New Roman" w:cs="Tahoma"/>
          <w:i/>
          <w:iCs/>
          <w:sz w:val="20"/>
          <w:szCs w:val="20"/>
          <w:lang w:eastAsia="es-ES"/>
        </w:rPr>
      </w:pPr>
      <w:r w:rsidRPr="00C82C27">
        <w:rPr>
          <w:rFonts w:eastAsia="Times New Roman" w:cs="Tahoma"/>
          <w:i/>
          <w:iCs/>
          <w:sz w:val="20"/>
          <w:szCs w:val="20"/>
          <w:lang w:eastAsia="es-ES"/>
        </w:rPr>
        <w:t>“…</w:t>
      </w:r>
      <w:r w:rsidR="00985822">
        <w:rPr>
          <w:rFonts w:eastAsia="Times New Roman" w:cs="Tahoma"/>
          <w:i/>
          <w:iCs/>
          <w:sz w:val="20"/>
          <w:szCs w:val="20"/>
          <w:lang w:eastAsia="es-ES"/>
        </w:rPr>
        <w:t xml:space="preserve"> </w:t>
      </w:r>
    </w:p>
    <w:p w14:paraId="053B0137" w14:textId="320BDED8" w:rsidR="00985822" w:rsidRPr="00985822" w:rsidRDefault="00985822" w:rsidP="00893559">
      <w:pPr>
        <w:pStyle w:val="Prrafodelista"/>
        <w:numPr>
          <w:ilvl w:val="0"/>
          <w:numId w:val="3"/>
        </w:numPr>
        <w:spacing w:line="360" w:lineRule="auto"/>
        <w:ind w:left="567" w:right="567" w:firstLine="0"/>
        <w:rPr>
          <w:rFonts w:cs="Tahoma"/>
          <w:i/>
          <w:iCs/>
          <w:sz w:val="20"/>
          <w:szCs w:val="20"/>
          <w:lang w:val="es-ES"/>
        </w:rPr>
      </w:pPr>
      <w:r w:rsidRPr="00985822">
        <w:rPr>
          <w:rFonts w:cs="Tahoma"/>
          <w:i/>
          <w:iCs/>
          <w:sz w:val="20"/>
          <w:szCs w:val="20"/>
          <w:lang w:val="es-ES"/>
        </w:rPr>
        <w:t>Si cuenta en sus archivos con los recibos del personal que labora en la Universidad del Valle de Toluca o algún documento homólogo donde se reflejen las remuneraciones pagadas;</w:t>
      </w:r>
    </w:p>
    <w:p w14:paraId="43AA5367" w14:textId="77777777" w:rsidR="00985822" w:rsidRPr="00985822" w:rsidRDefault="00985822" w:rsidP="00893559">
      <w:pPr>
        <w:spacing w:after="0" w:line="360" w:lineRule="auto"/>
        <w:ind w:left="567" w:right="567"/>
        <w:rPr>
          <w:rFonts w:eastAsia="Times New Roman" w:cs="Tahoma"/>
          <w:i/>
          <w:iCs/>
          <w:sz w:val="20"/>
          <w:szCs w:val="20"/>
          <w:lang w:val="es-ES" w:eastAsia="es-ES"/>
        </w:rPr>
      </w:pPr>
      <w:r w:rsidRPr="00985822">
        <w:rPr>
          <w:rFonts w:eastAsia="Times New Roman" w:cs="Tahoma"/>
          <w:i/>
          <w:iCs/>
          <w:sz w:val="20"/>
          <w:szCs w:val="20"/>
          <w:lang w:val="es-ES" w:eastAsia="es-ES"/>
        </w:rPr>
        <w:t>b. La fecha de alta y baja de Aviña García Nancy Claudia;</w:t>
      </w:r>
    </w:p>
    <w:p w14:paraId="52E905F5" w14:textId="27D7B218" w:rsidR="00985822" w:rsidRDefault="00985822" w:rsidP="00893559">
      <w:pPr>
        <w:spacing w:after="0" w:line="360" w:lineRule="auto"/>
        <w:ind w:left="567" w:right="567"/>
        <w:rPr>
          <w:rFonts w:eastAsia="Times New Roman" w:cs="Tahoma"/>
          <w:i/>
          <w:iCs/>
          <w:sz w:val="20"/>
          <w:szCs w:val="20"/>
          <w:lang w:val="es-ES" w:eastAsia="es-ES"/>
        </w:rPr>
      </w:pPr>
      <w:r w:rsidRPr="00985822">
        <w:rPr>
          <w:rFonts w:eastAsia="Times New Roman" w:cs="Tahoma"/>
          <w:i/>
          <w:iCs/>
          <w:sz w:val="20"/>
          <w:szCs w:val="20"/>
          <w:lang w:val="es-ES" w:eastAsia="es-ES"/>
        </w:rPr>
        <w:t>c. El monto pagado por finiquito o prestación entregada por la recisión laboral, que incluya</w:t>
      </w:r>
      <w:r>
        <w:rPr>
          <w:rFonts w:eastAsia="Times New Roman" w:cs="Tahoma"/>
          <w:i/>
          <w:iCs/>
          <w:sz w:val="20"/>
          <w:szCs w:val="20"/>
          <w:lang w:val="es-ES" w:eastAsia="es-ES"/>
        </w:rPr>
        <w:t xml:space="preserve"> </w:t>
      </w:r>
      <w:r w:rsidRPr="00985822">
        <w:rPr>
          <w:rFonts w:eastAsia="Times New Roman" w:cs="Tahoma"/>
          <w:i/>
          <w:iCs/>
          <w:sz w:val="20"/>
          <w:szCs w:val="20"/>
          <w:lang w:val="es-ES" w:eastAsia="es-ES"/>
        </w:rPr>
        <w:t>el concepto.</w:t>
      </w:r>
    </w:p>
    <w:p w14:paraId="10DF1D52" w14:textId="7664E9E4" w:rsidR="00DF3D57" w:rsidRDefault="00DF3D57" w:rsidP="00893559">
      <w:pPr>
        <w:spacing w:after="0" w:line="360" w:lineRule="auto"/>
        <w:ind w:left="567" w:right="567"/>
        <w:rPr>
          <w:rFonts w:eastAsia="Times New Roman" w:cs="Tahoma"/>
          <w:i/>
          <w:iCs/>
          <w:sz w:val="20"/>
          <w:szCs w:val="20"/>
          <w:lang w:val="es-ES" w:eastAsia="es-ES"/>
        </w:rPr>
      </w:pPr>
      <w:r w:rsidRPr="00C82C27">
        <w:rPr>
          <w:rFonts w:eastAsia="Times New Roman" w:cs="Tahoma"/>
          <w:i/>
          <w:iCs/>
          <w:sz w:val="20"/>
          <w:szCs w:val="20"/>
          <w:lang w:val="es-ES" w:eastAsia="es-ES"/>
        </w:rPr>
        <w:t xml:space="preserve">…” (Sic) </w:t>
      </w:r>
    </w:p>
    <w:p w14:paraId="186DB73B" w14:textId="77777777" w:rsidR="00357D1B" w:rsidRPr="00C82C27" w:rsidRDefault="00357D1B" w:rsidP="00893559">
      <w:pPr>
        <w:spacing w:after="0" w:line="360" w:lineRule="auto"/>
        <w:ind w:left="567" w:right="567"/>
        <w:rPr>
          <w:rFonts w:eastAsia="Times New Roman" w:cs="Tahoma"/>
          <w:i/>
          <w:iCs/>
          <w:sz w:val="20"/>
          <w:szCs w:val="20"/>
          <w:lang w:val="es-ES" w:eastAsia="es-ES"/>
        </w:rPr>
      </w:pPr>
    </w:p>
    <w:p w14:paraId="645B5FC3" w14:textId="19128429" w:rsidR="00985822" w:rsidRDefault="00985822" w:rsidP="00893559">
      <w:pPr>
        <w:spacing w:after="0" w:line="360" w:lineRule="auto"/>
        <w:rPr>
          <w:rFonts w:eastAsia="Times New Roman" w:cs="Tahoma"/>
          <w:szCs w:val="24"/>
          <w:lang w:val="es-ES" w:eastAsia="es-ES"/>
        </w:rPr>
      </w:pPr>
      <w:r>
        <w:rPr>
          <w:rFonts w:eastAsia="Times New Roman" w:cs="Tahoma"/>
          <w:b/>
          <w:bCs/>
          <w:szCs w:val="24"/>
          <w:lang w:eastAsia="es-ES"/>
        </w:rPr>
        <w:t>g</w:t>
      </w:r>
      <w:r w:rsidRPr="00C4052B">
        <w:rPr>
          <w:rFonts w:eastAsia="Times New Roman" w:cs="Tahoma"/>
          <w:b/>
          <w:bCs/>
          <w:szCs w:val="24"/>
          <w:lang w:eastAsia="es-ES"/>
        </w:rPr>
        <w:t xml:space="preserve">) Desahogo del </w:t>
      </w:r>
      <w:r w:rsidRPr="00AA4376">
        <w:rPr>
          <w:rFonts w:eastAsia="Times New Roman" w:cs="Tahoma"/>
          <w:b/>
          <w:bCs/>
          <w:szCs w:val="24"/>
          <w:lang w:eastAsia="es-ES"/>
        </w:rPr>
        <w:t xml:space="preserve">requerimiento de información adicional: </w:t>
      </w:r>
      <w:r w:rsidRPr="00AA4376">
        <w:rPr>
          <w:rFonts w:eastAsia="Times New Roman" w:cs="Tahoma"/>
          <w:szCs w:val="24"/>
          <w:lang w:eastAsia="es-ES"/>
        </w:rPr>
        <w:t>El</w:t>
      </w:r>
      <w:r w:rsidRPr="00C4052B">
        <w:rPr>
          <w:rFonts w:eastAsia="Times New Roman" w:cs="Tahoma"/>
          <w:szCs w:val="24"/>
          <w:lang w:eastAsia="es-ES"/>
        </w:rPr>
        <w:t xml:space="preserve"> </w:t>
      </w:r>
      <w:r w:rsidR="00AA4376">
        <w:rPr>
          <w:rFonts w:eastAsia="Times New Roman" w:cs="Tahoma"/>
          <w:szCs w:val="24"/>
          <w:lang w:eastAsia="es-ES"/>
        </w:rPr>
        <w:t>diecisiete</w:t>
      </w:r>
      <w:r w:rsidRPr="00C4052B">
        <w:rPr>
          <w:rFonts w:eastAsia="Times New Roman" w:cs="Tahoma"/>
          <w:szCs w:val="24"/>
          <w:lang w:eastAsia="es-ES"/>
        </w:rPr>
        <w:t xml:space="preserve"> de marzo de dos mil veintidós, </w:t>
      </w:r>
      <w:r w:rsidRPr="00C4052B">
        <w:rPr>
          <w:rFonts w:eastAsia="Times New Roman" w:cs="Tahoma"/>
          <w:szCs w:val="24"/>
          <w:lang w:val="es-ES" w:eastAsia="es-ES"/>
        </w:rPr>
        <w:t xml:space="preserve">se recibió por medio de correo </w:t>
      </w:r>
      <w:r>
        <w:rPr>
          <w:rFonts w:eastAsia="Times New Roman" w:cs="Tahoma"/>
          <w:szCs w:val="24"/>
          <w:lang w:val="es-ES" w:eastAsia="es-ES"/>
        </w:rPr>
        <w:t>oficial</w:t>
      </w:r>
      <w:r w:rsidRPr="00C4052B">
        <w:rPr>
          <w:rFonts w:eastAsia="Times New Roman" w:cs="Tahoma"/>
          <w:szCs w:val="24"/>
          <w:lang w:val="es-ES" w:eastAsia="es-ES"/>
        </w:rPr>
        <w:t>, el desahogo del requerimiento de información adicional</w:t>
      </w:r>
      <w:r>
        <w:rPr>
          <w:rFonts w:eastAsia="Times New Roman" w:cs="Tahoma"/>
          <w:szCs w:val="24"/>
          <w:lang w:val="es-ES" w:eastAsia="es-ES"/>
        </w:rPr>
        <w:t>,</w:t>
      </w:r>
      <w:r w:rsidRPr="00C4052B">
        <w:rPr>
          <w:rFonts w:eastAsia="Times New Roman" w:cs="Tahoma"/>
          <w:szCs w:val="24"/>
          <w:lang w:val="es-ES" w:eastAsia="es-ES"/>
        </w:rPr>
        <w:t xml:space="preserve"> por medio del oficio </w:t>
      </w:r>
      <w:r w:rsidR="00AA4376">
        <w:rPr>
          <w:rFonts w:eastAsia="Times New Roman" w:cs="Tahoma"/>
          <w:szCs w:val="24"/>
          <w:lang w:val="es-ES" w:eastAsia="es-ES"/>
        </w:rPr>
        <w:t>210C28010</w:t>
      </w:r>
      <w:r w:rsidR="00357D1B">
        <w:rPr>
          <w:rFonts w:eastAsia="Times New Roman" w:cs="Tahoma"/>
          <w:szCs w:val="24"/>
          <w:lang w:val="es-ES" w:eastAsia="es-ES"/>
        </w:rPr>
        <w:t>1</w:t>
      </w:r>
      <w:r w:rsidR="00AA4376">
        <w:rPr>
          <w:rFonts w:eastAsia="Times New Roman" w:cs="Tahoma"/>
          <w:szCs w:val="24"/>
          <w:lang w:val="es-ES" w:eastAsia="es-ES"/>
        </w:rPr>
        <w:t>000</w:t>
      </w:r>
      <w:r w:rsidR="00357D1B">
        <w:rPr>
          <w:rFonts w:eastAsia="Times New Roman" w:cs="Tahoma"/>
          <w:szCs w:val="24"/>
          <w:lang w:val="es-ES" w:eastAsia="es-ES"/>
        </w:rPr>
        <w:t>1</w:t>
      </w:r>
      <w:r w:rsidR="00AA4376">
        <w:rPr>
          <w:rFonts w:eastAsia="Times New Roman" w:cs="Tahoma"/>
          <w:szCs w:val="24"/>
          <w:lang w:val="es-ES" w:eastAsia="es-ES"/>
        </w:rPr>
        <w:t>L/11</w:t>
      </w:r>
      <w:r w:rsidR="00357D1B">
        <w:rPr>
          <w:rFonts w:eastAsia="Times New Roman" w:cs="Tahoma"/>
          <w:szCs w:val="24"/>
          <w:lang w:val="es-ES" w:eastAsia="es-ES"/>
        </w:rPr>
        <w:t>5</w:t>
      </w:r>
      <w:r w:rsidR="00AA4376">
        <w:rPr>
          <w:rFonts w:eastAsia="Times New Roman" w:cs="Tahoma"/>
          <w:szCs w:val="24"/>
          <w:lang w:val="es-ES" w:eastAsia="es-ES"/>
        </w:rPr>
        <w:t>/2022</w:t>
      </w:r>
      <w:r>
        <w:rPr>
          <w:rFonts w:eastAsia="Times New Roman" w:cs="Tahoma"/>
          <w:szCs w:val="24"/>
          <w:lang w:val="es-ES" w:eastAsia="es-ES"/>
        </w:rPr>
        <w:t>,</w:t>
      </w:r>
      <w:r w:rsidRPr="00C4052B">
        <w:rPr>
          <w:rFonts w:eastAsia="Times New Roman" w:cs="Tahoma"/>
          <w:szCs w:val="24"/>
          <w:lang w:val="es-ES" w:eastAsia="es-ES"/>
        </w:rPr>
        <w:t xml:space="preserve"> </w:t>
      </w:r>
      <w:r w:rsidR="00AA4376">
        <w:rPr>
          <w:rFonts w:eastAsia="Times New Roman" w:cs="Tahoma"/>
          <w:szCs w:val="24"/>
          <w:lang w:val="es-ES" w:eastAsia="es-ES"/>
        </w:rPr>
        <w:t>de</w:t>
      </w:r>
      <w:r w:rsidR="00357D1B">
        <w:rPr>
          <w:rFonts w:eastAsia="Times New Roman" w:cs="Tahoma"/>
          <w:szCs w:val="24"/>
          <w:lang w:val="es-ES" w:eastAsia="es-ES"/>
        </w:rPr>
        <w:t xml:space="preserve"> </w:t>
      </w:r>
      <w:r w:rsidR="00AA4376">
        <w:rPr>
          <w:rFonts w:eastAsia="Times New Roman" w:cs="Tahoma"/>
          <w:szCs w:val="24"/>
          <w:lang w:val="es-ES" w:eastAsia="es-ES"/>
        </w:rPr>
        <w:t>l</w:t>
      </w:r>
      <w:r w:rsidR="00357D1B">
        <w:rPr>
          <w:rFonts w:eastAsia="Times New Roman" w:cs="Tahoma"/>
          <w:szCs w:val="24"/>
          <w:lang w:val="es-ES" w:eastAsia="es-ES"/>
        </w:rPr>
        <w:t>a</w:t>
      </w:r>
      <w:r w:rsidR="00AA4376">
        <w:rPr>
          <w:rFonts w:eastAsia="Times New Roman" w:cs="Tahoma"/>
          <w:szCs w:val="24"/>
          <w:lang w:val="es-ES" w:eastAsia="es-ES"/>
        </w:rPr>
        <w:t xml:space="preserve"> </w:t>
      </w:r>
      <w:r w:rsidR="00357D1B">
        <w:rPr>
          <w:rFonts w:eastAsia="Times New Roman" w:cs="Tahoma"/>
          <w:szCs w:val="24"/>
          <w:lang w:val="es-ES" w:eastAsia="es-ES"/>
        </w:rPr>
        <w:t>misma fecha de recepción</w:t>
      </w:r>
      <w:r>
        <w:rPr>
          <w:rFonts w:eastAsia="Times New Roman" w:cs="Tahoma"/>
          <w:szCs w:val="24"/>
          <w:lang w:val="es-ES" w:eastAsia="es-ES"/>
        </w:rPr>
        <w:t>,</w:t>
      </w:r>
      <w:r w:rsidRPr="00C4052B">
        <w:rPr>
          <w:rFonts w:eastAsia="Times New Roman" w:cs="Tahoma"/>
          <w:szCs w:val="24"/>
          <w:lang w:val="es-ES" w:eastAsia="es-ES"/>
        </w:rPr>
        <w:t xml:space="preserve"> </w:t>
      </w:r>
      <w:r w:rsidR="00357D1B">
        <w:rPr>
          <w:rFonts w:eastAsia="Times New Roman" w:cs="Tahoma"/>
          <w:szCs w:val="24"/>
          <w:lang w:val="es-ES" w:eastAsia="es-ES"/>
        </w:rPr>
        <w:lastRenderedPageBreak/>
        <w:t xml:space="preserve">suscrito </w:t>
      </w:r>
      <w:r w:rsidR="00AA4376" w:rsidRPr="00AA4376">
        <w:rPr>
          <w:rFonts w:eastAsia="Times New Roman" w:cs="Tahoma"/>
          <w:szCs w:val="24"/>
          <w:lang w:val="es-ES" w:eastAsia="es-ES"/>
        </w:rPr>
        <w:t>por la Jefa de Departamento de Información, Planeación, Programación y Evaluación y Titular de la Unidad de Transparencia</w:t>
      </w:r>
      <w:r w:rsidRPr="00C4052B">
        <w:rPr>
          <w:rFonts w:eastAsia="Times New Roman" w:cs="Tahoma"/>
          <w:szCs w:val="24"/>
          <w:lang w:val="es-ES" w:eastAsia="es-ES"/>
        </w:rPr>
        <w:t xml:space="preserve">, </w:t>
      </w:r>
      <w:r>
        <w:rPr>
          <w:rFonts w:eastAsia="Times New Roman" w:cs="Tahoma"/>
          <w:szCs w:val="24"/>
          <w:lang w:val="es-ES" w:eastAsia="es-ES"/>
        </w:rPr>
        <w:t xml:space="preserve">por medio del cual </w:t>
      </w:r>
      <w:r w:rsidR="00AA4376">
        <w:rPr>
          <w:rFonts w:eastAsia="Times New Roman" w:cs="Tahoma"/>
          <w:szCs w:val="24"/>
          <w:lang w:val="es-ES" w:eastAsia="es-ES"/>
        </w:rPr>
        <w:t xml:space="preserve">informa lo siguiente: </w:t>
      </w:r>
    </w:p>
    <w:p w14:paraId="55B499FB" w14:textId="77777777" w:rsidR="00357D1B" w:rsidRDefault="00357D1B" w:rsidP="00893559">
      <w:pPr>
        <w:spacing w:after="0" w:line="360" w:lineRule="auto"/>
        <w:rPr>
          <w:rFonts w:eastAsia="Times New Roman" w:cs="Tahoma"/>
          <w:szCs w:val="24"/>
          <w:lang w:val="es-ES" w:eastAsia="es-ES"/>
        </w:rPr>
      </w:pPr>
    </w:p>
    <w:p w14:paraId="3D71AD19" w14:textId="15D84A88" w:rsidR="00E16D99" w:rsidRPr="000961EB" w:rsidRDefault="00E16D99" w:rsidP="00893559">
      <w:pPr>
        <w:spacing w:after="0" w:line="360" w:lineRule="auto"/>
        <w:ind w:left="567" w:right="567"/>
        <w:rPr>
          <w:rFonts w:eastAsia="Times New Roman" w:cs="Tahoma"/>
          <w:i/>
          <w:iCs/>
          <w:sz w:val="20"/>
          <w:lang w:val="es-ES" w:eastAsia="es-ES"/>
        </w:rPr>
      </w:pPr>
      <w:r w:rsidRPr="000961EB">
        <w:rPr>
          <w:rFonts w:eastAsia="Times New Roman" w:cs="Tahoma"/>
          <w:i/>
          <w:iCs/>
          <w:sz w:val="20"/>
          <w:lang w:val="es-ES" w:eastAsia="es-ES"/>
        </w:rPr>
        <w:t>“…</w:t>
      </w:r>
    </w:p>
    <w:p w14:paraId="0EBE2C1D" w14:textId="675B9985" w:rsidR="00357D1B" w:rsidRPr="00357D1B" w:rsidRDefault="00357D1B" w:rsidP="00893559">
      <w:pPr>
        <w:pStyle w:val="Prrafodelista"/>
        <w:spacing w:line="360" w:lineRule="auto"/>
        <w:ind w:left="567" w:right="567"/>
        <w:rPr>
          <w:rFonts w:cs="Tahoma"/>
          <w:i/>
          <w:iCs/>
          <w:sz w:val="20"/>
          <w:szCs w:val="22"/>
          <w:lang w:val="es-ES"/>
        </w:rPr>
      </w:pPr>
      <w:r w:rsidRPr="00357D1B">
        <w:rPr>
          <w:rFonts w:cs="Tahoma"/>
          <w:i/>
          <w:iCs/>
          <w:sz w:val="20"/>
          <w:szCs w:val="22"/>
          <w:lang w:val="es-ES"/>
        </w:rPr>
        <w:t xml:space="preserve">Al respecto, con fundamento en los artículos 24 fracción VIII, 53, 56 de la Ley de Transparencia y Acceso a la Información Pública del Estado de México y Municipios, se atiende el requerimiento en los siguientes términos: </w:t>
      </w:r>
    </w:p>
    <w:p w14:paraId="30AF0E3B" w14:textId="77777777" w:rsidR="00357D1B" w:rsidRPr="00357D1B" w:rsidRDefault="00357D1B" w:rsidP="00893559">
      <w:pPr>
        <w:pStyle w:val="Prrafodelista"/>
        <w:spacing w:line="360" w:lineRule="auto"/>
        <w:ind w:left="567" w:right="567"/>
        <w:rPr>
          <w:rFonts w:cs="Tahoma"/>
          <w:i/>
          <w:iCs/>
          <w:sz w:val="20"/>
          <w:szCs w:val="22"/>
          <w:lang w:val="es-ES"/>
        </w:rPr>
      </w:pPr>
    </w:p>
    <w:p w14:paraId="46C1C207" w14:textId="77777777" w:rsidR="00357D1B" w:rsidRPr="00357D1B" w:rsidRDefault="00357D1B" w:rsidP="00893559">
      <w:pPr>
        <w:pStyle w:val="Prrafodelista"/>
        <w:spacing w:line="360" w:lineRule="auto"/>
        <w:ind w:left="567" w:right="567"/>
        <w:rPr>
          <w:rFonts w:cs="Tahoma"/>
          <w:i/>
          <w:iCs/>
          <w:sz w:val="20"/>
          <w:szCs w:val="22"/>
          <w:lang w:val="es-ES"/>
        </w:rPr>
      </w:pPr>
      <w:r w:rsidRPr="00357D1B">
        <w:rPr>
          <w:rFonts w:cs="Tahoma"/>
          <w:i/>
          <w:iCs/>
          <w:sz w:val="20"/>
          <w:szCs w:val="22"/>
          <w:lang w:val="es-ES"/>
        </w:rPr>
        <w:t xml:space="preserve">- Por cuanto a la información solicitada en el inciso a), se informa: “después de haber realizado una búsqueda exhaustiva y razonable en los archivos de esta Unidad Administrativa, no se cuenta ni se posee documento donde obren los recibos de nómina de la persona mencionada en la solicitud que nos ocupa; sin embargo, toda vez que, se analizaron todas las documentales que obran y se poseen en esta Unidad Administrativa y atendiendo al principio de máxima publicidad, una vez rastreada la información, se identificó que, en la página web de Servicio de Administración Tributaria (SAT), de la Secretaría de Hacienda y Crédito Público (SHCP) y en particular en el apartado de Facturación Electrónica, se localizaron algunos formatos denominados “Factura electrónica” CFDI, adjuntos al presente, siendo los únicos formatos que se encuentran en el sistema referido, mismos que reflejan las remuneraciones pagadas a la persona física mencionada en la solicitud que nos ocupa” </w:t>
      </w:r>
      <w:r w:rsidRPr="00213F23">
        <w:rPr>
          <w:rFonts w:cs="Tahoma"/>
          <w:b/>
          <w:bCs/>
          <w:i/>
          <w:iCs/>
          <w:sz w:val="20"/>
          <w:szCs w:val="22"/>
          <w:lang w:val="es-ES"/>
        </w:rPr>
        <w:t xml:space="preserve">(sic). </w:t>
      </w:r>
    </w:p>
    <w:p w14:paraId="123D6328" w14:textId="77777777" w:rsidR="00357D1B" w:rsidRPr="00357D1B" w:rsidRDefault="00357D1B" w:rsidP="00893559">
      <w:pPr>
        <w:pStyle w:val="Prrafodelista"/>
        <w:spacing w:line="360" w:lineRule="auto"/>
        <w:ind w:left="567" w:right="567"/>
        <w:rPr>
          <w:rFonts w:cs="Tahoma"/>
          <w:i/>
          <w:iCs/>
          <w:sz w:val="20"/>
          <w:szCs w:val="22"/>
          <w:lang w:val="es-ES"/>
        </w:rPr>
      </w:pPr>
    </w:p>
    <w:p w14:paraId="0B1DA8FC" w14:textId="7536F096" w:rsidR="000961EB" w:rsidRDefault="00357D1B" w:rsidP="00893559">
      <w:pPr>
        <w:pStyle w:val="Prrafodelista"/>
        <w:spacing w:line="360" w:lineRule="auto"/>
        <w:ind w:left="567" w:right="567"/>
        <w:rPr>
          <w:rFonts w:cs="Tahoma"/>
          <w:i/>
          <w:iCs/>
          <w:sz w:val="20"/>
          <w:szCs w:val="22"/>
          <w:lang w:val="es-ES"/>
        </w:rPr>
      </w:pPr>
      <w:r w:rsidRPr="00357D1B">
        <w:rPr>
          <w:rFonts w:cs="Tahoma"/>
          <w:i/>
          <w:iCs/>
          <w:sz w:val="20"/>
          <w:szCs w:val="22"/>
          <w:lang w:val="es-ES"/>
        </w:rPr>
        <w:t xml:space="preserve">  - En cuanto a la información solicitada en el inciso b), se informa: “la fecha de alta y baja de conformidad con los formatos de “Aviso de movimientos expedida por el Instituto de Seguridad Social del Estado de México y Municipios (ISSEMyM), en los que el tipo de movimiento reflejado es de alta y baja” (anexos); tal y como se ve reflejado a continuación.</w:t>
      </w:r>
    </w:p>
    <w:p w14:paraId="05EF1E02" w14:textId="77777777" w:rsidR="00213F23" w:rsidRPr="000961EB" w:rsidRDefault="00213F23" w:rsidP="00893559">
      <w:pPr>
        <w:pStyle w:val="Prrafodelista"/>
        <w:spacing w:line="360" w:lineRule="auto"/>
        <w:ind w:left="567" w:right="567"/>
        <w:rPr>
          <w:i/>
          <w:iCs/>
          <w:noProof/>
          <w:sz w:val="20"/>
          <w:szCs w:val="22"/>
        </w:rPr>
      </w:pPr>
    </w:p>
    <w:p w14:paraId="42B20524" w14:textId="64A0BCDC" w:rsidR="000961EB" w:rsidRDefault="000961EB" w:rsidP="00893559">
      <w:pPr>
        <w:pStyle w:val="Prrafodelista"/>
        <w:spacing w:line="360" w:lineRule="auto"/>
        <w:ind w:left="567" w:right="567"/>
        <w:jc w:val="center"/>
        <w:rPr>
          <w:rFonts w:cs="Tahoma"/>
          <w:i/>
          <w:iCs/>
          <w:sz w:val="20"/>
          <w:szCs w:val="22"/>
          <w:lang w:val="es-ES"/>
        </w:rPr>
      </w:pPr>
      <w:r w:rsidRPr="000961EB">
        <w:rPr>
          <w:i/>
          <w:iCs/>
          <w:noProof/>
          <w:sz w:val="20"/>
          <w:szCs w:val="22"/>
        </w:rPr>
        <w:drawing>
          <wp:inline distT="0" distB="0" distL="0" distR="0" wp14:anchorId="59045772" wp14:editId="066D0346">
            <wp:extent cx="3276600" cy="55093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184" t="47094" r="14482" b="30675"/>
                    <a:stretch/>
                  </pic:blipFill>
                  <pic:spPr bwMode="auto">
                    <a:xfrm>
                      <a:off x="0" y="0"/>
                      <a:ext cx="3313512" cy="557139"/>
                    </a:xfrm>
                    <a:prstGeom prst="rect">
                      <a:avLst/>
                    </a:prstGeom>
                    <a:ln>
                      <a:noFill/>
                    </a:ln>
                    <a:extLst>
                      <a:ext uri="{53640926-AAD7-44D8-BBD7-CCE9431645EC}">
                        <a14:shadowObscured xmlns:a14="http://schemas.microsoft.com/office/drawing/2010/main"/>
                      </a:ext>
                    </a:extLst>
                  </pic:spPr>
                </pic:pic>
              </a:graphicData>
            </a:graphic>
          </wp:inline>
        </w:drawing>
      </w:r>
      <w:r w:rsidR="00213F23">
        <w:rPr>
          <w:rFonts w:cs="Tahoma"/>
          <w:i/>
          <w:iCs/>
          <w:sz w:val="20"/>
          <w:szCs w:val="22"/>
          <w:lang w:val="es-ES"/>
        </w:rPr>
        <w:t xml:space="preserve"> </w:t>
      </w:r>
    </w:p>
    <w:p w14:paraId="71103E57" w14:textId="77777777" w:rsidR="000961EB" w:rsidRPr="000961EB" w:rsidRDefault="000961EB" w:rsidP="00893559">
      <w:pPr>
        <w:pStyle w:val="Prrafodelista"/>
        <w:spacing w:line="360" w:lineRule="auto"/>
        <w:ind w:left="567" w:right="567"/>
        <w:rPr>
          <w:rFonts w:cs="Tahoma"/>
          <w:i/>
          <w:iCs/>
          <w:sz w:val="20"/>
          <w:szCs w:val="22"/>
          <w:lang w:val="es-ES"/>
        </w:rPr>
      </w:pPr>
    </w:p>
    <w:p w14:paraId="78AC0EDF" w14:textId="1171ADEE" w:rsidR="00213F23"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Por lo que hace a la información solicitada en el inciso c), se informa: “dentro del archivo de esta Unidad Administrativa, no se genera ni se posee documento donde obre el pago de finiquito o prestación entregada por la recisión laboral, sin embargo, toda vez que, se analizaron todas las documentales que obran y poseen en esta Unidad Administrativa y atendiendo al principio de máxima publicidad, se identificó que mediante expediente 1636/2016, de fecha 8 de septiembre de 2018, la persona señalada en la solicitud que nos ocupa, promovió una demanda ante el Tribunal de Conciliación y Arbitraje del Valle de Toluca, en contra de la Universidad Politécnica del Valle de Toluca, expediente que se encuentra en resguardo del Organismo en comento, sin embargo a la fecha no se ha notificado a esta Casa de Estudios el acuerdo o resolución en el que la autoridad haya determinado el pago por concepto de finiquito o alguna otra prestación laboral</w:t>
      </w:r>
      <w:r w:rsidRPr="00213F23">
        <w:rPr>
          <w:rFonts w:eastAsia="Times New Roman" w:cs="Tahoma"/>
          <w:b/>
          <w:bCs/>
          <w:i/>
          <w:iCs/>
          <w:sz w:val="20"/>
          <w:lang w:val="es-ES" w:eastAsia="es-ES"/>
        </w:rPr>
        <w:t xml:space="preserve"> (sic). </w:t>
      </w:r>
    </w:p>
    <w:p w14:paraId="25ABE275" w14:textId="77777777" w:rsidR="00BF09FA" w:rsidRDefault="00BF09FA" w:rsidP="00893559">
      <w:pPr>
        <w:spacing w:after="0" w:line="360" w:lineRule="auto"/>
        <w:ind w:left="567" w:right="567"/>
        <w:rPr>
          <w:rFonts w:eastAsia="Times New Roman" w:cs="Tahoma"/>
          <w:i/>
          <w:iCs/>
          <w:sz w:val="20"/>
          <w:lang w:val="es-ES" w:eastAsia="es-ES"/>
        </w:rPr>
      </w:pPr>
    </w:p>
    <w:p w14:paraId="0C559BC5" w14:textId="13224B35" w:rsidR="00213F23" w:rsidRPr="00213F23"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xml:space="preserve">Finalmente, se adjunta al presente los siguientes archivos: </w:t>
      </w:r>
    </w:p>
    <w:p w14:paraId="332DD1C1" w14:textId="2628747C" w:rsidR="00213F23" w:rsidRPr="00BF09FA" w:rsidRDefault="00BF09FA" w:rsidP="00893559">
      <w:pPr>
        <w:spacing w:after="0" w:line="360" w:lineRule="auto"/>
        <w:ind w:left="567" w:right="567"/>
        <w:rPr>
          <w:rFonts w:eastAsia="Times New Roman" w:cs="Tahoma"/>
          <w:i/>
          <w:iCs/>
          <w:sz w:val="20"/>
          <w:lang w:val="es-ES" w:eastAsia="es-ES"/>
        </w:rPr>
      </w:pPr>
      <w:r w:rsidRPr="00BF09FA">
        <w:rPr>
          <w:rFonts w:eastAsia="Times New Roman" w:cs="Tahoma"/>
          <w:i/>
          <w:iCs/>
          <w:sz w:val="20"/>
          <w:lang w:val="es-ES" w:eastAsia="es-ES"/>
        </w:rPr>
        <w:t xml:space="preserve">1. </w:t>
      </w:r>
      <w:r w:rsidR="00213F23" w:rsidRPr="00BF09FA">
        <w:rPr>
          <w:rFonts w:eastAsia="Times New Roman" w:cs="Tahoma"/>
          <w:i/>
          <w:iCs/>
          <w:sz w:val="20"/>
          <w:lang w:val="es-ES" w:eastAsia="es-ES"/>
        </w:rPr>
        <w:t>Copia digital del oficio número 210C2801020002L/118/2022 de fecha 16 de marzo de 2022 así como los anexos, por medio del cual el Servidor Público Habilitado del Departamento de Recursos Humanos y Materiales de este organismo realizó las manifestaciones correspondientes.</w:t>
      </w:r>
    </w:p>
    <w:p w14:paraId="426968DB" w14:textId="576E2072" w:rsidR="00213F23" w:rsidRPr="00213F23"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2.</w:t>
      </w:r>
      <w:r w:rsidR="00BF09FA">
        <w:rPr>
          <w:rFonts w:eastAsia="Times New Roman" w:cs="Tahoma"/>
          <w:i/>
          <w:iCs/>
          <w:sz w:val="20"/>
          <w:lang w:val="es-ES" w:eastAsia="es-ES"/>
        </w:rPr>
        <w:t xml:space="preserve"> </w:t>
      </w:r>
      <w:r w:rsidRPr="00213F23">
        <w:rPr>
          <w:rFonts w:eastAsia="Times New Roman" w:cs="Tahoma"/>
          <w:i/>
          <w:iCs/>
          <w:sz w:val="20"/>
          <w:lang w:val="es-ES" w:eastAsia="es-ES"/>
        </w:rPr>
        <w:t xml:space="preserve">Copia digital de </w:t>
      </w:r>
      <w:r w:rsidRPr="00213F23">
        <w:rPr>
          <w:rFonts w:eastAsia="Times New Roman" w:cs="Tahoma"/>
          <w:b/>
          <w:bCs/>
          <w:i/>
          <w:iCs/>
          <w:sz w:val="20"/>
          <w:lang w:val="es-ES" w:eastAsia="es-ES"/>
        </w:rPr>
        <w:t>dos formatos de Aviso de Movimientos</w:t>
      </w:r>
      <w:r w:rsidRPr="00213F23">
        <w:rPr>
          <w:rFonts w:eastAsia="Times New Roman" w:cs="Tahoma"/>
          <w:i/>
          <w:iCs/>
          <w:sz w:val="20"/>
          <w:lang w:val="es-ES" w:eastAsia="es-ES"/>
        </w:rPr>
        <w:t xml:space="preserve"> expedidos por el Instituto de Seguridad Social del Estado de México y Municipios, en los que el tipo de movimiento reflejado es de Alta y Baja de una persona física</w:t>
      </w:r>
      <w:r>
        <w:rPr>
          <w:rFonts w:eastAsia="Times New Roman" w:cs="Tahoma"/>
          <w:i/>
          <w:iCs/>
          <w:sz w:val="20"/>
          <w:lang w:val="es-ES" w:eastAsia="es-ES"/>
        </w:rPr>
        <w:t>.</w:t>
      </w:r>
    </w:p>
    <w:p w14:paraId="79280D55" w14:textId="77777777" w:rsidR="00BF09FA"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xml:space="preserve">3.    Carpeta de archivo denominada </w:t>
      </w:r>
      <w:proofErr w:type="spellStart"/>
      <w:r w:rsidRPr="00213F23">
        <w:rPr>
          <w:rFonts w:eastAsia="Times New Roman" w:cs="Tahoma"/>
          <w:b/>
          <w:bCs/>
          <w:i/>
          <w:iCs/>
          <w:sz w:val="20"/>
          <w:lang w:val="es-ES" w:eastAsia="es-ES"/>
        </w:rPr>
        <w:t>RN.Zip</w:t>
      </w:r>
      <w:proofErr w:type="spellEnd"/>
      <w:r w:rsidRPr="00213F23">
        <w:rPr>
          <w:rFonts w:eastAsia="Times New Roman" w:cs="Tahoma"/>
          <w:i/>
          <w:iCs/>
          <w:sz w:val="20"/>
          <w:lang w:val="es-ES" w:eastAsia="es-ES"/>
        </w:rPr>
        <w:t xml:space="preserve">, en la cual se tienen cincuenta y cinco recibos de nómina de una persona física, los cuales fueron rastreados en el portal del Servicio de Administración Tributaria (SAT) de la Secretaría de Hacienda y Crédito Público.  </w:t>
      </w:r>
    </w:p>
    <w:p w14:paraId="27E7F362" w14:textId="77777777" w:rsidR="00BF09FA" w:rsidRDefault="00BF09FA" w:rsidP="00893559">
      <w:pPr>
        <w:spacing w:after="0" w:line="360" w:lineRule="auto"/>
        <w:ind w:left="567" w:right="567"/>
        <w:rPr>
          <w:rFonts w:eastAsia="Times New Roman" w:cs="Tahoma"/>
          <w:i/>
          <w:iCs/>
          <w:sz w:val="20"/>
          <w:lang w:val="es-ES" w:eastAsia="es-ES"/>
        </w:rPr>
      </w:pPr>
    </w:p>
    <w:p w14:paraId="556AD7D1" w14:textId="109464B3" w:rsidR="00213F23"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xml:space="preserve">Reviste importancia precisar que en los archivos que posee, custodia y administra el Departamento de Recursos Humanos, no se cuenta con soporte documental que dé cuenta de los comprobantes de pago </w:t>
      </w:r>
      <w:r w:rsidR="007B0CA0" w:rsidRPr="007B0CA0">
        <w:rPr>
          <w:rFonts w:eastAsia="Times New Roman" w:cs="Tahoma"/>
          <w:i/>
          <w:iCs/>
          <w:sz w:val="20"/>
          <w:lang w:val="es-ES" w:eastAsia="es-ES"/>
        </w:rPr>
        <w:t>del 19 de noviembre de 2013 al 31 de agosto de 2016</w:t>
      </w:r>
      <w:r w:rsidR="007B0CA0">
        <w:rPr>
          <w:rFonts w:eastAsia="Times New Roman" w:cs="Tahoma"/>
          <w:i/>
          <w:iCs/>
          <w:sz w:val="20"/>
          <w:lang w:val="es-ES" w:eastAsia="es-ES"/>
        </w:rPr>
        <w:t xml:space="preserve">, los cales son </w:t>
      </w:r>
      <w:r w:rsidRPr="00213F23">
        <w:rPr>
          <w:rFonts w:eastAsia="Times New Roman" w:cs="Tahoma"/>
          <w:i/>
          <w:iCs/>
          <w:sz w:val="20"/>
          <w:lang w:val="es-ES" w:eastAsia="es-ES"/>
        </w:rPr>
        <w:t>requeridos por la ahora solicitante</w:t>
      </w:r>
      <w:r w:rsidR="007B0CA0">
        <w:rPr>
          <w:rFonts w:eastAsia="Times New Roman" w:cs="Tahoma"/>
          <w:i/>
          <w:iCs/>
          <w:sz w:val="20"/>
          <w:lang w:val="es-ES" w:eastAsia="es-ES"/>
        </w:rPr>
        <w:t>, pues los documentos proporcionados son de un Sujeto Obligado diverso.</w:t>
      </w:r>
    </w:p>
    <w:p w14:paraId="47283702" w14:textId="77777777" w:rsidR="007B0CA0" w:rsidRPr="00213F23" w:rsidRDefault="007B0CA0" w:rsidP="00893559">
      <w:pPr>
        <w:spacing w:after="0" w:line="360" w:lineRule="auto"/>
        <w:ind w:left="567" w:right="567"/>
        <w:rPr>
          <w:rFonts w:eastAsia="Times New Roman" w:cs="Tahoma"/>
          <w:i/>
          <w:iCs/>
          <w:sz w:val="20"/>
          <w:lang w:val="es-ES" w:eastAsia="es-ES"/>
        </w:rPr>
      </w:pPr>
    </w:p>
    <w:p w14:paraId="1A833A6C" w14:textId="77777777" w:rsidR="007B0CA0"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xml:space="preserve"> No obstante, en atención a su solicitud para remitir los elementos necesarios para la elaboración del proyecto de resolución que en Derecho proceda, se proporciona la documentación generada con motivo de la interposición del recurso de revisión 00181/INFOEM/IP/RR/2022 para todos los efectos legales a que haya lugar.</w:t>
      </w:r>
    </w:p>
    <w:p w14:paraId="23B72597" w14:textId="76223CCB" w:rsidR="000961EB" w:rsidRPr="007B0CA0" w:rsidRDefault="00213F23" w:rsidP="00893559">
      <w:pPr>
        <w:spacing w:after="0" w:line="360" w:lineRule="auto"/>
        <w:ind w:left="567" w:right="567"/>
        <w:rPr>
          <w:rFonts w:eastAsia="Times New Roman" w:cs="Tahoma"/>
          <w:i/>
          <w:iCs/>
          <w:sz w:val="20"/>
          <w:lang w:val="es-ES" w:eastAsia="es-ES"/>
        </w:rPr>
      </w:pPr>
      <w:r w:rsidRPr="00213F23">
        <w:rPr>
          <w:rFonts w:eastAsia="Times New Roman" w:cs="Tahoma"/>
          <w:i/>
          <w:iCs/>
          <w:sz w:val="20"/>
          <w:lang w:val="es-ES" w:eastAsia="es-ES"/>
        </w:rPr>
        <w:t xml:space="preserve"> </w:t>
      </w:r>
      <w:r w:rsidR="000961EB" w:rsidRPr="000961EB">
        <w:rPr>
          <w:rFonts w:cs="Tahoma"/>
          <w:i/>
          <w:iCs/>
          <w:sz w:val="20"/>
          <w:szCs w:val="20"/>
          <w:lang w:val="es-ES"/>
        </w:rPr>
        <w:t>…”</w:t>
      </w:r>
    </w:p>
    <w:p w14:paraId="65C0ACDB" w14:textId="77777777" w:rsidR="00BF09FA" w:rsidRDefault="00BF09FA" w:rsidP="00893559">
      <w:pPr>
        <w:spacing w:after="0" w:line="360" w:lineRule="auto"/>
        <w:rPr>
          <w:rFonts w:eastAsia="Times New Roman" w:cs="Tahoma"/>
          <w:szCs w:val="24"/>
          <w:lang w:val="es-ES" w:eastAsia="es-ES"/>
        </w:rPr>
      </w:pPr>
    </w:p>
    <w:p w14:paraId="2075B3A7" w14:textId="0870AD9A" w:rsidR="00985822" w:rsidRPr="00C4052B" w:rsidRDefault="00985822" w:rsidP="00893559">
      <w:pPr>
        <w:spacing w:after="0" w:line="360" w:lineRule="auto"/>
        <w:rPr>
          <w:rFonts w:eastAsia="Times New Roman" w:cs="Tahoma"/>
          <w:szCs w:val="24"/>
          <w:lang w:val="es-ES" w:eastAsia="es-ES"/>
        </w:rPr>
      </w:pPr>
      <w:r>
        <w:rPr>
          <w:rFonts w:eastAsia="Times New Roman" w:cs="Tahoma"/>
          <w:szCs w:val="24"/>
          <w:lang w:val="es-ES" w:eastAsia="es-ES"/>
        </w:rPr>
        <w:t>E</w:t>
      </w:r>
      <w:r w:rsidRPr="00C4052B">
        <w:rPr>
          <w:rFonts w:eastAsia="Times New Roman" w:cs="Tahoma"/>
          <w:szCs w:val="24"/>
          <w:lang w:val="es-ES" w:eastAsia="es-ES"/>
        </w:rPr>
        <w:t>l Sujeto Obligado adjunt</w:t>
      </w:r>
      <w:r>
        <w:rPr>
          <w:rFonts w:eastAsia="Times New Roman" w:cs="Tahoma"/>
          <w:szCs w:val="24"/>
          <w:lang w:val="es-ES" w:eastAsia="es-ES"/>
        </w:rPr>
        <w:t>ó la digitalización de</w:t>
      </w:r>
      <w:r w:rsidRPr="00C4052B">
        <w:rPr>
          <w:rFonts w:eastAsia="Times New Roman" w:cs="Tahoma"/>
          <w:szCs w:val="24"/>
          <w:lang w:val="es-ES" w:eastAsia="es-ES"/>
        </w:rPr>
        <w:t xml:space="preserve"> los siguientes documentos: </w:t>
      </w:r>
    </w:p>
    <w:p w14:paraId="5E79D227" w14:textId="77777777" w:rsidR="00985822" w:rsidRPr="00C4052B" w:rsidRDefault="00985822" w:rsidP="00893559">
      <w:pPr>
        <w:spacing w:after="0" w:line="360" w:lineRule="auto"/>
        <w:rPr>
          <w:rFonts w:eastAsia="Times New Roman" w:cs="Tahoma"/>
          <w:szCs w:val="24"/>
          <w:lang w:val="es-ES" w:eastAsia="es-ES"/>
        </w:rPr>
      </w:pPr>
    </w:p>
    <w:p w14:paraId="027FFCC3" w14:textId="2BB44B71" w:rsidR="00985822" w:rsidRPr="00C4052B" w:rsidRDefault="00985822" w:rsidP="00893559">
      <w:pPr>
        <w:spacing w:after="0" w:line="360" w:lineRule="auto"/>
        <w:rPr>
          <w:rFonts w:eastAsia="Times New Roman" w:cs="Tahoma"/>
          <w:szCs w:val="24"/>
          <w:lang w:val="es-ES" w:eastAsia="es-ES"/>
        </w:rPr>
      </w:pPr>
      <w:r w:rsidRPr="00C4052B">
        <w:rPr>
          <w:rFonts w:eastAsia="Times New Roman" w:cs="Tahoma"/>
          <w:szCs w:val="24"/>
          <w:lang w:val="es-ES" w:eastAsia="es-ES"/>
        </w:rPr>
        <w:t xml:space="preserve">i) Oficio número </w:t>
      </w:r>
      <w:r w:rsidR="007B0CA0" w:rsidRPr="007B0CA0">
        <w:rPr>
          <w:rFonts w:eastAsia="Times New Roman" w:cs="Tahoma"/>
          <w:szCs w:val="24"/>
          <w:lang w:val="es-ES" w:eastAsia="es-ES"/>
        </w:rPr>
        <w:t>210C2801020002L/118/2022</w:t>
      </w:r>
      <w:r>
        <w:rPr>
          <w:rFonts w:eastAsia="Times New Roman" w:cs="Tahoma"/>
          <w:szCs w:val="24"/>
          <w:lang w:val="es-ES" w:eastAsia="es-ES"/>
        </w:rPr>
        <w:t>, del</w:t>
      </w:r>
      <w:r w:rsidRPr="00C4052B">
        <w:rPr>
          <w:rFonts w:eastAsia="Times New Roman" w:cs="Tahoma"/>
          <w:szCs w:val="24"/>
          <w:lang w:val="es-ES" w:eastAsia="es-ES"/>
        </w:rPr>
        <w:t xml:space="preserve"> </w:t>
      </w:r>
      <w:r w:rsidR="007B0CA0">
        <w:rPr>
          <w:rFonts w:eastAsia="Times New Roman" w:cs="Tahoma"/>
          <w:szCs w:val="24"/>
          <w:lang w:val="es-ES" w:eastAsia="es-ES"/>
        </w:rPr>
        <w:t>dieciséis</w:t>
      </w:r>
      <w:r w:rsidRPr="00C4052B">
        <w:rPr>
          <w:rFonts w:eastAsia="Times New Roman" w:cs="Tahoma"/>
          <w:szCs w:val="24"/>
          <w:lang w:val="es-ES" w:eastAsia="es-ES"/>
        </w:rPr>
        <w:t xml:space="preserve"> de febrero de dos mil veintidós, el cual es suscrito por </w:t>
      </w:r>
      <w:r w:rsidR="007B0CA0">
        <w:rPr>
          <w:rFonts w:eastAsia="Times New Roman" w:cs="Tahoma"/>
          <w:szCs w:val="24"/>
          <w:lang w:val="es-ES" w:eastAsia="es-ES"/>
        </w:rPr>
        <w:t xml:space="preserve">el </w:t>
      </w:r>
      <w:r w:rsidR="007B0CA0" w:rsidRPr="007B0CA0">
        <w:rPr>
          <w:rFonts w:eastAsia="Times New Roman" w:cs="Tahoma"/>
          <w:szCs w:val="24"/>
          <w:lang w:val="es-ES" w:eastAsia="es-ES"/>
        </w:rPr>
        <w:t>Jefe de Departamento de Recursos Humanos y Materiales</w:t>
      </w:r>
      <w:r w:rsidRPr="00C4052B">
        <w:rPr>
          <w:rFonts w:eastAsia="Times New Roman" w:cs="Tahoma"/>
          <w:szCs w:val="24"/>
          <w:lang w:val="es-ES" w:eastAsia="es-ES"/>
        </w:rPr>
        <w:t xml:space="preserve">, por medio del cual </w:t>
      </w:r>
      <w:r w:rsidR="007B0CA0">
        <w:rPr>
          <w:rFonts w:eastAsia="Times New Roman" w:cs="Tahoma"/>
          <w:szCs w:val="24"/>
          <w:lang w:val="es-ES" w:eastAsia="es-ES"/>
        </w:rPr>
        <w:t xml:space="preserve">realizó las manifestaciones correspondientes, mismas que fueron remitidas por la Titular de la Unidad de Transparecía. </w:t>
      </w:r>
    </w:p>
    <w:p w14:paraId="32F277BE" w14:textId="77777777" w:rsidR="00985822" w:rsidRDefault="00985822" w:rsidP="00893559">
      <w:pPr>
        <w:spacing w:after="0" w:line="360" w:lineRule="auto"/>
        <w:rPr>
          <w:rFonts w:eastAsia="Times New Roman" w:cs="Tahoma"/>
          <w:szCs w:val="24"/>
          <w:lang w:val="es-ES" w:eastAsia="es-ES"/>
        </w:rPr>
      </w:pPr>
    </w:p>
    <w:p w14:paraId="17B9F992" w14:textId="631E0D40" w:rsidR="009D64CF" w:rsidRDefault="00985822" w:rsidP="00893559">
      <w:pPr>
        <w:spacing w:after="0" w:line="360" w:lineRule="auto"/>
        <w:rPr>
          <w:rFonts w:eastAsia="Times New Roman" w:cs="Tahoma"/>
          <w:szCs w:val="24"/>
          <w:lang w:val="es-ES" w:eastAsia="es-ES"/>
        </w:rPr>
      </w:pPr>
      <w:r w:rsidRPr="00C4052B">
        <w:rPr>
          <w:rFonts w:eastAsia="Times New Roman" w:cs="Tahoma"/>
          <w:szCs w:val="24"/>
          <w:lang w:val="es-ES" w:eastAsia="es-ES"/>
        </w:rPr>
        <w:t xml:space="preserve">ii) </w:t>
      </w:r>
      <w:r w:rsidR="009D64CF" w:rsidRPr="009D64CF">
        <w:rPr>
          <w:rFonts w:eastAsia="Times New Roman" w:cs="Tahoma"/>
          <w:szCs w:val="24"/>
          <w:lang w:val="es-ES" w:eastAsia="es-ES"/>
        </w:rPr>
        <w:t>Copia digital de dos formatos de Aviso de Movimientos del Instituto de Seguridad Social del Estado de México y Municipios</w:t>
      </w:r>
      <w:r w:rsidR="009D64CF">
        <w:rPr>
          <w:rFonts w:eastAsia="Times New Roman" w:cs="Tahoma"/>
          <w:szCs w:val="24"/>
          <w:lang w:val="es-ES" w:eastAsia="es-ES"/>
        </w:rPr>
        <w:t xml:space="preserve">, que reflejan el tipo de movimiento de Alta y Baja </w:t>
      </w:r>
      <w:r w:rsidR="00BF09FA">
        <w:rPr>
          <w:rFonts w:eastAsia="Times New Roman" w:cs="Tahoma"/>
          <w:szCs w:val="24"/>
          <w:lang w:val="es-ES" w:eastAsia="es-ES"/>
        </w:rPr>
        <w:t>de la persona señalada en la solicitud.</w:t>
      </w:r>
    </w:p>
    <w:p w14:paraId="7578D89B" w14:textId="77777777" w:rsidR="009D64CF" w:rsidRDefault="009D64CF" w:rsidP="00893559">
      <w:pPr>
        <w:spacing w:after="0" w:line="360" w:lineRule="auto"/>
        <w:rPr>
          <w:rFonts w:eastAsia="Times New Roman" w:cs="Tahoma"/>
          <w:szCs w:val="24"/>
          <w:lang w:val="es-ES" w:eastAsia="es-ES"/>
        </w:rPr>
      </w:pPr>
    </w:p>
    <w:p w14:paraId="0530A8A7" w14:textId="1837EA80" w:rsidR="00C4052B" w:rsidRDefault="009D64CF" w:rsidP="00893559">
      <w:pPr>
        <w:spacing w:after="0" w:line="360" w:lineRule="auto"/>
        <w:rPr>
          <w:rFonts w:eastAsia="Times New Roman" w:cs="Tahoma"/>
          <w:szCs w:val="24"/>
          <w:lang w:val="es-ES" w:eastAsia="es-ES"/>
        </w:rPr>
      </w:pPr>
      <w:r>
        <w:rPr>
          <w:rFonts w:eastAsia="Times New Roman" w:cs="Tahoma"/>
          <w:szCs w:val="24"/>
          <w:lang w:val="es-ES" w:eastAsia="es-ES"/>
        </w:rPr>
        <w:t xml:space="preserve">iii) </w:t>
      </w:r>
      <w:r w:rsidR="00FA622E">
        <w:rPr>
          <w:rFonts w:eastAsia="Times New Roman" w:cs="Tahoma"/>
          <w:szCs w:val="24"/>
          <w:lang w:val="es-ES" w:eastAsia="es-ES"/>
        </w:rPr>
        <w:t>Cincuenta cinco r</w:t>
      </w:r>
      <w:r>
        <w:rPr>
          <w:rFonts w:eastAsia="Times New Roman" w:cs="Tahoma"/>
          <w:szCs w:val="24"/>
          <w:lang w:val="es-ES" w:eastAsia="es-ES"/>
        </w:rPr>
        <w:t>ecibos de</w:t>
      </w:r>
      <w:r w:rsidR="00314EE5">
        <w:rPr>
          <w:rFonts w:eastAsia="Times New Roman" w:cs="Tahoma"/>
          <w:szCs w:val="24"/>
          <w:lang w:val="es-ES" w:eastAsia="es-ES"/>
        </w:rPr>
        <w:t xml:space="preserve"> pago</w:t>
      </w:r>
      <w:r>
        <w:rPr>
          <w:rFonts w:eastAsia="Times New Roman" w:cs="Tahoma"/>
          <w:szCs w:val="24"/>
          <w:lang w:val="es-ES" w:eastAsia="es-ES"/>
        </w:rPr>
        <w:t xml:space="preserve"> nómina</w:t>
      </w:r>
      <w:r w:rsidR="00FA622E">
        <w:rPr>
          <w:rFonts w:eastAsia="Times New Roman" w:cs="Tahoma"/>
          <w:szCs w:val="24"/>
          <w:lang w:val="es-ES" w:eastAsia="es-ES"/>
        </w:rPr>
        <w:t xml:space="preserve">, </w:t>
      </w:r>
      <w:r>
        <w:rPr>
          <w:rFonts w:eastAsia="Times New Roman" w:cs="Tahoma"/>
          <w:szCs w:val="24"/>
          <w:lang w:val="es-ES" w:eastAsia="es-ES"/>
        </w:rPr>
        <w:t>correspondientes a los ejercicios fiscales dos mil catorce</w:t>
      </w:r>
      <w:r w:rsidR="00566F4D">
        <w:rPr>
          <w:rFonts w:eastAsia="Times New Roman" w:cs="Tahoma"/>
          <w:szCs w:val="24"/>
          <w:lang w:val="es-ES" w:eastAsia="es-ES"/>
        </w:rPr>
        <w:t xml:space="preserve"> y dos mil quince, respecto al ejercicio fiscal dos mil dieciséis remitió los recibos de nómina correspondientes únicamente a los meses de enero a mayo</w:t>
      </w:r>
      <w:r w:rsidR="00C76B73">
        <w:rPr>
          <w:rFonts w:eastAsia="Times New Roman" w:cs="Tahoma"/>
          <w:szCs w:val="24"/>
          <w:lang w:val="es-ES" w:eastAsia="es-ES"/>
        </w:rPr>
        <w:t xml:space="preserve">. </w:t>
      </w:r>
    </w:p>
    <w:p w14:paraId="60060D0E" w14:textId="38844205" w:rsidR="00314EE5" w:rsidRPr="00C76B73" w:rsidRDefault="00314EE5" w:rsidP="00893559">
      <w:pPr>
        <w:spacing w:after="0" w:line="360" w:lineRule="auto"/>
        <w:rPr>
          <w:rFonts w:eastAsia="Times New Roman" w:cs="Tahoma"/>
          <w:szCs w:val="24"/>
          <w:lang w:val="es-ES" w:eastAsia="es-ES"/>
        </w:rPr>
      </w:pPr>
    </w:p>
    <w:p w14:paraId="472AE96A" w14:textId="1FDE4236" w:rsidR="00346F8F" w:rsidRDefault="00985822" w:rsidP="00893559">
      <w:pPr>
        <w:spacing w:after="0" w:line="360" w:lineRule="auto"/>
        <w:rPr>
          <w:rFonts w:eastAsia="Times New Roman" w:cs="Tahoma"/>
          <w:szCs w:val="24"/>
          <w:lang w:eastAsia="es-ES"/>
        </w:rPr>
      </w:pPr>
      <w:r>
        <w:rPr>
          <w:rFonts w:eastAsia="Times New Roman" w:cs="Tahoma"/>
          <w:b/>
          <w:szCs w:val="24"/>
          <w:lang w:eastAsia="es-ES"/>
        </w:rPr>
        <w:t>h</w:t>
      </w:r>
      <w:r w:rsidR="00C4052B">
        <w:rPr>
          <w:rFonts w:eastAsia="Times New Roman" w:cs="Tahoma"/>
          <w:b/>
          <w:szCs w:val="24"/>
          <w:lang w:eastAsia="es-ES"/>
        </w:rPr>
        <w:t xml:space="preserve">) </w:t>
      </w:r>
      <w:r w:rsidR="00346F8F" w:rsidRPr="006F4471">
        <w:rPr>
          <w:rFonts w:eastAsia="Times New Roman" w:cs="Tahoma"/>
          <w:b/>
          <w:szCs w:val="24"/>
          <w:lang w:eastAsia="es-ES"/>
        </w:rPr>
        <w:t>Cierre de instrucción.</w:t>
      </w:r>
      <w:r w:rsidR="00346F8F" w:rsidRPr="006F4471">
        <w:rPr>
          <w:rFonts w:eastAsia="Times New Roman" w:cs="Tahoma"/>
          <w:szCs w:val="24"/>
          <w:lang w:eastAsia="es-ES"/>
        </w:rPr>
        <w:t xml:space="preserve"> El </w:t>
      </w:r>
      <w:r w:rsidR="00C76B73">
        <w:rPr>
          <w:rFonts w:eastAsia="Times New Roman" w:cs="Tahoma"/>
          <w:szCs w:val="24"/>
          <w:lang w:eastAsia="es-ES"/>
        </w:rPr>
        <w:t>veintiocho</w:t>
      </w:r>
      <w:r w:rsidR="00A96CC5">
        <w:rPr>
          <w:rFonts w:eastAsia="Times New Roman" w:cs="Tahoma"/>
          <w:szCs w:val="24"/>
          <w:lang w:eastAsia="es-ES"/>
        </w:rPr>
        <w:t xml:space="preserve"> de marzo de dos mil veintidós</w:t>
      </w:r>
      <w:r w:rsidR="00346F8F" w:rsidRPr="006F447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46F8F" w:rsidRPr="006F4471">
        <w:rPr>
          <w:rFonts w:eastAsia="Times New Roman" w:cs="Tahoma"/>
          <w:szCs w:val="20"/>
          <w:lang w:val="es-ES" w:eastAsia="es-ES"/>
        </w:rPr>
        <w:t>Sistema de Acceso a la Información Mexiquense (SAIMEX)</w:t>
      </w:r>
      <w:r w:rsidR="00346F8F" w:rsidRPr="006F4471">
        <w:rPr>
          <w:rFonts w:eastAsia="Times New Roman" w:cs="Tahoma"/>
          <w:szCs w:val="24"/>
          <w:lang w:eastAsia="es-ES"/>
        </w:rPr>
        <w:t xml:space="preserve">. </w:t>
      </w:r>
    </w:p>
    <w:p w14:paraId="5449579B" w14:textId="77777777" w:rsidR="00346F8F" w:rsidRPr="006F4471" w:rsidRDefault="00346F8F" w:rsidP="00893559">
      <w:pPr>
        <w:spacing w:after="0" w:line="360" w:lineRule="auto"/>
        <w:rPr>
          <w:rFonts w:eastAsia="Times New Roman" w:cs="Tahoma"/>
          <w:szCs w:val="24"/>
          <w:highlight w:val="yellow"/>
          <w:lang w:eastAsia="es-ES"/>
        </w:rPr>
      </w:pPr>
    </w:p>
    <w:p w14:paraId="1CB2B5D2" w14:textId="77777777" w:rsidR="00346F8F" w:rsidRPr="006F4471" w:rsidRDefault="00346F8F" w:rsidP="00893559">
      <w:pPr>
        <w:spacing w:after="0" w:line="360" w:lineRule="auto"/>
        <w:rPr>
          <w:rFonts w:eastAsia="Times New Roman" w:cs="Tahoma"/>
          <w:szCs w:val="24"/>
          <w:lang w:eastAsia="es-ES"/>
        </w:rPr>
      </w:pPr>
      <w:r w:rsidRPr="006F4471">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0EF5EAF8" w14:textId="77777777" w:rsidR="00346F8F" w:rsidRPr="006F4471" w:rsidRDefault="00346F8F" w:rsidP="00893559">
      <w:pPr>
        <w:spacing w:after="0" w:line="360" w:lineRule="auto"/>
      </w:pPr>
    </w:p>
    <w:p w14:paraId="0B43EFFB" w14:textId="77777777" w:rsidR="00346F8F" w:rsidRPr="006F4471" w:rsidRDefault="00346F8F" w:rsidP="00893559">
      <w:pPr>
        <w:spacing w:after="0" w:line="360" w:lineRule="auto"/>
        <w:jc w:val="center"/>
        <w:rPr>
          <w:rFonts w:eastAsia="Times New Roman" w:cs="Tahoma"/>
          <w:b/>
          <w:lang w:val="es-ES" w:eastAsia="es-ES"/>
        </w:rPr>
      </w:pPr>
      <w:r w:rsidRPr="006F4471">
        <w:rPr>
          <w:rFonts w:eastAsia="Times New Roman" w:cs="Tahoma"/>
          <w:b/>
          <w:lang w:val="es-ES" w:eastAsia="es-ES"/>
        </w:rPr>
        <w:t>C O N S I D E R A N D O S:</w:t>
      </w:r>
    </w:p>
    <w:p w14:paraId="485A3963" w14:textId="77777777" w:rsidR="00346F8F" w:rsidRPr="006F4471" w:rsidRDefault="00346F8F" w:rsidP="00893559">
      <w:pPr>
        <w:spacing w:after="0" w:line="360" w:lineRule="auto"/>
        <w:rPr>
          <w:rFonts w:eastAsia="Times New Roman" w:cs="Tahoma"/>
          <w:b/>
          <w:lang w:val="es-ES" w:eastAsia="es-ES"/>
        </w:rPr>
      </w:pPr>
    </w:p>
    <w:p w14:paraId="107E7173" w14:textId="77777777" w:rsidR="0001488B" w:rsidRPr="006F4471" w:rsidRDefault="0001488B" w:rsidP="00893559">
      <w:pPr>
        <w:autoSpaceDE w:val="0"/>
        <w:autoSpaceDN w:val="0"/>
        <w:adjustRightInd w:val="0"/>
        <w:spacing w:after="0" w:line="360" w:lineRule="auto"/>
        <w:rPr>
          <w:rFonts w:eastAsia="Times New Roman" w:cs="Tahoma"/>
          <w:b/>
          <w:szCs w:val="24"/>
          <w:lang w:val="es-ES" w:eastAsia="es-ES"/>
        </w:rPr>
      </w:pPr>
      <w:r w:rsidRPr="006F4471">
        <w:rPr>
          <w:rFonts w:eastAsia="Calibri" w:cs="Tahoma"/>
          <w:b/>
          <w:szCs w:val="24"/>
          <w:lang w:val="es-ES" w:eastAsia="es-MX"/>
        </w:rPr>
        <w:t>PRIMERO</w:t>
      </w:r>
      <w:r w:rsidRPr="006F4471">
        <w:rPr>
          <w:rFonts w:eastAsia="Calibri" w:cs="Tahoma"/>
          <w:szCs w:val="24"/>
          <w:lang w:val="es-ES" w:eastAsia="es-MX"/>
        </w:rPr>
        <w:t xml:space="preserve">. </w:t>
      </w:r>
      <w:r w:rsidRPr="006F4471">
        <w:rPr>
          <w:rFonts w:eastAsia="Times New Roman" w:cs="Tahoma"/>
          <w:b/>
          <w:szCs w:val="24"/>
          <w:lang w:val="es-ES" w:eastAsia="es-ES"/>
        </w:rPr>
        <w:t>Competencia.</w:t>
      </w:r>
    </w:p>
    <w:p w14:paraId="5DD30385" w14:textId="77777777" w:rsidR="0001488B" w:rsidRPr="006F4471" w:rsidRDefault="0001488B" w:rsidP="00893559">
      <w:pPr>
        <w:autoSpaceDE w:val="0"/>
        <w:autoSpaceDN w:val="0"/>
        <w:adjustRightInd w:val="0"/>
        <w:spacing w:after="0" w:line="360" w:lineRule="auto"/>
        <w:rPr>
          <w:rFonts w:eastAsia="Times New Roman" w:cs="Tahoma"/>
          <w:b/>
          <w:szCs w:val="24"/>
          <w:lang w:val="es-ES" w:eastAsia="es-ES"/>
        </w:rPr>
      </w:pPr>
    </w:p>
    <w:p w14:paraId="4191C6A5" w14:textId="488D32B2" w:rsidR="0001488B" w:rsidRDefault="00777F5F" w:rsidP="00893559">
      <w:pPr>
        <w:spacing w:after="0" w:line="360" w:lineRule="auto"/>
        <w:rPr>
          <w:rFonts w:eastAsia="Times New Roman" w:cs="Tahoma"/>
          <w:bCs/>
          <w:lang w:eastAsia="es-ES"/>
        </w:rPr>
      </w:pPr>
      <w:r w:rsidRPr="00777F5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BDEA0D7" w14:textId="77777777" w:rsidR="00777F5F" w:rsidRPr="006F4471" w:rsidRDefault="00777F5F" w:rsidP="00893559">
      <w:pPr>
        <w:spacing w:after="0" w:line="360" w:lineRule="auto"/>
        <w:rPr>
          <w:rFonts w:eastAsia="Times New Roman" w:cs="Tahoma"/>
          <w:b/>
          <w:lang w:val="es-ES" w:eastAsia="es-ES"/>
        </w:rPr>
      </w:pPr>
    </w:p>
    <w:p w14:paraId="125BBEAF" w14:textId="77777777" w:rsidR="00EC70F5" w:rsidRPr="006F4471" w:rsidRDefault="00EC70F5" w:rsidP="00893559">
      <w:pPr>
        <w:autoSpaceDE w:val="0"/>
        <w:autoSpaceDN w:val="0"/>
        <w:adjustRightInd w:val="0"/>
        <w:spacing w:after="0" w:line="360" w:lineRule="auto"/>
        <w:rPr>
          <w:rFonts w:eastAsia="Times New Roman" w:cs="Tahoma"/>
          <w:szCs w:val="24"/>
          <w:lang w:val="es-ES" w:eastAsia="es-ES"/>
        </w:rPr>
      </w:pPr>
      <w:r w:rsidRPr="006F4471">
        <w:rPr>
          <w:rFonts w:eastAsia="Calibri" w:cs="Tahoma"/>
          <w:b/>
          <w:szCs w:val="24"/>
          <w:lang w:val="es-ES" w:eastAsia="es-MX"/>
        </w:rPr>
        <w:t>SEGUNDO</w:t>
      </w:r>
      <w:r w:rsidRPr="006F4471">
        <w:rPr>
          <w:rFonts w:eastAsia="Calibri" w:cs="Tahoma"/>
          <w:szCs w:val="24"/>
          <w:lang w:val="es-ES" w:eastAsia="es-MX"/>
        </w:rPr>
        <w:t xml:space="preserve">. </w:t>
      </w:r>
      <w:r w:rsidRPr="006F4471">
        <w:rPr>
          <w:rFonts w:eastAsia="Times New Roman" w:cs="Tahoma"/>
          <w:b/>
          <w:szCs w:val="24"/>
          <w:lang w:val="es-ES" w:eastAsia="es-ES"/>
        </w:rPr>
        <w:t>Causales de improcedencia y sobreseimiento.</w:t>
      </w:r>
      <w:r w:rsidRPr="006F4471">
        <w:rPr>
          <w:rFonts w:eastAsia="Times New Roman" w:cs="Tahoma"/>
          <w:szCs w:val="24"/>
          <w:lang w:val="es-ES" w:eastAsia="es-ES"/>
        </w:rPr>
        <w:t xml:space="preserve"> </w:t>
      </w:r>
    </w:p>
    <w:p w14:paraId="64AEFE23" w14:textId="77777777" w:rsidR="00EC70F5" w:rsidRPr="006F4471" w:rsidRDefault="00EC70F5" w:rsidP="00893559">
      <w:pPr>
        <w:autoSpaceDE w:val="0"/>
        <w:autoSpaceDN w:val="0"/>
        <w:adjustRightInd w:val="0"/>
        <w:spacing w:after="0" w:line="360" w:lineRule="auto"/>
        <w:rPr>
          <w:rFonts w:eastAsia="Times New Roman" w:cs="Tahoma"/>
          <w:szCs w:val="24"/>
          <w:lang w:val="es-ES" w:eastAsia="es-ES"/>
        </w:rPr>
      </w:pPr>
    </w:p>
    <w:p w14:paraId="28587842" w14:textId="77777777" w:rsidR="00EC70F5" w:rsidRPr="006F4471" w:rsidRDefault="00EC70F5" w:rsidP="00893559">
      <w:pPr>
        <w:autoSpaceDE w:val="0"/>
        <w:autoSpaceDN w:val="0"/>
        <w:adjustRightInd w:val="0"/>
        <w:spacing w:after="0" w:line="360" w:lineRule="auto"/>
        <w:rPr>
          <w:rFonts w:eastAsia="Times New Roman" w:cs="Tahoma"/>
          <w:szCs w:val="24"/>
          <w:lang w:val="es-ES" w:eastAsia="es-ES"/>
        </w:rPr>
      </w:pPr>
      <w:r w:rsidRPr="006F4471">
        <w:rPr>
          <w:rFonts w:eastAsia="Times New Roman" w:cs="Tahoma"/>
          <w:szCs w:val="24"/>
          <w:lang w:val="es-ES" w:eastAsia="es-ES"/>
        </w:rPr>
        <w:t xml:space="preserve">De las constancias que forma parte del Recurso de Revisión que se analiza, se advierte que previo al estudio del fondo de la </w:t>
      </w:r>
      <w:r w:rsidRPr="006F4471">
        <w:rPr>
          <w:rFonts w:eastAsia="Times New Roman" w:cs="Tahoma"/>
          <w:i/>
          <w:szCs w:val="24"/>
          <w:lang w:val="es-ES" w:eastAsia="es-ES"/>
        </w:rPr>
        <w:t>litis</w:t>
      </w:r>
      <w:r w:rsidRPr="006F4471">
        <w:rPr>
          <w:rFonts w:eastAsia="Times New Roman" w:cs="Tahoma"/>
          <w:szCs w:val="24"/>
          <w:lang w:val="es-ES" w:eastAsia="es-ES"/>
        </w:rPr>
        <w:t>, es necesario estudiar las causales de improcedencia y sobreseimiento que se adviertan, para determinar lo que en Derecho proceda.</w:t>
      </w:r>
    </w:p>
    <w:p w14:paraId="69A9B3B4" w14:textId="77777777" w:rsidR="00777F5F" w:rsidRPr="00777F5F" w:rsidRDefault="00777F5F" w:rsidP="00893559">
      <w:pPr>
        <w:spacing w:after="0" w:line="360" w:lineRule="auto"/>
        <w:rPr>
          <w:rFonts w:eastAsia="Calibri" w:cs="Tahoma"/>
          <w:lang w:eastAsia="es-MX"/>
        </w:rPr>
      </w:pPr>
    </w:p>
    <w:p w14:paraId="2E60023E" w14:textId="77777777" w:rsidR="00777F5F" w:rsidRPr="00FA622E" w:rsidRDefault="00777F5F" w:rsidP="00893559">
      <w:pPr>
        <w:spacing w:after="0" w:line="360" w:lineRule="auto"/>
        <w:rPr>
          <w:rFonts w:eastAsia="Calibri" w:cs="Tahoma"/>
          <w:b/>
          <w:bCs/>
          <w:lang w:eastAsia="es-MX"/>
        </w:rPr>
      </w:pPr>
      <w:r w:rsidRPr="00FA622E">
        <w:rPr>
          <w:rFonts w:eastAsia="Calibri" w:cs="Tahoma"/>
          <w:b/>
          <w:bCs/>
          <w:lang w:eastAsia="es-MX"/>
        </w:rPr>
        <w:t>Causales de improcedencia.</w:t>
      </w:r>
    </w:p>
    <w:p w14:paraId="3442D60C" w14:textId="77777777" w:rsidR="00777F5F" w:rsidRPr="00777F5F" w:rsidRDefault="00777F5F" w:rsidP="00893559">
      <w:pPr>
        <w:spacing w:after="0" w:line="360" w:lineRule="auto"/>
        <w:rPr>
          <w:rFonts w:eastAsia="Calibri" w:cs="Tahoma"/>
          <w:lang w:eastAsia="es-MX"/>
        </w:rPr>
      </w:pPr>
    </w:p>
    <w:p w14:paraId="031A55D1" w14:textId="77777777" w:rsidR="00777F5F" w:rsidRPr="00777F5F" w:rsidRDefault="00777F5F" w:rsidP="00893559">
      <w:pPr>
        <w:spacing w:after="0" w:line="360" w:lineRule="auto"/>
        <w:rPr>
          <w:rFonts w:eastAsia="Calibri" w:cs="Tahoma"/>
          <w:lang w:eastAsia="es-MX"/>
        </w:rPr>
      </w:pPr>
      <w:r w:rsidRPr="00777F5F">
        <w:rPr>
          <w:rFonts w:eastAsia="Calibri" w:cs="Tahoma"/>
          <w:lang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AE308" w14:textId="77777777" w:rsidR="00777F5F" w:rsidRPr="00777F5F" w:rsidRDefault="00777F5F" w:rsidP="00893559">
      <w:pPr>
        <w:spacing w:after="0" w:line="360" w:lineRule="auto"/>
        <w:rPr>
          <w:rFonts w:eastAsia="Calibri" w:cs="Tahoma"/>
          <w:lang w:eastAsia="es-MX"/>
        </w:rPr>
      </w:pPr>
    </w:p>
    <w:p w14:paraId="4DC474E9" w14:textId="77777777" w:rsidR="00777F5F" w:rsidRPr="00777F5F" w:rsidRDefault="00777F5F" w:rsidP="00893559">
      <w:pPr>
        <w:spacing w:after="0" w:line="360" w:lineRule="auto"/>
        <w:rPr>
          <w:rFonts w:eastAsia="Calibri" w:cs="Tahoma"/>
          <w:lang w:eastAsia="es-MX"/>
        </w:rPr>
      </w:pPr>
      <w:r w:rsidRPr="00777F5F">
        <w:rPr>
          <w:rFonts w:eastAsia="Calibri" w:cs="Tahoma"/>
          <w:lang w:eastAsia="es-MX"/>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el medio de impugnación fue presentado en tiempo.</w:t>
      </w:r>
    </w:p>
    <w:p w14:paraId="04C5F8AC" w14:textId="77777777" w:rsidR="00777F5F" w:rsidRPr="00777F5F" w:rsidRDefault="00777F5F" w:rsidP="00893559">
      <w:pPr>
        <w:spacing w:after="0" w:line="360" w:lineRule="auto"/>
        <w:rPr>
          <w:rFonts w:eastAsia="Calibri" w:cs="Tahoma"/>
          <w:lang w:eastAsia="es-MX"/>
        </w:rPr>
      </w:pPr>
    </w:p>
    <w:p w14:paraId="39E192C9" w14:textId="3E6C008D" w:rsidR="00777F5F" w:rsidRPr="00777F5F" w:rsidRDefault="00777F5F" w:rsidP="00893559">
      <w:pPr>
        <w:spacing w:after="0" w:line="360" w:lineRule="auto"/>
        <w:rPr>
          <w:rFonts w:eastAsia="Calibri" w:cs="Tahoma"/>
          <w:lang w:eastAsia="es-MX"/>
        </w:rPr>
      </w:pPr>
      <w:r w:rsidRPr="00777F5F">
        <w:rPr>
          <w:rFonts w:eastAsia="Calibri" w:cs="Tahoma"/>
          <w:lang w:eastAsia="es-MX"/>
        </w:rPr>
        <w:t xml:space="preserve">Asimismo, se actualiza la causal de procedencia del Recurso de Revisión señalada en el artículo 179, fracción III, de la Ley en cita, pues la Recurrente se inconformó </w:t>
      </w:r>
      <w:r w:rsidR="00FA622E">
        <w:rPr>
          <w:rFonts w:eastAsia="Calibri" w:cs="Tahoma"/>
          <w:lang w:eastAsia="es-MX"/>
        </w:rPr>
        <w:t>con la inexistencia de información.</w:t>
      </w:r>
    </w:p>
    <w:p w14:paraId="1DC8FA9E" w14:textId="77777777" w:rsidR="00777F5F" w:rsidRPr="00777F5F" w:rsidRDefault="00777F5F" w:rsidP="00893559">
      <w:pPr>
        <w:spacing w:after="0" w:line="360" w:lineRule="auto"/>
        <w:rPr>
          <w:rFonts w:eastAsia="Calibri" w:cs="Tahoma"/>
          <w:lang w:eastAsia="es-MX"/>
        </w:rPr>
      </w:pPr>
    </w:p>
    <w:p w14:paraId="424351D2" w14:textId="77777777" w:rsidR="00777F5F" w:rsidRPr="00FA622E" w:rsidRDefault="00777F5F" w:rsidP="00893559">
      <w:pPr>
        <w:spacing w:after="0" w:line="360" w:lineRule="auto"/>
        <w:rPr>
          <w:rFonts w:eastAsia="Calibri" w:cs="Tahoma"/>
          <w:b/>
          <w:bCs/>
          <w:lang w:eastAsia="es-MX"/>
        </w:rPr>
      </w:pPr>
      <w:r w:rsidRPr="00FA622E">
        <w:rPr>
          <w:rFonts w:eastAsia="Calibri" w:cs="Tahoma"/>
          <w:b/>
          <w:bCs/>
          <w:lang w:eastAsia="es-MX"/>
        </w:rPr>
        <w:t>Causales de sobreseimiento.</w:t>
      </w:r>
    </w:p>
    <w:p w14:paraId="2BA6B7A3" w14:textId="77777777" w:rsidR="00777F5F" w:rsidRPr="00777F5F" w:rsidRDefault="00777F5F" w:rsidP="00893559">
      <w:pPr>
        <w:spacing w:after="0" w:line="360" w:lineRule="auto"/>
        <w:rPr>
          <w:rFonts w:eastAsia="Calibri" w:cs="Tahoma"/>
          <w:lang w:eastAsia="es-MX"/>
        </w:rPr>
      </w:pPr>
    </w:p>
    <w:p w14:paraId="35DFB398" w14:textId="77777777" w:rsidR="00777F5F" w:rsidRPr="00777F5F" w:rsidRDefault="00777F5F" w:rsidP="00893559">
      <w:pPr>
        <w:spacing w:after="0" w:line="360" w:lineRule="auto"/>
        <w:rPr>
          <w:rFonts w:eastAsia="Calibri" w:cs="Tahoma"/>
          <w:lang w:eastAsia="es-MX"/>
        </w:rPr>
      </w:pPr>
      <w:r w:rsidRPr="00777F5F">
        <w:rPr>
          <w:rFonts w:eastAsia="Calibri" w:cs="Tahoma"/>
          <w:lang w:eastAsia="es-MX"/>
        </w:rPr>
        <w:t>Por ser de previo y especial pronunciamiento, este Instituto analiza si se actualiza alguna causal de sobreseimiento.</w:t>
      </w:r>
    </w:p>
    <w:p w14:paraId="61F99DB7" w14:textId="77777777" w:rsidR="00777F5F" w:rsidRPr="00777F5F" w:rsidRDefault="00777F5F" w:rsidP="00893559">
      <w:pPr>
        <w:spacing w:after="0" w:line="360" w:lineRule="auto"/>
        <w:rPr>
          <w:rFonts w:eastAsia="Calibri" w:cs="Tahoma"/>
          <w:lang w:eastAsia="es-MX"/>
        </w:rPr>
      </w:pPr>
    </w:p>
    <w:p w14:paraId="40246AF8" w14:textId="77777777" w:rsidR="00777F5F" w:rsidRPr="00777F5F" w:rsidRDefault="00777F5F" w:rsidP="00893559">
      <w:pPr>
        <w:spacing w:after="0" w:line="360" w:lineRule="auto"/>
        <w:rPr>
          <w:rFonts w:eastAsia="Calibri" w:cs="Tahoma"/>
          <w:lang w:eastAsia="es-MX"/>
        </w:rPr>
      </w:pPr>
      <w:r w:rsidRPr="00777F5F">
        <w:rPr>
          <w:rFonts w:eastAsia="Calibri" w:cs="Tahoma"/>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0287EBD" w14:textId="77777777" w:rsidR="00777F5F" w:rsidRPr="00777F5F" w:rsidRDefault="00777F5F" w:rsidP="00893559">
      <w:pPr>
        <w:spacing w:after="0" w:line="360" w:lineRule="auto"/>
        <w:rPr>
          <w:rFonts w:eastAsia="Calibri" w:cs="Tahoma"/>
          <w:lang w:eastAsia="es-MX"/>
        </w:rPr>
      </w:pPr>
    </w:p>
    <w:p w14:paraId="6316E9FE" w14:textId="6E707305" w:rsidR="00EC70F5" w:rsidRDefault="00777F5F" w:rsidP="00893559">
      <w:pPr>
        <w:spacing w:after="0" w:line="360" w:lineRule="auto"/>
        <w:rPr>
          <w:rFonts w:eastAsia="Calibri" w:cs="Tahoma"/>
          <w:lang w:eastAsia="es-MX"/>
        </w:rPr>
      </w:pPr>
      <w:r w:rsidRPr="00777F5F">
        <w:rPr>
          <w:rFonts w:eastAsia="Calibri" w:cs="Tahoma"/>
          <w:lang w:eastAsia="es-MX"/>
        </w:rPr>
        <w:t>Por tales motivos, se considera procedente entrar al fondo del presente asunto.</w:t>
      </w:r>
    </w:p>
    <w:p w14:paraId="6AF97DCD" w14:textId="77777777" w:rsidR="00777F5F" w:rsidRPr="006F4471" w:rsidRDefault="00777F5F" w:rsidP="00893559">
      <w:pPr>
        <w:spacing w:after="0" w:line="360" w:lineRule="auto"/>
      </w:pPr>
    </w:p>
    <w:p w14:paraId="011BA85E" w14:textId="09955CDD" w:rsidR="00EC70F5" w:rsidRDefault="00EC70F5" w:rsidP="00893559">
      <w:pPr>
        <w:spacing w:after="0" w:line="360" w:lineRule="auto"/>
        <w:rPr>
          <w:rFonts w:eastAsia="Times New Roman" w:cs="Tahoma"/>
          <w:b/>
          <w:bCs/>
          <w:iCs/>
          <w:lang w:val="es-ES" w:eastAsia="es-ES"/>
        </w:rPr>
      </w:pPr>
      <w:r w:rsidRPr="006F4471">
        <w:rPr>
          <w:rFonts w:eastAsia="Times New Roman" w:cs="Tahoma"/>
          <w:b/>
          <w:bCs/>
          <w:iCs/>
          <w:lang w:val="es-ES" w:eastAsia="es-ES"/>
        </w:rPr>
        <w:t xml:space="preserve">TERCERO. Determinación de la Controversia. </w:t>
      </w:r>
    </w:p>
    <w:p w14:paraId="42183944" w14:textId="77777777" w:rsidR="00AA6DF1" w:rsidRPr="006F4471" w:rsidRDefault="00AA6DF1" w:rsidP="00893559">
      <w:pPr>
        <w:spacing w:after="0" w:line="360" w:lineRule="auto"/>
        <w:rPr>
          <w:rFonts w:eastAsia="Times New Roman" w:cs="Tahoma"/>
          <w:b/>
          <w:bCs/>
          <w:iCs/>
          <w:lang w:val="es-ES" w:eastAsia="es-ES"/>
        </w:rPr>
      </w:pPr>
    </w:p>
    <w:p w14:paraId="2D17DC87" w14:textId="5900342C" w:rsidR="00ED56F2" w:rsidRDefault="00003E2B" w:rsidP="00893559">
      <w:pPr>
        <w:spacing w:after="0" w:line="360" w:lineRule="auto"/>
        <w:rPr>
          <w:rFonts w:cs="Tahoma"/>
          <w:bCs/>
        </w:rPr>
      </w:pPr>
      <w:r w:rsidRPr="00CA42C2">
        <w:rPr>
          <w:rFonts w:cs="Tahoma"/>
          <w:bCs/>
          <w:iCs/>
          <w:lang w:val="es-ES"/>
        </w:rPr>
        <w:t xml:space="preserve">Una vez realizado el estudio de las constancias que integran el expediente en que se actúa, se desprende </w:t>
      </w:r>
      <w:r>
        <w:rPr>
          <w:rFonts w:cs="Tahoma"/>
          <w:bCs/>
          <w:iCs/>
          <w:lang w:val="es-ES"/>
        </w:rPr>
        <w:t xml:space="preserve">que </w:t>
      </w:r>
      <w:r w:rsidRPr="00CA42C2">
        <w:rPr>
          <w:rFonts w:cs="Tahoma"/>
          <w:bCs/>
          <w:iCs/>
          <w:lang w:val="es-ES"/>
        </w:rPr>
        <w:t>l</w:t>
      </w:r>
      <w:r w:rsidR="00777F5F">
        <w:rPr>
          <w:rFonts w:cs="Tahoma"/>
          <w:bCs/>
          <w:iCs/>
          <w:lang w:val="es-ES"/>
        </w:rPr>
        <w:t>a</w:t>
      </w:r>
      <w:r w:rsidRPr="00CA42C2">
        <w:rPr>
          <w:rFonts w:cs="Tahoma"/>
          <w:bCs/>
          <w:iCs/>
          <w:lang w:val="es-ES"/>
        </w:rPr>
        <w:t xml:space="preserve"> Particular</w:t>
      </w:r>
      <w:r>
        <w:rPr>
          <w:rFonts w:cs="Tahoma"/>
          <w:bCs/>
          <w:iCs/>
          <w:lang w:val="es-ES"/>
        </w:rPr>
        <w:t xml:space="preserve"> </w:t>
      </w:r>
      <w:r w:rsidRPr="00CA42C2">
        <w:rPr>
          <w:rFonts w:cs="Tahoma"/>
          <w:bCs/>
        </w:rPr>
        <w:t xml:space="preserve">requirió </w:t>
      </w:r>
      <w:r w:rsidRPr="00A226E9">
        <w:rPr>
          <w:rFonts w:cs="Tahoma"/>
          <w:bCs/>
        </w:rPr>
        <w:t xml:space="preserve">a la </w:t>
      </w:r>
      <w:r w:rsidR="00777F5F" w:rsidRPr="00777F5F">
        <w:rPr>
          <w:rFonts w:cs="Tahoma"/>
          <w:bCs/>
        </w:rPr>
        <w:t>Universidad Politécnica del Valle de Toluca</w:t>
      </w:r>
      <w:r w:rsidRPr="00A226E9">
        <w:rPr>
          <w:rFonts w:cs="Tahoma"/>
          <w:bCs/>
        </w:rPr>
        <w:t>,</w:t>
      </w:r>
      <w:r>
        <w:rPr>
          <w:rFonts w:cs="Tahoma"/>
          <w:bCs/>
        </w:rPr>
        <w:t xml:space="preserve"> </w:t>
      </w:r>
      <w:r w:rsidR="00FA622E">
        <w:rPr>
          <w:rFonts w:cs="Tahoma"/>
          <w:bCs/>
        </w:rPr>
        <w:t xml:space="preserve">respecto a la exservidora pública, </w:t>
      </w:r>
      <w:r w:rsidR="00FA622E" w:rsidRPr="00FA622E">
        <w:rPr>
          <w:rFonts w:cs="Tahoma"/>
          <w:bCs/>
        </w:rPr>
        <w:t>Nancy Claudia Aviña García</w:t>
      </w:r>
      <w:r w:rsidR="00FA622E">
        <w:rPr>
          <w:rFonts w:cs="Tahoma"/>
          <w:bCs/>
        </w:rPr>
        <w:t>, lo siguiente:</w:t>
      </w:r>
    </w:p>
    <w:p w14:paraId="77DE69AD" w14:textId="17DDCEC6" w:rsidR="00FA622E" w:rsidRDefault="00FA622E" w:rsidP="00893559">
      <w:pPr>
        <w:spacing w:after="0" w:line="360" w:lineRule="auto"/>
        <w:rPr>
          <w:rFonts w:cs="Tahoma"/>
          <w:bCs/>
        </w:rPr>
      </w:pPr>
    </w:p>
    <w:p w14:paraId="671353A4" w14:textId="65D99EA7" w:rsidR="00FA622E" w:rsidRDefault="00FA622E" w:rsidP="00893559">
      <w:pPr>
        <w:pStyle w:val="Prrafodelista"/>
        <w:numPr>
          <w:ilvl w:val="0"/>
          <w:numId w:val="15"/>
        </w:numPr>
        <w:spacing w:line="360" w:lineRule="auto"/>
        <w:rPr>
          <w:rFonts w:cs="Tahoma"/>
          <w:bCs/>
          <w:iCs/>
          <w:lang w:val="es-ES"/>
        </w:rPr>
      </w:pPr>
      <w:r>
        <w:rPr>
          <w:rFonts w:cs="Tahoma"/>
          <w:bCs/>
          <w:iCs/>
          <w:lang w:val="es-ES"/>
        </w:rPr>
        <w:t>Recibo de pago por concepto de finiquito, y</w:t>
      </w:r>
    </w:p>
    <w:p w14:paraId="68A84DD9" w14:textId="77777777" w:rsidR="00C97FFC" w:rsidRDefault="00C97FFC" w:rsidP="00893559">
      <w:pPr>
        <w:pStyle w:val="Prrafodelista"/>
        <w:spacing w:line="360" w:lineRule="auto"/>
        <w:rPr>
          <w:rFonts w:cs="Tahoma"/>
          <w:bCs/>
          <w:iCs/>
          <w:lang w:val="es-ES"/>
        </w:rPr>
      </w:pPr>
    </w:p>
    <w:p w14:paraId="3A33EA06" w14:textId="3599BC4D" w:rsidR="00FA622E" w:rsidRPr="00FA622E" w:rsidRDefault="00FA622E" w:rsidP="00893559">
      <w:pPr>
        <w:pStyle w:val="Prrafodelista"/>
        <w:numPr>
          <w:ilvl w:val="0"/>
          <w:numId w:val="15"/>
        </w:numPr>
        <w:spacing w:line="360" w:lineRule="auto"/>
        <w:rPr>
          <w:rFonts w:cs="Tahoma"/>
          <w:bCs/>
          <w:iCs/>
          <w:lang w:val="es-ES"/>
        </w:rPr>
      </w:pPr>
      <w:r>
        <w:rPr>
          <w:rFonts w:cs="Tahoma"/>
          <w:bCs/>
          <w:iCs/>
          <w:lang w:val="es-ES"/>
        </w:rPr>
        <w:t xml:space="preserve">Recibos de nómina de </w:t>
      </w:r>
      <w:r w:rsidR="00C97FFC">
        <w:rPr>
          <w:rFonts w:cs="Tahoma"/>
          <w:bCs/>
          <w:iCs/>
          <w:lang w:val="es-ES"/>
        </w:rPr>
        <w:t>noviembre de dos mil trece a septiembre de dos mil dieciséis.</w:t>
      </w:r>
    </w:p>
    <w:p w14:paraId="3CAD34EF" w14:textId="56BCFC3E" w:rsidR="00A96CC5" w:rsidRDefault="00A96CC5" w:rsidP="00893559">
      <w:pPr>
        <w:spacing w:after="0" w:line="360" w:lineRule="auto"/>
        <w:rPr>
          <w:rFonts w:eastAsia="Times New Roman" w:cs="Tahoma"/>
          <w:bCs/>
          <w:lang w:val="es-ES" w:eastAsia="es-ES"/>
        </w:rPr>
      </w:pPr>
    </w:p>
    <w:p w14:paraId="45CFE404" w14:textId="2DCF8EE6" w:rsidR="00AA6DF1" w:rsidRPr="00B40563" w:rsidRDefault="00BF75AD" w:rsidP="00893559">
      <w:pPr>
        <w:pStyle w:val="NormalWeb"/>
        <w:spacing w:before="0" w:beforeAutospacing="0" w:after="0" w:afterAutospacing="0" w:line="360" w:lineRule="auto"/>
        <w:ind w:right="-28"/>
        <w:jc w:val="both"/>
        <w:rPr>
          <w:rFonts w:ascii="Palatino Linotype" w:hAnsi="Palatino Linotype" w:cs="Tahoma"/>
          <w:bCs/>
          <w:iCs/>
          <w:sz w:val="22"/>
          <w:szCs w:val="22"/>
          <w:lang w:val="es-ES" w:eastAsia="es-ES"/>
        </w:rPr>
      </w:pPr>
      <w:r w:rsidRPr="00BF75AD">
        <w:rPr>
          <w:rFonts w:ascii="Palatino Linotype" w:hAnsi="Palatino Linotype" w:cs="Tahoma"/>
          <w:bCs/>
          <w:iCs/>
          <w:sz w:val="22"/>
          <w:szCs w:val="22"/>
          <w:lang w:val="es-ES"/>
        </w:rPr>
        <w:t>En respuesta, el Sujeto Obligado, a través de</w:t>
      </w:r>
      <w:r w:rsidR="00CD3E79">
        <w:rPr>
          <w:rFonts w:ascii="Palatino Linotype" w:hAnsi="Palatino Linotype" w:cs="Tahoma"/>
          <w:bCs/>
          <w:iCs/>
          <w:sz w:val="22"/>
          <w:szCs w:val="22"/>
          <w:lang w:val="es-ES"/>
        </w:rPr>
        <w:t xml:space="preserve">l </w:t>
      </w:r>
      <w:r w:rsidR="00CD3E79" w:rsidRPr="00CD3E79">
        <w:rPr>
          <w:rFonts w:ascii="Palatino Linotype" w:hAnsi="Palatino Linotype" w:cs="Tahoma"/>
          <w:bCs/>
          <w:iCs/>
          <w:sz w:val="22"/>
          <w:szCs w:val="22"/>
          <w:lang w:val="es-ES"/>
        </w:rPr>
        <w:t>Departamento de Recursos Humanos y Materiales</w:t>
      </w:r>
      <w:r w:rsidRPr="00BF75AD">
        <w:rPr>
          <w:rFonts w:ascii="Palatino Linotype" w:hAnsi="Palatino Linotype" w:cs="Tahoma"/>
          <w:bCs/>
          <w:iCs/>
          <w:sz w:val="22"/>
          <w:szCs w:val="22"/>
          <w:lang w:val="es-ES"/>
        </w:rPr>
        <w:t xml:space="preserve">, señaló que </w:t>
      </w:r>
      <w:r w:rsidR="0006260B">
        <w:rPr>
          <w:rFonts w:ascii="Palatino Linotype" w:hAnsi="Palatino Linotype" w:cs="Tahoma"/>
          <w:bCs/>
          <w:iCs/>
          <w:sz w:val="22"/>
          <w:szCs w:val="22"/>
          <w:lang w:val="es-ES"/>
        </w:rPr>
        <w:t xml:space="preserve">no </w:t>
      </w:r>
      <w:r w:rsidR="00C97FFC">
        <w:rPr>
          <w:rFonts w:ascii="Palatino Linotype" w:hAnsi="Palatino Linotype" w:cs="Tahoma"/>
          <w:bCs/>
          <w:iCs/>
          <w:sz w:val="22"/>
          <w:szCs w:val="22"/>
          <w:lang w:val="es-ES"/>
        </w:rPr>
        <w:t xml:space="preserve">contaba con la información peticionada; ante dicha circunstancia, </w:t>
      </w:r>
      <w:r w:rsidRPr="00BF75AD">
        <w:rPr>
          <w:rFonts w:ascii="Palatino Linotype" w:hAnsi="Palatino Linotype" w:cs="Tahoma"/>
          <w:bCs/>
          <w:iCs/>
          <w:sz w:val="22"/>
          <w:szCs w:val="22"/>
          <w:lang w:val="es-ES"/>
        </w:rPr>
        <w:t xml:space="preserve">el Solicitante se inconformó </w:t>
      </w:r>
      <w:r w:rsidR="00C97FFC">
        <w:rPr>
          <w:rFonts w:ascii="Palatino Linotype" w:hAnsi="Palatino Linotype" w:cs="Tahoma"/>
          <w:bCs/>
          <w:iCs/>
          <w:sz w:val="22"/>
          <w:szCs w:val="22"/>
          <w:lang w:val="es-ES"/>
        </w:rPr>
        <w:t>con la inexistencia de la información, al señalar que si existía una relación laboral, entre la persona requerida y la Universidad, además proporcionó un recibo de nómina</w:t>
      </w:r>
      <w:r w:rsidRPr="00BF75AD">
        <w:rPr>
          <w:rFonts w:ascii="Palatino Linotype" w:hAnsi="Palatino Linotype" w:cs="Tahoma"/>
          <w:bCs/>
          <w:iCs/>
          <w:sz w:val="22"/>
          <w:szCs w:val="22"/>
          <w:lang w:val="es-ES"/>
        </w:rPr>
        <w:t xml:space="preserve">, lo cual actualiza la causal de procedencia, establecida en el artículo 179, fracción III, de la Ley de Transparencia y Acceso a la Información Pública del Estado de México y Municipios. </w:t>
      </w:r>
      <w:r w:rsidR="000E666A" w:rsidRPr="000E666A">
        <w:rPr>
          <w:rFonts w:ascii="Palatino Linotype" w:hAnsi="Palatino Linotype" w:cs="Tahoma"/>
          <w:bCs/>
          <w:iCs/>
          <w:sz w:val="22"/>
          <w:szCs w:val="22"/>
          <w:lang w:val="es-ES"/>
        </w:rPr>
        <w:t xml:space="preserve">Así las cosas, una vez admitido y notificado el Recurso de Revisión a las partes, el Sujeto Obligado </w:t>
      </w:r>
      <w:r w:rsidR="00A56028">
        <w:rPr>
          <w:rFonts w:ascii="Palatino Linotype" w:hAnsi="Palatino Linotype" w:cs="Tahoma"/>
          <w:bCs/>
          <w:iCs/>
          <w:sz w:val="22"/>
          <w:szCs w:val="22"/>
          <w:lang w:val="es-ES"/>
        </w:rPr>
        <w:t>confirmó su respuesta inicial.</w:t>
      </w:r>
    </w:p>
    <w:p w14:paraId="18CF185A" w14:textId="39830C73" w:rsidR="00AA6DF1" w:rsidRDefault="00AA6DF1" w:rsidP="00893559">
      <w:pPr>
        <w:tabs>
          <w:tab w:val="left" w:pos="4962"/>
        </w:tabs>
        <w:spacing w:after="0" w:line="360" w:lineRule="auto"/>
        <w:rPr>
          <w:rFonts w:eastAsia="Calibri" w:cs="Tahoma"/>
          <w:iCs/>
          <w:color w:val="auto"/>
          <w:lang w:val="es-ES" w:eastAsia="es-ES"/>
        </w:rPr>
      </w:pPr>
    </w:p>
    <w:p w14:paraId="08DDBA7E" w14:textId="2B1B423A" w:rsidR="009F27F6" w:rsidRPr="009F27F6" w:rsidRDefault="009F27F6" w:rsidP="00893559">
      <w:pPr>
        <w:autoSpaceDE w:val="0"/>
        <w:autoSpaceDN w:val="0"/>
        <w:adjustRightInd w:val="0"/>
        <w:spacing w:after="0" w:line="360" w:lineRule="auto"/>
        <w:rPr>
          <w:rFonts w:eastAsia="Calibri" w:cs="Tahoma"/>
          <w:iCs/>
          <w:color w:val="auto"/>
          <w:lang w:eastAsia="es-ES"/>
        </w:rPr>
      </w:pPr>
      <w:r w:rsidRPr="009F27F6">
        <w:rPr>
          <w:rFonts w:eastAsia="Calibri" w:cs="Tahoma"/>
          <w:bCs/>
          <w:iCs/>
          <w:color w:val="000000"/>
          <w:szCs w:val="24"/>
          <w:lang w:eastAsia="es-MX"/>
        </w:rPr>
        <w:t xml:space="preserve">Posteriormente mediante el desahogo de un requerimiento de información adicional, la </w:t>
      </w:r>
      <w:r w:rsidR="00A56028" w:rsidRPr="00A56028">
        <w:rPr>
          <w:rFonts w:eastAsia="Calibri" w:cs="Tahoma"/>
          <w:bCs/>
        </w:rPr>
        <w:t>Universidad Politécnica del Valle de Toluca</w:t>
      </w:r>
      <w:r w:rsidRPr="009F27F6">
        <w:rPr>
          <w:rFonts w:eastAsia="Calibri" w:cs="Tahoma"/>
        </w:rPr>
        <w:t>, señal</w:t>
      </w:r>
      <w:r>
        <w:rPr>
          <w:rFonts w:eastAsia="Calibri" w:cs="Tahoma"/>
        </w:rPr>
        <w:t>ó</w:t>
      </w:r>
      <w:r w:rsidRPr="009F27F6">
        <w:rPr>
          <w:rFonts w:eastAsia="Calibri" w:cs="Tahoma"/>
        </w:rPr>
        <w:t xml:space="preserve"> respecto </w:t>
      </w:r>
      <w:r w:rsidR="00A56028">
        <w:rPr>
          <w:rFonts w:eastAsia="Calibri" w:cs="Tahoma"/>
        </w:rPr>
        <w:t>a los recibos de la Particular, lo siguiente:</w:t>
      </w:r>
    </w:p>
    <w:p w14:paraId="3D4826A6" w14:textId="77777777" w:rsidR="009F27F6" w:rsidRPr="009F27F6" w:rsidRDefault="009F27F6" w:rsidP="00893559">
      <w:pPr>
        <w:autoSpaceDE w:val="0"/>
        <w:autoSpaceDN w:val="0"/>
        <w:adjustRightInd w:val="0"/>
        <w:spacing w:after="0" w:line="360" w:lineRule="auto"/>
        <w:rPr>
          <w:rFonts w:eastAsia="Calibri" w:cs="Tahoma"/>
          <w:iCs/>
          <w:color w:val="auto"/>
          <w:lang w:val="es-ES" w:eastAsia="es-ES"/>
        </w:rPr>
      </w:pPr>
    </w:p>
    <w:p w14:paraId="13FF94F6" w14:textId="749B1EDF" w:rsidR="009F27F6" w:rsidRPr="009F27F6" w:rsidRDefault="009C3FA8" w:rsidP="00893559">
      <w:pPr>
        <w:numPr>
          <w:ilvl w:val="0"/>
          <w:numId w:val="1"/>
        </w:numPr>
        <w:spacing w:after="0" w:line="360" w:lineRule="auto"/>
        <w:contextualSpacing/>
        <w:rPr>
          <w:rFonts w:eastAsia="Calibri" w:cs="Tahoma"/>
          <w:iCs/>
          <w:color w:val="auto"/>
          <w:lang w:val="es-ES" w:eastAsia="es-ES"/>
        </w:rPr>
      </w:pPr>
      <w:r>
        <w:rPr>
          <w:rFonts w:eastAsia="Calibri" w:cs="Tahoma"/>
          <w:iCs/>
          <w:color w:val="auto"/>
          <w:lang w:val="es-ES" w:eastAsia="es-ES"/>
        </w:rPr>
        <w:t>Proporcionó los recibos de pago de nómina, del dos mil catorce, dos mil quince y dos mil dieciséis;</w:t>
      </w:r>
    </w:p>
    <w:p w14:paraId="4F024EFF" w14:textId="7D00E924" w:rsidR="009F27F6" w:rsidRPr="009F27F6" w:rsidRDefault="001928D6" w:rsidP="00893559">
      <w:pPr>
        <w:numPr>
          <w:ilvl w:val="0"/>
          <w:numId w:val="1"/>
        </w:numPr>
        <w:spacing w:after="0" w:line="360" w:lineRule="auto"/>
        <w:contextualSpacing/>
        <w:rPr>
          <w:rFonts w:eastAsia="Calibri" w:cs="Tahoma"/>
          <w:iCs/>
          <w:color w:val="auto"/>
          <w:lang w:val="es-ES" w:eastAsia="es-ES"/>
        </w:rPr>
      </w:pPr>
      <w:r>
        <w:rPr>
          <w:rFonts w:eastAsia="Calibri" w:cs="Tahoma"/>
          <w:iCs/>
          <w:color w:val="auto"/>
          <w:lang w:val="es-ES" w:eastAsia="es-ES"/>
        </w:rPr>
        <w:t xml:space="preserve">Informó </w:t>
      </w:r>
      <w:r w:rsidR="009C3FA8">
        <w:rPr>
          <w:rFonts w:eastAsia="Calibri" w:cs="Tahoma"/>
          <w:iCs/>
          <w:color w:val="auto"/>
          <w:lang w:val="es-ES" w:eastAsia="es-ES"/>
        </w:rPr>
        <w:t xml:space="preserve">que </w:t>
      </w:r>
      <w:r>
        <w:rPr>
          <w:rFonts w:eastAsia="Calibri" w:cs="Tahoma"/>
          <w:iCs/>
          <w:color w:val="auto"/>
          <w:lang w:val="es-ES" w:eastAsia="es-ES"/>
        </w:rPr>
        <w:t xml:space="preserve">la fecha de alta </w:t>
      </w:r>
      <w:r w:rsidR="009C3FA8">
        <w:rPr>
          <w:rFonts w:eastAsia="Calibri" w:cs="Tahoma"/>
          <w:iCs/>
          <w:color w:val="auto"/>
          <w:lang w:val="es-ES" w:eastAsia="es-ES"/>
        </w:rPr>
        <w:t xml:space="preserve">fue el diecinueve </w:t>
      </w:r>
      <w:r>
        <w:rPr>
          <w:rFonts w:eastAsia="Calibri" w:cs="Tahoma"/>
          <w:iCs/>
          <w:color w:val="auto"/>
          <w:lang w:val="es-ES" w:eastAsia="es-ES"/>
        </w:rPr>
        <w:t xml:space="preserve">de noviembre de </w:t>
      </w:r>
      <w:r w:rsidR="009C3FA8">
        <w:rPr>
          <w:rFonts w:eastAsia="Calibri" w:cs="Tahoma"/>
          <w:iCs/>
          <w:color w:val="auto"/>
          <w:lang w:val="es-ES" w:eastAsia="es-ES"/>
        </w:rPr>
        <w:t>dos mil trece</w:t>
      </w:r>
      <w:r>
        <w:rPr>
          <w:rFonts w:eastAsia="Calibri" w:cs="Tahoma"/>
          <w:iCs/>
          <w:color w:val="auto"/>
          <w:lang w:val="es-ES" w:eastAsia="es-ES"/>
        </w:rPr>
        <w:t xml:space="preserve"> y </w:t>
      </w:r>
      <w:r w:rsidR="009C3FA8">
        <w:rPr>
          <w:rFonts w:eastAsia="Calibri" w:cs="Tahoma"/>
          <w:iCs/>
          <w:color w:val="auto"/>
          <w:lang w:val="es-ES" w:eastAsia="es-ES"/>
        </w:rPr>
        <w:t xml:space="preserve">de </w:t>
      </w:r>
      <w:r>
        <w:rPr>
          <w:rFonts w:eastAsia="Calibri" w:cs="Tahoma"/>
          <w:iCs/>
          <w:color w:val="auto"/>
          <w:lang w:val="es-ES" w:eastAsia="es-ES"/>
        </w:rPr>
        <w:t xml:space="preserve">baja </w:t>
      </w:r>
      <w:r w:rsidR="009C3FA8">
        <w:rPr>
          <w:rFonts w:eastAsia="Calibri" w:cs="Tahoma"/>
          <w:iCs/>
          <w:color w:val="auto"/>
          <w:lang w:val="es-ES" w:eastAsia="es-ES"/>
        </w:rPr>
        <w:t xml:space="preserve">el treinta y uno de agosto de dos mil dieciséis, y proporcionó los </w:t>
      </w:r>
      <w:r>
        <w:rPr>
          <w:rFonts w:eastAsia="Calibri" w:cs="Tahoma"/>
          <w:iCs/>
          <w:color w:val="auto"/>
          <w:lang w:val="es-ES" w:eastAsia="es-ES"/>
        </w:rPr>
        <w:t>formato</w:t>
      </w:r>
      <w:r w:rsidR="009C3FA8">
        <w:rPr>
          <w:rFonts w:eastAsia="Calibri" w:cs="Tahoma"/>
          <w:iCs/>
          <w:color w:val="auto"/>
          <w:lang w:val="es-ES" w:eastAsia="es-ES"/>
        </w:rPr>
        <w:t>s</w:t>
      </w:r>
      <w:r>
        <w:rPr>
          <w:rFonts w:eastAsia="Calibri" w:cs="Tahoma"/>
          <w:iCs/>
          <w:color w:val="auto"/>
          <w:lang w:val="es-ES" w:eastAsia="es-ES"/>
        </w:rPr>
        <w:t xml:space="preserve"> de Aviso de Movimiento del </w:t>
      </w:r>
      <w:r w:rsidRPr="001928D6">
        <w:rPr>
          <w:rFonts w:eastAsia="Calibri" w:cs="Tahoma"/>
          <w:iCs/>
          <w:color w:val="auto"/>
          <w:lang w:val="es-ES" w:eastAsia="es-ES"/>
        </w:rPr>
        <w:t>Instituto de Seguridad Social del Estado de México y Municipio</w:t>
      </w:r>
      <w:r w:rsidR="009C3FA8">
        <w:rPr>
          <w:rFonts w:eastAsia="Calibri" w:cs="Tahoma"/>
          <w:iCs/>
          <w:color w:val="auto"/>
          <w:lang w:val="es-ES" w:eastAsia="es-ES"/>
        </w:rPr>
        <w:t>s, respectivamente.</w:t>
      </w:r>
    </w:p>
    <w:p w14:paraId="526F55B3" w14:textId="0B671B0F" w:rsidR="009C3FA8" w:rsidRDefault="009C3FA8" w:rsidP="00893559">
      <w:pPr>
        <w:numPr>
          <w:ilvl w:val="0"/>
          <w:numId w:val="1"/>
        </w:numPr>
        <w:spacing w:after="0" w:line="360" w:lineRule="auto"/>
        <w:contextualSpacing/>
        <w:rPr>
          <w:rFonts w:eastAsia="Calibri" w:cs="Tahoma"/>
          <w:iCs/>
          <w:color w:val="auto"/>
          <w:lang w:val="es-ES" w:eastAsia="es-ES"/>
        </w:rPr>
      </w:pPr>
      <w:r>
        <w:rPr>
          <w:rFonts w:eastAsia="Calibri" w:cs="Tahoma"/>
          <w:iCs/>
          <w:color w:val="auto"/>
          <w:lang w:val="es-ES" w:eastAsia="es-ES"/>
        </w:rPr>
        <w:t xml:space="preserve">Señaló que no existía un pago por finiquito, pues el Tribunal de Conciliación y Arbitraje del Estado de México, no había emitido algún acuerdo o resolución en el que se haya determinado </w:t>
      </w:r>
      <w:r w:rsidR="003F2E2A">
        <w:rPr>
          <w:rFonts w:eastAsia="Calibri" w:cs="Tahoma"/>
          <w:iCs/>
          <w:color w:val="auto"/>
          <w:lang w:val="es-ES" w:eastAsia="es-ES"/>
        </w:rPr>
        <w:t>el pago de alguna prestación laboral, ante la demanda laboral realizada por a la persona requerida.</w:t>
      </w:r>
    </w:p>
    <w:p w14:paraId="1CC50EE5" w14:textId="77777777" w:rsidR="003225B9" w:rsidRPr="003225B9" w:rsidRDefault="003225B9" w:rsidP="00893559">
      <w:pPr>
        <w:spacing w:after="0" w:line="360" w:lineRule="auto"/>
        <w:ind w:left="720"/>
        <w:contextualSpacing/>
        <w:rPr>
          <w:rFonts w:eastAsia="Calibri" w:cs="Tahoma"/>
          <w:iCs/>
          <w:color w:val="auto"/>
          <w:lang w:val="es-ES" w:eastAsia="es-ES"/>
        </w:rPr>
      </w:pPr>
    </w:p>
    <w:p w14:paraId="5BE5FBA7" w14:textId="07585227" w:rsidR="00AA6DF1" w:rsidRPr="00AA6DF1" w:rsidRDefault="00AA6DF1" w:rsidP="00893559">
      <w:pPr>
        <w:tabs>
          <w:tab w:val="left" w:pos="4962"/>
        </w:tabs>
        <w:spacing w:after="0" w:line="360" w:lineRule="auto"/>
        <w:rPr>
          <w:rFonts w:eastAsia="Calibri" w:cs="Tahoma"/>
          <w:bCs/>
          <w:color w:val="auto"/>
          <w:szCs w:val="24"/>
        </w:rPr>
      </w:pPr>
      <w:r w:rsidRPr="00AA6DF1">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Pr="00AA6DF1">
        <w:rPr>
          <w:rFonts w:eastAsia="Calibri" w:cs="Tahoma"/>
          <w:iCs/>
          <w:color w:val="auto"/>
          <w:lang w:eastAsia="es-ES_tradnl"/>
        </w:rPr>
        <w:t>; el escrito recursal</w:t>
      </w:r>
      <w:r w:rsidR="00F64694">
        <w:rPr>
          <w:rFonts w:eastAsia="Times New Roman" w:cs="Tahoma"/>
          <w:bCs/>
          <w:color w:val="000000"/>
          <w:lang w:eastAsia="es-ES"/>
        </w:rPr>
        <w:t>;</w:t>
      </w:r>
      <w:r w:rsidR="005D0AFB">
        <w:rPr>
          <w:rFonts w:eastAsia="Times New Roman" w:cs="Tahoma"/>
          <w:bCs/>
          <w:color w:val="000000"/>
          <w:lang w:eastAsia="es-ES"/>
        </w:rPr>
        <w:t xml:space="preserve"> el Informe Justificado</w:t>
      </w:r>
      <w:r w:rsidR="00F64694">
        <w:rPr>
          <w:rFonts w:eastAsia="Times New Roman" w:cs="Tahoma"/>
          <w:bCs/>
          <w:color w:val="000000"/>
          <w:lang w:eastAsia="es-ES"/>
        </w:rPr>
        <w:t xml:space="preserve"> y el desahogo del requerimiento de información adicional</w:t>
      </w:r>
      <w:r w:rsidRPr="00AA6DF1">
        <w:rPr>
          <w:rFonts w:eastAsia="Calibri" w:cs="Tahoma"/>
          <w:iCs/>
          <w:color w:val="auto"/>
          <w:lang w:eastAsia="es-ES_tradnl"/>
        </w:rPr>
        <w:t xml:space="preserve">; </w:t>
      </w:r>
      <w:r w:rsidRPr="00AA6DF1">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0DB42DEB" w14:textId="77777777" w:rsidR="00AA6DF1" w:rsidRDefault="00AA6DF1" w:rsidP="00893559">
      <w:pPr>
        <w:spacing w:after="0" w:line="360" w:lineRule="auto"/>
        <w:rPr>
          <w:rFonts w:eastAsia="Times New Roman" w:cs="Tahoma"/>
          <w:bCs/>
          <w:lang w:val="es-ES" w:eastAsia="es-ES"/>
        </w:rPr>
      </w:pPr>
    </w:p>
    <w:p w14:paraId="2083E3CF" w14:textId="77777777" w:rsidR="0021552A" w:rsidRPr="006F4471" w:rsidRDefault="0021552A" w:rsidP="00893559">
      <w:pPr>
        <w:spacing w:after="0" w:line="360" w:lineRule="auto"/>
        <w:rPr>
          <w:rFonts w:eastAsia="Times New Roman" w:cs="Tahoma"/>
          <w:b/>
          <w:bCs/>
          <w:iCs/>
          <w:lang w:eastAsia="es-ES"/>
        </w:rPr>
      </w:pPr>
      <w:r w:rsidRPr="006F4471">
        <w:rPr>
          <w:rFonts w:eastAsia="Times New Roman" w:cs="Tahoma"/>
          <w:b/>
          <w:bCs/>
          <w:iCs/>
          <w:lang w:val="es-ES" w:eastAsia="es-ES"/>
        </w:rPr>
        <w:t xml:space="preserve">CUARTO. </w:t>
      </w:r>
      <w:r w:rsidRPr="006F4471">
        <w:rPr>
          <w:rFonts w:eastAsia="Times New Roman" w:cs="Tahoma"/>
          <w:b/>
          <w:bCs/>
          <w:iCs/>
          <w:lang w:eastAsia="es-ES"/>
        </w:rPr>
        <w:t>Marco normativo aplicable en materia de transparencia y acceso a la información pública.</w:t>
      </w:r>
    </w:p>
    <w:p w14:paraId="7EC74972" w14:textId="77777777" w:rsidR="0021552A" w:rsidRPr="006F4471" w:rsidRDefault="0021552A" w:rsidP="00893559">
      <w:pPr>
        <w:spacing w:after="0" w:line="360" w:lineRule="auto"/>
        <w:rPr>
          <w:rFonts w:eastAsia="Times New Roman" w:cs="Tahoma"/>
          <w:b/>
          <w:bCs/>
          <w:iCs/>
          <w:lang w:eastAsia="es-ES"/>
        </w:rPr>
      </w:pPr>
    </w:p>
    <w:p w14:paraId="3E59A508"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1CFF3F" w14:textId="77777777" w:rsidR="0021552A" w:rsidRPr="006F4471" w:rsidRDefault="0021552A" w:rsidP="00893559">
      <w:pPr>
        <w:spacing w:after="0" w:line="360" w:lineRule="auto"/>
        <w:rPr>
          <w:rFonts w:eastAsia="Times New Roman" w:cs="Tahoma"/>
          <w:bCs/>
          <w:iCs/>
          <w:lang w:eastAsia="es-ES"/>
        </w:rPr>
      </w:pPr>
    </w:p>
    <w:p w14:paraId="4378D779"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DEF10A8" w14:textId="77777777" w:rsidR="0021552A" w:rsidRPr="006F4471" w:rsidRDefault="0021552A" w:rsidP="00893559">
      <w:pPr>
        <w:spacing w:after="0" w:line="360" w:lineRule="auto"/>
        <w:rPr>
          <w:rFonts w:eastAsia="Times New Roman" w:cs="Tahoma"/>
          <w:bCs/>
          <w:iCs/>
          <w:lang w:eastAsia="es-ES"/>
        </w:rPr>
      </w:pPr>
    </w:p>
    <w:p w14:paraId="275EAC63"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082402" w14:textId="77777777" w:rsidR="0021552A" w:rsidRPr="006F4471" w:rsidRDefault="0021552A" w:rsidP="00893559">
      <w:pPr>
        <w:spacing w:after="0" w:line="360" w:lineRule="auto"/>
        <w:rPr>
          <w:rFonts w:eastAsia="Times New Roman" w:cs="Tahoma"/>
          <w:bCs/>
          <w:iCs/>
          <w:lang w:eastAsia="es-ES"/>
        </w:rPr>
      </w:pPr>
    </w:p>
    <w:p w14:paraId="315A5CF5"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Por su parte, la Ley de Transparencia y Acceso a la Información Pública del Estado de México y Municipios (Reglamentaria del artículo 5° de la Constitución Local), establece lo siguiente:</w:t>
      </w:r>
    </w:p>
    <w:p w14:paraId="72AD0322" w14:textId="77777777" w:rsidR="0021552A" w:rsidRPr="006F4471" w:rsidRDefault="0021552A" w:rsidP="00893559">
      <w:pPr>
        <w:spacing w:after="0" w:line="360" w:lineRule="auto"/>
        <w:rPr>
          <w:rFonts w:eastAsia="Times New Roman" w:cs="Tahoma"/>
          <w:bCs/>
          <w:iCs/>
          <w:lang w:eastAsia="es-ES"/>
        </w:rPr>
      </w:pPr>
    </w:p>
    <w:p w14:paraId="725E3146"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El artículo 12, que, quienes generen, recopilen, administren, manejen, procesen, archiven o conserven información pública serán responsables de la misma.</w:t>
      </w:r>
    </w:p>
    <w:p w14:paraId="2295496F" w14:textId="77777777" w:rsidR="0021552A" w:rsidRPr="006F4471" w:rsidRDefault="0021552A" w:rsidP="00893559">
      <w:pPr>
        <w:spacing w:after="0" w:line="360" w:lineRule="auto"/>
        <w:rPr>
          <w:rFonts w:eastAsia="Times New Roman" w:cs="Tahoma"/>
          <w:bCs/>
          <w:iCs/>
          <w:lang w:eastAsia="es-ES"/>
        </w:rPr>
      </w:pPr>
    </w:p>
    <w:p w14:paraId="542EFCAB" w14:textId="77777777" w:rsidR="0021552A" w:rsidRPr="006F4471" w:rsidRDefault="0021552A" w:rsidP="00893559">
      <w:pPr>
        <w:spacing w:after="0" w:line="360" w:lineRule="auto"/>
        <w:rPr>
          <w:rFonts w:eastAsia="Times New Roman" w:cs="Tahoma"/>
          <w:bCs/>
          <w:iCs/>
          <w:lang w:eastAsia="es-ES"/>
        </w:rPr>
      </w:pPr>
      <w:r w:rsidRPr="006F4471">
        <w:rPr>
          <w:rFonts w:eastAsia="Times New Roman" w:cs="Tahoma"/>
          <w:bCs/>
          <w:iCs/>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9A001B1" w14:textId="77777777" w:rsidR="0021552A" w:rsidRPr="006F4471" w:rsidRDefault="0021552A" w:rsidP="00893559">
      <w:pPr>
        <w:spacing w:after="0" w:line="360" w:lineRule="auto"/>
        <w:rPr>
          <w:rFonts w:eastAsia="Times New Roman" w:cs="Tahoma"/>
          <w:bCs/>
          <w:iCs/>
          <w:lang w:eastAsia="es-ES"/>
        </w:rPr>
      </w:pPr>
    </w:p>
    <w:p w14:paraId="7A6DA768" w14:textId="6D8EECCF" w:rsidR="0021552A" w:rsidRDefault="0021552A" w:rsidP="00893559">
      <w:pPr>
        <w:spacing w:after="0" w:line="360" w:lineRule="auto"/>
        <w:rPr>
          <w:rFonts w:eastAsia="Times New Roman" w:cs="Tahoma"/>
          <w:bCs/>
          <w:iCs/>
          <w:lang w:eastAsia="es-ES"/>
        </w:rPr>
      </w:pPr>
      <w:r w:rsidRPr="006F4471">
        <w:rPr>
          <w:rFonts w:eastAsia="Times New Roman" w:cs="Tahoma"/>
          <w:bCs/>
          <w:iCs/>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1FB258" w14:textId="1E09983D" w:rsidR="009B3B1C" w:rsidRDefault="009B3B1C" w:rsidP="00893559">
      <w:pPr>
        <w:spacing w:after="0" w:line="360" w:lineRule="auto"/>
        <w:rPr>
          <w:rFonts w:eastAsia="Times New Roman" w:cs="Tahoma"/>
          <w:bCs/>
          <w:iCs/>
          <w:lang w:eastAsia="es-ES"/>
        </w:rPr>
      </w:pPr>
    </w:p>
    <w:p w14:paraId="71220D76" w14:textId="426B55A3" w:rsidR="009B3B1C" w:rsidRPr="006F4471" w:rsidRDefault="009B3B1C" w:rsidP="00893559">
      <w:pPr>
        <w:spacing w:after="0" w:line="360" w:lineRule="auto"/>
        <w:rPr>
          <w:rFonts w:eastAsia="Times New Roman" w:cs="Tahoma"/>
          <w:bCs/>
          <w:iCs/>
          <w:lang w:eastAsia="es-ES"/>
        </w:rPr>
      </w:pPr>
      <w:r w:rsidRPr="009B3B1C">
        <w:rPr>
          <w:rFonts w:eastAsia="Calibri" w:cs="Tahoma"/>
          <w:color w:val="000000"/>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56D4DA7B" w14:textId="77777777" w:rsidR="005E009D" w:rsidRPr="006F4471" w:rsidRDefault="005E009D" w:rsidP="00893559">
      <w:pPr>
        <w:spacing w:after="0" w:line="360" w:lineRule="auto"/>
        <w:rPr>
          <w:rFonts w:eastAsia="Times New Roman" w:cs="Tahoma"/>
          <w:bCs/>
          <w:lang w:eastAsia="es-ES"/>
        </w:rPr>
      </w:pPr>
    </w:p>
    <w:p w14:paraId="6E62C496" w14:textId="77777777" w:rsidR="003B58A9" w:rsidRPr="006F4471" w:rsidRDefault="003B58A9" w:rsidP="00893559">
      <w:pPr>
        <w:spacing w:after="0" w:line="360" w:lineRule="auto"/>
        <w:rPr>
          <w:rFonts w:eastAsia="Times New Roman" w:cs="Tahoma"/>
          <w:b/>
          <w:bCs/>
          <w:iCs/>
          <w:lang w:val="es-ES" w:eastAsia="es-ES"/>
        </w:rPr>
      </w:pPr>
      <w:r w:rsidRPr="006F4471">
        <w:rPr>
          <w:rFonts w:eastAsia="Times New Roman" w:cs="Tahoma"/>
          <w:b/>
          <w:bCs/>
          <w:iCs/>
          <w:lang w:val="es-ES" w:eastAsia="es-ES"/>
        </w:rPr>
        <w:t>Quinto. Estudio de Fondo.</w:t>
      </w:r>
    </w:p>
    <w:p w14:paraId="307026DC" w14:textId="77777777" w:rsidR="0021552A" w:rsidRPr="006F4471" w:rsidRDefault="0021552A" w:rsidP="00893559">
      <w:pPr>
        <w:spacing w:after="0" w:line="360" w:lineRule="auto"/>
        <w:rPr>
          <w:rFonts w:eastAsia="Times New Roman" w:cs="Tahoma"/>
          <w:bCs/>
          <w:lang w:val="es-ES" w:eastAsia="es-ES"/>
        </w:rPr>
      </w:pPr>
    </w:p>
    <w:p w14:paraId="5AB149DA" w14:textId="4647DF1D" w:rsidR="002319E5" w:rsidRPr="002319E5" w:rsidRDefault="004241E4" w:rsidP="00893559">
      <w:pPr>
        <w:spacing w:after="0" w:line="360" w:lineRule="auto"/>
        <w:rPr>
          <w:rFonts w:eastAsia="Times New Roman" w:cs="Tahoma"/>
          <w:bCs/>
          <w:lang w:val="es-ES" w:eastAsia="es-ES"/>
        </w:rPr>
      </w:pPr>
      <w:r w:rsidRPr="006F4471">
        <w:rPr>
          <w:rFonts w:cs="Tahoma"/>
          <w:lang w:eastAsia="es-MX"/>
        </w:rPr>
        <w:t xml:space="preserve">Expuestas las posturas de las partes, se procede al análisis del agravio hecho valer por </w:t>
      </w:r>
      <w:r w:rsidR="00C92C12">
        <w:rPr>
          <w:rFonts w:cs="Tahoma"/>
          <w:lang w:eastAsia="es-MX"/>
        </w:rPr>
        <w:t>la</w:t>
      </w:r>
      <w:r w:rsidRPr="006F4471">
        <w:rPr>
          <w:rFonts w:cs="Tahoma"/>
          <w:lang w:eastAsia="es-MX"/>
        </w:rPr>
        <w:t xml:space="preserve"> Particular, concerniente a la </w:t>
      </w:r>
      <w:r w:rsidR="00C92C12">
        <w:rPr>
          <w:rFonts w:cs="Tahoma"/>
          <w:lang w:eastAsia="es-MX"/>
        </w:rPr>
        <w:t>inexistencia</w:t>
      </w:r>
      <w:r w:rsidRPr="006F4471">
        <w:rPr>
          <w:rFonts w:cs="Tahoma"/>
          <w:lang w:eastAsia="es-MX"/>
        </w:rPr>
        <w:t xml:space="preserve"> de la información; para lo cual, en principio es necesario </w:t>
      </w:r>
      <w:r w:rsidR="00C92C12">
        <w:rPr>
          <w:rFonts w:cs="Tahoma"/>
          <w:lang w:eastAsia="es-MX"/>
        </w:rPr>
        <w:t xml:space="preserve">contextualizar </w:t>
      </w:r>
      <w:r w:rsidRPr="006F4471">
        <w:rPr>
          <w:rFonts w:cs="Tahoma"/>
          <w:lang w:eastAsia="es-MX"/>
        </w:rPr>
        <w:t xml:space="preserve">la solicitud de información, </w:t>
      </w:r>
      <w:r w:rsidR="00C92C12">
        <w:rPr>
          <w:rFonts w:cs="Tahoma"/>
          <w:lang w:eastAsia="es-MX"/>
        </w:rPr>
        <w:t xml:space="preserve">referente a los recibos de </w:t>
      </w:r>
      <w:r w:rsidR="009B3B1C">
        <w:rPr>
          <w:rFonts w:cs="Tahoma"/>
          <w:lang w:eastAsia="es-MX"/>
        </w:rPr>
        <w:t>nómina y finiquito.</w:t>
      </w:r>
    </w:p>
    <w:p w14:paraId="0C5379D5" w14:textId="5486D8B2" w:rsidR="00663DB7" w:rsidRDefault="00663DB7" w:rsidP="00893559">
      <w:pPr>
        <w:spacing w:after="0" w:line="360" w:lineRule="auto"/>
        <w:rPr>
          <w:rFonts w:eastAsia="Times New Roman" w:cs="Tahoma"/>
          <w:bCs/>
          <w:lang w:val="es-ES" w:eastAsia="es-ES"/>
        </w:rPr>
      </w:pPr>
    </w:p>
    <w:p w14:paraId="6B9D4DAE" w14:textId="4A9A7089" w:rsidR="005F4C07" w:rsidRPr="005F4C07" w:rsidRDefault="005F4C07" w:rsidP="00893559">
      <w:pPr>
        <w:spacing w:after="0" w:line="360" w:lineRule="auto"/>
        <w:rPr>
          <w:rFonts w:eastAsia="Calibri" w:cs="Times New Roman"/>
          <w:bCs/>
        </w:rPr>
      </w:pPr>
      <w:r w:rsidRPr="005F4C07">
        <w:rPr>
          <w:rFonts w:eastAsia="Calibri" w:cs="Times New Roman"/>
          <w:bCs/>
          <w:lang w:val="es-ES"/>
        </w:rPr>
        <w:t>En principio, es necesario</w:t>
      </w:r>
      <w:r w:rsidRPr="005F4C07">
        <w:rPr>
          <w:rFonts w:eastAsia="Calibri" w:cs="Times New Roman"/>
          <w:bCs/>
        </w:rPr>
        <w:t xml:space="preserve"> traer a colación, el artículo 147 de la Constitución Política del Estado Libre y Soberano de México, que establece que los trabajadores al servicio del </w:t>
      </w:r>
      <w:r w:rsidR="00386125" w:rsidRPr="005F4C07">
        <w:rPr>
          <w:rFonts w:eastAsia="Calibri" w:cs="Times New Roman"/>
          <w:bCs/>
        </w:rPr>
        <w:t>Estado</w:t>
      </w:r>
      <w:r w:rsidR="00386125">
        <w:rPr>
          <w:rFonts w:eastAsia="Calibri" w:cs="Times New Roman"/>
          <w:bCs/>
        </w:rPr>
        <w:t>,</w:t>
      </w:r>
      <w:r w:rsidR="00386125" w:rsidRPr="005F4C07">
        <w:rPr>
          <w:rFonts w:eastAsia="Calibri" w:cs="Times New Roman"/>
          <w:bCs/>
        </w:rPr>
        <w:t xml:space="preserve"> recibirán</w:t>
      </w:r>
      <w:r w:rsidRPr="005F4C07">
        <w:rPr>
          <w:rFonts w:eastAsia="Calibri" w:cs="Times New Roman"/>
          <w:bCs/>
        </w:rPr>
        <w:t xml:space="preserve"> una remuneración adecuada e irrenunciable por el desempeño de su empleo, cargo o comisión, que será determinada en el presupuesto de egresos que corresponda. </w:t>
      </w:r>
    </w:p>
    <w:p w14:paraId="0CB9FCFB" w14:textId="77777777" w:rsidR="005F4C07" w:rsidRPr="005F4C07" w:rsidRDefault="005F4C07" w:rsidP="00893559">
      <w:pPr>
        <w:spacing w:after="0" w:line="360" w:lineRule="auto"/>
        <w:rPr>
          <w:rFonts w:eastAsia="Calibri" w:cs="Times New Roman"/>
        </w:rPr>
      </w:pPr>
    </w:p>
    <w:p w14:paraId="562AEAE5" w14:textId="77777777" w:rsidR="005F4C07" w:rsidRPr="005F4C07" w:rsidRDefault="005F4C07" w:rsidP="00893559">
      <w:pPr>
        <w:spacing w:after="0" w:line="360" w:lineRule="auto"/>
        <w:rPr>
          <w:rFonts w:eastAsia="Calibri" w:cs="Times New Roman"/>
          <w:bCs/>
        </w:rPr>
      </w:pPr>
      <w:r w:rsidRPr="005F4C07">
        <w:rPr>
          <w:rFonts w:eastAsia="Calibri" w:cs="Times New Roman"/>
          <w:bCs/>
        </w:rPr>
        <w:t xml:space="preserve">En orden de ideas, el artículo 3°, fracción XXXII, del Código Financiero del Estado de México y Municipios establece que la remuneración consiste en los pagos hechos por concepto de </w:t>
      </w:r>
      <w:r w:rsidRPr="005F4C07">
        <w:rPr>
          <w:rFonts w:eastAsia="Calibri" w:cs="Times New Roman"/>
          <w:b/>
        </w:rPr>
        <w:t>sueldo,</w:t>
      </w:r>
      <w:r w:rsidRPr="005F4C07">
        <w:rPr>
          <w:rFonts w:eastAsia="Calibri" w:cs="Times New Roman"/>
          <w:bCs/>
        </w:rPr>
        <w:t xml:space="preserve"> compensaciones, gratificaciones, habitación, primas, comisiones, prestaciones, en especie y cualquier otra percepción o prestación que se entregue al servidor por su trabajo.</w:t>
      </w:r>
    </w:p>
    <w:p w14:paraId="4782387F" w14:textId="77777777" w:rsidR="005F4C07" w:rsidRPr="005F4C07" w:rsidRDefault="005F4C07" w:rsidP="00893559">
      <w:pPr>
        <w:spacing w:after="0" w:line="360" w:lineRule="auto"/>
        <w:rPr>
          <w:rFonts w:eastAsia="Calibri" w:cs="Times New Roman"/>
          <w:bCs/>
        </w:rPr>
      </w:pPr>
    </w:p>
    <w:p w14:paraId="69BE29CA" w14:textId="5F360E3A" w:rsidR="005F4C07" w:rsidRPr="005F4C07" w:rsidRDefault="005F4C07" w:rsidP="00893559">
      <w:pPr>
        <w:spacing w:after="0" w:line="360" w:lineRule="auto"/>
        <w:rPr>
          <w:rFonts w:eastAsia="Calibri" w:cs="Times New Roman"/>
          <w:bCs/>
        </w:rPr>
      </w:pPr>
      <w:r w:rsidRPr="005F4C07">
        <w:rPr>
          <w:rFonts w:eastAsia="Calibri" w:cs="Times New Roman"/>
          <w:bCs/>
        </w:rPr>
        <w:t xml:space="preserve">Da la misma manera, </w:t>
      </w:r>
      <w:r w:rsidR="003A5CED">
        <w:rPr>
          <w:rFonts w:eastAsia="Calibri" w:cs="Times New Roman"/>
          <w:bCs/>
        </w:rPr>
        <w:t>la</w:t>
      </w:r>
      <w:r w:rsidR="009D083C">
        <w:rPr>
          <w:rFonts w:eastAsia="Calibri" w:cs="Times New Roman"/>
          <w:bCs/>
        </w:rPr>
        <w:t>s</w:t>
      </w:r>
      <w:r w:rsidR="003A5CED">
        <w:rPr>
          <w:rFonts w:eastAsia="Calibri" w:cs="Times New Roman"/>
          <w:bCs/>
        </w:rPr>
        <w:t xml:space="preserve"> Cláusula</w:t>
      </w:r>
      <w:r w:rsidR="009D083C">
        <w:rPr>
          <w:rFonts w:eastAsia="Calibri" w:cs="Times New Roman"/>
          <w:bCs/>
        </w:rPr>
        <w:t>s</w:t>
      </w:r>
      <w:r w:rsidR="003A5CED">
        <w:rPr>
          <w:rFonts w:eastAsia="Calibri" w:cs="Times New Roman"/>
          <w:bCs/>
        </w:rPr>
        <w:t xml:space="preserve"> Décimo Segunda</w:t>
      </w:r>
      <w:r w:rsidR="009D083C">
        <w:rPr>
          <w:rFonts w:eastAsia="Calibri" w:cs="Times New Roman"/>
          <w:bCs/>
        </w:rPr>
        <w:t xml:space="preserve"> y Décimo Tercera</w:t>
      </w:r>
      <w:r w:rsidRPr="005F4C07">
        <w:rPr>
          <w:rFonts w:eastAsia="Calibri" w:cs="Times New Roman"/>
          <w:bCs/>
        </w:rPr>
        <w:t xml:space="preserve">, del </w:t>
      </w:r>
      <w:r w:rsidR="003A5CED">
        <w:rPr>
          <w:rFonts w:eastAsia="Calibri" w:cs="Times New Roman"/>
          <w:bCs/>
        </w:rPr>
        <w:t xml:space="preserve">Convenio de Sueldos y Prestaciones entre la </w:t>
      </w:r>
      <w:bookmarkStart w:id="1" w:name="_Hlk98970178"/>
      <w:r w:rsidR="003A5CED">
        <w:rPr>
          <w:rFonts w:eastAsia="Calibri" w:cs="Times New Roman"/>
          <w:bCs/>
        </w:rPr>
        <w:t>Universidad Politécnica del Valle de Toluca</w:t>
      </w:r>
      <w:bookmarkEnd w:id="1"/>
      <w:r w:rsidR="003A5CED">
        <w:rPr>
          <w:rFonts w:eastAsia="Calibri" w:cs="Times New Roman"/>
          <w:bCs/>
        </w:rPr>
        <w:t xml:space="preserve"> y el Sindicato Único de Trabajadores Académicos y Administrativos de la Universidad Politécnica del Valle de Toluca</w:t>
      </w:r>
      <w:r w:rsidR="00D26E6C">
        <w:rPr>
          <w:rFonts w:eastAsia="Calibri" w:cs="Times New Roman"/>
          <w:bCs/>
        </w:rPr>
        <w:t>, celebrado el veinticuatro de noviembre de dos mil veinte</w:t>
      </w:r>
      <w:r w:rsidRPr="005F4C07">
        <w:rPr>
          <w:rFonts w:eastAsia="Calibri" w:cs="Times New Roman"/>
          <w:bCs/>
        </w:rPr>
        <w:t>, establece</w:t>
      </w:r>
      <w:r w:rsidR="009D083C">
        <w:rPr>
          <w:rFonts w:eastAsia="Calibri" w:cs="Times New Roman"/>
          <w:bCs/>
        </w:rPr>
        <w:t>n</w:t>
      </w:r>
      <w:r w:rsidRPr="005F4C07">
        <w:rPr>
          <w:rFonts w:eastAsia="Calibri" w:cs="Times New Roman"/>
          <w:bCs/>
        </w:rPr>
        <w:t xml:space="preserve"> que </w:t>
      </w:r>
      <w:r w:rsidR="009D083C">
        <w:rPr>
          <w:rFonts w:eastAsia="Calibri" w:cs="Times New Roman"/>
          <w:bCs/>
        </w:rPr>
        <w:t>el salario es la</w:t>
      </w:r>
      <w:r w:rsidRPr="005F4C07">
        <w:rPr>
          <w:rFonts w:eastAsia="Calibri" w:cs="Times New Roman"/>
          <w:bCs/>
        </w:rPr>
        <w:t xml:space="preserve"> retribución monetaria que se da en pago </w:t>
      </w:r>
      <w:r w:rsidR="009D083C">
        <w:rPr>
          <w:rFonts w:eastAsia="Calibri" w:cs="Times New Roman"/>
          <w:bCs/>
        </w:rPr>
        <w:t xml:space="preserve">a los trabajadores </w:t>
      </w:r>
      <w:r w:rsidRPr="005F4C07">
        <w:rPr>
          <w:rFonts w:eastAsia="Calibri" w:cs="Times New Roman"/>
          <w:bCs/>
        </w:rPr>
        <w:t xml:space="preserve">por su servicio </w:t>
      </w:r>
      <w:r w:rsidR="009D083C">
        <w:rPr>
          <w:rFonts w:eastAsia="Calibri" w:cs="Times New Roman"/>
          <w:bCs/>
        </w:rPr>
        <w:t>prestado, que corresponde a quince días de trabajo y se efectuará en moneda de curso legal, cheques nominativos de fácil cobro o utilizando el sistema que brinde mayor seguridad en el pago de los trabajadores.</w:t>
      </w:r>
    </w:p>
    <w:p w14:paraId="3F56196D" w14:textId="77777777" w:rsidR="005F4C07" w:rsidRPr="005F4C07" w:rsidRDefault="005F4C07" w:rsidP="00893559">
      <w:pPr>
        <w:spacing w:after="0" w:line="360" w:lineRule="auto"/>
        <w:rPr>
          <w:rFonts w:eastAsia="Calibri" w:cs="Times New Roman"/>
          <w:bCs/>
        </w:rPr>
      </w:pPr>
    </w:p>
    <w:p w14:paraId="651A4BC7" w14:textId="77777777" w:rsidR="005F4C07" w:rsidRPr="005F4C07" w:rsidRDefault="005F4C07" w:rsidP="00893559">
      <w:pPr>
        <w:spacing w:after="0" w:line="360" w:lineRule="auto"/>
        <w:rPr>
          <w:rFonts w:eastAsia="Calibri" w:cs="Times New Roman"/>
          <w:bCs/>
          <w:iCs/>
          <w:lang w:val="es-ES"/>
        </w:rPr>
      </w:pPr>
      <w:r w:rsidRPr="005F4C07">
        <w:rPr>
          <w:rFonts w:eastAsia="Calibri" w:cs="Times New Roman"/>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0AEC5A9" w14:textId="77777777" w:rsidR="005F4C07" w:rsidRPr="005F4C07" w:rsidRDefault="005F4C07" w:rsidP="00893559">
      <w:pPr>
        <w:spacing w:after="0" w:line="360" w:lineRule="auto"/>
        <w:rPr>
          <w:rFonts w:eastAsia="Calibri" w:cs="Times New Roman"/>
          <w:bCs/>
        </w:rPr>
      </w:pPr>
    </w:p>
    <w:p w14:paraId="0BE1B04D" w14:textId="77777777" w:rsidR="005F4C07" w:rsidRPr="005F4C07" w:rsidRDefault="005F4C07" w:rsidP="00893559">
      <w:pPr>
        <w:spacing w:after="0" w:line="360" w:lineRule="auto"/>
        <w:rPr>
          <w:rFonts w:eastAsia="Calibri" w:cs="Times New Roman"/>
          <w:bCs/>
        </w:rPr>
      </w:pPr>
      <w:r w:rsidRPr="005F4C07">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F4C07">
        <w:rPr>
          <w:rFonts w:eastAsia="Calibri" w:cs="Times New Roman"/>
          <w:b/>
          <w:bCs/>
        </w:rPr>
        <w:t>recibos de pago de salarios o las</w:t>
      </w:r>
      <w:r w:rsidRPr="005F4C07">
        <w:rPr>
          <w:rFonts w:eastAsia="Calibri" w:cs="Times New Roman"/>
          <w:bCs/>
        </w:rPr>
        <w:t xml:space="preserve"> </w:t>
      </w:r>
      <w:r w:rsidRPr="005F4C07">
        <w:rPr>
          <w:rFonts w:eastAsia="Calibri" w:cs="Times New Roman"/>
          <w:b/>
          <w:bCs/>
        </w:rPr>
        <w:t xml:space="preserve">constancias documentales del pago de sueldos, </w:t>
      </w:r>
      <w:r w:rsidRPr="005F4C07">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C352D85" w14:textId="77777777" w:rsidR="005F4C07" w:rsidRPr="005F4C07" w:rsidRDefault="005F4C07" w:rsidP="00893559">
      <w:pPr>
        <w:spacing w:after="0" w:line="360" w:lineRule="auto"/>
        <w:rPr>
          <w:rFonts w:eastAsia="Calibri" w:cs="Times New Roman"/>
          <w:bCs/>
        </w:rPr>
      </w:pPr>
    </w:p>
    <w:p w14:paraId="4F204652" w14:textId="77777777" w:rsidR="005F4C07" w:rsidRPr="005F4C07" w:rsidRDefault="005F4C07" w:rsidP="00893559">
      <w:pPr>
        <w:spacing w:after="0" w:line="360" w:lineRule="auto"/>
        <w:rPr>
          <w:rFonts w:eastAsia="Calibri" w:cs="Times New Roman"/>
          <w:bCs/>
        </w:rPr>
      </w:pPr>
      <w:r w:rsidRPr="005F4C07">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4368D22" w14:textId="77777777" w:rsidR="005F4C07" w:rsidRPr="005F4C07" w:rsidRDefault="005F4C07" w:rsidP="00893559">
      <w:pPr>
        <w:spacing w:after="0" w:line="360" w:lineRule="auto"/>
        <w:rPr>
          <w:rFonts w:eastAsia="Calibri" w:cs="Times New Roman"/>
          <w:bCs/>
        </w:rPr>
      </w:pPr>
    </w:p>
    <w:p w14:paraId="5BD126EB" w14:textId="77777777" w:rsidR="005F4C07" w:rsidRPr="005F4C07" w:rsidRDefault="005F4C07" w:rsidP="00893559">
      <w:pPr>
        <w:spacing w:after="0" w:line="360" w:lineRule="auto"/>
        <w:ind w:left="567" w:right="567"/>
        <w:rPr>
          <w:rFonts w:eastAsia="Calibri" w:cs="Times New Roman"/>
          <w:bCs/>
          <w:i/>
          <w:iCs/>
          <w:sz w:val="20"/>
          <w:szCs w:val="20"/>
          <w:lang w:val="es-ES"/>
        </w:rPr>
      </w:pPr>
      <w:r w:rsidRPr="005F4C07">
        <w:rPr>
          <w:rFonts w:eastAsia="Calibri" w:cs="Times New Roman"/>
          <w:b/>
          <w:bCs/>
          <w:i/>
          <w:iCs/>
          <w:sz w:val="20"/>
          <w:szCs w:val="20"/>
          <w:lang w:val="es-ES"/>
        </w:rPr>
        <w:t>“RECIBOS DE PAGO</w:t>
      </w:r>
      <w:r w:rsidRPr="005F4C07">
        <w:rPr>
          <w:rFonts w:eastAsia="Calibri" w:cs="Times New Roman"/>
          <w:bCs/>
          <w:i/>
          <w:iCs/>
          <w:sz w:val="20"/>
          <w:szCs w:val="20"/>
          <w:lang w:val="es-ES"/>
        </w:rPr>
        <w:t xml:space="preserve"> </w:t>
      </w:r>
      <w:r w:rsidRPr="005F4C07">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F4C07">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1CEEFD9" w14:textId="77777777" w:rsidR="005F4C07" w:rsidRPr="005F4C07" w:rsidRDefault="005F4C07" w:rsidP="00893559">
      <w:pPr>
        <w:spacing w:after="0" w:line="360" w:lineRule="auto"/>
        <w:rPr>
          <w:rFonts w:eastAsia="Calibri" w:cs="Times New Roman"/>
          <w:b/>
          <w:bCs/>
          <w:i/>
          <w:iCs/>
          <w:lang w:val="es-ES"/>
        </w:rPr>
      </w:pPr>
    </w:p>
    <w:p w14:paraId="7AD40F93" w14:textId="77777777" w:rsidR="005F4C07" w:rsidRPr="005F4C07" w:rsidRDefault="005F4C07" w:rsidP="00893559">
      <w:pPr>
        <w:spacing w:after="0" w:line="360" w:lineRule="auto"/>
        <w:rPr>
          <w:rFonts w:eastAsia="Calibri" w:cs="Times New Roman"/>
          <w:bCs/>
          <w:lang w:val="es-ES"/>
        </w:rPr>
      </w:pPr>
      <w:r w:rsidRPr="005F4C07">
        <w:rPr>
          <w:rFonts w:eastAsia="Calibri" w:cs="Times New Roman"/>
          <w:bCs/>
          <w:lang w:val="es-ES"/>
        </w:rPr>
        <w:t xml:space="preserve">De la tesis transcrita, se desprende que </w:t>
      </w:r>
      <w:r w:rsidRPr="005F4C07">
        <w:rPr>
          <w:rFonts w:eastAsia="Calibri" w:cs="Times New Roman"/>
          <w:b/>
          <w:bCs/>
          <w:lang w:val="es-ES"/>
        </w:rPr>
        <w:t>en materia burocrática</w:t>
      </w:r>
      <w:r w:rsidRPr="005F4C07">
        <w:rPr>
          <w:rFonts w:eastAsia="Calibri" w:cs="Times New Roman"/>
          <w:bCs/>
          <w:lang w:val="es-ES"/>
        </w:rPr>
        <w:t xml:space="preserve"> </w:t>
      </w:r>
      <w:r w:rsidRPr="005F4C07">
        <w:rPr>
          <w:rFonts w:eastAsia="Calibri" w:cs="Times New Roman"/>
          <w:b/>
          <w:bCs/>
          <w:lang w:val="es-ES"/>
        </w:rPr>
        <w:t>los recibos de pago acreditan los conceptos y montos que en ellos se insertan</w:t>
      </w:r>
      <w:r w:rsidRPr="005F4C07">
        <w:rPr>
          <w:rFonts w:eastAsia="Calibri" w:cs="Times New Roman"/>
          <w:bCs/>
          <w:lang w:val="es-ES"/>
        </w:rPr>
        <w:t xml:space="preserve">, y constituyen prueba para demostrar las percepciones y montos que reciben los servidores públicos. </w:t>
      </w:r>
    </w:p>
    <w:p w14:paraId="54340B2B" w14:textId="61281EDA" w:rsidR="005F4C07" w:rsidRDefault="005F4C07" w:rsidP="00893559">
      <w:pPr>
        <w:spacing w:after="0" w:line="360" w:lineRule="auto"/>
        <w:rPr>
          <w:rFonts w:eastAsia="Times New Roman" w:cs="Tahoma"/>
          <w:bCs/>
          <w:lang w:val="es-ES" w:eastAsia="es-ES"/>
        </w:rPr>
      </w:pPr>
    </w:p>
    <w:p w14:paraId="5B347C1E" w14:textId="7C76B1B7" w:rsidR="003F2E2A" w:rsidRDefault="003F2E2A" w:rsidP="00893559">
      <w:pPr>
        <w:spacing w:after="0" w:line="360" w:lineRule="auto"/>
        <w:rPr>
          <w:rFonts w:eastAsia="Times New Roman" w:cs="Tahoma"/>
          <w:bCs/>
          <w:lang w:val="es-ES" w:eastAsia="es-ES"/>
        </w:rPr>
      </w:pPr>
      <w:r>
        <w:rPr>
          <w:rFonts w:eastAsia="Times New Roman" w:cs="Tahoma"/>
          <w:bCs/>
          <w:lang w:val="es-ES" w:eastAsia="es-ES"/>
        </w:rPr>
        <w:t>Ahora bien, respecto a la persona señalada en la solicitud, es de señalar que el Sujeto Obligado proporcionó los movimientos de alta y baja de dicha persona, por la Universidad Politécnica del Valle de Toluca</w:t>
      </w:r>
      <w:r w:rsidR="005C0848">
        <w:rPr>
          <w:rFonts w:eastAsia="Times New Roman" w:cs="Tahoma"/>
          <w:bCs/>
          <w:lang w:val="es-ES" w:eastAsia="es-ES"/>
        </w:rPr>
        <w:t>, del cual se advierte lo siguiente:</w:t>
      </w:r>
    </w:p>
    <w:p w14:paraId="708CB87B" w14:textId="618E4263" w:rsidR="005C0848" w:rsidRDefault="005C0848" w:rsidP="00893559">
      <w:pPr>
        <w:spacing w:after="0" w:line="360" w:lineRule="auto"/>
        <w:rPr>
          <w:rFonts w:eastAsia="Times New Roman" w:cs="Tahoma"/>
          <w:bCs/>
          <w:lang w:val="es-ES" w:eastAsia="es-ES"/>
        </w:rPr>
      </w:pPr>
    </w:p>
    <w:tbl>
      <w:tblPr>
        <w:tblStyle w:val="Tablaconcuadrcula"/>
        <w:tblW w:w="0" w:type="auto"/>
        <w:tblLook w:val="04A0" w:firstRow="1" w:lastRow="0" w:firstColumn="1" w:lastColumn="0" w:noHBand="0" w:noVBand="1"/>
      </w:tblPr>
      <w:tblGrid>
        <w:gridCol w:w="4555"/>
        <w:gridCol w:w="4556"/>
      </w:tblGrid>
      <w:tr w:rsidR="005C0848" w14:paraId="40202A0A" w14:textId="77777777" w:rsidTr="005C0848">
        <w:tc>
          <w:tcPr>
            <w:tcW w:w="9111" w:type="dxa"/>
            <w:gridSpan w:val="2"/>
            <w:shd w:val="clear" w:color="auto" w:fill="BFBFBF" w:themeFill="background1" w:themeFillShade="BF"/>
          </w:tcPr>
          <w:p w14:paraId="2933B7D5" w14:textId="1F105B34" w:rsidR="005C0848" w:rsidRPr="005C0848" w:rsidRDefault="005C0848" w:rsidP="00893559">
            <w:pPr>
              <w:spacing w:line="360" w:lineRule="auto"/>
              <w:jc w:val="center"/>
              <w:rPr>
                <w:rFonts w:eastAsia="Times New Roman" w:cs="Tahoma"/>
                <w:b/>
                <w:lang w:eastAsia="es-ES"/>
              </w:rPr>
            </w:pPr>
            <w:r w:rsidRPr="005C0848">
              <w:rPr>
                <w:rFonts w:eastAsia="Times New Roman" w:cs="Tahoma"/>
                <w:b/>
                <w:lang w:val="es-MX" w:eastAsia="es-ES"/>
              </w:rPr>
              <w:t>Nancy Claudia Aviña García</w:t>
            </w:r>
          </w:p>
        </w:tc>
      </w:tr>
      <w:tr w:rsidR="005C0848" w14:paraId="06E580AE" w14:textId="77777777" w:rsidTr="005C0848">
        <w:tc>
          <w:tcPr>
            <w:tcW w:w="4555" w:type="dxa"/>
            <w:shd w:val="clear" w:color="auto" w:fill="BFBFBF" w:themeFill="background1" w:themeFillShade="BF"/>
          </w:tcPr>
          <w:p w14:paraId="2CF99C4C" w14:textId="4CA43146" w:rsidR="005C0848" w:rsidRPr="005C0848" w:rsidRDefault="005C0848" w:rsidP="00893559">
            <w:pPr>
              <w:spacing w:line="360" w:lineRule="auto"/>
              <w:jc w:val="center"/>
              <w:rPr>
                <w:rFonts w:eastAsia="Times New Roman" w:cs="Tahoma"/>
                <w:b/>
                <w:lang w:eastAsia="es-ES"/>
              </w:rPr>
            </w:pPr>
            <w:r w:rsidRPr="005C0848">
              <w:rPr>
                <w:rFonts w:eastAsia="Times New Roman" w:cs="Tahoma"/>
                <w:b/>
                <w:lang w:eastAsia="es-ES"/>
              </w:rPr>
              <w:t>Alta</w:t>
            </w:r>
          </w:p>
        </w:tc>
        <w:tc>
          <w:tcPr>
            <w:tcW w:w="4556" w:type="dxa"/>
            <w:shd w:val="clear" w:color="auto" w:fill="BFBFBF" w:themeFill="background1" w:themeFillShade="BF"/>
          </w:tcPr>
          <w:p w14:paraId="7EEDE134" w14:textId="71A7F7BA" w:rsidR="005C0848" w:rsidRPr="005C0848" w:rsidRDefault="005C0848" w:rsidP="00893559">
            <w:pPr>
              <w:spacing w:line="360" w:lineRule="auto"/>
              <w:jc w:val="center"/>
              <w:rPr>
                <w:rFonts w:eastAsia="Times New Roman" w:cs="Tahoma"/>
                <w:b/>
                <w:lang w:eastAsia="es-ES"/>
              </w:rPr>
            </w:pPr>
            <w:r w:rsidRPr="005C0848">
              <w:rPr>
                <w:rFonts w:eastAsia="Times New Roman" w:cs="Tahoma"/>
                <w:b/>
                <w:lang w:eastAsia="es-ES"/>
              </w:rPr>
              <w:t>Baja</w:t>
            </w:r>
          </w:p>
        </w:tc>
      </w:tr>
      <w:tr w:rsidR="005C0848" w14:paraId="433D01D2" w14:textId="77777777" w:rsidTr="005C0848">
        <w:tc>
          <w:tcPr>
            <w:tcW w:w="4555" w:type="dxa"/>
          </w:tcPr>
          <w:p w14:paraId="2741A59E" w14:textId="4F558501" w:rsidR="005C0848" w:rsidRDefault="005C0848" w:rsidP="00893559">
            <w:pPr>
              <w:spacing w:line="360" w:lineRule="auto"/>
              <w:jc w:val="center"/>
              <w:rPr>
                <w:rFonts w:eastAsia="Times New Roman" w:cs="Tahoma"/>
                <w:bCs/>
                <w:lang w:eastAsia="es-ES"/>
              </w:rPr>
            </w:pPr>
            <w:r>
              <w:rPr>
                <w:rFonts w:eastAsia="Calibri" w:cs="Tahoma"/>
                <w:iCs/>
                <w:color w:val="auto"/>
                <w:lang w:eastAsia="es-ES"/>
              </w:rPr>
              <w:t>Diecinueve de noviembre de dos mil trece</w:t>
            </w:r>
          </w:p>
        </w:tc>
        <w:tc>
          <w:tcPr>
            <w:tcW w:w="4556" w:type="dxa"/>
          </w:tcPr>
          <w:p w14:paraId="1C7B5A1E" w14:textId="087D9ED4" w:rsidR="005C0848" w:rsidRDefault="005C0848" w:rsidP="00893559">
            <w:pPr>
              <w:spacing w:line="360" w:lineRule="auto"/>
              <w:jc w:val="center"/>
              <w:rPr>
                <w:rFonts w:eastAsia="Times New Roman" w:cs="Tahoma"/>
                <w:bCs/>
                <w:lang w:eastAsia="es-ES"/>
              </w:rPr>
            </w:pPr>
            <w:r>
              <w:rPr>
                <w:rFonts w:eastAsia="Calibri" w:cs="Tahoma"/>
                <w:iCs/>
                <w:color w:val="auto"/>
                <w:lang w:eastAsia="es-ES"/>
              </w:rPr>
              <w:t>Treinta y uno de agosto de dos mil dieciséis</w:t>
            </w:r>
          </w:p>
        </w:tc>
      </w:tr>
    </w:tbl>
    <w:p w14:paraId="2995CBF9" w14:textId="77777777" w:rsidR="005C0848" w:rsidRDefault="005C0848" w:rsidP="00893559">
      <w:pPr>
        <w:spacing w:after="0" w:line="360" w:lineRule="auto"/>
        <w:rPr>
          <w:rFonts w:eastAsia="Times New Roman" w:cs="Tahoma"/>
          <w:bCs/>
          <w:lang w:val="es-ES" w:eastAsia="es-ES"/>
        </w:rPr>
      </w:pPr>
    </w:p>
    <w:p w14:paraId="646F8B02" w14:textId="6A519EE3" w:rsidR="003F2E2A" w:rsidRDefault="00EA6134" w:rsidP="00893559">
      <w:pPr>
        <w:spacing w:after="0" w:line="360" w:lineRule="auto"/>
        <w:rPr>
          <w:rFonts w:eastAsia="Times New Roman" w:cs="Tahoma"/>
          <w:bCs/>
          <w:lang w:val="es-ES" w:eastAsia="es-ES"/>
        </w:rPr>
      </w:pPr>
      <w:r>
        <w:rPr>
          <w:rFonts w:eastAsia="Times New Roman" w:cs="Tahoma"/>
          <w:bCs/>
          <w:lang w:val="es-ES" w:eastAsia="es-ES"/>
        </w:rPr>
        <w:t>Conforme a lo anterior, toda vez que la Particular no es perito en la materia y en atención al artículo 13 de la Ley de Transparencia y Acceso a la Información Pública del Estado de México y Municipios, se considera que la pretensión del ahora Recurrente es obtener los recibos de nómina de la exservidora pública Nancy Claudia Aviña García, del diecinueve de noviembre de dos mil trece al treinta y uno de agosto de dos mil dieciséis, así como el referente al pago de finiquito.</w:t>
      </w:r>
    </w:p>
    <w:p w14:paraId="5210202D" w14:textId="77777777" w:rsidR="003F2E2A" w:rsidRDefault="003F2E2A" w:rsidP="00893559">
      <w:pPr>
        <w:spacing w:after="0" w:line="360" w:lineRule="auto"/>
        <w:rPr>
          <w:rFonts w:eastAsia="Times New Roman" w:cs="Tahoma"/>
          <w:bCs/>
          <w:lang w:val="es-ES" w:eastAsia="es-ES"/>
        </w:rPr>
      </w:pPr>
    </w:p>
    <w:p w14:paraId="68E5F69E" w14:textId="52B14A61" w:rsidR="00A1518A" w:rsidRPr="00A1518A" w:rsidRDefault="00EA6134" w:rsidP="00893559">
      <w:pPr>
        <w:spacing w:after="0" w:line="360" w:lineRule="auto"/>
        <w:rPr>
          <w:rFonts w:eastAsia="Times New Roman" w:cs="Tahoma"/>
          <w:color w:val="auto"/>
          <w:lang w:val="es-ES_tradnl" w:eastAsia="es-ES"/>
        </w:rPr>
      </w:pPr>
      <w:r>
        <w:rPr>
          <w:rFonts w:eastAsia="Times New Roman" w:cs="Tahoma"/>
          <w:bCs/>
          <w:lang w:eastAsia="es-ES"/>
        </w:rPr>
        <w:t>Ahora bien</w:t>
      </w:r>
      <w:r w:rsidR="006266B8" w:rsidRPr="006266B8">
        <w:rPr>
          <w:rFonts w:eastAsia="Times New Roman" w:cs="Tahoma"/>
          <w:bCs/>
          <w:lang w:eastAsia="es-ES"/>
        </w:rPr>
        <w:t>, el Sujeto Obligado,</w:t>
      </w:r>
      <w:r>
        <w:rPr>
          <w:rFonts w:eastAsia="Times New Roman" w:cs="Tahoma"/>
          <w:bCs/>
          <w:lang w:eastAsia="es-ES"/>
        </w:rPr>
        <w:t xml:space="preserve"> tanto en respuesta, como Informe Justificado,</w:t>
      </w:r>
      <w:r w:rsidR="006266B8" w:rsidRPr="006266B8">
        <w:rPr>
          <w:rFonts w:eastAsia="Times New Roman" w:cs="Tahoma"/>
          <w:bCs/>
          <w:lang w:eastAsia="es-ES"/>
        </w:rPr>
        <w:t xml:space="preserve"> </w:t>
      </w:r>
      <w:r w:rsidR="000635EC">
        <w:rPr>
          <w:rFonts w:eastAsia="Times New Roman" w:cs="Tahoma"/>
          <w:bCs/>
          <w:lang w:eastAsia="es-ES"/>
        </w:rPr>
        <w:t>a través d</w:t>
      </w:r>
      <w:r w:rsidR="00605E86">
        <w:rPr>
          <w:rFonts w:eastAsia="Times New Roman" w:cs="Tahoma"/>
          <w:bCs/>
          <w:lang w:eastAsia="es-ES"/>
        </w:rPr>
        <w:t>el</w:t>
      </w:r>
      <w:r w:rsidR="00783DD8">
        <w:rPr>
          <w:rFonts w:eastAsia="Times New Roman" w:cs="Tahoma"/>
          <w:bCs/>
          <w:lang w:eastAsia="es-ES"/>
        </w:rPr>
        <w:t xml:space="preserve"> Departamento de Recursos Humanos y Materiales</w:t>
      </w:r>
      <w:r w:rsidR="006266B8" w:rsidRPr="006266B8">
        <w:rPr>
          <w:rFonts w:eastAsia="Times New Roman" w:cs="Tahoma"/>
          <w:bCs/>
          <w:lang w:eastAsia="es-ES"/>
        </w:rPr>
        <w:t>, señaló</w:t>
      </w:r>
      <w:r w:rsidR="006266B8">
        <w:rPr>
          <w:rFonts w:eastAsia="Times New Roman" w:cs="Tahoma"/>
          <w:bCs/>
          <w:lang w:eastAsia="es-ES"/>
        </w:rPr>
        <w:t xml:space="preserve"> </w:t>
      </w:r>
      <w:r w:rsidR="006266B8" w:rsidRPr="006266B8">
        <w:rPr>
          <w:rFonts w:eastAsia="Times New Roman" w:cs="Tahoma"/>
          <w:bCs/>
          <w:lang w:eastAsia="es-ES"/>
        </w:rPr>
        <w:t xml:space="preserve">que la información era inexistente, al señalar </w:t>
      </w:r>
      <w:r w:rsidR="000635EC">
        <w:rPr>
          <w:rFonts w:eastAsia="Times New Roman" w:cs="Tahoma"/>
          <w:bCs/>
          <w:lang w:eastAsia="es-ES"/>
        </w:rPr>
        <w:t>que no contaba con lo solicitado; sobre dicha circunstancia</w:t>
      </w:r>
      <w:r w:rsidR="00A1518A" w:rsidRPr="00A1518A">
        <w:rPr>
          <w:rFonts w:eastAsia="Times New Roman" w:cs="Tahoma"/>
          <w:color w:val="auto"/>
          <w:lang w:val="es-ES_tradnl" w:eastAsia="es-ES"/>
        </w:rPr>
        <w:t>, en el Criterio 14/17, emitido por el Instituto Nacional de Transparencia, Acceso a la Información Pública y Protección de Datos Personales en el Estado de México y Municipios, se señala lo siguiente:</w:t>
      </w:r>
    </w:p>
    <w:p w14:paraId="5932FBF1" w14:textId="77777777" w:rsidR="00A1518A" w:rsidRPr="00A1518A" w:rsidRDefault="00A1518A" w:rsidP="00893559">
      <w:pPr>
        <w:spacing w:after="0" w:line="360" w:lineRule="auto"/>
        <w:rPr>
          <w:rFonts w:eastAsia="Times New Roman" w:cs="Tahoma"/>
          <w:color w:val="auto"/>
          <w:lang w:val="es-ES_tradnl" w:eastAsia="es-ES"/>
        </w:rPr>
      </w:pPr>
    </w:p>
    <w:p w14:paraId="13F81FA6" w14:textId="77777777" w:rsidR="00A1518A" w:rsidRPr="00A1518A" w:rsidRDefault="00A1518A" w:rsidP="00893559">
      <w:pPr>
        <w:spacing w:after="0" w:line="360" w:lineRule="auto"/>
        <w:ind w:left="567" w:right="567"/>
        <w:rPr>
          <w:rFonts w:eastAsia="Times New Roman" w:cs="Tahoma"/>
          <w:bCs/>
          <w:i/>
          <w:color w:val="auto"/>
          <w:sz w:val="20"/>
          <w:szCs w:val="20"/>
          <w:lang w:val="es-ES" w:eastAsia="es-ES"/>
        </w:rPr>
      </w:pPr>
      <w:r w:rsidRPr="00A1518A">
        <w:rPr>
          <w:rFonts w:eastAsia="Times New Roman" w:cs="Tahoma"/>
          <w:bCs/>
          <w:i/>
          <w:color w:val="auto"/>
          <w:sz w:val="20"/>
          <w:szCs w:val="20"/>
          <w:lang w:val="es-ES" w:eastAsia="es-ES"/>
        </w:rPr>
        <w:t>“</w:t>
      </w:r>
      <w:r w:rsidRPr="00A1518A">
        <w:rPr>
          <w:rFonts w:eastAsia="Times New Roman" w:cs="Tahoma"/>
          <w:b/>
          <w:bCs/>
          <w:i/>
          <w:color w:val="auto"/>
          <w:sz w:val="20"/>
          <w:szCs w:val="20"/>
          <w:lang w:val="es-ES" w:eastAsia="es-ES"/>
        </w:rPr>
        <w:t xml:space="preserve">Inexistencia. </w:t>
      </w:r>
      <w:r w:rsidRPr="00A1518A">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30E2E7A4" w14:textId="77777777" w:rsidR="00A1518A" w:rsidRPr="00A1518A" w:rsidRDefault="00A1518A" w:rsidP="00893559">
      <w:pPr>
        <w:spacing w:after="0" w:line="360" w:lineRule="auto"/>
        <w:rPr>
          <w:rFonts w:eastAsia="Times New Roman" w:cs="Tahoma"/>
          <w:color w:val="auto"/>
          <w:lang w:val="es-ES_tradnl" w:eastAsia="es-ES"/>
        </w:rPr>
      </w:pPr>
    </w:p>
    <w:p w14:paraId="0BDD4B3C" w14:textId="77777777" w:rsidR="00A1518A" w:rsidRPr="00A1518A" w:rsidRDefault="00A1518A" w:rsidP="00893559">
      <w:pPr>
        <w:spacing w:after="0" w:line="360" w:lineRule="auto"/>
        <w:rPr>
          <w:rFonts w:eastAsia="Times New Roman" w:cs="Tahoma"/>
          <w:color w:val="auto"/>
          <w:lang w:val="es-ES_tradnl" w:eastAsia="es-ES"/>
        </w:rPr>
      </w:pPr>
      <w:r w:rsidRPr="00A1518A">
        <w:rPr>
          <w:rFonts w:eastAsia="Times New Roman" w:cs="Tahoma"/>
          <w:color w:val="auto"/>
          <w:lang w:val="es-ES_tradnl" w:eastAsia="es-ES"/>
        </w:rPr>
        <w:t>Del citado criterio, se desprende que la inexistencia de la información, es una cuestión de hecho que se le atribuye a la misma, cuando ésta no se encuentra en los archivos del sujeto obligado. En ese sentido, para poder acreditar dicha circunstancia, se considera que los Sujetos Obligados, primero deben realizar una indagación en todos los archivos de las áreas con funciones para conocer de lo peticionado.</w:t>
      </w:r>
    </w:p>
    <w:p w14:paraId="439BE94E" w14:textId="77777777" w:rsidR="00A1518A" w:rsidRPr="00A1518A" w:rsidRDefault="00A1518A" w:rsidP="00893559">
      <w:pPr>
        <w:spacing w:after="0" w:line="360" w:lineRule="auto"/>
        <w:rPr>
          <w:rFonts w:eastAsia="Times New Roman" w:cs="Tahoma"/>
          <w:bCs/>
          <w:iCs/>
          <w:color w:val="auto"/>
          <w:lang w:val="es-ES" w:eastAsia="es-ES"/>
        </w:rPr>
      </w:pPr>
    </w:p>
    <w:p w14:paraId="4F522B21" w14:textId="77777777" w:rsidR="00A1518A" w:rsidRPr="00A1518A" w:rsidRDefault="00A1518A" w:rsidP="00893559">
      <w:pPr>
        <w:spacing w:after="0" w:line="360" w:lineRule="auto"/>
        <w:rPr>
          <w:rFonts w:eastAsia="Times New Roman" w:cs="Tahoma"/>
          <w:color w:val="auto"/>
          <w:lang w:val="es-ES_tradnl" w:eastAsia="es-ES"/>
        </w:rPr>
      </w:pPr>
      <w:r w:rsidRPr="00A1518A">
        <w:rPr>
          <w:rFonts w:eastAsia="Times New Roman" w:cs="Tahoma"/>
          <w:color w:val="auto"/>
          <w:lang w:val="es-ES_tradnl" w:eastAsia="es-ES"/>
        </w:rPr>
        <w:t xml:space="preserve">En ese contexto, el artículo 162 de la Ley de Transparencia y Acceso a la Información Pública del Estado de México y Municipios, establece que las áreas competentes para conocer de una solicitud de información, deben realizar una </w:t>
      </w:r>
      <w:r w:rsidRPr="00A1518A">
        <w:rPr>
          <w:rFonts w:eastAsia="Times New Roman" w:cs="Tahoma"/>
          <w:b/>
          <w:color w:val="auto"/>
          <w:lang w:val="es-ES_tradnl" w:eastAsia="es-ES"/>
        </w:rPr>
        <w:t>búsqueda exhaustiva y razonable</w:t>
      </w:r>
      <w:r w:rsidRPr="00A1518A">
        <w:rPr>
          <w:rFonts w:eastAsia="Times New Roman" w:cs="Tahoma"/>
          <w:color w:val="auto"/>
          <w:lang w:val="es-ES_tradnl" w:eastAsia="es-ES"/>
        </w:rPr>
        <w:t>; así, resulta necesario determinar, que es una investigación con esas características.</w:t>
      </w:r>
    </w:p>
    <w:p w14:paraId="1E4D6A01" w14:textId="77777777" w:rsidR="00A1518A" w:rsidRPr="00A1518A" w:rsidRDefault="00A1518A" w:rsidP="00893559">
      <w:pPr>
        <w:spacing w:after="0" w:line="360" w:lineRule="auto"/>
        <w:rPr>
          <w:rFonts w:eastAsia="Times New Roman" w:cs="Tahoma"/>
          <w:color w:val="auto"/>
          <w:lang w:val="es-ES_tradnl" w:eastAsia="es-ES"/>
        </w:rPr>
      </w:pPr>
    </w:p>
    <w:p w14:paraId="1AE87A1D" w14:textId="77777777" w:rsidR="00A1518A" w:rsidRPr="00A1518A" w:rsidRDefault="00A1518A" w:rsidP="00893559">
      <w:pPr>
        <w:spacing w:after="0" w:line="360" w:lineRule="auto"/>
        <w:rPr>
          <w:rFonts w:eastAsia="Times New Roman" w:cs="Arial"/>
          <w:b/>
          <w:bCs/>
          <w:color w:val="auto"/>
          <w:lang w:val="es-ES_tradnl" w:eastAsia="es-ES"/>
        </w:rPr>
      </w:pPr>
      <w:r w:rsidRPr="00A1518A">
        <w:rPr>
          <w:rFonts w:eastAsia="Times New Roman" w:cs="Arial"/>
          <w:bCs/>
          <w:color w:val="auto"/>
          <w:lang w:val="es-ES_tradnl" w:eastAsia="es-ES"/>
        </w:rPr>
        <w:t xml:space="preserve">En ese sentido, según Jarquín, Soledad (2019), en el “Diccionario de Transparencia y Acceso a la Información Pública” (p. 68), </w:t>
      </w:r>
      <w:r w:rsidRPr="00A1518A">
        <w:rPr>
          <w:rFonts w:eastAsia="Times New Roman" w:cs="Arial"/>
          <w:b/>
          <w:bCs/>
          <w:color w:val="auto"/>
          <w:lang w:val="es-ES_tradnl" w:eastAsia="es-ES"/>
        </w:rPr>
        <w:t>la búsqueda exhaustiva</w:t>
      </w:r>
      <w:r w:rsidRPr="00A1518A">
        <w:rPr>
          <w:rFonts w:eastAsia="Times New Roman" w:cs="Arial"/>
          <w:bCs/>
          <w:color w:val="auto"/>
          <w:lang w:val="es-ES_tradnl" w:eastAsia="es-ES"/>
        </w:rPr>
        <w:t xml:space="preserve"> es la obligación del área administrativa del Sujeto Obligado que cuenta o puede contar con la información requerida, la cual consiste en localizar toda aquella que atienda la solicitud, </w:t>
      </w:r>
      <w:r w:rsidRPr="00A1518A">
        <w:rPr>
          <w:rFonts w:eastAsia="Times New Roman" w:cs="Arial"/>
          <w:b/>
          <w:bCs/>
          <w:color w:val="auto"/>
          <w:lang w:val="es-ES_tradnl" w:eastAsia="es-ES"/>
        </w:rPr>
        <w:t>hasta agotar por completo las posibilidades de indagación.</w:t>
      </w:r>
    </w:p>
    <w:p w14:paraId="63A16487" w14:textId="77777777" w:rsidR="00A1518A" w:rsidRPr="00A1518A" w:rsidRDefault="00A1518A" w:rsidP="00893559">
      <w:pPr>
        <w:spacing w:after="0" w:line="360" w:lineRule="auto"/>
        <w:rPr>
          <w:rFonts w:eastAsia="Times New Roman" w:cs="Arial"/>
          <w:b/>
          <w:bCs/>
          <w:color w:val="auto"/>
          <w:lang w:val="es-ES_tradnl" w:eastAsia="es-ES"/>
        </w:rPr>
      </w:pPr>
    </w:p>
    <w:p w14:paraId="419A7F83" w14:textId="77777777" w:rsidR="00A1518A" w:rsidRPr="00A1518A" w:rsidRDefault="00A1518A" w:rsidP="00893559">
      <w:pPr>
        <w:spacing w:after="0" w:line="360" w:lineRule="auto"/>
        <w:rPr>
          <w:rFonts w:eastAsia="Times New Roman" w:cs="Arial"/>
          <w:b/>
          <w:bCs/>
          <w:color w:val="auto"/>
          <w:lang w:val="es-ES_tradnl" w:eastAsia="es-ES"/>
        </w:rPr>
      </w:pPr>
      <w:r w:rsidRPr="00A1518A">
        <w:rPr>
          <w:rFonts w:eastAsia="Times New Roman" w:cs="Arial"/>
          <w:bCs/>
          <w:color w:val="auto"/>
          <w:lang w:val="es-ES_tradnl" w:eastAsia="es-ES"/>
        </w:rPr>
        <w:t xml:space="preserve">Además, según Calero, Natalia (2016), en la “Ley General de Transparencia y Acceso a la Información Pública Comentada” (p. 408), para que exista una búsqueda exhaustiva y razonable, se debe hacer una </w:t>
      </w:r>
      <w:r w:rsidRPr="00A1518A">
        <w:rPr>
          <w:rFonts w:eastAsia="Times New Roman" w:cs="Arial"/>
          <w:b/>
          <w:bCs/>
          <w:color w:val="auto"/>
          <w:lang w:val="es-ES_tradnl" w:eastAsia="es-ES"/>
        </w:rPr>
        <w:t xml:space="preserve">indagación consiente y minuciosa en sus archivos físicos y electrónicos. </w:t>
      </w:r>
    </w:p>
    <w:p w14:paraId="5F1A90B7" w14:textId="77777777" w:rsidR="00A1518A" w:rsidRPr="00A1518A" w:rsidRDefault="00A1518A" w:rsidP="00893559">
      <w:pPr>
        <w:spacing w:after="0" w:line="360" w:lineRule="auto"/>
        <w:rPr>
          <w:rFonts w:eastAsia="Times New Roman" w:cs="Tahoma"/>
          <w:color w:val="auto"/>
          <w:lang w:val="es-ES_tradnl" w:eastAsia="es-ES"/>
        </w:rPr>
      </w:pPr>
    </w:p>
    <w:p w14:paraId="192EAB4D" w14:textId="77777777" w:rsidR="00A1518A" w:rsidRPr="00A1518A" w:rsidRDefault="00A1518A" w:rsidP="00893559">
      <w:pPr>
        <w:spacing w:after="0" w:line="360" w:lineRule="auto"/>
        <w:rPr>
          <w:rFonts w:eastAsia="Times New Roman" w:cs="Tahoma"/>
          <w:b/>
          <w:color w:val="auto"/>
          <w:lang w:val="es-ES_tradnl" w:eastAsia="es-ES"/>
        </w:rPr>
      </w:pPr>
      <w:r w:rsidRPr="00A1518A">
        <w:rPr>
          <w:rFonts w:eastAsia="Times New Roman" w:cs="Tahoma"/>
          <w:color w:val="auto"/>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A1518A">
        <w:rPr>
          <w:rFonts w:eastAsia="Times New Roman" w:cs="Tahoma"/>
          <w:b/>
          <w:color w:val="auto"/>
          <w:lang w:val="es-ES_tradnl" w:eastAsia="es-ES"/>
        </w:rPr>
        <w:t>los criterios de búsqueda utilizados y demás circunstancias que fueron tomadas en cuenta.</w:t>
      </w:r>
    </w:p>
    <w:p w14:paraId="2E6E7540" w14:textId="77777777" w:rsidR="00A1518A" w:rsidRPr="00A1518A" w:rsidRDefault="00A1518A" w:rsidP="00893559">
      <w:pPr>
        <w:spacing w:after="0" w:line="360" w:lineRule="auto"/>
        <w:rPr>
          <w:rFonts w:eastAsia="Times New Roman" w:cs="Tahoma"/>
          <w:color w:val="auto"/>
          <w:lang w:val="es-ES_tradnl" w:eastAsia="es-ES"/>
        </w:rPr>
      </w:pPr>
    </w:p>
    <w:p w14:paraId="5E94EEA4" w14:textId="77777777" w:rsidR="00A1518A" w:rsidRPr="00A1518A" w:rsidRDefault="00A1518A" w:rsidP="00893559">
      <w:pPr>
        <w:spacing w:after="0" w:line="360" w:lineRule="auto"/>
        <w:rPr>
          <w:rFonts w:eastAsia="Times New Roman" w:cs="Tahoma"/>
          <w:color w:val="auto"/>
          <w:lang w:val="es-ES_tradnl" w:eastAsia="es-ES"/>
        </w:rPr>
      </w:pPr>
      <w:r w:rsidRPr="00A1518A">
        <w:rPr>
          <w:rFonts w:eastAsia="Times New Roman" w:cs="Tahoma"/>
          <w:color w:val="auto"/>
          <w:lang w:val="es-ES_tradnl" w:eastAsia="es-ES"/>
        </w:rPr>
        <w:t>De tales circunstancias, se considera que para que los Sujetos Obligado justifiquen que realizaron una búsqueda exhaustiva y razonable, deben indicar de manera clara, lo siguiente:</w:t>
      </w:r>
    </w:p>
    <w:p w14:paraId="1293F3FB" w14:textId="77777777" w:rsidR="00A1518A" w:rsidRPr="00A1518A" w:rsidRDefault="00A1518A" w:rsidP="00893559">
      <w:pPr>
        <w:spacing w:after="0" w:line="360" w:lineRule="auto"/>
        <w:rPr>
          <w:rFonts w:eastAsia="Times New Roman" w:cs="Tahoma"/>
          <w:color w:val="auto"/>
          <w:lang w:val="es-ES_tradnl" w:eastAsia="es-ES"/>
        </w:rPr>
      </w:pPr>
    </w:p>
    <w:p w14:paraId="510394F6" w14:textId="77777777" w:rsidR="00A1518A" w:rsidRPr="00A1518A" w:rsidRDefault="00A1518A" w:rsidP="00893559">
      <w:pPr>
        <w:numPr>
          <w:ilvl w:val="0"/>
          <w:numId w:val="6"/>
        </w:numPr>
        <w:spacing w:after="0" w:line="360" w:lineRule="auto"/>
        <w:contextualSpacing/>
        <w:jc w:val="left"/>
        <w:rPr>
          <w:rFonts w:eastAsia="Times New Roman" w:cs="Tahoma"/>
          <w:color w:val="auto"/>
          <w:lang w:val="es-ES_tradnl" w:eastAsia="es-ES"/>
        </w:rPr>
      </w:pPr>
      <w:r w:rsidRPr="00A1518A">
        <w:rPr>
          <w:rFonts w:eastAsia="Times New Roman" w:cs="Tahoma"/>
          <w:color w:val="auto"/>
          <w:lang w:val="es-ES_tradnl" w:eastAsia="es-ES"/>
        </w:rPr>
        <w:t>Las áreas donde se buscó la información;</w:t>
      </w:r>
    </w:p>
    <w:p w14:paraId="117684BA" w14:textId="77777777" w:rsidR="00A1518A" w:rsidRPr="00A1518A" w:rsidRDefault="00A1518A" w:rsidP="00893559">
      <w:pPr>
        <w:numPr>
          <w:ilvl w:val="0"/>
          <w:numId w:val="6"/>
        </w:numPr>
        <w:spacing w:after="0" w:line="360" w:lineRule="auto"/>
        <w:contextualSpacing/>
        <w:jc w:val="left"/>
        <w:rPr>
          <w:rFonts w:eastAsia="Times New Roman" w:cs="Tahoma"/>
          <w:color w:val="auto"/>
          <w:lang w:val="es-ES_tradnl" w:eastAsia="es-ES"/>
        </w:rPr>
      </w:pPr>
      <w:r w:rsidRPr="00A1518A">
        <w:rPr>
          <w:rFonts w:eastAsia="Times New Roman" w:cs="Tahoma"/>
          <w:color w:val="auto"/>
          <w:lang w:val="es-ES_tradnl" w:eastAsia="es-ES"/>
        </w:rPr>
        <w:t>Tipo de archivos buscados (físicos o electrónicos);</w:t>
      </w:r>
    </w:p>
    <w:p w14:paraId="0ACE8181" w14:textId="77777777" w:rsidR="00A1518A" w:rsidRPr="00A1518A" w:rsidRDefault="00A1518A" w:rsidP="00893559">
      <w:pPr>
        <w:numPr>
          <w:ilvl w:val="0"/>
          <w:numId w:val="6"/>
        </w:numPr>
        <w:spacing w:after="0" w:line="360" w:lineRule="auto"/>
        <w:contextualSpacing/>
        <w:jc w:val="left"/>
        <w:rPr>
          <w:rFonts w:eastAsia="Times New Roman" w:cs="Tahoma"/>
          <w:color w:val="auto"/>
          <w:lang w:val="es-ES_tradnl" w:eastAsia="es-ES"/>
        </w:rPr>
      </w:pPr>
      <w:r w:rsidRPr="00A1518A">
        <w:rPr>
          <w:rFonts w:eastAsia="Times New Roman" w:cs="Tahoma"/>
          <w:color w:val="auto"/>
          <w:lang w:val="es-ES_tradnl" w:eastAsia="es-ES"/>
        </w:rPr>
        <w:t xml:space="preserve">Los criterios de búsqueda utilizados, y </w:t>
      </w:r>
    </w:p>
    <w:p w14:paraId="2F4AF29A" w14:textId="5C4401B1" w:rsidR="00A1518A" w:rsidRDefault="00A1518A" w:rsidP="00893559">
      <w:pPr>
        <w:numPr>
          <w:ilvl w:val="0"/>
          <w:numId w:val="6"/>
        </w:numPr>
        <w:spacing w:after="0" w:line="360" w:lineRule="auto"/>
        <w:contextualSpacing/>
        <w:jc w:val="left"/>
        <w:rPr>
          <w:rFonts w:eastAsia="Times New Roman" w:cs="Tahoma"/>
          <w:color w:val="auto"/>
          <w:lang w:val="es-ES_tradnl" w:eastAsia="es-ES"/>
        </w:rPr>
      </w:pPr>
      <w:r w:rsidRPr="00A1518A">
        <w:rPr>
          <w:rFonts w:eastAsia="Times New Roman" w:cs="Tahoma"/>
          <w:color w:val="auto"/>
          <w:lang w:val="es-ES_tradnl" w:eastAsia="es-ES"/>
        </w:rPr>
        <w:t>Las circunstancias que fueron tomadas en cuenta.</w:t>
      </w:r>
      <w:r w:rsidRPr="00A1518A">
        <w:rPr>
          <w:rFonts w:eastAsia="Times New Roman" w:cs="Tahoma"/>
          <w:color w:val="auto"/>
          <w:lang w:val="es-ES_tradnl" w:eastAsia="es-ES"/>
        </w:rPr>
        <w:tab/>
      </w:r>
    </w:p>
    <w:p w14:paraId="3801BBB8" w14:textId="77777777" w:rsidR="00F40620" w:rsidRPr="00A1518A" w:rsidRDefault="00F40620" w:rsidP="00893559">
      <w:pPr>
        <w:spacing w:after="0" w:line="360" w:lineRule="auto"/>
        <w:ind w:left="720"/>
        <w:contextualSpacing/>
        <w:jc w:val="left"/>
        <w:rPr>
          <w:rFonts w:eastAsia="Times New Roman" w:cs="Tahoma"/>
          <w:color w:val="auto"/>
          <w:lang w:val="es-ES_tradnl" w:eastAsia="es-ES"/>
        </w:rPr>
      </w:pPr>
    </w:p>
    <w:p w14:paraId="29FE35CA" w14:textId="112DF2CF" w:rsidR="00F40620" w:rsidRDefault="00F40620" w:rsidP="00893559">
      <w:pPr>
        <w:spacing w:after="0" w:line="360" w:lineRule="auto"/>
        <w:rPr>
          <w:rFonts w:cs="Tahoma"/>
          <w:bCs/>
          <w:iCs/>
        </w:rPr>
      </w:pPr>
      <w:r w:rsidRPr="00F40620">
        <w:rPr>
          <w:rFonts w:cs="Tahoma"/>
          <w:bCs/>
          <w:iCs/>
          <w:lang w:val="es-ES"/>
        </w:rPr>
        <w:t>Así</w:t>
      </w:r>
      <w:r w:rsidRPr="00F40620">
        <w:rPr>
          <w:rFonts w:cs="Tahoma"/>
          <w:bCs/>
          <w:iCs/>
        </w:rPr>
        <w:t xml:space="preserve">, es posible concluir que la </w:t>
      </w:r>
      <w:r w:rsidRPr="00F40620">
        <w:rPr>
          <w:rFonts w:cs="Tahoma"/>
          <w:b/>
          <w:bCs/>
          <w:iCs/>
        </w:rPr>
        <w:t>inexistencia</w:t>
      </w:r>
      <w:r w:rsidRPr="00F40620">
        <w:rPr>
          <w:rFonts w:cs="Tahoma"/>
          <w:bCs/>
          <w:iCs/>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deben de acreditar que realizaron una búsqueda exhaustiva y razonable en los archivos de las áreas competentes y señalar las razones por las cuales no contaba con lo peticionado.</w:t>
      </w:r>
    </w:p>
    <w:p w14:paraId="611B3EB0" w14:textId="77777777" w:rsidR="005F0A6B" w:rsidRDefault="005F0A6B" w:rsidP="00893559">
      <w:pPr>
        <w:spacing w:after="0" w:line="360" w:lineRule="auto"/>
        <w:rPr>
          <w:rFonts w:eastAsia="Times New Roman" w:cs="Tahoma"/>
          <w:bCs/>
          <w:iCs/>
          <w:lang w:eastAsia="es-ES"/>
        </w:rPr>
      </w:pPr>
    </w:p>
    <w:p w14:paraId="169EB201" w14:textId="69E26C77" w:rsidR="009275B8" w:rsidRDefault="00FD1B71" w:rsidP="00893559">
      <w:pPr>
        <w:spacing w:after="0" w:line="360" w:lineRule="auto"/>
        <w:rPr>
          <w:rFonts w:eastAsia="Times New Roman" w:cs="Tahoma"/>
          <w:bCs/>
          <w:lang w:val="es-ES" w:eastAsia="es-ES"/>
        </w:rPr>
      </w:pPr>
      <w:r>
        <w:rPr>
          <w:bCs/>
        </w:rPr>
        <w:t>En ese sentido</w:t>
      </w:r>
      <w:r w:rsidR="009C0900" w:rsidRPr="0072029D">
        <w:rPr>
          <w:bCs/>
        </w:rPr>
        <w:t>, a efecto de determinar</w:t>
      </w:r>
      <w:r w:rsidR="0086399C">
        <w:rPr>
          <w:bCs/>
        </w:rPr>
        <w:t xml:space="preserve">, en principio, si el Sujeto Obligado siguió </w:t>
      </w:r>
      <w:r w:rsidR="009C0900" w:rsidRPr="0072029D">
        <w:rPr>
          <w:bCs/>
        </w:rPr>
        <w:t>el procedimiento, es necesario citar</w:t>
      </w:r>
      <w:r w:rsidR="009C0900">
        <w:rPr>
          <w:bCs/>
        </w:rPr>
        <w:t xml:space="preserve"> los artículos </w:t>
      </w:r>
      <w:r w:rsidR="005E032D">
        <w:rPr>
          <w:bCs/>
        </w:rPr>
        <w:t>1</w:t>
      </w:r>
      <w:r>
        <w:rPr>
          <w:bCs/>
        </w:rPr>
        <w:t>1, fracción VI</w:t>
      </w:r>
      <w:r w:rsidR="005E032D">
        <w:rPr>
          <w:bCs/>
        </w:rPr>
        <w:t xml:space="preserve"> y 1</w:t>
      </w:r>
      <w:r>
        <w:rPr>
          <w:bCs/>
        </w:rPr>
        <w:t>6</w:t>
      </w:r>
      <w:r w:rsidR="005E032D">
        <w:rPr>
          <w:bCs/>
        </w:rPr>
        <w:t xml:space="preserve"> del </w:t>
      </w:r>
      <w:r w:rsidR="005E032D">
        <w:rPr>
          <w:rFonts w:eastAsia="Times New Roman" w:cs="Tahoma"/>
          <w:bCs/>
          <w:iCs/>
          <w:lang w:eastAsia="es-ES"/>
        </w:rPr>
        <w:t>Reglamento Interior de la</w:t>
      </w:r>
      <w:r w:rsidRPr="00FD1B71">
        <w:t xml:space="preserve"> </w:t>
      </w:r>
      <w:r w:rsidRPr="00FD1B71">
        <w:rPr>
          <w:rFonts w:eastAsia="Times New Roman" w:cs="Tahoma"/>
          <w:bCs/>
          <w:iCs/>
          <w:lang w:eastAsia="es-ES"/>
        </w:rPr>
        <w:t>Universidad Politécnica del Valle de Toluca</w:t>
      </w:r>
      <w:r w:rsidR="005E032D">
        <w:rPr>
          <w:rFonts w:eastAsia="Times New Roman" w:cs="Tahoma"/>
          <w:bCs/>
          <w:iCs/>
          <w:lang w:eastAsia="es-ES"/>
        </w:rPr>
        <w:t xml:space="preserve"> </w:t>
      </w:r>
      <w:r w:rsidR="005E032D">
        <w:rPr>
          <w:rFonts w:cs="Tahoma"/>
          <w:bCs/>
          <w:iCs/>
        </w:rPr>
        <w:t xml:space="preserve">que establece que el Sujeto Obligado cuenta con diversas unidades administrativas para el ejercicio de sus funciones, entre </w:t>
      </w:r>
      <w:r w:rsidR="005E032D" w:rsidRPr="005E032D">
        <w:rPr>
          <w:rFonts w:eastAsia="Times New Roman" w:cs="Tahoma"/>
          <w:bCs/>
          <w:lang w:val="es-ES" w:eastAsia="es-ES"/>
        </w:rPr>
        <w:t xml:space="preserve">las cuales se encuentran, las </w:t>
      </w:r>
      <w:r w:rsidR="00851955">
        <w:rPr>
          <w:rFonts w:eastAsia="Times New Roman" w:cs="Tahoma"/>
          <w:bCs/>
          <w:lang w:val="es-ES" w:eastAsia="es-ES"/>
        </w:rPr>
        <w:t>Dirección de Administración y Finanzas, encargada</w:t>
      </w:r>
      <w:r w:rsidR="00710C84">
        <w:rPr>
          <w:rFonts w:eastAsia="Times New Roman" w:cs="Tahoma"/>
          <w:bCs/>
          <w:lang w:val="es-ES" w:eastAsia="es-ES"/>
        </w:rPr>
        <w:t xml:space="preserve"> de la planeación y administración y aplicación de los recursos humanos, materiales y financieros. </w:t>
      </w:r>
      <w:r w:rsidR="00851955">
        <w:rPr>
          <w:rFonts w:eastAsia="Times New Roman" w:cs="Tahoma"/>
          <w:bCs/>
          <w:lang w:val="es-ES" w:eastAsia="es-ES"/>
        </w:rPr>
        <w:t xml:space="preserve"> </w:t>
      </w:r>
    </w:p>
    <w:p w14:paraId="60D06719" w14:textId="2E67F9AF" w:rsidR="00851955" w:rsidRDefault="00851955" w:rsidP="00893559">
      <w:pPr>
        <w:spacing w:after="0" w:line="360" w:lineRule="auto"/>
        <w:rPr>
          <w:rFonts w:eastAsia="Times New Roman" w:cs="Tahoma"/>
          <w:bCs/>
          <w:lang w:val="es-ES" w:eastAsia="es-ES"/>
        </w:rPr>
      </w:pPr>
    </w:p>
    <w:p w14:paraId="65E269FE" w14:textId="3B89D276" w:rsidR="00710C84" w:rsidRDefault="00710C84" w:rsidP="00893559">
      <w:pPr>
        <w:spacing w:after="0" w:line="360" w:lineRule="auto"/>
        <w:rPr>
          <w:rFonts w:eastAsia="Times New Roman" w:cs="Tahoma"/>
          <w:bCs/>
          <w:lang w:val="es-ES" w:eastAsia="es-ES"/>
        </w:rPr>
      </w:pPr>
      <w:r>
        <w:rPr>
          <w:rFonts w:eastAsia="Times New Roman" w:cs="Tahoma"/>
          <w:bCs/>
          <w:lang w:val="es-ES" w:eastAsia="es-ES"/>
        </w:rPr>
        <w:t xml:space="preserve">Así mismo, la fracción VII del Manual General de Organización de la Universidad Politécnica del Valle de Toluca, correspondiente a los Objetivos y Funciones por Unidad Administrativa, se desprende que la Dirección de Administración y Finanzas </w:t>
      </w:r>
      <w:r w:rsidR="007477BA">
        <w:rPr>
          <w:rFonts w:eastAsia="Times New Roman" w:cs="Tahoma"/>
          <w:bCs/>
          <w:lang w:val="es-ES" w:eastAsia="es-ES"/>
        </w:rPr>
        <w:t>se apoyará</w:t>
      </w:r>
      <w:r>
        <w:rPr>
          <w:rFonts w:eastAsia="Times New Roman" w:cs="Tahoma"/>
          <w:bCs/>
          <w:lang w:val="es-ES" w:eastAsia="es-ES"/>
        </w:rPr>
        <w:t xml:space="preserve"> de diversos departamentos para el </w:t>
      </w:r>
      <w:r w:rsidR="007477BA">
        <w:rPr>
          <w:rFonts w:eastAsia="Times New Roman" w:cs="Tahoma"/>
          <w:bCs/>
          <w:lang w:val="es-ES" w:eastAsia="es-ES"/>
        </w:rPr>
        <w:t xml:space="preserve">cumplimiento de sus funciones, entre los cuales se encuentra el Departamento de Recursos Humanos y Materiales, que entre otras funciones, tendrá la de integrar y mantener actualizado los inventarios, nóminas, tabuladores y los expedientes del personal de la Universidad. </w:t>
      </w:r>
    </w:p>
    <w:p w14:paraId="09FCF36C" w14:textId="77777777" w:rsidR="007477BA" w:rsidRPr="00851955" w:rsidRDefault="007477BA" w:rsidP="00893559">
      <w:pPr>
        <w:spacing w:after="0" w:line="360" w:lineRule="auto"/>
        <w:rPr>
          <w:rFonts w:eastAsia="Times New Roman" w:cs="Tahoma"/>
          <w:bCs/>
          <w:lang w:val="es-ES" w:eastAsia="es-ES"/>
        </w:rPr>
      </w:pPr>
    </w:p>
    <w:p w14:paraId="59EF8F60" w14:textId="01C52619" w:rsidR="0021148D" w:rsidRPr="0021148D" w:rsidRDefault="0096584E" w:rsidP="00893559">
      <w:pPr>
        <w:spacing w:after="0" w:line="360" w:lineRule="auto"/>
        <w:rPr>
          <w:rFonts w:eastAsia="Calibri" w:cs="Tahoma"/>
          <w:bCs/>
          <w:color w:val="000000"/>
        </w:rPr>
      </w:pPr>
      <w:r w:rsidRPr="0096584E">
        <w:rPr>
          <w:rFonts w:eastAsia="Times New Roman" w:cs="Times New Roman"/>
          <w:iCs/>
          <w:color w:val="auto"/>
          <w:lang w:eastAsia="es-ES"/>
        </w:rPr>
        <w:t xml:space="preserve">Conforme a lo anterior, se logra vislumbrar que el Sujeto Obligado </w:t>
      </w:r>
      <w:r w:rsidR="0086399C">
        <w:rPr>
          <w:rFonts w:eastAsia="Times New Roman" w:cs="Times New Roman"/>
          <w:iCs/>
          <w:color w:val="auto"/>
          <w:lang w:eastAsia="es-ES"/>
        </w:rPr>
        <w:t>turn</w:t>
      </w:r>
      <w:r w:rsidR="00975DA4">
        <w:rPr>
          <w:rFonts w:eastAsia="Times New Roman" w:cs="Times New Roman"/>
          <w:iCs/>
          <w:color w:val="auto"/>
          <w:lang w:eastAsia="es-ES"/>
        </w:rPr>
        <w:t>ó</w:t>
      </w:r>
      <w:r w:rsidR="0086399C">
        <w:rPr>
          <w:rFonts w:eastAsia="Times New Roman" w:cs="Times New Roman"/>
          <w:iCs/>
          <w:color w:val="auto"/>
          <w:lang w:eastAsia="es-ES"/>
        </w:rPr>
        <w:t xml:space="preserve"> la solicitud de información a</w:t>
      </w:r>
      <w:r w:rsidR="00975DA4">
        <w:rPr>
          <w:rFonts w:eastAsia="Times New Roman" w:cs="Times New Roman"/>
          <w:iCs/>
          <w:color w:val="auto"/>
          <w:lang w:eastAsia="es-ES"/>
        </w:rPr>
        <w:t>l</w:t>
      </w:r>
      <w:r w:rsidR="0086399C">
        <w:rPr>
          <w:rFonts w:eastAsia="Times New Roman" w:cs="Times New Roman"/>
          <w:iCs/>
          <w:color w:val="auto"/>
          <w:lang w:eastAsia="es-ES"/>
        </w:rPr>
        <w:t xml:space="preserve"> área competente para conocer de la información, a saber, </w:t>
      </w:r>
      <w:r w:rsidR="00975DA4">
        <w:rPr>
          <w:rFonts w:eastAsia="Times New Roman" w:cs="Times New Roman"/>
          <w:iCs/>
          <w:color w:val="auto"/>
          <w:lang w:eastAsia="es-ES"/>
        </w:rPr>
        <w:t>el</w:t>
      </w:r>
      <w:r w:rsidR="0086399C">
        <w:rPr>
          <w:rFonts w:eastAsia="Times New Roman" w:cs="Times New Roman"/>
          <w:iCs/>
          <w:color w:val="auto"/>
          <w:lang w:eastAsia="es-ES"/>
        </w:rPr>
        <w:t xml:space="preserve"> </w:t>
      </w:r>
      <w:r w:rsidR="00975DA4" w:rsidRPr="00975DA4">
        <w:rPr>
          <w:rFonts w:eastAsia="Times New Roman" w:cs="Times New Roman"/>
          <w:iCs/>
          <w:color w:val="auto"/>
          <w:lang w:eastAsia="es-ES"/>
        </w:rPr>
        <w:t>Departamento de Recursos Humanos y Materiales</w:t>
      </w:r>
      <w:r w:rsidR="0021148D">
        <w:rPr>
          <w:rFonts w:eastAsia="Times New Roman" w:cs="Times New Roman"/>
          <w:iCs/>
          <w:color w:val="auto"/>
          <w:lang w:eastAsia="es-ES"/>
        </w:rPr>
        <w:t xml:space="preserve">; sin embargo, </w:t>
      </w:r>
      <w:r w:rsidR="0021148D" w:rsidRPr="0021148D">
        <w:rPr>
          <w:rFonts w:eastAsia="Calibri" w:cs="Tahoma"/>
          <w:bCs/>
          <w:color w:val="000000"/>
        </w:rPr>
        <w:t>este Instituto no tiene certeza que la haya realizado de manera exhaustiva y razonable, pues únicamente señaló que no encontraba concordancia con alguna obra ejecutada, cuando existen publicaciones que arrojan a que se realizó la pavimentación; por lo que, se logra colegir que el área no realizó una indagación correcta en sus archivos, al omitir señalar lo siguiente:</w:t>
      </w:r>
    </w:p>
    <w:p w14:paraId="565C4358" w14:textId="77777777" w:rsidR="0021148D" w:rsidRPr="0021148D" w:rsidRDefault="0021148D" w:rsidP="00893559">
      <w:pPr>
        <w:spacing w:after="0" w:line="360" w:lineRule="auto"/>
        <w:rPr>
          <w:rFonts w:eastAsia="Calibri" w:cs="Tahoma"/>
          <w:bCs/>
          <w:color w:val="000000"/>
        </w:rPr>
      </w:pPr>
    </w:p>
    <w:p w14:paraId="2C906F45" w14:textId="77777777" w:rsidR="0021148D" w:rsidRPr="0021148D" w:rsidRDefault="0021148D" w:rsidP="00893559">
      <w:pPr>
        <w:numPr>
          <w:ilvl w:val="0"/>
          <w:numId w:val="16"/>
        </w:numPr>
        <w:spacing w:after="0" w:line="360" w:lineRule="auto"/>
        <w:contextualSpacing/>
        <w:jc w:val="left"/>
        <w:rPr>
          <w:rFonts w:eastAsia="Times New Roman" w:cs="Tahoma"/>
          <w:color w:val="auto"/>
          <w:lang w:val="es-ES_tradnl" w:eastAsia="es-ES"/>
        </w:rPr>
      </w:pPr>
      <w:r w:rsidRPr="0021148D">
        <w:rPr>
          <w:rFonts w:eastAsia="Times New Roman" w:cs="Tahoma"/>
          <w:color w:val="auto"/>
          <w:lang w:val="es-ES_tradnl" w:eastAsia="es-ES"/>
        </w:rPr>
        <w:t>Tipo de archivos buscados (físicos o electrónicos);</w:t>
      </w:r>
    </w:p>
    <w:p w14:paraId="3C097DE9" w14:textId="77777777" w:rsidR="0021148D" w:rsidRPr="0021148D" w:rsidRDefault="0021148D" w:rsidP="00893559">
      <w:pPr>
        <w:numPr>
          <w:ilvl w:val="0"/>
          <w:numId w:val="16"/>
        </w:numPr>
        <w:spacing w:after="0" w:line="360" w:lineRule="auto"/>
        <w:contextualSpacing/>
        <w:jc w:val="left"/>
        <w:rPr>
          <w:rFonts w:eastAsia="Times New Roman" w:cs="Tahoma"/>
          <w:color w:val="auto"/>
          <w:lang w:val="es-ES_tradnl" w:eastAsia="es-ES"/>
        </w:rPr>
      </w:pPr>
      <w:r w:rsidRPr="0021148D">
        <w:rPr>
          <w:rFonts w:eastAsia="Times New Roman" w:cs="Tahoma"/>
          <w:color w:val="auto"/>
          <w:lang w:val="es-ES_tradnl" w:eastAsia="es-ES"/>
        </w:rPr>
        <w:t xml:space="preserve">Los criterios de búsqueda utilizados, y </w:t>
      </w:r>
    </w:p>
    <w:p w14:paraId="5330374C" w14:textId="77777777" w:rsidR="0021148D" w:rsidRPr="0021148D" w:rsidRDefault="0021148D" w:rsidP="00893559">
      <w:pPr>
        <w:numPr>
          <w:ilvl w:val="0"/>
          <w:numId w:val="16"/>
        </w:numPr>
        <w:spacing w:after="0" w:line="360" w:lineRule="auto"/>
        <w:contextualSpacing/>
        <w:jc w:val="left"/>
        <w:rPr>
          <w:rFonts w:eastAsia="Times New Roman" w:cs="Tahoma"/>
          <w:color w:val="auto"/>
          <w:lang w:val="es-ES_tradnl" w:eastAsia="es-ES"/>
        </w:rPr>
      </w:pPr>
      <w:r w:rsidRPr="0021148D">
        <w:rPr>
          <w:rFonts w:eastAsia="Times New Roman" w:cs="Tahoma"/>
          <w:color w:val="auto"/>
          <w:lang w:val="es-ES_tradnl" w:eastAsia="es-ES"/>
        </w:rPr>
        <w:t>Las circunstancias que fueron tomadas en cuenta.</w:t>
      </w:r>
      <w:r w:rsidRPr="0021148D">
        <w:rPr>
          <w:rFonts w:eastAsia="Times New Roman" w:cs="Tahoma"/>
          <w:color w:val="auto"/>
          <w:lang w:val="es-ES_tradnl" w:eastAsia="es-ES"/>
        </w:rPr>
        <w:tab/>
      </w:r>
    </w:p>
    <w:p w14:paraId="7BC64EC6" w14:textId="77777777" w:rsidR="0021148D" w:rsidRPr="0021148D" w:rsidRDefault="0021148D" w:rsidP="00893559">
      <w:pPr>
        <w:tabs>
          <w:tab w:val="left" w:pos="4962"/>
        </w:tabs>
        <w:spacing w:after="0" w:line="360" w:lineRule="auto"/>
        <w:rPr>
          <w:rFonts w:eastAsia="Calibri" w:cs="Times New Roman"/>
        </w:rPr>
      </w:pPr>
    </w:p>
    <w:p w14:paraId="01C8FEEA" w14:textId="699FC757" w:rsidR="0021148D" w:rsidRPr="0021148D" w:rsidRDefault="0021148D" w:rsidP="00893559">
      <w:pPr>
        <w:spacing w:after="0" w:line="360" w:lineRule="auto"/>
        <w:rPr>
          <w:rFonts w:eastAsia="Calibri" w:cs="Tahoma"/>
          <w:bCs/>
          <w:lang w:val="es-ES"/>
        </w:rPr>
      </w:pPr>
      <w:r w:rsidRPr="0021148D">
        <w:rPr>
          <w:rFonts w:eastAsia="Calibri" w:cs="Times New Roman"/>
          <w:bCs/>
        </w:rPr>
        <w:t xml:space="preserve">Así, se logra observar que el Sujeto Obligado no realizó, ni efectuó una búsqueda exhaustiva o razonable, pues si bien si turno el requerimiento de información al área competente, está no la realizó de manera profunda y congruente, pues no cumplieron los requisitos para acreditar que se haya llevado a cabo una indagación correcta en sus archivos, </w:t>
      </w:r>
      <w:r w:rsidRPr="0021148D">
        <w:rPr>
          <w:rFonts w:eastAsia="Calibri" w:cs="Tahoma"/>
          <w:iCs/>
          <w:lang w:val="es-ES"/>
        </w:rPr>
        <w:t xml:space="preserve">al no señalar los criterios utilizados para realizar la indagación, el tipo de archivos investigados o bien las circunstancias que fueron tomadas en cuenta. </w:t>
      </w:r>
      <w:r w:rsidRPr="0021148D">
        <w:rPr>
          <w:rFonts w:eastAsia="Calibri" w:cs="Tahoma"/>
          <w:lang w:val="es-ES"/>
        </w:rPr>
        <w:t xml:space="preserve">Así, se concluye que el agravio hecho valer por el Particular es </w:t>
      </w:r>
      <w:r w:rsidRPr="0021148D">
        <w:rPr>
          <w:rFonts w:eastAsia="Calibri" w:cs="Tahoma"/>
          <w:b/>
          <w:lang w:val="es-ES"/>
        </w:rPr>
        <w:t xml:space="preserve">FUNDADO, </w:t>
      </w:r>
      <w:r w:rsidRPr="0021148D">
        <w:rPr>
          <w:rFonts w:eastAsia="Calibri" w:cs="Tahoma"/>
          <w:bCs/>
          <w:lang w:val="es-ES"/>
        </w:rPr>
        <w:t xml:space="preserve">situación que toma </w:t>
      </w:r>
      <w:r>
        <w:rPr>
          <w:rFonts w:eastAsia="Calibri" w:cs="Tahoma"/>
          <w:bCs/>
          <w:lang w:val="es-ES"/>
        </w:rPr>
        <w:t>sustento, con el hecho de que, mediante el desahogo del requerimiento de información adicional, proporcionó para de la información requerida.</w:t>
      </w:r>
    </w:p>
    <w:p w14:paraId="732605D7" w14:textId="0B2A2D67" w:rsidR="002116A7" w:rsidRDefault="002116A7" w:rsidP="00893559">
      <w:pPr>
        <w:spacing w:after="0" w:line="360" w:lineRule="auto"/>
        <w:rPr>
          <w:rFonts w:eastAsia="Times New Roman" w:cs="Times New Roman"/>
          <w:iCs/>
          <w:color w:val="auto"/>
          <w:lang w:eastAsia="es-ES"/>
        </w:rPr>
      </w:pPr>
    </w:p>
    <w:p w14:paraId="2C3BD30E" w14:textId="1BB201B7" w:rsidR="0021148D" w:rsidRDefault="0021148D" w:rsidP="00893559">
      <w:pPr>
        <w:spacing w:after="0" w:line="360" w:lineRule="auto"/>
        <w:rPr>
          <w:rFonts w:eastAsia="Times New Roman" w:cs="Times New Roman"/>
          <w:iCs/>
          <w:color w:val="auto"/>
          <w:lang w:eastAsia="es-ES"/>
        </w:rPr>
      </w:pPr>
      <w:r>
        <w:rPr>
          <w:rFonts w:eastAsia="Times New Roman" w:cs="Times New Roman"/>
          <w:iCs/>
          <w:color w:val="auto"/>
          <w:lang w:eastAsia="es-ES"/>
        </w:rPr>
        <w:t>Sin menoscabar lo anterior, durante la sustanciación del Medio de Impugnación, mediante el desahogo del requerimiento de información adicional, el Sujeto Obligado modificó su respuesta y señaló lo siguiente:</w:t>
      </w:r>
    </w:p>
    <w:p w14:paraId="16F8917D" w14:textId="58F2313D" w:rsidR="0021148D" w:rsidRDefault="0021148D" w:rsidP="00893559">
      <w:pPr>
        <w:spacing w:after="0" w:line="360" w:lineRule="auto"/>
        <w:rPr>
          <w:rFonts w:eastAsia="Times New Roman" w:cs="Times New Roman"/>
          <w:iCs/>
          <w:color w:val="auto"/>
          <w:lang w:eastAsia="es-ES"/>
        </w:rPr>
      </w:pPr>
    </w:p>
    <w:p w14:paraId="6F9EF169" w14:textId="374915D1" w:rsidR="0021148D" w:rsidRDefault="0021148D" w:rsidP="00893559">
      <w:pPr>
        <w:numPr>
          <w:ilvl w:val="0"/>
          <w:numId w:val="17"/>
        </w:numPr>
        <w:spacing w:after="0" w:line="360" w:lineRule="auto"/>
        <w:contextualSpacing/>
        <w:rPr>
          <w:rFonts w:eastAsia="Calibri" w:cs="Tahoma"/>
          <w:iCs/>
          <w:color w:val="auto"/>
          <w:lang w:val="es-ES" w:eastAsia="es-ES"/>
        </w:rPr>
      </w:pPr>
      <w:r w:rsidRPr="0021148D">
        <w:rPr>
          <w:rFonts w:eastAsia="Calibri" w:cs="Tahoma"/>
          <w:iCs/>
          <w:color w:val="auto"/>
          <w:lang w:val="es-ES" w:eastAsia="es-ES"/>
        </w:rPr>
        <w:t>Señaló que no existía un pago por finiquito</w:t>
      </w:r>
      <w:r>
        <w:rPr>
          <w:rFonts w:eastAsia="Calibri" w:cs="Tahoma"/>
          <w:iCs/>
          <w:color w:val="auto"/>
          <w:lang w:val="es-ES" w:eastAsia="es-ES"/>
        </w:rPr>
        <w:t>.</w:t>
      </w:r>
    </w:p>
    <w:p w14:paraId="09D6B42F" w14:textId="77777777" w:rsidR="00637EB3" w:rsidRPr="0021148D" w:rsidRDefault="00637EB3" w:rsidP="00893559">
      <w:pPr>
        <w:spacing w:after="0" w:line="360" w:lineRule="auto"/>
        <w:ind w:left="720"/>
        <w:contextualSpacing/>
        <w:rPr>
          <w:rFonts w:eastAsia="Calibri" w:cs="Tahoma"/>
          <w:iCs/>
          <w:color w:val="auto"/>
          <w:lang w:val="es-ES" w:eastAsia="es-ES"/>
        </w:rPr>
      </w:pPr>
    </w:p>
    <w:p w14:paraId="3FA0363E" w14:textId="2B56EA3A" w:rsidR="0021148D" w:rsidRPr="009F27F6" w:rsidRDefault="0021148D" w:rsidP="00893559">
      <w:pPr>
        <w:numPr>
          <w:ilvl w:val="0"/>
          <w:numId w:val="17"/>
        </w:numPr>
        <w:spacing w:after="0" w:line="360" w:lineRule="auto"/>
        <w:contextualSpacing/>
        <w:rPr>
          <w:rFonts w:eastAsia="Calibri" w:cs="Tahoma"/>
          <w:iCs/>
          <w:color w:val="auto"/>
          <w:lang w:val="es-ES" w:eastAsia="es-ES"/>
        </w:rPr>
      </w:pPr>
      <w:r>
        <w:rPr>
          <w:rFonts w:eastAsia="Calibri" w:cs="Tahoma"/>
          <w:iCs/>
          <w:color w:val="auto"/>
          <w:lang w:val="es-ES" w:eastAsia="es-ES"/>
        </w:rPr>
        <w:t>Proporcionó los recibos de pago de nómina, del dos mil catorce, dos mil quince y dos mil dieciséis.</w:t>
      </w:r>
    </w:p>
    <w:p w14:paraId="6FF49D22" w14:textId="07275B06" w:rsidR="0021148D" w:rsidRDefault="0021148D" w:rsidP="00893559">
      <w:pPr>
        <w:spacing w:after="0" w:line="360" w:lineRule="auto"/>
        <w:rPr>
          <w:rFonts w:eastAsia="Times New Roman" w:cs="Times New Roman"/>
          <w:iCs/>
          <w:color w:val="auto"/>
          <w:lang w:eastAsia="es-ES"/>
        </w:rPr>
      </w:pPr>
    </w:p>
    <w:p w14:paraId="0BDBACEE" w14:textId="0816FE17" w:rsidR="0021148D" w:rsidRDefault="0021148D" w:rsidP="00893559">
      <w:pPr>
        <w:spacing w:after="0" w:line="360" w:lineRule="auto"/>
        <w:rPr>
          <w:rFonts w:eastAsia="Calibri" w:cs="Tahoma"/>
          <w:iCs/>
          <w:color w:val="auto"/>
          <w:lang w:val="es-ES" w:eastAsia="es-ES"/>
        </w:rPr>
      </w:pPr>
      <w:r>
        <w:rPr>
          <w:rFonts w:eastAsia="Times New Roman" w:cs="Times New Roman"/>
          <w:iCs/>
          <w:color w:val="auto"/>
          <w:lang w:eastAsia="es-ES"/>
        </w:rPr>
        <w:t>Ahora bien, respecto a</w:t>
      </w:r>
      <w:r w:rsidR="00686B82">
        <w:rPr>
          <w:rFonts w:eastAsia="Times New Roman" w:cs="Times New Roman"/>
          <w:iCs/>
          <w:color w:val="auto"/>
          <w:lang w:eastAsia="es-ES"/>
        </w:rPr>
        <w:t xml:space="preserve"> la primera circunstancia, es de señalar que el Departamento </w:t>
      </w:r>
      <w:r w:rsidR="00686B82">
        <w:rPr>
          <w:rFonts w:eastAsia="Times New Roman" w:cs="Tahoma"/>
          <w:bCs/>
          <w:lang w:val="es-ES" w:eastAsia="es-ES"/>
        </w:rPr>
        <w:t xml:space="preserve">de Recursos Humanos y Materiales, refirió que no existía ningún pago por concepto de finiquito, pues actualmente existía </w:t>
      </w:r>
      <w:r w:rsidR="00637EB3">
        <w:rPr>
          <w:rFonts w:eastAsia="Times New Roman" w:cs="Tahoma"/>
          <w:bCs/>
          <w:lang w:val="es-ES" w:eastAsia="es-ES"/>
        </w:rPr>
        <w:t xml:space="preserve">una demanda laboral, en la cual el </w:t>
      </w:r>
      <w:r w:rsidR="00637EB3">
        <w:rPr>
          <w:rFonts w:eastAsia="Calibri" w:cs="Tahoma"/>
          <w:iCs/>
          <w:color w:val="auto"/>
          <w:lang w:val="es-ES" w:eastAsia="es-ES"/>
        </w:rPr>
        <w:t>Tribunal de Conciliación y Arbitraje del Estado de México, no había emitido algún laudo o convenio, que obligará a la Universidad a pagarle a la ex servidora pública, alguna prestación laboral.</w:t>
      </w:r>
    </w:p>
    <w:p w14:paraId="751E7F4F" w14:textId="2E06FA6D" w:rsidR="00637EB3" w:rsidRDefault="00637EB3" w:rsidP="00893559">
      <w:pPr>
        <w:spacing w:after="0" w:line="360" w:lineRule="auto"/>
        <w:rPr>
          <w:rFonts w:eastAsia="Calibri" w:cs="Tahoma"/>
          <w:iCs/>
          <w:color w:val="auto"/>
          <w:lang w:val="es-ES" w:eastAsia="es-ES"/>
        </w:rPr>
      </w:pPr>
    </w:p>
    <w:p w14:paraId="77021629" w14:textId="77777777" w:rsidR="007D691A" w:rsidRPr="007D691A" w:rsidRDefault="007D691A" w:rsidP="00893559">
      <w:pPr>
        <w:spacing w:after="0" w:line="360" w:lineRule="auto"/>
        <w:rPr>
          <w:rFonts w:eastAsia="Times New Roman" w:cs="Tahoma"/>
          <w:bCs/>
          <w:color w:val="auto"/>
          <w:lang w:eastAsia="es-ES"/>
        </w:rPr>
      </w:pPr>
      <w:r w:rsidRPr="007D691A">
        <w:rPr>
          <w:rFonts w:eastAsia="Times New Roman" w:cs="Tahoma"/>
          <w:bCs/>
          <w:color w:val="auto"/>
          <w:lang w:eastAsia="es-ES"/>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261925A5" w14:textId="77777777" w:rsidR="007D691A" w:rsidRPr="007D691A" w:rsidRDefault="007D691A" w:rsidP="00893559">
      <w:pPr>
        <w:spacing w:after="0" w:line="360" w:lineRule="auto"/>
        <w:rPr>
          <w:rFonts w:eastAsia="Times New Roman" w:cs="Tahoma"/>
          <w:bCs/>
          <w:color w:val="auto"/>
          <w:lang w:eastAsia="es-ES"/>
        </w:rPr>
      </w:pPr>
    </w:p>
    <w:p w14:paraId="2DC6036F" w14:textId="77777777" w:rsidR="007D691A" w:rsidRPr="007D691A" w:rsidRDefault="007D691A" w:rsidP="00893559">
      <w:pPr>
        <w:spacing w:after="0" w:line="360" w:lineRule="auto"/>
        <w:ind w:left="567" w:right="567"/>
        <w:rPr>
          <w:rFonts w:eastAsia="Times New Roman" w:cs="Tahoma"/>
          <w:bCs/>
          <w:i/>
          <w:color w:val="auto"/>
          <w:sz w:val="20"/>
          <w:szCs w:val="20"/>
          <w:lang w:eastAsia="es-ES"/>
        </w:rPr>
      </w:pPr>
      <w:r w:rsidRPr="007D691A">
        <w:rPr>
          <w:rFonts w:eastAsia="Times New Roman" w:cs="Tahoma"/>
          <w:b/>
          <w:bCs/>
          <w:i/>
          <w:color w:val="auto"/>
          <w:sz w:val="20"/>
          <w:szCs w:val="20"/>
          <w:lang w:eastAsia="es-ES"/>
        </w:rPr>
        <w:t xml:space="preserve">“El Instituto Federal de Acceso a la Información y Protección de Datos </w:t>
      </w:r>
      <w:r w:rsidRPr="007D691A">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7D691A">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C203D5" w14:textId="0441EFDC" w:rsidR="00637EB3" w:rsidRDefault="00637EB3" w:rsidP="00893559">
      <w:pPr>
        <w:spacing w:after="0" w:line="360" w:lineRule="auto"/>
        <w:rPr>
          <w:rFonts w:eastAsia="Calibri" w:cs="Tahoma"/>
          <w:iCs/>
          <w:color w:val="auto"/>
          <w:lang w:val="es-ES" w:eastAsia="es-ES"/>
        </w:rPr>
      </w:pPr>
    </w:p>
    <w:p w14:paraId="35BB35F1" w14:textId="3E2FD699" w:rsidR="00471103" w:rsidRPr="00471103" w:rsidRDefault="00471103" w:rsidP="00893559">
      <w:pPr>
        <w:spacing w:after="0" w:line="360" w:lineRule="auto"/>
        <w:rPr>
          <w:rFonts w:eastAsia="Times New Roman" w:cs="Tahoma"/>
          <w:color w:val="auto"/>
          <w:lang w:val="es-ES" w:eastAsia="es-ES"/>
        </w:rPr>
      </w:pPr>
      <w:r w:rsidRPr="00471103">
        <w:rPr>
          <w:rFonts w:eastAsia="Times New Roman" w:cs="Tahoma"/>
          <w:color w:val="auto"/>
          <w:lang w:val="es-ES" w:eastAsia="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w:t>
      </w:r>
      <w:r>
        <w:rPr>
          <w:rFonts w:eastAsia="Times New Roman" w:cs="Tahoma"/>
          <w:color w:val="auto"/>
          <w:lang w:val="es-ES" w:eastAsia="es-ES"/>
        </w:rPr>
        <w:t>que a la fecha no existía ningún pago por concepto de finiquito o alguna otra prestación laboral  a la exservidora pública</w:t>
      </w:r>
      <w:r w:rsidRPr="00471103">
        <w:rPr>
          <w:rFonts w:eastAsia="Times New Roman" w:cs="Tahoma"/>
          <w:color w:val="auto"/>
          <w:lang w:val="es-ES" w:eastAsia="es-ES"/>
        </w:rPr>
        <w:t>.</w:t>
      </w:r>
    </w:p>
    <w:p w14:paraId="6A112E92" w14:textId="77777777" w:rsidR="00471103" w:rsidRPr="00471103" w:rsidRDefault="00471103" w:rsidP="00893559">
      <w:pPr>
        <w:spacing w:after="0" w:line="360" w:lineRule="auto"/>
        <w:rPr>
          <w:rFonts w:eastAsia="Times New Roman" w:cs="Tahoma"/>
          <w:color w:val="auto"/>
          <w:lang w:val="es-ES" w:eastAsia="es-ES"/>
        </w:rPr>
      </w:pPr>
    </w:p>
    <w:p w14:paraId="303496F1" w14:textId="5A7259A2" w:rsidR="00471103" w:rsidRPr="00471103" w:rsidRDefault="00471103" w:rsidP="00893559">
      <w:pPr>
        <w:spacing w:after="0" w:line="360" w:lineRule="auto"/>
        <w:rPr>
          <w:rFonts w:eastAsia="Times New Roman" w:cs="Tahoma"/>
          <w:color w:val="auto"/>
          <w:lang w:val="es-ES" w:eastAsia="es-ES"/>
        </w:rPr>
      </w:pPr>
      <w:r w:rsidRPr="00471103">
        <w:rPr>
          <w:rFonts w:eastAsia="Times New Roman" w:cs="Tahoma"/>
          <w:color w:val="auto"/>
          <w:lang w:val="es-ES" w:eastAsia="es-ES"/>
        </w:rPr>
        <w:t xml:space="preserve">Por tales consideraciones, se desprende que durante la sustanciación del Medio de Impugnación, </w:t>
      </w:r>
      <w:r>
        <w:rPr>
          <w:rFonts w:eastAsia="Times New Roman" w:cs="Tahoma"/>
          <w:color w:val="auto"/>
          <w:lang w:val="es-ES" w:eastAsia="es-ES"/>
        </w:rPr>
        <w:t>la Universidad Autónoma de Valle de Toluca</w:t>
      </w:r>
      <w:r w:rsidRPr="00471103">
        <w:rPr>
          <w:rFonts w:eastAsia="Times New Roman" w:cs="Tahoma"/>
          <w:color w:val="auto"/>
          <w:lang w:val="es-ES" w:eastAsia="es-ES"/>
        </w:rPr>
        <w:t xml:space="preserve">, señaló las razones por las cuales no contaba con lo peticionado; </w:t>
      </w:r>
      <w:r w:rsidRPr="00471103">
        <w:rPr>
          <w:rFonts w:eastAsia="Times New Roman" w:cs="Tahoma"/>
          <w:lang w:eastAsia="es-ES"/>
        </w:rPr>
        <w:t xml:space="preserve">al respecto, se trae a colación, el </w:t>
      </w:r>
      <w:r w:rsidRPr="00471103">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6C8F77B6" w14:textId="77777777" w:rsidR="00471103" w:rsidRPr="00471103" w:rsidRDefault="00471103" w:rsidP="00893559">
      <w:pPr>
        <w:spacing w:after="0" w:line="360" w:lineRule="auto"/>
        <w:rPr>
          <w:rFonts w:eastAsia="Times New Roman" w:cs="Tahoma"/>
          <w:color w:val="auto"/>
          <w:lang w:val="es-ES" w:eastAsia="es-ES"/>
        </w:rPr>
      </w:pPr>
    </w:p>
    <w:p w14:paraId="56F06AFD" w14:textId="77777777" w:rsidR="00471103" w:rsidRPr="00471103" w:rsidRDefault="00471103" w:rsidP="00893559">
      <w:pPr>
        <w:spacing w:after="0" w:line="360" w:lineRule="auto"/>
        <w:rPr>
          <w:rFonts w:eastAsia="Times New Roman" w:cs="Tahoma"/>
          <w:bCs/>
          <w:color w:val="auto"/>
          <w:lang w:eastAsia="es-ES"/>
        </w:rPr>
      </w:pPr>
      <w:r w:rsidRPr="00471103">
        <w:rPr>
          <w:rFonts w:eastAsia="Times New Roman" w:cs="Tahoma"/>
          <w:color w:val="auto"/>
          <w:lang w:val="es-ES" w:eastAsia="es-ES"/>
        </w:rPr>
        <w:t xml:space="preserve">De la misma manera, </w:t>
      </w:r>
      <w:r w:rsidRPr="00471103">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0455F13" w14:textId="77777777" w:rsidR="00471103" w:rsidRPr="00471103" w:rsidRDefault="00471103" w:rsidP="00893559">
      <w:pPr>
        <w:spacing w:after="0" w:line="360" w:lineRule="auto"/>
        <w:rPr>
          <w:rFonts w:eastAsia="Times New Roman" w:cs="Tahoma"/>
          <w:color w:val="auto"/>
          <w:lang w:val="es-ES" w:eastAsia="es-ES"/>
        </w:rPr>
      </w:pPr>
    </w:p>
    <w:p w14:paraId="70949A4F" w14:textId="00A2A4D3" w:rsidR="00637EB3" w:rsidRDefault="00471103" w:rsidP="00893559">
      <w:pPr>
        <w:spacing w:after="0" w:line="360" w:lineRule="auto"/>
        <w:rPr>
          <w:rFonts w:eastAsia="Times New Roman" w:cs="Tahoma"/>
          <w:b/>
          <w:bCs/>
          <w:color w:val="auto"/>
          <w:lang w:eastAsia="es-ES"/>
        </w:rPr>
      </w:pPr>
      <w:r w:rsidRPr="00471103">
        <w:rPr>
          <w:rFonts w:eastAsia="Times New Roman" w:cs="Tahoma"/>
          <w:lang w:eastAsia="es-ES"/>
        </w:rPr>
        <w:t xml:space="preserve">Al respecto, dicho criterio aplica al caso en concreto, ya que, no se localizó algún indicio de que </w:t>
      </w:r>
      <w:r>
        <w:rPr>
          <w:rFonts w:eastAsia="Times New Roman" w:cs="Tahoma"/>
          <w:lang w:eastAsia="es-ES"/>
        </w:rPr>
        <w:t>la Universidad le haya pagado alguna prestación a la exservidora pública, por darla de baja</w:t>
      </w:r>
      <w:r w:rsidRPr="00471103">
        <w:rPr>
          <w:rFonts w:eastAsia="Times New Roman" w:cs="Tahoma"/>
          <w:lang w:eastAsia="es-ES"/>
        </w:rPr>
        <w:t xml:space="preserve">; </w:t>
      </w:r>
      <w:r w:rsidRPr="00471103">
        <w:rPr>
          <w:rFonts w:eastAsia="Times New Roman" w:cs="Tahoma"/>
          <w:bCs/>
          <w:color w:val="auto"/>
          <w:lang w:eastAsia="es-ES"/>
        </w:rPr>
        <w:t xml:space="preserve">por lo cual, </w:t>
      </w:r>
      <w:r w:rsidRPr="00471103">
        <w:rPr>
          <w:rFonts w:eastAsia="Times New Roman" w:cs="Tahoma"/>
          <w:b/>
          <w:bCs/>
          <w:color w:val="auto"/>
          <w:lang w:eastAsia="es-ES"/>
        </w:rPr>
        <w:t>se considera que el Sujeto Obligado, señaló las razones por las cuales no contaba con lo requerido y cumplió con el segundo párrafo del artículo 19 de la Ley de Transparencia y Acceso a la Información Pública del Estado de México y Municipios</w:t>
      </w:r>
      <w:r>
        <w:rPr>
          <w:rFonts w:eastAsia="Times New Roman" w:cs="Tahoma"/>
          <w:b/>
          <w:bCs/>
          <w:color w:val="auto"/>
          <w:lang w:eastAsia="es-ES"/>
        </w:rPr>
        <w:t>.</w:t>
      </w:r>
    </w:p>
    <w:p w14:paraId="7A99DD22" w14:textId="7BC5612D" w:rsidR="00471103" w:rsidRDefault="00471103" w:rsidP="00893559">
      <w:pPr>
        <w:spacing w:after="0" w:line="360" w:lineRule="auto"/>
        <w:rPr>
          <w:rFonts w:eastAsia="Times New Roman" w:cs="Tahoma"/>
          <w:b/>
          <w:bCs/>
          <w:color w:val="auto"/>
          <w:lang w:eastAsia="es-ES"/>
        </w:rPr>
      </w:pPr>
    </w:p>
    <w:p w14:paraId="5E2E0271" w14:textId="3C87749C" w:rsidR="00471103" w:rsidRPr="00471103" w:rsidRDefault="00471103" w:rsidP="00893559">
      <w:pPr>
        <w:spacing w:after="0" w:line="360" w:lineRule="auto"/>
        <w:rPr>
          <w:rFonts w:eastAsia="Calibri" w:cs="Tahoma"/>
          <w:iCs/>
          <w:color w:val="auto"/>
          <w:lang w:val="es-ES" w:eastAsia="es-ES"/>
        </w:rPr>
      </w:pPr>
      <w:r>
        <w:rPr>
          <w:rFonts w:eastAsia="Times New Roman" w:cs="Tahoma"/>
          <w:color w:val="auto"/>
          <w:lang w:eastAsia="es-ES"/>
        </w:rPr>
        <w:t xml:space="preserve">Ahora bien, es de señalar que el Sujeto Obligado mediante el </w:t>
      </w:r>
      <w:r w:rsidRPr="00C4052B">
        <w:rPr>
          <w:rFonts w:eastAsia="Times New Roman" w:cs="Tahoma"/>
          <w:szCs w:val="24"/>
          <w:lang w:val="es-ES" w:eastAsia="es-ES"/>
        </w:rPr>
        <w:t xml:space="preserve">oficio </w:t>
      </w:r>
      <w:r>
        <w:rPr>
          <w:rFonts w:eastAsia="Times New Roman" w:cs="Tahoma"/>
          <w:szCs w:val="24"/>
          <w:lang w:val="es-ES" w:eastAsia="es-ES"/>
        </w:rPr>
        <w:t>210C2801010001L/115/2022, hizo del conocimiento las circunstancias de la inexistencia, sin embargo, no fue hecho del conocimiento del Recurrente, pues los recibos de pago de nómina</w:t>
      </w:r>
      <w:r w:rsidR="003B3FA7">
        <w:rPr>
          <w:rFonts w:eastAsia="Times New Roman" w:cs="Tahoma"/>
          <w:szCs w:val="24"/>
          <w:lang w:val="es-ES" w:eastAsia="es-ES"/>
        </w:rPr>
        <w:t>, contenían datos personales visibles; por lo que, en el presente caso, resulta procedente su entrega.</w:t>
      </w:r>
    </w:p>
    <w:p w14:paraId="7BD5948B" w14:textId="6C3385F0" w:rsidR="0021148D" w:rsidRDefault="0021148D" w:rsidP="00893559">
      <w:pPr>
        <w:spacing w:after="0" w:line="360" w:lineRule="auto"/>
        <w:rPr>
          <w:rFonts w:eastAsia="Times New Roman" w:cs="Times New Roman"/>
          <w:iCs/>
          <w:color w:val="auto"/>
          <w:lang w:eastAsia="es-ES"/>
        </w:rPr>
      </w:pPr>
    </w:p>
    <w:p w14:paraId="1F36F6CC" w14:textId="79D4124D" w:rsidR="00763003" w:rsidRDefault="005148BE" w:rsidP="00893559">
      <w:pPr>
        <w:spacing w:after="0" w:line="360" w:lineRule="auto"/>
        <w:rPr>
          <w:rFonts w:eastAsia="Times New Roman" w:cs="Times New Roman"/>
          <w:iCs/>
          <w:color w:val="auto"/>
          <w:lang w:eastAsia="es-ES"/>
        </w:rPr>
      </w:pPr>
      <w:r>
        <w:rPr>
          <w:rFonts w:eastAsia="Times New Roman" w:cs="Times New Roman"/>
          <w:iCs/>
          <w:color w:val="auto"/>
          <w:lang w:eastAsia="es-ES"/>
        </w:rPr>
        <w:t xml:space="preserve">Ahora bien, por lo que hace a los recibos de pago, por una </w:t>
      </w:r>
      <w:r w:rsidR="00763003">
        <w:rPr>
          <w:rFonts w:eastAsia="Times New Roman" w:cs="Times New Roman"/>
          <w:iCs/>
          <w:color w:val="auto"/>
          <w:lang w:eastAsia="es-ES"/>
        </w:rPr>
        <w:t>parte,</w:t>
      </w:r>
      <w:r>
        <w:rPr>
          <w:rFonts w:eastAsia="Times New Roman" w:cs="Times New Roman"/>
          <w:iCs/>
          <w:color w:val="auto"/>
          <w:lang w:eastAsia="es-ES"/>
        </w:rPr>
        <w:t xml:space="preserve"> el Sujeto Obligado señaló que no contaba con estos, sin embargo, refirió </w:t>
      </w:r>
      <w:r w:rsidR="00893559">
        <w:rPr>
          <w:rFonts w:eastAsia="Times New Roman" w:cs="Times New Roman"/>
          <w:iCs/>
          <w:color w:val="auto"/>
          <w:lang w:eastAsia="es-ES"/>
        </w:rPr>
        <w:t>que,</w:t>
      </w:r>
      <w:r>
        <w:rPr>
          <w:rFonts w:eastAsia="Times New Roman" w:cs="Times New Roman"/>
          <w:iCs/>
          <w:color w:val="auto"/>
          <w:lang w:eastAsia="es-ES"/>
        </w:rPr>
        <w:t xml:space="preserve"> si contaba con los emitidos </w:t>
      </w:r>
      <w:r w:rsidR="00763003">
        <w:rPr>
          <w:rFonts w:eastAsia="Times New Roman" w:cs="Times New Roman"/>
          <w:iCs/>
          <w:color w:val="auto"/>
          <w:lang w:eastAsia="es-ES"/>
        </w:rPr>
        <w:t>por el Servicio de Administración Tributaria, tan es así, que proporcionó los recibos de pago de nómina de diversas quincenas de dos mil catorce, de dos mil quince y de dos mil dieciséis.</w:t>
      </w:r>
    </w:p>
    <w:p w14:paraId="15BD11B6" w14:textId="115D34FB" w:rsidR="00763003" w:rsidRDefault="00763003" w:rsidP="00893559">
      <w:pPr>
        <w:spacing w:after="0" w:line="360" w:lineRule="auto"/>
        <w:rPr>
          <w:rFonts w:eastAsia="Times New Roman" w:cs="Times New Roman"/>
          <w:iCs/>
          <w:color w:val="auto"/>
          <w:lang w:eastAsia="es-ES"/>
        </w:rPr>
      </w:pPr>
    </w:p>
    <w:p w14:paraId="3FC64E0F" w14:textId="15C15ECD" w:rsidR="00763003" w:rsidRDefault="00763003" w:rsidP="00893559">
      <w:pPr>
        <w:spacing w:after="0" w:line="360" w:lineRule="auto"/>
        <w:rPr>
          <w:rFonts w:eastAsia="Times New Roman" w:cs="Times New Roman"/>
          <w:iCs/>
          <w:color w:val="auto"/>
          <w:lang w:eastAsia="es-ES"/>
        </w:rPr>
      </w:pPr>
      <w:r>
        <w:rPr>
          <w:rFonts w:eastAsia="Times New Roman" w:cs="Times New Roman"/>
          <w:iCs/>
          <w:color w:val="auto"/>
          <w:lang w:eastAsia="es-ES"/>
        </w:rPr>
        <w:t xml:space="preserve">Por lo que, en el presente caso, se considera </w:t>
      </w:r>
      <w:r w:rsidR="00893559">
        <w:rPr>
          <w:rFonts w:eastAsia="Times New Roman" w:cs="Times New Roman"/>
          <w:iCs/>
          <w:color w:val="auto"/>
          <w:lang w:eastAsia="es-ES"/>
        </w:rPr>
        <w:t>que,</w:t>
      </w:r>
      <w:r>
        <w:rPr>
          <w:rFonts w:eastAsia="Times New Roman" w:cs="Times New Roman"/>
          <w:iCs/>
          <w:color w:val="auto"/>
          <w:lang w:eastAsia="es-ES"/>
        </w:rPr>
        <w:t xml:space="preserve"> para atender el requerimiento de información, deberá realizar una búsqueda exhaustiva y razonable en todos los archivos del Sujeto Obligado, a efecto de proporcionar los recibos de pago de nómina de la exservidora pública, emitidos del diecinueve de noviembre dos mil trece al treinta y uno de agosto de dos mil dieciséis, o en su caso, un documento análogo donde consten las remuneraciones de dicha persona.</w:t>
      </w:r>
    </w:p>
    <w:p w14:paraId="4A7B30F6" w14:textId="73123AAF" w:rsidR="003B3FA7" w:rsidRDefault="003B3FA7" w:rsidP="00893559">
      <w:pPr>
        <w:spacing w:after="0" w:line="360" w:lineRule="auto"/>
        <w:rPr>
          <w:rFonts w:eastAsia="Times New Roman" w:cs="Times New Roman"/>
          <w:iCs/>
          <w:color w:val="auto"/>
          <w:lang w:eastAsia="es-ES"/>
        </w:rPr>
      </w:pPr>
    </w:p>
    <w:p w14:paraId="2D7F137A" w14:textId="40598FAC" w:rsidR="00893559" w:rsidRPr="00893559" w:rsidRDefault="00893559" w:rsidP="00893559">
      <w:pPr>
        <w:widowControl w:val="0"/>
        <w:spacing w:after="0" w:line="360" w:lineRule="auto"/>
        <w:rPr>
          <w:rFonts w:eastAsia="Times New Roman" w:cs="Tahoma"/>
          <w:iCs/>
          <w:color w:val="auto"/>
          <w:lang w:val="es-ES" w:eastAsia="es-ES"/>
        </w:rPr>
      </w:pPr>
      <w:r>
        <w:rPr>
          <w:rFonts w:eastAsia="Calibri" w:cs="Times New Roman"/>
          <w:bCs/>
          <w:iCs/>
        </w:rPr>
        <w:t>D</w:t>
      </w:r>
      <w:r w:rsidRPr="00893559">
        <w:rPr>
          <w:rFonts w:eastAsia="Calibri" w:cs="Times New Roman"/>
          <w:bCs/>
          <w:iCs/>
        </w:rPr>
        <w:t>icha situación toma sustento en</w:t>
      </w:r>
      <w:r w:rsidRPr="00893559">
        <w:rPr>
          <w:rFonts w:eastAsia="Calibri" w:cs="Times New Roman"/>
          <w:bCs/>
        </w:rPr>
        <w:t xml:space="preserve"> el</w:t>
      </w:r>
      <w:r w:rsidRPr="00893559">
        <w:rPr>
          <w:rFonts w:eastAsia="Calibri" w:cs="Times New Roman"/>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893559">
        <w:rPr>
          <w:rFonts w:eastAsia="Times New Roman" w:cs="Tahoma"/>
          <w:iCs/>
          <w:color w:val="auto"/>
          <w:lang w:val="es-ES" w:eastAsia="es-ES"/>
        </w:rPr>
        <w:t>misma, ni presentarla conforme al interés del Solicitante.</w:t>
      </w:r>
    </w:p>
    <w:p w14:paraId="7F1AF899" w14:textId="77777777" w:rsidR="00893559" w:rsidRPr="00893559" w:rsidRDefault="00893559" w:rsidP="00893559">
      <w:pPr>
        <w:spacing w:after="0" w:line="360" w:lineRule="auto"/>
        <w:rPr>
          <w:rFonts w:eastAsia="Times New Roman" w:cs="Tahoma"/>
          <w:iCs/>
          <w:color w:val="auto"/>
          <w:lang w:val="es-ES" w:eastAsia="es-ES"/>
        </w:rPr>
      </w:pPr>
    </w:p>
    <w:p w14:paraId="48BFF826" w14:textId="77777777" w:rsidR="00893559" w:rsidRPr="00893559" w:rsidRDefault="00893559" w:rsidP="00893559">
      <w:pPr>
        <w:spacing w:after="0" w:line="360" w:lineRule="auto"/>
        <w:rPr>
          <w:rFonts w:eastAsia="Calibri" w:cs="Times New Roman"/>
        </w:rPr>
      </w:pPr>
      <w:r w:rsidRPr="00893559">
        <w:rPr>
          <w:rFonts w:eastAsia="Times New Roman" w:cs="Tahoma"/>
          <w:iCs/>
          <w:color w:val="auto"/>
          <w:lang w:val="es-ES" w:eastAsia="es-ES"/>
        </w:rPr>
        <w:t>De esta manera, el derecho de acceso a la información pública se satisface en aquellos casos en que se entregue el soporte documental en el que conste la información solicitada, sin necesidad</w:t>
      </w:r>
      <w:r w:rsidRPr="00893559">
        <w:rPr>
          <w:rFonts w:eastAsia="Calibri" w:cs="Times New Roman"/>
          <w:lang w:val="es-ES"/>
        </w:rPr>
        <w:t xml:space="preserve"> de elaborar documentos </w:t>
      </w:r>
      <w:r w:rsidRPr="00893559">
        <w:rPr>
          <w:rFonts w:eastAsia="Calibri" w:cs="Times New Roman"/>
          <w:i/>
        </w:rPr>
        <w:t>ad hoc</w:t>
      </w:r>
      <w:r w:rsidRPr="00893559">
        <w:rPr>
          <w:rFonts w:eastAsia="Calibri" w:cs="Times New Roman"/>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79F994F" w14:textId="77777777" w:rsidR="00893559" w:rsidRPr="00893559" w:rsidRDefault="00893559" w:rsidP="00893559">
      <w:pPr>
        <w:spacing w:after="0" w:line="360" w:lineRule="auto"/>
        <w:rPr>
          <w:rFonts w:eastAsia="Times New Roman" w:cs="Tahoma"/>
          <w:iCs/>
          <w:color w:val="auto"/>
          <w:lang w:eastAsia="es-ES"/>
        </w:rPr>
      </w:pPr>
    </w:p>
    <w:p w14:paraId="1D624C4E" w14:textId="36C06338" w:rsidR="003B3FA7" w:rsidRDefault="00893559" w:rsidP="00893559">
      <w:pPr>
        <w:spacing w:after="0" w:line="360" w:lineRule="auto"/>
        <w:rPr>
          <w:rFonts w:eastAsia="Calibri" w:cs="Times New Roman"/>
          <w:lang w:val="es-ES"/>
        </w:rPr>
      </w:pPr>
      <w:r w:rsidRPr="00893559">
        <w:rPr>
          <w:rFonts w:eastAsia="Calibri" w:cs="Times New Roman"/>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eastAsia="Calibri" w:cs="Times New Roman"/>
          <w:lang w:val="es-ES"/>
        </w:rPr>
        <w:t xml:space="preserve"> por lo que, en el presente caso, deberá proporcionar los recibos de pago de nómina o en su caso, el documento donde consten las remuneraciones de la exservidora pública.</w:t>
      </w:r>
    </w:p>
    <w:p w14:paraId="67FD4753" w14:textId="77777777" w:rsidR="00893559" w:rsidRDefault="00893559" w:rsidP="00893559">
      <w:pPr>
        <w:spacing w:after="0" w:line="360" w:lineRule="auto"/>
        <w:rPr>
          <w:rFonts w:eastAsia="Times New Roman" w:cs="Times New Roman"/>
          <w:iCs/>
          <w:color w:val="auto"/>
          <w:lang w:eastAsia="es-ES"/>
        </w:rPr>
      </w:pPr>
    </w:p>
    <w:p w14:paraId="63A5D15C" w14:textId="3539C37D" w:rsidR="00441B72" w:rsidRPr="00801CB0" w:rsidRDefault="00CB7743" w:rsidP="00893559">
      <w:pPr>
        <w:spacing w:after="0" w:line="360" w:lineRule="auto"/>
        <w:rPr>
          <w:rFonts w:eastAsia="Times New Roman" w:cs="Tahoma"/>
          <w:color w:val="auto"/>
          <w:lang w:val="x-none" w:eastAsia="es-ES"/>
        </w:rPr>
      </w:pPr>
      <w:r w:rsidRPr="00CB7743">
        <w:rPr>
          <w:rFonts w:eastAsia="Times New Roman" w:cs="Tahoma"/>
          <w:iCs/>
          <w:color w:val="000000"/>
          <w:lang w:eastAsia="es-ES"/>
        </w:rPr>
        <w:t>Ahora bien, del análisis de</w:t>
      </w:r>
      <w:r>
        <w:rPr>
          <w:rFonts w:eastAsia="Times New Roman" w:cs="Tahoma"/>
          <w:iCs/>
          <w:color w:val="000000"/>
          <w:lang w:eastAsia="es-ES"/>
        </w:rPr>
        <w:t xml:space="preserve"> </w:t>
      </w:r>
      <w:r w:rsidRPr="00CB7743">
        <w:rPr>
          <w:rFonts w:eastAsia="Times New Roman" w:cs="Tahoma"/>
          <w:iCs/>
          <w:color w:val="000000"/>
          <w:lang w:eastAsia="es-ES"/>
        </w:rPr>
        <w:t>l</w:t>
      </w:r>
      <w:r>
        <w:rPr>
          <w:rFonts w:eastAsia="Times New Roman" w:cs="Tahoma"/>
          <w:iCs/>
          <w:color w:val="000000"/>
          <w:lang w:eastAsia="es-ES"/>
        </w:rPr>
        <w:t>os</w:t>
      </w:r>
      <w:r w:rsidRPr="00CB7743">
        <w:rPr>
          <w:rFonts w:eastAsia="Times New Roman" w:cs="Tahoma"/>
          <w:iCs/>
          <w:color w:val="000000"/>
          <w:lang w:eastAsia="es-ES"/>
        </w:rPr>
        <w:t xml:space="preserve"> </w:t>
      </w:r>
      <w:r>
        <w:rPr>
          <w:rFonts w:eastAsia="Calibri" w:cs="Tahoma"/>
          <w:color w:val="000000"/>
        </w:rPr>
        <w:t>recibos de</w:t>
      </w:r>
      <w:r w:rsidR="00893559">
        <w:rPr>
          <w:rFonts w:eastAsia="Calibri" w:cs="Tahoma"/>
          <w:color w:val="000000"/>
        </w:rPr>
        <w:t xml:space="preserve"> pago de </w:t>
      </w:r>
      <w:r>
        <w:rPr>
          <w:rFonts w:eastAsia="Calibri" w:cs="Tahoma"/>
          <w:color w:val="000000"/>
        </w:rPr>
        <w:t xml:space="preserve">nómina, que remitió el Sujeto Obligado en el desahogo del Requerimiento de </w:t>
      </w:r>
      <w:r w:rsidR="00317A4B">
        <w:rPr>
          <w:rFonts w:eastAsia="Calibri" w:cs="Tahoma"/>
          <w:color w:val="000000"/>
        </w:rPr>
        <w:t>Información Adicional</w:t>
      </w:r>
      <w:r w:rsidRPr="00CB7743">
        <w:rPr>
          <w:rFonts w:eastAsia="Calibri" w:cs="Tahoma"/>
          <w:color w:val="000000"/>
        </w:rPr>
        <w:t>, se logra advertir que contiene diversos datos que podrían ser considerados confidenciales, a saber, los siguientes</w:t>
      </w:r>
      <w:r w:rsidR="00317A4B">
        <w:rPr>
          <w:rFonts w:eastAsia="Calibri" w:cs="Tahoma"/>
          <w:color w:val="000000"/>
        </w:rPr>
        <w:t>:</w:t>
      </w:r>
    </w:p>
    <w:p w14:paraId="6B073181" w14:textId="77777777" w:rsidR="00317A4B" w:rsidRPr="00317A4B" w:rsidRDefault="00317A4B" w:rsidP="00893559">
      <w:pPr>
        <w:spacing w:after="0" w:line="360" w:lineRule="auto"/>
        <w:rPr>
          <w:rFonts w:eastAsia="Calibri" w:cs="Tahoma"/>
          <w:color w:val="000000"/>
        </w:rPr>
      </w:pPr>
    </w:p>
    <w:p w14:paraId="0E030718" w14:textId="77777777" w:rsidR="00317A4B" w:rsidRPr="00317A4B" w:rsidRDefault="00317A4B" w:rsidP="00893559">
      <w:pPr>
        <w:numPr>
          <w:ilvl w:val="0"/>
          <w:numId w:val="13"/>
        </w:numPr>
        <w:spacing w:after="0" w:line="360" w:lineRule="auto"/>
        <w:rPr>
          <w:rFonts w:eastAsia="Calibri" w:cs="Tahoma"/>
          <w:bCs/>
          <w:color w:val="000000"/>
        </w:rPr>
      </w:pPr>
      <w:r w:rsidRPr="00317A4B">
        <w:rPr>
          <w:rFonts w:eastAsia="Calibri" w:cs="Tahoma"/>
          <w:bCs/>
          <w:color w:val="000000"/>
        </w:rPr>
        <w:t>Clave Única de Registro de Población (CURP);</w:t>
      </w:r>
    </w:p>
    <w:p w14:paraId="2533E67B" w14:textId="040D5B78" w:rsidR="00317A4B" w:rsidRDefault="00317A4B" w:rsidP="00893559">
      <w:pPr>
        <w:numPr>
          <w:ilvl w:val="0"/>
          <w:numId w:val="13"/>
        </w:numPr>
        <w:spacing w:after="0" w:line="360" w:lineRule="auto"/>
        <w:rPr>
          <w:rFonts w:eastAsia="Calibri" w:cs="Tahoma"/>
          <w:bCs/>
          <w:color w:val="000000"/>
        </w:rPr>
      </w:pPr>
      <w:r w:rsidRPr="00317A4B">
        <w:rPr>
          <w:rFonts w:eastAsia="Calibri" w:cs="Tahoma"/>
          <w:bCs/>
          <w:color w:val="000000"/>
        </w:rPr>
        <w:t>Registro Federal de Contribuyentes (RFC);</w:t>
      </w:r>
    </w:p>
    <w:p w14:paraId="0F7AC1E5" w14:textId="55578825" w:rsidR="00893559" w:rsidRPr="00317A4B" w:rsidRDefault="00893559" w:rsidP="00893559">
      <w:pPr>
        <w:numPr>
          <w:ilvl w:val="0"/>
          <w:numId w:val="13"/>
        </w:numPr>
        <w:spacing w:after="0" w:line="360" w:lineRule="auto"/>
        <w:rPr>
          <w:rFonts w:eastAsia="Calibri" w:cs="Tahoma"/>
          <w:bCs/>
          <w:color w:val="000000"/>
        </w:rPr>
      </w:pPr>
      <w:r>
        <w:rPr>
          <w:rFonts w:eastAsia="Calibri" w:cs="Tahoma"/>
          <w:bCs/>
          <w:color w:val="000000"/>
        </w:rPr>
        <w:t>Código Bidimensional o QR.</w:t>
      </w:r>
    </w:p>
    <w:p w14:paraId="531DD074" w14:textId="77777777" w:rsidR="00317A4B" w:rsidRPr="00317A4B" w:rsidRDefault="00317A4B" w:rsidP="00893559">
      <w:pPr>
        <w:numPr>
          <w:ilvl w:val="0"/>
          <w:numId w:val="13"/>
        </w:numPr>
        <w:spacing w:after="0" w:line="360" w:lineRule="auto"/>
        <w:rPr>
          <w:rFonts w:eastAsia="Calibri" w:cs="Tahoma"/>
          <w:bCs/>
          <w:color w:val="000000"/>
        </w:rPr>
      </w:pPr>
      <w:r w:rsidRPr="00317A4B">
        <w:rPr>
          <w:rFonts w:eastAsia="Calibri" w:cs="Tahoma"/>
          <w:bCs/>
          <w:color w:val="000000"/>
        </w:rPr>
        <w:t>Número de seguridad social del Instituto de Seguridad Social del Estado de México y Municipios, y</w:t>
      </w:r>
    </w:p>
    <w:p w14:paraId="39D2CED4" w14:textId="77777777" w:rsidR="00317A4B" w:rsidRPr="00317A4B" w:rsidRDefault="00317A4B" w:rsidP="00893559">
      <w:pPr>
        <w:numPr>
          <w:ilvl w:val="0"/>
          <w:numId w:val="13"/>
        </w:numPr>
        <w:spacing w:after="0" w:line="360" w:lineRule="auto"/>
        <w:rPr>
          <w:rFonts w:eastAsia="Calibri" w:cs="Tahoma"/>
          <w:bCs/>
          <w:color w:val="000000"/>
        </w:rPr>
      </w:pPr>
      <w:r w:rsidRPr="00317A4B">
        <w:rPr>
          <w:rFonts w:eastAsia="Calibri" w:cs="Tahoma"/>
          <w:bCs/>
          <w:color w:val="000000"/>
        </w:rPr>
        <w:t>Deducciones personales.</w:t>
      </w:r>
    </w:p>
    <w:p w14:paraId="675568F0" w14:textId="77777777" w:rsidR="00317A4B" w:rsidRPr="00317A4B" w:rsidRDefault="00317A4B" w:rsidP="00893559">
      <w:pPr>
        <w:spacing w:after="0" w:line="360" w:lineRule="auto"/>
        <w:rPr>
          <w:rFonts w:eastAsia="Times New Roman" w:cs="Tahoma"/>
          <w:iCs/>
          <w:color w:val="000000"/>
          <w:lang w:eastAsia="es-ES"/>
        </w:rPr>
      </w:pPr>
    </w:p>
    <w:p w14:paraId="52A7BBCB" w14:textId="77777777" w:rsidR="00317A4B" w:rsidRPr="00317A4B" w:rsidRDefault="00317A4B" w:rsidP="00893559">
      <w:pPr>
        <w:spacing w:after="0" w:line="360" w:lineRule="auto"/>
        <w:rPr>
          <w:rFonts w:eastAsia="Calibri" w:cs="Tahoma"/>
          <w:bCs/>
          <w:color w:val="000000"/>
        </w:rPr>
      </w:pPr>
      <w:r w:rsidRPr="00317A4B">
        <w:rPr>
          <w:rFonts w:eastAsia="Calibri" w:cs="Tahoma"/>
          <w:bCs/>
          <w:color w:val="000000"/>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7DC3736" w14:textId="77777777" w:rsidR="00317A4B" w:rsidRPr="00317A4B" w:rsidRDefault="00317A4B" w:rsidP="00893559">
      <w:pPr>
        <w:spacing w:after="0" w:line="360" w:lineRule="auto"/>
        <w:rPr>
          <w:rFonts w:eastAsia="Times New Roman" w:cs="Tahoma"/>
          <w:bCs/>
          <w:iCs/>
          <w:color w:val="auto"/>
          <w:lang w:eastAsia="es-ES"/>
        </w:rPr>
      </w:pPr>
    </w:p>
    <w:p w14:paraId="263ECBA4"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2170ED2" w14:textId="77777777" w:rsidR="00317A4B" w:rsidRPr="00317A4B" w:rsidRDefault="00317A4B" w:rsidP="00893559">
      <w:pPr>
        <w:spacing w:after="0" w:line="360" w:lineRule="auto"/>
        <w:rPr>
          <w:rFonts w:eastAsia="Times New Roman" w:cs="Tahoma"/>
          <w:bCs/>
          <w:iCs/>
          <w:color w:val="auto"/>
          <w:lang w:eastAsia="es-ES"/>
        </w:rPr>
      </w:pPr>
    </w:p>
    <w:p w14:paraId="59A069A0"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A010912" w14:textId="77777777" w:rsidR="00317A4B" w:rsidRPr="00317A4B" w:rsidRDefault="00317A4B" w:rsidP="00893559">
      <w:pPr>
        <w:spacing w:after="0" w:line="360" w:lineRule="auto"/>
        <w:rPr>
          <w:rFonts w:eastAsia="Times New Roman" w:cs="Tahoma"/>
          <w:bCs/>
          <w:iCs/>
          <w:color w:val="auto"/>
          <w:lang w:eastAsia="es-ES"/>
        </w:rPr>
      </w:pPr>
    </w:p>
    <w:p w14:paraId="14C5F19A"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8D25061" w14:textId="77777777" w:rsidR="00317A4B" w:rsidRPr="00317A4B" w:rsidRDefault="00317A4B" w:rsidP="00893559">
      <w:pPr>
        <w:spacing w:after="0" w:line="360" w:lineRule="auto"/>
        <w:rPr>
          <w:rFonts w:eastAsia="Times New Roman" w:cs="Tahoma"/>
          <w:bCs/>
          <w:iCs/>
          <w:color w:val="auto"/>
          <w:lang w:eastAsia="es-ES"/>
        </w:rPr>
      </w:pPr>
    </w:p>
    <w:p w14:paraId="07624BE5"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1063B93" w14:textId="77777777" w:rsidR="00317A4B" w:rsidRPr="00317A4B" w:rsidRDefault="00317A4B" w:rsidP="00893559">
      <w:pPr>
        <w:spacing w:after="0" w:line="360" w:lineRule="auto"/>
        <w:rPr>
          <w:rFonts w:eastAsia="Times New Roman" w:cs="Tahoma"/>
          <w:bCs/>
          <w:iCs/>
          <w:color w:val="auto"/>
          <w:lang w:eastAsia="es-ES"/>
        </w:rPr>
      </w:pPr>
    </w:p>
    <w:p w14:paraId="472856C3"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19540F1" w14:textId="77777777" w:rsidR="00317A4B" w:rsidRPr="00317A4B" w:rsidRDefault="00317A4B" w:rsidP="00893559">
      <w:pPr>
        <w:spacing w:after="0" w:line="360" w:lineRule="auto"/>
        <w:rPr>
          <w:rFonts w:eastAsia="Times New Roman" w:cs="Tahoma"/>
          <w:bCs/>
          <w:iCs/>
          <w:color w:val="auto"/>
          <w:lang w:eastAsia="es-ES"/>
        </w:rPr>
      </w:pPr>
    </w:p>
    <w:p w14:paraId="05E9500C"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En términos de lo expuesto, la documentación y aquellos datos que se consideren confidenciales, serán una limitante del derecho de acceso a la información, siempre y cuando:</w:t>
      </w:r>
    </w:p>
    <w:p w14:paraId="62B07E73" w14:textId="77777777" w:rsidR="00317A4B" w:rsidRPr="00317A4B" w:rsidRDefault="00317A4B" w:rsidP="00893559">
      <w:pPr>
        <w:spacing w:after="0" w:line="360" w:lineRule="auto"/>
        <w:rPr>
          <w:rFonts w:eastAsia="Times New Roman" w:cs="Tahoma"/>
          <w:bCs/>
          <w:iCs/>
          <w:color w:val="auto"/>
          <w:lang w:eastAsia="es-ES"/>
        </w:rPr>
      </w:pPr>
    </w:p>
    <w:p w14:paraId="27EFF46B" w14:textId="77777777" w:rsidR="00317A4B" w:rsidRPr="00317A4B" w:rsidRDefault="00317A4B" w:rsidP="00893559">
      <w:pPr>
        <w:numPr>
          <w:ilvl w:val="0"/>
          <w:numId w:val="12"/>
        </w:num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Se trate de datos personales o información privada; esto es, información concerniente a una persona física o jurídico colectiva y que esta sea identificada o identificable. </w:t>
      </w:r>
    </w:p>
    <w:p w14:paraId="3B808344" w14:textId="77777777" w:rsidR="00317A4B" w:rsidRPr="00317A4B" w:rsidRDefault="00317A4B" w:rsidP="00893559">
      <w:pPr>
        <w:spacing w:after="0" w:line="360" w:lineRule="auto"/>
        <w:rPr>
          <w:rFonts w:eastAsia="Times New Roman" w:cs="Tahoma"/>
          <w:bCs/>
          <w:iCs/>
          <w:color w:val="auto"/>
          <w:lang w:eastAsia="es-ES"/>
        </w:rPr>
      </w:pPr>
    </w:p>
    <w:p w14:paraId="4C388BBD" w14:textId="77777777" w:rsidR="00317A4B" w:rsidRPr="00317A4B" w:rsidRDefault="00317A4B" w:rsidP="00893559">
      <w:pPr>
        <w:numPr>
          <w:ilvl w:val="0"/>
          <w:numId w:val="12"/>
        </w:num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Para la difusión de los datos, se requiera el consentimiento del titular. </w:t>
      </w:r>
    </w:p>
    <w:p w14:paraId="3055A8CE" w14:textId="77777777" w:rsidR="00317A4B" w:rsidRPr="00317A4B" w:rsidRDefault="00317A4B" w:rsidP="00893559">
      <w:pPr>
        <w:spacing w:after="0" w:line="360" w:lineRule="auto"/>
        <w:rPr>
          <w:rFonts w:eastAsia="Times New Roman" w:cs="Tahoma"/>
          <w:bCs/>
          <w:iCs/>
          <w:color w:val="auto"/>
          <w:lang w:eastAsia="es-ES"/>
        </w:rPr>
      </w:pPr>
    </w:p>
    <w:p w14:paraId="6139A3D3"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B4ED04F" w14:textId="77777777" w:rsidR="00317A4B" w:rsidRPr="00317A4B" w:rsidRDefault="00317A4B" w:rsidP="00893559">
      <w:pPr>
        <w:spacing w:after="0" w:line="360" w:lineRule="auto"/>
        <w:rPr>
          <w:rFonts w:eastAsia="Times New Roman" w:cs="Tahoma"/>
          <w:bCs/>
          <w:iCs/>
          <w:color w:val="auto"/>
          <w:lang w:eastAsia="es-ES"/>
        </w:rPr>
      </w:pPr>
    </w:p>
    <w:p w14:paraId="199A4DCE"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FA788EA" w14:textId="77777777" w:rsidR="00317A4B" w:rsidRPr="00317A4B" w:rsidRDefault="00317A4B" w:rsidP="00893559">
      <w:pPr>
        <w:spacing w:after="0" w:line="360" w:lineRule="auto"/>
        <w:rPr>
          <w:rFonts w:eastAsia="Times New Roman" w:cs="Tahoma"/>
          <w:bCs/>
          <w:iCs/>
          <w:color w:val="auto"/>
          <w:lang w:eastAsia="es-ES"/>
        </w:rPr>
      </w:pPr>
    </w:p>
    <w:p w14:paraId="693C51DF"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A1DC22F" w14:textId="77777777" w:rsidR="00317A4B" w:rsidRPr="00317A4B" w:rsidRDefault="00317A4B" w:rsidP="00893559">
      <w:pPr>
        <w:spacing w:after="0" w:line="360" w:lineRule="auto"/>
        <w:rPr>
          <w:rFonts w:eastAsia="Times New Roman" w:cs="Tahoma"/>
          <w:bCs/>
          <w:iCs/>
          <w:color w:val="auto"/>
          <w:lang w:eastAsia="es-ES"/>
        </w:rPr>
      </w:pPr>
    </w:p>
    <w:p w14:paraId="72AF6DAC"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F0F4F34" w14:textId="77777777" w:rsidR="00317A4B" w:rsidRPr="00317A4B" w:rsidRDefault="00317A4B" w:rsidP="00893559">
      <w:pPr>
        <w:spacing w:after="0" w:line="360" w:lineRule="auto"/>
        <w:rPr>
          <w:rFonts w:eastAsia="Times New Roman" w:cs="Tahoma"/>
          <w:bCs/>
          <w:iCs/>
          <w:color w:val="auto"/>
          <w:lang w:eastAsia="es-ES"/>
        </w:rPr>
      </w:pPr>
    </w:p>
    <w:p w14:paraId="195E5123"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De tal suerte, las instituciones públicas tienen la doble responsabilidad, por un lado, de proteger los datos personales y por otro, darles publicidad cuando la relevancia de esos datos sea de interés público.</w:t>
      </w:r>
    </w:p>
    <w:p w14:paraId="525B7DFC" w14:textId="77777777" w:rsidR="00317A4B" w:rsidRPr="00317A4B" w:rsidRDefault="00317A4B" w:rsidP="00893559">
      <w:pPr>
        <w:spacing w:after="0" w:line="360" w:lineRule="auto"/>
        <w:rPr>
          <w:rFonts w:eastAsia="Times New Roman" w:cs="Tahoma"/>
          <w:bCs/>
          <w:iCs/>
          <w:color w:val="auto"/>
          <w:lang w:eastAsia="es-ES"/>
        </w:rPr>
      </w:pPr>
    </w:p>
    <w:p w14:paraId="1AFD1753"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A747868" w14:textId="77777777" w:rsidR="00317A4B" w:rsidRPr="00317A4B" w:rsidRDefault="00317A4B" w:rsidP="00893559">
      <w:pPr>
        <w:spacing w:after="0" w:line="360" w:lineRule="auto"/>
        <w:rPr>
          <w:rFonts w:eastAsia="Times New Roman" w:cs="Tahoma"/>
          <w:bCs/>
          <w:iCs/>
          <w:color w:val="auto"/>
          <w:lang w:eastAsia="es-ES"/>
        </w:rPr>
      </w:pPr>
    </w:p>
    <w:p w14:paraId="613C22E4"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B13816F" w14:textId="77777777" w:rsidR="00317A4B" w:rsidRPr="00317A4B" w:rsidRDefault="00317A4B" w:rsidP="00893559">
      <w:pPr>
        <w:spacing w:after="0" w:line="360" w:lineRule="auto"/>
        <w:rPr>
          <w:rFonts w:eastAsia="Times New Roman" w:cs="Tahoma"/>
          <w:bCs/>
          <w:iCs/>
          <w:color w:val="auto"/>
          <w:lang w:eastAsia="es-ES"/>
        </w:rPr>
      </w:pPr>
    </w:p>
    <w:p w14:paraId="16595BCA"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D230D66" w14:textId="77777777" w:rsidR="00317A4B" w:rsidRPr="00317A4B" w:rsidRDefault="00317A4B" w:rsidP="00893559">
      <w:pPr>
        <w:spacing w:after="0" w:line="360" w:lineRule="auto"/>
        <w:rPr>
          <w:rFonts w:eastAsia="Times New Roman" w:cs="Tahoma"/>
          <w:bCs/>
          <w:iCs/>
          <w:color w:val="auto"/>
          <w:lang w:eastAsia="es-ES"/>
        </w:rPr>
      </w:pPr>
    </w:p>
    <w:p w14:paraId="44C60B06" w14:textId="77777777" w:rsidR="00317A4B" w:rsidRPr="00317A4B" w:rsidRDefault="00317A4B" w:rsidP="00893559">
      <w:pPr>
        <w:spacing w:after="0" w:line="360" w:lineRule="auto"/>
        <w:rPr>
          <w:rFonts w:eastAsia="Calibri" w:cs="Tahoma"/>
          <w:bCs/>
          <w:color w:val="000000"/>
        </w:rPr>
      </w:pPr>
      <w:r w:rsidRPr="00317A4B">
        <w:rPr>
          <w:rFonts w:eastAsia="Calibri" w:cs="Tahoma"/>
          <w:bCs/>
          <w:color w:val="000000"/>
        </w:rPr>
        <w:t>Bajo ese contexto, se analizarán si los datos mencionados, deben ser considerados confidenciales, en términos del artículo 143, fracción I, de la Ley de Transparencia y Acceso a la Información Pública del Estado de México y Municipios, o públicos.</w:t>
      </w:r>
    </w:p>
    <w:p w14:paraId="7CA1C084" w14:textId="77777777" w:rsidR="00317A4B" w:rsidRPr="00317A4B" w:rsidRDefault="00317A4B" w:rsidP="00893559">
      <w:pPr>
        <w:spacing w:after="0" w:line="360" w:lineRule="auto"/>
        <w:rPr>
          <w:rFonts w:eastAsia="Times New Roman" w:cs="Tahoma"/>
          <w:color w:val="000000"/>
          <w:lang w:eastAsia="es-ES"/>
        </w:rPr>
      </w:pPr>
    </w:p>
    <w:p w14:paraId="646371E6" w14:textId="77777777" w:rsidR="00317A4B" w:rsidRPr="00317A4B" w:rsidRDefault="00317A4B" w:rsidP="00893559">
      <w:pPr>
        <w:numPr>
          <w:ilvl w:val="0"/>
          <w:numId w:val="10"/>
        </w:numPr>
        <w:spacing w:after="0" w:line="360" w:lineRule="auto"/>
        <w:jc w:val="left"/>
        <w:rPr>
          <w:rFonts w:eastAsia="Calibri" w:cs="Tahoma"/>
          <w:b/>
          <w:bCs/>
          <w:iCs/>
          <w:color w:val="000000"/>
        </w:rPr>
      </w:pPr>
      <w:r w:rsidRPr="00317A4B">
        <w:rPr>
          <w:rFonts w:eastAsia="Calibri" w:cs="Tahoma"/>
          <w:b/>
          <w:bCs/>
          <w:iCs/>
          <w:color w:val="000000"/>
        </w:rPr>
        <w:t>Clave de seguridad social del Instituto de Seguridad Social del Estado de México y Municipios.</w:t>
      </w:r>
    </w:p>
    <w:p w14:paraId="56157EC3" w14:textId="77777777" w:rsidR="00317A4B" w:rsidRPr="00317A4B" w:rsidRDefault="00317A4B" w:rsidP="00893559">
      <w:pPr>
        <w:spacing w:after="0" w:line="360" w:lineRule="auto"/>
        <w:rPr>
          <w:rFonts w:eastAsia="Calibri" w:cs="Tahoma"/>
          <w:b/>
          <w:bCs/>
          <w:iCs/>
          <w:color w:val="000000"/>
        </w:rPr>
      </w:pPr>
    </w:p>
    <w:p w14:paraId="11ACE27F"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79EBF1" w14:textId="77777777" w:rsidR="00317A4B" w:rsidRPr="00317A4B" w:rsidRDefault="00317A4B" w:rsidP="00893559">
      <w:pPr>
        <w:spacing w:after="0" w:line="360" w:lineRule="auto"/>
        <w:rPr>
          <w:rFonts w:eastAsia="Calibri" w:cs="Tahoma"/>
          <w:bCs/>
          <w:iCs/>
          <w:color w:val="000000"/>
        </w:rPr>
      </w:pPr>
    </w:p>
    <w:p w14:paraId="505D532B"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317A4B">
        <w:rPr>
          <w:rFonts w:eastAsia="Calibri" w:cs="Tahoma"/>
          <w:b/>
          <w:bCs/>
          <w:iCs/>
          <w:color w:val="000000"/>
        </w:rPr>
        <w:t>y se le asigna una clave para hacer identificable al trabajador con el objetivo de poder proporcionar los servicios que brinda el Instituto de Seguridad Social del Estado de México y Municipios.</w:t>
      </w:r>
    </w:p>
    <w:p w14:paraId="274C7190" w14:textId="77777777" w:rsidR="00317A4B" w:rsidRPr="00317A4B" w:rsidRDefault="00317A4B" w:rsidP="00893559">
      <w:pPr>
        <w:spacing w:after="0" w:line="360" w:lineRule="auto"/>
        <w:rPr>
          <w:rFonts w:eastAsia="Calibri" w:cs="Tahoma"/>
          <w:bCs/>
          <w:iCs/>
          <w:color w:val="000000"/>
        </w:rPr>
      </w:pPr>
    </w:p>
    <w:p w14:paraId="3AAD6C17"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A1892D6" w14:textId="77777777" w:rsidR="00317A4B" w:rsidRPr="00317A4B" w:rsidRDefault="00317A4B" w:rsidP="00893559">
      <w:pPr>
        <w:spacing w:after="0" w:line="360" w:lineRule="auto"/>
        <w:rPr>
          <w:rFonts w:eastAsia="Calibri" w:cs="Tahoma"/>
          <w:bCs/>
          <w:iCs/>
          <w:color w:val="000000"/>
        </w:rPr>
      </w:pPr>
    </w:p>
    <w:p w14:paraId="0BC5E57A"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201229B" w14:textId="77777777" w:rsidR="00317A4B" w:rsidRPr="00317A4B" w:rsidRDefault="00317A4B" w:rsidP="00893559">
      <w:pPr>
        <w:spacing w:after="0" w:line="360" w:lineRule="auto"/>
        <w:rPr>
          <w:rFonts w:eastAsia="Calibri" w:cs="Tahoma"/>
          <w:bCs/>
          <w:iCs/>
          <w:color w:val="000000"/>
          <w:lang w:val="es-ES"/>
        </w:rPr>
      </w:pPr>
    </w:p>
    <w:p w14:paraId="4099715F" w14:textId="77777777" w:rsidR="00317A4B" w:rsidRPr="00317A4B" w:rsidRDefault="00317A4B" w:rsidP="00893559">
      <w:pPr>
        <w:numPr>
          <w:ilvl w:val="0"/>
          <w:numId w:val="10"/>
        </w:numPr>
        <w:spacing w:after="0" w:line="360" w:lineRule="auto"/>
        <w:jc w:val="left"/>
        <w:rPr>
          <w:rFonts w:eastAsia="Calibri" w:cs="Tahoma"/>
          <w:b/>
          <w:bCs/>
          <w:iCs/>
          <w:color w:val="000000"/>
          <w:lang w:val="es-ES_tradnl"/>
        </w:rPr>
      </w:pPr>
      <w:r w:rsidRPr="00317A4B">
        <w:rPr>
          <w:rFonts w:eastAsia="Calibri" w:cs="Tahoma"/>
          <w:b/>
          <w:bCs/>
          <w:iCs/>
          <w:color w:val="000000"/>
        </w:rPr>
        <w:t>C</w:t>
      </w:r>
      <w:r w:rsidRPr="00317A4B">
        <w:rPr>
          <w:rFonts w:eastAsia="Calibri" w:cs="Tahoma"/>
          <w:b/>
          <w:bCs/>
          <w:iCs/>
          <w:color w:val="000000"/>
          <w:lang w:val="es-ES_tradnl"/>
        </w:rPr>
        <w:t>lave Única de Registro de Población (CURP).</w:t>
      </w:r>
    </w:p>
    <w:p w14:paraId="599F13EA" w14:textId="77777777" w:rsidR="00317A4B" w:rsidRPr="00317A4B" w:rsidRDefault="00317A4B" w:rsidP="00893559">
      <w:pPr>
        <w:spacing w:after="0" w:line="360" w:lineRule="auto"/>
        <w:rPr>
          <w:rFonts w:eastAsia="Calibri" w:cs="Tahoma"/>
          <w:bCs/>
          <w:iCs/>
          <w:color w:val="000000"/>
        </w:rPr>
      </w:pPr>
    </w:p>
    <w:p w14:paraId="46CBE002"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65D8B10" w14:textId="77777777" w:rsidR="00317A4B" w:rsidRPr="00317A4B" w:rsidRDefault="00317A4B" w:rsidP="00893559">
      <w:pPr>
        <w:spacing w:after="0" w:line="360" w:lineRule="auto"/>
        <w:rPr>
          <w:rFonts w:eastAsia="Calibri" w:cs="Tahoma"/>
          <w:bCs/>
          <w:iCs/>
          <w:color w:val="000000"/>
        </w:rPr>
      </w:pPr>
    </w:p>
    <w:p w14:paraId="1DACB297"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54C132A" w14:textId="77777777" w:rsidR="00317A4B" w:rsidRPr="00317A4B" w:rsidRDefault="00317A4B" w:rsidP="00893559">
      <w:pPr>
        <w:spacing w:after="0" w:line="360" w:lineRule="auto"/>
        <w:rPr>
          <w:rFonts w:eastAsia="Calibri" w:cs="Tahoma"/>
          <w:bCs/>
          <w:iCs/>
          <w:color w:val="000000"/>
        </w:rPr>
      </w:pPr>
    </w:p>
    <w:p w14:paraId="5287F099" w14:textId="5EA9CCF4" w:rsidR="00317A4B" w:rsidRPr="00317A4B" w:rsidRDefault="00317A4B" w:rsidP="00893559">
      <w:pPr>
        <w:spacing w:after="0" w:line="360" w:lineRule="auto"/>
        <w:contextualSpacing/>
        <w:rPr>
          <w:rFonts w:eastAsia="Times New Roman" w:cs="Tahoma"/>
          <w:color w:val="000000"/>
          <w:lang w:eastAsia="es-MX"/>
        </w:rPr>
      </w:pPr>
      <w:r w:rsidRPr="00317A4B">
        <w:rPr>
          <w:rFonts w:eastAsia="Times New Roman" w:cs="Tahoma"/>
          <w:color w:val="000000"/>
          <w:lang w:eastAsia="es-MX"/>
        </w:rPr>
        <w:t xml:space="preserve">En ese orden de ideas, la Secretaría de Gobernación en las direcciones </w:t>
      </w:r>
      <w:hyperlink r:id="rId9" w:history="1">
        <w:r w:rsidRPr="00317A4B">
          <w:rPr>
            <w:rFonts w:eastAsia="Times New Roman" w:cs="Tahoma"/>
            <w:color w:val="000000"/>
            <w:u w:val="single"/>
            <w:lang w:eastAsia="es-MX"/>
          </w:rPr>
          <w:t>https://consultas.curp.gob.mx/CurpSP/html/informacionecurpPS.html</w:t>
        </w:r>
      </w:hyperlink>
      <w:r w:rsidRPr="00317A4B">
        <w:rPr>
          <w:rFonts w:eastAsia="Times New Roman" w:cs="Tahoma"/>
          <w:color w:val="000000"/>
          <w:lang w:eastAsia="es-MX"/>
        </w:rPr>
        <w:t xml:space="preserve"> y </w:t>
      </w:r>
      <w:hyperlink r:id="rId10" w:history="1">
        <w:r w:rsidRPr="00317A4B">
          <w:rPr>
            <w:rFonts w:eastAsia="Times New Roman" w:cs="Tahoma"/>
            <w:color w:val="000000"/>
            <w:u w:val="single"/>
            <w:lang w:eastAsia="es-MX"/>
          </w:rPr>
          <w:t>https://www.gob.mx/segob/renapo/acciones-y-programas/clave-unica-de-registro-de-poblacion-curp-142226</w:t>
        </w:r>
      </w:hyperlink>
      <w:r w:rsidRPr="00317A4B">
        <w:rPr>
          <w:rFonts w:eastAsia="Times New Roman" w:cs="Tahoma"/>
          <w:color w:val="000000"/>
          <w:lang w:eastAsia="es-MX"/>
        </w:rPr>
        <w:t xml:space="preserve"> (consultadas el </w:t>
      </w:r>
      <w:r w:rsidR="007C1F01">
        <w:rPr>
          <w:rFonts w:eastAsia="Times New Roman" w:cs="Tahoma"/>
          <w:color w:val="000000"/>
          <w:lang w:eastAsia="es-MX"/>
        </w:rPr>
        <w:t>catorce</w:t>
      </w:r>
      <w:r w:rsidRPr="00317A4B">
        <w:rPr>
          <w:rFonts w:eastAsia="Times New Roman" w:cs="Tahoma"/>
          <w:color w:val="000000"/>
          <w:lang w:eastAsia="es-MX"/>
        </w:rPr>
        <w:t xml:space="preserve"> de </w:t>
      </w:r>
      <w:r w:rsidR="007C1F01">
        <w:rPr>
          <w:rFonts w:eastAsia="Times New Roman" w:cs="Tahoma"/>
          <w:color w:val="000000"/>
          <w:lang w:eastAsia="es-MX"/>
        </w:rPr>
        <w:t>marzo</w:t>
      </w:r>
      <w:r w:rsidRPr="00317A4B">
        <w:rPr>
          <w:rFonts w:eastAsia="Times New Roman" w:cs="Tahoma"/>
          <w:color w:val="000000"/>
          <w:lang w:eastAsia="es-MX"/>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17A4B">
        <w:rPr>
          <w:rFonts w:eastAsia="Times New Roman" w:cs="Tahoma"/>
          <w:b/>
          <w:color w:val="000000"/>
          <w:lang w:eastAsia="es-MX"/>
        </w:rPr>
        <w:t>se generan a partir de los datos contenidos en el documento probatorio de la identidad</w:t>
      </w:r>
      <w:r w:rsidRPr="00317A4B">
        <w:rPr>
          <w:rFonts w:eastAsia="Times New Roman" w:cs="Tahoma"/>
          <w:color w:val="000000"/>
          <w:lang w:eastAsia="es-MX"/>
        </w:rPr>
        <w:t xml:space="preserve"> </w:t>
      </w:r>
      <w:r w:rsidRPr="00317A4B">
        <w:rPr>
          <w:rFonts w:eastAsia="Times New Roman" w:cs="Tahoma"/>
          <w:b/>
          <w:color w:val="000000"/>
          <w:lang w:eastAsia="es-MX"/>
        </w:rPr>
        <w:t xml:space="preserve">del interesado </w:t>
      </w:r>
      <w:r w:rsidRPr="00317A4B">
        <w:rPr>
          <w:rFonts w:eastAsia="Times New Roman" w:cs="Tahoma"/>
          <w:color w:val="000000"/>
          <w:lang w:eastAsia="es-MX"/>
        </w:rPr>
        <w:t>(acta de nacimiento, carta de naturalización o documento migratorio) de la siguiente forma:</w:t>
      </w:r>
    </w:p>
    <w:p w14:paraId="4425FC37" w14:textId="77777777" w:rsidR="00317A4B" w:rsidRPr="00317A4B" w:rsidRDefault="00317A4B" w:rsidP="00893559">
      <w:pPr>
        <w:spacing w:after="0" w:line="360" w:lineRule="auto"/>
        <w:rPr>
          <w:rFonts w:eastAsia="Calibri" w:cs="Tahoma"/>
          <w:bCs/>
          <w:iCs/>
          <w:color w:val="000000"/>
        </w:rPr>
      </w:pPr>
    </w:p>
    <w:p w14:paraId="0049B3A2" w14:textId="77777777" w:rsidR="00317A4B" w:rsidRPr="00317A4B" w:rsidRDefault="00317A4B" w:rsidP="00893559">
      <w:pPr>
        <w:numPr>
          <w:ilvl w:val="0"/>
          <w:numId w:val="11"/>
        </w:numPr>
        <w:spacing w:after="0" w:line="360" w:lineRule="auto"/>
        <w:contextualSpacing/>
        <w:jc w:val="left"/>
        <w:rPr>
          <w:rFonts w:eastAsia="Calibri" w:cs="Tahoma"/>
          <w:bCs/>
          <w:iCs/>
          <w:color w:val="000000"/>
        </w:rPr>
      </w:pPr>
      <w:r w:rsidRPr="00317A4B">
        <w:rPr>
          <w:rFonts w:eastAsia="Calibri" w:cs="Tahoma"/>
          <w:bCs/>
          <w:iCs/>
          <w:color w:val="000000"/>
        </w:rPr>
        <w:t>El primero y segundo apellidos, así como al nombre de pila;</w:t>
      </w:r>
    </w:p>
    <w:p w14:paraId="267D05AD" w14:textId="77777777" w:rsidR="00317A4B" w:rsidRPr="00317A4B" w:rsidRDefault="00317A4B" w:rsidP="00893559">
      <w:pPr>
        <w:numPr>
          <w:ilvl w:val="0"/>
          <w:numId w:val="11"/>
        </w:numPr>
        <w:spacing w:after="0" w:line="360" w:lineRule="auto"/>
        <w:contextualSpacing/>
        <w:jc w:val="left"/>
        <w:rPr>
          <w:rFonts w:eastAsia="Calibri" w:cs="Tahoma"/>
          <w:bCs/>
          <w:iCs/>
          <w:color w:val="000000"/>
        </w:rPr>
      </w:pPr>
      <w:r w:rsidRPr="00317A4B">
        <w:rPr>
          <w:rFonts w:eastAsia="Calibri" w:cs="Tahoma"/>
          <w:bCs/>
          <w:iCs/>
          <w:color w:val="000000"/>
        </w:rPr>
        <w:t>La fecha de nacimiento;</w:t>
      </w:r>
    </w:p>
    <w:p w14:paraId="254F7DB1" w14:textId="77777777" w:rsidR="00317A4B" w:rsidRPr="00317A4B" w:rsidRDefault="00317A4B" w:rsidP="00893559">
      <w:pPr>
        <w:numPr>
          <w:ilvl w:val="0"/>
          <w:numId w:val="11"/>
        </w:numPr>
        <w:spacing w:after="0" w:line="360" w:lineRule="auto"/>
        <w:contextualSpacing/>
        <w:jc w:val="left"/>
        <w:rPr>
          <w:rFonts w:eastAsia="Calibri" w:cs="Tahoma"/>
          <w:bCs/>
          <w:iCs/>
          <w:color w:val="000000"/>
        </w:rPr>
      </w:pPr>
      <w:r w:rsidRPr="00317A4B">
        <w:rPr>
          <w:rFonts w:eastAsia="Calibri" w:cs="Tahoma"/>
          <w:bCs/>
          <w:iCs/>
          <w:color w:val="000000"/>
        </w:rPr>
        <w:t>El sexo, y</w:t>
      </w:r>
    </w:p>
    <w:p w14:paraId="7595A7DE" w14:textId="77777777" w:rsidR="00317A4B" w:rsidRPr="00317A4B" w:rsidRDefault="00317A4B" w:rsidP="00893559">
      <w:pPr>
        <w:numPr>
          <w:ilvl w:val="0"/>
          <w:numId w:val="11"/>
        </w:numPr>
        <w:spacing w:after="0" w:line="360" w:lineRule="auto"/>
        <w:contextualSpacing/>
        <w:jc w:val="left"/>
        <w:rPr>
          <w:rFonts w:eastAsia="Calibri" w:cs="Tahoma"/>
          <w:bCs/>
          <w:iCs/>
          <w:color w:val="000000"/>
        </w:rPr>
      </w:pPr>
      <w:r w:rsidRPr="00317A4B">
        <w:rPr>
          <w:rFonts w:eastAsia="Calibri" w:cs="Tahoma"/>
          <w:bCs/>
          <w:iCs/>
          <w:color w:val="000000"/>
        </w:rPr>
        <w:t>La entidad federativa de nacimiento.</w:t>
      </w:r>
    </w:p>
    <w:p w14:paraId="0955F52D" w14:textId="77777777" w:rsidR="00317A4B" w:rsidRPr="00317A4B" w:rsidRDefault="00317A4B" w:rsidP="00893559">
      <w:pPr>
        <w:spacing w:after="0" w:line="360" w:lineRule="auto"/>
        <w:rPr>
          <w:rFonts w:eastAsia="Calibri" w:cs="Tahoma"/>
          <w:bCs/>
          <w:iCs/>
          <w:color w:val="000000"/>
        </w:rPr>
      </w:pPr>
    </w:p>
    <w:p w14:paraId="41AB66D6"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794EF04" w14:textId="77777777" w:rsidR="00317A4B" w:rsidRPr="00317A4B" w:rsidRDefault="00317A4B" w:rsidP="00893559">
      <w:pPr>
        <w:spacing w:after="0" w:line="360" w:lineRule="auto"/>
        <w:rPr>
          <w:rFonts w:eastAsia="Calibri" w:cs="Tahoma"/>
          <w:bCs/>
          <w:iCs/>
          <w:color w:val="000000"/>
        </w:rPr>
      </w:pPr>
    </w:p>
    <w:p w14:paraId="57A24D09"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Situación que se robustece, con el Criterio 18/17, emitido por el Instituto Nacional de Transparencia, Acceso a la Información y Protección de Datos Personales, que establece lo siguiente:</w:t>
      </w:r>
    </w:p>
    <w:p w14:paraId="08723148" w14:textId="77777777" w:rsidR="00317A4B" w:rsidRPr="00317A4B" w:rsidRDefault="00317A4B" w:rsidP="00893559">
      <w:pPr>
        <w:spacing w:after="0" w:line="360" w:lineRule="auto"/>
        <w:rPr>
          <w:rFonts w:eastAsia="Calibri" w:cs="Tahoma"/>
          <w:bCs/>
          <w:iCs/>
          <w:color w:val="000000"/>
        </w:rPr>
      </w:pPr>
    </w:p>
    <w:p w14:paraId="1FD956EC" w14:textId="77777777" w:rsidR="00317A4B" w:rsidRPr="00317A4B" w:rsidRDefault="00317A4B" w:rsidP="00893559">
      <w:pPr>
        <w:spacing w:after="0" w:line="360" w:lineRule="auto"/>
        <w:ind w:left="567"/>
        <w:rPr>
          <w:rFonts w:eastAsia="Calibri" w:cs="Tahoma"/>
          <w:bCs/>
          <w:i/>
          <w:iCs/>
          <w:color w:val="000000"/>
          <w:sz w:val="20"/>
          <w:szCs w:val="20"/>
        </w:rPr>
      </w:pPr>
      <w:r w:rsidRPr="00317A4B">
        <w:rPr>
          <w:rFonts w:eastAsia="Calibri" w:cs="Tahoma"/>
          <w:b/>
          <w:bCs/>
          <w:i/>
          <w:iCs/>
          <w:color w:val="000000"/>
          <w:sz w:val="20"/>
          <w:szCs w:val="20"/>
        </w:rPr>
        <w:t xml:space="preserve">“Clave Única de Registro de Población (CURP). </w:t>
      </w:r>
      <w:r w:rsidRPr="00317A4B">
        <w:rPr>
          <w:rFonts w:eastAsia="Calibri" w:cs="Tahoma"/>
          <w:bCs/>
          <w:i/>
          <w:iCs/>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FE86550" w14:textId="77777777" w:rsidR="00317A4B" w:rsidRPr="00317A4B" w:rsidRDefault="00317A4B" w:rsidP="00893559">
      <w:pPr>
        <w:spacing w:after="0" w:line="360" w:lineRule="auto"/>
        <w:rPr>
          <w:rFonts w:eastAsia="Calibri" w:cs="Tahoma"/>
          <w:bCs/>
          <w:iCs/>
          <w:color w:val="000000"/>
        </w:rPr>
      </w:pPr>
    </w:p>
    <w:p w14:paraId="41839623"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023A217" w14:textId="77777777" w:rsidR="00317A4B" w:rsidRPr="00317A4B" w:rsidRDefault="00317A4B" w:rsidP="00893559">
      <w:pPr>
        <w:spacing w:after="0" w:line="360" w:lineRule="auto"/>
        <w:rPr>
          <w:rFonts w:eastAsia="Calibri" w:cs="Tahoma"/>
          <w:bCs/>
          <w:iCs/>
          <w:color w:val="000000"/>
          <w:lang w:val="es-ES"/>
        </w:rPr>
      </w:pPr>
    </w:p>
    <w:p w14:paraId="220E4358" w14:textId="77777777" w:rsidR="00317A4B" w:rsidRPr="00317A4B" w:rsidRDefault="00317A4B" w:rsidP="00893559">
      <w:pPr>
        <w:numPr>
          <w:ilvl w:val="0"/>
          <w:numId w:val="10"/>
        </w:numPr>
        <w:spacing w:after="0" w:line="360" w:lineRule="auto"/>
        <w:jc w:val="left"/>
        <w:rPr>
          <w:rFonts w:eastAsia="Calibri" w:cs="Tahoma"/>
          <w:b/>
          <w:bCs/>
          <w:iCs/>
          <w:color w:val="000000"/>
          <w:lang w:val="es-ES_tradnl"/>
        </w:rPr>
      </w:pPr>
      <w:r w:rsidRPr="00317A4B">
        <w:rPr>
          <w:rFonts w:eastAsia="Calibri" w:cs="Tahoma"/>
          <w:b/>
          <w:bCs/>
          <w:iCs/>
          <w:color w:val="000000"/>
          <w:lang w:val="es-ES_tradnl"/>
        </w:rPr>
        <w:t>Registro Federal de Contribuyentes (RFC).</w:t>
      </w:r>
    </w:p>
    <w:p w14:paraId="183A4B88" w14:textId="77777777" w:rsidR="00317A4B" w:rsidRPr="00317A4B" w:rsidRDefault="00317A4B" w:rsidP="00893559">
      <w:pPr>
        <w:spacing w:after="0" w:line="360" w:lineRule="auto"/>
        <w:rPr>
          <w:rFonts w:eastAsia="Calibri" w:cs="Tahoma"/>
          <w:bCs/>
          <w:iCs/>
          <w:color w:val="000000"/>
        </w:rPr>
      </w:pPr>
    </w:p>
    <w:p w14:paraId="0F705B9A"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476E973" w14:textId="77777777" w:rsidR="00317A4B" w:rsidRPr="00317A4B" w:rsidRDefault="00317A4B" w:rsidP="00893559">
      <w:pPr>
        <w:spacing w:after="0" w:line="360" w:lineRule="auto"/>
        <w:rPr>
          <w:rFonts w:eastAsia="Calibri" w:cs="Tahoma"/>
          <w:bCs/>
          <w:iCs/>
          <w:color w:val="000000"/>
        </w:rPr>
      </w:pPr>
    </w:p>
    <w:p w14:paraId="40E6DE0F"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3E1B3E5" w14:textId="77777777" w:rsidR="00317A4B" w:rsidRPr="00317A4B" w:rsidRDefault="00317A4B" w:rsidP="00893559">
      <w:pPr>
        <w:spacing w:after="0" w:line="360" w:lineRule="auto"/>
        <w:rPr>
          <w:rFonts w:eastAsia="Calibri" w:cs="Tahoma"/>
          <w:bCs/>
          <w:iCs/>
          <w:color w:val="000000"/>
        </w:rPr>
      </w:pPr>
    </w:p>
    <w:p w14:paraId="34BF5F37"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CB480BF" w14:textId="77777777" w:rsidR="00317A4B" w:rsidRPr="00317A4B" w:rsidRDefault="00317A4B" w:rsidP="00893559">
      <w:pPr>
        <w:spacing w:after="0" w:line="360" w:lineRule="auto"/>
        <w:rPr>
          <w:rFonts w:eastAsia="Calibri" w:cs="Tahoma"/>
          <w:bCs/>
          <w:iCs/>
          <w:color w:val="000000"/>
        </w:rPr>
      </w:pPr>
    </w:p>
    <w:p w14:paraId="23BBE8F8"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AE533CD" w14:textId="77777777" w:rsidR="00317A4B" w:rsidRPr="00317A4B" w:rsidRDefault="00317A4B" w:rsidP="00893559">
      <w:pPr>
        <w:spacing w:after="0" w:line="360" w:lineRule="auto"/>
        <w:rPr>
          <w:rFonts w:eastAsia="Calibri" w:cs="Tahoma"/>
          <w:bCs/>
          <w:iCs/>
          <w:color w:val="000000"/>
        </w:rPr>
      </w:pPr>
    </w:p>
    <w:p w14:paraId="46014B24"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Lo anterior, resulta congruente con el Criterio 19/17 emitido por el Instituto Nacional de Transparencia, Acceso a la Información y Protección de Datos Personales, en el cual se señala lo siguiente:</w:t>
      </w:r>
    </w:p>
    <w:p w14:paraId="3AAC6DBC" w14:textId="77777777" w:rsidR="00317A4B" w:rsidRPr="00317A4B" w:rsidRDefault="00317A4B" w:rsidP="00893559">
      <w:pPr>
        <w:spacing w:after="0" w:line="360" w:lineRule="auto"/>
        <w:rPr>
          <w:rFonts w:eastAsia="Calibri" w:cs="Tahoma"/>
          <w:bCs/>
          <w:iCs/>
          <w:color w:val="000000"/>
        </w:rPr>
      </w:pPr>
    </w:p>
    <w:p w14:paraId="03FA8DFB" w14:textId="77777777" w:rsidR="00317A4B" w:rsidRPr="00317A4B" w:rsidRDefault="00317A4B" w:rsidP="00893559">
      <w:pPr>
        <w:spacing w:after="0" w:line="360" w:lineRule="auto"/>
        <w:ind w:left="567" w:right="567"/>
        <w:rPr>
          <w:rFonts w:eastAsia="Calibri" w:cs="Tahoma"/>
          <w:bCs/>
          <w:i/>
          <w:iCs/>
          <w:color w:val="000000"/>
          <w:sz w:val="20"/>
          <w:szCs w:val="20"/>
        </w:rPr>
      </w:pPr>
      <w:r w:rsidRPr="00317A4B">
        <w:rPr>
          <w:rFonts w:eastAsia="Calibri" w:cs="Tahoma"/>
          <w:b/>
          <w:bCs/>
          <w:i/>
          <w:iCs/>
          <w:color w:val="000000"/>
          <w:sz w:val="20"/>
          <w:szCs w:val="20"/>
        </w:rPr>
        <w:t>“Registro Federal de Contribuyentes (RFC) de personas físicas.</w:t>
      </w:r>
      <w:r w:rsidRPr="00317A4B">
        <w:rPr>
          <w:rFonts w:eastAsia="Calibri" w:cs="Tahoma"/>
          <w:bCs/>
          <w:i/>
          <w:iCs/>
          <w:color w:val="000000"/>
          <w:sz w:val="20"/>
          <w:szCs w:val="20"/>
        </w:rPr>
        <w:t xml:space="preserve"> El RFC es una clave de carácter fiscal, única e irrepetible, que permite identificar al titular, su edad y fecha de nacimiento, por lo que es un dato personal de carácter confidencial.”</w:t>
      </w:r>
    </w:p>
    <w:p w14:paraId="3E259101" w14:textId="77777777" w:rsidR="00317A4B" w:rsidRPr="00317A4B" w:rsidRDefault="00317A4B" w:rsidP="00893559">
      <w:pPr>
        <w:spacing w:after="0" w:line="360" w:lineRule="auto"/>
        <w:rPr>
          <w:rFonts w:eastAsia="Calibri" w:cs="Tahoma"/>
          <w:bCs/>
          <w:iCs/>
          <w:color w:val="000000"/>
        </w:rPr>
      </w:pPr>
    </w:p>
    <w:p w14:paraId="42389D65" w14:textId="77777777" w:rsidR="00317A4B" w:rsidRPr="00317A4B" w:rsidRDefault="00317A4B" w:rsidP="00893559">
      <w:pPr>
        <w:spacing w:after="0" w:line="360" w:lineRule="auto"/>
        <w:rPr>
          <w:rFonts w:eastAsia="Calibri" w:cs="Tahoma"/>
          <w:bCs/>
          <w:iCs/>
          <w:color w:val="000000"/>
        </w:rPr>
      </w:pPr>
      <w:r w:rsidRPr="00317A4B">
        <w:rPr>
          <w:rFonts w:eastAsia="Calibri" w:cs="Tahoma"/>
          <w:bCs/>
          <w:iCs/>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0FAF0DA" w14:textId="4E170BF0" w:rsidR="00317A4B" w:rsidRDefault="00317A4B" w:rsidP="00893559">
      <w:pPr>
        <w:spacing w:after="0" w:line="360" w:lineRule="auto"/>
        <w:rPr>
          <w:rFonts w:eastAsia="Times New Roman" w:cs="Tahoma"/>
          <w:bCs/>
          <w:iCs/>
          <w:color w:val="auto"/>
          <w:lang w:eastAsia="es-ES"/>
        </w:rPr>
      </w:pPr>
    </w:p>
    <w:p w14:paraId="58E8C104" w14:textId="77777777" w:rsidR="0014652D" w:rsidRPr="0014652D" w:rsidRDefault="0014652D" w:rsidP="0014652D">
      <w:pPr>
        <w:numPr>
          <w:ilvl w:val="0"/>
          <w:numId w:val="18"/>
        </w:numPr>
        <w:spacing w:after="0" w:line="360" w:lineRule="auto"/>
        <w:jc w:val="left"/>
        <w:rPr>
          <w:rFonts w:eastAsia="Calibri" w:cs="Tahoma"/>
          <w:b/>
          <w:bCs/>
          <w:iCs/>
        </w:rPr>
      </w:pPr>
      <w:r w:rsidRPr="0014652D">
        <w:rPr>
          <w:rFonts w:eastAsia="Calibri" w:cs="Tahoma"/>
          <w:b/>
          <w:bCs/>
          <w:iCs/>
        </w:rPr>
        <w:t xml:space="preserve">Código bidimensional o </w:t>
      </w:r>
      <w:proofErr w:type="spellStart"/>
      <w:r w:rsidRPr="0014652D">
        <w:rPr>
          <w:rFonts w:eastAsia="Calibri" w:cs="Tahoma"/>
          <w:b/>
          <w:bCs/>
          <w:iCs/>
        </w:rPr>
        <w:t>Qr</w:t>
      </w:r>
      <w:proofErr w:type="spellEnd"/>
      <w:r w:rsidRPr="0014652D">
        <w:rPr>
          <w:rFonts w:eastAsia="Calibri" w:cs="Tahoma"/>
          <w:b/>
          <w:bCs/>
          <w:iCs/>
        </w:rPr>
        <w:t>.</w:t>
      </w:r>
    </w:p>
    <w:p w14:paraId="744193F6" w14:textId="77777777" w:rsidR="0014652D" w:rsidRPr="0014652D" w:rsidRDefault="0014652D" w:rsidP="0014652D">
      <w:pPr>
        <w:spacing w:after="0" w:line="360" w:lineRule="auto"/>
        <w:rPr>
          <w:rFonts w:eastAsia="Calibri" w:cs="Tahoma"/>
          <w:b/>
          <w:bCs/>
          <w:iCs/>
        </w:rPr>
      </w:pPr>
    </w:p>
    <w:p w14:paraId="12D63896" w14:textId="77777777" w:rsidR="0014652D" w:rsidRPr="0014652D" w:rsidRDefault="0014652D" w:rsidP="0014652D">
      <w:pPr>
        <w:spacing w:after="0" w:line="360" w:lineRule="auto"/>
        <w:rPr>
          <w:rFonts w:eastAsia="Calibri" w:cs="Tahoma"/>
          <w:bCs/>
          <w:iCs/>
        </w:rPr>
      </w:pPr>
      <w:r w:rsidRPr="0014652D">
        <w:rPr>
          <w:rFonts w:eastAsia="Calibri" w:cs="Tahoma"/>
          <w:bCs/>
          <w:iCs/>
        </w:rPr>
        <w:t xml:space="preserve">En principio, resulta necesario señalar que los comprobantes fiscales digitales por Internet, deben de incluir un código bidimensional conforme al formato </w:t>
      </w:r>
      <w:r w:rsidRPr="0014652D">
        <w:rPr>
          <w:rFonts w:eastAsia="Calibri" w:cs="Tahoma"/>
          <w:bCs/>
          <w:i/>
          <w:iCs/>
        </w:rPr>
        <w:t xml:space="preserve">QR </w:t>
      </w:r>
      <w:proofErr w:type="spellStart"/>
      <w:r w:rsidRPr="0014652D">
        <w:rPr>
          <w:rFonts w:eastAsia="Calibri" w:cs="Tahoma"/>
          <w:bCs/>
          <w:i/>
          <w:iCs/>
        </w:rPr>
        <w:t>Code</w:t>
      </w:r>
      <w:proofErr w:type="spellEnd"/>
      <w:r w:rsidRPr="0014652D">
        <w:rPr>
          <w:rFonts w:eastAsia="Calibri" w:cs="Tahoma"/>
          <w:bCs/>
          <w:i/>
          <w:iCs/>
        </w:rPr>
        <w:t xml:space="preserve"> (Quick Response </w:t>
      </w:r>
      <w:proofErr w:type="spellStart"/>
      <w:r w:rsidRPr="0014652D">
        <w:rPr>
          <w:rFonts w:eastAsia="Calibri" w:cs="Tahoma"/>
          <w:bCs/>
          <w:i/>
          <w:iCs/>
        </w:rPr>
        <w:t>Code</w:t>
      </w:r>
      <w:proofErr w:type="spellEnd"/>
      <w:r w:rsidRPr="0014652D">
        <w:rPr>
          <w:rFonts w:eastAsia="Calibri" w:cs="Tahoma"/>
          <w:bCs/>
          <w:i/>
          <w:iCs/>
        </w:rPr>
        <w:t>)</w:t>
      </w:r>
      <w:r w:rsidRPr="0014652D">
        <w:rPr>
          <w:rFonts w:eastAsia="Calibri" w:cs="Tahoma"/>
          <w:bCs/>
          <w:i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14652D">
          <w:rPr>
            <w:rFonts w:eastAsia="Calibri" w:cs="Tahoma"/>
            <w:bCs/>
            <w:iCs/>
            <w:u w:val="single"/>
          </w:rPr>
          <w:t>http://dof.gob.mx/nota_detalle.php?codigo=5492254&amp;fecha=28/07/2017</w:t>
        </w:r>
      </w:hyperlink>
      <w:r w:rsidRPr="0014652D">
        <w:rPr>
          <w:rFonts w:eastAsia="Calibri" w:cs="Tahoma"/>
          <w:bCs/>
          <w:iCs/>
        </w:rPr>
        <w:t>. Incluso con la captura de dicho código, a través de la aplicación móvil del Servicio de Administración Tributaria, permite el acceso al Registro Federal de Contribuyentes, como del Sujeto Obligado, como de los servidores públicos.</w:t>
      </w:r>
    </w:p>
    <w:p w14:paraId="3F457B7A" w14:textId="77777777" w:rsidR="0014652D" w:rsidRPr="0014652D" w:rsidRDefault="0014652D" w:rsidP="0014652D">
      <w:pPr>
        <w:spacing w:after="0" w:line="360" w:lineRule="auto"/>
        <w:rPr>
          <w:rFonts w:eastAsia="Calibri" w:cs="Tahoma"/>
          <w:bCs/>
          <w:iCs/>
        </w:rPr>
      </w:pPr>
    </w:p>
    <w:p w14:paraId="679EDEDE" w14:textId="33E8774E" w:rsidR="0014652D" w:rsidRDefault="0014652D" w:rsidP="0014652D">
      <w:pPr>
        <w:spacing w:after="0" w:line="360" w:lineRule="auto"/>
        <w:rPr>
          <w:rFonts w:eastAsia="Calibri" w:cs="Tahoma"/>
          <w:b/>
          <w:iCs/>
        </w:rPr>
      </w:pPr>
      <w:r w:rsidRPr="0014652D">
        <w:rPr>
          <w:rFonts w:eastAsia="Calibri" w:cs="Tahoma"/>
          <w:bCs/>
          <w:iCs/>
        </w:rPr>
        <w:t>De tales circunstancias, se considera que dicho dato actualiza la causal de clasificación prevista en el artículo 143, fracción I</w:t>
      </w:r>
      <w:r>
        <w:rPr>
          <w:rFonts w:eastAsia="Calibri" w:cs="Tahoma"/>
          <w:bCs/>
          <w:iCs/>
        </w:rPr>
        <w:t>,</w:t>
      </w:r>
      <w:r w:rsidRPr="0014652D">
        <w:rPr>
          <w:rFonts w:eastAsia="Calibri" w:cs="Tahoma"/>
          <w:bCs/>
          <w:iCs/>
        </w:rPr>
        <w:t xml:space="preserve"> de la Ley de la materia, toda vez que da acceso al Registro Federal de Contribuyentes de los servidores públicos del Sujeto Obligado, datos que tal como se señaló previamente, son clasificados. </w:t>
      </w:r>
    </w:p>
    <w:p w14:paraId="11DE1520" w14:textId="77777777" w:rsidR="0014652D" w:rsidRPr="0014652D" w:rsidRDefault="0014652D" w:rsidP="0014652D">
      <w:pPr>
        <w:spacing w:after="0" w:line="360" w:lineRule="auto"/>
        <w:rPr>
          <w:rFonts w:eastAsia="Calibri" w:cs="Tahoma"/>
          <w:b/>
          <w:iCs/>
        </w:rPr>
      </w:pPr>
    </w:p>
    <w:p w14:paraId="05F6A7C7" w14:textId="77777777" w:rsidR="00317A4B" w:rsidRPr="00317A4B" w:rsidRDefault="00317A4B" w:rsidP="00893559">
      <w:pPr>
        <w:numPr>
          <w:ilvl w:val="0"/>
          <w:numId w:val="10"/>
        </w:numPr>
        <w:spacing w:after="0" w:line="360" w:lineRule="auto"/>
        <w:rPr>
          <w:rFonts w:eastAsia="Times New Roman" w:cs="Tahoma"/>
          <w:b/>
          <w:bCs/>
          <w:iCs/>
          <w:color w:val="auto"/>
          <w:lang w:eastAsia="es-ES"/>
        </w:rPr>
      </w:pPr>
      <w:r w:rsidRPr="00317A4B">
        <w:rPr>
          <w:rFonts w:eastAsia="Times New Roman" w:cs="Tahoma"/>
          <w:b/>
          <w:bCs/>
          <w:iCs/>
          <w:color w:val="auto"/>
          <w:lang w:eastAsia="es-ES"/>
        </w:rPr>
        <w:t xml:space="preserve">Deducciones personales. </w:t>
      </w:r>
    </w:p>
    <w:p w14:paraId="628F22D5" w14:textId="77777777" w:rsidR="00317A4B" w:rsidRPr="00317A4B" w:rsidRDefault="00317A4B" w:rsidP="00893559">
      <w:pPr>
        <w:spacing w:after="0" w:line="360" w:lineRule="auto"/>
        <w:rPr>
          <w:rFonts w:eastAsia="Times New Roman" w:cs="Tahoma"/>
          <w:b/>
          <w:bCs/>
          <w:iCs/>
          <w:color w:val="auto"/>
          <w:lang w:eastAsia="es-ES"/>
        </w:rPr>
      </w:pPr>
    </w:p>
    <w:p w14:paraId="28381F4B" w14:textId="77777777" w:rsidR="00317A4B" w:rsidRPr="00317A4B" w:rsidRDefault="00317A4B" w:rsidP="00893559">
      <w:pPr>
        <w:widowControl w:val="0"/>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Es necesario precisar que existen deducciones que se generan con motivo de una decisión libre y voluntaria de los servidores públicos, como son: créditos personales, </w:t>
      </w:r>
      <w:r w:rsidRPr="00317A4B">
        <w:rPr>
          <w:rFonts w:eastAsia="Times New Roman" w:cs="Tahoma"/>
          <w:b/>
          <w:iCs/>
          <w:color w:val="auto"/>
          <w:lang w:eastAsia="es-ES"/>
        </w:rPr>
        <w:t>cuotas sindicales</w:t>
      </w:r>
      <w:r w:rsidRPr="00317A4B">
        <w:rPr>
          <w:rFonts w:eastAsia="Times New Roman" w:cs="Tahoma"/>
          <w:bCs/>
          <w:iCs/>
          <w:color w:val="auto"/>
          <w:lang w:eastAsia="es-ES"/>
        </w:rPr>
        <w:t xml:space="preserve"> y fondo de resistencia del Sindicato Único de Trabajadores de los Poderes, Municipios e Institución Descentralizadas del Estado de México, seguro de vida, accidentes y enfermedades.</w:t>
      </w:r>
    </w:p>
    <w:p w14:paraId="0C1558E4" w14:textId="77777777" w:rsidR="00317A4B" w:rsidRPr="00317A4B" w:rsidRDefault="00317A4B" w:rsidP="00893559">
      <w:pPr>
        <w:spacing w:after="0" w:line="360" w:lineRule="auto"/>
        <w:rPr>
          <w:rFonts w:eastAsia="Times New Roman" w:cs="Tahoma"/>
          <w:bCs/>
          <w:iCs/>
          <w:color w:val="auto"/>
          <w:lang w:eastAsia="es-ES"/>
        </w:rPr>
      </w:pPr>
    </w:p>
    <w:p w14:paraId="29FFD1BC"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Asimismo, hay otras que se generan con motivo de una sentencia judicial, como es la pensión alimenticia que periódicamente se retira de la cuenta de un empleado, a efecto de que sea entregado a un tercero. </w:t>
      </w:r>
    </w:p>
    <w:p w14:paraId="561DE7E5" w14:textId="77777777" w:rsidR="00317A4B" w:rsidRPr="00317A4B" w:rsidRDefault="00317A4B" w:rsidP="00893559">
      <w:pPr>
        <w:spacing w:after="0" w:line="360" w:lineRule="auto"/>
        <w:rPr>
          <w:rFonts w:eastAsia="Times New Roman" w:cs="Tahoma"/>
          <w:bCs/>
          <w:iCs/>
          <w:color w:val="auto"/>
          <w:lang w:eastAsia="es-ES"/>
        </w:rPr>
      </w:pPr>
    </w:p>
    <w:p w14:paraId="54562AC9"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8B43EC2" w14:textId="77777777" w:rsidR="00317A4B" w:rsidRPr="00317A4B" w:rsidRDefault="00317A4B" w:rsidP="00893559">
      <w:pPr>
        <w:spacing w:after="0" w:line="360" w:lineRule="auto"/>
        <w:rPr>
          <w:rFonts w:eastAsia="Times New Roman" w:cs="Tahoma"/>
          <w:bCs/>
          <w:iCs/>
          <w:color w:val="auto"/>
          <w:lang w:eastAsia="es-ES"/>
        </w:rPr>
      </w:pPr>
    </w:p>
    <w:p w14:paraId="05D854DF" w14:textId="77777777" w:rsidR="00317A4B" w:rsidRPr="00317A4B" w:rsidRDefault="00317A4B" w:rsidP="00893559">
      <w:pPr>
        <w:spacing w:after="0" w:line="360" w:lineRule="auto"/>
        <w:rPr>
          <w:rFonts w:eastAsia="Times New Roman" w:cs="Tahoma"/>
          <w:bCs/>
          <w:iCs/>
          <w:color w:val="auto"/>
          <w:lang w:eastAsia="es-ES"/>
        </w:rPr>
      </w:pPr>
      <w:r w:rsidRPr="00317A4B">
        <w:rPr>
          <w:rFonts w:eastAsia="Times New Roman" w:cs="Tahoma"/>
          <w:bCs/>
          <w:iCs/>
          <w:color w:val="auto"/>
          <w:lang w:eastAsia="es-E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73CB1EC" w14:textId="77777777" w:rsidR="00317A4B" w:rsidRPr="00317A4B" w:rsidRDefault="00317A4B" w:rsidP="00893559">
      <w:pPr>
        <w:spacing w:after="0" w:line="360" w:lineRule="auto"/>
        <w:rPr>
          <w:rFonts w:eastAsia="Times New Roman" w:cs="Tahoma"/>
          <w:b/>
          <w:bCs/>
          <w:iCs/>
          <w:color w:val="auto"/>
          <w:lang w:eastAsia="es-ES"/>
        </w:rPr>
      </w:pPr>
    </w:p>
    <w:p w14:paraId="4E828C71" w14:textId="26289BEF" w:rsidR="00317A4B" w:rsidRPr="00317A4B" w:rsidRDefault="00317A4B" w:rsidP="00893559">
      <w:pPr>
        <w:spacing w:after="0" w:line="360" w:lineRule="auto"/>
        <w:rPr>
          <w:rFonts w:eastAsia="Calibri" w:cs="Tahoma"/>
          <w:bCs/>
          <w:color w:val="000000"/>
        </w:rPr>
      </w:pPr>
      <w:r w:rsidRPr="00317A4B">
        <w:rPr>
          <w:rFonts w:eastAsia="Times New Roman" w:cs="Tahoma"/>
          <w:color w:val="000000"/>
          <w:lang w:eastAsia="es-ES"/>
        </w:rPr>
        <w:t xml:space="preserve">Conforme a lo analizado, procede la clasificación </w:t>
      </w:r>
      <w:r w:rsidRPr="00317A4B">
        <w:rPr>
          <w:rFonts w:eastAsia="Calibri" w:cs="Tahoma"/>
          <w:bCs/>
          <w:color w:val="000000"/>
        </w:rPr>
        <w:t xml:space="preserve">de </w:t>
      </w:r>
      <w:r w:rsidRPr="00317A4B">
        <w:rPr>
          <w:rFonts w:eastAsia="Times New Roman" w:cs="Tahoma"/>
          <w:bCs/>
          <w:iCs/>
          <w:color w:val="000000"/>
          <w:lang w:eastAsia="es-ES"/>
        </w:rPr>
        <w:t>la</w:t>
      </w:r>
      <w:r w:rsidRPr="00317A4B">
        <w:rPr>
          <w:rFonts w:eastAsia="Times New Roman" w:cs="Tahoma"/>
          <w:bCs/>
          <w:iCs/>
          <w:color w:val="000000"/>
          <w:lang w:val="es-ES" w:eastAsia="es-ES"/>
        </w:rPr>
        <w:t xml:space="preserve"> Clave del Instituto de Seguridad Pública del Estado de México y Municipios, </w:t>
      </w:r>
      <w:r w:rsidRPr="00317A4B">
        <w:rPr>
          <w:rFonts w:eastAsia="Times New Roman" w:cs="Tahoma"/>
          <w:color w:val="000000"/>
          <w:lang w:eastAsia="es-ES"/>
        </w:rPr>
        <w:t xml:space="preserve">la </w:t>
      </w:r>
      <w:r w:rsidRPr="00317A4B">
        <w:rPr>
          <w:rFonts w:eastAsia="Calibri" w:cs="Tahoma"/>
          <w:bCs/>
          <w:iCs/>
          <w:color w:val="000000"/>
          <w:lang w:val="es-ES"/>
        </w:rPr>
        <w:t xml:space="preserve">Clave Única de Registro de Población, </w:t>
      </w:r>
      <w:r w:rsidRPr="00317A4B">
        <w:rPr>
          <w:rFonts w:eastAsia="Times New Roman" w:cs="Tahoma"/>
          <w:color w:val="000000"/>
          <w:lang w:eastAsia="es-ES"/>
        </w:rPr>
        <w:t>el</w:t>
      </w:r>
      <w:r w:rsidRPr="00317A4B">
        <w:rPr>
          <w:rFonts w:eastAsia="Times New Roman" w:cs="Tahoma"/>
          <w:bCs/>
          <w:color w:val="000000"/>
          <w:lang w:eastAsia="es-ES"/>
        </w:rPr>
        <w:t xml:space="preserve"> Registro Federal de Contribuyentes</w:t>
      </w:r>
      <w:r w:rsidR="0014652D">
        <w:rPr>
          <w:rFonts w:eastAsia="Times New Roman" w:cs="Tahoma"/>
          <w:bCs/>
          <w:color w:val="000000"/>
          <w:lang w:eastAsia="es-ES"/>
        </w:rPr>
        <w:t>, el Código Bidimensional o QR</w:t>
      </w:r>
      <w:r w:rsidRPr="00317A4B">
        <w:rPr>
          <w:rFonts w:eastAsia="Times New Roman" w:cs="Tahoma"/>
          <w:bCs/>
          <w:color w:val="000000"/>
          <w:lang w:eastAsia="es-ES"/>
        </w:rPr>
        <w:t xml:space="preserve"> y deducciones personales</w:t>
      </w:r>
      <w:r w:rsidRPr="00317A4B">
        <w:rPr>
          <w:rFonts w:eastAsia="Calibri" w:cs="Tahoma"/>
          <w:bCs/>
          <w:color w:val="000000"/>
        </w:rPr>
        <w:t>, en términos del artículo 143, fracción I, de la Ley de Transparencia y Acceso a la Información Pública del Estado de México y Municipios; por lo que, deberá proporcionar el documento en versión pública.</w:t>
      </w:r>
    </w:p>
    <w:p w14:paraId="01529F80" w14:textId="77777777" w:rsidR="00317A4B" w:rsidRPr="00317A4B" w:rsidRDefault="00317A4B" w:rsidP="00893559">
      <w:pPr>
        <w:spacing w:after="0" w:line="360" w:lineRule="auto"/>
        <w:rPr>
          <w:rFonts w:eastAsia="Calibri" w:cs="Tahoma"/>
          <w:bCs/>
          <w:color w:val="000000"/>
        </w:rPr>
      </w:pPr>
    </w:p>
    <w:p w14:paraId="59BD99CF" w14:textId="77777777" w:rsidR="00317A4B" w:rsidRPr="00317A4B" w:rsidRDefault="00317A4B" w:rsidP="00893559">
      <w:pPr>
        <w:spacing w:after="0" w:line="360" w:lineRule="auto"/>
        <w:rPr>
          <w:rFonts w:eastAsia="Times New Roman" w:cs="Tahoma"/>
          <w:bCs/>
          <w:color w:val="000000"/>
          <w:lang w:val="es-ES" w:eastAsia="es-ES"/>
        </w:rPr>
      </w:pPr>
      <w:r w:rsidRPr="00317A4B">
        <w:rPr>
          <w:rFonts w:eastAsia="Times New Roman" w:cs="Tahoma"/>
          <w:bCs/>
          <w:color w:val="000000"/>
          <w:lang w:val="es-ES" w:eastAsia="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9C28FC3" w14:textId="77777777" w:rsidR="00317A4B" w:rsidRPr="00317A4B" w:rsidRDefault="00317A4B" w:rsidP="00893559">
      <w:pPr>
        <w:spacing w:after="0" w:line="360" w:lineRule="auto"/>
        <w:rPr>
          <w:rFonts w:eastAsia="Times New Roman" w:cs="Tahoma"/>
          <w:bCs/>
          <w:color w:val="000000"/>
          <w:lang w:val="es-ES" w:eastAsia="es-ES"/>
        </w:rPr>
      </w:pPr>
    </w:p>
    <w:p w14:paraId="6C1C8BC7" w14:textId="37CF9F36" w:rsidR="00C80279" w:rsidRPr="00D57B8A" w:rsidRDefault="00317A4B" w:rsidP="00893559">
      <w:pPr>
        <w:spacing w:after="0" w:line="360" w:lineRule="auto"/>
        <w:rPr>
          <w:rFonts w:eastAsia="Times New Roman" w:cs="Tahoma"/>
          <w:color w:val="000000"/>
          <w:lang w:val="es-ES" w:eastAsia="es-ES"/>
        </w:rPr>
      </w:pPr>
      <w:r w:rsidRPr="00317A4B">
        <w:rPr>
          <w:rFonts w:eastAsia="Times New Roman" w:cs="Tahoma"/>
          <w:bCs/>
          <w:color w:val="000000"/>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54E66F36" w14:textId="0B84C27A" w:rsidR="0096584E" w:rsidRPr="00975DA4" w:rsidRDefault="0096584E" w:rsidP="00893559">
      <w:pPr>
        <w:spacing w:after="0" w:line="360" w:lineRule="auto"/>
        <w:rPr>
          <w:rFonts w:eastAsia="Times New Roman" w:cs="Tahoma"/>
          <w:bCs/>
          <w:color w:val="auto"/>
          <w:lang w:val="es-ES" w:eastAsia="es-ES"/>
        </w:rPr>
      </w:pPr>
    </w:p>
    <w:p w14:paraId="6918568A" w14:textId="309807C8" w:rsidR="00346F8F" w:rsidRPr="006F4471" w:rsidRDefault="006F62D6" w:rsidP="00893559">
      <w:pPr>
        <w:spacing w:after="0" w:line="360" w:lineRule="auto"/>
        <w:rPr>
          <w:b/>
          <w:bCs/>
          <w:lang w:val="es-ES"/>
        </w:rPr>
      </w:pPr>
      <w:r>
        <w:rPr>
          <w:b/>
          <w:bCs/>
          <w:lang w:val="es-ES"/>
        </w:rPr>
        <w:t>SEX</w:t>
      </w:r>
      <w:r w:rsidR="00346F8F" w:rsidRPr="006F4471">
        <w:rPr>
          <w:b/>
          <w:bCs/>
          <w:lang w:val="es-ES"/>
        </w:rPr>
        <w:t xml:space="preserve">TO. Decisión. </w:t>
      </w:r>
    </w:p>
    <w:p w14:paraId="65BCE5BD" w14:textId="77777777" w:rsidR="00346F8F" w:rsidRPr="006F4471" w:rsidRDefault="00346F8F" w:rsidP="00893559">
      <w:pPr>
        <w:spacing w:after="0" w:line="360" w:lineRule="auto"/>
        <w:rPr>
          <w:b/>
          <w:bCs/>
          <w:lang w:val="es-ES"/>
        </w:rPr>
      </w:pPr>
    </w:p>
    <w:p w14:paraId="023E3087" w14:textId="070E1E78" w:rsidR="002103C4" w:rsidRDefault="004331BA" w:rsidP="00893559">
      <w:pPr>
        <w:spacing w:after="0" w:line="360" w:lineRule="auto"/>
        <w:rPr>
          <w:rFonts w:cs="Tahoma"/>
          <w:bCs/>
        </w:rPr>
      </w:pPr>
      <w:r w:rsidRPr="001138CB">
        <w:rPr>
          <w:rFonts w:cs="Tahoma"/>
          <w:bCs/>
        </w:rPr>
        <w:t xml:space="preserve">Con fundamento en el artículo 186, fracción III, de la Ley de Transparencia y Acceso a la Información Pública del Estado de México y Municipios, este Instituto considera procedente </w:t>
      </w:r>
      <w:r w:rsidR="00E921B3">
        <w:rPr>
          <w:rFonts w:cs="Tahoma"/>
          <w:b/>
          <w:bCs/>
        </w:rPr>
        <w:t>REVOCAR</w:t>
      </w:r>
      <w:r w:rsidRPr="001138CB">
        <w:rPr>
          <w:rFonts w:cs="Tahoma"/>
          <w:b/>
          <w:bCs/>
        </w:rPr>
        <w:t xml:space="preserve"> </w:t>
      </w:r>
      <w:r w:rsidR="006733AF">
        <w:rPr>
          <w:rFonts w:cs="Tahoma"/>
          <w:bCs/>
        </w:rPr>
        <w:t xml:space="preserve">la respuesta otorgada por la </w:t>
      </w:r>
      <w:r w:rsidR="005D57A0" w:rsidRPr="005D57A0">
        <w:rPr>
          <w:rFonts w:cs="Tahoma"/>
          <w:bCs/>
        </w:rPr>
        <w:t>Universidad Politécnica del Valle de Toluca</w:t>
      </w:r>
      <w:r w:rsidRPr="001138CB">
        <w:rPr>
          <w:rFonts w:cs="Tahoma"/>
          <w:bCs/>
        </w:rPr>
        <w:t>, a efecto de que, previa búsqueda exhaustiva y razonable,</w:t>
      </w:r>
      <w:r w:rsidRPr="0002262E">
        <w:rPr>
          <w:rFonts w:cs="Tahoma"/>
          <w:bCs/>
          <w:lang w:val="es-ES"/>
        </w:rPr>
        <w:t xml:space="preserve"> entregue</w:t>
      </w:r>
      <w:r w:rsidRPr="001138CB">
        <w:rPr>
          <w:rFonts w:cs="Tahoma"/>
          <w:bCs/>
          <w:lang w:val="es-ES"/>
        </w:rPr>
        <w:t xml:space="preserve">, </w:t>
      </w:r>
      <w:r w:rsidRPr="001138CB">
        <w:rPr>
          <w:rFonts w:cs="Tahoma"/>
          <w:bCs/>
        </w:rPr>
        <w:t>a través del Sistema de Acceso a la Información Mexiquense (SAIMEX)</w:t>
      </w:r>
      <w:r w:rsidR="006733AF">
        <w:rPr>
          <w:rFonts w:cs="Tahoma"/>
          <w:bCs/>
        </w:rPr>
        <w:t xml:space="preserve">, </w:t>
      </w:r>
      <w:r w:rsidR="00B86CBA">
        <w:rPr>
          <w:rFonts w:cs="Tahoma"/>
          <w:bCs/>
        </w:rPr>
        <w:t>en su caso, en versión pública,</w:t>
      </w:r>
      <w:r w:rsidR="002103C4">
        <w:rPr>
          <w:rFonts w:cs="Tahoma"/>
          <w:bCs/>
        </w:rPr>
        <w:t xml:space="preserve"> lo siguiente:</w:t>
      </w:r>
    </w:p>
    <w:p w14:paraId="52F1858C" w14:textId="2F878B36" w:rsidR="002103C4" w:rsidRDefault="002103C4" w:rsidP="00893559">
      <w:pPr>
        <w:spacing w:after="0" w:line="360" w:lineRule="auto"/>
        <w:rPr>
          <w:rFonts w:cs="Tahoma"/>
          <w:bCs/>
        </w:rPr>
      </w:pPr>
    </w:p>
    <w:p w14:paraId="7DF473D3" w14:textId="1D7A091E" w:rsidR="002103C4" w:rsidRPr="002103C4" w:rsidRDefault="002103C4" w:rsidP="00893559">
      <w:pPr>
        <w:pStyle w:val="Prrafodelista"/>
        <w:numPr>
          <w:ilvl w:val="0"/>
          <w:numId w:val="2"/>
        </w:numPr>
        <w:spacing w:line="360" w:lineRule="auto"/>
        <w:rPr>
          <w:rFonts w:cs="Tahoma"/>
          <w:bCs/>
        </w:rPr>
      </w:pPr>
      <w:bookmarkStart w:id="2" w:name="_Hlk98972406"/>
      <w:r w:rsidRPr="00C82C27">
        <w:rPr>
          <w:rFonts w:cs="Tahoma"/>
          <w:lang w:val="es-ES"/>
        </w:rPr>
        <w:t xml:space="preserve">Oficio número </w:t>
      </w:r>
      <w:r w:rsidR="005D57A0" w:rsidRPr="005D57A0">
        <w:rPr>
          <w:rFonts w:cs="Tahoma"/>
          <w:lang w:val="es-ES"/>
        </w:rPr>
        <w:t>210C2801020002L/118/2022</w:t>
      </w:r>
      <w:r>
        <w:rPr>
          <w:rFonts w:cs="Tahoma"/>
          <w:lang w:val="es-ES"/>
        </w:rPr>
        <w:t>, entregado en el desahogo del requerimiento de información adicional</w:t>
      </w:r>
      <w:r w:rsidR="000D0D9C">
        <w:rPr>
          <w:rFonts w:cs="Tahoma"/>
          <w:lang w:val="es-ES"/>
        </w:rPr>
        <w:t>;</w:t>
      </w:r>
    </w:p>
    <w:p w14:paraId="43E8451D" w14:textId="77777777" w:rsidR="002103C4" w:rsidRPr="002103C4" w:rsidRDefault="002103C4" w:rsidP="00893559">
      <w:pPr>
        <w:pStyle w:val="Prrafodelista"/>
        <w:spacing w:line="360" w:lineRule="auto"/>
        <w:rPr>
          <w:rFonts w:cs="Tahoma"/>
          <w:bCs/>
        </w:rPr>
      </w:pPr>
    </w:p>
    <w:p w14:paraId="28FEED97" w14:textId="46AA2E96" w:rsidR="004331BA" w:rsidRPr="000D0D9C" w:rsidRDefault="002103C4" w:rsidP="00893559">
      <w:pPr>
        <w:pStyle w:val="Prrafodelista"/>
        <w:numPr>
          <w:ilvl w:val="0"/>
          <w:numId w:val="2"/>
        </w:numPr>
        <w:spacing w:line="360" w:lineRule="auto"/>
        <w:rPr>
          <w:rFonts w:cs="Tahoma"/>
          <w:bCs/>
        </w:rPr>
      </w:pPr>
      <w:r w:rsidRPr="002103C4">
        <w:rPr>
          <w:rFonts w:cs="Tahoma"/>
          <w:lang w:val="es-ES"/>
        </w:rPr>
        <w:t xml:space="preserve">Los </w:t>
      </w:r>
      <w:r w:rsidR="005D57A0">
        <w:rPr>
          <w:rFonts w:cs="Tahoma"/>
          <w:lang w:val="es-ES"/>
        </w:rPr>
        <w:t>recibos de</w:t>
      </w:r>
      <w:r w:rsidR="00E71185">
        <w:rPr>
          <w:rFonts w:cs="Tahoma"/>
          <w:lang w:val="es-ES"/>
        </w:rPr>
        <w:t xml:space="preserve"> pago de</w:t>
      </w:r>
      <w:r w:rsidR="005D57A0">
        <w:rPr>
          <w:rFonts w:cs="Tahoma"/>
          <w:lang w:val="es-ES"/>
        </w:rPr>
        <w:t xml:space="preserve"> nómina</w:t>
      </w:r>
      <w:r w:rsidR="00E71185">
        <w:rPr>
          <w:rFonts w:cs="Tahoma"/>
          <w:lang w:val="es-ES"/>
        </w:rPr>
        <w:t xml:space="preserve"> (no podrá omitir los entregados </w:t>
      </w:r>
      <w:r w:rsidR="001E4CC8">
        <w:rPr>
          <w:rFonts w:cs="Tahoma"/>
          <w:lang w:val="es-ES"/>
        </w:rPr>
        <w:t>en el desahogo del requerimiento de información adicional</w:t>
      </w:r>
      <w:r w:rsidR="00E71185">
        <w:rPr>
          <w:rFonts w:cs="Tahoma"/>
          <w:lang w:val="es-ES"/>
        </w:rPr>
        <w:t>)</w:t>
      </w:r>
      <w:r w:rsidR="005D57A0">
        <w:rPr>
          <w:rFonts w:cs="Tahoma"/>
          <w:lang w:val="es-ES"/>
        </w:rPr>
        <w:t xml:space="preserve"> </w:t>
      </w:r>
      <w:r w:rsidR="00E71185">
        <w:rPr>
          <w:rFonts w:cs="Tahoma"/>
          <w:lang w:val="es-ES"/>
        </w:rPr>
        <w:t>o en su caso, documento donde conste las remuneraciones pagadas</w:t>
      </w:r>
      <w:r w:rsidR="001E4CC8">
        <w:rPr>
          <w:rFonts w:cs="Tahoma"/>
          <w:lang w:val="es-ES"/>
        </w:rPr>
        <w:t>, del diecinueve de diciembre de dos mil trece al treinta y uno de agosto de dos mil dieciséis.</w:t>
      </w:r>
    </w:p>
    <w:p w14:paraId="20385EA8" w14:textId="77777777" w:rsidR="000D0D9C" w:rsidRPr="000D0D9C" w:rsidRDefault="000D0D9C" w:rsidP="00893559">
      <w:pPr>
        <w:pStyle w:val="Prrafodelista"/>
        <w:spacing w:line="360" w:lineRule="auto"/>
        <w:rPr>
          <w:rFonts w:cs="Tahoma"/>
          <w:bCs/>
        </w:rPr>
      </w:pPr>
    </w:p>
    <w:bookmarkEnd w:id="2"/>
    <w:p w14:paraId="015C6D34" w14:textId="77777777" w:rsidR="00ED56F2" w:rsidRDefault="00ED56F2" w:rsidP="00893559">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BEACEEC" w14:textId="77777777" w:rsidR="002103C4" w:rsidRPr="00BD7EFB" w:rsidRDefault="002103C4" w:rsidP="00893559">
      <w:pPr>
        <w:spacing w:after="0" w:line="360" w:lineRule="auto"/>
        <w:rPr>
          <w:rFonts w:eastAsia="Times New Roman" w:cs="Tahoma"/>
          <w:iCs/>
          <w:lang w:val="es-ES_tradnl" w:eastAsia="es-ES"/>
        </w:rPr>
      </w:pPr>
    </w:p>
    <w:p w14:paraId="1C277770" w14:textId="77777777" w:rsidR="00346F8F" w:rsidRPr="006F4471" w:rsidRDefault="00346F8F" w:rsidP="00893559">
      <w:pPr>
        <w:spacing w:after="0" w:line="360" w:lineRule="auto"/>
        <w:rPr>
          <w:b/>
          <w:bCs/>
          <w:iCs/>
          <w:lang w:val="es-ES"/>
        </w:rPr>
      </w:pPr>
      <w:r w:rsidRPr="005E1CC6">
        <w:rPr>
          <w:b/>
          <w:bCs/>
          <w:iCs/>
          <w:lang w:val="es-ES"/>
        </w:rPr>
        <w:t>Términos de la Resolución para conocimiento del Particular.</w:t>
      </w:r>
    </w:p>
    <w:p w14:paraId="311DD270" w14:textId="77777777" w:rsidR="00346F8F" w:rsidRPr="006F4471" w:rsidRDefault="00346F8F" w:rsidP="00893559">
      <w:pPr>
        <w:spacing w:after="0" w:line="360" w:lineRule="auto"/>
        <w:rPr>
          <w:bCs/>
          <w:lang w:val="es-ES"/>
        </w:rPr>
      </w:pPr>
    </w:p>
    <w:p w14:paraId="601EE8DA" w14:textId="0EEFB31C" w:rsidR="00346F8F" w:rsidRPr="006F4471" w:rsidRDefault="00346F8F" w:rsidP="00893559">
      <w:pPr>
        <w:spacing w:after="0" w:line="360" w:lineRule="auto"/>
        <w:rPr>
          <w:bCs/>
          <w:iCs/>
        </w:rPr>
      </w:pPr>
      <w:r w:rsidRPr="006F4471">
        <w:rPr>
          <w:bCs/>
          <w:lang w:val="es-ES"/>
        </w:rPr>
        <w:t>Se le hace del conocimiento al Particular, que, en el presente caso</w:t>
      </w:r>
      <w:r w:rsidR="00ED56F2">
        <w:rPr>
          <w:bCs/>
          <w:lang w:val="es-ES"/>
        </w:rPr>
        <w:t xml:space="preserve"> se le da la razón, pues le Sujeto Obligado no </w:t>
      </w:r>
      <w:r w:rsidR="008172EB">
        <w:rPr>
          <w:bCs/>
          <w:lang w:val="es-ES"/>
        </w:rPr>
        <w:t>proporcionó los criterios de búsqueda utilizados</w:t>
      </w:r>
      <w:r w:rsidR="00BD50F8">
        <w:rPr>
          <w:bCs/>
          <w:lang w:val="es-ES"/>
        </w:rPr>
        <w:t xml:space="preserve">, tan es así, que durante la sustanciación del Medio de Impugnación proporcionó parte de la información requerida; </w:t>
      </w:r>
      <w:r w:rsidR="00ED56F2">
        <w:rPr>
          <w:bCs/>
          <w:lang w:val="es-ES"/>
        </w:rPr>
        <w:t xml:space="preserve">por lo que, deberá entregarle </w:t>
      </w:r>
      <w:r w:rsidR="00BD50F8">
        <w:rPr>
          <w:bCs/>
          <w:lang w:val="es-ES"/>
        </w:rPr>
        <w:t xml:space="preserve">el documento entregado en el desahogo del requerimiento de información adicional, así como, aquellos donde se advierta </w:t>
      </w:r>
      <w:r w:rsidR="005E1CC6">
        <w:rPr>
          <w:bCs/>
          <w:lang w:val="es-ES"/>
        </w:rPr>
        <w:t>los r</w:t>
      </w:r>
      <w:r w:rsidR="005E1CC6" w:rsidRPr="005E1CC6">
        <w:rPr>
          <w:bCs/>
          <w:lang w:val="es-ES"/>
        </w:rPr>
        <w:t>ecibos de nómina o documento homólogo, correspondientes a la segunda quincena de noviembre a la segunda quincena de diciembre del ejercicio fiscal dos mil trece, así como de la primera quincena de junio a la segunda quincena de agosto del ejercicio fiscal dos mil dieciséis.</w:t>
      </w:r>
      <w:r w:rsidR="001E4CC8">
        <w:rPr>
          <w:bCs/>
          <w:lang w:val="es-ES"/>
        </w:rPr>
        <w:t xml:space="preserve"> </w:t>
      </w:r>
      <w:r w:rsidRPr="006F4471">
        <w:rPr>
          <w:bCs/>
          <w:iCs/>
        </w:rPr>
        <w:t xml:space="preserve">Finalmente, la labor </w:t>
      </w:r>
      <w:r w:rsidR="002103C4">
        <w:rPr>
          <w:bCs/>
          <w:iCs/>
        </w:rPr>
        <w:t>del Instituto</w:t>
      </w:r>
      <w:r w:rsidRPr="006F4471">
        <w:rPr>
          <w:bCs/>
          <w:iCs/>
        </w:rPr>
        <w:t>, es apoyar a la población a acceder a la información pública y garantizar la protección de sus datos personales.</w:t>
      </w:r>
    </w:p>
    <w:p w14:paraId="22FAA93B" w14:textId="77777777" w:rsidR="00346F8F" w:rsidRPr="006F4471" w:rsidRDefault="00346F8F" w:rsidP="00893559">
      <w:pPr>
        <w:spacing w:after="0" w:line="360" w:lineRule="auto"/>
        <w:rPr>
          <w:bCs/>
        </w:rPr>
      </w:pPr>
    </w:p>
    <w:p w14:paraId="053AF84E" w14:textId="548E435F" w:rsidR="00346F8F" w:rsidRDefault="00346F8F" w:rsidP="00893559">
      <w:pPr>
        <w:spacing w:after="0" w:line="360" w:lineRule="auto"/>
        <w:rPr>
          <w:bCs/>
        </w:rPr>
      </w:pPr>
      <w:r w:rsidRPr="006F4471">
        <w:rPr>
          <w:bCs/>
        </w:rPr>
        <w:t>Por lo expuesto y fundado, este Pleno:</w:t>
      </w:r>
    </w:p>
    <w:p w14:paraId="70BB6E3F" w14:textId="77777777" w:rsidR="002103C4" w:rsidRPr="006F4471" w:rsidRDefault="002103C4" w:rsidP="00893559">
      <w:pPr>
        <w:spacing w:after="0" w:line="360" w:lineRule="auto"/>
        <w:rPr>
          <w:bCs/>
        </w:rPr>
      </w:pPr>
    </w:p>
    <w:p w14:paraId="3EDF4392" w14:textId="77777777" w:rsidR="00346F8F" w:rsidRDefault="00346F8F" w:rsidP="00893559">
      <w:pPr>
        <w:spacing w:after="0" w:line="360" w:lineRule="auto"/>
        <w:jc w:val="center"/>
        <w:rPr>
          <w:b/>
          <w:bCs/>
        </w:rPr>
      </w:pPr>
      <w:r w:rsidRPr="006F4471">
        <w:rPr>
          <w:b/>
          <w:bCs/>
        </w:rPr>
        <w:t>R E S U E L V E:</w:t>
      </w:r>
    </w:p>
    <w:p w14:paraId="0CF3AF88" w14:textId="77777777" w:rsidR="0048174A" w:rsidRPr="006F4471" w:rsidRDefault="0048174A" w:rsidP="00893559">
      <w:pPr>
        <w:spacing w:after="0" w:line="360" w:lineRule="auto"/>
        <w:jc w:val="center"/>
        <w:rPr>
          <w:b/>
          <w:bCs/>
        </w:rPr>
      </w:pPr>
    </w:p>
    <w:p w14:paraId="66E5DC21" w14:textId="238AED64" w:rsidR="00ED56F2" w:rsidRPr="002741AF" w:rsidRDefault="0048174A" w:rsidP="00893559">
      <w:pPr>
        <w:spacing w:after="0" w:line="360" w:lineRule="auto"/>
        <w:rPr>
          <w:rFonts w:eastAsia="Calibri"/>
        </w:rPr>
      </w:pPr>
      <w:r w:rsidRPr="0002262E">
        <w:rPr>
          <w:rFonts w:cs="Tahoma"/>
          <w:b/>
          <w:bCs/>
        </w:rPr>
        <w:t xml:space="preserve">PRIMERO. </w:t>
      </w:r>
      <w:r w:rsidRPr="0002262E">
        <w:rPr>
          <w:rFonts w:cs="Tahoma"/>
          <w:bCs/>
        </w:rPr>
        <w:t xml:space="preserve">Se </w:t>
      </w:r>
      <w:r>
        <w:rPr>
          <w:rFonts w:cs="Tahoma"/>
          <w:b/>
          <w:bCs/>
        </w:rPr>
        <w:t>REVOCA</w:t>
      </w:r>
      <w:r w:rsidRPr="0002262E">
        <w:rPr>
          <w:rFonts w:cs="Tahoma"/>
          <w:bCs/>
        </w:rPr>
        <w:t xml:space="preserve"> la respuesta entregada por </w:t>
      </w:r>
      <w:r w:rsidR="00ED56F2">
        <w:rPr>
          <w:rFonts w:cs="Tahoma"/>
          <w:bCs/>
        </w:rPr>
        <w:t xml:space="preserve">la </w:t>
      </w:r>
      <w:r w:rsidR="00CA2495" w:rsidRPr="00CA2495">
        <w:rPr>
          <w:rFonts w:eastAsia="Calibri" w:cs="Tahoma"/>
          <w:bCs/>
        </w:rPr>
        <w:t>Universidad Politécnica del Valle de Toluca</w:t>
      </w:r>
      <w:r w:rsidR="00ED56F2">
        <w:rPr>
          <w:rFonts w:eastAsia="Calibri" w:cs="Tahoma"/>
          <w:bCs/>
        </w:rPr>
        <w:t xml:space="preserve">, en cumplimiento a la </w:t>
      </w:r>
      <w:r w:rsidR="00ED56F2">
        <w:rPr>
          <w:rFonts w:eastAsia="Calibri"/>
        </w:rPr>
        <w:t xml:space="preserve">Resolución del Recurso de Revisión con </w:t>
      </w:r>
      <w:r w:rsidR="00ED56F2" w:rsidRPr="002741AF">
        <w:rPr>
          <w:rFonts w:eastAsia="Calibri"/>
        </w:rPr>
        <w:t xml:space="preserve">número </w:t>
      </w:r>
      <w:r w:rsidR="0075564B" w:rsidRPr="0075564B">
        <w:rPr>
          <w:rFonts w:eastAsia="Calibri"/>
        </w:rPr>
        <w:t>00181/INFOEM/IP/RR/2022</w:t>
      </w:r>
      <w:r w:rsidR="00ED56F2" w:rsidRPr="002741AF">
        <w:rPr>
          <w:rFonts w:eastAsia="Calibri"/>
        </w:rPr>
        <w:t xml:space="preserve">, por resultar </w:t>
      </w:r>
      <w:r w:rsidR="00ED56F2" w:rsidRPr="002741AF">
        <w:rPr>
          <w:rFonts w:eastAsia="Calibri"/>
          <w:b/>
          <w:bCs/>
        </w:rPr>
        <w:t>FUNDADOS</w:t>
      </w:r>
      <w:r w:rsidR="00ED56F2" w:rsidRPr="002741AF">
        <w:rPr>
          <w:rFonts w:eastAsia="Calibri"/>
        </w:rPr>
        <w:t xml:space="preserve"> los motivos de inconformidad vertidos por el Recurrente, en términos de los Considerandos </w:t>
      </w:r>
      <w:r w:rsidR="00ED56F2" w:rsidRPr="002741AF">
        <w:rPr>
          <w:rFonts w:eastAsia="Calibri"/>
          <w:b/>
          <w:bCs/>
        </w:rPr>
        <w:t>QUINTO y SEXTO</w:t>
      </w:r>
      <w:r w:rsidR="00ED56F2" w:rsidRPr="002741AF">
        <w:rPr>
          <w:rFonts w:eastAsia="Calibri"/>
        </w:rPr>
        <w:t xml:space="preserve"> de la presente Resolución.</w:t>
      </w:r>
    </w:p>
    <w:p w14:paraId="18F1D89B" w14:textId="2D176F14" w:rsidR="0048174A" w:rsidRDefault="0048174A" w:rsidP="00893559">
      <w:pPr>
        <w:spacing w:after="0" w:line="360" w:lineRule="auto"/>
        <w:contextualSpacing/>
        <w:rPr>
          <w:rFonts w:eastAsia="Calibri" w:cs="Tahoma"/>
          <w:bCs/>
        </w:rPr>
      </w:pPr>
    </w:p>
    <w:p w14:paraId="5EC8238B" w14:textId="5D526C38" w:rsidR="002103C4" w:rsidRDefault="0048174A" w:rsidP="00893559">
      <w:pPr>
        <w:spacing w:after="0" w:line="360" w:lineRule="auto"/>
        <w:rPr>
          <w:rFonts w:cs="Tahoma"/>
          <w:bCs/>
        </w:rPr>
      </w:pPr>
      <w:r w:rsidRPr="0002262E">
        <w:rPr>
          <w:rFonts w:cs="Tahoma"/>
          <w:b/>
          <w:bCs/>
        </w:rPr>
        <w:t xml:space="preserve">SEGUNDO. </w:t>
      </w:r>
      <w:r w:rsidRPr="0002262E">
        <w:rPr>
          <w:rFonts w:cs="Tahoma"/>
        </w:rPr>
        <w:t xml:space="preserve">Se </w:t>
      </w:r>
      <w:r w:rsidRPr="0002262E">
        <w:rPr>
          <w:rFonts w:cs="Tahoma"/>
          <w:b/>
        </w:rPr>
        <w:t xml:space="preserve">ORDENA </w:t>
      </w:r>
      <w:r w:rsidRPr="0002262E">
        <w:rPr>
          <w:rFonts w:cs="Tahoma"/>
          <w:bCs/>
        </w:rPr>
        <w:t xml:space="preserve">al </w:t>
      </w:r>
      <w:r w:rsidRPr="0002262E">
        <w:rPr>
          <w:rFonts w:cs="Tahoma"/>
        </w:rPr>
        <w:t>Ente Recurrido, a efecto de</w:t>
      </w:r>
      <w:r w:rsidRPr="0002262E">
        <w:rPr>
          <w:rFonts w:eastAsia="Calibri" w:cs="Tahoma"/>
          <w:lang w:eastAsia="es-MX"/>
        </w:rPr>
        <w:t xml:space="preserve"> que </w:t>
      </w:r>
      <w:r w:rsidR="00ED56F2">
        <w:t xml:space="preserve">previa búsqueda en todas las unidades administrativas competentes, </w:t>
      </w:r>
      <w:r w:rsidR="00ED56F2" w:rsidRPr="002741AF">
        <w:t>entregue, a través del Sistema de Acceso a la Información Mexiquense (SAIMEX</w:t>
      </w:r>
      <w:r w:rsidR="002103C4" w:rsidRPr="001138CB">
        <w:rPr>
          <w:rFonts w:cs="Tahoma"/>
          <w:bCs/>
        </w:rPr>
        <w:t>)</w:t>
      </w:r>
      <w:r w:rsidR="002103C4">
        <w:rPr>
          <w:rFonts w:cs="Tahoma"/>
          <w:bCs/>
        </w:rPr>
        <w:t>, en su caso, en versión pública, lo siguiente:</w:t>
      </w:r>
    </w:p>
    <w:p w14:paraId="3F087E36" w14:textId="77777777" w:rsidR="002103C4" w:rsidRDefault="002103C4" w:rsidP="00893559">
      <w:pPr>
        <w:spacing w:after="0" w:line="360" w:lineRule="auto"/>
        <w:rPr>
          <w:rFonts w:cs="Tahoma"/>
          <w:bCs/>
        </w:rPr>
      </w:pPr>
    </w:p>
    <w:p w14:paraId="59E8A6AB" w14:textId="77777777" w:rsidR="001E4CC8" w:rsidRPr="002103C4" w:rsidRDefault="001E4CC8" w:rsidP="001E4CC8">
      <w:pPr>
        <w:pStyle w:val="Prrafodelista"/>
        <w:numPr>
          <w:ilvl w:val="0"/>
          <w:numId w:val="19"/>
        </w:numPr>
        <w:spacing w:line="360" w:lineRule="auto"/>
        <w:rPr>
          <w:rFonts w:cs="Tahoma"/>
          <w:bCs/>
        </w:rPr>
      </w:pPr>
      <w:r w:rsidRPr="00C82C27">
        <w:rPr>
          <w:rFonts w:cs="Tahoma"/>
          <w:lang w:val="es-ES"/>
        </w:rPr>
        <w:t xml:space="preserve">Oficio número </w:t>
      </w:r>
      <w:r w:rsidRPr="005D57A0">
        <w:rPr>
          <w:rFonts w:cs="Tahoma"/>
          <w:lang w:val="es-ES"/>
        </w:rPr>
        <w:t>210C2801020002L/118/2022</w:t>
      </w:r>
      <w:r>
        <w:rPr>
          <w:rFonts w:cs="Tahoma"/>
          <w:lang w:val="es-ES"/>
        </w:rPr>
        <w:t>, entregado en el desahogo del requerimiento de información adicional;</w:t>
      </w:r>
    </w:p>
    <w:p w14:paraId="4D4EE123" w14:textId="77777777" w:rsidR="001E4CC8" w:rsidRPr="002103C4" w:rsidRDefault="001E4CC8" w:rsidP="001E4CC8">
      <w:pPr>
        <w:pStyle w:val="Prrafodelista"/>
        <w:spacing w:line="360" w:lineRule="auto"/>
        <w:rPr>
          <w:rFonts w:cs="Tahoma"/>
          <w:bCs/>
        </w:rPr>
      </w:pPr>
    </w:p>
    <w:p w14:paraId="661FCE95" w14:textId="77777777" w:rsidR="001E4CC8" w:rsidRPr="000D0D9C" w:rsidRDefault="001E4CC8" w:rsidP="001E4CC8">
      <w:pPr>
        <w:pStyle w:val="Prrafodelista"/>
        <w:numPr>
          <w:ilvl w:val="0"/>
          <w:numId w:val="19"/>
        </w:numPr>
        <w:spacing w:line="360" w:lineRule="auto"/>
        <w:rPr>
          <w:rFonts w:cs="Tahoma"/>
          <w:bCs/>
        </w:rPr>
      </w:pPr>
      <w:r w:rsidRPr="002103C4">
        <w:rPr>
          <w:rFonts w:cs="Tahoma"/>
          <w:lang w:val="es-ES"/>
        </w:rPr>
        <w:t xml:space="preserve">Los </w:t>
      </w:r>
      <w:r>
        <w:rPr>
          <w:rFonts w:cs="Tahoma"/>
          <w:lang w:val="es-ES"/>
        </w:rPr>
        <w:t>recibos de pago de nómina (no podrá omitir los entregados en el desahogo del requerimiento de información adicional) o en su caso, documento donde conste las remuneraciones pagadas, del diecinueve de diciembre de dos mil trece al treinta y uno de agosto de dos mil dieciséis.</w:t>
      </w:r>
    </w:p>
    <w:p w14:paraId="754BF26A" w14:textId="77777777" w:rsidR="002103C4" w:rsidRDefault="002103C4" w:rsidP="00893559">
      <w:pPr>
        <w:spacing w:after="0" w:line="360" w:lineRule="auto"/>
        <w:rPr>
          <w:rFonts w:eastAsia="Times New Roman" w:cs="Tahoma"/>
          <w:iCs/>
          <w:lang w:val="es-ES_tradnl" w:eastAsia="es-ES"/>
        </w:rPr>
      </w:pPr>
    </w:p>
    <w:p w14:paraId="7D9FB2A2" w14:textId="77777777" w:rsidR="002103C4" w:rsidRDefault="002103C4" w:rsidP="00893559">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294E0DE" w14:textId="77777777" w:rsidR="002103C4" w:rsidRPr="00BD7EFB" w:rsidRDefault="002103C4" w:rsidP="00893559">
      <w:pPr>
        <w:spacing w:after="0" w:line="360" w:lineRule="auto"/>
        <w:rPr>
          <w:rFonts w:eastAsia="Times New Roman" w:cs="Tahoma"/>
          <w:iCs/>
          <w:lang w:val="es-ES_tradnl" w:eastAsia="es-ES"/>
        </w:rPr>
      </w:pPr>
    </w:p>
    <w:p w14:paraId="30769796" w14:textId="7014D6F2" w:rsidR="00A250BD" w:rsidRDefault="00A250BD" w:rsidP="00893559">
      <w:pPr>
        <w:spacing w:after="0" w:line="360" w:lineRule="auto"/>
        <w:rPr>
          <w:rFonts w:eastAsia="Times New Roman" w:cs="Tahoma"/>
          <w:bCs/>
          <w:szCs w:val="24"/>
          <w:lang w:eastAsia="es-ES"/>
        </w:rPr>
      </w:pPr>
      <w:r w:rsidRPr="00A250BD">
        <w:rPr>
          <w:rFonts w:eastAsia="Times New Roman" w:cs="Tahoma"/>
          <w:b/>
          <w:bCs/>
          <w:szCs w:val="24"/>
          <w:lang w:val="es-ES_tradnl" w:eastAsia="es-ES"/>
        </w:rPr>
        <w:t>TERCERO.</w:t>
      </w:r>
      <w:r w:rsidRPr="00A250BD">
        <w:rPr>
          <w:rFonts w:eastAsia="Times New Roman" w:cs="Tahoma"/>
          <w:b/>
          <w:bCs/>
          <w:szCs w:val="24"/>
          <w:lang w:eastAsia="es-ES"/>
        </w:rPr>
        <w:t xml:space="preserve"> NOTIFÍQUESE </w:t>
      </w:r>
      <w:r w:rsidRPr="00A250BD">
        <w:rPr>
          <w:rFonts w:eastAsia="Times New Roman" w:cs="Tahoma"/>
          <w:bCs/>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0A2224B" w14:textId="77777777" w:rsidR="00A250BD" w:rsidRPr="00A250BD" w:rsidRDefault="00A250BD" w:rsidP="00893559">
      <w:pPr>
        <w:spacing w:after="0" w:line="360" w:lineRule="auto"/>
        <w:rPr>
          <w:rFonts w:eastAsia="Times New Roman" w:cs="Tahoma"/>
          <w:bCs/>
          <w:szCs w:val="24"/>
          <w:lang w:eastAsia="es-ES"/>
        </w:rPr>
      </w:pPr>
    </w:p>
    <w:p w14:paraId="770A780D" w14:textId="77777777" w:rsidR="00A250BD" w:rsidRPr="00A250BD" w:rsidRDefault="00A250BD" w:rsidP="00893559">
      <w:pPr>
        <w:spacing w:after="0" w:line="360" w:lineRule="auto"/>
        <w:rPr>
          <w:rFonts w:eastAsia="Times New Roman" w:cs="Tahoma"/>
          <w:bCs/>
          <w:iCs/>
          <w:szCs w:val="24"/>
          <w:lang w:eastAsia="es-ES"/>
        </w:rPr>
      </w:pPr>
      <w:bookmarkStart w:id="3" w:name="_Hlk61509110"/>
      <w:r w:rsidRPr="00A250BD">
        <w:rPr>
          <w:rFonts w:eastAsia="Times New Roman" w:cs="Tahoma"/>
          <w:bCs/>
          <w:iCs/>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3"/>
    </w:p>
    <w:p w14:paraId="67AC7EA2" w14:textId="77777777" w:rsidR="00A250BD" w:rsidRPr="00A250BD" w:rsidRDefault="00A250BD" w:rsidP="00893559">
      <w:pPr>
        <w:spacing w:after="0" w:line="360" w:lineRule="auto"/>
        <w:rPr>
          <w:rFonts w:eastAsia="Times New Roman" w:cs="Tahoma"/>
          <w:bCs/>
          <w:szCs w:val="24"/>
          <w:lang w:eastAsia="es-ES"/>
        </w:rPr>
      </w:pPr>
    </w:p>
    <w:p w14:paraId="5F830D0D" w14:textId="77777777" w:rsidR="00A250BD" w:rsidRPr="00A250BD" w:rsidRDefault="00A250BD" w:rsidP="00893559">
      <w:pPr>
        <w:spacing w:after="0" w:line="360" w:lineRule="auto"/>
        <w:rPr>
          <w:rFonts w:eastAsia="Times New Roman" w:cs="Tahoma"/>
          <w:bCs/>
          <w:szCs w:val="24"/>
          <w:lang w:eastAsia="es-ES"/>
        </w:rPr>
      </w:pPr>
      <w:r w:rsidRPr="00A250BD">
        <w:rPr>
          <w:rFonts w:eastAsia="Times New Roman" w:cs="Tahoma"/>
          <w:b/>
          <w:bCs/>
          <w:szCs w:val="24"/>
          <w:lang w:eastAsia="es-ES"/>
        </w:rPr>
        <w:t>CUARTO. NOTIFÍQUESE</w:t>
      </w:r>
      <w:r w:rsidRPr="00A250BD">
        <w:rPr>
          <w:rFonts w:eastAsia="Times New Roman" w:cs="Tahoma"/>
          <w:bCs/>
          <w:szCs w:val="24"/>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A455A5" w14:textId="77777777" w:rsidR="00A250BD" w:rsidRPr="006F4471" w:rsidRDefault="00A250BD" w:rsidP="00893559">
      <w:pPr>
        <w:spacing w:after="0" w:line="360" w:lineRule="auto"/>
        <w:rPr>
          <w:bCs/>
        </w:rPr>
      </w:pPr>
    </w:p>
    <w:p w14:paraId="57C130AB" w14:textId="35A33B87" w:rsidR="00346F8F" w:rsidRDefault="004E4B8B" w:rsidP="00893559">
      <w:pPr>
        <w:spacing w:after="0" w:line="360" w:lineRule="auto"/>
        <w:rPr>
          <w:rFonts w:cs="Tahoma"/>
          <w:lang w:eastAsia="es-MX"/>
        </w:rPr>
      </w:pPr>
      <w:r w:rsidRPr="006F4471">
        <w:rPr>
          <w:rFonts w:cs="Tahoma"/>
          <w:lang w:eastAsia="es-MX"/>
        </w:rPr>
        <w:t xml:space="preserve">ASÍ, POR </w:t>
      </w:r>
      <w:r w:rsidRPr="006F4471">
        <w:rPr>
          <w:rFonts w:cs="Tahoma"/>
          <w:b/>
          <w:lang w:eastAsia="es-MX"/>
        </w:rPr>
        <w:t>UNANIMIDAD</w:t>
      </w:r>
      <w:r w:rsidRPr="006F4471">
        <w:rPr>
          <w:rFonts w:cs="Tahoma"/>
          <w:lang w:eastAsia="es-MX"/>
        </w:rPr>
        <w:t xml:space="preserve"> DE VOTOS, LO RESOLVIERON Y FIRMAN LOS COMISIONADOS DEL INSTITUTO DE TRANSPARENCIA, ACCESO A LA INFORMACIÓN PÚBLICA Y PROTECCIÓN DE DATOS PERSONALES DEL ESTADO DE MÉXICO Y MUNICIPIOS, </w:t>
      </w:r>
      <w:r w:rsidRPr="006F4471">
        <w:rPr>
          <w:rFonts w:cs="Tahoma"/>
          <w:bCs/>
          <w:lang w:eastAsia="es-MX"/>
        </w:rPr>
        <w:t>CONFORMADO POR LOS COMISIONADOS JOSÉ MARTÍNEZ VILCHIS, MARÍA DEL ROSARIO MEJÍA AYALA, SHARON CRISTINA MORALES MARTÍNEZ, LUIS GUSTAVO PARRA NORIEGA Y GUADALUPE RAMÍREZ PEÑA</w:t>
      </w:r>
      <w:r w:rsidRPr="006F4471">
        <w:rPr>
          <w:rFonts w:cs="Tahoma"/>
          <w:lang w:eastAsia="es-MX"/>
        </w:rPr>
        <w:t xml:space="preserve">, EN LA </w:t>
      </w:r>
      <w:r w:rsidR="00B57A0E">
        <w:rPr>
          <w:rFonts w:cs="Tahoma"/>
          <w:lang w:eastAsia="es-MX"/>
        </w:rPr>
        <w:t>DÉCIMA SEGUNDA</w:t>
      </w:r>
      <w:r w:rsidRPr="006F4471">
        <w:rPr>
          <w:rFonts w:cs="Tahoma"/>
          <w:lang w:eastAsia="es-MX"/>
        </w:rPr>
        <w:t xml:space="preserve"> SESIÓN ORDINARIA, CELEBRADA EL </w:t>
      </w:r>
      <w:r w:rsidR="00B57A0E">
        <w:rPr>
          <w:rFonts w:eastAsia="Times New Roman" w:cs="Tahoma"/>
          <w:bCs/>
          <w:lang w:eastAsia="es-ES"/>
        </w:rPr>
        <w:t>TREINTA</w:t>
      </w:r>
      <w:r w:rsidRPr="006F4471">
        <w:rPr>
          <w:rFonts w:eastAsia="Times New Roman" w:cs="Tahoma"/>
          <w:bCs/>
          <w:lang w:eastAsia="es-ES"/>
        </w:rPr>
        <w:t xml:space="preserve"> DE MARZO DE DOS MIL VEINTIDÓS</w:t>
      </w:r>
      <w:r w:rsidRPr="006F4471">
        <w:rPr>
          <w:rFonts w:cs="Tahoma"/>
          <w:lang w:eastAsia="es-MX"/>
        </w:rPr>
        <w:t>, ANTE EL SECRETARIO TÉCNICO DEL PLENO, ALEXIS TAPIA RAMÍREZ.</w:t>
      </w:r>
    </w:p>
    <w:p w14:paraId="522F6A41" w14:textId="01C4A5AB" w:rsidR="00292F05" w:rsidRDefault="00292F05">
      <w:pPr>
        <w:jc w:val="left"/>
        <w:rPr>
          <w:rFonts w:cs="Tahoma"/>
          <w:lang w:eastAsia="es-MX"/>
        </w:rPr>
      </w:pPr>
      <w:r>
        <w:rPr>
          <w:rFonts w:cs="Tahoma"/>
          <w:lang w:eastAsia="es-MX"/>
        </w:rPr>
        <w:br w:type="page"/>
      </w:r>
    </w:p>
    <w:p w14:paraId="701449FD" w14:textId="77777777" w:rsidR="001E4CC8" w:rsidRDefault="001E4CC8" w:rsidP="00893559">
      <w:pPr>
        <w:spacing w:after="0" w:line="360" w:lineRule="auto"/>
        <w:rPr>
          <w:rFonts w:cs="Tahoma"/>
          <w:lang w:eastAsia="es-MX"/>
        </w:rPr>
      </w:pPr>
    </w:p>
    <w:sectPr w:rsidR="001E4CC8" w:rsidSect="00CE563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64B3" w14:textId="77777777" w:rsidR="00074C4D" w:rsidRDefault="00074C4D" w:rsidP="009429C6">
      <w:pPr>
        <w:spacing w:after="0" w:line="240" w:lineRule="auto"/>
      </w:pPr>
      <w:r>
        <w:separator/>
      </w:r>
    </w:p>
  </w:endnote>
  <w:endnote w:type="continuationSeparator" w:id="0">
    <w:p w14:paraId="4502B2F1" w14:textId="77777777" w:rsidR="00074C4D" w:rsidRDefault="00074C4D" w:rsidP="0094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52CD"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p w14:paraId="4B1240E3" w14:textId="77777777" w:rsidR="00CE563A" w:rsidRDefault="00CE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14769"/>
      <w:docPartObj>
        <w:docPartGallery w:val="Page Numbers (Bottom of Page)"/>
        <w:docPartUnique/>
      </w:docPartObj>
    </w:sdtPr>
    <w:sdtEndPr/>
    <w:sdtContent>
      <w:sdt>
        <w:sdtPr>
          <w:id w:val="306062815"/>
          <w:docPartObj>
            <w:docPartGallery w:val="Page Numbers (Top of Page)"/>
            <w:docPartUnique/>
          </w:docPartObj>
        </w:sdtPr>
        <w:sdtEndPr/>
        <w:sdtContent>
          <w:p w14:paraId="1C6AB3B5"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4466">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4466">
              <w:rPr>
                <w:b/>
                <w:bCs/>
                <w:noProof/>
              </w:rPr>
              <w:t>39</w:t>
            </w:r>
            <w:r>
              <w:rPr>
                <w:b/>
                <w:bCs/>
                <w:sz w:val="24"/>
                <w:szCs w:val="24"/>
              </w:rPr>
              <w:fldChar w:fldCharType="end"/>
            </w:r>
          </w:p>
        </w:sdtContent>
      </w:sdt>
    </w:sdtContent>
  </w:sdt>
  <w:p w14:paraId="447CDEF3" w14:textId="77777777" w:rsidR="00CE563A" w:rsidRDefault="00CE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F4A"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231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231E1">
      <w:rPr>
        <w:b/>
        <w:bCs/>
        <w:noProof/>
      </w:rPr>
      <w:t>39</w:t>
    </w:r>
    <w:r>
      <w:rPr>
        <w:b/>
        <w:bCs/>
        <w:sz w:val="24"/>
        <w:szCs w:val="24"/>
      </w:rPr>
      <w:fldChar w:fldCharType="end"/>
    </w:r>
  </w:p>
  <w:p w14:paraId="4446DAEC" w14:textId="77777777" w:rsidR="00CE563A" w:rsidRDefault="00CE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D805" w14:textId="77777777" w:rsidR="00074C4D" w:rsidRDefault="00074C4D" w:rsidP="009429C6">
      <w:pPr>
        <w:spacing w:after="0" w:line="240" w:lineRule="auto"/>
      </w:pPr>
      <w:r>
        <w:separator/>
      </w:r>
    </w:p>
  </w:footnote>
  <w:footnote w:type="continuationSeparator" w:id="0">
    <w:p w14:paraId="303612F3" w14:textId="77777777" w:rsidR="00074C4D" w:rsidRDefault="00074C4D" w:rsidP="0094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3937" w14:textId="77777777" w:rsidR="00CE563A" w:rsidRPr="002A5603" w:rsidRDefault="00CE563A">
    <w:pPr>
      <w:rPr>
        <w:sz w:val="18"/>
      </w:rPr>
    </w:pPr>
  </w:p>
  <w:tbl>
    <w:tblPr>
      <w:tblStyle w:val="Tablaconcuadrcula"/>
      <w:tblW w:w="6662" w:type="dxa"/>
      <w:tblInd w:w="3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83"/>
      <w:gridCol w:w="4279"/>
    </w:tblGrid>
    <w:tr w:rsidR="00CE563A" w14:paraId="37AFB6D4" w14:textId="77777777" w:rsidTr="00CE563A">
      <w:trPr>
        <w:trHeight w:val="130"/>
      </w:trPr>
      <w:tc>
        <w:tcPr>
          <w:tcW w:w="2383" w:type="dxa"/>
        </w:tcPr>
        <w:p w14:paraId="4727DDE7" w14:textId="77777777" w:rsidR="00CE563A" w:rsidRPr="001B5FB6" w:rsidRDefault="00CE563A" w:rsidP="00CE563A">
          <w:pPr>
            <w:tabs>
              <w:tab w:val="right" w:pos="8838"/>
            </w:tabs>
            <w:ind w:right="-105"/>
            <w:jc w:val="left"/>
            <w:rPr>
              <w:rFonts w:eastAsia="Calibri" w:cs="Tahoma"/>
              <w:b/>
              <w:lang w:val="es-MX"/>
            </w:rPr>
          </w:pPr>
          <w:r w:rsidRPr="001B5FB6">
            <w:rPr>
              <w:rFonts w:eastAsia="Calibri" w:cs="Tahoma"/>
              <w:b/>
              <w:lang w:val="es-MX"/>
            </w:rPr>
            <w:t>Recurso de Revisión:</w:t>
          </w:r>
        </w:p>
      </w:tc>
      <w:tc>
        <w:tcPr>
          <w:tcW w:w="4279" w:type="dxa"/>
        </w:tcPr>
        <w:p w14:paraId="5F78C879" w14:textId="77777777" w:rsidR="00CE563A" w:rsidRPr="00A168EB" w:rsidRDefault="00CE563A" w:rsidP="00CE563A">
          <w:pPr>
            <w:tabs>
              <w:tab w:val="right" w:pos="8838"/>
            </w:tabs>
            <w:ind w:left="-28" w:right="33"/>
            <w:rPr>
              <w:rFonts w:eastAsia="Calibri" w:cs="Tahoma"/>
              <w:bCs/>
            </w:rPr>
          </w:pPr>
          <w:r>
            <w:rPr>
              <w:rFonts w:eastAsia="Calibri" w:cs="Tahoma"/>
              <w:bCs/>
              <w:lang w:val="es-MX"/>
            </w:rPr>
            <w:t>00396/INFOEM/ICR-41/IP/RR/2021</w:t>
          </w:r>
        </w:p>
      </w:tc>
    </w:tr>
    <w:tr w:rsidR="00CE563A" w14:paraId="7B6E6229" w14:textId="77777777" w:rsidTr="00CE563A">
      <w:trPr>
        <w:trHeight w:val="255"/>
      </w:trPr>
      <w:tc>
        <w:tcPr>
          <w:tcW w:w="2383" w:type="dxa"/>
        </w:tcPr>
        <w:p w14:paraId="6B05B9EE"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4279" w:type="dxa"/>
        </w:tcPr>
        <w:p w14:paraId="55BAD446" w14:textId="77777777" w:rsidR="00CE563A" w:rsidRPr="00A168EB" w:rsidRDefault="00CE563A" w:rsidP="00CE563A">
          <w:pPr>
            <w:tabs>
              <w:tab w:val="right" w:pos="8838"/>
            </w:tabs>
            <w:ind w:right="33"/>
            <w:rPr>
              <w:rFonts w:eastAsia="Calibri" w:cs="Tahoma"/>
              <w:lang w:val="es-MX"/>
            </w:rPr>
          </w:pPr>
          <w:r w:rsidRPr="009747A1">
            <w:rPr>
              <w:rFonts w:eastAsia="Calibri" w:cs="Tahoma"/>
              <w:bCs/>
              <w:lang w:val="es-MX"/>
            </w:rPr>
            <w:t xml:space="preserve">Ayuntamiento de </w:t>
          </w:r>
          <w:r>
            <w:rPr>
              <w:rFonts w:eastAsia="Calibri" w:cs="Tahoma"/>
              <w:bCs/>
              <w:lang w:val="es-MX"/>
            </w:rPr>
            <w:t>Tenango del Aire</w:t>
          </w:r>
        </w:p>
      </w:tc>
    </w:tr>
    <w:tr w:rsidR="00CE563A" w14:paraId="1BF47E59" w14:textId="77777777" w:rsidTr="00CE563A">
      <w:trPr>
        <w:trHeight w:val="255"/>
      </w:trPr>
      <w:tc>
        <w:tcPr>
          <w:tcW w:w="2383" w:type="dxa"/>
        </w:tcPr>
        <w:p w14:paraId="54B8ABD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4279" w:type="dxa"/>
        </w:tcPr>
        <w:p w14:paraId="4BA53524" w14:textId="77777777" w:rsidR="00CE563A" w:rsidRPr="001B5FB6" w:rsidRDefault="00CE563A" w:rsidP="00CE563A">
          <w:pPr>
            <w:tabs>
              <w:tab w:val="right" w:pos="8838"/>
            </w:tabs>
            <w:ind w:right="33"/>
            <w:rPr>
              <w:rFonts w:eastAsia="Calibri" w:cs="Tahoma"/>
              <w:b/>
              <w:lang w:val="es-MX"/>
            </w:rPr>
          </w:pPr>
          <w:r w:rsidRPr="001B5FB6">
            <w:rPr>
              <w:rFonts w:eastAsia="Calibri" w:cs="Tahoma"/>
              <w:lang w:val="es-MX"/>
            </w:rPr>
            <w:t>Luis Gustavo Parra Noriega</w:t>
          </w:r>
        </w:p>
      </w:tc>
    </w:tr>
  </w:tbl>
  <w:p w14:paraId="0D9FCEC3" w14:textId="77777777" w:rsidR="00CE563A" w:rsidRDefault="00074C4D">
    <w:pPr>
      <w:pStyle w:val="Encabezado"/>
    </w:pPr>
    <w:r>
      <w:rPr>
        <w:noProof/>
      </w:rPr>
      <w:pict w14:anchorId="530D9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60"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552"/>
      <w:gridCol w:w="6662"/>
    </w:tblGrid>
    <w:tr w:rsidR="00CE563A" w:rsidRPr="005C106F" w14:paraId="444BA189" w14:textId="77777777" w:rsidTr="000308A6">
      <w:tc>
        <w:tcPr>
          <w:tcW w:w="2552" w:type="dxa"/>
          <w:shd w:val="clear" w:color="auto" w:fill="auto"/>
        </w:tcPr>
        <w:p w14:paraId="1351BEEF" w14:textId="77777777" w:rsidR="00CE563A" w:rsidRPr="005C106F" w:rsidRDefault="00CE563A" w:rsidP="00CE563A">
          <w:pPr>
            <w:tabs>
              <w:tab w:val="right" w:pos="4273"/>
            </w:tabs>
            <w:rPr>
              <w:rFonts w:ascii="Garamond" w:eastAsia="Calibri" w:hAnsi="Garamond"/>
              <w:sz w:val="16"/>
              <w:szCs w:val="16"/>
            </w:rPr>
          </w:pPr>
        </w:p>
      </w:tc>
      <w:tc>
        <w:tcPr>
          <w:tcW w:w="6662" w:type="dxa"/>
          <w:shd w:val="clear" w:color="auto" w:fill="auto"/>
        </w:tcPr>
        <w:p w14:paraId="42169FCE" w14:textId="77777777" w:rsidR="00CE563A" w:rsidRPr="003A7326" w:rsidRDefault="00CE563A">
          <w:pPr>
            <w:rPr>
              <w:sz w:val="6"/>
              <w:szCs w:val="6"/>
            </w:rPr>
          </w:pPr>
        </w:p>
        <w:tbl>
          <w:tblPr>
            <w:tblStyle w:val="Tablaconcuadrcula"/>
            <w:tblW w:w="6022"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99"/>
            <w:gridCol w:w="3623"/>
          </w:tblGrid>
          <w:tr w:rsidR="00CE563A" w14:paraId="08AF014D" w14:textId="77777777" w:rsidTr="000308A6">
            <w:trPr>
              <w:trHeight w:val="105"/>
            </w:trPr>
            <w:tc>
              <w:tcPr>
                <w:tcW w:w="2399" w:type="dxa"/>
              </w:tcPr>
              <w:p w14:paraId="78FD7886"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Recurso de Revisión:</w:t>
                </w:r>
              </w:p>
            </w:tc>
            <w:tc>
              <w:tcPr>
                <w:tcW w:w="3623" w:type="dxa"/>
              </w:tcPr>
              <w:p w14:paraId="2F05B2F4" w14:textId="178EDFEB" w:rsidR="00CE563A" w:rsidRPr="00A168EB" w:rsidRDefault="000308A6" w:rsidP="000308A6">
                <w:pPr>
                  <w:tabs>
                    <w:tab w:val="right" w:pos="8838"/>
                  </w:tabs>
                  <w:ind w:right="683"/>
                  <w:rPr>
                    <w:rFonts w:eastAsia="Calibri" w:cs="Tahoma"/>
                    <w:bCs/>
                  </w:rPr>
                </w:pPr>
                <w:r w:rsidRPr="000308A6">
                  <w:rPr>
                    <w:rFonts w:eastAsia="Calibri" w:cs="Tahoma"/>
                    <w:bCs/>
                    <w:lang w:val="es-MX"/>
                  </w:rPr>
                  <w:t>00181/INFOEM/IP/RR/2022</w:t>
                </w:r>
              </w:p>
            </w:tc>
          </w:tr>
          <w:tr w:rsidR="00CE563A" w14:paraId="22A98619" w14:textId="77777777" w:rsidTr="000308A6">
            <w:trPr>
              <w:trHeight w:val="207"/>
            </w:trPr>
            <w:tc>
              <w:tcPr>
                <w:tcW w:w="2399" w:type="dxa"/>
              </w:tcPr>
              <w:p w14:paraId="3CD1A57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3623" w:type="dxa"/>
              </w:tcPr>
              <w:p w14:paraId="51C58C70" w14:textId="0E9C26F3" w:rsidR="00CE563A" w:rsidRPr="00A168EB" w:rsidRDefault="000308A6" w:rsidP="00CE563A">
                <w:pPr>
                  <w:tabs>
                    <w:tab w:val="right" w:pos="8838"/>
                  </w:tabs>
                  <w:ind w:right="116"/>
                  <w:rPr>
                    <w:rFonts w:eastAsia="Calibri" w:cs="Tahoma"/>
                    <w:lang w:val="es-MX"/>
                  </w:rPr>
                </w:pPr>
                <w:r w:rsidRPr="000308A6">
                  <w:rPr>
                    <w:rFonts w:eastAsia="Calibri" w:cs="Tahoma"/>
                    <w:bCs/>
                    <w:lang w:val="es-MX"/>
                  </w:rPr>
                  <w:t>Universidad Politécnica del Valle de Toluca</w:t>
                </w:r>
              </w:p>
            </w:tc>
          </w:tr>
          <w:tr w:rsidR="00CE563A" w14:paraId="58B6D0B7" w14:textId="77777777" w:rsidTr="000308A6">
            <w:trPr>
              <w:trHeight w:val="207"/>
            </w:trPr>
            <w:tc>
              <w:tcPr>
                <w:tcW w:w="2399" w:type="dxa"/>
              </w:tcPr>
              <w:p w14:paraId="5C8A25A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3623" w:type="dxa"/>
              </w:tcPr>
              <w:p w14:paraId="3AD356D4" w14:textId="77777777" w:rsidR="00CE563A" w:rsidRPr="001B5FB6" w:rsidRDefault="00CE563A" w:rsidP="00CE563A">
                <w:pPr>
                  <w:tabs>
                    <w:tab w:val="right" w:pos="8838"/>
                  </w:tabs>
                  <w:ind w:right="-32"/>
                  <w:rPr>
                    <w:rFonts w:eastAsia="Calibri" w:cs="Tahoma"/>
                    <w:b/>
                    <w:lang w:val="es-MX"/>
                  </w:rPr>
                </w:pPr>
                <w:r w:rsidRPr="001B5FB6">
                  <w:rPr>
                    <w:rFonts w:eastAsia="Calibri" w:cs="Tahoma"/>
                    <w:lang w:val="es-MX"/>
                  </w:rPr>
                  <w:t>Luis Gustavo Parra Noriega</w:t>
                </w:r>
              </w:p>
            </w:tc>
          </w:tr>
        </w:tbl>
        <w:p w14:paraId="7871E42E" w14:textId="77777777" w:rsidR="00CE563A" w:rsidRPr="005C106F" w:rsidRDefault="00CE563A" w:rsidP="00CE563A">
          <w:pPr>
            <w:tabs>
              <w:tab w:val="right" w:pos="8838"/>
            </w:tabs>
            <w:ind w:left="-28"/>
            <w:rPr>
              <w:rFonts w:ascii="Arial" w:eastAsia="Calibri" w:hAnsi="Arial" w:cs="Arial"/>
              <w:b/>
            </w:rPr>
          </w:pPr>
        </w:p>
      </w:tc>
    </w:tr>
  </w:tbl>
  <w:p w14:paraId="2480E31B" w14:textId="77777777" w:rsidR="00CE563A" w:rsidRDefault="00074C4D">
    <w:pPr>
      <w:pStyle w:val="Encabezado"/>
    </w:pPr>
    <w:r>
      <w:rPr>
        <w:noProof/>
      </w:rPr>
      <w:pict w14:anchorId="4BCFB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61" o:spid="_x0000_s1027" type="#_x0000_t75" style="position:absolute;left:0;text-align:left;margin-left:-102.35pt;margin-top:-124.95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3" w:type="dxa"/>
      <w:tblLayout w:type="fixed"/>
      <w:tblLook w:val="04A0" w:firstRow="1" w:lastRow="0" w:firstColumn="1" w:lastColumn="0" w:noHBand="0" w:noVBand="1"/>
    </w:tblPr>
    <w:tblGrid>
      <w:gridCol w:w="2410"/>
      <w:gridCol w:w="6863"/>
    </w:tblGrid>
    <w:tr w:rsidR="00CE563A" w:rsidRPr="005C106F" w14:paraId="6798E802" w14:textId="77777777" w:rsidTr="6CDE1F1C">
      <w:trPr>
        <w:trHeight w:val="1614"/>
      </w:trPr>
      <w:tc>
        <w:tcPr>
          <w:tcW w:w="2410" w:type="dxa"/>
          <w:shd w:val="clear" w:color="auto" w:fill="auto"/>
        </w:tcPr>
        <w:p w14:paraId="6552834F" w14:textId="77777777" w:rsidR="00CE563A" w:rsidRPr="005C106F" w:rsidRDefault="00CE563A" w:rsidP="00CE563A">
          <w:pPr>
            <w:tabs>
              <w:tab w:val="right" w:pos="4273"/>
            </w:tabs>
            <w:ind w:hanging="105"/>
            <w:rPr>
              <w:rFonts w:ascii="Garamond" w:eastAsia="Calibri" w:hAnsi="Garamond"/>
              <w:sz w:val="16"/>
              <w:szCs w:val="16"/>
            </w:rPr>
          </w:pPr>
        </w:p>
      </w:tc>
      <w:tc>
        <w:tcPr>
          <w:tcW w:w="6863" w:type="dxa"/>
          <w:shd w:val="clear" w:color="auto" w:fill="auto"/>
        </w:tcPr>
        <w:p w14:paraId="29845387" w14:textId="77777777" w:rsidR="00CE563A" w:rsidRPr="00D344DE" w:rsidRDefault="00CE563A">
          <w:pPr>
            <w:rPr>
              <w:sz w:val="14"/>
              <w:szCs w:val="14"/>
            </w:rPr>
          </w:pPr>
        </w:p>
        <w:tbl>
          <w:tblPr>
            <w:tblStyle w:val="Tablaconcuadrcula"/>
            <w:tblW w:w="5529" w:type="dxa"/>
            <w:tblInd w:w="1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8"/>
            <w:gridCol w:w="3091"/>
          </w:tblGrid>
          <w:tr w:rsidR="00CE563A" w14:paraId="7C1691BC" w14:textId="77777777" w:rsidTr="6CDE1F1C">
            <w:trPr>
              <w:trHeight w:val="135"/>
            </w:trPr>
            <w:tc>
              <w:tcPr>
                <w:tcW w:w="2438" w:type="dxa"/>
              </w:tcPr>
              <w:p w14:paraId="5485361D"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Recurso de Revisión:</w:t>
                </w:r>
              </w:p>
            </w:tc>
            <w:tc>
              <w:tcPr>
                <w:tcW w:w="3091" w:type="dxa"/>
              </w:tcPr>
              <w:p w14:paraId="1579C8BC" w14:textId="0CD3A561" w:rsidR="00CE563A" w:rsidRPr="00A168EB" w:rsidRDefault="00BF09FA" w:rsidP="00BF09FA">
                <w:pPr>
                  <w:tabs>
                    <w:tab w:val="right" w:pos="8838"/>
                  </w:tabs>
                  <w:ind w:right="121"/>
                  <w:rPr>
                    <w:rFonts w:eastAsia="Calibri" w:cs="Tahoma"/>
                    <w:bCs/>
                  </w:rPr>
                </w:pPr>
                <w:r w:rsidRPr="00BF09FA">
                  <w:rPr>
                    <w:rFonts w:eastAsia="Calibri" w:cs="Tahoma"/>
                    <w:bCs/>
                    <w:lang w:val="es-MX"/>
                  </w:rPr>
                  <w:t>00181/INFOEM/IP/RR/2022</w:t>
                </w:r>
              </w:p>
            </w:tc>
          </w:tr>
          <w:tr w:rsidR="00CE563A" w14:paraId="438B1D4E" w14:textId="77777777" w:rsidTr="6CDE1F1C">
            <w:trPr>
              <w:trHeight w:val="135"/>
            </w:trPr>
            <w:tc>
              <w:tcPr>
                <w:tcW w:w="2438" w:type="dxa"/>
              </w:tcPr>
              <w:p w14:paraId="08E1D768"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Recurrente:</w:t>
                </w:r>
              </w:p>
            </w:tc>
            <w:tc>
              <w:tcPr>
                <w:tcW w:w="3091" w:type="dxa"/>
              </w:tcPr>
              <w:p w14:paraId="5B1158DE" w14:textId="00DE26A1" w:rsidR="00CE563A" w:rsidRPr="00EC708B" w:rsidRDefault="6CDE1F1C" w:rsidP="6CDE1F1C">
                <w:pPr>
                  <w:tabs>
                    <w:tab w:val="right" w:pos="8838"/>
                  </w:tabs>
                  <w:spacing w:line="259" w:lineRule="auto"/>
                  <w:ind w:right="-32"/>
                  <w:rPr>
                    <w:rFonts w:eastAsia="Calibri"/>
                    <w:lang w:val="es-MX"/>
                  </w:rPr>
                </w:pPr>
                <w:r w:rsidRPr="6CDE1F1C">
                  <w:rPr>
                    <w:rFonts w:eastAsia="Calibri" w:cs="Tahoma"/>
                    <w:highlight w:val="black"/>
                    <w:lang w:val="es-MX"/>
                  </w:rPr>
                  <w:t>XXXXXXXXXXXXX</w:t>
                </w:r>
              </w:p>
            </w:tc>
          </w:tr>
          <w:tr w:rsidR="00CE563A" w14:paraId="629DD67E" w14:textId="77777777" w:rsidTr="6CDE1F1C">
            <w:trPr>
              <w:trHeight w:val="266"/>
            </w:trPr>
            <w:tc>
              <w:tcPr>
                <w:tcW w:w="2438" w:type="dxa"/>
              </w:tcPr>
              <w:p w14:paraId="4AF01F50"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3091" w:type="dxa"/>
              </w:tcPr>
              <w:p w14:paraId="78EE2211" w14:textId="263E1A0F" w:rsidR="00CE563A" w:rsidRPr="009429C6" w:rsidRDefault="002B2B7B" w:rsidP="00CE563A">
                <w:pPr>
                  <w:tabs>
                    <w:tab w:val="right" w:pos="8838"/>
                  </w:tabs>
                  <w:rPr>
                    <w:rFonts w:eastAsia="Calibri" w:cs="Tahoma"/>
                    <w:lang w:val="es-MX"/>
                  </w:rPr>
                </w:pPr>
                <w:r w:rsidRPr="002B2B7B">
                  <w:rPr>
                    <w:rFonts w:eastAsia="Calibri" w:cs="Tahoma"/>
                    <w:lang w:val="es-MX"/>
                  </w:rPr>
                  <w:t>Universidad Politécnica del Valle de Toluca</w:t>
                </w:r>
              </w:p>
            </w:tc>
          </w:tr>
          <w:tr w:rsidR="00CE563A" w14:paraId="40458266" w14:textId="77777777" w:rsidTr="6CDE1F1C">
            <w:trPr>
              <w:trHeight w:val="266"/>
            </w:trPr>
            <w:tc>
              <w:tcPr>
                <w:tcW w:w="2438" w:type="dxa"/>
              </w:tcPr>
              <w:p w14:paraId="5C3A846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3091" w:type="dxa"/>
              </w:tcPr>
              <w:p w14:paraId="4BF63B15" w14:textId="77777777" w:rsidR="00CE563A" w:rsidRPr="001B5FB6" w:rsidRDefault="00CE563A" w:rsidP="00CE563A">
                <w:pPr>
                  <w:tabs>
                    <w:tab w:val="right" w:pos="8838"/>
                  </w:tabs>
                  <w:ind w:right="-32"/>
                  <w:rPr>
                    <w:rFonts w:eastAsia="Calibri" w:cs="Tahoma"/>
                    <w:b/>
                    <w:lang w:val="es-MX"/>
                  </w:rPr>
                </w:pPr>
                <w:r w:rsidRPr="001B5FB6">
                  <w:rPr>
                    <w:rFonts w:eastAsia="Calibri" w:cs="Tahoma"/>
                    <w:lang w:val="es-MX"/>
                  </w:rPr>
                  <w:t>Luis Gustavo Parra Noriega</w:t>
                </w:r>
              </w:p>
            </w:tc>
          </w:tr>
        </w:tbl>
        <w:p w14:paraId="45A860DD" w14:textId="77777777" w:rsidR="00CE563A" w:rsidRPr="005C106F" w:rsidRDefault="00CE563A" w:rsidP="00CE563A">
          <w:pPr>
            <w:tabs>
              <w:tab w:val="right" w:pos="8838"/>
            </w:tabs>
            <w:ind w:left="-28"/>
            <w:rPr>
              <w:rFonts w:ascii="Arial" w:eastAsia="Calibri" w:hAnsi="Arial" w:cs="Arial"/>
              <w:b/>
            </w:rPr>
          </w:pPr>
        </w:p>
      </w:tc>
    </w:tr>
  </w:tbl>
  <w:p w14:paraId="700979E1" w14:textId="77777777" w:rsidR="00CE563A" w:rsidRDefault="00074C4D">
    <w:pPr>
      <w:pStyle w:val="Encabezado"/>
    </w:pPr>
    <w:r>
      <w:rPr>
        <w:noProof/>
      </w:rPr>
      <w:pict w14:anchorId="7BF46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59" o:spid="_x0000_s1025" type="#_x0000_t75" style="position:absolute;left:0;text-align:left;margin-left:-104.6pt;margin-top:-127.25pt;width:663.5pt;height:12in;z-index:-251657216;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705FC4"/>
    <w:multiLevelType w:val="hybridMultilevel"/>
    <w:tmpl w:val="768A2AA2"/>
    <w:lvl w:ilvl="0" w:tplc="2F566086">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0EB26C83"/>
    <w:multiLevelType w:val="hybridMultilevel"/>
    <w:tmpl w:val="3F5E88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65D9F"/>
    <w:multiLevelType w:val="hybridMultilevel"/>
    <w:tmpl w:val="692428CA"/>
    <w:lvl w:ilvl="0" w:tplc="8F4E2882">
      <w:start w:val="1"/>
      <w:numFmt w:val="decimal"/>
      <w:lvlText w:val="%1."/>
      <w:lvlJc w:val="left"/>
      <w:pPr>
        <w:ind w:left="942" w:hanging="37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BC3492B"/>
    <w:multiLevelType w:val="hybridMultilevel"/>
    <w:tmpl w:val="E39A41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666AD"/>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45D4B"/>
    <w:multiLevelType w:val="hybridMultilevel"/>
    <w:tmpl w:val="2EA0116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7B2805"/>
    <w:multiLevelType w:val="hybridMultilevel"/>
    <w:tmpl w:val="F590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505AF9"/>
    <w:multiLevelType w:val="hybridMultilevel"/>
    <w:tmpl w:val="8A32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9250EB"/>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C32F9D"/>
    <w:multiLevelType w:val="hybridMultilevel"/>
    <w:tmpl w:val="2EA011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6158536">
    <w:abstractNumId w:val="12"/>
  </w:num>
  <w:num w:numId="2" w16cid:durableId="56129164">
    <w:abstractNumId w:val="3"/>
  </w:num>
  <w:num w:numId="3" w16cid:durableId="54354166">
    <w:abstractNumId w:val="2"/>
  </w:num>
  <w:num w:numId="4" w16cid:durableId="1344362709">
    <w:abstractNumId w:val="4"/>
  </w:num>
  <w:num w:numId="5" w16cid:durableId="1834028838">
    <w:abstractNumId w:val="15"/>
  </w:num>
  <w:num w:numId="6" w16cid:durableId="810562614">
    <w:abstractNumId w:val="9"/>
  </w:num>
  <w:num w:numId="7" w16cid:durableId="1319923475">
    <w:abstractNumId w:val="16"/>
  </w:num>
  <w:num w:numId="8" w16cid:durableId="465969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440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048035">
    <w:abstractNumId w:val="7"/>
  </w:num>
  <w:num w:numId="11" w16cid:durableId="736054068">
    <w:abstractNumId w:val="0"/>
  </w:num>
  <w:num w:numId="12" w16cid:durableId="1069427850">
    <w:abstractNumId w:val="10"/>
  </w:num>
  <w:num w:numId="13" w16cid:durableId="1935551289">
    <w:abstractNumId w:val="6"/>
  </w:num>
  <w:num w:numId="14" w16cid:durableId="424695789">
    <w:abstractNumId w:val="1"/>
  </w:num>
  <w:num w:numId="15" w16cid:durableId="792023022">
    <w:abstractNumId w:val="13"/>
  </w:num>
  <w:num w:numId="16" w16cid:durableId="10035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827930">
    <w:abstractNumId w:val="14"/>
  </w:num>
  <w:num w:numId="18" w16cid:durableId="880049722">
    <w:abstractNumId w:val="7"/>
  </w:num>
  <w:num w:numId="19" w16cid:durableId="10080206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8F"/>
    <w:rsid w:val="00000338"/>
    <w:rsid w:val="00003353"/>
    <w:rsid w:val="00003E2B"/>
    <w:rsid w:val="00005D5A"/>
    <w:rsid w:val="000106C5"/>
    <w:rsid w:val="0001488B"/>
    <w:rsid w:val="0001502A"/>
    <w:rsid w:val="00015F6B"/>
    <w:rsid w:val="000231E1"/>
    <w:rsid w:val="000249FA"/>
    <w:rsid w:val="00030069"/>
    <w:rsid w:val="000308A6"/>
    <w:rsid w:val="00044792"/>
    <w:rsid w:val="00046472"/>
    <w:rsid w:val="00061A3E"/>
    <w:rsid w:val="0006260B"/>
    <w:rsid w:val="000635EC"/>
    <w:rsid w:val="000639BD"/>
    <w:rsid w:val="00064E67"/>
    <w:rsid w:val="00074C4D"/>
    <w:rsid w:val="00081638"/>
    <w:rsid w:val="000961EB"/>
    <w:rsid w:val="000A3404"/>
    <w:rsid w:val="000B66FA"/>
    <w:rsid w:val="000C1968"/>
    <w:rsid w:val="000C2323"/>
    <w:rsid w:val="000C4029"/>
    <w:rsid w:val="000D0D9C"/>
    <w:rsid w:val="000E02BD"/>
    <w:rsid w:val="000E5B96"/>
    <w:rsid w:val="000E666A"/>
    <w:rsid w:val="000F406F"/>
    <w:rsid w:val="000F4264"/>
    <w:rsid w:val="000F71B1"/>
    <w:rsid w:val="00103C5F"/>
    <w:rsid w:val="00103CF1"/>
    <w:rsid w:val="00104BDF"/>
    <w:rsid w:val="00104FA9"/>
    <w:rsid w:val="00105C21"/>
    <w:rsid w:val="001221C1"/>
    <w:rsid w:val="00124C15"/>
    <w:rsid w:val="00140A86"/>
    <w:rsid w:val="0014560C"/>
    <w:rsid w:val="0014652D"/>
    <w:rsid w:val="001613D6"/>
    <w:rsid w:val="00166BAB"/>
    <w:rsid w:val="001814D3"/>
    <w:rsid w:val="00181A3D"/>
    <w:rsid w:val="00184698"/>
    <w:rsid w:val="001928D6"/>
    <w:rsid w:val="001A1119"/>
    <w:rsid w:val="001A526B"/>
    <w:rsid w:val="001B75BD"/>
    <w:rsid w:val="001D1D3B"/>
    <w:rsid w:val="001E4CC8"/>
    <w:rsid w:val="001F2F2B"/>
    <w:rsid w:val="001F7275"/>
    <w:rsid w:val="002035A2"/>
    <w:rsid w:val="002103C4"/>
    <w:rsid w:val="0021148D"/>
    <w:rsid w:val="002116A7"/>
    <w:rsid w:val="002135BF"/>
    <w:rsid w:val="00213F23"/>
    <w:rsid w:val="0021552A"/>
    <w:rsid w:val="00225B70"/>
    <w:rsid w:val="002319E5"/>
    <w:rsid w:val="002420C4"/>
    <w:rsid w:val="002561A5"/>
    <w:rsid w:val="0025694F"/>
    <w:rsid w:val="00282111"/>
    <w:rsid w:val="00290175"/>
    <w:rsid w:val="00292F05"/>
    <w:rsid w:val="00294507"/>
    <w:rsid w:val="002A14E7"/>
    <w:rsid w:val="002B2B7B"/>
    <w:rsid w:val="002B4E33"/>
    <w:rsid w:val="002B5301"/>
    <w:rsid w:val="002B5FE4"/>
    <w:rsid w:val="002C6E00"/>
    <w:rsid w:val="002C7A69"/>
    <w:rsid w:val="002D1711"/>
    <w:rsid w:val="002D1A06"/>
    <w:rsid w:val="002D37BC"/>
    <w:rsid w:val="00314EE5"/>
    <w:rsid w:val="00317A4B"/>
    <w:rsid w:val="003225B9"/>
    <w:rsid w:val="00326D36"/>
    <w:rsid w:val="00346F8F"/>
    <w:rsid w:val="003517DC"/>
    <w:rsid w:val="00357D1B"/>
    <w:rsid w:val="00360F0C"/>
    <w:rsid w:val="0036350A"/>
    <w:rsid w:val="003635E4"/>
    <w:rsid w:val="00371163"/>
    <w:rsid w:val="00375217"/>
    <w:rsid w:val="0037595D"/>
    <w:rsid w:val="00386125"/>
    <w:rsid w:val="003915D6"/>
    <w:rsid w:val="00393C31"/>
    <w:rsid w:val="003A1F83"/>
    <w:rsid w:val="003A4DE6"/>
    <w:rsid w:val="003A5CED"/>
    <w:rsid w:val="003B00E5"/>
    <w:rsid w:val="003B3FA7"/>
    <w:rsid w:val="003B58A9"/>
    <w:rsid w:val="003B5EA9"/>
    <w:rsid w:val="003B6432"/>
    <w:rsid w:val="003C7872"/>
    <w:rsid w:val="003D11F5"/>
    <w:rsid w:val="003D79C7"/>
    <w:rsid w:val="003E1521"/>
    <w:rsid w:val="003E4D0F"/>
    <w:rsid w:val="003F2E2A"/>
    <w:rsid w:val="003F3C1B"/>
    <w:rsid w:val="003F738D"/>
    <w:rsid w:val="0040241C"/>
    <w:rsid w:val="004055FB"/>
    <w:rsid w:val="004063B1"/>
    <w:rsid w:val="0040735D"/>
    <w:rsid w:val="00423EEE"/>
    <w:rsid w:val="004241E4"/>
    <w:rsid w:val="004304A2"/>
    <w:rsid w:val="004331BA"/>
    <w:rsid w:val="00435BCA"/>
    <w:rsid w:val="004373F9"/>
    <w:rsid w:val="004416EF"/>
    <w:rsid w:val="00441B00"/>
    <w:rsid w:val="00441B72"/>
    <w:rsid w:val="00447AE8"/>
    <w:rsid w:val="00466A25"/>
    <w:rsid w:val="00471103"/>
    <w:rsid w:val="00471628"/>
    <w:rsid w:val="0048174A"/>
    <w:rsid w:val="0049538A"/>
    <w:rsid w:val="00496D43"/>
    <w:rsid w:val="004A1C0F"/>
    <w:rsid w:val="004B2489"/>
    <w:rsid w:val="004C1FF3"/>
    <w:rsid w:val="004C46D0"/>
    <w:rsid w:val="004D7967"/>
    <w:rsid w:val="004E0338"/>
    <w:rsid w:val="004E0C23"/>
    <w:rsid w:val="004E15B1"/>
    <w:rsid w:val="004E4B8B"/>
    <w:rsid w:val="004E5704"/>
    <w:rsid w:val="00505667"/>
    <w:rsid w:val="00510323"/>
    <w:rsid w:val="005148BE"/>
    <w:rsid w:val="00517855"/>
    <w:rsid w:val="005244F9"/>
    <w:rsid w:val="00525A25"/>
    <w:rsid w:val="00526C87"/>
    <w:rsid w:val="005270DF"/>
    <w:rsid w:val="00527604"/>
    <w:rsid w:val="00531FE2"/>
    <w:rsid w:val="00535EF0"/>
    <w:rsid w:val="00537A05"/>
    <w:rsid w:val="005515FB"/>
    <w:rsid w:val="005526B2"/>
    <w:rsid w:val="005570CD"/>
    <w:rsid w:val="00562513"/>
    <w:rsid w:val="005632A1"/>
    <w:rsid w:val="00564945"/>
    <w:rsid w:val="00566F4D"/>
    <w:rsid w:val="00570F9F"/>
    <w:rsid w:val="00571CAC"/>
    <w:rsid w:val="00572740"/>
    <w:rsid w:val="005735AC"/>
    <w:rsid w:val="00573DB4"/>
    <w:rsid w:val="00574C63"/>
    <w:rsid w:val="00596F39"/>
    <w:rsid w:val="00597446"/>
    <w:rsid w:val="005A5A76"/>
    <w:rsid w:val="005B5BF0"/>
    <w:rsid w:val="005C0848"/>
    <w:rsid w:val="005C6669"/>
    <w:rsid w:val="005C6C93"/>
    <w:rsid w:val="005D0AFB"/>
    <w:rsid w:val="005D3097"/>
    <w:rsid w:val="005D57A0"/>
    <w:rsid w:val="005E009D"/>
    <w:rsid w:val="005E032D"/>
    <w:rsid w:val="005E1CC6"/>
    <w:rsid w:val="005E213A"/>
    <w:rsid w:val="005E3142"/>
    <w:rsid w:val="005E5660"/>
    <w:rsid w:val="005F0A6B"/>
    <w:rsid w:val="005F2AD6"/>
    <w:rsid w:val="005F4C07"/>
    <w:rsid w:val="005F59C3"/>
    <w:rsid w:val="006050AD"/>
    <w:rsid w:val="00605E86"/>
    <w:rsid w:val="00611126"/>
    <w:rsid w:val="006140CE"/>
    <w:rsid w:val="006141A7"/>
    <w:rsid w:val="0061770C"/>
    <w:rsid w:val="006266B8"/>
    <w:rsid w:val="00627B5D"/>
    <w:rsid w:val="006365E1"/>
    <w:rsid w:val="00637EB3"/>
    <w:rsid w:val="006450A2"/>
    <w:rsid w:val="00655BB7"/>
    <w:rsid w:val="00663DB7"/>
    <w:rsid w:val="006733AF"/>
    <w:rsid w:val="006841E7"/>
    <w:rsid w:val="00685981"/>
    <w:rsid w:val="00686B82"/>
    <w:rsid w:val="006A7190"/>
    <w:rsid w:val="006C21D1"/>
    <w:rsid w:val="006C3717"/>
    <w:rsid w:val="006C7C1D"/>
    <w:rsid w:val="006D083A"/>
    <w:rsid w:val="006F427E"/>
    <w:rsid w:val="006F4471"/>
    <w:rsid w:val="006F62D6"/>
    <w:rsid w:val="006F6CF3"/>
    <w:rsid w:val="00700129"/>
    <w:rsid w:val="007004F7"/>
    <w:rsid w:val="00704CD4"/>
    <w:rsid w:val="00707D8B"/>
    <w:rsid w:val="00710655"/>
    <w:rsid w:val="00710C84"/>
    <w:rsid w:val="0071508A"/>
    <w:rsid w:val="007154A4"/>
    <w:rsid w:val="0071620D"/>
    <w:rsid w:val="007204E3"/>
    <w:rsid w:val="00722CF8"/>
    <w:rsid w:val="00725679"/>
    <w:rsid w:val="00740DEE"/>
    <w:rsid w:val="007477BA"/>
    <w:rsid w:val="0075564B"/>
    <w:rsid w:val="0076243D"/>
    <w:rsid w:val="00763003"/>
    <w:rsid w:val="00766EF2"/>
    <w:rsid w:val="00773051"/>
    <w:rsid w:val="00773F37"/>
    <w:rsid w:val="00774591"/>
    <w:rsid w:val="00777F5F"/>
    <w:rsid w:val="00782B68"/>
    <w:rsid w:val="00783DD8"/>
    <w:rsid w:val="00791499"/>
    <w:rsid w:val="00795862"/>
    <w:rsid w:val="007963B3"/>
    <w:rsid w:val="007A717B"/>
    <w:rsid w:val="007A749D"/>
    <w:rsid w:val="007B0CA0"/>
    <w:rsid w:val="007B3020"/>
    <w:rsid w:val="007C1F01"/>
    <w:rsid w:val="007C3183"/>
    <w:rsid w:val="007C7FB1"/>
    <w:rsid w:val="007D691A"/>
    <w:rsid w:val="007D6AEA"/>
    <w:rsid w:val="007E527B"/>
    <w:rsid w:val="007E7BFF"/>
    <w:rsid w:val="008015E3"/>
    <w:rsid w:val="008018A7"/>
    <w:rsid w:val="00801CB0"/>
    <w:rsid w:val="0081167F"/>
    <w:rsid w:val="008130C7"/>
    <w:rsid w:val="008172EB"/>
    <w:rsid w:val="00824280"/>
    <w:rsid w:val="008305E0"/>
    <w:rsid w:val="00834E8B"/>
    <w:rsid w:val="008366B9"/>
    <w:rsid w:val="00847F66"/>
    <w:rsid w:val="00851955"/>
    <w:rsid w:val="00856352"/>
    <w:rsid w:val="0086399C"/>
    <w:rsid w:val="00867881"/>
    <w:rsid w:val="0088047C"/>
    <w:rsid w:val="00883749"/>
    <w:rsid w:val="008926C8"/>
    <w:rsid w:val="00893559"/>
    <w:rsid w:val="00893BEB"/>
    <w:rsid w:val="008A283F"/>
    <w:rsid w:val="008A2A82"/>
    <w:rsid w:val="008A6467"/>
    <w:rsid w:val="008D07D2"/>
    <w:rsid w:val="008D55B6"/>
    <w:rsid w:val="008E0829"/>
    <w:rsid w:val="008E7D13"/>
    <w:rsid w:val="008F01C0"/>
    <w:rsid w:val="009122D3"/>
    <w:rsid w:val="009158F0"/>
    <w:rsid w:val="00922D3D"/>
    <w:rsid w:val="009275B8"/>
    <w:rsid w:val="0093044B"/>
    <w:rsid w:val="00932AFC"/>
    <w:rsid w:val="009335BB"/>
    <w:rsid w:val="009429C6"/>
    <w:rsid w:val="00945CBA"/>
    <w:rsid w:val="00946BC8"/>
    <w:rsid w:val="00965662"/>
    <w:rsid w:val="0096584E"/>
    <w:rsid w:val="00965AE2"/>
    <w:rsid w:val="00965C37"/>
    <w:rsid w:val="00971C82"/>
    <w:rsid w:val="00975DA4"/>
    <w:rsid w:val="00983707"/>
    <w:rsid w:val="00985822"/>
    <w:rsid w:val="009918EE"/>
    <w:rsid w:val="00993383"/>
    <w:rsid w:val="009937AD"/>
    <w:rsid w:val="00996223"/>
    <w:rsid w:val="009A218B"/>
    <w:rsid w:val="009A4378"/>
    <w:rsid w:val="009A4F51"/>
    <w:rsid w:val="009B3B1C"/>
    <w:rsid w:val="009B7293"/>
    <w:rsid w:val="009C0900"/>
    <w:rsid w:val="009C3FA8"/>
    <w:rsid w:val="009D083C"/>
    <w:rsid w:val="009D2F0E"/>
    <w:rsid w:val="009D64CF"/>
    <w:rsid w:val="009E071E"/>
    <w:rsid w:val="009E3E88"/>
    <w:rsid w:val="009E5DB4"/>
    <w:rsid w:val="009E6A3F"/>
    <w:rsid w:val="009E7772"/>
    <w:rsid w:val="009F27F6"/>
    <w:rsid w:val="009F3FAB"/>
    <w:rsid w:val="009F696C"/>
    <w:rsid w:val="00A03408"/>
    <w:rsid w:val="00A10738"/>
    <w:rsid w:val="00A10C63"/>
    <w:rsid w:val="00A13FE3"/>
    <w:rsid w:val="00A1518A"/>
    <w:rsid w:val="00A15337"/>
    <w:rsid w:val="00A250BD"/>
    <w:rsid w:val="00A32B41"/>
    <w:rsid w:val="00A41922"/>
    <w:rsid w:val="00A51B04"/>
    <w:rsid w:val="00A56028"/>
    <w:rsid w:val="00A64496"/>
    <w:rsid w:val="00A67214"/>
    <w:rsid w:val="00A67DE4"/>
    <w:rsid w:val="00A711E5"/>
    <w:rsid w:val="00A71F24"/>
    <w:rsid w:val="00A774B1"/>
    <w:rsid w:val="00A8386C"/>
    <w:rsid w:val="00A84490"/>
    <w:rsid w:val="00A85A17"/>
    <w:rsid w:val="00A85A33"/>
    <w:rsid w:val="00A9036A"/>
    <w:rsid w:val="00A90CF0"/>
    <w:rsid w:val="00A96CC5"/>
    <w:rsid w:val="00AA1293"/>
    <w:rsid w:val="00AA4376"/>
    <w:rsid w:val="00AA55A1"/>
    <w:rsid w:val="00AA5D2E"/>
    <w:rsid w:val="00AA69AA"/>
    <w:rsid w:val="00AA6DF1"/>
    <w:rsid w:val="00AB4B94"/>
    <w:rsid w:val="00AB62AF"/>
    <w:rsid w:val="00AC2081"/>
    <w:rsid w:val="00AC3389"/>
    <w:rsid w:val="00AC64DC"/>
    <w:rsid w:val="00AD23FC"/>
    <w:rsid w:val="00AD294F"/>
    <w:rsid w:val="00AD6B0D"/>
    <w:rsid w:val="00AF29A8"/>
    <w:rsid w:val="00B03083"/>
    <w:rsid w:val="00B03BC9"/>
    <w:rsid w:val="00B04707"/>
    <w:rsid w:val="00B2576A"/>
    <w:rsid w:val="00B30919"/>
    <w:rsid w:val="00B324CC"/>
    <w:rsid w:val="00B353BE"/>
    <w:rsid w:val="00B44466"/>
    <w:rsid w:val="00B57A0E"/>
    <w:rsid w:val="00B606CA"/>
    <w:rsid w:val="00B6115B"/>
    <w:rsid w:val="00B734B1"/>
    <w:rsid w:val="00B82C97"/>
    <w:rsid w:val="00B843BF"/>
    <w:rsid w:val="00B86CBA"/>
    <w:rsid w:val="00B8742D"/>
    <w:rsid w:val="00B94493"/>
    <w:rsid w:val="00BB02A5"/>
    <w:rsid w:val="00BB14E1"/>
    <w:rsid w:val="00BC6418"/>
    <w:rsid w:val="00BC7119"/>
    <w:rsid w:val="00BD50F8"/>
    <w:rsid w:val="00BD51E7"/>
    <w:rsid w:val="00BD6402"/>
    <w:rsid w:val="00BD697B"/>
    <w:rsid w:val="00BD7EFB"/>
    <w:rsid w:val="00BE14A7"/>
    <w:rsid w:val="00BF09FA"/>
    <w:rsid w:val="00BF5EE6"/>
    <w:rsid w:val="00BF75AD"/>
    <w:rsid w:val="00C02134"/>
    <w:rsid w:val="00C16582"/>
    <w:rsid w:val="00C1726F"/>
    <w:rsid w:val="00C222A2"/>
    <w:rsid w:val="00C251FA"/>
    <w:rsid w:val="00C25861"/>
    <w:rsid w:val="00C27CDA"/>
    <w:rsid w:val="00C3246B"/>
    <w:rsid w:val="00C34D4C"/>
    <w:rsid w:val="00C4052B"/>
    <w:rsid w:val="00C40E12"/>
    <w:rsid w:val="00C42CC3"/>
    <w:rsid w:val="00C5691A"/>
    <w:rsid w:val="00C60AF6"/>
    <w:rsid w:val="00C63F1C"/>
    <w:rsid w:val="00C71024"/>
    <w:rsid w:val="00C76B73"/>
    <w:rsid w:val="00C80279"/>
    <w:rsid w:val="00C84E23"/>
    <w:rsid w:val="00C87881"/>
    <w:rsid w:val="00C92480"/>
    <w:rsid w:val="00C926BA"/>
    <w:rsid w:val="00C92C12"/>
    <w:rsid w:val="00C97FFC"/>
    <w:rsid w:val="00CA0E39"/>
    <w:rsid w:val="00CA2495"/>
    <w:rsid w:val="00CA2873"/>
    <w:rsid w:val="00CA4C19"/>
    <w:rsid w:val="00CB7592"/>
    <w:rsid w:val="00CB7743"/>
    <w:rsid w:val="00CD30F3"/>
    <w:rsid w:val="00CD3E79"/>
    <w:rsid w:val="00CE0F22"/>
    <w:rsid w:val="00CE563A"/>
    <w:rsid w:val="00CE7538"/>
    <w:rsid w:val="00CF0FCA"/>
    <w:rsid w:val="00D026DB"/>
    <w:rsid w:val="00D06D5C"/>
    <w:rsid w:val="00D15CC5"/>
    <w:rsid w:val="00D20EAE"/>
    <w:rsid w:val="00D26E6C"/>
    <w:rsid w:val="00D3093E"/>
    <w:rsid w:val="00D3665C"/>
    <w:rsid w:val="00D37166"/>
    <w:rsid w:val="00D55678"/>
    <w:rsid w:val="00D57B8A"/>
    <w:rsid w:val="00D60857"/>
    <w:rsid w:val="00D61BCE"/>
    <w:rsid w:val="00D6306A"/>
    <w:rsid w:val="00D6455E"/>
    <w:rsid w:val="00D65630"/>
    <w:rsid w:val="00D66446"/>
    <w:rsid w:val="00D71718"/>
    <w:rsid w:val="00D71A4A"/>
    <w:rsid w:val="00D81D40"/>
    <w:rsid w:val="00D82541"/>
    <w:rsid w:val="00D832D4"/>
    <w:rsid w:val="00D854FA"/>
    <w:rsid w:val="00D97FA5"/>
    <w:rsid w:val="00DA5980"/>
    <w:rsid w:val="00DB4397"/>
    <w:rsid w:val="00DB4D6C"/>
    <w:rsid w:val="00DC50EC"/>
    <w:rsid w:val="00DC7285"/>
    <w:rsid w:val="00DD099E"/>
    <w:rsid w:val="00DD7648"/>
    <w:rsid w:val="00DE07A2"/>
    <w:rsid w:val="00DF3CEE"/>
    <w:rsid w:val="00DF3D57"/>
    <w:rsid w:val="00E01FB7"/>
    <w:rsid w:val="00E106E4"/>
    <w:rsid w:val="00E13F9E"/>
    <w:rsid w:val="00E16D99"/>
    <w:rsid w:val="00E21C96"/>
    <w:rsid w:val="00E244E4"/>
    <w:rsid w:val="00E26E3C"/>
    <w:rsid w:val="00E307AB"/>
    <w:rsid w:val="00E35CDC"/>
    <w:rsid w:val="00E42138"/>
    <w:rsid w:val="00E42A13"/>
    <w:rsid w:val="00E442D9"/>
    <w:rsid w:val="00E623C9"/>
    <w:rsid w:val="00E71185"/>
    <w:rsid w:val="00E767D0"/>
    <w:rsid w:val="00E76EB7"/>
    <w:rsid w:val="00E92060"/>
    <w:rsid w:val="00E921B3"/>
    <w:rsid w:val="00EA42DA"/>
    <w:rsid w:val="00EA6134"/>
    <w:rsid w:val="00EA73A0"/>
    <w:rsid w:val="00EB347C"/>
    <w:rsid w:val="00EB603D"/>
    <w:rsid w:val="00EC23BA"/>
    <w:rsid w:val="00EC70F5"/>
    <w:rsid w:val="00EC7400"/>
    <w:rsid w:val="00ED56F2"/>
    <w:rsid w:val="00EE217F"/>
    <w:rsid w:val="00F04F7A"/>
    <w:rsid w:val="00F33357"/>
    <w:rsid w:val="00F33CC8"/>
    <w:rsid w:val="00F36C44"/>
    <w:rsid w:val="00F40620"/>
    <w:rsid w:val="00F50E0A"/>
    <w:rsid w:val="00F51E5F"/>
    <w:rsid w:val="00F64694"/>
    <w:rsid w:val="00F67B05"/>
    <w:rsid w:val="00F70DCE"/>
    <w:rsid w:val="00F70F25"/>
    <w:rsid w:val="00F8151C"/>
    <w:rsid w:val="00FA4C67"/>
    <w:rsid w:val="00FA58C6"/>
    <w:rsid w:val="00FA5F6D"/>
    <w:rsid w:val="00FA622E"/>
    <w:rsid w:val="00FC6854"/>
    <w:rsid w:val="00FD1B71"/>
    <w:rsid w:val="00FD2AE1"/>
    <w:rsid w:val="00FD3246"/>
    <w:rsid w:val="00FD795F"/>
    <w:rsid w:val="6CDE1F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6182"/>
  <w15:chartTrackingRefBased/>
  <w15:docId w15:val="{0808B951-68E6-42E6-AB07-B3A86EB0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8D"/>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F8F"/>
    <w:rPr>
      <w:rFonts w:ascii="Palatino Linotype" w:hAnsi="Palatino Linotype"/>
      <w:color w:val="000000" w:themeColor="text1"/>
    </w:rPr>
  </w:style>
  <w:style w:type="paragraph" w:styleId="Piedepgina">
    <w:name w:val="footer"/>
    <w:basedOn w:val="Normal"/>
    <w:link w:val="PiedepginaCar"/>
    <w:uiPriority w:val="99"/>
    <w:unhideWhenUsed/>
    <w:rsid w:val="00346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F8F"/>
    <w:rPr>
      <w:rFonts w:ascii="Palatino Linotype" w:hAnsi="Palatino Linotype"/>
      <w:color w:val="000000" w:themeColor="text1"/>
    </w:rPr>
  </w:style>
  <w:style w:type="table" w:styleId="Tablaconcuadrcula">
    <w:name w:val="Table Grid"/>
    <w:basedOn w:val="Tablanormal"/>
    <w:uiPriority w:val="39"/>
    <w:rsid w:val="00346F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7AB"/>
    <w:pPr>
      <w:spacing w:after="0" w:line="240" w:lineRule="auto"/>
      <w:ind w:left="720"/>
      <w:contextualSpacing/>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307AB"/>
    <w:rPr>
      <w:rFonts w:ascii="Palatino Linotype" w:eastAsia="Times New Roman" w:hAnsi="Palatino Linotype" w:cs="Times New Roman"/>
      <w:color w:val="000000" w:themeColor="text1"/>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346F8F"/>
    <w:rPr>
      <w:color w:val="0563C1" w:themeColor="hyperlink"/>
      <w:u w:val="single"/>
    </w:rPr>
  </w:style>
  <w:style w:type="character" w:styleId="Hipervnculovisitado">
    <w:name w:val="FollowedHyperlink"/>
    <w:basedOn w:val="Fuentedeprrafopredeter"/>
    <w:uiPriority w:val="99"/>
    <w:semiHidden/>
    <w:unhideWhenUsed/>
    <w:rsid w:val="009B7293"/>
    <w:rPr>
      <w:color w:val="954F72" w:themeColor="followedHyperlink"/>
      <w:u w:val="single"/>
    </w:rPr>
  </w:style>
  <w:style w:type="paragraph" w:styleId="NormalWeb">
    <w:name w:val="Normal (Web)"/>
    <w:basedOn w:val="Normal"/>
    <w:uiPriority w:val="99"/>
    <w:unhideWhenUsed/>
    <w:rsid w:val="00AA6DF1"/>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styleId="Mencinsinresolver">
    <w:name w:val="Unresolved Mention"/>
    <w:basedOn w:val="Fuentedeprrafopredeter"/>
    <w:uiPriority w:val="99"/>
    <w:semiHidden/>
    <w:unhideWhenUsed/>
    <w:rsid w:val="0071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2991">
      <w:bodyDiv w:val="1"/>
      <w:marLeft w:val="0"/>
      <w:marRight w:val="0"/>
      <w:marTop w:val="0"/>
      <w:marBottom w:val="0"/>
      <w:divBdr>
        <w:top w:val="none" w:sz="0" w:space="0" w:color="auto"/>
        <w:left w:val="none" w:sz="0" w:space="0" w:color="auto"/>
        <w:bottom w:val="none" w:sz="0" w:space="0" w:color="auto"/>
        <w:right w:val="none" w:sz="0" w:space="0" w:color="auto"/>
      </w:divBdr>
    </w:div>
    <w:div w:id="177621566">
      <w:bodyDiv w:val="1"/>
      <w:marLeft w:val="0"/>
      <w:marRight w:val="0"/>
      <w:marTop w:val="0"/>
      <w:marBottom w:val="0"/>
      <w:divBdr>
        <w:top w:val="none" w:sz="0" w:space="0" w:color="auto"/>
        <w:left w:val="none" w:sz="0" w:space="0" w:color="auto"/>
        <w:bottom w:val="none" w:sz="0" w:space="0" w:color="auto"/>
        <w:right w:val="none" w:sz="0" w:space="0" w:color="auto"/>
      </w:divBdr>
    </w:div>
    <w:div w:id="201942619">
      <w:bodyDiv w:val="1"/>
      <w:marLeft w:val="0"/>
      <w:marRight w:val="0"/>
      <w:marTop w:val="0"/>
      <w:marBottom w:val="0"/>
      <w:divBdr>
        <w:top w:val="none" w:sz="0" w:space="0" w:color="auto"/>
        <w:left w:val="none" w:sz="0" w:space="0" w:color="auto"/>
        <w:bottom w:val="none" w:sz="0" w:space="0" w:color="auto"/>
        <w:right w:val="none" w:sz="0" w:space="0" w:color="auto"/>
      </w:divBdr>
    </w:div>
    <w:div w:id="311955843">
      <w:bodyDiv w:val="1"/>
      <w:marLeft w:val="0"/>
      <w:marRight w:val="0"/>
      <w:marTop w:val="0"/>
      <w:marBottom w:val="0"/>
      <w:divBdr>
        <w:top w:val="none" w:sz="0" w:space="0" w:color="auto"/>
        <w:left w:val="none" w:sz="0" w:space="0" w:color="auto"/>
        <w:bottom w:val="none" w:sz="0" w:space="0" w:color="auto"/>
        <w:right w:val="none" w:sz="0" w:space="0" w:color="auto"/>
      </w:divBdr>
    </w:div>
    <w:div w:id="408967665">
      <w:bodyDiv w:val="1"/>
      <w:marLeft w:val="0"/>
      <w:marRight w:val="0"/>
      <w:marTop w:val="0"/>
      <w:marBottom w:val="0"/>
      <w:divBdr>
        <w:top w:val="none" w:sz="0" w:space="0" w:color="auto"/>
        <w:left w:val="none" w:sz="0" w:space="0" w:color="auto"/>
        <w:bottom w:val="none" w:sz="0" w:space="0" w:color="auto"/>
        <w:right w:val="none" w:sz="0" w:space="0" w:color="auto"/>
      </w:divBdr>
    </w:div>
    <w:div w:id="600643727">
      <w:bodyDiv w:val="1"/>
      <w:marLeft w:val="0"/>
      <w:marRight w:val="0"/>
      <w:marTop w:val="0"/>
      <w:marBottom w:val="0"/>
      <w:divBdr>
        <w:top w:val="none" w:sz="0" w:space="0" w:color="auto"/>
        <w:left w:val="none" w:sz="0" w:space="0" w:color="auto"/>
        <w:bottom w:val="none" w:sz="0" w:space="0" w:color="auto"/>
        <w:right w:val="none" w:sz="0" w:space="0" w:color="auto"/>
      </w:divBdr>
    </w:div>
    <w:div w:id="714349171">
      <w:bodyDiv w:val="1"/>
      <w:marLeft w:val="0"/>
      <w:marRight w:val="0"/>
      <w:marTop w:val="0"/>
      <w:marBottom w:val="0"/>
      <w:divBdr>
        <w:top w:val="none" w:sz="0" w:space="0" w:color="auto"/>
        <w:left w:val="none" w:sz="0" w:space="0" w:color="auto"/>
        <w:bottom w:val="none" w:sz="0" w:space="0" w:color="auto"/>
        <w:right w:val="none" w:sz="0" w:space="0" w:color="auto"/>
      </w:divBdr>
    </w:div>
    <w:div w:id="821969672">
      <w:bodyDiv w:val="1"/>
      <w:marLeft w:val="0"/>
      <w:marRight w:val="0"/>
      <w:marTop w:val="0"/>
      <w:marBottom w:val="0"/>
      <w:divBdr>
        <w:top w:val="none" w:sz="0" w:space="0" w:color="auto"/>
        <w:left w:val="none" w:sz="0" w:space="0" w:color="auto"/>
        <w:bottom w:val="none" w:sz="0" w:space="0" w:color="auto"/>
        <w:right w:val="none" w:sz="0" w:space="0" w:color="auto"/>
      </w:divBdr>
    </w:div>
    <w:div w:id="825900902">
      <w:bodyDiv w:val="1"/>
      <w:marLeft w:val="0"/>
      <w:marRight w:val="0"/>
      <w:marTop w:val="0"/>
      <w:marBottom w:val="0"/>
      <w:divBdr>
        <w:top w:val="none" w:sz="0" w:space="0" w:color="auto"/>
        <w:left w:val="none" w:sz="0" w:space="0" w:color="auto"/>
        <w:bottom w:val="none" w:sz="0" w:space="0" w:color="auto"/>
        <w:right w:val="none" w:sz="0" w:space="0" w:color="auto"/>
      </w:divBdr>
    </w:div>
    <w:div w:id="875774258">
      <w:bodyDiv w:val="1"/>
      <w:marLeft w:val="0"/>
      <w:marRight w:val="0"/>
      <w:marTop w:val="0"/>
      <w:marBottom w:val="0"/>
      <w:divBdr>
        <w:top w:val="none" w:sz="0" w:space="0" w:color="auto"/>
        <w:left w:val="none" w:sz="0" w:space="0" w:color="auto"/>
        <w:bottom w:val="none" w:sz="0" w:space="0" w:color="auto"/>
        <w:right w:val="none" w:sz="0" w:space="0" w:color="auto"/>
      </w:divBdr>
    </w:div>
    <w:div w:id="940913252">
      <w:bodyDiv w:val="1"/>
      <w:marLeft w:val="0"/>
      <w:marRight w:val="0"/>
      <w:marTop w:val="0"/>
      <w:marBottom w:val="0"/>
      <w:divBdr>
        <w:top w:val="none" w:sz="0" w:space="0" w:color="auto"/>
        <w:left w:val="none" w:sz="0" w:space="0" w:color="auto"/>
        <w:bottom w:val="none" w:sz="0" w:space="0" w:color="auto"/>
        <w:right w:val="none" w:sz="0" w:space="0" w:color="auto"/>
      </w:divBdr>
    </w:div>
    <w:div w:id="1055355724">
      <w:bodyDiv w:val="1"/>
      <w:marLeft w:val="0"/>
      <w:marRight w:val="0"/>
      <w:marTop w:val="0"/>
      <w:marBottom w:val="0"/>
      <w:divBdr>
        <w:top w:val="none" w:sz="0" w:space="0" w:color="auto"/>
        <w:left w:val="none" w:sz="0" w:space="0" w:color="auto"/>
        <w:bottom w:val="none" w:sz="0" w:space="0" w:color="auto"/>
        <w:right w:val="none" w:sz="0" w:space="0" w:color="auto"/>
      </w:divBdr>
    </w:div>
    <w:div w:id="1414547926">
      <w:bodyDiv w:val="1"/>
      <w:marLeft w:val="0"/>
      <w:marRight w:val="0"/>
      <w:marTop w:val="0"/>
      <w:marBottom w:val="0"/>
      <w:divBdr>
        <w:top w:val="none" w:sz="0" w:space="0" w:color="auto"/>
        <w:left w:val="none" w:sz="0" w:space="0" w:color="auto"/>
        <w:bottom w:val="none" w:sz="0" w:space="0" w:color="auto"/>
        <w:right w:val="none" w:sz="0" w:space="0" w:color="auto"/>
      </w:divBdr>
    </w:div>
    <w:div w:id="1621835954">
      <w:bodyDiv w:val="1"/>
      <w:marLeft w:val="0"/>
      <w:marRight w:val="0"/>
      <w:marTop w:val="0"/>
      <w:marBottom w:val="0"/>
      <w:divBdr>
        <w:top w:val="none" w:sz="0" w:space="0" w:color="auto"/>
        <w:left w:val="none" w:sz="0" w:space="0" w:color="auto"/>
        <w:bottom w:val="none" w:sz="0" w:space="0" w:color="auto"/>
        <w:right w:val="none" w:sz="0" w:space="0" w:color="auto"/>
      </w:divBdr>
    </w:div>
    <w:div w:id="1742025396">
      <w:bodyDiv w:val="1"/>
      <w:marLeft w:val="0"/>
      <w:marRight w:val="0"/>
      <w:marTop w:val="0"/>
      <w:marBottom w:val="0"/>
      <w:divBdr>
        <w:top w:val="none" w:sz="0" w:space="0" w:color="auto"/>
        <w:left w:val="none" w:sz="0" w:space="0" w:color="auto"/>
        <w:bottom w:val="none" w:sz="0" w:space="0" w:color="auto"/>
        <w:right w:val="none" w:sz="0" w:space="0" w:color="auto"/>
      </w:divBdr>
    </w:div>
    <w:div w:id="19830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E9D9-202E-4C34-B863-9B48D79D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10406</Words>
  <Characters>57234</Characters>
  <Application>Microsoft Office Word</Application>
  <DocSecurity>0</DocSecurity>
  <Lines>476</Lines>
  <Paragraphs>135</Paragraphs>
  <ScaleCrop>false</ScaleCrop>
  <Company/>
  <LinksUpToDate>false</LinksUpToDate>
  <CharactersWithSpaces>67505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Yesica Gonzales Romero</cp:lastModifiedBy>
  <cp:revision>2</cp:revision>
  <dcterms:created xsi:type="dcterms:W3CDTF">2022-05-18T02:58:00Z</dcterms:created>
  <dcterms:modified xsi:type="dcterms:W3CDTF">2022-05-18T02:58:00Z</dcterms:modified>
</cp:coreProperties>
</file>