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E15A98" w14:textId="5B9C025B" w:rsidR="009B616B" w:rsidRPr="00332C4C" w:rsidRDefault="005A212F" w:rsidP="00332C4C">
      <w:pPr>
        <w:spacing w:before="240" w:after="240" w:line="360" w:lineRule="auto"/>
        <w:jc w:val="both"/>
        <w:rPr>
          <w:rFonts w:eastAsia="Palatino Linotype" w:cs="Palatino Linotype"/>
          <w:lang w:val="es-MX"/>
        </w:rPr>
      </w:pPr>
      <w:r w:rsidRPr="00332C4C">
        <w:rPr>
          <w:rFonts w:eastAsia="Palatino Linotype" w:cs="Palatino Linotype"/>
          <w:lang w:val="es-MX"/>
        </w:rPr>
        <w:t>Resolución del Pleno del Instituto de Transparencia, Acceso a la Información Pública y Protección de Datos Personales del Estado de México y Municipios, con domicilio en Metepec, Estado de México, a</w:t>
      </w:r>
      <w:r w:rsidR="00AD2FEB" w:rsidRPr="00332C4C">
        <w:rPr>
          <w:rFonts w:eastAsia="Palatino Linotype" w:cs="Palatino Linotype"/>
          <w:lang w:val="es-MX"/>
        </w:rPr>
        <w:t xml:space="preserve"> </w:t>
      </w:r>
      <w:r w:rsidR="00B017BC" w:rsidRPr="00332C4C">
        <w:rPr>
          <w:rFonts w:eastAsia="Palatino Linotype" w:cs="Palatino Linotype"/>
          <w:lang w:val="es-MX"/>
        </w:rPr>
        <w:t>nueve</w:t>
      </w:r>
      <w:r w:rsidRPr="00332C4C">
        <w:rPr>
          <w:rFonts w:eastAsia="Palatino Linotype" w:cs="Palatino Linotype"/>
          <w:lang w:val="es-MX"/>
        </w:rPr>
        <w:t xml:space="preserve"> de </w:t>
      </w:r>
      <w:r w:rsidR="00AD2FEB" w:rsidRPr="00332C4C">
        <w:rPr>
          <w:rFonts w:eastAsia="Palatino Linotype" w:cs="Palatino Linotype"/>
          <w:lang w:val="es-MX"/>
        </w:rPr>
        <w:t xml:space="preserve">marzo </w:t>
      </w:r>
      <w:r w:rsidRPr="00332C4C">
        <w:rPr>
          <w:rFonts w:eastAsia="Palatino Linotype" w:cs="Palatino Linotype"/>
          <w:lang w:val="es-MX"/>
        </w:rPr>
        <w:t>de dos mil veinti</w:t>
      </w:r>
      <w:r w:rsidR="003D296E" w:rsidRPr="00332C4C">
        <w:rPr>
          <w:rFonts w:eastAsia="Palatino Linotype" w:cs="Palatino Linotype"/>
          <w:lang w:val="es-MX"/>
        </w:rPr>
        <w:t>dós</w:t>
      </w:r>
      <w:r w:rsidRPr="00332C4C">
        <w:rPr>
          <w:rFonts w:eastAsia="Palatino Linotype" w:cs="Palatino Linotype"/>
          <w:lang w:val="es-MX"/>
        </w:rPr>
        <w:t xml:space="preserve">. </w:t>
      </w:r>
    </w:p>
    <w:p w14:paraId="045D6CE9" w14:textId="049A03D9" w:rsidR="009B616B" w:rsidRPr="00332C4C" w:rsidRDefault="005A212F" w:rsidP="00332C4C">
      <w:pPr>
        <w:spacing w:before="240" w:after="240" w:line="360" w:lineRule="auto"/>
        <w:jc w:val="both"/>
        <w:rPr>
          <w:rFonts w:eastAsia="Palatino Linotype" w:cs="Palatino Linotype"/>
          <w:lang w:val="es-MX"/>
        </w:rPr>
      </w:pPr>
      <w:r w:rsidRPr="00332C4C">
        <w:rPr>
          <w:rFonts w:eastAsia="Palatino Linotype" w:cs="Palatino Linotype"/>
          <w:b/>
          <w:lang w:val="es-MX"/>
        </w:rPr>
        <w:t>VISTO</w:t>
      </w:r>
      <w:r w:rsidRPr="00332C4C">
        <w:rPr>
          <w:rFonts w:eastAsia="Palatino Linotype" w:cs="Palatino Linotype"/>
          <w:lang w:val="es-MX"/>
        </w:rPr>
        <w:t xml:space="preserve"> el expediente formado con motivo del recurso de revisión </w:t>
      </w:r>
      <w:r w:rsidRPr="00332C4C">
        <w:rPr>
          <w:rFonts w:eastAsia="Palatino Linotype" w:cs="Palatino Linotype"/>
          <w:b/>
          <w:lang w:val="es-MX"/>
        </w:rPr>
        <w:t>0</w:t>
      </w:r>
      <w:r w:rsidR="00AD2FEB" w:rsidRPr="00332C4C">
        <w:rPr>
          <w:rFonts w:eastAsia="Palatino Linotype" w:cs="Palatino Linotype"/>
          <w:b/>
          <w:lang w:val="es-MX"/>
        </w:rPr>
        <w:t>5334</w:t>
      </w:r>
      <w:r w:rsidRPr="00332C4C">
        <w:rPr>
          <w:rFonts w:eastAsia="Palatino Linotype" w:cs="Palatino Linotype"/>
          <w:b/>
          <w:lang w:val="es-MX"/>
        </w:rPr>
        <w:t>/</w:t>
      </w:r>
      <w:proofErr w:type="spellStart"/>
      <w:r w:rsidRPr="00332C4C">
        <w:rPr>
          <w:rFonts w:eastAsia="Palatino Linotype" w:cs="Palatino Linotype"/>
          <w:b/>
          <w:lang w:val="es-MX"/>
        </w:rPr>
        <w:t>INFOEM</w:t>
      </w:r>
      <w:proofErr w:type="spellEnd"/>
      <w:r w:rsidRPr="00332C4C">
        <w:rPr>
          <w:rFonts w:eastAsia="Palatino Linotype" w:cs="Palatino Linotype"/>
          <w:b/>
          <w:lang w:val="es-MX"/>
        </w:rPr>
        <w:t>/IP/</w:t>
      </w:r>
      <w:proofErr w:type="spellStart"/>
      <w:r w:rsidRPr="00332C4C">
        <w:rPr>
          <w:rFonts w:eastAsia="Palatino Linotype" w:cs="Palatino Linotype"/>
          <w:b/>
          <w:lang w:val="es-MX"/>
        </w:rPr>
        <w:t>RR</w:t>
      </w:r>
      <w:proofErr w:type="spellEnd"/>
      <w:r w:rsidRPr="00332C4C">
        <w:rPr>
          <w:rFonts w:eastAsia="Palatino Linotype" w:cs="Palatino Linotype"/>
          <w:b/>
          <w:lang w:val="es-MX"/>
        </w:rPr>
        <w:t>/2021</w:t>
      </w:r>
      <w:r w:rsidRPr="00332C4C">
        <w:rPr>
          <w:rFonts w:eastAsia="Palatino Linotype" w:cs="Palatino Linotype"/>
          <w:lang w:val="es-MX"/>
        </w:rPr>
        <w:t>, interpuesto por</w:t>
      </w:r>
      <w:r w:rsidR="002E6E38" w:rsidRPr="00332C4C">
        <w:rPr>
          <w:rFonts w:eastAsia="Palatino Linotype" w:cs="Palatino Linotype"/>
          <w:b/>
          <w:lang w:val="es-MX"/>
        </w:rPr>
        <w:t xml:space="preserve"> </w:t>
      </w:r>
      <w:proofErr w:type="spellStart"/>
      <w:r w:rsidR="001B141F" w:rsidRPr="001B141F">
        <w:rPr>
          <w:rFonts w:eastAsia="Palatino Linotype" w:cs="Palatino Linotype"/>
          <w:b/>
          <w:lang w:val="es-MX"/>
        </w:rPr>
        <w:t>Xxxxx</w:t>
      </w:r>
      <w:proofErr w:type="spellEnd"/>
      <w:r w:rsidR="001B141F" w:rsidRPr="001B141F">
        <w:rPr>
          <w:rFonts w:eastAsia="Palatino Linotype" w:cs="Palatino Linotype"/>
          <w:b/>
          <w:lang w:val="es-MX"/>
        </w:rPr>
        <w:t xml:space="preserve"> </w:t>
      </w:r>
      <w:proofErr w:type="spellStart"/>
      <w:r w:rsidR="001B141F" w:rsidRPr="001B141F">
        <w:rPr>
          <w:rFonts w:eastAsia="Palatino Linotype" w:cs="Palatino Linotype"/>
          <w:b/>
          <w:lang w:val="es-MX"/>
        </w:rPr>
        <w:t>Xxxxxxx</w:t>
      </w:r>
      <w:proofErr w:type="spellEnd"/>
      <w:r w:rsidR="001B141F" w:rsidRPr="001B141F">
        <w:rPr>
          <w:rFonts w:eastAsia="Palatino Linotype" w:cs="Palatino Linotype"/>
          <w:b/>
          <w:lang w:val="es-MX"/>
        </w:rPr>
        <w:t xml:space="preserve"> </w:t>
      </w:r>
      <w:proofErr w:type="spellStart"/>
      <w:r w:rsidR="001B141F" w:rsidRPr="001B141F">
        <w:rPr>
          <w:rFonts w:eastAsia="Palatino Linotype" w:cs="Palatino Linotype"/>
          <w:b/>
          <w:lang w:val="es-MX"/>
        </w:rPr>
        <w:t>Xxxx</w:t>
      </w:r>
      <w:proofErr w:type="spellEnd"/>
      <w:r w:rsidR="001B141F" w:rsidRPr="001B141F">
        <w:rPr>
          <w:rFonts w:eastAsia="Palatino Linotype" w:cs="Palatino Linotype"/>
          <w:b/>
          <w:lang w:val="es-MX"/>
        </w:rPr>
        <w:tab/>
        <w:t>Xxxxxxx</w:t>
      </w:r>
      <w:bookmarkStart w:id="0" w:name="_GoBack"/>
      <w:bookmarkEnd w:id="0"/>
      <w:r w:rsidRPr="00332C4C">
        <w:rPr>
          <w:rFonts w:eastAsia="Palatino Linotype" w:cs="Palatino Linotype"/>
          <w:b/>
          <w:lang w:val="es-MX"/>
        </w:rPr>
        <w:t xml:space="preserve">, </w:t>
      </w:r>
      <w:r w:rsidRPr="00332C4C">
        <w:rPr>
          <w:rFonts w:eastAsia="Palatino Linotype" w:cs="Palatino Linotype"/>
          <w:lang w:val="es-MX"/>
        </w:rPr>
        <w:t>en lo sucesivo</w:t>
      </w:r>
      <w:r w:rsidRPr="00332C4C">
        <w:rPr>
          <w:rFonts w:eastAsia="Palatino Linotype" w:cs="Palatino Linotype"/>
          <w:b/>
          <w:lang w:val="es-MX"/>
        </w:rPr>
        <w:t xml:space="preserve"> </w:t>
      </w:r>
      <w:r w:rsidRPr="00332C4C">
        <w:rPr>
          <w:rFonts w:eastAsia="Palatino Linotype" w:cs="Palatino Linotype"/>
          <w:lang w:val="es-MX"/>
        </w:rPr>
        <w:t xml:space="preserve">la parte </w:t>
      </w:r>
      <w:r w:rsidRPr="00332C4C">
        <w:rPr>
          <w:rFonts w:eastAsia="Palatino Linotype" w:cs="Palatino Linotype"/>
          <w:b/>
          <w:lang w:val="es-MX"/>
        </w:rPr>
        <w:t>Recurrente,</w:t>
      </w:r>
      <w:r w:rsidRPr="00332C4C">
        <w:rPr>
          <w:rFonts w:eastAsia="Palatino Linotype" w:cs="Palatino Linotype"/>
          <w:lang w:val="es-MX"/>
        </w:rPr>
        <w:t xml:space="preserve"> en contra de la respuesta a su solicitud por parte de</w:t>
      </w:r>
      <w:r w:rsidR="00AD2FEB" w:rsidRPr="00332C4C">
        <w:rPr>
          <w:rFonts w:eastAsia="Palatino Linotype" w:cs="Palatino Linotype"/>
          <w:lang w:val="es-MX"/>
        </w:rPr>
        <w:t xml:space="preserve"> </w:t>
      </w:r>
      <w:r w:rsidRPr="00332C4C">
        <w:rPr>
          <w:rFonts w:eastAsia="Palatino Linotype" w:cs="Palatino Linotype"/>
          <w:lang w:val="es-MX"/>
        </w:rPr>
        <w:t>l</w:t>
      </w:r>
      <w:r w:rsidR="00AD2FEB" w:rsidRPr="00332C4C">
        <w:rPr>
          <w:rFonts w:eastAsia="Palatino Linotype" w:cs="Palatino Linotype"/>
          <w:lang w:val="es-MX"/>
        </w:rPr>
        <w:t>a</w:t>
      </w:r>
      <w:r w:rsidRPr="00332C4C">
        <w:rPr>
          <w:rFonts w:eastAsia="Palatino Linotype" w:cs="Palatino Linotype"/>
          <w:lang w:val="es-MX"/>
        </w:rPr>
        <w:t xml:space="preserve"> </w:t>
      </w:r>
      <w:r w:rsidR="00AD2FEB" w:rsidRPr="00332C4C">
        <w:rPr>
          <w:rFonts w:eastAsia="Palatino Linotype" w:cs="Palatino Linotype"/>
          <w:b/>
          <w:lang w:val="es-MX"/>
        </w:rPr>
        <w:t>Secretaría de Movilidad</w:t>
      </w:r>
      <w:r w:rsidRPr="00332C4C">
        <w:rPr>
          <w:rFonts w:eastAsia="Palatino Linotype" w:cs="Palatino Linotype"/>
          <w:b/>
          <w:lang w:val="es-MX"/>
        </w:rPr>
        <w:t xml:space="preserve">, </w:t>
      </w:r>
      <w:r w:rsidRPr="00332C4C">
        <w:rPr>
          <w:rFonts w:eastAsia="Palatino Linotype" w:cs="Palatino Linotype"/>
          <w:lang w:val="es-MX"/>
        </w:rPr>
        <w:t xml:space="preserve">en lo sucesivo el </w:t>
      </w:r>
      <w:r w:rsidRPr="00332C4C">
        <w:rPr>
          <w:rFonts w:eastAsia="Palatino Linotype" w:cs="Palatino Linotype"/>
          <w:b/>
          <w:lang w:val="es-MX"/>
        </w:rPr>
        <w:t xml:space="preserve">Sujeto Obligado, </w:t>
      </w:r>
      <w:r w:rsidRPr="00332C4C">
        <w:rPr>
          <w:rFonts w:eastAsia="Palatino Linotype" w:cs="Palatino Linotype"/>
          <w:lang w:val="es-MX"/>
        </w:rPr>
        <w:t xml:space="preserve">se procede a dictar la presente resolución con base en los siguientes: </w:t>
      </w:r>
    </w:p>
    <w:p w14:paraId="0F27EB82" w14:textId="77777777" w:rsidR="009B616B" w:rsidRPr="00332C4C" w:rsidRDefault="005A212F" w:rsidP="00332C4C">
      <w:pPr>
        <w:spacing w:before="240" w:after="240" w:line="360" w:lineRule="auto"/>
        <w:jc w:val="center"/>
        <w:rPr>
          <w:rFonts w:eastAsia="Palatino Linotype" w:cs="Palatino Linotype"/>
          <w:b/>
          <w:sz w:val="28"/>
          <w:szCs w:val="28"/>
          <w:lang w:val="es-MX"/>
        </w:rPr>
      </w:pPr>
      <w:r w:rsidRPr="00332C4C">
        <w:rPr>
          <w:rFonts w:eastAsia="Palatino Linotype" w:cs="Palatino Linotype"/>
          <w:b/>
          <w:lang w:val="es-MX"/>
        </w:rPr>
        <w:t>I. A N T E C E D E N T E S</w:t>
      </w:r>
    </w:p>
    <w:p w14:paraId="09828AEF" w14:textId="3E188432" w:rsidR="009B616B" w:rsidRPr="00332C4C" w:rsidRDefault="005A212F" w:rsidP="00332C4C">
      <w:pPr>
        <w:spacing w:before="240" w:after="240" w:line="360" w:lineRule="auto"/>
        <w:jc w:val="both"/>
        <w:rPr>
          <w:rFonts w:eastAsia="Palatino Linotype" w:cs="Palatino Linotype"/>
          <w:lang w:val="es-MX"/>
        </w:rPr>
      </w:pPr>
      <w:bookmarkStart w:id="1" w:name="_Hlk96513441"/>
      <w:r w:rsidRPr="00332C4C">
        <w:rPr>
          <w:rFonts w:eastAsia="Palatino Linotype" w:cs="Palatino Linotype"/>
          <w:b/>
          <w:lang w:val="es-MX"/>
        </w:rPr>
        <w:t>1. Solicitud de acceso a la información.</w:t>
      </w:r>
      <w:r w:rsidRPr="00332C4C">
        <w:rPr>
          <w:rFonts w:eastAsia="Palatino Linotype" w:cs="Palatino Linotype"/>
          <w:lang w:val="es-MX"/>
        </w:rPr>
        <w:t xml:space="preserve"> Con fecha </w:t>
      </w:r>
      <w:r w:rsidR="00903D95" w:rsidRPr="00332C4C">
        <w:rPr>
          <w:rFonts w:eastAsia="Palatino Linotype" w:cs="Palatino Linotype"/>
          <w:b/>
          <w:lang w:val="es-MX"/>
        </w:rPr>
        <w:t>o</w:t>
      </w:r>
      <w:r w:rsidR="00AD2FEB" w:rsidRPr="00332C4C">
        <w:rPr>
          <w:rFonts w:eastAsia="Palatino Linotype" w:cs="Palatino Linotype"/>
          <w:b/>
          <w:lang w:val="es-MX"/>
        </w:rPr>
        <w:t xml:space="preserve">cho de octubre </w:t>
      </w:r>
      <w:r w:rsidR="003D6AA0" w:rsidRPr="00332C4C">
        <w:rPr>
          <w:rFonts w:eastAsia="Palatino Linotype" w:cs="Palatino Linotype"/>
          <w:b/>
          <w:lang w:val="es-MX"/>
        </w:rPr>
        <w:t xml:space="preserve">de </w:t>
      </w:r>
      <w:r w:rsidRPr="00332C4C">
        <w:rPr>
          <w:rFonts w:eastAsia="Palatino Linotype" w:cs="Palatino Linotype"/>
          <w:b/>
          <w:lang w:val="es-MX"/>
        </w:rPr>
        <w:t>dos mil veinti</w:t>
      </w:r>
      <w:r w:rsidR="00601C90" w:rsidRPr="00332C4C">
        <w:rPr>
          <w:rFonts w:eastAsia="Palatino Linotype" w:cs="Palatino Linotype"/>
          <w:b/>
          <w:lang w:val="es-MX"/>
        </w:rPr>
        <w:t>dós</w:t>
      </w:r>
      <w:r w:rsidRPr="00332C4C">
        <w:rPr>
          <w:rFonts w:eastAsia="Palatino Linotype" w:cs="Palatino Linotype"/>
          <w:b/>
          <w:lang w:val="es-MX"/>
        </w:rPr>
        <w:t>,</w:t>
      </w:r>
      <w:r w:rsidRPr="00332C4C">
        <w:rPr>
          <w:rFonts w:eastAsia="Palatino Linotype" w:cs="Palatino Linotype"/>
          <w:lang w:val="es-MX"/>
        </w:rPr>
        <w:t xml:space="preserve"> la parte </w:t>
      </w:r>
      <w:r w:rsidR="00915BF4" w:rsidRPr="00332C4C">
        <w:rPr>
          <w:rFonts w:eastAsia="Palatino Linotype" w:cs="Palatino Linotype"/>
          <w:b/>
          <w:lang w:val="es-MX"/>
        </w:rPr>
        <w:t>R</w:t>
      </w:r>
      <w:r w:rsidRPr="00332C4C">
        <w:rPr>
          <w:rFonts w:eastAsia="Palatino Linotype" w:cs="Palatino Linotype"/>
          <w:b/>
          <w:lang w:val="es-MX"/>
        </w:rPr>
        <w:t xml:space="preserve">ecurrente </w:t>
      </w:r>
      <w:r w:rsidRPr="00332C4C">
        <w:rPr>
          <w:rFonts w:eastAsia="Palatino Linotype" w:cs="Palatino Linotype"/>
          <w:lang w:val="es-MX"/>
        </w:rPr>
        <w:t xml:space="preserve">presentó, </w:t>
      </w:r>
      <w:r w:rsidR="00CE4386" w:rsidRPr="00332C4C">
        <w:rPr>
          <w:rFonts w:cs="Arial"/>
        </w:rPr>
        <w:t xml:space="preserve">presentó, través de la Plataforma Nacional de Transparencia vinculada al Sistema de Acceso a la Información Mexiquense, en lo subsecuente el </w:t>
      </w:r>
      <w:r w:rsidR="00CE4386" w:rsidRPr="00332C4C">
        <w:rPr>
          <w:rFonts w:cs="Arial"/>
          <w:b/>
        </w:rPr>
        <w:t xml:space="preserve">SAIMEX, </w:t>
      </w:r>
      <w:r w:rsidRPr="00332C4C">
        <w:rPr>
          <w:rFonts w:eastAsia="Palatino Linotype" w:cs="Palatino Linotype"/>
          <w:lang w:val="es-MX"/>
        </w:rPr>
        <w:t xml:space="preserve">ante el </w:t>
      </w:r>
      <w:r w:rsidRPr="00332C4C">
        <w:rPr>
          <w:rFonts w:eastAsia="Palatino Linotype" w:cs="Palatino Linotype"/>
          <w:b/>
          <w:lang w:val="es-MX"/>
        </w:rPr>
        <w:t>Sujeto Obligado</w:t>
      </w:r>
      <w:r w:rsidRPr="00332C4C">
        <w:rPr>
          <w:rFonts w:eastAsia="Palatino Linotype" w:cs="Palatino Linotype"/>
          <w:lang w:val="es-MX"/>
        </w:rPr>
        <w:t>, la solicitud de acceso a la información pública, a la que se le asignó el número</w:t>
      </w:r>
      <w:r w:rsidRPr="00332C4C">
        <w:rPr>
          <w:rFonts w:eastAsia="Palatino Linotype" w:cs="Palatino Linotype"/>
          <w:b/>
          <w:lang w:val="es-MX"/>
        </w:rPr>
        <w:t xml:space="preserve"> </w:t>
      </w:r>
      <w:r w:rsidR="00AD2FEB" w:rsidRPr="00332C4C">
        <w:rPr>
          <w:rFonts w:eastAsia="Palatino Linotype" w:cs="Palatino Linotype"/>
          <w:b/>
          <w:lang w:val="es-MX"/>
        </w:rPr>
        <w:t>00327/SMOV/IP/2021</w:t>
      </w:r>
      <w:r w:rsidRPr="00332C4C">
        <w:rPr>
          <w:rFonts w:eastAsia="Palatino Linotype" w:cs="Palatino Linotype"/>
          <w:b/>
          <w:lang w:val="es-MX"/>
        </w:rPr>
        <w:t xml:space="preserve">, </w:t>
      </w:r>
      <w:r w:rsidRPr="00332C4C">
        <w:rPr>
          <w:rFonts w:eastAsia="Palatino Linotype" w:cs="Palatino Linotype"/>
          <w:lang w:val="es-MX"/>
        </w:rPr>
        <w:t xml:space="preserve">mediante la cual requirió la información siguiente: </w:t>
      </w:r>
    </w:p>
    <w:p w14:paraId="7018A8D8" w14:textId="43FD1A3B" w:rsidR="009B616B" w:rsidRPr="00332C4C" w:rsidRDefault="005A212F" w:rsidP="00332C4C">
      <w:pPr>
        <w:ind w:left="851" w:right="902"/>
        <w:jc w:val="both"/>
        <w:rPr>
          <w:rFonts w:eastAsia="Palatino Linotype" w:cs="Palatino Linotype"/>
          <w:b/>
          <w:i/>
          <w:sz w:val="22"/>
          <w:szCs w:val="22"/>
          <w:lang w:val="es-MX"/>
        </w:rPr>
      </w:pPr>
      <w:bookmarkStart w:id="2" w:name="_heading=h.gjdgxs" w:colFirst="0" w:colLast="0"/>
      <w:bookmarkStart w:id="3" w:name="_Hlk95730224"/>
      <w:bookmarkEnd w:id="2"/>
      <w:r w:rsidRPr="00332C4C">
        <w:rPr>
          <w:rFonts w:eastAsia="Palatino Linotype" w:cs="Palatino Linotype"/>
          <w:i/>
          <w:sz w:val="22"/>
          <w:szCs w:val="22"/>
          <w:lang w:val="es-MX"/>
        </w:rPr>
        <w:t>“</w:t>
      </w:r>
      <w:r w:rsidR="00AD2FEB" w:rsidRPr="00332C4C">
        <w:rPr>
          <w:rFonts w:eastAsia="Palatino Linotype" w:cs="Palatino Linotype"/>
          <w:i/>
          <w:sz w:val="22"/>
          <w:szCs w:val="22"/>
          <w:lang w:val="es-MX"/>
        </w:rPr>
        <w:t xml:space="preserve">Por medio de la presente requiero se me proporcione la siguiente información: 1. Instrumento mediante el cual se formalizo el otorgamiento de la concesión de la Ruta 18 Ramal que corre de Jesús del Monte al Metro Cuatro Caminos 2. Dictamen que determino la factibilidad de la Ruta 18 Ramal que corre de Jesús del Monte al Metro Cuatro Caminos 3. Garantía vigente que otorgo el titular de la concesión de la Ruta 18 Ramal que corre de Jesús del Monte al Metro Cuatro Caminos para el otorgamiento de esta. 4. Inscripción en el Registro Estatal del Paradero y/o persona concesionaria de la Ruta 18 Ramal que corre de Jesús del Monte al Metro Cuatro Caminos. 5. Programa Estatal de Movilidad en el cual se </w:t>
      </w:r>
      <w:r w:rsidR="00AD2FEB" w:rsidRPr="00332C4C">
        <w:rPr>
          <w:rFonts w:eastAsia="Palatino Linotype" w:cs="Palatino Linotype"/>
          <w:i/>
          <w:sz w:val="22"/>
          <w:szCs w:val="22"/>
          <w:lang w:val="es-MX"/>
        </w:rPr>
        <w:lastRenderedPageBreak/>
        <w:t>Autorizó la Ruta 18 Ramal que corre de Jesús del Monte al Metro Cuatro Caminos 6. Autorizaciones emitidas por las secretarias de Movilidad y Finanzas, para la operación y recorrido de Ruta 18 Ramal que corre de Jesús del Monte al Metro Cuatro Caminos 7. Publicación en la gaceta mediante la cual se autorizó el Paradero Ruta 18 Ramal que corre de Jesús del Monte al Metro Cuatro Caminos. 8. Licitación en la cual se especificaron las bases para la ocupación y uso de la Ruta 18 Ramal que corre de Jesús del Monte al Metro Cuatro Caminos 9. Publicación mediante la cual se otorgó la concesión a la asociación que actualmente es titular de la Ruta 18 Ramal que corre de Jesús del Monte al Metro Cuatro Caminos 10. Plano autorizado del recorrido que tiene el corredor del Transporte público autorizado para la Ruta 18 Ramal que corre de Jesús del Monte al Metro Cuatro Caminos</w:t>
      </w:r>
      <w:r w:rsidRPr="00332C4C">
        <w:rPr>
          <w:rFonts w:eastAsia="Palatino Linotype" w:cs="Palatino Linotype"/>
          <w:i/>
          <w:sz w:val="22"/>
          <w:szCs w:val="22"/>
          <w:lang w:val="es-MX"/>
        </w:rPr>
        <w:t>” (sic)</w:t>
      </w:r>
    </w:p>
    <w:bookmarkEnd w:id="3"/>
    <w:p w14:paraId="7D12653E" w14:textId="77777777" w:rsidR="009B616B" w:rsidRPr="00332C4C" w:rsidRDefault="009B616B" w:rsidP="00332C4C">
      <w:pPr>
        <w:ind w:right="900"/>
        <w:jc w:val="both"/>
        <w:rPr>
          <w:rFonts w:eastAsia="Palatino Linotype" w:cs="Palatino Linotype"/>
          <w:lang w:val="es-MX"/>
        </w:rPr>
      </w:pPr>
    </w:p>
    <w:p w14:paraId="0924DAF2" w14:textId="77777777" w:rsidR="00CE4386" w:rsidRPr="00332C4C" w:rsidRDefault="005A212F" w:rsidP="00332C4C">
      <w:pPr>
        <w:spacing w:line="360" w:lineRule="auto"/>
        <w:ind w:right="49"/>
        <w:jc w:val="both"/>
        <w:rPr>
          <w:rFonts w:eastAsia="Palatino Linotype" w:cs="Palatino Linotype"/>
          <w:lang w:val="es-MX"/>
        </w:rPr>
      </w:pPr>
      <w:r w:rsidRPr="00332C4C">
        <w:rPr>
          <w:rFonts w:eastAsia="Palatino Linotype" w:cs="Palatino Linotype"/>
          <w:lang w:val="es-MX"/>
        </w:rPr>
        <w:t xml:space="preserve">La parte </w:t>
      </w:r>
      <w:r w:rsidRPr="00332C4C">
        <w:rPr>
          <w:rFonts w:eastAsia="Palatino Linotype" w:cs="Palatino Linotype"/>
          <w:b/>
          <w:lang w:val="es-MX"/>
        </w:rPr>
        <w:t>recurrente</w:t>
      </w:r>
      <w:r w:rsidRPr="00332C4C">
        <w:rPr>
          <w:rFonts w:eastAsia="Palatino Linotype" w:cs="Palatino Linotype"/>
          <w:lang w:val="es-MX"/>
        </w:rPr>
        <w:t xml:space="preserve"> </w:t>
      </w:r>
      <w:r w:rsidR="00AD2FEB" w:rsidRPr="00332C4C">
        <w:rPr>
          <w:rFonts w:eastAsia="Palatino Linotype" w:cs="Palatino Linotype"/>
          <w:lang w:val="es-MX"/>
        </w:rPr>
        <w:t xml:space="preserve">no </w:t>
      </w:r>
      <w:r w:rsidRPr="00332C4C">
        <w:rPr>
          <w:rFonts w:eastAsia="Palatino Linotype" w:cs="Palatino Linotype"/>
          <w:lang w:val="es-MX"/>
        </w:rPr>
        <w:t xml:space="preserve">adjuntó </w:t>
      </w:r>
      <w:r w:rsidR="00AD2FEB" w:rsidRPr="00332C4C">
        <w:rPr>
          <w:rFonts w:eastAsia="Palatino Linotype" w:cs="Palatino Linotype"/>
          <w:lang w:val="es-MX"/>
        </w:rPr>
        <w:t>a</w:t>
      </w:r>
      <w:r w:rsidRPr="00332C4C">
        <w:rPr>
          <w:rFonts w:eastAsia="Palatino Linotype" w:cs="Palatino Linotype"/>
          <w:lang w:val="es-MX"/>
        </w:rPr>
        <w:t>rchivo</w:t>
      </w:r>
      <w:r w:rsidR="00AD2FEB" w:rsidRPr="00332C4C">
        <w:rPr>
          <w:rFonts w:eastAsia="Palatino Linotype" w:cs="Palatino Linotype"/>
          <w:lang w:val="es-MX"/>
        </w:rPr>
        <w:t>s</w:t>
      </w:r>
      <w:r w:rsidR="00CE4386" w:rsidRPr="00332C4C">
        <w:rPr>
          <w:rFonts w:eastAsia="Palatino Linotype" w:cs="Palatino Linotype"/>
          <w:lang w:val="es-MX"/>
        </w:rPr>
        <w:t>.</w:t>
      </w:r>
    </w:p>
    <w:p w14:paraId="28CAD391" w14:textId="52A9816B" w:rsidR="00CE4386" w:rsidRPr="00332C4C" w:rsidRDefault="006E680D" w:rsidP="00332C4C">
      <w:pPr>
        <w:spacing w:before="240" w:after="240" w:line="360" w:lineRule="auto"/>
        <w:jc w:val="both"/>
        <w:rPr>
          <w:rFonts w:cs="Arial"/>
        </w:rPr>
      </w:pPr>
      <w:r w:rsidRPr="00332C4C">
        <w:rPr>
          <w:rFonts w:cs="Arial"/>
          <w:b/>
        </w:rPr>
        <w:t xml:space="preserve">Modalidad de Entrega: </w:t>
      </w:r>
      <w:r w:rsidRPr="00332C4C">
        <w:rPr>
          <w:rFonts w:cs="Arial"/>
        </w:rPr>
        <w:t>Toda vez que la solicitud se presentó a</w:t>
      </w:r>
      <w:r w:rsidRPr="00332C4C">
        <w:rPr>
          <w:rFonts w:cs="Arial"/>
          <w:b/>
        </w:rPr>
        <w:t xml:space="preserve"> </w:t>
      </w:r>
      <w:r w:rsidR="00CE4386" w:rsidRPr="00332C4C">
        <w:rPr>
          <w:rFonts w:cs="Arial"/>
        </w:rPr>
        <w:t>través de</w:t>
      </w:r>
      <w:r w:rsidRPr="00332C4C">
        <w:rPr>
          <w:rFonts w:cs="Arial"/>
        </w:rPr>
        <w:t xml:space="preserve"> la Plataforma Nacional de Transparencia, se entiende que la información se requiere a través de</w:t>
      </w:r>
      <w:r w:rsidR="00CE4386" w:rsidRPr="00332C4C">
        <w:rPr>
          <w:rFonts w:cs="Arial"/>
        </w:rPr>
        <w:t xml:space="preserve"> </w:t>
      </w:r>
      <w:r w:rsidR="00CE4386" w:rsidRPr="00332C4C">
        <w:rPr>
          <w:rFonts w:cs="Arial"/>
          <w:b/>
          <w:bCs/>
        </w:rPr>
        <w:t>SAIMEX</w:t>
      </w:r>
      <w:r w:rsidR="006940D8" w:rsidRPr="00332C4C">
        <w:rPr>
          <w:rFonts w:cs="Arial"/>
        </w:rPr>
        <w:t xml:space="preserve"> y</w:t>
      </w:r>
      <w:r w:rsidR="00CE4386" w:rsidRPr="00332C4C">
        <w:rPr>
          <w:rFonts w:cs="Arial"/>
        </w:rPr>
        <w:t xml:space="preserve"> </w:t>
      </w:r>
      <w:r w:rsidRPr="00332C4C">
        <w:rPr>
          <w:rFonts w:cs="Arial"/>
        </w:rPr>
        <w:t xml:space="preserve">de </w:t>
      </w:r>
      <w:r w:rsidR="00CE4386" w:rsidRPr="00332C4C">
        <w:rPr>
          <w:rFonts w:cs="Arial"/>
        </w:rPr>
        <w:t>correo electrónico.</w:t>
      </w:r>
    </w:p>
    <w:p w14:paraId="25727BC1" w14:textId="7FDC07A2" w:rsidR="00607A60" w:rsidRPr="00332C4C" w:rsidRDefault="00607A60" w:rsidP="00332C4C">
      <w:pPr>
        <w:spacing w:before="240" w:after="240" w:line="360" w:lineRule="auto"/>
        <w:jc w:val="both"/>
        <w:rPr>
          <w:rFonts w:cs="Arial"/>
        </w:rPr>
      </w:pPr>
      <w:r w:rsidRPr="00332C4C">
        <w:rPr>
          <w:noProof/>
          <w:lang w:val="es-MX"/>
        </w:rPr>
        <w:drawing>
          <wp:inline distT="0" distB="0" distL="0" distR="0" wp14:anchorId="371DD61A" wp14:editId="212A2C42">
            <wp:extent cx="5612130" cy="607060"/>
            <wp:effectExtent l="0" t="0" r="7620" b="25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12130" cy="607060"/>
                    </a:xfrm>
                    <a:prstGeom prst="rect">
                      <a:avLst/>
                    </a:prstGeom>
                  </pic:spPr>
                </pic:pic>
              </a:graphicData>
            </a:graphic>
          </wp:inline>
        </w:drawing>
      </w:r>
    </w:p>
    <w:p w14:paraId="18DC88FB" w14:textId="199B7EB3" w:rsidR="009B616B" w:rsidRPr="00332C4C" w:rsidRDefault="005A212F" w:rsidP="00332C4C">
      <w:pPr>
        <w:spacing w:before="240" w:after="240" w:line="360" w:lineRule="auto"/>
        <w:jc w:val="both"/>
        <w:rPr>
          <w:rFonts w:eastAsia="Palatino Linotype" w:cs="Palatino Linotype"/>
          <w:b/>
          <w:lang w:val="es-MX"/>
        </w:rPr>
      </w:pPr>
      <w:r w:rsidRPr="00332C4C">
        <w:rPr>
          <w:rFonts w:eastAsia="Palatino Linotype" w:cs="Palatino Linotype"/>
          <w:b/>
          <w:lang w:val="es-MX"/>
        </w:rPr>
        <w:t xml:space="preserve">2. Respuesta. </w:t>
      </w:r>
      <w:r w:rsidRPr="00332C4C">
        <w:rPr>
          <w:rFonts w:eastAsia="Palatino Linotype" w:cs="Palatino Linotype"/>
          <w:lang w:val="es-MX"/>
        </w:rPr>
        <w:t xml:space="preserve">Con fecha </w:t>
      </w:r>
      <w:r w:rsidR="00240586" w:rsidRPr="00332C4C">
        <w:rPr>
          <w:rFonts w:eastAsia="Palatino Linotype" w:cs="Palatino Linotype"/>
          <w:b/>
          <w:lang w:val="es-MX"/>
        </w:rPr>
        <w:t>veint</w:t>
      </w:r>
      <w:r w:rsidR="00BE294C" w:rsidRPr="00332C4C">
        <w:rPr>
          <w:rFonts w:eastAsia="Palatino Linotype" w:cs="Palatino Linotype"/>
          <w:b/>
          <w:lang w:val="es-MX"/>
        </w:rPr>
        <w:t>inueve de octubre d</w:t>
      </w:r>
      <w:r w:rsidR="00A73F1C" w:rsidRPr="00332C4C">
        <w:rPr>
          <w:rFonts w:eastAsia="Palatino Linotype" w:cs="Palatino Linotype"/>
          <w:b/>
          <w:lang w:val="es-MX"/>
        </w:rPr>
        <w:t>e dos mil veint</w:t>
      </w:r>
      <w:r w:rsidR="00BE294C" w:rsidRPr="00332C4C">
        <w:rPr>
          <w:rFonts w:eastAsia="Palatino Linotype" w:cs="Palatino Linotype"/>
          <w:b/>
          <w:lang w:val="es-MX"/>
        </w:rPr>
        <w:t>iuno</w:t>
      </w:r>
      <w:r w:rsidR="00A73F1C" w:rsidRPr="00332C4C">
        <w:rPr>
          <w:rFonts w:eastAsia="Palatino Linotype" w:cs="Palatino Linotype"/>
          <w:b/>
          <w:lang w:val="es-MX"/>
        </w:rPr>
        <w:t xml:space="preserve">, </w:t>
      </w:r>
      <w:r w:rsidRPr="00332C4C">
        <w:rPr>
          <w:rFonts w:eastAsia="Palatino Linotype" w:cs="Palatino Linotype"/>
          <w:lang w:val="es-MX"/>
        </w:rPr>
        <w:t xml:space="preserve">el </w:t>
      </w:r>
      <w:r w:rsidRPr="00332C4C">
        <w:rPr>
          <w:rFonts w:eastAsia="Palatino Linotype" w:cs="Palatino Linotype"/>
          <w:b/>
          <w:lang w:val="es-MX"/>
        </w:rPr>
        <w:t xml:space="preserve">Sujeto Obligado </w:t>
      </w:r>
      <w:r w:rsidRPr="00332C4C">
        <w:rPr>
          <w:rFonts w:eastAsia="Palatino Linotype" w:cs="Palatino Linotype"/>
          <w:lang w:val="es-MX"/>
        </w:rPr>
        <w:t xml:space="preserve">envió su respuesta a la solicitud de acceso a la información a través de </w:t>
      </w:r>
      <w:r w:rsidRPr="00332C4C">
        <w:rPr>
          <w:rFonts w:eastAsia="Palatino Linotype" w:cs="Palatino Linotype"/>
          <w:b/>
          <w:bCs/>
          <w:lang w:val="es-MX"/>
        </w:rPr>
        <w:t>SAIMEX</w:t>
      </w:r>
      <w:r w:rsidRPr="00332C4C">
        <w:rPr>
          <w:rFonts w:eastAsia="Palatino Linotype" w:cs="Palatino Linotype"/>
          <w:lang w:val="es-MX"/>
        </w:rPr>
        <w:t xml:space="preserve">, sustancialmente en los términos siguientes: </w:t>
      </w:r>
    </w:p>
    <w:p w14:paraId="5F7FC2FF" w14:textId="68AFC473" w:rsidR="009B616B" w:rsidRPr="00332C4C" w:rsidRDefault="005A212F" w:rsidP="00332C4C">
      <w:pPr>
        <w:ind w:left="851" w:right="900"/>
        <w:jc w:val="both"/>
        <w:rPr>
          <w:rFonts w:eastAsia="Palatino Linotype" w:cs="Palatino Linotype"/>
          <w:i/>
          <w:sz w:val="22"/>
          <w:szCs w:val="22"/>
          <w:lang w:val="es-MX"/>
        </w:rPr>
      </w:pPr>
      <w:r w:rsidRPr="00332C4C">
        <w:rPr>
          <w:rFonts w:eastAsia="Palatino Linotype" w:cs="Palatino Linotype"/>
          <w:i/>
          <w:sz w:val="22"/>
          <w:szCs w:val="22"/>
          <w:lang w:val="es-MX"/>
        </w:rPr>
        <w:t>“…</w:t>
      </w:r>
      <w:r w:rsidR="00BE294C" w:rsidRPr="00332C4C">
        <w:rPr>
          <w:rFonts w:eastAsia="Palatino Linotype" w:cs="Palatino Linotype"/>
          <w:i/>
          <w:sz w:val="22"/>
          <w:szCs w:val="22"/>
          <w:lang w:val="es-MX"/>
        </w:rPr>
        <w:t xml:space="preserve">En respuesta a su petición número 00327/SMOV/IP/2021, [...] hago de su conocimiento lo siguiente: El Director General del Registro Estatal de Transporte Público y Servidor Público Habilitado, informó a la que suscribe que es importante invocar el artículo 143 de la Constitución Política del Estado Libre y Soberano de México, que indica, las autoridades administrativas únicamente pueden hacer lo que la ley expresamente les confiere, ergo, de conformidad con el artículo 24 del Reglamento Interior de la Secretaría de Movilidad, esta Dirección General del Registro Estatal de Transporte Público únicamente tiene atribuciones </w:t>
      </w:r>
      <w:r w:rsidR="00BE294C" w:rsidRPr="00332C4C">
        <w:rPr>
          <w:rFonts w:eastAsia="Palatino Linotype" w:cs="Palatino Linotype"/>
          <w:i/>
          <w:sz w:val="22"/>
          <w:szCs w:val="22"/>
          <w:lang w:val="es-MX"/>
        </w:rPr>
        <w:lastRenderedPageBreak/>
        <w:t>para integrar y custodiar la información que con motivo del otorgamiento de concesiones y/o permisos se genere, así como sus movimientos adicionales. En consecuencia, se puntualiza que la solicitud versa sobre rutas y/o derroteros para la prestación del servicio de transporte público, entiéndase como ruta a la dirección de un viaje con origen y destino determinado y como derrotero al Itinerario que ha de seguir la ruta desde su origen hasta su destino y viceversa, por lo que es necesario comunicar que estas son autorizaciones complementarias a las concesiones, siendo atribución de la Subsecretaría de Movilidad en coordinación de sus Direcciones Generales de Movilidad, suscribir dichas autorizaciones en observancia del artículo 8 fracción X y 14 fracción IV, XI del Reglamento Interior de la Secretaría de Movilidad, por lo que no es posible que esta unidad administrativa de seguimiento a lo referente a rutas y/o derroteros. No obstante, atendiendo al principio de máxima publicidad y profesionalismo y en concordancia del precepto 12 de la Ley de Transparencia y Acceso a la Información Pública del Estado de México y Municipios, que indica que los sujetos obligados sólo proporcionarán la información pública que obre en sus archivos y en el estado en que ésta se encuentre, se realizó una búsqueda en los archivos digitales del Registro Estatal de Transporte Público, relativas a concesiones a nombre de ruta 18 para prestar el servicio público, sin embargo, no se encontró registro alguno; se hace de su conocimiento para los efectos pertinentes. Asimismo, el Director General de Movilidad Zona II y Servidor Público Habilitado, informó a la que suscribe que esta unidad administrativa, se encuentra imposibilitada para otorgar la respuesta la solicitud que nos ocupa, toda vez que es a través del ACTA DE LA CENTÉSIMA DÉCIMA TERCERA SESIÓN EXTRAORDINARIA DEL AÑO DOS MIL VEINTIUNO DEL COMITÉ DE TRANSPARENCIA DE LA SECRETARÍA DE MOVILIDAD DEL GOBIERNO DEL ESTADO DE MÉXICO, en el cual se expresa el acuerdo número CT/SM/A/01/2021, por el que el Pleno de Comité de esta Secretaría de Movilidad, determina y autoriza la RESERVA de la emisión de información relativa a “…6. Autorizaciones emitidas por las secretarias de Movilidad y Finanzas, para la operación y recorrido de Ruta 18 Ramal que corre de Jesús del Monte al Metro Cuatro Caminos 10. Plano autorizado del recorrido que tiene el corredor del Transporte público autorizado para la Ruta 18 Ramal que corre de Jesús del Monte al Metro Cuatro Caminos…” Por lo anteriormente expuesto, se expone que esta unidad administrativa se encuentra imposibilitada, para emitir la información correspondiente a la presente solicitud.</w:t>
      </w:r>
      <w:r w:rsidRPr="00332C4C">
        <w:rPr>
          <w:rFonts w:eastAsia="Palatino Linotype" w:cs="Palatino Linotype"/>
          <w:i/>
          <w:sz w:val="22"/>
          <w:szCs w:val="22"/>
          <w:lang w:val="es-MX"/>
        </w:rPr>
        <w:t>..” (sic)</w:t>
      </w:r>
    </w:p>
    <w:p w14:paraId="2B9DF8D6" w14:textId="549EB897" w:rsidR="00B07F8E" w:rsidRPr="00332C4C" w:rsidRDefault="005A212F" w:rsidP="00332C4C">
      <w:pPr>
        <w:spacing w:before="240" w:after="240" w:line="360" w:lineRule="auto"/>
        <w:ind w:right="49"/>
        <w:jc w:val="both"/>
        <w:rPr>
          <w:rFonts w:eastAsia="Palatino Linotype" w:cs="Palatino Linotype"/>
          <w:lang w:val="es-MX"/>
        </w:rPr>
      </w:pPr>
      <w:r w:rsidRPr="00332C4C">
        <w:rPr>
          <w:rFonts w:eastAsia="Palatino Linotype" w:cs="Palatino Linotype"/>
          <w:lang w:val="es-MX"/>
        </w:rPr>
        <w:t xml:space="preserve">El </w:t>
      </w:r>
      <w:r w:rsidRPr="00332C4C">
        <w:rPr>
          <w:rFonts w:eastAsia="Palatino Linotype" w:cs="Palatino Linotype"/>
          <w:b/>
          <w:lang w:val="es-MX"/>
        </w:rPr>
        <w:t>Sujeto Obligado</w:t>
      </w:r>
      <w:r w:rsidRPr="00332C4C">
        <w:rPr>
          <w:rFonts w:eastAsia="Palatino Linotype" w:cs="Palatino Linotype"/>
          <w:lang w:val="es-MX"/>
        </w:rPr>
        <w:t xml:space="preserve"> adjuntó</w:t>
      </w:r>
      <w:r w:rsidR="00AF11ED" w:rsidRPr="00332C4C">
        <w:rPr>
          <w:rFonts w:eastAsia="Palatino Linotype" w:cs="Palatino Linotype"/>
          <w:lang w:val="es-MX"/>
        </w:rPr>
        <w:t xml:space="preserve"> </w:t>
      </w:r>
      <w:r w:rsidR="00B07F8E" w:rsidRPr="00332C4C">
        <w:rPr>
          <w:rFonts w:eastAsia="Palatino Linotype" w:cs="Palatino Linotype"/>
          <w:lang w:val="es-MX"/>
        </w:rPr>
        <w:t>el archivo:</w:t>
      </w:r>
    </w:p>
    <w:p w14:paraId="4ECC56AC" w14:textId="2EBC03E6" w:rsidR="00B07F8E" w:rsidRPr="00332C4C" w:rsidRDefault="00B07F8E" w:rsidP="00332C4C">
      <w:pPr>
        <w:spacing w:before="240" w:after="240" w:line="360" w:lineRule="auto"/>
        <w:ind w:right="49"/>
        <w:jc w:val="both"/>
        <w:rPr>
          <w:rFonts w:eastAsia="Palatino Linotype" w:cs="Palatino Linotype"/>
          <w:lang w:val="es-MX"/>
        </w:rPr>
      </w:pPr>
      <w:r w:rsidRPr="00332C4C">
        <w:rPr>
          <w:rFonts w:eastAsia="Palatino Linotype" w:cs="Palatino Linotype"/>
          <w:lang w:val="es-MX"/>
        </w:rPr>
        <w:lastRenderedPageBreak/>
        <w:t>- “</w:t>
      </w:r>
      <w:r w:rsidRPr="00332C4C">
        <w:rPr>
          <w:rFonts w:eastAsia="Palatino Linotype" w:cs="Palatino Linotype"/>
          <w:i/>
          <w:iCs/>
          <w:lang w:val="es-MX"/>
        </w:rPr>
        <w:t xml:space="preserve">Centésima Décima Tercera Sesión Extraordinaria_2021.pdf”, </w:t>
      </w:r>
      <w:r w:rsidR="001D26F6" w:rsidRPr="00332C4C">
        <w:rPr>
          <w:rFonts w:eastAsia="Palatino Linotype" w:cs="Palatino Linotype"/>
          <w:lang w:val="es-MX"/>
        </w:rPr>
        <w:t>que contiene el acta de la Centésima Décima Tercera Sesión Extraordinaria del año dos mil veintiuno, del Comité de Transparencia de la Secretaría de Movilidad, mediante el cual se somete a consideración de los integrantes la clasificación de las a</w:t>
      </w:r>
      <w:r w:rsidR="00607A60" w:rsidRPr="00332C4C">
        <w:rPr>
          <w:rFonts w:eastAsia="Palatino Linotype" w:cs="Palatino Linotype"/>
          <w:lang w:val="es-MX"/>
        </w:rPr>
        <w:t>utorizaciones emitidas por las Secretarí</w:t>
      </w:r>
      <w:r w:rsidR="001D26F6" w:rsidRPr="00332C4C">
        <w:rPr>
          <w:rFonts w:eastAsia="Palatino Linotype" w:cs="Palatino Linotype"/>
          <w:lang w:val="es-MX"/>
        </w:rPr>
        <w:t>as de Movilidad y Finanzas, para la operación y recorrido de Ruta 18 Ramal que corre de Jesús del Monte al Metro Cuatro Caminos y el plano autorizado del recorrido que tiene el corredor del Transporte público autorizado para la Ruta 18 Ramal que corre de Jesús del Monte al Metro Cuatro Caminos, como información reservada.</w:t>
      </w:r>
    </w:p>
    <w:p w14:paraId="217D637B" w14:textId="3E452448" w:rsidR="009B616B" w:rsidRPr="00332C4C" w:rsidRDefault="005A212F" w:rsidP="00332C4C">
      <w:pPr>
        <w:spacing w:before="240" w:after="240" w:line="360" w:lineRule="auto"/>
        <w:ind w:right="49"/>
        <w:jc w:val="both"/>
        <w:rPr>
          <w:rFonts w:eastAsia="Palatino Linotype" w:cs="Palatino Linotype"/>
          <w:lang w:val="es-MX"/>
        </w:rPr>
      </w:pPr>
      <w:r w:rsidRPr="00332C4C">
        <w:rPr>
          <w:rFonts w:eastAsia="Palatino Linotype" w:cs="Palatino Linotype"/>
          <w:b/>
          <w:lang w:val="es-MX"/>
        </w:rPr>
        <w:t xml:space="preserve">3. Interposición del recurso de revisión. </w:t>
      </w:r>
      <w:r w:rsidRPr="00332C4C">
        <w:rPr>
          <w:rFonts w:eastAsia="Palatino Linotype" w:cs="Palatino Linotype"/>
          <w:lang w:val="es-MX"/>
        </w:rPr>
        <w:t xml:space="preserve">Inconforme con los términos de la respuesta emitida por parte del </w:t>
      </w:r>
      <w:r w:rsidRPr="00332C4C">
        <w:rPr>
          <w:rFonts w:eastAsia="Palatino Linotype" w:cs="Palatino Linotype"/>
          <w:b/>
          <w:lang w:val="es-MX"/>
        </w:rPr>
        <w:t>Sujeto Obligado</w:t>
      </w:r>
      <w:r w:rsidRPr="00332C4C">
        <w:rPr>
          <w:rFonts w:eastAsia="Palatino Linotype" w:cs="Palatino Linotype"/>
          <w:lang w:val="es-MX"/>
        </w:rPr>
        <w:t xml:space="preserve">, el </w:t>
      </w:r>
      <w:r w:rsidR="001D26F6" w:rsidRPr="00332C4C">
        <w:rPr>
          <w:rFonts w:eastAsia="Palatino Linotype" w:cs="Palatino Linotype"/>
          <w:b/>
          <w:lang w:val="es-MX"/>
        </w:rPr>
        <w:t>uno de noviembre d</w:t>
      </w:r>
      <w:r w:rsidR="00DE43E1" w:rsidRPr="00332C4C">
        <w:rPr>
          <w:rFonts w:eastAsia="Palatino Linotype" w:cs="Palatino Linotype"/>
          <w:b/>
          <w:lang w:val="es-MX"/>
        </w:rPr>
        <w:t xml:space="preserve">e </w:t>
      </w:r>
      <w:r w:rsidRPr="00332C4C">
        <w:rPr>
          <w:rFonts w:eastAsia="Palatino Linotype" w:cs="Palatino Linotype"/>
          <w:b/>
          <w:lang w:val="es-MX"/>
        </w:rPr>
        <w:t>dos mil veinti</w:t>
      </w:r>
      <w:r w:rsidR="00D90C31" w:rsidRPr="00332C4C">
        <w:rPr>
          <w:rFonts w:eastAsia="Palatino Linotype" w:cs="Palatino Linotype"/>
          <w:b/>
          <w:lang w:val="es-MX"/>
        </w:rPr>
        <w:t>uno</w:t>
      </w:r>
      <w:r w:rsidRPr="00332C4C">
        <w:rPr>
          <w:rFonts w:eastAsia="Palatino Linotype" w:cs="Palatino Linotype"/>
          <w:b/>
          <w:lang w:val="es-MX"/>
        </w:rPr>
        <w:t>,</w:t>
      </w:r>
      <w:r w:rsidRPr="00332C4C">
        <w:rPr>
          <w:rFonts w:eastAsia="Palatino Linotype" w:cs="Palatino Linotype"/>
          <w:lang w:val="es-MX"/>
        </w:rPr>
        <w:t xml:space="preserve"> la parte </w:t>
      </w:r>
      <w:r w:rsidR="00456E3A" w:rsidRPr="00332C4C">
        <w:rPr>
          <w:rFonts w:eastAsia="Palatino Linotype" w:cs="Palatino Linotype"/>
          <w:b/>
          <w:bCs/>
          <w:lang w:val="es-MX"/>
        </w:rPr>
        <w:t>R</w:t>
      </w:r>
      <w:r w:rsidRPr="00332C4C">
        <w:rPr>
          <w:rFonts w:eastAsia="Palatino Linotype" w:cs="Palatino Linotype"/>
          <w:b/>
          <w:bCs/>
          <w:lang w:val="es-MX"/>
        </w:rPr>
        <w:t>ecurrente</w:t>
      </w:r>
      <w:r w:rsidRPr="00332C4C">
        <w:rPr>
          <w:rFonts w:eastAsia="Palatino Linotype" w:cs="Palatino Linotype"/>
          <w:lang w:val="es-MX"/>
        </w:rPr>
        <w:t xml:space="preserve"> interpuso el recurso de revisión a través de </w:t>
      </w:r>
      <w:r w:rsidRPr="00332C4C">
        <w:rPr>
          <w:rFonts w:eastAsia="Palatino Linotype" w:cs="Palatino Linotype"/>
          <w:b/>
          <w:lang w:val="es-MX"/>
        </w:rPr>
        <w:t xml:space="preserve">SAIMEX, </w:t>
      </w:r>
      <w:r w:rsidRPr="00332C4C">
        <w:rPr>
          <w:rFonts w:eastAsia="Palatino Linotype" w:cs="Palatino Linotype"/>
          <w:lang w:val="es-MX"/>
        </w:rPr>
        <w:t>en donde se manifestó de la siguiente manera:</w:t>
      </w:r>
    </w:p>
    <w:p w14:paraId="625E1AE2" w14:textId="77777777" w:rsidR="009B616B" w:rsidRPr="00332C4C" w:rsidRDefault="005A212F" w:rsidP="00332C4C">
      <w:pPr>
        <w:tabs>
          <w:tab w:val="left" w:pos="2745"/>
        </w:tabs>
        <w:spacing w:line="360" w:lineRule="auto"/>
        <w:jc w:val="both"/>
        <w:rPr>
          <w:rFonts w:eastAsia="Palatino Linotype" w:cs="Palatino Linotype"/>
          <w:b/>
          <w:lang w:val="es-MX"/>
        </w:rPr>
      </w:pPr>
      <w:bookmarkStart w:id="4" w:name="_Hlk95731282"/>
      <w:r w:rsidRPr="00332C4C">
        <w:rPr>
          <w:rFonts w:eastAsia="Palatino Linotype" w:cs="Palatino Linotype"/>
          <w:b/>
          <w:lang w:val="es-MX"/>
        </w:rPr>
        <w:t xml:space="preserve">Acto impugnado: </w:t>
      </w:r>
      <w:r w:rsidRPr="00332C4C">
        <w:rPr>
          <w:rFonts w:eastAsia="Palatino Linotype" w:cs="Palatino Linotype"/>
          <w:b/>
          <w:lang w:val="es-MX"/>
        </w:rPr>
        <w:tab/>
      </w:r>
    </w:p>
    <w:p w14:paraId="4F3A2897" w14:textId="77777777" w:rsidR="009B616B" w:rsidRPr="00332C4C" w:rsidRDefault="009B616B" w:rsidP="00332C4C">
      <w:pPr>
        <w:spacing w:line="360" w:lineRule="auto"/>
        <w:ind w:left="851" w:right="900"/>
        <w:jc w:val="both"/>
        <w:rPr>
          <w:rFonts w:eastAsia="Palatino Linotype" w:cs="Palatino Linotype"/>
          <w:i/>
          <w:sz w:val="2"/>
          <w:szCs w:val="2"/>
          <w:lang w:val="es-MX"/>
        </w:rPr>
      </w:pPr>
    </w:p>
    <w:p w14:paraId="0534168E" w14:textId="27519EC7" w:rsidR="009B616B" w:rsidRPr="00332C4C" w:rsidRDefault="003D175F" w:rsidP="00332C4C">
      <w:pPr>
        <w:ind w:left="851" w:right="900"/>
        <w:jc w:val="both"/>
        <w:rPr>
          <w:rFonts w:eastAsia="Palatino Linotype" w:cs="Palatino Linotype"/>
          <w:i/>
          <w:sz w:val="22"/>
          <w:szCs w:val="22"/>
          <w:lang w:val="es-MX"/>
        </w:rPr>
      </w:pPr>
      <w:bookmarkStart w:id="5" w:name="_Hlk96520154"/>
      <w:r w:rsidRPr="00332C4C">
        <w:rPr>
          <w:rFonts w:eastAsia="Palatino Linotype" w:cs="Palatino Linotype"/>
          <w:i/>
          <w:sz w:val="22"/>
          <w:szCs w:val="22"/>
          <w:lang w:val="es-MX"/>
        </w:rPr>
        <w:t>“</w:t>
      </w:r>
      <w:r w:rsidR="001D26F6" w:rsidRPr="00332C4C">
        <w:rPr>
          <w:rFonts w:eastAsia="Palatino Linotype" w:cs="Palatino Linotype"/>
          <w:i/>
          <w:sz w:val="22"/>
          <w:szCs w:val="22"/>
          <w:lang w:val="es-MX"/>
        </w:rPr>
        <w:t xml:space="preserve">La autoridad es omisa al contestar las preguntas realizadas, entre las que se encuentran por mencionar algunas, el referir las publicaciones de la gaceta del Estado de </w:t>
      </w:r>
      <w:proofErr w:type="spellStart"/>
      <w:r w:rsidR="001D26F6" w:rsidRPr="00332C4C">
        <w:rPr>
          <w:rFonts w:eastAsia="Palatino Linotype" w:cs="Palatino Linotype"/>
          <w:i/>
          <w:sz w:val="22"/>
          <w:szCs w:val="22"/>
          <w:lang w:val="es-MX"/>
        </w:rPr>
        <w:t>de</w:t>
      </w:r>
      <w:proofErr w:type="spellEnd"/>
      <w:r w:rsidR="001D26F6" w:rsidRPr="00332C4C">
        <w:rPr>
          <w:rFonts w:eastAsia="Palatino Linotype" w:cs="Palatino Linotype"/>
          <w:i/>
          <w:sz w:val="22"/>
          <w:szCs w:val="22"/>
          <w:lang w:val="es-MX"/>
        </w:rPr>
        <w:t xml:space="preserve"> México, las cuales son de carácter </w:t>
      </w:r>
      <w:proofErr w:type="spellStart"/>
      <w:r w:rsidR="001D26F6" w:rsidRPr="00332C4C">
        <w:rPr>
          <w:rFonts w:eastAsia="Palatino Linotype" w:cs="Palatino Linotype"/>
          <w:i/>
          <w:sz w:val="22"/>
          <w:szCs w:val="22"/>
          <w:lang w:val="es-MX"/>
        </w:rPr>
        <w:t>publico</w:t>
      </w:r>
      <w:proofErr w:type="spellEnd"/>
      <w:r w:rsidR="001D26F6" w:rsidRPr="00332C4C">
        <w:rPr>
          <w:rFonts w:eastAsia="Palatino Linotype" w:cs="Palatino Linotype"/>
          <w:i/>
          <w:sz w:val="22"/>
          <w:szCs w:val="22"/>
          <w:lang w:val="es-MX"/>
        </w:rPr>
        <w:t xml:space="preserve">, contestar si el titular de la autorización contaba con la fianza que exige la ley para conservar su autorización o la ruta que debe recorrer dicho ramal, avocándose únicamente a responder aquellas preguntas, que a su criterio considero siendo estas únicas las referidas en los puntos 6 y 10 de mi solicitud, omitiendo y en consecuencia negándose a proporcionar la información solicitada, ya que el hecho de que la información solicitada contiene datos sensibles tales como nombre de particulares (los cuales pueden ser suprimidos), también es cierto que dicha información también contiene los términos y condiciones bajo los cuales se prestara un servicio </w:t>
      </w:r>
      <w:proofErr w:type="spellStart"/>
      <w:r w:rsidR="001D26F6" w:rsidRPr="00332C4C">
        <w:rPr>
          <w:rFonts w:eastAsia="Palatino Linotype" w:cs="Palatino Linotype"/>
          <w:i/>
          <w:sz w:val="22"/>
          <w:szCs w:val="22"/>
          <w:lang w:val="es-MX"/>
        </w:rPr>
        <w:t>publico</w:t>
      </w:r>
      <w:proofErr w:type="spellEnd"/>
      <w:r w:rsidR="001D26F6" w:rsidRPr="00332C4C">
        <w:rPr>
          <w:rFonts w:eastAsia="Palatino Linotype" w:cs="Palatino Linotype"/>
          <w:i/>
          <w:sz w:val="22"/>
          <w:szCs w:val="22"/>
          <w:lang w:val="es-MX"/>
        </w:rPr>
        <w:t xml:space="preserve"> (transporte). Sin embargo la autoridad omite contestar los demás cuestionamientos planteados y negar el acceso a la información; Por este conducto me gustaría hacer énfasis en la conducta omisiva que se observa por parte de esta autoridad (Secretaria de Movilidad) y pareciera estar encubriendo y protegiendo </w:t>
      </w:r>
      <w:r w:rsidR="001D26F6" w:rsidRPr="00332C4C">
        <w:rPr>
          <w:rFonts w:eastAsia="Palatino Linotype" w:cs="Palatino Linotype"/>
          <w:i/>
          <w:sz w:val="22"/>
          <w:szCs w:val="22"/>
          <w:lang w:val="es-MX"/>
        </w:rPr>
        <w:lastRenderedPageBreak/>
        <w:t xml:space="preserve">los intereses de terceros, toda vez que al no permitir que los ciudadanos tengamos acceso a los términos y condicione bajo las cuales concesiono dicha ruta, permite a terceros que abusen del desconocimiento de los ciudadanos para actuar impunemente, ya que pareciese que esta autoridad </w:t>
      </w:r>
      <w:proofErr w:type="spellStart"/>
      <w:r w:rsidR="001D26F6" w:rsidRPr="00332C4C">
        <w:rPr>
          <w:rFonts w:eastAsia="Palatino Linotype" w:cs="Palatino Linotype"/>
          <w:i/>
          <w:sz w:val="22"/>
          <w:szCs w:val="22"/>
          <w:lang w:val="es-MX"/>
        </w:rPr>
        <w:t>esta</w:t>
      </w:r>
      <w:proofErr w:type="spellEnd"/>
      <w:r w:rsidR="001D26F6" w:rsidRPr="00332C4C">
        <w:rPr>
          <w:rFonts w:eastAsia="Palatino Linotype" w:cs="Palatino Linotype"/>
          <w:i/>
          <w:sz w:val="22"/>
          <w:szCs w:val="22"/>
          <w:lang w:val="es-MX"/>
        </w:rPr>
        <w:t xml:space="preserve"> fomentando dichas conductas, cuando debiese vigilar el cumplimiento de la normatividad para mejorar el servicio </w:t>
      </w:r>
      <w:proofErr w:type="spellStart"/>
      <w:r w:rsidR="001D26F6" w:rsidRPr="00332C4C">
        <w:rPr>
          <w:rFonts w:eastAsia="Palatino Linotype" w:cs="Palatino Linotype"/>
          <w:i/>
          <w:sz w:val="22"/>
          <w:szCs w:val="22"/>
          <w:lang w:val="es-MX"/>
        </w:rPr>
        <w:t>publico</w:t>
      </w:r>
      <w:proofErr w:type="spellEnd"/>
      <w:r w:rsidR="001D26F6" w:rsidRPr="00332C4C">
        <w:rPr>
          <w:rFonts w:eastAsia="Palatino Linotype" w:cs="Palatino Linotype"/>
          <w:i/>
          <w:sz w:val="22"/>
          <w:szCs w:val="22"/>
          <w:lang w:val="es-MX"/>
        </w:rPr>
        <w:t xml:space="preserve"> que se presta en el Estado de México.</w:t>
      </w:r>
      <w:r w:rsidR="005A212F" w:rsidRPr="00332C4C">
        <w:rPr>
          <w:rFonts w:eastAsia="Palatino Linotype" w:cs="Palatino Linotype"/>
          <w:i/>
          <w:sz w:val="22"/>
          <w:szCs w:val="22"/>
          <w:lang w:val="es-MX"/>
        </w:rPr>
        <w:t>” (sic)</w:t>
      </w:r>
    </w:p>
    <w:p w14:paraId="1932DA8C" w14:textId="77777777" w:rsidR="00607A60" w:rsidRPr="00332C4C" w:rsidRDefault="00607A60" w:rsidP="00332C4C">
      <w:pPr>
        <w:ind w:left="851" w:right="900"/>
        <w:jc w:val="both"/>
        <w:rPr>
          <w:rFonts w:eastAsia="Palatino Linotype" w:cs="Palatino Linotype"/>
          <w:i/>
          <w:sz w:val="22"/>
          <w:szCs w:val="22"/>
          <w:lang w:val="es-MX"/>
        </w:rPr>
      </w:pPr>
    </w:p>
    <w:p w14:paraId="3A51F611" w14:textId="77777777" w:rsidR="009B616B" w:rsidRPr="00332C4C" w:rsidRDefault="009B616B" w:rsidP="00332C4C">
      <w:pPr>
        <w:spacing w:line="360" w:lineRule="auto"/>
        <w:jc w:val="both"/>
        <w:rPr>
          <w:rFonts w:eastAsia="Palatino Linotype" w:cs="Palatino Linotype"/>
          <w:sz w:val="2"/>
          <w:szCs w:val="2"/>
          <w:lang w:val="es-MX"/>
        </w:rPr>
      </w:pPr>
    </w:p>
    <w:p w14:paraId="7559B1A8" w14:textId="77777777" w:rsidR="009B616B" w:rsidRPr="00332C4C" w:rsidRDefault="005A212F" w:rsidP="00332C4C">
      <w:pPr>
        <w:spacing w:line="360" w:lineRule="auto"/>
        <w:jc w:val="both"/>
        <w:rPr>
          <w:rFonts w:eastAsia="Palatino Linotype" w:cs="Palatino Linotype"/>
          <w:lang w:val="es-MX"/>
        </w:rPr>
      </w:pPr>
      <w:r w:rsidRPr="00332C4C">
        <w:rPr>
          <w:rFonts w:eastAsia="Palatino Linotype" w:cs="Palatino Linotype"/>
          <w:b/>
          <w:lang w:val="es-MX"/>
        </w:rPr>
        <w:t>Y Razones o motivos de inconformidad</w:t>
      </w:r>
      <w:r w:rsidRPr="00332C4C">
        <w:rPr>
          <w:rFonts w:eastAsia="Palatino Linotype" w:cs="Palatino Linotype"/>
          <w:lang w:val="es-MX"/>
        </w:rPr>
        <w:t>:</w:t>
      </w:r>
    </w:p>
    <w:bookmarkEnd w:id="5"/>
    <w:p w14:paraId="0D015ED0" w14:textId="77777777" w:rsidR="009B616B" w:rsidRPr="00332C4C" w:rsidRDefault="009B616B" w:rsidP="00332C4C">
      <w:pPr>
        <w:spacing w:line="360" w:lineRule="auto"/>
        <w:jc w:val="both"/>
        <w:rPr>
          <w:rFonts w:eastAsia="Palatino Linotype" w:cs="Palatino Linotype"/>
          <w:sz w:val="2"/>
          <w:szCs w:val="2"/>
          <w:lang w:val="es-MX"/>
        </w:rPr>
      </w:pPr>
    </w:p>
    <w:p w14:paraId="089F10E1" w14:textId="1F0C4E94" w:rsidR="009B616B" w:rsidRPr="00332C4C" w:rsidRDefault="005A212F" w:rsidP="00332C4C">
      <w:pPr>
        <w:ind w:left="851" w:right="900"/>
        <w:jc w:val="both"/>
        <w:rPr>
          <w:rFonts w:eastAsia="Palatino Linotype" w:cs="Palatino Linotype"/>
          <w:i/>
          <w:sz w:val="22"/>
          <w:szCs w:val="22"/>
          <w:lang w:val="es-MX"/>
        </w:rPr>
      </w:pPr>
      <w:bookmarkStart w:id="6" w:name="_heading=h.30j0zll" w:colFirst="0" w:colLast="0"/>
      <w:bookmarkEnd w:id="6"/>
      <w:r w:rsidRPr="00332C4C">
        <w:rPr>
          <w:rFonts w:eastAsia="Palatino Linotype" w:cs="Palatino Linotype"/>
          <w:i/>
          <w:sz w:val="22"/>
          <w:szCs w:val="22"/>
          <w:lang w:val="es-MX"/>
        </w:rPr>
        <w:t xml:space="preserve"> </w:t>
      </w:r>
      <w:r w:rsidR="001D26F6" w:rsidRPr="00332C4C">
        <w:rPr>
          <w:rFonts w:eastAsia="Palatino Linotype" w:cs="Palatino Linotype"/>
          <w:i/>
          <w:sz w:val="22"/>
          <w:szCs w:val="22"/>
          <w:lang w:val="es-MX"/>
        </w:rPr>
        <w:t xml:space="preserve">“La autoridad es omisa al contestar las preguntas realizadas, entre las que se encuentran por mencionar algunas, el referir las publicaciones de la gaceta del Estado de </w:t>
      </w:r>
      <w:proofErr w:type="spellStart"/>
      <w:r w:rsidR="001D26F6" w:rsidRPr="00332C4C">
        <w:rPr>
          <w:rFonts w:eastAsia="Palatino Linotype" w:cs="Palatino Linotype"/>
          <w:i/>
          <w:sz w:val="22"/>
          <w:szCs w:val="22"/>
          <w:lang w:val="es-MX"/>
        </w:rPr>
        <w:t>de</w:t>
      </w:r>
      <w:proofErr w:type="spellEnd"/>
      <w:r w:rsidR="001D26F6" w:rsidRPr="00332C4C">
        <w:rPr>
          <w:rFonts w:eastAsia="Palatino Linotype" w:cs="Palatino Linotype"/>
          <w:i/>
          <w:sz w:val="22"/>
          <w:szCs w:val="22"/>
          <w:lang w:val="es-MX"/>
        </w:rPr>
        <w:t xml:space="preserve"> México, las cuales son de carácter </w:t>
      </w:r>
      <w:proofErr w:type="spellStart"/>
      <w:r w:rsidR="001D26F6" w:rsidRPr="00332C4C">
        <w:rPr>
          <w:rFonts w:eastAsia="Palatino Linotype" w:cs="Palatino Linotype"/>
          <w:i/>
          <w:sz w:val="22"/>
          <w:szCs w:val="22"/>
          <w:lang w:val="es-MX"/>
        </w:rPr>
        <w:t>publico</w:t>
      </w:r>
      <w:proofErr w:type="spellEnd"/>
      <w:r w:rsidR="001D26F6" w:rsidRPr="00332C4C">
        <w:rPr>
          <w:rFonts w:eastAsia="Palatino Linotype" w:cs="Palatino Linotype"/>
          <w:i/>
          <w:sz w:val="22"/>
          <w:szCs w:val="22"/>
          <w:lang w:val="es-MX"/>
        </w:rPr>
        <w:t xml:space="preserve">, contestar si el titular de la autorización contaba con la fianza que exige la ley para conservar su autorización o la ruta que debe recorrer dicho ramal, avocándose únicamente a responder aquellas preguntas, que a su criterio considero siendo estas únicas las referidas en los puntos 6 y 10 de mi solicitud, omitiendo y en consecuencia negándose a proporcionar la información solicitada, ya que el hecho de que la información solicitada contiene datos sensibles tales como nombre de particulares (los cuales pueden ser suprimidos), también es cierto que dicha información también contiene los términos y condiciones bajo los cuales se prestara un servicio </w:t>
      </w:r>
      <w:proofErr w:type="spellStart"/>
      <w:r w:rsidR="001D26F6" w:rsidRPr="00332C4C">
        <w:rPr>
          <w:rFonts w:eastAsia="Palatino Linotype" w:cs="Palatino Linotype"/>
          <w:i/>
          <w:sz w:val="22"/>
          <w:szCs w:val="22"/>
          <w:lang w:val="es-MX"/>
        </w:rPr>
        <w:t>publico</w:t>
      </w:r>
      <w:proofErr w:type="spellEnd"/>
      <w:r w:rsidR="001D26F6" w:rsidRPr="00332C4C">
        <w:rPr>
          <w:rFonts w:eastAsia="Palatino Linotype" w:cs="Palatino Linotype"/>
          <w:i/>
          <w:sz w:val="22"/>
          <w:szCs w:val="22"/>
          <w:lang w:val="es-MX"/>
        </w:rPr>
        <w:t xml:space="preserve"> (transporte). Sin embargo la autoridad omite contestar los demás cuestionamientos planteados y negar el acceso a la información; Por este conducto me gustaría hacer énfasis en la conducta omisiva que se observa por parte de esta autoridad (Secretaria de Movilidad) y pareciera estar encubriendo y protegiendo los intereses de terceros, toda vez que al no permitir que los ciudadanos tengamos acceso a los términos y condicione bajo las cuales concesiono dicha ruta, permite a terceros que abusen del desconocimiento de los ciudadanos para actuar impunemente, ya que pareciese que esta autoridad </w:t>
      </w:r>
      <w:proofErr w:type="spellStart"/>
      <w:r w:rsidR="001D26F6" w:rsidRPr="00332C4C">
        <w:rPr>
          <w:rFonts w:eastAsia="Palatino Linotype" w:cs="Palatino Linotype"/>
          <w:i/>
          <w:sz w:val="22"/>
          <w:szCs w:val="22"/>
          <w:lang w:val="es-MX"/>
        </w:rPr>
        <w:t>esta</w:t>
      </w:r>
      <w:proofErr w:type="spellEnd"/>
      <w:r w:rsidR="001D26F6" w:rsidRPr="00332C4C">
        <w:rPr>
          <w:rFonts w:eastAsia="Palatino Linotype" w:cs="Palatino Linotype"/>
          <w:i/>
          <w:sz w:val="22"/>
          <w:szCs w:val="22"/>
          <w:lang w:val="es-MX"/>
        </w:rPr>
        <w:t xml:space="preserve"> fomentando dichas conductas, cuando debiese vigilar el cumplimiento de la normatividad para mejorar el servicio </w:t>
      </w:r>
      <w:proofErr w:type="spellStart"/>
      <w:r w:rsidR="001D26F6" w:rsidRPr="00332C4C">
        <w:rPr>
          <w:rFonts w:eastAsia="Palatino Linotype" w:cs="Palatino Linotype"/>
          <w:i/>
          <w:sz w:val="22"/>
          <w:szCs w:val="22"/>
          <w:lang w:val="es-MX"/>
        </w:rPr>
        <w:t>publico</w:t>
      </w:r>
      <w:proofErr w:type="spellEnd"/>
      <w:r w:rsidR="001D26F6" w:rsidRPr="00332C4C">
        <w:rPr>
          <w:rFonts w:eastAsia="Palatino Linotype" w:cs="Palatino Linotype"/>
          <w:i/>
          <w:sz w:val="22"/>
          <w:szCs w:val="22"/>
          <w:lang w:val="es-MX"/>
        </w:rPr>
        <w:t xml:space="preserve"> que se presta en el Estado de México.” (sic)</w:t>
      </w:r>
    </w:p>
    <w:bookmarkEnd w:id="4"/>
    <w:p w14:paraId="59574DDF" w14:textId="1EC02C8A" w:rsidR="009B616B" w:rsidRPr="00332C4C" w:rsidRDefault="005A212F" w:rsidP="00332C4C">
      <w:pPr>
        <w:spacing w:before="240" w:after="240" w:line="360" w:lineRule="auto"/>
        <w:ind w:right="51"/>
        <w:jc w:val="both"/>
        <w:rPr>
          <w:rFonts w:eastAsia="Palatino Linotype" w:cs="Palatino Linotype"/>
          <w:lang w:val="es-MX"/>
        </w:rPr>
      </w:pPr>
      <w:r w:rsidRPr="00332C4C">
        <w:rPr>
          <w:rFonts w:eastAsia="Palatino Linotype" w:cs="Palatino Linotype"/>
          <w:b/>
          <w:lang w:val="es-MX"/>
        </w:rPr>
        <w:t xml:space="preserve">Anexos: </w:t>
      </w:r>
      <w:r w:rsidRPr="00332C4C">
        <w:rPr>
          <w:rFonts w:eastAsia="Palatino Linotype" w:cs="Palatino Linotype"/>
          <w:lang w:val="es-MX"/>
        </w:rPr>
        <w:t xml:space="preserve">La parte </w:t>
      </w:r>
      <w:r w:rsidRPr="00332C4C">
        <w:rPr>
          <w:rFonts w:eastAsia="Palatino Linotype" w:cs="Palatino Linotype"/>
          <w:b/>
          <w:bCs/>
          <w:lang w:val="es-MX"/>
        </w:rPr>
        <w:t>Recurrente</w:t>
      </w:r>
      <w:r w:rsidRPr="00332C4C">
        <w:rPr>
          <w:rFonts w:eastAsia="Palatino Linotype" w:cs="Palatino Linotype"/>
          <w:lang w:val="es-MX"/>
        </w:rPr>
        <w:t xml:space="preserve"> adjuntó</w:t>
      </w:r>
      <w:r w:rsidR="00787434" w:rsidRPr="00332C4C">
        <w:rPr>
          <w:rFonts w:eastAsia="Palatino Linotype" w:cs="Palatino Linotype"/>
          <w:lang w:val="es-MX"/>
        </w:rPr>
        <w:t xml:space="preserve"> </w:t>
      </w:r>
      <w:r w:rsidR="001D26F6" w:rsidRPr="00332C4C">
        <w:rPr>
          <w:rFonts w:eastAsia="Palatino Linotype" w:cs="Palatino Linotype"/>
          <w:lang w:val="es-MX"/>
        </w:rPr>
        <w:t xml:space="preserve">el </w:t>
      </w:r>
      <w:r w:rsidRPr="00332C4C">
        <w:rPr>
          <w:rFonts w:eastAsia="Palatino Linotype" w:cs="Palatino Linotype"/>
          <w:lang w:val="es-MX"/>
        </w:rPr>
        <w:t>archivo</w:t>
      </w:r>
      <w:r w:rsidR="001D26F6" w:rsidRPr="00332C4C">
        <w:rPr>
          <w:rFonts w:eastAsia="Palatino Linotype" w:cs="Palatino Linotype"/>
          <w:lang w:val="es-MX"/>
        </w:rPr>
        <w:t xml:space="preserve"> “</w:t>
      </w:r>
      <w:r w:rsidR="001D26F6" w:rsidRPr="00332C4C">
        <w:rPr>
          <w:rFonts w:eastAsia="Palatino Linotype" w:cs="Palatino Linotype"/>
          <w:i/>
          <w:iCs/>
          <w:lang w:val="es-MX"/>
        </w:rPr>
        <w:t>Archivo1635793169512.</w:t>
      </w:r>
      <w:r w:rsidR="001D26F6" w:rsidRPr="00332C4C">
        <w:rPr>
          <w:rFonts w:eastAsia="Palatino Linotype" w:cs="Palatino Linotype"/>
          <w:lang w:val="es-MX"/>
        </w:rPr>
        <w:t>”, sin embargo</w:t>
      </w:r>
      <w:r w:rsidR="00D93422" w:rsidRPr="00332C4C">
        <w:rPr>
          <w:rFonts w:eastAsia="Palatino Linotype" w:cs="Palatino Linotype"/>
          <w:lang w:val="es-MX"/>
        </w:rPr>
        <w:t>,</w:t>
      </w:r>
      <w:r w:rsidR="001D26F6" w:rsidRPr="00332C4C">
        <w:rPr>
          <w:rFonts w:eastAsia="Palatino Linotype" w:cs="Palatino Linotype"/>
          <w:lang w:val="es-MX"/>
        </w:rPr>
        <w:t xml:space="preserve"> no</w:t>
      </w:r>
      <w:r w:rsidR="00D93422" w:rsidRPr="00332C4C">
        <w:rPr>
          <w:rFonts w:eastAsia="Palatino Linotype" w:cs="Palatino Linotype"/>
          <w:lang w:val="es-MX"/>
        </w:rPr>
        <w:t xml:space="preserve"> es posible</w:t>
      </w:r>
      <w:r w:rsidR="001D26F6" w:rsidRPr="00332C4C">
        <w:rPr>
          <w:rFonts w:eastAsia="Palatino Linotype" w:cs="Palatino Linotype"/>
          <w:lang w:val="es-MX"/>
        </w:rPr>
        <w:t xml:space="preserve"> acceder a su contenido</w:t>
      </w:r>
      <w:r w:rsidR="00D93422" w:rsidRPr="00332C4C">
        <w:rPr>
          <w:rFonts w:eastAsia="Palatino Linotype" w:cs="Palatino Linotype"/>
          <w:lang w:val="es-MX"/>
        </w:rPr>
        <w:t xml:space="preserve"> o realizar la lectura del mismo.</w:t>
      </w:r>
    </w:p>
    <w:p w14:paraId="05533E74" w14:textId="0FD79094" w:rsidR="009B616B" w:rsidRPr="00332C4C" w:rsidRDefault="005A212F" w:rsidP="00332C4C">
      <w:pPr>
        <w:spacing w:before="240" w:after="240" w:line="360" w:lineRule="auto"/>
        <w:ind w:right="51"/>
        <w:jc w:val="both"/>
        <w:rPr>
          <w:rFonts w:eastAsia="Palatino Linotype" w:cs="Palatino Linotype"/>
          <w:lang w:val="es-MX"/>
        </w:rPr>
      </w:pPr>
      <w:r w:rsidRPr="00332C4C">
        <w:rPr>
          <w:rFonts w:eastAsia="Palatino Linotype" w:cs="Palatino Linotype"/>
          <w:b/>
          <w:lang w:val="es-MX"/>
        </w:rPr>
        <w:t>4. Turno.</w:t>
      </w:r>
      <w:r w:rsidRPr="00332C4C">
        <w:rPr>
          <w:rFonts w:eastAsia="Palatino Linotype" w:cs="Palatino Linotype"/>
          <w:b/>
          <w:sz w:val="28"/>
          <w:szCs w:val="28"/>
          <w:lang w:val="es-MX"/>
        </w:rPr>
        <w:t xml:space="preserve"> </w:t>
      </w:r>
      <w:r w:rsidRPr="00332C4C">
        <w:rPr>
          <w:rFonts w:eastAsia="Palatino Linotype" w:cs="Palatino Linotype"/>
          <w:lang w:val="es-MX"/>
        </w:rPr>
        <w:t xml:space="preserve">De conformidad con el artículo 185 fracción I de la Ley de Transparencia y Acceso a la Información Pública del Estado de México y Municipios vigente, el presente recurso de revisión se turnó por el sistema electrónico del Instituto de </w:t>
      </w:r>
      <w:r w:rsidRPr="00332C4C">
        <w:rPr>
          <w:rFonts w:eastAsia="Palatino Linotype" w:cs="Palatino Linotype"/>
          <w:lang w:val="es-MX"/>
        </w:rPr>
        <w:lastRenderedPageBreak/>
        <w:t>Transparencia, Acceso a la Información Pública y Protección de Datos Personales del Estado de México y Municipios, a</w:t>
      </w:r>
      <w:r w:rsidR="00A83B0F" w:rsidRPr="00332C4C">
        <w:rPr>
          <w:rFonts w:eastAsia="Palatino Linotype" w:cs="Palatino Linotype"/>
          <w:lang w:val="es-MX"/>
        </w:rPr>
        <w:t xml:space="preserve"> </w:t>
      </w:r>
      <w:r w:rsidRPr="00332C4C">
        <w:rPr>
          <w:rFonts w:eastAsia="Palatino Linotype" w:cs="Palatino Linotype"/>
          <w:lang w:val="es-MX"/>
        </w:rPr>
        <w:t>l</w:t>
      </w:r>
      <w:r w:rsidR="00A83B0F" w:rsidRPr="00332C4C">
        <w:rPr>
          <w:rFonts w:eastAsia="Palatino Linotype" w:cs="Palatino Linotype"/>
          <w:lang w:val="es-MX"/>
        </w:rPr>
        <w:t>a</w:t>
      </w:r>
      <w:r w:rsidRPr="00332C4C">
        <w:rPr>
          <w:rFonts w:eastAsia="Palatino Linotype" w:cs="Palatino Linotype"/>
          <w:lang w:val="es-MX"/>
        </w:rPr>
        <w:t xml:space="preserve"> Comisionad</w:t>
      </w:r>
      <w:r w:rsidR="00A83B0F" w:rsidRPr="00332C4C">
        <w:rPr>
          <w:rFonts w:eastAsia="Palatino Linotype" w:cs="Palatino Linotype"/>
          <w:lang w:val="es-MX"/>
        </w:rPr>
        <w:t>a</w:t>
      </w:r>
      <w:r w:rsidRPr="00332C4C">
        <w:rPr>
          <w:rFonts w:eastAsia="Palatino Linotype" w:cs="Palatino Linotype"/>
          <w:lang w:val="es-MX"/>
        </w:rPr>
        <w:t xml:space="preserve"> </w:t>
      </w:r>
      <w:r w:rsidR="00A83B0F" w:rsidRPr="00332C4C">
        <w:rPr>
          <w:rFonts w:eastAsia="Palatino Linotype" w:cs="Palatino Linotype"/>
          <w:b/>
          <w:bCs/>
          <w:lang w:val="es-MX"/>
        </w:rPr>
        <w:t>Guadalupe Ramírez Peña</w:t>
      </w:r>
      <w:r w:rsidRPr="00332C4C">
        <w:rPr>
          <w:rFonts w:eastAsia="Palatino Linotype" w:cs="Palatino Linotype"/>
          <w:b/>
          <w:lang w:val="es-MX"/>
        </w:rPr>
        <w:t xml:space="preserve">, </w:t>
      </w:r>
      <w:r w:rsidRPr="00332C4C">
        <w:rPr>
          <w:rFonts w:eastAsia="Palatino Linotype" w:cs="Palatino Linotype"/>
          <w:lang w:val="es-MX"/>
        </w:rPr>
        <w:t xml:space="preserve">a efecto de que analizara sobre su admisión o su </w:t>
      </w:r>
      <w:proofErr w:type="spellStart"/>
      <w:r w:rsidRPr="00332C4C">
        <w:rPr>
          <w:rFonts w:eastAsia="Palatino Linotype" w:cs="Palatino Linotype"/>
          <w:lang w:val="es-MX"/>
        </w:rPr>
        <w:t>desechamiento</w:t>
      </w:r>
      <w:proofErr w:type="spellEnd"/>
      <w:r w:rsidRPr="00332C4C">
        <w:rPr>
          <w:rFonts w:eastAsia="Palatino Linotype" w:cs="Palatino Linotype"/>
          <w:lang w:val="es-MX"/>
        </w:rPr>
        <w:t>.</w:t>
      </w:r>
    </w:p>
    <w:p w14:paraId="658FA4D5" w14:textId="36E3818D" w:rsidR="009B616B" w:rsidRPr="00332C4C" w:rsidRDefault="005A212F" w:rsidP="00332C4C">
      <w:pPr>
        <w:spacing w:after="240" w:line="360" w:lineRule="auto"/>
        <w:jc w:val="both"/>
        <w:rPr>
          <w:rFonts w:eastAsia="Palatino Linotype" w:cs="Palatino Linotype"/>
          <w:b/>
          <w:lang w:val="es-MX"/>
        </w:rPr>
      </w:pPr>
      <w:r w:rsidRPr="00332C4C">
        <w:rPr>
          <w:rFonts w:eastAsia="Palatino Linotype" w:cs="Palatino Linotype"/>
          <w:b/>
          <w:lang w:val="es-MX"/>
        </w:rPr>
        <w:t>5. Admisión del Recurso de revisión.</w:t>
      </w:r>
      <w:r w:rsidRPr="00332C4C">
        <w:rPr>
          <w:rFonts w:eastAsia="Palatino Linotype" w:cs="Palatino Linotype"/>
          <w:sz w:val="28"/>
          <w:szCs w:val="28"/>
          <w:lang w:val="es-MX"/>
        </w:rPr>
        <w:t xml:space="preserve"> </w:t>
      </w:r>
      <w:r w:rsidRPr="00332C4C">
        <w:rPr>
          <w:rFonts w:eastAsia="Palatino Linotype" w:cs="Palatino Linotype"/>
          <w:lang w:val="es-MX"/>
        </w:rPr>
        <w:t>Con fecha</w:t>
      </w:r>
      <w:r w:rsidRPr="00332C4C">
        <w:rPr>
          <w:rFonts w:eastAsia="Palatino Linotype" w:cs="Palatino Linotype"/>
          <w:b/>
          <w:lang w:val="es-MX"/>
        </w:rPr>
        <w:t xml:space="preserve"> </w:t>
      </w:r>
      <w:r w:rsidR="00D93422" w:rsidRPr="00332C4C">
        <w:rPr>
          <w:rFonts w:eastAsia="Palatino Linotype" w:cs="Palatino Linotype"/>
          <w:b/>
          <w:lang w:val="es-MX"/>
        </w:rPr>
        <w:t xml:space="preserve">cinco de noviembre </w:t>
      </w:r>
      <w:r w:rsidR="00E97D73" w:rsidRPr="00332C4C">
        <w:rPr>
          <w:rFonts w:eastAsia="Palatino Linotype" w:cs="Palatino Linotype"/>
          <w:b/>
          <w:lang w:val="es-MX"/>
        </w:rPr>
        <w:t xml:space="preserve">de </w:t>
      </w:r>
      <w:r w:rsidRPr="00332C4C">
        <w:rPr>
          <w:rFonts w:eastAsia="Palatino Linotype" w:cs="Palatino Linotype"/>
          <w:b/>
          <w:lang w:val="es-MX"/>
        </w:rPr>
        <w:t>dos mil veinti</w:t>
      </w:r>
      <w:r w:rsidR="00D93422" w:rsidRPr="00332C4C">
        <w:rPr>
          <w:rFonts w:eastAsia="Palatino Linotype" w:cs="Palatino Linotype"/>
          <w:b/>
          <w:lang w:val="es-MX"/>
        </w:rPr>
        <w:t>uno</w:t>
      </w:r>
      <w:r w:rsidRPr="00332C4C">
        <w:rPr>
          <w:rFonts w:eastAsia="Palatino Linotype" w:cs="Palatino Linotype"/>
          <w:b/>
          <w:lang w:val="es-MX"/>
        </w:rPr>
        <w:t xml:space="preserve">, </w:t>
      </w:r>
      <w:r w:rsidRPr="00332C4C">
        <w:rPr>
          <w:rFonts w:eastAsia="Palatino Linotype" w:cs="Palatino Linotype"/>
          <w:lang w:val="es-MX"/>
        </w:rPr>
        <w:t xml:space="preserve">este Instituto de Transparencia, Acceso a la Información Pública y Protección de Datos Personales del Estado de México y Municipios, admitió a trámite el recurso de revisión que ahora se resuelve, dando un plazo máximo de siete días hábiles para que las partes manifestaran lo que a su derecho resultara conveniente, ofrecieran pruebas, formularan alegatos y el </w:t>
      </w:r>
      <w:r w:rsidRPr="00332C4C">
        <w:rPr>
          <w:rFonts w:eastAsia="Palatino Linotype" w:cs="Palatino Linotype"/>
          <w:b/>
          <w:lang w:val="es-MX"/>
        </w:rPr>
        <w:t xml:space="preserve">Sujeto Obligado </w:t>
      </w:r>
      <w:r w:rsidRPr="00332C4C">
        <w:rPr>
          <w:rFonts w:eastAsia="Palatino Linotype" w:cs="Palatino Linotype"/>
          <w:lang w:val="es-MX"/>
        </w:rPr>
        <w:t>presentara su informe justificado.</w:t>
      </w:r>
    </w:p>
    <w:p w14:paraId="320FF5A0" w14:textId="1577DAF5" w:rsidR="007053BF" w:rsidRPr="00332C4C" w:rsidRDefault="005A212F" w:rsidP="00332C4C">
      <w:pPr>
        <w:spacing w:before="240" w:after="240" w:line="360" w:lineRule="auto"/>
        <w:ind w:right="49"/>
        <w:jc w:val="both"/>
      </w:pPr>
      <w:r w:rsidRPr="00332C4C">
        <w:rPr>
          <w:rFonts w:eastAsia="Palatino Linotype" w:cs="Palatino Linotype"/>
          <w:b/>
          <w:lang w:val="es-MX"/>
        </w:rPr>
        <w:t>6. Manifestaciones</w:t>
      </w:r>
      <w:r w:rsidRPr="00332C4C">
        <w:rPr>
          <w:rFonts w:eastAsia="Palatino Linotype" w:cs="Palatino Linotype"/>
          <w:lang w:val="es-MX"/>
        </w:rPr>
        <w:t>.</w:t>
      </w:r>
      <w:r w:rsidR="007053BF" w:rsidRPr="00332C4C">
        <w:rPr>
          <w:rFonts w:eastAsia="Palatino Linotype" w:cs="Palatino Linotype"/>
          <w:lang w:val="es-MX"/>
        </w:rPr>
        <w:t xml:space="preserve"> </w:t>
      </w:r>
      <w:r w:rsidR="006255E3" w:rsidRPr="00332C4C">
        <w:t xml:space="preserve">En fecha </w:t>
      </w:r>
      <w:r w:rsidR="00D90C31" w:rsidRPr="00332C4C">
        <w:rPr>
          <w:rFonts w:cs="Arial"/>
          <w:b/>
          <w:bCs/>
        </w:rPr>
        <w:t xml:space="preserve">diecisiete de noviembre </w:t>
      </w:r>
      <w:r w:rsidR="006255E3" w:rsidRPr="00332C4C">
        <w:rPr>
          <w:rFonts w:cs="Arial"/>
          <w:b/>
          <w:bCs/>
        </w:rPr>
        <w:t>de dos mil veintiuno</w:t>
      </w:r>
      <w:r w:rsidR="006255E3" w:rsidRPr="00332C4C">
        <w:rPr>
          <w:b/>
        </w:rPr>
        <w:t xml:space="preserve">, </w:t>
      </w:r>
      <w:r w:rsidR="006255E3" w:rsidRPr="00332C4C">
        <w:t xml:space="preserve">el </w:t>
      </w:r>
      <w:r w:rsidR="006255E3" w:rsidRPr="00332C4C">
        <w:rPr>
          <w:rFonts w:cs="Arial"/>
          <w:b/>
        </w:rPr>
        <w:t xml:space="preserve">Sujeto Obligado </w:t>
      </w:r>
      <w:r w:rsidR="006255E3" w:rsidRPr="00332C4C">
        <w:t>remitió, a través del SAIMEX, su informe justificado,</w:t>
      </w:r>
      <w:r w:rsidR="00D90C31" w:rsidRPr="00332C4C">
        <w:t xml:space="preserve"> mediante el cual </w:t>
      </w:r>
      <w:r w:rsidR="000424FA" w:rsidRPr="00332C4C">
        <w:t>ratifica la respuesta p</w:t>
      </w:r>
      <w:r w:rsidR="005822D6" w:rsidRPr="00332C4C">
        <w:t xml:space="preserve">roporcionada para atender los requerimientos marcados con los numerales 6 y 10, </w:t>
      </w:r>
      <w:r w:rsidR="000424FA" w:rsidRPr="00332C4C">
        <w:t>asimismo,</w:t>
      </w:r>
      <w:r w:rsidR="00132F9D" w:rsidRPr="00332C4C">
        <w:t xml:space="preserve"> se</w:t>
      </w:r>
      <w:r w:rsidR="000424FA" w:rsidRPr="00332C4C">
        <w:t xml:space="preserve"> pronunci</w:t>
      </w:r>
      <w:r w:rsidR="00132F9D" w:rsidRPr="00332C4C">
        <w:t xml:space="preserve">ó </w:t>
      </w:r>
      <w:r w:rsidR="000424FA" w:rsidRPr="00332C4C">
        <w:t xml:space="preserve">respecto de </w:t>
      </w:r>
      <w:r w:rsidR="005822D6" w:rsidRPr="00332C4C">
        <w:t xml:space="preserve">los requerimientos marcados con los numerales 2, 3, 4, 5, 7, 8 y 9, documento que, una vez analizado, se hizo del conocimiento de la parte </w:t>
      </w:r>
      <w:r w:rsidR="005822D6" w:rsidRPr="00332C4C">
        <w:rPr>
          <w:b/>
          <w:bCs/>
        </w:rPr>
        <w:t>Recurrente</w:t>
      </w:r>
      <w:r w:rsidR="005822D6" w:rsidRPr="00332C4C">
        <w:t xml:space="preserve"> a efecto de que manifestara lo que a su derecho estimara conveniente</w:t>
      </w:r>
      <w:r w:rsidR="00D36934" w:rsidRPr="00332C4C">
        <w:t xml:space="preserve">, siendo omisa en ejercer dicha prerrogativa </w:t>
      </w:r>
      <w:r w:rsidR="007053BF" w:rsidRPr="00332C4C">
        <w:rPr>
          <w:rFonts w:cs="Arial"/>
        </w:rPr>
        <w:t>en el plazo establecido para tal efecto.</w:t>
      </w:r>
    </w:p>
    <w:p w14:paraId="70975934" w14:textId="77777777" w:rsidR="00EE053A" w:rsidRPr="00332C4C" w:rsidRDefault="008A5D32" w:rsidP="00332C4C">
      <w:pPr>
        <w:spacing w:after="240" w:line="360" w:lineRule="auto"/>
        <w:jc w:val="both"/>
        <w:rPr>
          <w:rFonts w:eastAsia="Palatino Linotype" w:cs="Palatino Linotype"/>
          <w:lang w:val="es-MX"/>
        </w:rPr>
      </w:pPr>
      <w:r w:rsidRPr="00332C4C">
        <w:rPr>
          <w:rFonts w:eastAsia="Palatino Linotype" w:cs="Palatino Linotype"/>
          <w:b/>
          <w:lang w:val="es-MX"/>
        </w:rPr>
        <w:t xml:space="preserve">7. </w:t>
      </w:r>
      <w:r w:rsidR="00EE053A" w:rsidRPr="00332C4C">
        <w:rPr>
          <w:rFonts w:eastAsia="Palatino Linotype" w:cs="Palatino Linotype"/>
          <w:b/>
        </w:rPr>
        <w:t xml:space="preserve">Ampliación del </w:t>
      </w:r>
      <w:r w:rsidR="00EE053A" w:rsidRPr="00332C4C">
        <w:rPr>
          <w:rFonts w:eastAsia="Palatino Linotype" w:cs="Palatino Linotype"/>
          <w:b/>
          <w:bCs/>
          <w:lang w:val="es-MX"/>
        </w:rPr>
        <w:t>término para resolver</w:t>
      </w:r>
      <w:r w:rsidR="00EE053A" w:rsidRPr="00332C4C">
        <w:rPr>
          <w:rFonts w:eastAsia="Palatino Linotype" w:cs="Palatino Linotype"/>
          <w:lang w:val="es-MX"/>
        </w:rPr>
        <w:t xml:space="preserve">. En fecha </w:t>
      </w:r>
      <w:r w:rsidR="00EE053A" w:rsidRPr="00332C4C">
        <w:rPr>
          <w:rFonts w:eastAsia="Palatino Linotype" w:cs="Palatino Linotype"/>
          <w:b/>
        </w:rPr>
        <w:t>veintiuno de febrero de dos mil veintidós</w:t>
      </w:r>
      <w:r w:rsidR="00EE053A" w:rsidRPr="00332C4C">
        <w:rPr>
          <w:rFonts w:eastAsia="Palatino Linotype" w:cs="Palatino Linotype"/>
          <w:lang w:val="es-MX"/>
        </w:rPr>
        <w:t>, se amplió el término para resolver el recurso de revisión en términos del artículo 181 párrafo tercero de la Ley de Transparencia y Acceso a la Información Pública del Estado de México y Municipios por un plazo de quince días hábiles.</w:t>
      </w:r>
    </w:p>
    <w:p w14:paraId="061D33C6" w14:textId="45BDEAA9" w:rsidR="009B616B" w:rsidRPr="00332C4C" w:rsidRDefault="00EE053A" w:rsidP="00332C4C">
      <w:pPr>
        <w:spacing w:before="240" w:after="240" w:line="360" w:lineRule="auto"/>
        <w:jc w:val="both"/>
        <w:rPr>
          <w:rFonts w:eastAsia="Palatino Linotype" w:cs="Palatino Linotype"/>
          <w:lang w:val="es-MX"/>
        </w:rPr>
      </w:pPr>
      <w:r w:rsidRPr="00332C4C">
        <w:rPr>
          <w:rFonts w:eastAsia="Palatino Linotype" w:cs="Palatino Linotype"/>
          <w:b/>
          <w:lang w:val="es-MX"/>
        </w:rPr>
        <w:lastRenderedPageBreak/>
        <w:t xml:space="preserve">8. </w:t>
      </w:r>
      <w:r w:rsidR="005A212F" w:rsidRPr="00332C4C">
        <w:rPr>
          <w:rFonts w:eastAsia="Palatino Linotype" w:cs="Palatino Linotype"/>
          <w:b/>
          <w:lang w:val="es-MX"/>
        </w:rPr>
        <w:t xml:space="preserve">Cierre de instrucción. </w:t>
      </w:r>
      <w:r w:rsidR="005A212F" w:rsidRPr="00332C4C">
        <w:rPr>
          <w:rFonts w:eastAsia="Palatino Linotype" w:cs="Palatino Linotype"/>
          <w:lang w:val="es-MX"/>
        </w:rPr>
        <w:t xml:space="preserve">Una vez transcurrido el periodo otorgado a las partes para realizar sus manifestaciones y no habiendo documentos que integrar al expediente, con fecha </w:t>
      </w:r>
      <w:r w:rsidR="00132F9D" w:rsidRPr="00332C4C">
        <w:rPr>
          <w:rFonts w:eastAsia="Palatino Linotype" w:cs="Palatino Linotype"/>
          <w:b/>
          <w:lang w:val="es-MX"/>
        </w:rPr>
        <w:t>veinticinco</w:t>
      </w:r>
      <w:r w:rsidR="00E97D73" w:rsidRPr="00332C4C">
        <w:rPr>
          <w:rFonts w:eastAsia="Palatino Linotype" w:cs="Palatino Linotype"/>
          <w:b/>
          <w:lang w:val="es-MX"/>
        </w:rPr>
        <w:t xml:space="preserve"> de febrero</w:t>
      </w:r>
      <w:r w:rsidR="008A5D32" w:rsidRPr="00332C4C">
        <w:rPr>
          <w:rFonts w:eastAsia="Palatino Linotype" w:cs="Palatino Linotype"/>
          <w:b/>
          <w:lang w:val="es-MX"/>
        </w:rPr>
        <w:t xml:space="preserve"> </w:t>
      </w:r>
      <w:r w:rsidR="005A212F" w:rsidRPr="00332C4C">
        <w:rPr>
          <w:rFonts w:eastAsia="Palatino Linotype" w:cs="Palatino Linotype"/>
          <w:b/>
          <w:lang w:val="es-MX"/>
        </w:rPr>
        <w:t>de dos mil veinti</w:t>
      </w:r>
      <w:r w:rsidR="008A5D32" w:rsidRPr="00332C4C">
        <w:rPr>
          <w:rFonts w:eastAsia="Palatino Linotype" w:cs="Palatino Linotype"/>
          <w:b/>
          <w:lang w:val="es-MX"/>
        </w:rPr>
        <w:t>dós</w:t>
      </w:r>
      <w:r w:rsidR="005A212F" w:rsidRPr="00332C4C">
        <w:rPr>
          <w:rFonts w:eastAsia="Palatino Linotype" w:cs="Palatino Linotype"/>
          <w:lang w:val="es-MX"/>
        </w:rPr>
        <w:t>, la Comisionada Ponente determinó el cierre de instrucción en términos de la fracción VI del artículo 185 de la Ley de Transparencia y Acceso a la Información Pública del Estado de México y Municipios.</w:t>
      </w:r>
    </w:p>
    <w:bookmarkEnd w:id="1"/>
    <w:p w14:paraId="2957EDAD" w14:textId="1ED31212" w:rsidR="009B616B" w:rsidRPr="00332C4C" w:rsidRDefault="005A212F" w:rsidP="00332C4C">
      <w:pPr>
        <w:widowControl w:val="0"/>
        <w:spacing w:before="240" w:after="240" w:line="360" w:lineRule="auto"/>
        <w:jc w:val="both"/>
        <w:rPr>
          <w:rFonts w:eastAsia="Palatino Linotype" w:cs="Palatino Linotype"/>
          <w:lang w:val="es-MX"/>
        </w:rPr>
      </w:pPr>
      <w:r w:rsidRPr="00332C4C">
        <w:rPr>
          <w:rFonts w:eastAsia="Palatino Linotype" w:cs="Palatino Linotype"/>
          <w:lang w:val="es-MX"/>
        </w:rPr>
        <w:t xml:space="preserve">En razón de que fue debidamente sustanciado el expediente electrónico y no existe diligencia pendiente de desahogo, se emite la Resolución que conforme a Derecho proceda, de acuerdo con los siguientes: </w:t>
      </w:r>
    </w:p>
    <w:p w14:paraId="2D45C8E9" w14:textId="77777777" w:rsidR="009B616B" w:rsidRPr="00332C4C" w:rsidRDefault="005A212F" w:rsidP="00332C4C">
      <w:pPr>
        <w:widowControl w:val="0"/>
        <w:spacing w:before="240" w:after="240" w:line="360" w:lineRule="auto"/>
        <w:jc w:val="center"/>
        <w:rPr>
          <w:rFonts w:eastAsia="Palatino Linotype" w:cs="Palatino Linotype"/>
          <w:b/>
          <w:lang w:val="es-MX"/>
        </w:rPr>
      </w:pPr>
      <w:r w:rsidRPr="00332C4C">
        <w:rPr>
          <w:rFonts w:eastAsia="Palatino Linotype" w:cs="Palatino Linotype"/>
          <w:b/>
          <w:lang w:val="es-MX"/>
        </w:rPr>
        <w:t>II. C O N S I D E R A N D O S</w:t>
      </w:r>
    </w:p>
    <w:p w14:paraId="69395BEC" w14:textId="77777777" w:rsidR="009B616B" w:rsidRPr="00332C4C" w:rsidRDefault="005A212F" w:rsidP="00332C4C">
      <w:pPr>
        <w:spacing w:before="240" w:after="240" w:line="360" w:lineRule="auto"/>
        <w:jc w:val="both"/>
        <w:rPr>
          <w:rFonts w:eastAsia="Palatino Linotype" w:cs="Palatino Linotype"/>
          <w:lang w:val="es-MX"/>
        </w:rPr>
      </w:pPr>
      <w:r w:rsidRPr="00332C4C">
        <w:rPr>
          <w:rFonts w:eastAsia="Palatino Linotype" w:cs="Palatino Linotype"/>
          <w:b/>
          <w:lang w:val="es-MX"/>
        </w:rPr>
        <w:t>Primero. Competencia.</w:t>
      </w:r>
      <w:r w:rsidRPr="00332C4C">
        <w:rPr>
          <w:rFonts w:eastAsia="Palatino Linotype" w:cs="Palatino Linotype"/>
          <w:lang w:val="es-MX"/>
        </w:rPr>
        <w:t xml:space="preserve"> 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trigésimo, trigésimo primero y trigésimo segundo fracciones IV y V de la Constitución Política del Estado Libre y Soberano de México; 2, fracción II; 29, 36 fracciones I y II; 176, 178, 181, 185, fracción I, 186 y 188 de la Ley Transparencia y Acceso a la Información Pública del Estado de México y Municipios; 9, fracciones I y XXIV y 11 del Reglamento Interior del Instituto de Transparencia, Acceso a la Información Pública y Protección de Datos Personales del Estado de México y Municipios.</w:t>
      </w:r>
    </w:p>
    <w:p w14:paraId="58885F4C" w14:textId="77777777" w:rsidR="009B616B" w:rsidRPr="00332C4C" w:rsidRDefault="005A212F" w:rsidP="00332C4C">
      <w:pPr>
        <w:spacing w:before="240" w:after="240" w:line="360" w:lineRule="auto"/>
        <w:jc w:val="both"/>
        <w:rPr>
          <w:rFonts w:eastAsia="Palatino Linotype" w:cs="Palatino Linotype"/>
          <w:lang w:val="es-MX"/>
        </w:rPr>
      </w:pPr>
      <w:bookmarkStart w:id="7" w:name="_heading=h.1fob9te" w:colFirst="0" w:colLast="0"/>
      <w:bookmarkEnd w:id="7"/>
      <w:r w:rsidRPr="00332C4C">
        <w:rPr>
          <w:rFonts w:eastAsia="Palatino Linotype" w:cs="Palatino Linotype"/>
          <w:b/>
          <w:lang w:val="es-MX"/>
        </w:rPr>
        <w:t>Segundo. Oportunidad y Procedibilidad del Recurso de Revisión</w:t>
      </w:r>
      <w:r w:rsidRPr="00332C4C">
        <w:rPr>
          <w:rFonts w:eastAsia="Palatino Linotype" w:cs="Palatino Linotype"/>
          <w:lang w:val="es-MX"/>
        </w:rPr>
        <w:t xml:space="preserve">. Previo al estudio del fondo del asunto, se procede a analizar los requisitos de oportunidad y </w:t>
      </w:r>
      <w:r w:rsidRPr="00332C4C">
        <w:rPr>
          <w:rFonts w:eastAsia="Palatino Linotype" w:cs="Palatino Linotype"/>
          <w:lang w:val="es-MX"/>
        </w:rPr>
        <w:lastRenderedPageBreak/>
        <w:t>procedibilidad que debe reunir el recurso de revisión interpuesto, previstos en los artículos 178 y 180 de la Ley de Transparencia y Acceso a la Información Pública del Estado de México y Municipios.</w:t>
      </w:r>
    </w:p>
    <w:p w14:paraId="02BCDC67" w14:textId="0969946C" w:rsidR="009B616B" w:rsidRPr="00332C4C" w:rsidRDefault="005A212F" w:rsidP="00332C4C">
      <w:pPr>
        <w:spacing w:before="240" w:after="240" w:line="360" w:lineRule="auto"/>
        <w:jc w:val="both"/>
        <w:rPr>
          <w:rFonts w:eastAsia="Palatino Linotype" w:cs="Palatino Linotype"/>
          <w:lang w:val="es-MX"/>
        </w:rPr>
      </w:pPr>
      <w:r w:rsidRPr="00332C4C">
        <w:rPr>
          <w:rFonts w:eastAsia="Palatino Linotype" w:cs="Palatino Linotype"/>
          <w:lang w:val="es-MX"/>
        </w:rPr>
        <w:t xml:space="preserve">El recurso de revisión fue interpuesto dentro del plazo de quince días hábiles, previsto en el artículo 178 de la Ley de Transparencia y Acceso a la Información Pública del Estado de México y Municipios, toda vez que el </w:t>
      </w:r>
      <w:r w:rsidRPr="00332C4C">
        <w:rPr>
          <w:rFonts w:eastAsia="Palatino Linotype" w:cs="Palatino Linotype"/>
          <w:b/>
          <w:lang w:val="es-MX"/>
        </w:rPr>
        <w:t xml:space="preserve">Sujeto Obligado </w:t>
      </w:r>
      <w:r w:rsidRPr="00332C4C">
        <w:rPr>
          <w:rFonts w:eastAsia="Palatino Linotype" w:cs="Palatino Linotype"/>
          <w:lang w:val="es-MX"/>
        </w:rPr>
        <w:t xml:space="preserve">remitió la respuesta a la solicitud de información el día </w:t>
      </w:r>
      <w:r w:rsidR="002F33C3" w:rsidRPr="00332C4C">
        <w:rPr>
          <w:rFonts w:eastAsia="Palatino Linotype" w:cs="Palatino Linotype"/>
          <w:b/>
          <w:lang w:val="es-MX"/>
        </w:rPr>
        <w:t>veintinueve de octubre de dos mil veintiuno</w:t>
      </w:r>
      <w:r w:rsidRPr="00332C4C">
        <w:rPr>
          <w:rFonts w:eastAsia="Palatino Linotype" w:cs="Palatino Linotype"/>
          <w:b/>
          <w:lang w:val="es-MX"/>
        </w:rPr>
        <w:t xml:space="preserve">, </w:t>
      </w:r>
      <w:r w:rsidRPr="00332C4C">
        <w:rPr>
          <w:rFonts w:eastAsia="Palatino Linotype" w:cs="Palatino Linotype"/>
          <w:lang w:val="es-MX"/>
        </w:rPr>
        <w:t>mientras que el recurso de revisión interpuesto por la parte</w:t>
      </w:r>
      <w:r w:rsidR="006C0B7D" w:rsidRPr="00332C4C">
        <w:rPr>
          <w:rFonts w:eastAsia="Palatino Linotype" w:cs="Palatino Linotype"/>
          <w:lang w:val="es-MX"/>
        </w:rPr>
        <w:t xml:space="preserve"> </w:t>
      </w:r>
      <w:r w:rsidR="006C0B7D" w:rsidRPr="00332C4C">
        <w:rPr>
          <w:rFonts w:eastAsia="Palatino Linotype" w:cs="Palatino Linotype"/>
          <w:b/>
          <w:bCs/>
          <w:lang w:val="es-MX"/>
        </w:rPr>
        <w:t>R</w:t>
      </w:r>
      <w:r w:rsidRPr="00332C4C">
        <w:rPr>
          <w:rFonts w:eastAsia="Palatino Linotype" w:cs="Palatino Linotype"/>
          <w:b/>
          <w:bCs/>
          <w:lang w:val="es-MX"/>
        </w:rPr>
        <w:t>ecurrente</w:t>
      </w:r>
      <w:r w:rsidRPr="00332C4C">
        <w:rPr>
          <w:rFonts w:eastAsia="Palatino Linotype" w:cs="Palatino Linotype"/>
          <w:lang w:val="es-MX"/>
        </w:rPr>
        <w:t xml:space="preserve">, se tuvo por presentado el día </w:t>
      </w:r>
      <w:r w:rsidR="002F33C3" w:rsidRPr="00332C4C">
        <w:rPr>
          <w:rFonts w:eastAsia="Palatino Linotype" w:cs="Palatino Linotype"/>
          <w:b/>
          <w:lang w:val="es-MX"/>
        </w:rPr>
        <w:t>uno de noviembre d</w:t>
      </w:r>
      <w:r w:rsidR="006C0B7D" w:rsidRPr="00332C4C">
        <w:rPr>
          <w:rFonts w:eastAsia="Palatino Linotype" w:cs="Palatino Linotype"/>
          <w:b/>
          <w:lang w:val="es-MX"/>
        </w:rPr>
        <w:t>e dos mil veinti</w:t>
      </w:r>
      <w:r w:rsidR="002F33C3" w:rsidRPr="00332C4C">
        <w:rPr>
          <w:rFonts w:eastAsia="Palatino Linotype" w:cs="Palatino Linotype"/>
          <w:b/>
          <w:lang w:val="es-MX"/>
        </w:rPr>
        <w:t>uno</w:t>
      </w:r>
      <w:r w:rsidRPr="00332C4C">
        <w:rPr>
          <w:rFonts w:eastAsia="Palatino Linotype" w:cs="Palatino Linotype"/>
          <w:lang w:val="es-MX"/>
        </w:rPr>
        <w:t xml:space="preserve">, esto es, </w:t>
      </w:r>
      <w:r w:rsidR="008724BA" w:rsidRPr="00332C4C">
        <w:rPr>
          <w:rFonts w:eastAsia="Palatino Linotype" w:cs="Palatino Linotype"/>
          <w:lang w:val="es-MX"/>
        </w:rPr>
        <w:t>al s</w:t>
      </w:r>
      <w:r w:rsidR="004B5906" w:rsidRPr="00332C4C">
        <w:rPr>
          <w:rFonts w:eastAsia="Palatino Linotype" w:cs="Palatino Linotype"/>
          <w:lang w:val="es-MX"/>
        </w:rPr>
        <w:t>egundo</w:t>
      </w:r>
      <w:r w:rsidR="006C0B7D" w:rsidRPr="00332C4C">
        <w:rPr>
          <w:rFonts w:eastAsia="Palatino Linotype" w:cs="Palatino Linotype"/>
          <w:lang w:val="es-MX"/>
        </w:rPr>
        <w:t xml:space="preserve"> </w:t>
      </w:r>
      <w:r w:rsidRPr="00332C4C">
        <w:rPr>
          <w:rFonts w:eastAsia="Palatino Linotype" w:cs="Palatino Linotype"/>
          <w:lang w:val="es-MX"/>
        </w:rPr>
        <w:t>día en que tuvo conocimiento de la respuesta impugnada.</w:t>
      </w:r>
    </w:p>
    <w:p w14:paraId="225FFD36" w14:textId="77777777" w:rsidR="009B616B" w:rsidRPr="00332C4C" w:rsidRDefault="005A212F" w:rsidP="00332C4C">
      <w:pPr>
        <w:spacing w:before="240" w:after="240" w:line="360" w:lineRule="auto"/>
        <w:jc w:val="both"/>
        <w:rPr>
          <w:rFonts w:eastAsia="Palatino Linotype" w:cs="Palatino Linotype"/>
          <w:lang w:val="es-MX"/>
        </w:rPr>
      </w:pPr>
      <w:bookmarkStart w:id="8" w:name="_heading=h.3znysh7" w:colFirst="0" w:colLast="0"/>
      <w:bookmarkEnd w:id="8"/>
      <w:r w:rsidRPr="00332C4C">
        <w:rPr>
          <w:rFonts w:eastAsia="Palatino Linotype" w:cs="Palatino Linotype"/>
          <w:lang w:val="es-MX"/>
        </w:rPr>
        <w:t xml:space="preserve">En este sentido, al considerar la fecha en que se formuló la solicitud y la fecha en que respondió a ésta el </w:t>
      </w:r>
      <w:r w:rsidRPr="00332C4C">
        <w:rPr>
          <w:rFonts w:eastAsia="Palatino Linotype" w:cs="Palatino Linotype"/>
          <w:b/>
          <w:lang w:val="es-MX"/>
        </w:rPr>
        <w:t>Sujeto Obligado</w:t>
      </w:r>
      <w:r w:rsidRPr="00332C4C">
        <w:rPr>
          <w:rFonts w:eastAsia="Palatino Linotype" w:cs="Palatino Linotype"/>
          <w:lang w:val="es-MX"/>
        </w:rPr>
        <w:t>; así como la fecha en que se interpuso el recurso de revisión, se concluye que el presente recurso de revisión se encuentra dentro de los márgenes temporales previstos las disposiciones legales referidas.</w:t>
      </w:r>
    </w:p>
    <w:p w14:paraId="16225C8C" w14:textId="77777777" w:rsidR="00785B4E" w:rsidRPr="00332C4C" w:rsidRDefault="00785B4E" w:rsidP="00332C4C">
      <w:pPr>
        <w:spacing w:before="240" w:after="240" w:line="360" w:lineRule="auto"/>
        <w:jc w:val="both"/>
        <w:rPr>
          <w:rFonts w:cs="Arial"/>
        </w:rPr>
      </w:pPr>
      <w:r w:rsidRPr="00332C4C">
        <w:rPr>
          <w:rFonts w:cs="Arial"/>
        </w:rPr>
        <w:t>Así también, por cuanto hace a la procedibilidad del recurso de revisión, una vez realizado el análisis de los formatos de interposición del recurso, se concluye la acreditación plena de los elementos formales precisados por el artículo 180 de la Ley de Transparencia y Acceso a la Información Pública del Estado de México y Municipios, en atención a que fue presentado mediante el formato visible en el SAIMEX.</w:t>
      </w:r>
    </w:p>
    <w:p w14:paraId="2B30C87C" w14:textId="39D23319" w:rsidR="009B616B" w:rsidRPr="00332C4C" w:rsidRDefault="005A212F" w:rsidP="00332C4C">
      <w:pPr>
        <w:spacing w:before="240" w:after="240" w:line="360" w:lineRule="auto"/>
        <w:jc w:val="both"/>
        <w:rPr>
          <w:rFonts w:eastAsia="Palatino Linotype" w:cs="Palatino Linotype"/>
          <w:lang w:val="es-MX"/>
        </w:rPr>
      </w:pPr>
      <w:r w:rsidRPr="00332C4C">
        <w:rPr>
          <w:rFonts w:eastAsia="Palatino Linotype" w:cs="Palatino Linotype"/>
          <w:lang w:val="es-MX"/>
        </w:rPr>
        <w:t xml:space="preserve">Finalmente, se advierte que resulta procedente la interposición del recurso, según lo manifestado por </w:t>
      </w:r>
      <w:r w:rsidR="00413A02" w:rsidRPr="00332C4C">
        <w:rPr>
          <w:rFonts w:eastAsia="Palatino Linotype" w:cs="Palatino Linotype"/>
          <w:lang w:val="es-MX"/>
        </w:rPr>
        <w:t>la parte R</w:t>
      </w:r>
      <w:r w:rsidRPr="00332C4C">
        <w:rPr>
          <w:rFonts w:eastAsia="Palatino Linotype" w:cs="Palatino Linotype"/>
          <w:lang w:val="es-MX"/>
        </w:rPr>
        <w:t xml:space="preserve">ecurrente en sus motivos de inconformidad, de acuerdo al artículo 179, </w:t>
      </w:r>
      <w:r w:rsidR="00413A02" w:rsidRPr="00332C4C">
        <w:rPr>
          <w:rFonts w:eastAsia="Palatino Linotype" w:cs="Palatino Linotype"/>
          <w:lang w:val="es-MX"/>
        </w:rPr>
        <w:t>fracci</w:t>
      </w:r>
      <w:r w:rsidR="00F431C1" w:rsidRPr="00332C4C">
        <w:rPr>
          <w:rFonts w:eastAsia="Palatino Linotype" w:cs="Palatino Linotype"/>
          <w:lang w:val="es-MX"/>
        </w:rPr>
        <w:t>ones</w:t>
      </w:r>
      <w:r w:rsidR="00413A02" w:rsidRPr="00332C4C">
        <w:rPr>
          <w:rFonts w:eastAsia="Palatino Linotype" w:cs="Palatino Linotype"/>
          <w:lang w:val="es-MX"/>
        </w:rPr>
        <w:t xml:space="preserve"> I y II</w:t>
      </w:r>
      <w:r w:rsidR="006A1F5D" w:rsidRPr="00332C4C">
        <w:rPr>
          <w:rFonts w:eastAsia="Palatino Linotype" w:cs="Palatino Linotype"/>
          <w:lang w:val="es-MX"/>
        </w:rPr>
        <w:t xml:space="preserve"> </w:t>
      </w:r>
      <w:r w:rsidRPr="00332C4C">
        <w:rPr>
          <w:rFonts w:eastAsia="Palatino Linotype" w:cs="Palatino Linotype"/>
          <w:lang w:val="es-MX"/>
        </w:rPr>
        <w:t>del ordenamiento legal citado, que a la letra dice: </w:t>
      </w:r>
    </w:p>
    <w:p w14:paraId="0987F685" w14:textId="77777777" w:rsidR="009B616B" w:rsidRPr="00332C4C" w:rsidRDefault="005A212F" w:rsidP="00332C4C">
      <w:pPr>
        <w:spacing w:before="120" w:after="120"/>
        <w:ind w:left="851" w:right="902"/>
        <w:jc w:val="both"/>
        <w:rPr>
          <w:rFonts w:eastAsia="Palatino Linotype" w:cs="Palatino Linotype"/>
          <w:i/>
          <w:sz w:val="22"/>
          <w:szCs w:val="22"/>
          <w:lang w:val="es-MX"/>
        </w:rPr>
      </w:pPr>
      <w:r w:rsidRPr="00332C4C">
        <w:rPr>
          <w:rFonts w:eastAsia="Palatino Linotype" w:cs="Palatino Linotype"/>
          <w:i/>
          <w:sz w:val="22"/>
          <w:szCs w:val="22"/>
          <w:lang w:val="es-MX"/>
        </w:rPr>
        <w:lastRenderedPageBreak/>
        <w:t>“</w:t>
      </w:r>
      <w:r w:rsidRPr="00332C4C">
        <w:rPr>
          <w:rFonts w:eastAsia="Palatino Linotype" w:cs="Palatino Linotype"/>
          <w:b/>
          <w:i/>
          <w:sz w:val="22"/>
          <w:szCs w:val="22"/>
          <w:lang w:val="es-MX"/>
        </w:rPr>
        <w:t>Artículo 179.</w:t>
      </w:r>
      <w:r w:rsidRPr="00332C4C">
        <w:rPr>
          <w:rFonts w:eastAsia="Palatino Linotype" w:cs="Palatino Linotype"/>
          <w:i/>
          <w:sz w:val="22"/>
          <w:szCs w:val="22"/>
          <w:lang w:val="es-MX"/>
        </w:rPr>
        <w:t xml:space="preserve"> El recurso de revisión es un medio de protección que la Ley otorga a los particulares, para hacer valer su derecho de acceso a la información pública, y procederá en contra de las siguientes causas:</w:t>
      </w:r>
    </w:p>
    <w:p w14:paraId="3390BA07" w14:textId="77777777" w:rsidR="00413A02" w:rsidRPr="00332C4C" w:rsidRDefault="00413A02" w:rsidP="00332C4C">
      <w:pPr>
        <w:spacing w:before="120" w:after="120"/>
        <w:ind w:left="1134" w:right="902"/>
        <w:jc w:val="both"/>
        <w:rPr>
          <w:i/>
          <w:iCs/>
          <w:sz w:val="22"/>
          <w:szCs w:val="22"/>
        </w:rPr>
      </w:pPr>
      <w:r w:rsidRPr="00332C4C">
        <w:rPr>
          <w:b/>
          <w:bCs/>
          <w:i/>
          <w:iCs/>
          <w:sz w:val="22"/>
          <w:szCs w:val="22"/>
        </w:rPr>
        <w:t>I.</w:t>
      </w:r>
      <w:r w:rsidRPr="00332C4C">
        <w:rPr>
          <w:i/>
          <w:iCs/>
          <w:sz w:val="22"/>
          <w:szCs w:val="22"/>
        </w:rPr>
        <w:t xml:space="preserve"> La negativa a la información solicitada;</w:t>
      </w:r>
    </w:p>
    <w:p w14:paraId="361E6B57" w14:textId="1BEC9184" w:rsidR="009B616B" w:rsidRPr="00332C4C" w:rsidRDefault="00413A02" w:rsidP="00332C4C">
      <w:pPr>
        <w:spacing w:before="120" w:after="120"/>
        <w:ind w:left="1134" w:right="902"/>
        <w:jc w:val="both"/>
        <w:rPr>
          <w:i/>
          <w:iCs/>
          <w:sz w:val="22"/>
          <w:szCs w:val="22"/>
          <w:lang w:val="es-MX"/>
        </w:rPr>
      </w:pPr>
      <w:r w:rsidRPr="00332C4C">
        <w:rPr>
          <w:b/>
          <w:bCs/>
          <w:i/>
          <w:iCs/>
          <w:sz w:val="22"/>
          <w:szCs w:val="22"/>
        </w:rPr>
        <w:t>II</w:t>
      </w:r>
      <w:r w:rsidRPr="00332C4C">
        <w:rPr>
          <w:i/>
          <w:iCs/>
          <w:sz w:val="22"/>
          <w:szCs w:val="22"/>
        </w:rPr>
        <w:t>. La clasificación de la información;</w:t>
      </w:r>
      <w:r w:rsidR="005A212F" w:rsidRPr="00332C4C">
        <w:rPr>
          <w:rFonts w:eastAsia="Palatino Linotype" w:cs="Palatino Linotype"/>
          <w:i/>
          <w:sz w:val="22"/>
          <w:szCs w:val="22"/>
          <w:lang w:val="es-MX"/>
        </w:rPr>
        <w:t>”</w:t>
      </w:r>
    </w:p>
    <w:p w14:paraId="4808AE70" w14:textId="77777777" w:rsidR="009B616B" w:rsidRPr="00332C4C" w:rsidRDefault="005A212F" w:rsidP="00332C4C">
      <w:pPr>
        <w:spacing w:before="280" w:after="280" w:line="360" w:lineRule="auto"/>
        <w:jc w:val="both"/>
        <w:rPr>
          <w:rFonts w:eastAsia="Palatino Linotype" w:cs="Palatino Linotype"/>
          <w:lang w:val="es-MX"/>
        </w:rPr>
      </w:pPr>
      <w:r w:rsidRPr="00332C4C">
        <w:rPr>
          <w:rFonts w:eastAsia="Palatino Linotype" w:cs="Palatino Linotype"/>
          <w:b/>
          <w:lang w:val="es-MX"/>
        </w:rPr>
        <w:t xml:space="preserve">Tercero. Materia de la revisión. </w:t>
      </w:r>
      <w:r w:rsidRPr="00332C4C">
        <w:rPr>
          <w:rFonts w:eastAsia="Palatino Linotype" w:cs="Palatino Linotype"/>
          <w:lang w:val="es-MX"/>
        </w:rPr>
        <w:t xml:space="preserve">De la revisión a las constancias y documentos que obran en el expediente electrónico se advierte, que el tema sobre el que este Órgano Garante de Transparencia y Acceso a la Información se pronunciará será: </w:t>
      </w:r>
      <w:r w:rsidRPr="00332C4C">
        <w:rPr>
          <w:rFonts w:eastAsia="Palatino Linotype" w:cs="Palatino Linotype"/>
          <w:b/>
          <w:lang w:val="es-MX"/>
        </w:rPr>
        <w:t xml:space="preserve">verificar si la respuesta otorgada por el Sujeto Obligado es adecuada y suficiente para satisfacer el derecho de acceso a la información pública </w:t>
      </w:r>
      <w:r w:rsidRPr="00332C4C">
        <w:rPr>
          <w:rFonts w:eastAsia="Palatino Linotype" w:cs="Palatino Linotype"/>
          <w:lang w:val="es-MX"/>
        </w:rPr>
        <w:t xml:space="preserve">de la parte </w:t>
      </w:r>
      <w:r w:rsidRPr="00332C4C">
        <w:rPr>
          <w:rFonts w:eastAsia="Palatino Linotype" w:cs="Palatino Linotype"/>
          <w:b/>
          <w:bCs/>
          <w:lang w:val="es-MX"/>
        </w:rPr>
        <w:t>Recurrente</w:t>
      </w:r>
      <w:r w:rsidRPr="00332C4C">
        <w:rPr>
          <w:rFonts w:eastAsia="Palatino Linotype" w:cs="Palatino Linotype"/>
          <w:lang w:val="es-MX"/>
        </w:rPr>
        <w:t>, o en su defecto, en caso de ser procedente, ordenar la entrega de información oportuna.</w:t>
      </w:r>
    </w:p>
    <w:p w14:paraId="1018E39F" w14:textId="3100CB47" w:rsidR="009B616B" w:rsidRPr="00332C4C" w:rsidRDefault="005A212F" w:rsidP="00332C4C">
      <w:pPr>
        <w:spacing w:before="240" w:after="240" w:line="360" w:lineRule="auto"/>
        <w:ind w:right="51"/>
        <w:jc w:val="both"/>
        <w:rPr>
          <w:rFonts w:eastAsia="Palatino Linotype" w:cs="Palatino Linotype"/>
          <w:lang w:val="es-MX"/>
        </w:rPr>
      </w:pPr>
      <w:bookmarkStart w:id="9" w:name="_heading=h.2et92p0" w:colFirst="0" w:colLast="0"/>
      <w:bookmarkEnd w:id="9"/>
      <w:r w:rsidRPr="00332C4C">
        <w:rPr>
          <w:rFonts w:eastAsia="Palatino Linotype" w:cs="Palatino Linotype"/>
          <w:b/>
          <w:lang w:val="es-MX"/>
        </w:rPr>
        <w:t xml:space="preserve">Cuarto. Estudio del asunto. </w:t>
      </w:r>
      <w:r w:rsidRPr="00332C4C">
        <w:rPr>
          <w:rFonts w:eastAsia="Palatino Linotype" w:cs="Palatino Linotype"/>
          <w:lang w:val="es-MX"/>
        </w:rPr>
        <w:t xml:space="preserve">Del análisis de la solicitud de información, motivo del recurso de revisión que ahora se resuelve se advierte que la parte </w:t>
      </w:r>
      <w:r w:rsidR="00625164" w:rsidRPr="00332C4C">
        <w:rPr>
          <w:rFonts w:eastAsia="Palatino Linotype" w:cs="Palatino Linotype"/>
          <w:b/>
          <w:bCs/>
          <w:lang w:val="es-MX"/>
        </w:rPr>
        <w:t>Recurrente</w:t>
      </w:r>
      <w:r w:rsidR="00625164" w:rsidRPr="00332C4C">
        <w:rPr>
          <w:rFonts w:eastAsia="Palatino Linotype" w:cs="Palatino Linotype"/>
          <w:lang w:val="es-MX"/>
        </w:rPr>
        <w:t xml:space="preserve"> </w:t>
      </w:r>
      <w:r w:rsidRPr="00332C4C">
        <w:rPr>
          <w:rFonts w:eastAsia="Palatino Linotype" w:cs="Palatino Linotype"/>
          <w:lang w:val="es-MX"/>
        </w:rPr>
        <w:t xml:space="preserve">requirió al </w:t>
      </w:r>
      <w:r w:rsidRPr="00332C4C">
        <w:rPr>
          <w:rFonts w:eastAsia="Palatino Linotype" w:cs="Palatino Linotype"/>
          <w:b/>
          <w:lang w:val="es-MX"/>
        </w:rPr>
        <w:t xml:space="preserve">Sujeto Obligado </w:t>
      </w:r>
      <w:r w:rsidRPr="00332C4C">
        <w:rPr>
          <w:rFonts w:eastAsia="Palatino Linotype" w:cs="Palatino Linotype"/>
          <w:lang w:val="es-MX"/>
        </w:rPr>
        <w:t>le proporcione, información consistente en lo siguiente:</w:t>
      </w:r>
    </w:p>
    <w:p w14:paraId="5C5DEE51" w14:textId="12016C53" w:rsidR="00F431C1" w:rsidRPr="00332C4C" w:rsidRDefault="00F431C1" w:rsidP="00332C4C">
      <w:pPr>
        <w:spacing w:before="120" w:after="120" w:line="360" w:lineRule="auto"/>
        <w:ind w:left="284" w:right="49"/>
        <w:jc w:val="both"/>
        <w:rPr>
          <w:rFonts w:eastAsia="Palatino Linotype" w:cs="Palatino Linotype"/>
          <w:lang w:val="es-MX"/>
        </w:rPr>
      </w:pPr>
      <w:bookmarkStart w:id="10" w:name="_Hlk96625232"/>
      <w:r w:rsidRPr="00332C4C">
        <w:rPr>
          <w:rFonts w:eastAsia="Palatino Linotype" w:cs="Palatino Linotype"/>
          <w:lang w:val="es-MX"/>
        </w:rPr>
        <w:t xml:space="preserve">1. Instrumento mediante el cual se formalizo el otorgamiento de la concesión de la </w:t>
      </w:r>
      <w:r w:rsidR="00517272" w:rsidRPr="00332C4C">
        <w:rPr>
          <w:rFonts w:eastAsia="Palatino Linotype" w:cs="Palatino Linotype"/>
          <w:lang w:val="es-MX"/>
        </w:rPr>
        <w:t>r</w:t>
      </w:r>
      <w:r w:rsidRPr="00332C4C">
        <w:rPr>
          <w:rFonts w:eastAsia="Palatino Linotype" w:cs="Palatino Linotype"/>
          <w:lang w:val="es-MX"/>
        </w:rPr>
        <w:t xml:space="preserve">uta 18 </w:t>
      </w:r>
      <w:r w:rsidR="00517272" w:rsidRPr="00332C4C">
        <w:rPr>
          <w:rFonts w:eastAsia="Palatino Linotype" w:cs="Palatino Linotype"/>
          <w:lang w:val="es-MX"/>
        </w:rPr>
        <w:t>r</w:t>
      </w:r>
      <w:r w:rsidRPr="00332C4C">
        <w:rPr>
          <w:rFonts w:eastAsia="Palatino Linotype" w:cs="Palatino Linotype"/>
          <w:lang w:val="es-MX"/>
        </w:rPr>
        <w:t>amal que corre de Jesús del Monte al Metro Cuatro Caminos</w:t>
      </w:r>
      <w:r w:rsidR="003D2889" w:rsidRPr="00332C4C">
        <w:rPr>
          <w:rFonts w:eastAsia="Palatino Linotype" w:cs="Palatino Linotype"/>
          <w:lang w:val="es-MX"/>
        </w:rPr>
        <w:t>.</w:t>
      </w:r>
    </w:p>
    <w:p w14:paraId="1B792EFF" w14:textId="7CAC1668" w:rsidR="00F431C1" w:rsidRPr="00332C4C" w:rsidRDefault="00F431C1" w:rsidP="00332C4C">
      <w:pPr>
        <w:spacing w:before="120" w:after="120" w:line="360" w:lineRule="auto"/>
        <w:ind w:left="284" w:right="49"/>
        <w:jc w:val="both"/>
        <w:rPr>
          <w:rFonts w:eastAsia="Palatino Linotype" w:cs="Palatino Linotype"/>
          <w:lang w:val="es-MX"/>
        </w:rPr>
      </w:pPr>
      <w:r w:rsidRPr="00332C4C">
        <w:rPr>
          <w:rFonts w:eastAsia="Palatino Linotype" w:cs="Palatino Linotype"/>
          <w:lang w:val="es-MX"/>
        </w:rPr>
        <w:t xml:space="preserve">2. Dictamen que determino la factibilidad de la </w:t>
      </w:r>
      <w:r w:rsidR="00517272" w:rsidRPr="00332C4C">
        <w:rPr>
          <w:rFonts w:eastAsia="Palatino Linotype" w:cs="Palatino Linotype"/>
          <w:lang w:val="es-MX"/>
        </w:rPr>
        <w:t xml:space="preserve">ruta 18 ramal </w:t>
      </w:r>
      <w:r w:rsidRPr="00332C4C">
        <w:rPr>
          <w:rFonts w:eastAsia="Palatino Linotype" w:cs="Palatino Linotype"/>
          <w:lang w:val="es-MX"/>
        </w:rPr>
        <w:t xml:space="preserve">que corre de Jesús del Monte al Metro Cuatro Caminos </w:t>
      </w:r>
    </w:p>
    <w:p w14:paraId="66D4854A" w14:textId="094DBC0F" w:rsidR="00F431C1" w:rsidRPr="00332C4C" w:rsidRDefault="00F431C1" w:rsidP="00332C4C">
      <w:pPr>
        <w:spacing w:before="120" w:after="120" w:line="360" w:lineRule="auto"/>
        <w:ind w:left="284" w:right="49"/>
        <w:jc w:val="both"/>
        <w:rPr>
          <w:rFonts w:eastAsia="Palatino Linotype" w:cs="Palatino Linotype"/>
          <w:lang w:val="es-MX"/>
        </w:rPr>
      </w:pPr>
      <w:r w:rsidRPr="00332C4C">
        <w:rPr>
          <w:rFonts w:eastAsia="Palatino Linotype" w:cs="Palatino Linotype"/>
          <w:lang w:val="es-MX"/>
        </w:rPr>
        <w:t xml:space="preserve">3. Garantía vigente que otorgo el titular de la concesión de la </w:t>
      </w:r>
      <w:r w:rsidR="00517272" w:rsidRPr="00332C4C">
        <w:rPr>
          <w:rFonts w:eastAsia="Palatino Linotype" w:cs="Palatino Linotype"/>
          <w:lang w:val="es-MX"/>
        </w:rPr>
        <w:t xml:space="preserve">ruta 18 ramal </w:t>
      </w:r>
      <w:r w:rsidRPr="00332C4C">
        <w:rPr>
          <w:rFonts w:eastAsia="Palatino Linotype" w:cs="Palatino Linotype"/>
          <w:lang w:val="es-MX"/>
        </w:rPr>
        <w:t>que corre de Jesús del Monte al Metro Cuatro Caminos para el otorgamiento de esta.</w:t>
      </w:r>
    </w:p>
    <w:p w14:paraId="239B99CB" w14:textId="1B7BF180" w:rsidR="003D2889" w:rsidRPr="00332C4C" w:rsidRDefault="00F431C1" w:rsidP="00332C4C">
      <w:pPr>
        <w:spacing w:before="120" w:after="120" w:line="360" w:lineRule="auto"/>
        <w:ind w:left="284" w:right="49"/>
        <w:jc w:val="both"/>
        <w:rPr>
          <w:rFonts w:eastAsia="Palatino Linotype" w:cs="Palatino Linotype"/>
          <w:lang w:val="es-MX"/>
        </w:rPr>
      </w:pPr>
      <w:r w:rsidRPr="00332C4C">
        <w:rPr>
          <w:rFonts w:eastAsia="Palatino Linotype" w:cs="Palatino Linotype"/>
          <w:lang w:val="es-MX"/>
        </w:rPr>
        <w:t xml:space="preserve">4. Inscripción en el Registro Estatal del Paradero y/o persona concesionaria de la </w:t>
      </w:r>
      <w:r w:rsidR="00517272" w:rsidRPr="00332C4C">
        <w:rPr>
          <w:rFonts w:eastAsia="Palatino Linotype" w:cs="Palatino Linotype"/>
          <w:lang w:val="es-MX"/>
        </w:rPr>
        <w:t xml:space="preserve">ruta 18 ramal </w:t>
      </w:r>
      <w:r w:rsidRPr="00332C4C">
        <w:rPr>
          <w:rFonts w:eastAsia="Palatino Linotype" w:cs="Palatino Linotype"/>
          <w:lang w:val="es-MX"/>
        </w:rPr>
        <w:t xml:space="preserve">que corre de Jesús del Monte al Metro Cuatro Caminos. </w:t>
      </w:r>
    </w:p>
    <w:p w14:paraId="619E4525" w14:textId="159DFC2B" w:rsidR="003D2889" w:rsidRPr="00332C4C" w:rsidRDefault="00F431C1" w:rsidP="00332C4C">
      <w:pPr>
        <w:spacing w:before="120" w:after="120" w:line="360" w:lineRule="auto"/>
        <w:ind w:left="284" w:right="49"/>
        <w:jc w:val="both"/>
        <w:rPr>
          <w:rFonts w:eastAsia="Palatino Linotype" w:cs="Palatino Linotype"/>
          <w:lang w:val="es-MX"/>
        </w:rPr>
      </w:pPr>
      <w:r w:rsidRPr="00332C4C">
        <w:rPr>
          <w:rFonts w:eastAsia="Palatino Linotype" w:cs="Palatino Linotype"/>
          <w:lang w:val="es-MX"/>
        </w:rPr>
        <w:lastRenderedPageBreak/>
        <w:t xml:space="preserve">5. Programa Estatal de Movilidad en el cual se </w:t>
      </w:r>
      <w:r w:rsidR="00517272" w:rsidRPr="00332C4C">
        <w:rPr>
          <w:rFonts w:eastAsia="Palatino Linotype" w:cs="Palatino Linotype"/>
          <w:lang w:val="es-MX"/>
        </w:rPr>
        <w:t>a</w:t>
      </w:r>
      <w:r w:rsidRPr="00332C4C">
        <w:rPr>
          <w:rFonts w:eastAsia="Palatino Linotype" w:cs="Palatino Linotype"/>
          <w:lang w:val="es-MX"/>
        </w:rPr>
        <w:t xml:space="preserve">utorizó la </w:t>
      </w:r>
      <w:r w:rsidR="00517272" w:rsidRPr="00332C4C">
        <w:rPr>
          <w:rFonts w:eastAsia="Palatino Linotype" w:cs="Palatino Linotype"/>
          <w:lang w:val="es-MX"/>
        </w:rPr>
        <w:t xml:space="preserve">ruta 18 ramal </w:t>
      </w:r>
      <w:r w:rsidRPr="00332C4C">
        <w:rPr>
          <w:rFonts w:eastAsia="Palatino Linotype" w:cs="Palatino Linotype"/>
          <w:lang w:val="es-MX"/>
        </w:rPr>
        <w:t>que corre de Jesús del Monte al Metro Cuatro Caminos</w:t>
      </w:r>
      <w:r w:rsidR="003D2889" w:rsidRPr="00332C4C">
        <w:rPr>
          <w:rFonts w:eastAsia="Palatino Linotype" w:cs="Palatino Linotype"/>
          <w:lang w:val="es-MX"/>
        </w:rPr>
        <w:t>.</w:t>
      </w:r>
    </w:p>
    <w:p w14:paraId="2982C595" w14:textId="24DAFEC5" w:rsidR="003D2889" w:rsidRPr="00332C4C" w:rsidRDefault="00F431C1" w:rsidP="00332C4C">
      <w:pPr>
        <w:spacing w:before="120" w:after="120" w:line="360" w:lineRule="auto"/>
        <w:ind w:left="284" w:right="49"/>
        <w:jc w:val="both"/>
        <w:rPr>
          <w:rFonts w:eastAsia="Palatino Linotype" w:cs="Palatino Linotype"/>
          <w:lang w:val="es-MX"/>
        </w:rPr>
      </w:pPr>
      <w:r w:rsidRPr="00332C4C">
        <w:rPr>
          <w:rFonts w:eastAsia="Palatino Linotype" w:cs="Palatino Linotype"/>
          <w:lang w:val="es-MX"/>
        </w:rPr>
        <w:t xml:space="preserve">6. Autorizaciones emitidas por las </w:t>
      </w:r>
      <w:r w:rsidR="00517272" w:rsidRPr="00332C4C">
        <w:rPr>
          <w:rFonts w:eastAsia="Palatino Linotype" w:cs="Palatino Linotype"/>
          <w:lang w:val="es-MX"/>
        </w:rPr>
        <w:t>Secretarias</w:t>
      </w:r>
      <w:r w:rsidRPr="00332C4C">
        <w:rPr>
          <w:rFonts w:eastAsia="Palatino Linotype" w:cs="Palatino Linotype"/>
          <w:lang w:val="es-MX"/>
        </w:rPr>
        <w:t xml:space="preserve"> de Movilidad y Finanzas, para la operación y recorrido de </w:t>
      </w:r>
      <w:r w:rsidR="00517272" w:rsidRPr="00332C4C">
        <w:rPr>
          <w:rFonts w:eastAsia="Palatino Linotype" w:cs="Palatino Linotype"/>
          <w:lang w:val="es-MX"/>
        </w:rPr>
        <w:t xml:space="preserve">ruta 18 </w:t>
      </w:r>
      <w:proofErr w:type="gramStart"/>
      <w:r w:rsidR="00517272" w:rsidRPr="00332C4C">
        <w:rPr>
          <w:rFonts w:eastAsia="Palatino Linotype" w:cs="Palatino Linotype"/>
          <w:lang w:val="es-MX"/>
        </w:rPr>
        <w:t>ramal</w:t>
      </w:r>
      <w:proofErr w:type="gramEnd"/>
      <w:r w:rsidR="00517272" w:rsidRPr="00332C4C">
        <w:rPr>
          <w:rFonts w:eastAsia="Palatino Linotype" w:cs="Palatino Linotype"/>
          <w:lang w:val="es-MX"/>
        </w:rPr>
        <w:t xml:space="preserve"> </w:t>
      </w:r>
      <w:r w:rsidRPr="00332C4C">
        <w:rPr>
          <w:rFonts w:eastAsia="Palatino Linotype" w:cs="Palatino Linotype"/>
          <w:lang w:val="es-MX"/>
        </w:rPr>
        <w:t>que corre de Jesús del Monte al Metro Cuatro Caminos</w:t>
      </w:r>
      <w:r w:rsidR="003D2889" w:rsidRPr="00332C4C">
        <w:rPr>
          <w:rFonts w:eastAsia="Palatino Linotype" w:cs="Palatino Linotype"/>
          <w:lang w:val="es-MX"/>
        </w:rPr>
        <w:t>.</w:t>
      </w:r>
      <w:r w:rsidRPr="00332C4C">
        <w:rPr>
          <w:rFonts w:eastAsia="Palatino Linotype" w:cs="Palatino Linotype"/>
          <w:lang w:val="es-MX"/>
        </w:rPr>
        <w:t xml:space="preserve"> </w:t>
      </w:r>
    </w:p>
    <w:p w14:paraId="4B695CEC" w14:textId="5DAEA208" w:rsidR="003D2889" w:rsidRPr="00332C4C" w:rsidRDefault="00F431C1" w:rsidP="00332C4C">
      <w:pPr>
        <w:spacing w:before="120" w:after="120" w:line="360" w:lineRule="auto"/>
        <w:ind w:left="284" w:right="49"/>
        <w:jc w:val="both"/>
        <w:rPr>
          <w:rFonts w:eastAsia="Palatino Linotype" w:cs="Palatino Linotype"/>
          <w:lang w:val="es-MX"/>
        </w:rPr>
      </w:pPr>
      <w:r w:rsidRPr="00332C4C">
        <w:rPr>
          <w:rFonts w:eastAsia="Palatino Linotype" w:cs="Palatino Linotype"/>
          <w:lang w:val="es-MX"/>
        </w:rPr>
        <w:t xml:space="preserve">7. Publicación en la gaceta mediante la cual se autorizó el Paradero </w:t>
      </w:r>
      <w:r w:rsidR="00517272" w:rsidRPr="00332C4C">
        <w:rPr>
          <w:rFonts w:eastAsia="Palatino Linotype" w:cs="Palatino Linotype"/>
          <w:lang w:val="es-MX"/>
        </w:rPr>
        <w:t xml:space="preserve">ruta 18 ramal </w:t>
      </w:r>
      <w:r w:rsidRPr="00332C4C">
        <w:rPr>
          <w:rFonts w:eastAsia="Palatino Linotype" w:cs="Palatino Linotype"/>
          <w:lang w:val="es-MX"/>
        </w:rPr>
        <w:t xml:space="preserve">que corre de Jesús del Monte al Metro Cuatro Caminos. </w:t>
      </w:r>
    </w:p>
    <w:p w14:paraId="499AEBDD" w14:textId="5E5FDF05" w:rsidR="003D2889" w:rsidRPr="00332C4C" w:rsidRDefault="00F431C1" w:rsidP="00332C4C">
      <w:pPr>
        <w:spacing w:before="120" w:after="120" w:line="360" w:lineRule="auto"/>
        <w:ind w:left="284" w:right="49"/>
        <w:jc w:val="both"/>
        <w:rPr>
          <w:rFonts w:eastAsia="Palatino Linotype" w:cs="Palatino Linotype"/>
          <w:lang w:val="es-MX"/>
        </w:rPr>
      </w:pPr>
      <w:r w:rsidRPr="00332C4C">
        <w:rPr>
          <w:rFonts w:eastAsia="Palatino Linotype" w:cs="Palatino Linotype"/>
          <w:lang w:val="es-MX"/>
        </w:rPr>
        <w:t xml:space="preserve">8. Licitación en la cual se especificaron las bases para la ocupación y uso de la </w:t>
      </w:r>
      <w:r w:rsidR="00517272" w:rsidRPr="00332C4C">
        <w:rPr>
          <w:rFonts w:eastAsia="Palatino Linotype" w:cs="Palatino Linotype"/>
          <w:lang w:val="es-MX"/>
        </w:rPr>
        <w:t>ruta 18 ramal</w:t>
      </w:r>
      <w:r w:rsidRPr="00332C4C">
        <w:rPr>
          <w:rFonts w:eastAsia="Palatino Linotype" w:cs="Palatino Linotype"/>
          <w:lang w:val="es-MX"/>
        </w:rPr>
        <w:t xml:space="preserve"> que corre de Jesús del Monte al Metro Cuatro Caminos</w:t>
      </w:r>
      <w:r w:rsidR="003D2889" w:rsidRPr="00332C4C">
        <w:rPr>
          <w:rFonts w:eastAsia="Palatino Linotype" w:cs="Palatino Linotype"/>
          <w:lang w:val="es-MX"/>
        </w:rPr>
        <w:t>.</w:t>
      </w:r>
    </w:p>
    <w:p w14:paraId="4C31FE3F" w14:textId="3905A48D" w:rsidR="003D2889" w:rsidRPr="00332C4C" w:rsidRDefault="00F431C1" w:rsidP="00332C4C">
      <w:pPr>
        <w:spacing w:before="120" w:after="120" w:line="360" w:lineRule="auto"/>
        <w:ind w:left="284" w:right="49"/>
        <w:jc w:val="both"/>
        <w:rPr>
          <w:rFonts w:eastAsia="Palatino Linotype" w:cs="Palatino Linotype"/>
          <w:lang w:val="es-MX"/>
        </w:rPr>
      </w:pPr>
      <w:r w:rsidRPr="00332C4C">
        <w:rPr>
          <w:rFonts w:eastAsia="Palatino Linotype" w:cs="Palatino Linotype"/>
          <w:lang w:val="es-MX"/>
        </w:rPr>
        <w:t xml:space="preserve">9. Publicación mediante la cual se otorgó la concesión a la asociación que actualmente es titular de la </w:t>
      </w:r>
      <w:r w:rsidR="00517272" w:rsidRPr="00332C4C">
        <w:rPr>
          <w:rFonts w:eastAsia="Palatino Linotype" w:cs="Palatino Linotype"/>
          <w:lang w:val="es-MX"/>
        </w:rPr>
        <w:t xml:space="preserve">ruta 18 ramal </w:t>
      </w:r>
      <w:r w:rsidRPr="00332C4C">
        <w:rPr>
          <w:rFonts w:eastAsia="Palatino Linotype" w:cs="Palatino Linotype"/>
          <w:lang w:val="es-MX"/>
        </w:rPr>
        <w:t>que corre de Jesús del Monte al Metro Cuatro Caminos</w:t>
      </w:r>
      <w:r w:rsidR="003D2889" w:rsidRPr="00332C4C">
        <w:rPr>
          <w:rFonts w:eastAsia="Palatino Linotype" w:cs="Palatino Linotype"/>
          <w:lang w:val="es-MX"/>
        </w:rPr>
        <w:t>.</w:t>
      </w:r>
      <w:r w:rsidRPr="00332C4C">
        <w:rPr>
          <w:rFonts w:eastAsia="Palatino Linotype" w:cs="Palatino Linotype"/>
          <w:lang w:val="es-MX"/>
        </w:rPr>
        <w:t xml:space="preserve"> </w:t>
      </w:r>
    </w:p>
    <w:p w14:paraId="731A16E5" w14:textId="4EE2F6B2" w:rsidR="00F431C1" w:rsidRPr="00332C4C" w:rsidRDefault="00F431C1" w:rsidP="00332C4C">
      <w:pPr>
        <w:spacing w:before="120" w:after="120" w:line="360" w:lineRule="auto"/>
        <w:ind w:left="284" w:right="49"/>
        <w:jc w:val="both"/>
        <w:rPr>
          <w:rFonts w:eastAsia="Palatino Linotype" w:cs="Palatino Linotype"/>
          <w:lang w:val="es-MX"/>
        </w:rPr>
      </w:pPr>
      <w:r w:rsidRPr="00332C4C">
        <w:rPr>
          <w:rFonts w:eastAsia="Palatino Linotype" w:cs="Palatino Linotype"/>
          <w:lang w:val="es-MX"/>
        </w:rPr>
        <w:t xml:space="preserve">10. Plano autorizado del recorrido que tiene el corredor del Transporte público autorizado para la </w:t>
      </w:r>
      <w:r w:rsidR="00517272" w:rsidRPr="00332C4C">
        <w:rPr>
          <w:rFonts w:eastAsia="Palatino Linotype" w:cs="Palatino Linotype"/>
          <w:lang w:val="es-MX"/>
        </w:rPr>
        <w:t xml:space="preserve">ruta 18 ramal </w:t>
      </w:r>
      <w:r w:rsidRPr="00332C4C">
        <w:rPr>
          <w:rFonts w:eastAsia="Palatino Linotype" w:cs="Palatino Linotype"/>
          <w:lang w:val="es-MX"/>
        </w:rPr>
        <w:t>que corre de Jesús del Monte al Metro Cuatro Caminos</w:t>
      </w:r>
      <w:r w:rsidR="003D2889" w:rsidRPr="00332C4C">
        <w:rPr>
          <w:rFonts w:eastAsia="Palatino Linotype" w:cs="Palatino Linotype"/>
          <w:lang w:val="es-MX"/>
        </w:rPr>
        <w:t>.</w:t>
      </w:r>
    </w:p>
    <w:bookmarkEnd w:id="10"/>
    <w:p w14:paraId="48218C08" w14:textId="2B672656" w:rsidR="00F264BF" w:rsidRPr="00332C4C" w:rsidRDefault="005A212F" w:rsidP="00332C4C">
      <w:pPr>
        <w:spacing w:before="240" w:after="240" w:line="360" w:lineRule="auto"/>
        <w:ind w:right="51"/>
        <w:jc w:val="both"/>
        <w:rPr>
          <w:rFonts w:eastAsia="Palatino Linotype" w:cs="Palatino Linotype"/>
          <w:bCs/>
          <w:lang w:val="es-MX"/>
        </w:rPr>
      </w:pPr>
      <w:r w:rsidRPr="00332C4C">
        <w:rPr>
          <w:rFonts w:eastAsia="Palatino Linotype" w:cs="Palatino Linotype"/>
          <w:lang w:val="es-MX"/>
        </w:rPr>
        <w:t xml:space="preserve">En respuesta el </w:t>
      </w:r>
      <w:r w:rsidRPr="00332C4C">
        <w:rPr>
          <w:rFonts w:eastAsia="Palatino Linotype" w:cs="Palatino Linotype"/>
          <w:b/>
          <w:lang w:val="es-MX"/>
        </w:rPr>
        <w:t>Sujeto Obligado</w:t>
      </w:r>
      <w:r w:rsidRPr="00332C4C">
        <w:rPr>
          <w:rFonts w:eastAsia="Palatino Linotype" w:cs="Palatino Linotype"/>
          <w:lang w:val="es-MX"/>
        </w:rPr>
        <w:t>, a través de la Unidad de Transparencia hizo del conocimiento de</w:t>
      </w:r>
      <w:r w:rsidR="00DF30FF" w:rsidRPr="00332C4C">
        <w:rPr>
          <w:rFonts w:eastAsia="Palatino Linotype" w:cs="Palatino Linotype"/>
          <w:lang w:val="es-MX"/>
        </w:rPr>
        <w:t>l particular</w:t>
      </w:r>
      <w:r w:rsidR="00C6351C" w:rsidRPr="00332C4C">
        <w:rPr>
          <w:rFonts w:eastAsia="Palatino Linotype" w:cs="Palatino Linotype"/>
          <w:lang w:val="es-MX"/>
        </w:rPr>
        <w:t xml:space="preserve"> </w:t>
      </w:r>
      <w:r w:rsidR="00A66DDF" w:rsidRPr="00332C4C">
        <w:rPr>
          <w:rFonts w:eastAsia="Palatino Linotype" w:cs="Palatino Linotype"/>
          <w:lang w:val="es-MX"/>
        </w:rPr>
        <w:t>los</w:t>
      </w:r>
      <w:r w:rsidR="00CD587C" w:rsidRPr="00332C4C">
        <w:rPr>
          <w:rFonts w:eastAsia="Palatino Linotype" w:cs="Palatino Linotype"/>
          <w:lang w:val="es-MX"/>
        </w:rPr>
        <w:t xml:space="preserve"> pronunciamiento</w:t>
      </w:r>
      <w:r w:rsidR="00A66DDF" w:rsidRPr="00332C4C">
        <w:rPr>
          <w:rFonts w:eastAsia="Palatino Linotype" w:cs="Palatino Linotype"/>
          <w:lang w:val="es-MX"/>
        </w:rPr>
        <w:t>s</w:t>
      </w:r>
      <w:r w:rsidR="00CD587C" w:rsidRPr="00332C4C">
        <w:rPr>
          <w:rFonts w:eastAsia="Palatino Linotype" w:cs="Palatino Linotype"/>
          <w:lang w:val="es-MX"/>
        </w:rPr>
        <w:t xml:space="preserve"> vertido por el </w:t>
      </w:r>
      <w:r w:rsidR="00CD587C" w:rsidRPr="00332C4C">
        <w:rPr>
          <w:rFonts w:eastAsia="Palatino Linotype" w:cs="Palatino Linotype"/>
          <w:bCs/>
          <w:i/>
          <w:iCs/>
          <w:lang w:val="es-MX"/>
        </w:rPr>
        <w:t>Director General del Registro Estatal de Transporte Público</w:t>
      </w:r>
      <w:r w:rsidR="00CD587C" w:rsidRPr="00332C4C">
        <w:rPr>
          <w:rFonts w:eastAsia="Palatino Linotype" w:cs="Palatino Linotype"/>
          <w:bCs/>
          <w:lang w:val="es-MX"/>
        </w:rPr>
        <w:t xml:space="preserve">, </w:t>
      </w:r>
      <w:r w:rsidR="00D00B70" w:rsidRPr="00332C4C">
        <w:rPr>
          <w:rFonts w:eastAsia="Palatino Linotype" w:cs="Palatino Linotype"/>
          <w:bCs/>
          <w:lang w:val="es-MX"/>
        </w:rPr>
        <w:t xml:space="preserve">quien señaló que el área a su cargo, con fundamento en el artículo 24 de al Reglamento Interior de la Secretaría de Movilidad, únicamente tiene atribuciones para integrar y custodiar la información que con motivo del otorgamiento de concesiones y/o permisos se genere, así como sus movimientos adicionales, en cambio, </w:t>
      </w:r>
      <w:r w:rsidR="00D00B70" w:rsidRPr="00332C4C">
        <w:rPr>
          <w:rFonts w:eastAsia="Palatino Linotype" w:cs="Palatino Linotype"/>
          <w:b/>
          <w:bCs/>
          <w:lang w:val="es-MX"/>
        </w:rPr>
        <w:t>la solicitud versa sobre rutas y/o derroteros para la prestación del servicio de transporte público,</w:t>
      </w:r>
      <w:r w:rsidR="00A66DDF" w:rsidRPr="00332C4C">
        <w:rPr>
          <w:rFonts w:eastAsia="Palatino Linotype" w:cs="Palatino Linotype"/>
          <w:b/>
          <w:bCs/>
          <w:lang w:val="es-MX"/>
        </w:rPr>
        <w:t xml:space="preserve"> tratándose de </w:t>
      </w:r>
      <w:r w:rsidR="00A66DDF" w:rsidRPr="00332C4C">
        <w:rPr>
          <w:rFonts w:eastAsia="Palatino Linotype" w:cs="Palatino Linotype"/>
          <w:b/>
          <w:bCs/>
          <w:lang w:val="es-MX"/>
        </w:rPr>
        <w:lastRenderedPageBreak/>
        <w:t>a</w:t>
      </w:r>
      <w:r w:rsidR="00D00B70" w:rsidRPr="00332C4C">
        <w:rPr>
          <w:rFonts w:eastAsia="Palatino Linotype" w:cs="Palatino Linotype"/>
          <w:b/>
          <w:bCs/>
          <w:lang w:val="es-MX"/>
        </w:rPr>
        <w:t>utorizaciones complementarias a las concesiones,</w:t>
      </w:r>
      <w:r w:rsidR="00D00B70" w:rsidRPr="00332C4C">
        <w:rPr>
          <w:rFonts w:eastAsia="Palatino Linotype" w:cs="Palatino Linotype"/>
          <w:bCs/>
          <w:lang w:val="es-MX"/>
        </w:rPr>
        <w:t xml:space="preserve"> siendo atribución de la Subsecretaría de Movilidad en coordinación de sus Direcciones Generales de Movilidad, suscribir dichas autorizaciones en observancia del artículo 8 fracción X y 14 fracción IV, XI del Reglamento Interior de la Secretaría de Movilidad, </w:t>
      </w:r>
      <w:r w:rsidR="00A66DDF" w:rsidRPr="00332C4C">
        <w:rPr>
          <w:rFonts w:eastAsia="Palatino Linotype" w:cs="Palatino Linotype"/>
          <w:bCs/>
          <w:lang w:val="es-MX"/>
        </w:rPr>
        <w:t xml:space="preserve">razón por la cual, la </w:t>
      </w:r>
      <w:r w:rsidR="00D00B70" w:rsidRPr="00332C4C">
        <w:rPr>
          <w:rFonts w:eastAsia="Palatino Linotype" w:cs="Palatino Linotype"/>
          <w:bCs/>
          <w:lang w:val="es-MX"/>
        </w:rPr>
        <w:t>unidad administrativa</w:t>
      </w:r>
      <w:r w:rsidR="00A66DDF" w:rsidRPr="00332C4C">
        <w:rPr>
          <w:rFonts w:eastAsia="Palatino Linotype" w:cs="Palatino Linotype"/>
          <w:bCs/>
          <w:lang w:val="es-MX"/>
        </w:rPr>
        <w:t xml:space="preserve"> a su cargo no se encuentra en posibilidad de dar</w:t>
      </w:r>
      <w:r w:rsidR="00D00B70" w:rsidRPr="00332C4C">
        <w:rPr>
          <w:rFonts w:eastAsia="Palatino Linotype" w:cs="Palatino Linotype"/>
          <w:bCs/>
          <w:lang w:val="es-MX"/>
        </w:rPr>
        <w:t xml:space="preserve"> de seguimiento a lo referente a rutas y/o derroteros</w:t>
      </w:r>
      <w:r w:rsidR="00A66DDF" w:rsidRPr="00332C4C">
        <w:rPr>
          <w:rFonts w:eastAsia="Palatino Linotype" w:cs="Palatino Linotype"/>
          <w:bCs/>
          <w:lang w:val="es-MX"/>
        </w:rPr>
        <w:t xml:space="preserve">, sin embargo, en atención del principio de máxima publicidad, se realizó una búsqueda en los archivos digitales del Registro Estatal de Transporte Público, de las concesiones a nombre de “ruta 18” para prestar el servicio público, no localizando registro alguno, y, por el </w:t>
      </w:r>
      <w:r w:rsidR="00A66DDF" w:rsidRPr="00332C4C">
        <w:rPr>
          <w:rFonts w:eastAsia="Palatino Linotype" w:cs="Palatino Linotype"/>
          <w:bCs/>
          <w:i/>
          <w:iCs/>
          <w:lang w:val="es-MX"/>
        </w:rPr>
        <w:t xml:space="preserve">Director General de Movilidad Zona II, </w:t>
      </w:r>
      <w:r w:rsidR="00A66DDF" w:rsidRPr="00332C4C">
        <w:rPr>
          <w:rFonts w:eastAsia="Palatino Linotype" w:cs="Palatino Linotype"/>
          <w:bCs/>
          <w:lang w:val="es-MX"/>
        </w:rPr>
        <w:t xml:space="preserve"> quien informó que</w:t>
      </w:r>
      <w:r w:rsidR="00F264BF" w:rsidRPr="00332C4C">
        <w:rPr>
          <w:rFonts w:eastAsia="Palatino Linotype" w:cs="Palatino Linotype"/>
          <w:bCs/>
          <w:lang w:val="es-MX"/>
        </w:rPr>
        <w:t xml:space="preserve"> la unidad administrativa a su cargo, </w:t>
      </w:r>
      <w:r w:rsidR="00A66DDF" w:rsidRPr="00332C4C">
        <w:rPr>
          <w:rFonts w:eastAsia="Palatino Linotype" w:cs="Palatino Linotype"/>
          <w:bCs/>
          <w:lang w:val="es-MX"/>
        </w:rPr>
        <w:t xml:space="preserve">se encontraba imposibilitado para otorgar la respuesta a la solicitud, en virtud de que </w:t>
      </w:r>
      <w:r w:rsidR="00F264BF" w:rsidRPr="00332C4C">
        <w:rPr>
          <w:rFonts w:eastAsia="Palatino Linotype" w:cs="Palatino Linotype"/>
          <w:bCs/>
          <w:lang w:val="es-MX"/>
        </w:rPr>
        <w:t>a través del ACTA DE LA CENTÉSIMA DÉCIMA TERCERA SESIÓN EXTRAORDINARIA DEL AÑO DOS MIL VEINTIUNO DEL COMITÉ DE TRANSPARENCIA DE LA SECRETARÍA DE MOVILIDAD DEL GOBIERNO DEL ESTADO DE MÉXICO, mediante el acuerdo CT/SM/A/01/2021, el Pleno del Comité de Transparencia determinó y autorizó la reserva de la emisión de información relativa a las autorizaciones emitidas por las Secretarias de Movilidad y Finanzas, para la operación y recorrido de ruta 18 ramal que corre de Jesús del Monte al Metro Cuatro Caminos y el plano autorizado del recorrido que tiene el corredor del Transporte público autorizado para la ruta 18 ramal que corre de Jesús del Monte al Metro Cuatro Caminos</w:t>
      </w:r>
      <w:r w:rsidR="002F60C7" w:rsidRPr="00332C4C">
        <w:rPr>
          <w:rFonts w:eastAsia="Palatino Linotype" w:cs="Palatino Linotype"/>
          <w:bCs/>
          <w:lang w:val="es-MX"/>
        </w:rPr>
        <w:t>, remitiendo el acuerdo de clasificación referido en el acto.</w:t>
      </w:r>
    </w:p>
    <w:p w14:paraId="772DB4C8" w14:textId="77777777" w:rsidR="000D5A79" w:rsidRPr="00332C4C" w:rsidRDefault="002F60C7" w:rsidP="00332C4C">
      <w:pPr>
        <w:spacing w:before="240" w:after="240" w:line="360" w:lineRule="auto"/>
        <w:ind w:right="51"/>
        <w:jc w:val="both"/>
        <w:rPr>
          <w:rFonts w:eastAsia="Palatino Linotype" w:cs="Palatino Linotype"/>
          <w:lang w:val="es-MX"/>
        </w:rPr>
      </w:pPr>
      <w:r w:rsidRPr="00332C4C">
        <w:rPr>
          <w:rFonts w:eastAsia="Palatino Linotype" w:cs="Palatino Linotype"/>
          <w:lang w:val="es-MX"/>
        </w:rPr>
        <w:t xml:space="preserve">Conocida la respuesta, </w:t>
      </w:r>
      <w:r w:rsidR="0040266A" w:rsidRPr="00332C4C">
        <w:rPr>
          <w:rFonts w:eastAsia="Palatino Linotype" w:cs="Palatino Linotype"/>
          <w:lang w:val="es-MX"/>
        </w:rPr>
        <w:t xml:space="preserve">al no estar conforme con los términos de la </w:t>
      </w:r>
      <w:r w:rsidRPr="00332C4C">
        <w:rPr>
          <w:rFonts w:eastAsia="Palatino Linotype" w:cs="Palatino Linotype"/>
          <w:lang w:val="es-MX"/>
        </w:rPr>
        <w:t>misma</w:t>
      </w:r>
      <w:r w:rsidR="0040266A" w:rsidRPr="00332C4C">
        <w:rPr>
          <w:rFonts w:eastAsia="Palatino Linotype" w:cs="Palatino Linotype"/>
          <w:lang w:val="es-MX"/>
        </w:rPr>
        <w:t xml:space="preserve">, el particular presentó el recurso de revisión que nos ocupa, mediante el cual señaló, </w:t>
      </w:r>
      <w:r w:rsidR="006D7CB5" w:rsidRPr="00332C4C">
        <w:rPr>
          <w:rFonts w:eastAsia="Palatino Linotype" w:cs="Palatino Linotype"/>
          <w:lang w:val="es-MX"/>
        </w:rPr>
        <w:t>que</w:t>
      </w:r>
      <w:r w:rsidRPr="00332C4C">
        <w:rPr>
          <w:rFonts w:eastAsia="Palatino Linotype" w:cs="Palatino Linotype"/>
          <w:lang w:val="es-MX"/>
        </w:rPr>
        <w:t xml:space="preserve"> </w:t>
      </w:r>
      <w:r w:rsidR="00104B52" w:rsidRPr="00332C4C">
        <w:rPr>
          <w:rFonts w:eastAsia="Palatino Linotype" w:cs="Palatino Linotype"/>
          <w:lang w:val="es-MX"/>
        </w:rPr>
        <w:t>no se le dio respuesta a los requerimientos que realizó</w:t>
      </w:r>
      <w:r w:rsidR="00D233BD" w:rsidRPr="00332C4C">
        <w:rPr>
          <w:rFonts w:eastAsia="Palatino Linotype" w:cs="Palatino Linotype"/>
          <w:lang w:val="es-MX"/>
        </w:rPr>
        <w:t xml:space="preserve">, </w:t>
      </w:r>
      <w:r w:rsidR="00ED3DFD" w:rsidRPr="00332C4C">
        <w:rPr>
          <w:rFonts w:eastAsia="Palatino Linotype" w:cs="Palatino Linotype"/>
          <w:lang w:val="es-MX"/>
        </w:rPr>
        <w:t>enfocándose</w:t>
      </w:r>
      <w:r w:rsidR="000D5A79" w:rsidRPr="00332C4C">
        <w:rPr>
          <w:rFonts w:eastAsia="Palatino Linotype" w:cs="Palatino Linotype"/>
          <w:lang w:val="es-MX"/>
        </w:rPr>
        <w:t>,</w:t>
      </w:r>
      <w:r w:rsidR="00ED3DFD" w:rsidRPr="00332C4C">
        <w:rPr>
          <w:rFonts w:eastAsia="Palatino Linotype" w:cs="Palatino Linotype"/>
          <w:lang w:val="es-MX"/>
        </w:rPr>
        <w:t xml:space="preserve"> el </w:t>
      </w:r>
      <w:r w:rsidR="00ED3DFD" w:rsidRPr="00332C4C">
        <w:rPr>
          <w:rFonts w:eastAsia="Palatino Linotype" w:cs="Palatino Linotype"/>
          <w:b/>
          <w:bCs/>
          <w:lang w:val="es-MX"/>
        </w:rPr>
        <w:t xml:space="preserve">Sujeto </w:t>
      </w:r>
      <w:r w:rsidR="00ED3DFD" w:rsidRPr="00332C4C">
        <w:rPr>
          <w:rFonts w:eastAsia="Palatino Linotype" w:cs="Palatino Linotype"/>
          <w:b/>
          <w:bCs/>
          <w:lang w:val="es-MX"/>
        </w:rPr>
        <w:lastRenderedPageBreak/>
        <w:t>Obligado</w:t>
      </w:r>
      <w:r w:rsidR="00247EBF" w:rsidRPr="00332C4C">
        <w:rPr>
          <w:rFonts w:eastAsia="Palatino Linotype" w:cs="Palatino Linotype"/>
          <w:b/>
          <w:bCs/>
          <w:lang w:val="es-MX"/>
        </w:rPr>
        <w:t xml:space="preserve"> </w:t>
      </w:r>
      <w:r w:rsidR="00351F65" w:rsidRPr="00332C4C">
        <w:rPr>
          <w:rFonts w:eastAsia="Palatino Linotype" w:cs="Palatino Linotype"/>
          <w:lang w:val="es-MX"/>
        </w:rPr>
        <w:t xml:space="preserve">a responder únicamente los requerimientos que consideró a su criterio, siendo estos los marcados con los numerales 6 y 10 de la solicitud, negando </w:t>
      </w:r>
      <w:r w:rsidR="001C528B" w:rsidRPr="00332C4C">
        <w:rPr>
          <w:rFonts w:eastAsia="Palatino Linotype" w:cs="Palatino Linotype"/>
          <w:lang w:val="es-MX"/>
        </w:rPr>
        <w:t>el acceso a la información</w:t>
      </w:r>
      <w:r w:rsidR="000D5A79" w:rsidRPr="00332C4C">
        <w:rPr>
          <w:rFonts w:eastAsia="Palatino Linotype" w:cs="Palatino Linotype"/>
          <w:lang w:val="es-MX"/>
        </w:rPr>
        <w:t>, al no contestar los demás requerimientos.</w:t>
      </w:r>
    </w:p>
    <w:p w14:paraId="31F72417" w14:textId="790BC414" w:rsidR="001C528B" w:rsidRPr="00332C4C" w:rsidRDefault="001C528B" w:rsidP="00332C4C">
      <w:pPr>
        <w:spacing w:before="240" w:after="240" w:line="360" w:lineRule="auto"/>
        <w:ind w:right="51"/>
        <w:jc w:val="both"/>
        <w:rPr>
          <w:rFonts w:cs="Arial"/>
        </w:rPr>
      </w:pPr>
      <w:r w:rsidRPr="00332C4C">
        <w:rPr>
          <w:rFonts w:eastAsia="Palatino Linotype" w:cs="Palatino Linotype"/>
          <w:lang w:val="es-MX"/>
        </w:rPr>
        <w:t xml:space="preserve">Asimismo, se advierte que el particular </w:t>
      </w:r>
      <w:r w:rsidRPr="00332C4C">
        <w:rPr>
          <w:lang w:val="es-MX"/>
        </w:rPr>
        <w:t xml:space="preserve">realizó diversos planteamientos subjetivos, como parte de su recurso de revisión, </w:t>
      </w:r>
      <w:r w:rsidRPr="00332C4C">
        <w:rPr>
          <w:rFonts w:cs="Arial"/>
          <w:bCs/>
        </w:rPr>
        <w:t xml:space="preserve">ante lo cual se puntualiza que el derecho al acceso a la información pública constituye una prerrogativa para acceder a documentos o registros de información pública generada o en posesión de los sujetos obligados,  motivo por el cual, este Órgano Garante reitera que dichas manifestaciones no son susceptibles de ser tomadas en consideración, </w:t>
      </w:r>
      <w:r w:rsidRPr="00332C4C">
        <w:rPr>
          <w:rFonts w:eastAsia="Arial Unicode MS" w:cs="Arial"/>
        </w:rPr>
        <w:t xml:space="preserve">toda vez que, no constituyen el ejercicio de un derecho de acceso a la información pública, sino más bien el ejercicio de </w:t>
      </w:r>
      <w:r w:rsidRPr="00332C4C">
        <w:rPr>
          <w:rFonts w:cs="Arial"/>
          <w:szCs w:val="20"/>
        </w:rPr>
        <w:t xml:space="preserve">un derecho de expresión, </w:t>
      </w:r>
      <w:r w:rsidRPr="00332C4C">
        <w:rPr>
          <w:rFonts w:cs="Arial"/>
        </w:rPr>
        <w:t>cuya finalidad consiste en dar mayor énfasis a</w:t>
      </w:r>
      <w:r w:rsidR="00D87E89" w:rsidRPr="00332C4C">
        <w:rPr>
          <w:rFonts w:cs="Arial"/>
        </w:rPr>
        <w:t xml:space="preserve"> sus motivos de inconformidad</w:t>
      </w:r>
      <w:r w:rsidRPr="00332C4C">
        <w:rPr>
          <w:rFonts w:cs="Arial"/>
        </w:rPr>
        <w:t>, en este sentido, se trata de manifestaciones sobre las cuales este Instituto no está facultado para pronunciarse.</w:t>
      </w:r>
    </w:p>
    <w:p w14:paraId="0611C86A" w14:textId="77777777" w:rsidR="00771AF1" w:rsidRPr="00332C4C" w:rsidRDefault="00771AF1" w:rsidP="00332C4C">
      <w:pPr>
        <w:spacing w:before="240" w:after="240" w:line="360" w:lineRule="auto"/>
        <w:jc w:val="both"/>
        <w:rPr>
          <w:rFonts w:cs="Arial"/>
        </w:rPr>
      </w:pPr>
      <w:r w:rsidRPr="00332C4C">
        <w:t>Una vez admitido el presente recurso de revisión, en términos del artículo 185 fracción II</w:t>
      </w:r>
      <w:r w:rsidRPr="00332C4C">
        <w:rPr>
          <w:rStyle w:val="Refdenotaalpie"/>
        </w:rPr>
        <w:footnoteReference w:id="1"/>
      </w:r>
      <w:r w:rsidRPr="00332C4C">
        <w:t xml:space="preserve"> de la Ley de Transparencia y Acceso a la Información Pública del Estado de México y Municipios, se integró el expediente y se puso a disposición de las partes para que, en un </w:t>
      </w:r>
      <w:r w:rsidRPr="00332C4C">
        <w:rPr>
          <w:rFonts w:cs="Arial"/>
        </w:rPr>
        <w:t>plazo máximo de siete días hábiles, manifestaran lo que a su derecho resultara conveniente.</w:t>
      </w:r>
    </w:p>
    <w:p w14:paraId="39A74D2F" w14:textId="179D88F8" w:rsidR="00F84D9D" w:rsidRPr="00332C4C" w:rsidRDefault="00771AF1" w:rsidP="00332C4C">
      <w:pPr>
        <w:spacing w:before="240" w:after="240" w:line="360" w:lineRule="auto"/>
        <w:jc w:val="both"/>
      </w:pPr>
      <w:r w:rsidRPr="00332C4C">
        <w:t>Al respecto, como se mencionó en e</w:t>
      </w:r>
      <w:r w:rsidR="00C40935" w:rsidRPr="00332C4C">
        <w:t xml:space="preserve">l antecedente 6 de la presente resolución, </w:t>
      </w:r>
      <w:r w:rsidRPr="00332C4C">
        <w:t xml:space="preserve">el </w:t>
      </w:r>
      <w:r w:rsidRPr="00332C4C">
        <w:rPr>
          <w:b/>
          <w:bCs/>
        </w:rPr>
        <w:t>Sujeto Obligado</w:t>
      </w:r>
      <w:r w:rsidRPr="00332C4C">
        <w:t xml:space="preserve"> remitió su informe justificado,</w:t>
      </w:r>
      <w:r w:rsidR="00D87E89" w:rsidRPr="00332C4C">
        <w:t xml:space="preserve"> mediante el cual</w:t>
      </w:r>
      <w:r w:rsidR="001603A1" w:rsidRPr="00332C4C">
        <w:t xml:space="preserve"> la Dirección General del Registro Estatal de Transporte Público ratifica en sus términos la </w:t>
      </w:r>
      <w:r w:rsidR="001603A1" w:rsidRPr="00332C4C">
        <w:lastRenderedPageBreak/>
        <w:t xml:space="preserve">respuesta emitida en primera instancia, al señalar que se realizó una búsqueda en los archivos digitales del Registro Estatal de Transporte Público relativo a la aludida “Ruta 18”, sin embargo, no se encontraron concesiones y/o permisos de titularidad de dicho nombre; por su parte, </w:t>
      </w:r>
      <w:r w:rsidR="00A34540" w:rsidRPr="00332C4C">
        <w:t xml:space="preserve">el Director General de Movilidad Zona II, ratificó su respuesta por cuanto hace a la clasificación de la información requerida en los puntos 6 y 10 de la solicitud, </w:t>
      </w:r>
      <w:r w:rsidR="00E22CB9" w:rsidRPr="00332C4C">
        <w:t xml:space="preserve">como  reservada, argumentando que </w:t>
      </w:r>
      <w:r w:rsidR="00E22CB9" w:rsidRPr="00332C4C">
        <w:rPr>
          <w:b/>
          <w:u w:val="single"/>
        </w:rPr>
        <w:t>todas las autorizaciones de derroteros otorgados por la Secretaría están en proceso de revisión, actualización y posibles modificaciones para con ello mejorar la movilidad</w:t>
      </w:r>
      <w:r w:rsidR="00E22CB9" w:rsidRPr="00332C4C">
        <w:t xml:space="preserve"> urbana, razones que se fortalecen con el contenido del Acta de la Centésima Décima Tercera Sesión Extraordinaria de dos mil veintiuno, del Comité de Transparencia</w:t>
      </w:r>
      <w:r w:rsidR="008B49F9" w:rsidRPr="00332C4C">
        <w:t>, as</w:t>
      </w:r>
      <w:r w:rsidR="0068533D" w:rsidRPr="00332C4C">
        <w:t>i</w:t>
      </w:r>
      <w:r w:rsidR="008B49F9" w:rsidRPr="00332C4C">
        <w:t>mismo</w:t>
      </w:r>
      <w:r w:rsidR="0068533D" w:rsidRPr="00332C4C">
        <w:t>, se pronunció</w:t>
      </w:r>
      <w:r w:rsidR="008B49F9" w:rsidRPr="00332C4C">
        <w:t xml:space="preserve"> </w:t>
      </w:r>
      <w:r w:rsidR="009A3C7F" w:rsidRPr="00332C4C">
        <w:t>respecto de los puntos 2, 3, 4, 5, 7</w:t>
      </w:r>
      <w:r w:rsidR="00FC1D50" w:rsidRPr="00332C4C">
        <w:t xml:space="preserve">, </w:t>
      </w:r>
      <w:r w:rsidR="009A3C7F" w:rsidRPr="00332C4C">
        <w:t>8</w:t>
      </w:r>
      <w:r w:rsidR="0068533D" w:rsidRPr="00332C4C">
        <w:t xml:space="preserve"> </w:t>
      </w:r>
      <w:r w:rsidR="00FC1D50" w:rsidRPr="00332C4C">
        <w:t xml:space="preserve">y 9 </w:t>
      </w:r>
      <w:r w:rsidR="0068533D" w:rsidRPr="00332C4C">
        <w:t>de la solicitud,</w:t>
      </w:r>
      <w:r w:rsidR="00F84D9D" w:rsidRPr="00332C4C">
        <w:t xml:space="preserve"> en los siguientes términos:</w:t>
      </w:r>
    </w:p>
    <w:tbl>
      <w:tblPr>
        <w:tblStyle w:val="Tablaconcuadrcula"/>
        <w:tblW w:w="0" w:type="auto"/>
        <w:tblLook w:val="04A0" w:firstRow="1" w:lastRow="0" w:firstColumn="1" w:lastColumn="0" w:noHBand="0" w:noVBand="1"/>
      </w:tblPr>
      <w:tblGrid>
        <w:gridCol w:w="3539"/>
        <w:gridCol w:w="5289"/>
      </w:tblGrid>
      <w:tr w:rsidR="00D67A40" w:rsidRPr="00332C4C" w14:paraId="68B3D050" w14:textId="77777777" w:rsidTr="00BC0395">
        <w:tc>
          <w:tcPr>
            <w:tcW w:w="3539" w:type="dxa"/>
          </w:tcPr>
          <w:p w14:paraId="65752488" w14:textId="35242B77" w:rsidR="00D67A40" w:rsidRPr="00332C4C" w:rsidRDefault="00D67A40" w:rsidP="00332C4C">
            <w:pPr>
              <w:jc w:val="center"/>
              <w:rPr>
                <w:b/>
                <w:bCs/>
                <w:sz w:val="20"/>
                <w:szCs w:val="20"/>
              </w:rPr>
            </w:pPr>
            <w:r w:rsidRPr="00332C4C">
              <w:rPr>
                <w:b/>
                <w:bCs/>
                <w:sz w:val="20"/>
                <w:szCs w:val="20"/>
              </w:rPr>
              <w:t>REQUERIMIENTO</w:t>
            </w:r>
          </w:p>
        </w:tc>
        <w:tc>
          <w:tcPr>
            <w:tcW w:w="5289" w:type="dxa"/>
          </w:tcPr>
          <w:p w14:paraId="5A0764D3" w14:textId="4A1EFDC5" w:rsidR="00D67A40" w:rsidRPr="00332C4C" w:rsidRDefault="00BC0395" w:rsidP="00332C4C">
            <w:pPr>
              <w:jc w:val="center"/>
              <w:rPr>
                <w:b/>
                <w:bCs/>
                <w:sz w:val="20"/>
                <w:szCs w:val="20"/>
              </w:rPr>
            </w:pPr>
            <w:r w:rsidRPr="00332C4C">
              <w:rPr>
                <w:b/>
                <w:bCs/>
                <w:sz w:val="20"/>
                <w:szCs w:val="20"/>
              </w:rPr>
              <w:t>PRONUNCIAMIENTO</w:t>
            </w:r>
          </w:p>
        </w:tc>
      </w:tr>
      <w:tr w:rsidR="00D67A40" w:rsidRPr="00332C4C" w14:paraId="7580A466" w14:textId="77777777" w:rsidTr="00BC0395">
        <w:tc>
          <w:tcPr>
            <w:tcW w:w="3539" w:type="dxa"/>
          </w:tcPr>
          <w:p w14:paraId="554B68D9" w14:textId="6D6B5305" w:rsidR="00D67A40" w:rsidRPr="00332C4C" w:rsidRDefault="00BC0395" w:rsidP="00332C4C">
            <w:pPr>
              <w:ind w:right="49"/>
              <w:jc w:val="both"/>
              <w:rPr>
                <w:rFonts w:eastAsia="Palatino Linotype" w:cs="Palatino Linotype"/>
                <w:sz w:val="20"/>
                <w:szCs w:val="20"/>
                <w:lang w:val="es-MX"/>
              </w:rPr>
            </w:pPr>
            <w:r w:rsidRPr="00332C4C">
              <w:rPr>
                <w:rFonts w:eastAsia="Palatino Linotype" w:cs="Palatino Linotype"/>
                <w:sz w:val="20"/>
                <w:szCs w:val="20"/>
                <w:lang w:val="es-MX"/>
              </w:rPr>
              <w:t>2. Dictamen que determino la factibilidad de la ruta 18 ramal que corre de Jesús del Monte al Metro Cuatro Caminos.</w:t>
            </w:r>
          </w:p>
        </w:tc>
        <w:tc>
          <w:tcPr>
            <w:tcW w:w="5289" w:type="dxa"/>
          </w:tcPr>
          <w:p w14:paraId="49023A3A" w14:textId="3A1FDB32" w:rsidR="00D67A40" w:rsidRPr="00332C4C" w:rsidRDefault="00BC0395" w:rsidP="00332C4C">
            <w:pPr>
              <w:jc w:val="both"/>
              <w:rPr>
                <w:sz w:val="20"/>
                <w:szCs w:val="20"/>
              </w:rPr>
            </w:pPr>
            <w:r w:rsidRPr="00332C4C">
              <w:rPr>
                <w:sz w:val="20"/>
                <w:szCs w:val="20"/>
              </w:rPr>
              <w:t xml:space="preserve">El instrumento mediante el cual se autoriza el derrotero es a través de la “autorización de otorgamiento de derrotero” para su operación y recorrido de conformidad con lo dispuesto en el artículo 50 del Reglamento del Transporte Público y Servicios Conexos. </w:t>
            </w:r>
          </w:p>
        </w:tc>
      </w:tr>
      <w:tr w:rsidR="00D67A40" w:rsidRPr="00332C4C" w14:paraId="2626682C" w14:textId="77777777" w:rsidTr="00BC0395">
        <w:tc>
          <w:tcPr>
            <w:tcW w:w="3539" w:type="dxa"/>
          </w:tcPr>
          <w:p w14:paraId="632FDB62" w14:textId="45DEA005" w:rsidR="00D67A40" w:rsidRPr="00332C4C" w:rsidRDefault="00BC0395" w:rsidP="00332C4C">
            <w:pPr>
              <w:jc w:val="both"/>
              <w:rPr>
                <w:sz w:val="20"/>
                <w:szCs w:val="20"/>
              </w:rPr>
            </w:pPr>
            <w:r w:rsidRPr="00332C4C">
              <w:rPr>
                <w:sz w:val="20"/>
                <w:szCs w:val="20"/>
              </w:rPr>
              <w:t>3. Garantía vigente que otorgo el titular de la concesión de la ruta 18 ramal que corre de Jesús del Monte al Metro Cuatro Caminos para el otorgamiento de esta.</w:t>
            </w:r>
          </w:p>
        </w:tc>
        <w:tc>
          <w:tcPr>
            <w:tcW w:w="5289" w:type="dxa"/>
          </w:tcPr>
          <w:p w14:paraId="06A16C8C" w14:textId="53DD8151" w:rsidR="00D67A40" w:rsidRPr="00332C4C" w:rsidRDefault="008332E7" w:rsidP="00332C4C">
            <w:pPr>
              <w:jc w:val="both"/>
              <w:rPr>
                <w:sz w:val="20"/>
                <w:szCs w:val="20"/>
              </w:rPr>
            </w:pPr>
            <w:r w:rsidRPr="00332C4C">
              <w:rPr>
                <w:sz w:val="20"/>
                <w:szCs w:val="20"/>
              </w:rPr>
              <w:t xml:space="preserve">No </w:t>
            </w:r>
            <w:r w:rsidR="00BC0395" w:rsidRPr="00332C4C">
              <w:rPr>
                <w:sz w:val="20"/>
                <w:szCs w:val="20"/>
              </w:rPr>
              <w:t>existe una normatividad que obliga a las empresas concesionadas de transporte público a entregar garantías para el otorgamiento de concesiones, sino que deben sujetarse a la normatividad y cumplir con lo dispuesto en la Sección Segunda, artículos 17, 18, 19, 20, 21, 22, 23 y 24 del Reglamento del Transporte Público y Servicios Conexos.</w:t>
            </w:r>
          </w:p>
          <w:p w14:paraId="289702A4" w14:textId="77777777" w:rsidR="00BC0395" w:rsidRPr="00332C4C" w:rsidRDefault="00BC0395" w:rsidP="00332C4C">
            <w:pPr>
              <w:jc w:val="both"/>
              <w:rPr>
                <w:sz w:val="20"/>
                <w:szCs w:val="20"/>
              </w:rPr>
            </w:pPr>
            <w:r w:rsidRPr="00332C4C">
              <w:rPr>
                <w:sz w:val="20"/>
                <w:szCs w:val="20"/>
              </w:rPr>
              <w:t xml:space="preserve">Asimismo, señala que la parte Recurrente </w:t>
            </w:r>
            <w:r w:rsidR="008332E7" w:rsidRPr="00332C4C">
              <w:rPr>
                <w:sz w:val="20"/>
                <w:szCs w:val="20"/>
              </w:rPr>
              <w:t>pudo referirse a uno de los requisitos señalados por el Acuerdo por el que se modifica la integración del “Índice del expediente de concesiones de transporte público, sus movimientos adicionales y autorizaciones, a través del numeral 3.8 referente a la Póliza de seguro vigente que cubra responsabilidad civil al viajero y daños a terceros de acuerdo al número de ocupantes.</w:t>
            </w:r>
          </w:p>
          <w:p w14:paraId="3E002208" w14:textId="76B9FAC0" w:rsidR="008332E7" w:rsidRPr="00332C4C" w:rsidRDefault="008332E7" w:rsidP="00332C4C">
            <w:pPr>
              <w:jc w:val="both"/>
              <w:rPr>
                <w:sz w:val="20"/>
                <w:szCs w:val="20"/>
              </w:rPr>
            </w:pPr>
            <w:r w:rsidRPr="00332C4C">
              <w:rPr>
                <w:sz w:val="20"/>
                <w:szCs w:val="20"/>
              </w:rPr>
              <w:lastRenderedPageBreak/>
              <w:t>Por lo que señala que no se cuenta con la información solicitada, en razón de no ser un requisito u obligación de los concesionarios del transporte público en sus diferentes modalidades el otorgar una garantía a la Secretaría de Movilidad, sino que deben cumplir con lo señalado en el Reglamento del Transporte Público y Servicios Conexos del Estado de México, y el Acuerdo por el que se modifica la integración del “Índice del expediente de concesiones de transporte público, sus movimientos adicionales y autorizaciones.</w:t>
            </w:r>
          </w:p>
        </w:tc>
      </w:tr>
      <w:tr w:rsidR="00D67A40" w:rsidRPr="00332C4C" w14:paraId="7749692E" w14:textId="77777777" w:rsidTr="00BC0395">
        <w:tc>
          <w:tcPr>
            <w:tcW w:w="3539" w:type="dxa"/>
          </w:tcPr>
          <w:p w14:paraId="2A771C9A" w14:textId="6865F96C" w:rsidR="00D67A40" w:rsidRPr="00332C4C" w:rsidRDefault="00BC0395" w:rsidP="00332C4C">
            <w:pPr>
              <w:jc w:val="both"/>
              <w:rPr>
                <w:sz w:val="20"/>
                <w:szCs w:val="20"/>
              </w:rPr>
            </w:pPr>
            <w:r w:rsidRPr="00332C4C">
              <w:rPr>
                <w:sz w:val="20"/>
                <w:szCs w:val="20"/>
              </w:rPr>
              <w:lastRenderedPageBreak/>
              <w:t>4.</w:t>
            </w:r>
            <w:r w:rsidR="004125D9" w:rsidRPr="00332C4C">
              <w:rPr>
                <w:sz w:val="20"/>
                <w:szCs w:val="20"/>
              </w:rPr>
              <w:t xml:space="preserve"> Inscripción en el Registro Estatal del Paradero y/o persona concesionaria de la ruta 18 ramal que corre de Jesús del Monte al Metro Cuatro Caminos.</w:t>
            </w:r>
          </w:p>
        </w:tc>
        <w:tc>
          <w:tcPr>
            <w:tcW w:w="5289" w:type="dxa"/>
          </w:tcPr>
          <w:p w14:paraId="71A6E3DA" w14:textId="3D27E7E0" w:rsidR="00D67A40" w:rsidRPr="00332C4C" w:rsidRDefault="004125D9" w:rsidP="00332C4C">
            <w:pPr>
              <w:jc w:val="both"/>
              <w:rPr>
                <w:sz w:val="20"/>
                <w:szCs w:val="20"/>
              </w:rPr>
            </w:pPr>
            <w:r w:rsidRPr="00332C4C">
              <w:rPr>
                <w:sz w:val="20"/>
                <w:szCs w:val="20"/>
              </w:rPr>
              <w:t xml:space="preserve">Precisa que no existe una modalidad de ruta el paradero, definiéndose </w:t>
            </w:r>
            <w:r w:rsidRPr="00332C4C">
              <w:rPr>
                <w:i/>
                <w:iCs/>
                <w:sz w:val="20"/>
                <w:szCs w:val="20"/>
              </w:rPr>
              <w:t xml:space="preserve">ruta </w:t>
            </w:r>
            <w:r w:rsidRPr="00332C4C">
              <w:rPr>
                <w:sz w:val="20"/>
                <w:szCs w:val="20"/>
              </w:rPr>
              <w:t xml:space="preserve">como la dirección de un viaje con origen y destino determinados, conforme al </w:t>
            </w:r>
            <w:r w:rsidR="006C6605" w:rsidRPr="00332C4C">
              <w:rPr>
                <w:sz w:val="20"/>
                <w:szCs w:val="20"/>
              </w:rPr>
              <w:t>artículo</w:t>
            </w:r>
            <w:r w:rsidRPr="00332C4C">
              <w:rPr>
                <w:sz w:val="20"/>
                <w:szCs w:val="20"/>
              </w:rPr>
              <w:t xml:space="preserve"> 65 del Reglamento del Transporte Público y Servicios Conexos del Estado de México, </w:t>
            </w:r>
            <w:r w:rsidR="00BD5267" w:rsidRPr="00332C4C">
              <w:rPr>
                <w:sz w:val="20"/>
                <w:szCs w:val="20"/>
              </w:rPr>
              <w:t>y un</w:t>
            </w:r>
            <w:r w:rsidR="00BD5267" w:rsidRPr="00332C4C">
              <w:rPr>
                <w:i/>
                <w:iCs/>
                <w:sz w:val="20"/>
                <w:szCs w:val="20"/>
              </w:rPr>
              <w:t xml:space="preserve"> paradero </w:t>
            </w:r>
            <w:r w:rsidR="00BD5267" w:rsidRPr="00332C4C">
              <w:rPr>
                <w:sz w:val="20"/>
                <w:szCs w:val="20"/>
              </w:rPr>
              <w:t>es una lanzadera</w:t>
            </w:r>
            <w:r w:rsidR="00B34E4C" w:rsidRPr="00332C4C">
              <w:rPr>
                <w:sz w:val="20"/>
                <w:szCs w:val="20"/>
              </w:rPr>
              <w:t xml:space="preserve"> </w:t>
            </w:r>
            <w:r w:rsidR="00BD5267" w:rsidRPr="00332C4C">
              <w:rPr>
                <w:sz w:val="20"/>
                <w:szCs w:val="20"/>
              </w:rPr>
              <w:t>autorizadas como paraderos momentáneos relacionados con un sitio determinado</w:t>
            </w:r>
            <w:r w:rsidR="001B6020" w:rsidRPr="00332C4C">
              <w:rPr>
                <w:sz w:val="20"/>
                <w:szCs w:val="20"/>
              </w:rPr>
              <w:t>, no así para una ruta.</w:t>
            </w:r>
          </w:p>
          <w:p w14:paraId="0CAC8328" w14:textId="77777777" w:rsidR="001B6020" w:rsidRPr="00332C4C" w:rsidRDefault="001B6020" w:rsidP="00332C4C">
            <w:pPr>
              <w:jc w:val="both"/>
              <w:rPr>
                <w:sz w:val="20"/>
                <w:szCs w:val="20"/>
              </w:rPr>
            </w:pPr>
          </w:p>
          <w:p w14:paraId="369117C3" w14:textId="1053C077" w:rsidR="001B6020" w:rsidRPr="00332C4C" w:rsidRDefault="001B6020" w:rsidP="00332C4C">
            <w:pPr>
              <w:jc w:val="both"/>
              <w:rPr>
                <w:sz w:val="20"/>
                <w:szCs w:val="20"/>
              </w:rPr>
            </w:pPr>
            <w:r w:rsidRPr="00332C4C">
              <w:rPr>
                <w:sz w:val="20"/>
                <w:szCs w:val="20"/>
              </w:rPr>
              <w:t xml:space="preserve">Asimismo, en el Registro Estatal de Transporte Público del Estado de México, solo se inscriben las autorizaciones de acuerdo con el artículo 50 fracción V de la Ley de Movilidad; cumpliendo con lo dispuesto por el CAPITULO IV DE LAS AUTORIZACIONES en sus artículos 50, 51 y 52 del Reglamento del Transporte Público y Servicios Conexos del Estado de México, por lo que este Sujeto Obligado no cuenta con información al respecto, por no ser una facultada inscribir los paraderos, además de que no existen en la modalidad de RUTA como se ha demostrado en este informe. </w:t>
            </w:r>
          </w:p>
        </w:tc>
      </w:tr>
      <w:tr w:rsidR="00D67A40" w:rsidRPr="00332C4C" w14:paraId="50D94393" w14:textId="77777777" w:rsidTr="00BC0395">
        <w:tc>
          <w:tcPr>
            <w:tcW w:w="3539" w:type="dxa"/>
          </w:tcPr>
          <w:p w14:paraId="565505A4" w14:textId="427272E1" w:rsidR="00D67A40" w:rsidRPr="00332C4C" w:rsidRDefault="001B6020" w:rsidP="00332C4C">
            <w:pPr>
              <w:jc w:val="both"/>
              <w:rPr>
                <w:sz w:val="20"/>
                <w:szCs w:val="20"/>
              </w:rPr>
            </w:pPr>
            <w:r w:rsidRPr="00332C4C">
              <w:rPr>
                <w:sz w:val="20"/>
                <w:szCs w:val="20"/>
              </w:rPr>
              <w:t>5. Programa Estatal de Movilidad en el cual se autorizó la ruta 18 ramal que corre de Jesús del Monte al Metro Cuatro Caminos.</w:t>
            </w:r>
          </w:p>
        </w:tc>
        <w:tc>
          <w:tcPr>
            <w:tcW w:w="5289" w:type="dxa"/>
          </w:tcPr>
          <w:p w14:paraId="16C64F34" w14:textId="06AFD2B9" w:rsidR="00D67A40" w:rsidRPr="00332C4C" w:rsidRDefault="007547E2" w:rsidP="00332C4C">
            <w:pPr>
              <w:jc w:val="both"/>
              <w:rPr>
                <w:sz w:val="20"/>
                <w:szCs w:val="20"/>
              </w:rPr>
            </w:pPr>
            <w:r w:rsidRPr="00332C4C">
              <w:rPr>
                <w:sz w:val="20"/>
                <w:szCs w:val="20"/>
              </w:rPr>
              <w:t>No existe algún Programa Estatal de Movilidad para el otorgamiento de autorización, sino bien los concesionarios deben cumplir con lo dispuesto en la normatividad ya descrita en este ocurso para ser concesionarios y tener sus autorizaciones correspondientes como un accesorio.</w:t>
            </w:r>
          </w:p>
        </w:tc>
      </w:tr>
      <w:tr w:rsidR="00D67A40" w:rsidRPr="00332C4C" w14:paraId="52E6C3B5" w14:textId="77777777" w:rsidTr="00BC0395">
        <w:tc>
          <w:tcPr>
            <w:tcW w:w="3539" w:type="dxa"/>
          </w:tcPr>
          <w:p w14:paraId="3A023565" w14:textId="38D96CC2" w:rsidR="00D67A40" w:rsidRPr="00332C4C" w:rsidRDefault="007547E2" w:rsidP="00332C4C">
            <w:pPr>
              <w:jc w:val="both"/>
              <w:rPr>
                <w:sz w:val="20"/>
                <w:szCs w:val="20"/>
              </w:rPr>
            </w:pPr>
            <w:r w:rsidRPr="00332C4C">
              <w:rPr>
                <w:sz w:val="20"/>
                <w:szCs w:val="20"/>
              </w:rPr>
              <w:t>7. Publicación en la gaceta mediante la cual se autorizó el Paradero ruta 18 ramal que corre de Jesús del Monte al Metro Cuatro Caminos.</w:t>
            </w:r>
          </w:p>
        </w:tc>
        <w:tc>
          <w:tcPr>
            <w:tcW w:w="5289" w:type="dxa"/>
          </w:tcPr>
          <w:p w14:paraId="01C7391D" w14:textId="3004D9A3" w:rsidR="00D67A40" w:rsidRPr="00332C4C" w:rsidRDefault="007547E2" w:rsidP="00332C4C">
            <w:pPr>
              <w:tabs>
                <w:tab w:val="left" w:pos="1456"/>
              </w:tabs>
              <w:jc w:val="both"/>
              <w:rPr>
                <w:sz w:val="20"/>
                <w:szCs w:val="20"/>
              </w:rPr>
            </w:pPr>
            <w:r w:rsidRPr="00332C4C">
              <w:rPr>
                <w:sz w:val="20"/>
                <w:szCs w:val="20"/>
              </w:rPr>
              <w:t xml:space="preserve">Como ya se describió en el numeral 4 del presente informe, no existen paraderos autorizados ya que la “Ruta” se define como: “Dirección de un viaje con origen y destino determinados”, y los “PARADEROS”, solo se denominan en las lanzaderas autorizadas como paraderos momentáneos relacionados con un sitio determinado en la modalidad de Individual en automóvil de alquiler de sitio, y no así para una RUTA como se describe en lo señalado en el artículo 65 del Reglamento del Transporte </w:t>
            </w:r>
            <w:r w:rsidRPr="00332C4C">
              <w:rPr>
                <w:sz w:val="20"/>
                <w:szCs w:val="20"/>
              </w:rPr>
              <w:lastRenderedPageBreak/>
              <w:t>Público y Servicios Conexos …“Derrotero: Itinerario que ha de seguir la ruta desde su origen hasta su destino y viceversa” y “Ruta: Dirección de un viaje con origen y destino determinados”…, lo que se puede demostrar que estos están concatenados para la modalidad de Colectivo; sumado a ello, se informa que las Autorizaciones de Derroteros, Bases, Lanzaderas y Sitios, no se publican mediante alguna Gaceta del Gobierno, ni en ningún otro medio, solo se recibe por la parte interesada y se deberán inscribir en el Registro Estatal de Transporte Público del Estado de México, de conformidad con el artículo 50 fracción V de la Ley de Movilidad.</w:t>
            </w:r>
          </w:p>
        </w:tc>
      </w:tr>
      <w:tr w:rsidR="00D67A40" w:rsidRPr="00332C4C" w14:paraId="6F201841" w14:textId="77777777" w:rsidTr="00BC0395">
        <w:tc>
          <w:tcPr>
            <w:tcW w:w="3539" w:type="dxa"/>
          </w:tcPr>
          <w:p w14:paraId="79EEDD1B" w14:textId="0C0E6B6C" w:rsidR="00D67A40" w:rsidRPr="00332C4C" w:rsidRDefault="007547E2" w:rsidP="00332C4C">
            <w:pPr>
              <w:jc w:val="both"/>
              <w:rPr>
                <w:sz w:val="20"/>
                <w:szCs w:val="20"/>
              </w:rPr>
            </w:pPr>
            <w:r w:rsidRPr="00332C4C">
              <w:rPr>
                <w:sz w:val="20"/>
                <w:szCs w:val="20"/>
              </w:rPr>
              <w:lastRenderedPageBreak/>
              <w:t>8. Licitación en la cual se especificaron las bases para la ocupación y uso de la ruta 18 ramal que corre de Jesús del Monte al Metro Cuatro Caminos.</w:t>
            </w:r>
          </w:p>
        </w:tc>
        <w:tc>
          <w:tcPr>
            <w:tcW w:w="5289" w:type="dxa"/>
          </w:tcPr>
          <w:p w14:paraId="5BA54A4B" w14:textId="5AA80E0C" w:rsidR="00D67A40" w:rsidRPr="00332C4C" w:rsidRDefault="007547E2" w:rsidP="00332C4C">
            <w:pPr>
              <w:jc w:val="both"/>
              <w:rPr>
                <w:sz w:val="20"/>
                <w:szCs w:val="20"/>
              </w:rPr>
            </w:pPr>
            <w:r w:rsidRPr="00332C4C">
              <w:rPr>
                <w:sz w:val="20"/>
                <w:szCs w:val="20"/>
              </w:rPr>
              <w:t>Como se describe en los numerales 4 y 8 la definición de las “RUTA” es Dirección de un viaje con origen y destino determinados; cabe señalar que una Autorización de Derroteros, es donde se determina la Ruta (origen – destino) son complementarias de las concesiones y permisos, formarán parte de los mismos, sólo se expedirán por la misma autoridad que los hubiere otorgado y se inscribirán o anotarán en el Registro relacionándolas con la concesión o permiso que complementen, de conformidad a lo dispuesto por el artículo 50 del Reglamento del Transporte Público y Servicios Conexos del Estado de México, por tal razón que las “RUTAS” que se determinan en la emisión de la autorización de derrotero, no se realiza a través de ninguna licitación, sino bien, a través de un estudio técnico mediante el cual se analiza la factibilidad del mismo</w:t>
            </w:r>
            <w:r w:rsidRPr="00332C4C">
              <w:t>.</w:t>
            </w:r>
          </w:p>
        </w:tc>
      </w:tr>
      <w:tr w:rsidR="006D23E1" w:rsidRPr="00332C4C" w14:paraId="756E043F" w14:textId="77777777" w:rsidTr="00BC0395">
        <w:tc>
          <w:tcPr>
            <w:tcW w:w="3539" w:type="dxa"/>
          </w:tcPr>
          <w:p w14:paraId="067FF087" w14:textId="07C4DB08" w:rsidR="006D23E1" w:rsidRPr="00332C4C" w:rsidRDefault="006D23E1" w:rsidP="00332C4C">
            <w:pPr>
              <w:spacing w:before="120" w:after="120"/>
              <w:ind w:right="51"/>
              <w:jc w:val="both"/>
              <w:rPr>
                <w:rFonts w:eastAsia="Palatino Linotype" w:cs="Palatino Linotype"/>
                <w:lang w:val="es-MX"/>
              </w:rPr>
            </w:pPr>
            <w:r w:rsidRPr="00332C4C">
              <w:rPr>
                <w:rFonts w:eastAsia="Palatino Linotype" w:cs="Palatino Linotype"/>
                <w:sz w:val="20"/>
                <w:szCs w:val="20"/>
                <w:lang w:val="es-MX"/>
              </w:rPr>
              <w:t xml:space="preserve">9. Publicación mediante la cual se otorgó la concesión a la asociación que actualmente es titular de la ruta 18 ramal que corre de Jesús del Monte al Metro Cuatro Caminos. </w:t>
            </w:r>
          </w:p>
        </w:tc>
        <w:tc>
          <w:tcPr>
            <w:tcW w:w="5289" w:type="dxa"/>
          </w:tcPr>
          <w:p w14:paraId="6212C3F3" w14:textId="1F7EBA22" w:rsidR="006D23E1" w:rsidRPr="00332C4C" w:rsidRDefault="006D23E1" w:rsidP="00332C4C">
            <w:pPr>
              <w:jc w:val="both"/>
              <w:rPr>
                <w:sz w:val="20"/>
                <w:szCs w:val="20"/>
              </w:rPr>
            </w:pPr>
            <w:r w:rsidRPr="00332C4C">
              <w:rPr>
                <w:sz w:val="20"/>
                <w:szCs w:val="20"/>
              </w:rPr>
              <w:t>El otorgamiento de concesiones para la prestación del transporte público en cualquier modalidad que señala el</w:t>
            </w:r>
          </w:p>
          <w:p w14:paraId="753B0CFC" w14:textId="1A2A41CA" w:rsidR="006D23E1" w:rsidRPr="00332C4C" w:rsidRDefault="006D23E1" w:rsidP="00332C4C">
            <w:pPr>
              <w:jc w:val="both"/>
              <w:rPr>
                <w:sz w:val="20"/>
                <w:szCs w:val="20"/>
              </w:rPr>
            </w:pPr>
            <w:r w:rsidRPr="00332C4C">
              <w:rPr>
                <w:sz w:val="20"/>
                <w:szCs w:val="20"/>
              </w:rPr>
              <w:t>Reglamento del Transporte Público y Servicios Conexos del Estado de México, no se pública  mediante algún medio, sino bien una vez que se cumple con lo dispuesto para el otorgamiento y materialización de las concesiones de conformidad con los artículos 17, 18, 19, 20, 21, 22, 23 y 24 del Reglamento del Transporte Público y Servicios Conexos del Estado de México.</w:t>
            </w:r>
          </w:p>
        </w:tc>
      </w:tr>
    </w:tbl>
    <w:p w14:paraId="5FC498E8" w14:textId="77777777" w:rsidR="00580459" w:rsidRPr="00332C4C" w:rsidRDefault="00580459" w:rsidP="00332C4C">
      <w:pPr>
        <w:spacing w:before="240" w:after="240" w:line="360" w:lineRule="auto"/>
        <w:jc w:val="both"/>
      </w:pPr>
      <w:bookmarkStart w:id="11" w:name="_Hlk96449863"/>
      <w:r w:rsidRPr="00332C4C">
        <w:lastRenderedPageBreak/>
        <w:t>Dicha información que se hizo del conocimiento del solicitante en observancia del artículo 185 fracción III</w:t>
      </w:r>
      <w:r w:rsidRPr="00332C4C">
        <w:rPr>
          <w:rStyle w:val="Refdenotaalpie"/>
        </w:rPr>
        <w:footnoteReference w:id="2"/>
      </w:r>
      <w:r w:rsidRPr="00332C4C">
        <w:t xml:space="preserve"> de la Ley de Transparencia y Acceso a la Información Pública del Estado de México y Municipios, sin que emitiera manifestación alguna hasta el momento de determinar el cierre de instrucción.</w:t>
      </w:r>
    </w:p>
    <w:p w14:paraId="0264FC8F" w14:textId="077E6DB6" w:rsidR="00EE68C6" w:rsidRPr="00332C4C" w:rsidRDefault="00852C75" w:rsidP="00332C4C">
      <w:pPr>
        <w:autoSpaceDE w:val="0"/>
        <w:autoSpaceDN w:val="0"/>
        <w:adjustRightInd w:val="0"/>
        <w:spacing w:before="240" w:after="240" w:line="360" w:lineRule="auto"/>
        <w:ind w:right="51"/>
        <w:jc w:val="both"/>
        <w:rPr>
          <w:szCs w:val="20"/>
        </w:rPr>
      </w:pPr>
      <w:r w:rsidRPr="00332C4C">
        <w:rPr>
          <w:szCs w:val="20"/>
        </w:rPr>
        <w:t xml:space="preserve">En este tenor es de mencionar que </w:t>
      </w:r>
      <w:r w:rsidR="00EE68C6" w:rsidRPr="00332C4C">
        <w:rPr>
          <w:szCs w:val="20"/>
        </w:rPr>
        <w:t xml:space="preserve">la Secretaría de Movilidad, </w:t>
      </w:r>
      <w:r w:rsidRPr="00332C4C">
        <w:rPr>
          <w:szCs w:val="20"/>
        </w:rPr>
        <w:t xml:space="preserve">es </w:t>
      </w:r>
      <w:r w:rsidR="00EE68C6" w:rsidRPr="00332C4C">
        <w:rPr>
          <w:szCs w:val="20"/>
        </w:rPr>
        <w:t xml:space="preserve">dependencia encargada de planear, formular, dirigir, coordinar, gestionar, evaluar, ejecutar y supervisar las políticas, programas, proyectos y estudios para el desarrollo del sistema integral de movilidad, incluyendo el servicio público de transporte de jurisdicción estatal y de sus servicios conexos, para lo cual entre sus atribuciones, cuenta con la de </w:t>
      </w:r>
      <w:bookmarkStart w:id="12" w:name="_Hlk96942250"/>
      <w:r w:rsidR="00EE68C6" w:rsidRPr="00332C4C">
        <w:rPr>
          <w:szCs w:val="20"/>
        </w:rPr>
        <w:t xml:space="preserve">autorizar y modificar en todo tiempo rutas, tarifas, itinerarios, horarios, frecuencias, así como ordenar el cambio de bases, paraderos y terminales, y señalar </w:t>
      </w:r>
      <w:bookmarkEnd w:id="12"/>
      <w:r w:rsidR="00EE68C6" w:rsidRPr="00332C4C">
        <w:rPr>
          <w:szCs w:val="20"/>
        </w:rPr>
        <w:t>la forma de identificación de los vehículos afectos al servicio público de transporte, como se lee en los artículos 7.25 del Código Administrativo del Estado de México,  32</w:t>
      </w:r>
      <w:r w:rsidR="00D41C0E" w:rsidRPr="00332C4C">
        <w:rPr>
          <w:szCs w:val="20"/>
        </w:rPr>
        <w:t xml:space="preserve"> </w:t>
      </w:r>
      <w:r w:rsidR="00EE68C6" w:rsidRPr="00332C4C">
        <w:rPr>
          <w:szCs w:val="20"/>
        </w:rPr>
        <w:t>fracción X</w:t>
      </w:r>
      <w:r w:rsidR="00D41C0E" w:rsidRPr="00332C4C">
        <w:rPr>
          <w:szCs w:val="20"/>
        </w:rPr>
        <w:t>XVIII</w:t>
      </w:r>
      <w:r w:rsidR="00EE68C6" w:rsidRPr="00332C4C">
        <w:rPr>
          <w:szCs w:val="20"/>
        </w:rPr>
        <w:t xml:space="preserve"> de la Ley Orgánica de la Administración Pública del Estado de México y 67 párrafo primero del Reglamento del Transporte público y Servicios Conexos del Estado de México, que son del tenor literal siguiente:</w:t>
      </w:r>
    </w:p>
    <w:p w14:paraId="3FBF6E7C" w14:textId="596D0B0E" w:rsidR="00EE68C6" w:rsidRPr="00332C4C" w:rsidRDefault="00EE68C6" w:rsidP="00332C4C">
      <w:pPr>
        <w:autoSpaceDE w:val="0"/>
        <w:autoSpaceDN w:val="0"/>
        <w:adjustRightInd w:val="0"/>
        <w:spacing w:before="120" w:after="120"/>
        <w:ind w:left="851" w:right="902"/>
        <w:jc w:val="both"/>
        <w:rPr>
          <w:i/>
          <w:sz w:val="22"/>
          <w:szCs w:val="20"/>
        </w:rPr>
      </w:pPr>
      <w:r w:rsidRPr="00332C4C">
        <w:rPr>
          <w:i/>
          <w:sz w:val="22"/>
          <w:szCs w:val="20"/>
        </w:rPr>
        <w:t>“</w:t>
      </w:r>
      <w:r w:rsidRPr="00332C4C">
        <w:rPr>
          <w:b/>
          <w:i/>
          <w:sz w:val="22"/>
          <w:szCs w:val="20"/>
        </w:rPr>
        <w:t>Artículo 7.25</w:t>
      </w:r>
      <w:r w:rsidRPr="00332C4C">
        <w:rPr>
          <w:i/>
          <w:sz w:val="22"/>
          <w:szCs w:val="20"/>
        </w:rPr>
        <w:t>. La Secretaría de Movilidad podrá autorizar y modificar en todo tiempo rutas, tarifas, itinerarios, horarios, frecuencias, así como ordenar el cambio de bases, paraderos y terminales, y</w:t>
      </w:r>
      <w:r w:rsidR="00D41C0E" w:rsidRPr="00332C4C">
        <w:rPr>
          <w:i/>
          <w:sz w:val="22"/>
          <w:szCs w:val="20"/>
        </w:rPr>
        <w:t xml:space="preserve"> </w:t>
      </w:r>
      <w:r w:rsidRPr="00332C4C">
        <w:rPr>
          <w:i/>
          <w:sz w:val="22"/>
          <w:szCs w:val="20"/>
        </w:rPr>
        <w:t>señalar la forma de identificación de los vehículos, siempre en atención a la satisfactoria prestación</w:t>
      </w:r>
      <w:r w:rsidR="00D41C0E" w:rsidRPr="00332C4C">
        <w:rPr>
          <w:i/>
          <w:sz w:val="22"/>
          <w:szCs w:val="20"/>
        </w:rPr>
        <w:t xml:space="preserve"> </w:t>
      </w:r>
      <w:r w:rsidRPr="00332C4C">
        <w:rPr>
          <w:i/>
          <w:sz w:val="22"/>
          <w:szCs w:val="20"/>
        </w:rPr>
        <w:t>del servicio y a las necesidades públicas</w:t>
      </w:r>
      <w:proofErr w:type="gramStart"/>
      <w:r w:rsidRPr="00332C4C">
        <w:rPr>
          <w:i/>
          <w:sz w:val="22"/>
          <w:szCs w:val="20"/>
        </w:rPr>
        <w:t>..”</w:t>
      </w:r>
      <w:proofErr w:type="gramEnd"/>
    </w:p>
    <w:p w14:paraId="117740E7" w14:textId="5A8C6391" w:rsidR="00EE68C6" w:rsidRPr="00332C4C" w:rsidRDefault="00EE68C6" w:rsidP="00332C4C">
      <w:pPr>
        <w:autoSpaceDE w:val="0"/>
        <w:autoSpaceDN w:val="0"/>
        <w:adjustRightInd w:val="0"/>
        <w:spacing w:before="120" w:after="120"/>
        <w:ind w:left="851" w:right="902"/>
        <w:jc w:val="both"/>
        <w:rPr>
          <w:i/>
          <w:sz w:val="22"/>
          <w:szCs w:val="20"/>
        </w:rPr>
      </w:pPr>
      <w:r w:rsidRPr="00332C4C">
        <w:rPr>
          <w:i/>
          <w:sz w:val="22"/>
          <w:szCs w:val="20"/>
        </w:rPr>
        <w:t>“</w:t>
      </w:r>
      <w:r w:rsidRPr="00332C4C">
        <w:rPr>
          <w:b/>
          <w:i/>
          <w:sz w:val="22"/>
          <w:szCs w:val="20"/>
        </w:rPr>
        <w:t>Artículo 32</w:t>
      </w:r>
      <w:r w:rsidRPr="00332C4C">
        <w:rPr>
          <w:i/>
          <w:sz w:val="22"/>
          <w:szCs w:val="20"/>
        </w:rPr>
        <w:t xml:space="preserve">.- La Secretaría de Movilidad es la dependencia encargada de planear, formular, dirigir, coordinar, gestionar, evaluar, ejecutar y supervisar las políticas, programas, proyectos y estudios para el desarrollo del sistema integral </w:t>
      </w:r>
      <w:r w:rsidRPr="00332C4C">
        <w:rPr>
          <w:i/>
          <w:sz w:val="22"/>
          <w:szCs w:val="20"/>
        </w:rPr>
        <w:lastRenderedPageBreak/>
        <w:t>de movilidad, incluyendo el servicio público de transporte de jurisdicción estatal y de sus servicios conexos.</w:t>
      </w:r>
    </w:p>
    <w:p w14:paraId="27018D59" w14:textId="77777777" w:rsidR="00EE68C6" w:rsidRPr="00332C4C" w:rsidRDefault="00EE68C6" w:rsidP="00332C4C">
      <w:pPr>
        <w:autoSpaceDE w:val="0"/>
        <w:autoSpaceDN w:val="0"/>
        <w:adjustRightInd w:val="0"/>
        <w:spacing w:before="120" w:after="120"/>
        <w:ind w:left="1134" w:right="902"/>
        <w:jc w:val="both"/>
        <w:rPr>
          <w:i/>
          <w:sz w:val="22"/>
          <w:szCs w:val="20"/>
        </w:rPr>
      </w:pPr>
      <w:r w:rsidRPr="00332C4C">
        <w:rPr>
          <w:i/>
          <w:sz w:val="22"/>
          <w:szCs w:val="20"/>
        </w:rPr>
        <w:t>…</w:t>
      </w:r>
      <w:r w:rsidRPr="00332C4C">
        <w:rPr>
          <w:i/>
          <w:sz w:val="22"/>
          <w:szCs w:val="20"/>
        </w:rPr>
        <w:tab/>
      </w:r>
    </w:p>
    <w:p w14:paraId="0198685A" w14:textId="6D76DF62" w:rsidR="00EE68C6" w:rsidRPr="00332C4C" w:rsidRDefault="00EE68C6" w:rsidP="00332C4C">
      <w:pPr>
        <w:autoSpaceDE w:val="0"/>
        <w:autoSpaceDN w:val="0"/>
        <w:adjustRightInd w:val="0"/>
        <w:spacing w:before="120" w:after="120"/>
        <w:ind w:left="1134" w:right="902"/>
        <w:jc w:val="both"/>
        <w:rPr>
          <w:i/>
          <w:sz w:val="22"/>
          <w:szCs w:val="20"/>
        </w:rPr>
      </w:pPr>
      <w:r w:rsidRPr="00332C4C">
        <w:rPr>
          <w:b/>
          <w:i/>
          <w:sz w:val="22"/>
          <w:szCs w:val="20"/>
        </w:rPr>
        <w:t>XXVIII.</w:t>
      </w:r>
      <w:r w:rsidRPr="00332C4C">
        <w:rPr>
          <w:i/>
          <w:sz w:val="22"/>
          <w:szCs w:val="20"/>
        </w:rPr>
        <w:t xml:space="preserve"> Autorizar y modificar en todo tiempo rutas, itinerarios, horarios, frecuencias, así como bases, paraderos y terminales del servicio público de transporte, y señalar la forma de identificación de los vehículos afectos al servicio público de transporte;”</w:t>
      </w:r>
    </w:p>
    <w:p w14:paraId="4E10A029" w14:textId="6DCD8F71" w:rsidR="00D51563" w:rsidRPr="00332C4C" w:rsidRDefault="00EE68C6" w:rsidP="00332C4C">
      <w:pPr>
        <w:autoSpaceDE w:val="0"/>
        <w:autoSpaceDN w:val="0"/>
        <w:adjustRightInd w:val="0"/>
        <w:spacing w:before="120" w:after="120"/>
        <w:ind w:left="851" w:right="902"/>
        <w:jc w:val="both"/>
        <w:rPr>
          <w:i/>
          <w:sz w:val="22"/>
          <w:szCs w:val="20"/>
        </w:rPr>
      </w:pPr>
      <w:r w:rsidRPr="00332C4C">
        <w:rPr>
          <w:i/>
          <w:sz w:val="22"/>
          <w:szCs w:val="20"/>
        </w:rPr>
        <w:t>“</w:t>
      </w:r>
      <w:r w:rsidRPr="00332C4C">
        <w:rPr>
          <w:b/>
          <w:i/>
          <w:sz w:val="22"/>
          <w:szCs w:val="20"/>
        </w:rPr>
        <w:t>ARTICULO 67.-</w:t>
      </w:r>
      <w:r w:rsidR="00D51563" w:rsidRPr="00332C4C">
        <w:rPr>
          <w:i/>
          <w:sz w:val="22"/>
          <w:szCs w:val="20"/>
        </w:rPr>
        <w:t xml:space="preserve"> La autoridad de transporte con base en estudios técnicos y de acuerdo a la necesidad pública, en cualquier tiempo podrá crear, modificar, enlazar o suprimir las rutas, así como modificar las frecuencias y horarios, ordenar el cambio o supresión de bases y paraderos y señalar la forma de identificación de los vehículos afectos a la prestación del servicio regular en cualquiera de sus modalidades y tipos.</w:t>
      </w:r>
    </w:p>
    <w:p w14:paraId="24F0D970" w14:textId="4CE073AE" w:rsidR="00D51563" w:rsidRPr="00332C4C" w:rsidRDefault="00D51563" w:rsidP="00332C4C">
      <w:pPr>
        <w:autoSpaceDE w:val="0"/>
        <w:autoSpaceDN w:val="0"/>
        <w:adjustRightInd w:val="0"/>
        <w:spacing w:before="120" w:after="120"/>
        <w:ind w:left="851" w:right="902"/>
        <w:jc w:val="both"/>
        <w:rPr>
          <w:i/>
          <w:sz w:val="22"/>
          <w:szCs w:val="20"/>
        </w:rPr>
      </w:pPr>
      <w:r w:rsidRPr="00332C4C">
        <w:rPr>
          <w:i/>
          <w:sz w:val="22"/>
          <w:szCs w:val="20"/>
        </w:rPr>
        <w:t>En todos los casos de modificación de las frecuencias y modificación o supresión de las rutas por la autoridad de transporte, se otorgará previamente garantía de audiencia a los concesionarios o permisionarios que puedan resultar afectados, observándose al respecto las disposiciones del Código de Procedimientos Administrativos del Estado de México.</w:t>
      </w:r>
    </w:p>
    <w:p w14:paraId="5E420664" w14:textId="6CBB2FCF" w:rsidR="00EE68C6" w:rsidRPr="00332C4C" w:rsidRDefault="00D51563" w:rsidP="00332C4C">
      <w:pPr>
        <w:autoSpaceDE w:val="0"/>
        <w:autoSpaceDN w:val="0"/>
        <w:adjustRightInd w:val="0"/>
        <w:spacing w:before="120" w:after="120"/>
        <w:ind w:left="851" w:right="902"/>
        <w:jc w:val="both"/>
        <w:rPr>
          <w:i/>
          <w:sz w:val="22"/>
          <w:szCs w:val="20"/>
        </w:rPr>
      </w:pPr>
      <w:r w:rsidRPr="00332C4C">
        <w:rPr>
          <w:i/>
          <w:sz w:val="22"/>
          <w:szCs w:val="20"/>
        </w:rPr>
        <w:t>En los casos en que la autoridad de transporte decrete la supresión de ruta, será rescatado un número igual de concesiones al asignado para servirla.</w:t>
      </w:r>
      <w:r w:rsidR="00EE68C6" w:rsidRPr="00332C4C">
        <w:rPr>
          <w:i/>
          <w:sz w:val="22"/>
          <w:szCs w:val="20"/>
        </w:rPr>
        <w:t>”</w:t>
      </w:r>
    </w:p>
    <w:p w14:paraId="1D4A8FE9" w14:textId="4E5629D3" w:rsidR="000E1175" w:rsidRPr="00332C4C" w:rsidRDefault="00852C75" w:rsidP="00332C4C">
      <w:pPr>
        <w:spacing w:before="240" w:after="240" w:line="360" w:lineRule="auto"/>
        <w:ind w:right="49"/>
        <w:jc w:val="both"/>
        <w:rPr>
          <w:rFonts w:cs="Arial"/>
          <w:szCs w:val="28"/>
        </w:rPr>
      </w:pPr>
      <w:r w:rsidRPr="00332C4C">
        <w:rPr>
          <w:rFonts w:cs="Arial"/>
          <w:szCs w:val="28"/>
        </w:rPr>
        <w:t xml:space="preserve">En tal contexto, </w:t>
      </w:r>
      <w:r w:rsidR="000E1175" w:rsidRPr="00332C4C">
        <w:rPr>
          <w:rFonts w:cs="Arial"/>
          <w:szCs w:val="28"/>
        </w:rPr>
        <w:t xml:space="preserve">la Titular de la Unidad de Transparencia, en observancia del </w:t>
      </w:r>
      <w:r w:rsidR="000E1175" w:rsidRPr="00332C4C">
        <w:rPr>
          <w:rFonts w:cs="Arial"/>
        </w:rPr>
        <w:t xml:space="preserve">procedimiento previsto en los </w:t>
      </w:r>
      <w:r w:rsidR="000E1175" w:rsidRPr="00332C4C">
        <w:rPr>
          <w:rFonts w:cs="Arial"/>
          <w:szCs w:val="28"/>
        </w:rPr>
        <w:t xml:space="preserve">artículos </w:t>
      </w:r>
      <w:r w:rsidR="000E1175" w:rsidRPr="00332C4C">
        <w:rPr>
          <w:rFonts w:cs="Arial"/>
        </w:rPr>
        <w:t>53 fracciones II y IV</w:t>
      </w:r>
      <w:r w:rsidR="000E1175" w:rsidRPr="00332C4C">
        <w:rPr>
          <w:rStyle w:val="Refdenotaalpie"/>
          <w:rFonts w:cs="Arial"/>
        </w:rPr>
        <w:footnoteReference w:id="3"/>
      </w:r>
      <w:r w:rsidR="000E1175" w:rsidRPr="00332C4C">
        <w:rPr>
          <w:rFonts w:cs="Arial"/>
        </w:rPr>
        <w:t xml:space="preserve"> y 162</w:t>
      </w:r>
      <w:r w:rsidR="000E1175" w:rsidRPr="00332C4C">
        <w:rPr>
          <w:rStyle w:val="Refdenotaalpie"/>
          <w:rFonts w:cs="Arial"/>
        </w:rPr>
        <w:footnoteReference w:id="4"/>
      </w:r>
      <w:r w:rsidR="000E1175" w:rsidRPr="00332C4C">
        <w:rPr>
          <w:rFonts w:cs="Arial"/>
        </w:rPr>
        <w:t xml:space="preserve"> </w:t>
      </w:r>
      <w:r w:rsidR="000E1175" w:rsidRPr="00332C4C">
        <w:rPr>
          <w:rFonts w:cs="Arial"/>
          <w:szCs w:val="28"/>
        </w:rPr>
        <w:t xml:space="preserve">de la </w:t>
      </w:r>
      <w:r w:rsidR="000E1175" w:rsidRPr="00332C4C">
        <w:rPr>
          <w:rFonts w:cs="Arial"/>
          <w:iCs/>
          <w:szCs w:val="28"/>
        </w:rPr>
        <w:t xml:space="preserve">Ley de Transparencia y Acceso a la Información Pública del Estado de México, </w:t>
      </w:r>
      <w:r w:rsidR="000E1175" w:rsidRPr="00332C4C">
        <w:rPr>
          <w:rFonts w:cs="Arial"/>
          <w:szCs w:val="28"/>
        </w:rPr>
        <w:t>turnó la solicitud a los servidores públicos habilitados que pudieran tener la información de mérito de acuerdo a sus funciones, esto es al Subsecretario de Movilidad, al Director General de Movilidad Zona II, y al Director General del Registro Estat</w:t>
      </w:r>
      <w:r w:rsidR="00D663EB" w:rsidRPr="00332C4C">
        <w:rPr>
          <w:rFonts w:cs="Arial"/>
          <w:szCs w:val="28"/>
        </w:rPr>
        <w:t xml:space="preserve">al de </w:t>
      </w:r>
      <w:r w:rsidR="000E1175" w:rsidRPr="00332C4C">
        <w:rPr>
          <w:rFonts w:cs="Arial"/>
          <w:szCs w:val="28"/>
        </w:rPr>
        <w:lastRenderedPageBreak/>
        <w:t>Transporte Público, servidores Públicos que, de conformidad con el Reglamento Interior de la Secretaría de Movilidad, les corresponde</w:t>
      </w:r>
      <w:r w:rsidR="003737DF" w:rsidRPr="00332C4C">
        <w:rPr>
          <w:rFonts w:cs="Arial"/>
          <w:szCs w:val="28"/>
        </w:rPr>
        <w:t>, en su parte conducente, el desempeño de las siguientes atribuciones:</w:t>
      </w:r>
    </w:p>
    <w:p w14:paraId="507FA127" w14:textId="77777777" w:rsidR="000E1175" w:rsidRPr="00332C4C" w:rsidRDefault="000E1175" w:rsidP="00332C4C">
      <w:pPr>
        <w:spacing w:before="120" w:after="120"/>
        <w:ind w:left="851" w:right="902"/>
        <w:jc w:val="both"/>
        <w:rPr>
          <w:i/>
          <w:iCs/>
          <w:sz w:val="22"/>
          <w:szCs w:val="22"/>
        </w:rPr>
      </w:pPr>
      <w:r w:rsidRPr="00332C4C">
        <w:rPr>
          <w:rFonts w:cs="Arial"/>
          <w:i/>
          <w:iCs/>
          <w:sz w:val="22"/>
          <w:szCs w:val="22"/>
        </w:rPr>
        <w:t>“</w:t>
      </w:r>
      <w:r w:rsidRPr="00332C4C">
        <w:rPr>
          <w:b/>
          <w:bCs/>
          <w:i/>
          <w:iCs/>
          <w:sz w:val="22"/>
          <w:szCs w:val="22"/>
        </w:rPr>
        <w:t>Artículo 11</w:t>
      </w:r>
      <w:r w:rsidRPr="00332C4C">
        <w:rPr>
          <w:i/>
          <w:iCs/>
          <w:sz w:val="22"/>
          <w:szCs w:val="22"/>
        </w:rPr>
        <w:t xml:space="preserve">. A la </w:t>
      </w:r>
      <w:r w:rsidRPr="00332C4C">
        <w:rPr>
          <w:b/>
          <w:bCs/>
          <w:i/>
          <w:iCs/>
          <w:sz w:val="22"/>
          <w:szCs w:val="22"/>
        </w:rPr>
        <w:t>Subsecretaría</w:t>
      </w:r>
      <w:r w:rsidRPr="00332C4C">
        <w:rPr>
          <w:i/>
          <w:iCs/>
          <w:sz w:val="22"/>
          <w:szCs w:val="22"/>
        </w:rPr>
        <w:t xml:space="preserve"> le corresponde planear, coordinar, dirigir, controlar y evaluar la operatividad del servicio de transporte público y mixto en el Estado, con apego a las leyes, reglamentos y demás ordenamientos aplicables.</w:t>
      </w:r>
    </w:p>
    <w:p w14:paraId="4B564842" w14:textId="77777777" w:rsidR="000E1175" w:rsidRPr="00332C4C" w:rsidRDefault="000E1175" w:rsidP="00332C4C">
      <w:pPr>
        <w:spacing w:before="120" w:after="120"/>
        <w:ind w:left="851" w:right="902"/>
        <w:jc w:val="both"/>
        <w:rPr>
          <w:i/>
          <w:iCs/>
          <w:sz w:val="22"/>
          <w:szCs w:val="22"/>
        </w:rPr>
      </w:pPr>
      <w:r w:rsidRPr="00332C4C">
        <w:rPr>
          <w:i/>
          <w:iCs/>
          <w:sz w:val="22"/>
          <w:szCs w:val="22"/>
        </w:rPr>
        <w:t>...</w:t>
      </w:r>
    </w:p>
    <w:p w14:paraId="481EE5D1" w14:textId="3178DC1C" w:rsidR="000E1175" w:rsidRPr="00332C4C" w:rsidRDefault="000E1175" w:rsidP="00332C4C">
      <w:pPr>
        <w:spacing w:before="120" w:after="120"/>
        <w:ind w:left="851" w:right="902"/>
        <w:jc w:val="both"/>
        <w:rPr>
          <w:i/>
          <w:iCs/>
          <w:sz w:val="22"/>
          <w:szCs w:val="22"/>
        </w:rPr>
      </w:pPr>
      <w:r w:rsidRPr="00332C4C">
        <w:rPr>
          <w:b/>
          <w:bCs/>
          <w:i/>
          <w:iCs/>
          <w:sz w:val="22"/>
          <w:szCs w:val="22"/>
        </w:rPr>
        <w:t>Artículo 1</w:t>
      </w:r>
      <w:r w:rsidR="00580459" w:rsidRPr="00332C4C">
        <w:rPr>
          <w:b/>
          <w:bCs/>
          <w:i/>
          <w:iCs/>
          <w:sz w:val="22"/>
          <w:szCs w:val="22"/>
        </w:rPr>
        <w:t>3</w:t>
      </w:r>
      <w:r w:rsidRPr="00332C4C">
        <w:rPr>
          <w:i/>
          <w:iCs/>
          <w:sz w:val="22"/>
          <w:szCs w:val="22"/>
        </w:rPr>
        <w:t xml:space="preserve">. Corresponden a las </w:t>
      </w:r>
      <w:r w:rsidRPr="00332C4C">
        <w:rPr>
          <w:b/>
          <w:bCs/>
          <w:i/>
          <w:iCs/>
          <w:sz w:val="22"/>
          <w:szCs w:val="22"/>
        </w:rPr>
        <w:t>direcciones generales de movilidad</w:t>
      </w:r>
      <w:r w:rsidRPr="00332C4C">
        <w:rPr>
          <w:i/>
          <w:iCs/>
          <w:sz w:val="22"/>
          <w:szCs w:val="22"/>
        </w:rPr>
        <w:t>, en su respectiva circunscripción territorial, las atribuciones siguientes:</w:t>
      </w:r>
    </w:p>
    <w:p w14:paraId="51B14AF9" w14:textId="77777777" w:rsidR="000E1175" w:rsidRPr="00332C4C" w:rsidRDefault="000E1175" w:rsidP="00332C4C">
      <w:pPr>
        <w:spacing w:before="120" w:after="120"/>
        <w:ind w:left="1134" w:right="902"/>
        <w:jc w:val="both"/>
        <w:rPr>
          <w:i/>
          <w:iCs/>
          <w:sz w:val="22"/>
          <w:szCs w:val="22"/>
        </w:rPr>
      </w:pPr>
      <w:r w:rsidRPr="00332C4C">
        <w:rPr>
          <w:i/>
          <w:iCs/>
          <w:sz w:val="22"/>
          <w:szCs w:val="22"/>
        </w:rPr>
        <w:t>...</w:t>
      </w:r>
    </w:p>
    <w:p w14:paraId="199600AF" w14:textId="218A4C94" w:rsidR="000E1175" w:rsidRPr="00332C4C" w:rsidRDefault="000E1175" w:rsidP="00332C4C">
      <w:pPr>
        <w:spacing w:before="120" w:after="120"/>
        <w:ind w:left="1134" w:right="902"/>
        <w:jc w:val="both"/>
        <w:rPr>
          <w:i/>
          <w:iCs/>
          <w:sz w:val="22"/>
          <w:szCs w:val="22"/>
        </w:rPr>
      </w:pPr>
      <w:r w:rsidRPr="00332C4C">
        <w:rPr>
          <w:b/>
          <w:bCs/>
          <w:i/>
          <w:iCs/>
          <w:sz w:val="22"/>
          <w:szCs w:val="22"/>
        </w:rPr>
        <w:t>IV</w:t>
      </w:r>
      <w:r w:rsidRPr="00332C4C">
        <w:rPr>
          <w:i/>
          <w:iCs/>
          <w:sz w:val="22"/>
          <w:szCs w:val="22"/>
        </w:rPr>
        <w:t xml:space="preserve">. </w:t>
      </w:r>
      <w:r w:rsidRPr="00332C4C">
        <w:rPr>
          <w:b/>
          <w:bCs/>
          <w:i/>
          <w:iCs/>
          <w:sz w:val="22"/>
          <w:szCs w:val="22"/>
        </w:rPr>
        <w:t>Atende</w:t>
      </w:r>
      <w:r w:rsidRPr="00332C4C">
        <w:rPr>
          <w:i/>
          <w:iCs/>
          <w:sz w:val="22"/>
          <w:szCs w:val="22"/>
        </w:rPr>
        <w:t>r, previo acuerdo de</w:t>
      </w:r>
      <w:r w:rsidR="00580459" w:rsidRPr="00332C4C">
        <w:rPr>
          <w:i/>
          <w:iCs/>
          <w:sz w:val="22"/>
          <w:szCs w:val="22"/>
        </w:rPr>
        <w:t xml:space="preserve"> a la persona titular de la Subsecretaría</w:t>
      </w:r>
      <w:r w:rsidRPr="00332C4C">
        <w:rPr>
          <w:i/>
          <w:iCs/>
          <w:sz w:val="22"/>
          <w:szCs w:val="22"/>
        </w:rPr>
        <w:t xml:space="preserve"> las </w:t>
      </w:r>
      <w:r w:rsidRPr="00332C4C">
        <w:rPr>
          <w:b/>
          <w:bCs/>
          <w:i/>
          <w:iCs/>
          <w:sz w:val="22"/>
          <w:szCs w:val="22"/>
        </w:rPr>
        <w:t xml:space="preserve">solicitudes para los alargamientos, </w:t>
      </w:r>
      <w:r w:rsidRPr="00332C4C">
        <w:rPr>
          <w:b/>
          <w:bCs/>
          <w:i/>
          <w:iCs/>
          <w:sz w:val="22"/>
          <w:szCs w:val="22"/>
          <w:u w:val="single"/>
        </w:rPr>
        <w:t>derrotero</w:t>
      </w:r>
      <w:r w:rsidRPr="00332C4C">
        <w:rPr>
          <w:b/>
          <w:bCs/>
          <w:i/>
          <w:iCs/>
          <w:sz w:val="22"/>
          <w:szCs w:val="22"/>
        </w:rPr>
        <w:t xml:space="preserve">s, enlace, enrolamiento, bases, paraderos, frecuencia, </w:t>
      </w:r>
      <w:r w:rsidRPr="00332C4C">
        <w:rPr>
          <w:b/>
          <w:bCs/>
          <w:i/>
          <w:iCs/>
          <w:sz w:val="22"/>
          <w:szCs w:val="22"/>
          <w:u w:val="single"/>
        </w:rPr>
        <w:t>rutas</w:t>
      </w:r>
      <w:r w:rsidRPr="00332C4C">
        <w:rPr>
          <w:b/>
          <w:bCs/>
          <w:i/>
          <w:iCs/>
          <w:sz w:val="22"/>
          <w:szCs w:val="22"/>
        </w:rPr>
        <w:t xml:space="preserve"> y horarios para la operación de los servicios de transporte en la Entidad,</w:t>
      </w:r>
      <w:r w:rsidRPr="00332C4C">
        <w:rPr>
          <w:i/>
          <w:iCs/>
          <w:sz w:val="22"/>
          <w:szCs w:val="22"/>
        </w:rPr>
        <w:t xml:space="preserve"> de acuerdo con los estudios técnicos y con la necesidad pública existente, para proceder a resolverlas.</w:t>
      </w:r>
    </w:p>
    <w:p w14:paraId="2AA50554" w14:textId="77777777" w:rsidR="000E1175" w:rsidRPr="00332C4C" w:rsidRDefault="000E1175" w:rsidP="00332C4C">
      <w:pPr>
        <w:spacing w:before="120" w:after="120"/>
        <w:ind w:left="1134" w:right="902"/>
        <w:jc w:val="both"/>
        <w:rPr>
          <w:i/>
          <w:iCs/>
          <w:sz w:val="22"/>
          <w:szCs w:val="22"/>
        </w:rPr>
      </w:pPr>
      <w:r w:rsidRPr="00332C4C">
        <w:rPr>
          <w:i/>
          <w:iCs/>
          <w:sz w:val="22"/>
          <w:szCs w:val="22"/>
        </w:rPr>
        <w:t>...</w:t>
      </w:r>
    </w:p>
    <w:p w14:paraId="17CA337F" w14:textId="496739E1" w:rsidR="000E1175" w:rsidRPr="00332C4C" w:rsidRDefault="000E1175" w:rsidP="00332C4C">
      <w:pPr>
        <w:spacing w:before="120" w:after="120"/>
        <w:ind w:left="1134" w:right="902"/>
        <w:jc w:val="both"/>
        <w:rPr>
          <w:i/>
          <w:iCs/>
          <w:sz w:val="22"/>
          <w:szCs w:val="22"/>
        </w:rPr>
      </w:pPr>
      <w:r w:rsidRPr="00332C4C">
        <w:rPr>
          <w:b/>
          <w:bCs/>
          <w:i/>
          <w:iCs/>
          <w:sz w:val="22"/>
          <w:szCs w:val="22"/>
        </w:rPr>
        <w:t>XI</w:t>
      </w:r>
      <w:r w:rsidRPr="00332C4C">
        <w:rPr>
          <w:i/>
          <w:iCs/>
          <w:sz w:val="22"/>
          <w:szCs w:val="22"/>
        </w:rPr>
        <w:t xml:space="preserve">. </w:t>
      </w:r>
      <w:r w:rsidRPr="00332C4C">
        <w:rPr>
          <w:b/>
          <w:bCs/>
          <w:i/>
          <w:iCs/>
          <w:sz w:val="22"/>
          <w:szCs w:val="22"/>
          <w:u w:val="single"/>
        </w:rPr>
        <w:t>Dictaminar respecto de la creación, modificación, enlace o cancelación de</w:t>
      </w:r>
      <w:r w:rsidRPr="00332C4C">
        <w:rPr>
          <w:b/>
          <w:bCs/>
          <w:i/>
          <w:iCs/>
          <w:sz w:val="22"/>
          <w:szCs w:val="22"/>
        </w:rPr>
        <w:t xml:space="preserve"> alargamientos, </w:t>
      </w:r>
      <w:r w:rsidRPr="00332C4C">
        <w:rPr>
          <w:b/>
          <w:bCs/>
          <w:i/>
          <w:iCs/>
          <w:sz w:val="22"/>
          <w:szCs w:val="22"/>
          <w:u w:val="single"/>
        </w:rPr>
        <w:t>derroteros</w:t>
      </w:r>
      <w:r w:rsidRPr="00332C4C">
        <w:rPr>
          <w:b/>
          <w:bCs/>
          <w:i/>
          <w:iCs/>
          <w:sz w:val="22"/>
          <w:szCs w:val="22"/>
        </w:rPr>
        <w:t>, enlaces, enrolamientos, bases, paraderos, frecuencias y horarios</w:t>
      </w:r>
      <w:r w:rsidRPr="00332C4C">
        <w:rPr>
          <w:i/>
          <w:iCs/>
          <w:sz w:val="22"/>
          <w:szCs w:val="22"/>
        </w:rPr>
        <w:t>, previo acuerdo de</w:t>
      </w:r>
      <w:r w:rsidR="00580459" w:rsidRPr="00332C4C">
        <w:rPr>
          <w:i/>
          <w:iCs/>
          <w:sz w:val="22"/>
          <w:szCs w:val="22"/>
        </w:rPr>
        <w:t xml:space="preserve"> a la persona titular de la Subsecretaría</w:t>
      </w:r>
      <w:r w:rsidRPr="00332C4C">
        <w:rPr>
          <w:i/>
          <w:iCs/>
          <w:sz w:val="22"/>
          <w:szCs w:val="22"/>
        </w:rPr>
        <w:t xml:space="preserve">. </w:t>
      </w:r>
    </w:p>
    <w:p w14:paraId="432649A8" w14:textId="77777777" w:rsidR="000E1175" w:rsidRPr="00332C4C" w:rsidRDefault="000E1175" w:rsidP="00332C4C">
      <w:pPr>
        <w:spacing w:before="120" w:after="120"/>
        <w:ind w:left="1134" w:right="902"/>
        <w:jc w:val="both"/>
        <w:rPr>
          <w:i/>
          <w:iCs/>
          <w:sz w:val="22"/>
          <w:szCs w:val="22"/>
        </w:rPr>
      </w:pPr>
      <w:r w:rsidRPr="00332C4C">
        <w:rPr>
          <w:b/>
          <w:bCs/>
          <w:i/>
          <w:iCs/>
          <w:sz w:val="22"/>
          <w:szCs w:val="22"/>
        </w:rPr>
        <w:t>XII</w:t>
      </w:r>
      <w:r w:rsidRPr="00332C4C">
        <w:rPr>
          <w:i/>
          <w:iCs/>
          <w:sz w:val="22"/>
          <w:szCs w:val="22"/>
        </w:rPr>
        <w:t xml:space="preserve">. </w:t>
      </w:r>
      <w:r w:rsidRPr="00332C4C">
        <w:rPr>
          <w:b/>
          <w:bCs/>
          <w:i/>
          <w:iCs/>
          <w:sz w:val="22"/>
          <w:szCs w:val="22"/>
          <w:u w:val="single"/>
        </w:rPr>
        <w:t>Supervisar los actos relacionados con el otorgamiento de</w:t>
      </w:r>
      <w:r w:rsidRPr="00332C4C">
        <w:rPr>
          <w:b/>
          <w:bCs/>
          <w:i/>
          <w:iCs/>
          <w:sz w:val="22"/>
          <w:szCs w:val="22"/>
        </w:rPr>
        <w:t xml:space="preserve"> concesiones, permisos y </w:t>
      </w:r>
      <w:r w:rsidRPr="00332C4C">
        <w:rPr>
          <w:b/>
          <w:bCs/>
          <w:i/>
          <w:iCs/>
          <w:sz w:val="22"/>
          <w:szCs w:val="22"/>
          <w:u w:val="single"/>
        </w:rPr>
        <w:t>autorizaciones</w:t>
      </w:r>
      <w:r w:rsidRPr="00332C4C">
        <w:rPr>
          <w:b/>
          <w:bCs/>
          <w:i/>
          <w:iCs/>
          <w:sz w:val="22"/>
          <w:szCs w:val="22"/>
        </w:rPr>
        <w:t xml:space="preserve"> en los que intervengan las delegaciones regionales de Movilidad bajo su adscripción</w:t>
      </w:r>
      <w:r w:rsidRPr="00332C4C">
        <w:rPr>
          <w:i/>
          <w:iCs/>
          <w:sz w:val="22"/>
          <w:szCs w:val="22"/>
        </w:rPr>
        <w:t>.</w:t>
      </w:r>
    </w:p>
    <w:p w14:paraId="2EE4868D" w14:textId="77777777" w:rsidR="000E1175" w:rsidRPr="00332C4C" w:rsidRDefault="000E1175" w:rsidP="00332C4C">
      <w:pPr>
        <w:spacing w:before="120" w:after="120"/>
        <w:ind w:left="851" w:right="902"/>
        <w:jc w:val="both"/>
        <w:rPr>
          <w:rFonts w:cs="Arial"/>
          <w:i/>
          <w:iCs/>
          <w:sz w:val="22"/>
          <w:szCs w:val="22"/>
        </w:rPr>
      </w:pPr>
      <w:r w:rsidRPr="00332C4C">
        <w:rPr>
          <w:rFonts w:cs="Arial"/>
          <w:i/>
          <w:iCs/>
          <w:sz w:val="22"/>
          <w:szCs w:val="22"/>
        </w:rPr>
        <w:t>...</w:t>
      </w:r>
    </w:p>
    <w:p w14:paraId="100AA4DE" w14:textId="6B710F1D" w:rsidR="000E1175" w:rsidRPr="00332C4C" w:rsidRDefault="000E1175" w:rsidP="00332C4C">
      <w:pPr>
        <w:spacing w:before="120" w:after="120"/>
        <w:ind w:left="851" w:right="902"/>
        <w:jc w:val="both"/>
        <w:rPr>
          <w:i/>
          <w:iCs/>
          <w:sz w:val="22"/>
          <w:szCs w:val="22"/>
        </w:rPr>
      </w:pPr>
      <w:r w:rsidRPr="00332C4C">
        <w:rPr>
          <w:b/>
          <w:bCs/>
          <w:i/>
          <w:iCs/>
          <w:sz w:val="22"/>
          <w:szCs w:val="22"/>
        </w:rPr>
        <w:t>Artículo 2</w:t>
      </w:r>
      <w:r w:rsidR="00580459" w:rsidRPr="00332C4C">
        <w:rPr>
          <w:b/>
          <w:bCs/>
          <w:i/>
          <w:iCs/>
          <w:sz w:val="22"/>
          <w:szCs w:val="22"/>
        </w:rPr>
        <w:t>5</w:t>
      </w:r>
      <w:r w:rsidRPr="00332C4C">
        <w:rPr>
          <w:b/>
          <w:bCs/>
          <w:i/>
          <w:iCs/>
          <w:sz w:val="22"/>
          <w:szCs w:val="22"/>
        </w:rPr>
        <w:t>.</w:t>
      </w:r>
      <w:r w:rsidRPr="00332C4C">
        <w:rPr>
          <w:i/>
          <w:iCs/>
          <w:sz w:val="22"/>
          <w:szCs w:val="22"/>
        </w:rPr>
        <w:t xml:space="preserve"> Corresponden a la </w:t>
      </w:r>
      <w:r w:rsidRPr="00332C4C">
        <w:rPr>
          <w:b/>
          <w:bCs/>
          <w:i/>
          <w:iCs/>
          <w:sz w:val="22"/>
          <w:szCs w:val="22"/>
        </w:rPr>
        <w:t xml:space="preserve">Dirección General del Registro Estatal de Transporte Público </w:t>
      </w:r>
      <w:r w:rsidRPr="00332C4C">
        <w:rPr>
          <w:i/>
          <w:iCs/>
          <w:sz w:val="22"/>
          <w:szCs w:val="22"/>
        </w:rPr>
        <w:t>las atribuciones siguientes:</w:t>
      </w:r>
    </w:p>
    <w:p w14:paraId="0363A3BB" w14:textId="77777777" w:rsidR="000E1175" w:rsidRPr="00332C4C" w:rsidRDefault="000E1175" w:rsidP="00332C4C">
      <w:pPr>
        <w:spacing w:before="120" w:after="120"/>
        <w:ind w:left="1134" w:right="902"/>
        <w:jc w:val="both"/>
        <w:rPr>
          <w:i/>
          <w:iCs/>
          <w:sz w:val="22"/>
          <w:szCs w:val="22"/>
        </w:rPr>
      </w:pPr>
      <w:r w:rsidRPr="00332C4C">
        <w:rPr>
          <w:i/>
          <w:iCs/>
          <w:sz w:val="22"/>
          <w:szCs w:val="22"/>
        </w:rPr>
        <w:t>...</w:t>
      </w:r>
    </w:p>
    <w:p w14:paraId="59F57D8E" w14:textId="68A036E2" w:rsidR="000E1175" w:rsidRPr="00332C4C" w:rsidRDefault="00580459" w:rsidP="00332C4C">
      <w:pPr>
        <w:spacing w:before="120" w:after="120"/>
        <w:ind w:left="1134" w:right="902"/>
        <w:jc w:val="both"/>
        <w:rPr>
          <w:i/>
          <w:iCs/>
          <w:sz w:val="22"/>
          <w:szCs w:val="22"/>
        </w:rPr>
      </w:pPr>
      <w:r w:rsidRPr="00332C4C">
        <w:rPr>
          <w:b/>
          <w:bCs/>
          <w:i/>
          <w:iCs/>
          <w:sz w:val="22"/>
          <w:szCs w:val="22"/>
        </w:rPr>
        <w:t xml:space="preserve">II. </w:t>
      </w:r>
      <w:r w:rsidRPr="00332C4C">
        <w:rPr>
          <w:i/>
          <w:iCs/>
          <w:sz w:val="22"/>
          <w:szCs w:val="22"/>
        </w:rPr>
        <w:t>Contribuir con las demás unidades administrativas competentes de la</w:t>
      </w:r>
      <w:r w:rsidRPr="00332C4C">
        <w:rPr>
          <w:b/>
          <w:bCs/>
          <w:i/>
          <w:iCs/>
          <w:sz w:val="22"/>
          <w:szCs w:val="22"/>
        </w:rPr>
        <w:t xml:space="preserve"> </w:t>
      </w:r>
      <w:r w:rsidRPr="00332C4C">
        <w:rPr>
          <w:i/>
          <w:iCs/>
          <w:sz w:val="22"/>
          <w:szCs w:val="22"/>
        </w:rPr>
        <w:t>Secretaría, en el otorgamiento, revocación, rescate, terminación, modificación y registro de las concesiones, permisos y autorizaciones para la prestación del servicio público de transporte de pasajeros y de carga;</w:t>
      </w:r>
    </w:p>
    <w:p w14:paraId="39DEA819" w14:textId="24FE2D91" w:rsidR="000E1175" w:rsidRPr="00332C4C" w:rsidRDefault="000E1175" w:rsidP="00332C4C">
      <w:pPr>
        <w:spacing w:before="120" w:after="120"/>
        <w:ind w:left="1134" w:right="902"/>
        <w:jc w:val="both"/>
        <w:rPr>
          <w:i/>
          <w:iCs/>
          <w:sz w:val="22"/>
          <w:szCs w:val="22"/>
        </w:rPr>
      </w:pPr>
      <w:r w:rsidRPr="00332C4C">
        <w:rPr>
          <w:b/>
          <w:bCs/>
          <w:i/>
          <w:iCs/>
          <w:sz w:val="22"/>
          <w:szCs w:val="22"/>
        </w:rPr>
        <w:lastRenderedPageBreak/>
        <w:t>VI.</w:t>
      </w:r>
      <w:r w:rsidRPr="00332C4C">
        <w:rPr>
          <w:i/>
          <w:iCs/>
          <w:sz w:val="22"/>
          <w:szCs w:val="22"/>
        </w:rPr>
        <w:t xml:space="preserve"> Normar los trámites de control vehicular del servicio público de transporte y los relacionados con vehículos automotores destinados a prestar un servicio a la población por parte de organismos y dependencias federales, estatales y municipales.</w:t>
      </w:r>
    </w:p>
    <w:p w14:paraId="2DE3960F" w14:textId="77777777" w:rsidR="000E1175" w:rsidRPr="00332C4C" w:rsidRDefault="000E1175" w:rsidP="00332C4C">
      <w:pPr>
        <w:spacing w:before="120" w:after="120"/>
        <w:ind w:left="1134" w:right="902"/>
        <w:jc w:val="both"/>
        <w:rPr>
          <w:i/>
          <w:iCs/>
          <w:sz w:val="22"/>
          <w:szCs w:val="22"/>
        </w:rPr>
      </w:pPr>
      <w:r w:rsidRPr="00332C4C">
        <w:rPr>
          <w:i/>
          <w:iCs/>
          <w:sz w:val="22"/>
          <w:szCs w:val="22"/>
        </w:rPr>
        <w:t>...</w:t>
      </w:r>
    </w:p>
    <w:p w14:paraId="26EA4488" w14:textId="1B110728" w:rsidR="00E73A27" w:rsidRPr="00332C4C" w:rsidRDefault="00E73A27" w:rsidP="00332C4C">
      <w:pPr>
        <w:spacing w:before="120" w:after="120"/>
        <w:ind w:left="1134" w:right="902"/>
        <w:jc w:val="both"/>
        <w:rPr>
          <w:b/>
          <w:bCs/>
          <w:i/>
          <w:iCs/>
          <w:sz w:val="22"/>
          <w:szCs w:val="22"/>
        </w:rPr>
      </w:pPr>
      <w:r w:rsidRPr="00332C4C">
        <w:rPr>
          <w:b/>
          <w:bCs/>
          <w:i/>
          <w:iCs/>
          <w:sz w:val="22"/>
          <w:szCs w:val="22"/>
        </w:rPr>
        <w:t xml:space="preserve">X. </w:t>
      </w:r>
      <w:r w:rsidRPr="00332C4C">
        <w:rPr>
          <w:bCs/>
          <w:i/>
          <w:iCs/>
          <w:sz w:val="22"/>
          <w:szCs w:val="22"/>
        </w:rPr>
        <w:t>R</w:t>
      </w:r>
      <w:r w:rsidRPr="00332C4C">
        <w:rPr>
          <w:b/>
          <w:bCs/>
          <w:i/>
          <w:iCs/>
          <w:sz w:val="22"/>
          <w:szCs w:val="22"/>
        </w:rPr>
        <w:t>ecibir, tramitar y resolver los procedimientos administrativos que se deriven de actos relacionados con concesiones</w:t>
      </w:r>
      <w:r w:rsidRPr="00332C4C">
        <w:rPr>
          <w:bCs/>
          <w:i/>
          <w:iCs/>
          <w:sz w:val="22"/>
          <w:szCs w:val="22"/>
        </w:rPr>
        <w:t xml:space="preserve">, permisos o </w:t>
      </w:r>
      <w:r w:rsidRPr="00332C4C">
        <w:rPr>
          <w:b/>
          <w:bCs/>
          <w:i/>
          <w:iCs/>
          <w:sz w:val="22"/>
          <w:szCs w:val="22"/>
        </w:rPr>
        <w:t>autorizaciones,</w:t>
      </w:r>
      <w:r w:rsidRPr="00332C4C">
        <w:rPr>
          <w:bCs/>
          <w:i/>
          <w:iCs/>
          <w:sz w:val="22"/>
          <w:szCs w:val="22"/>
        </w:rPr>
        <w:t xml:space="preserve"> cuando de estos surjan conflictos relativos a las funciones y atribuciones de la Dirección del Registro de Transporte Público;</w:t>
      </w:r>
      <w:r w:rsidRPr="00332C4C">
        <w:rPr>
          <w:bCs/>
          <w:i/>
          <w:iCs/>
          <w:sz w:val="22"/>
          <w:szCs w:val="22"/>
        </w:rPr>
        <w:cr/>
        <w:t>…</w:t>
      </w:r>
    </w:p>
    <w:p w14:paraId="65C3A091" w14:textId="1AD0F75A" w:rsidR="00580459" w:rsidRPr="00332C4C" w:rsidRDefault="00580459" w:rsidP="00332C4C">
      <w:pPr>
        <w:spacing w:before="120" w:after="120"/>
        <w:ind w:left="1134" w:right="902"/>
        <w:jc w:val="both"/>
        <w:rPr>
          <w:b/>
          <w:bCs/>
          <w:i/>
          <w:iCs/>
          <w:sz w:val="20"/>
          <w:szCs w:val="20"/>
        </w:rPr>
      </w:pPr>
      <w:r w:rsidRPr="00332C4C">
        <w:rPr>
          <w:b/>
          <w:bCs/>
          <w:i/>
          <w:iCs/>
          <w:sz w:val="22"/>
          <w:szCs w:val="22"/>
        </w:rPr>
        <w:t>XIII.</w:t>
      </w:r>
      <w:r w:rsidRPr="00332C4C">
        <w:t xml:space="preserve"> </w:t>
      </w:r>
      <w:r w:rsidRPr="00332C4C">
        <w:rPr>
          <w:i/>
          <w:iCs/>
          <w:sz w:val="22"/>
          <w:szCs w:val="22"/>
        </w:rPr>
        <w:t>Dirigir y coordinar las funciones del Registro Estatal de Transporte Público;</w:t>
      </w:r>
    </w:p>
    <w:p w14:paraId="0F008229" w14:textId="4493662D" w:rsidR="000E1175" w:rsidRPr="00332C4C" w:rsidRDefault="000E1175" w:rsidP="00332C4C">
      <w:pPr>
        <w:spacing w:before="120" w:after="120"/>
        <w:ind w:left="1134" w:right="902"/>
        <w:jc w:val="both"/>
        <w:rPr>
          <w:rFonts w:cs="Arial"/>
          <w:i/>
          <w:iCs/>
          <w:sz w:val="22"/>
          <w:szCs w:val="22"/>
        </w:rPr>
      </w:pPr>
      <w:r w:rsidRPr="00332C4C">
        <w:rPr>
          <w:b/>
          <w:bCs/>
          <w:i/>
          <w:iCs/>
          <w:sz w:val="22"/>
          <w:szCs w:val="22"/>
        </w:rPr>
        <w:t>XIV</w:t>
      </w:r>
      <w:r w:rsidRPr="00332C4C">
        <w:rPr>
          <w:i/>
          <w:iCs/>
          <w:sz w:val="22"/>
          <w:szCs w:val="22"/>
        </w:rPr>
        <w:t>. Integrar y custodiar la información que con motivo del otorgamiento de permisos se genere, de acuerdo con los dictámenes elaborados por las direcciones generales de movilidad.”</w:t>
      </w:r>
    </w:p>
    <w:p w14:paraId="49429E47" w14:textId="5BF9697B" w:rsidR="00C959C5" w:rsidRPr="00332C4C" w:rsidRDefault="00C959C5" w:rsidP="00332C4C">
      <w:pPr>
        <w:spacing w:before="240" w:after="240" w:line="360" w:lineRule="auto"/>
        <w:ind w:right="49"/>
        <w:jc w:val="both"/>
        <w:rPr>
          <w:rFonts w:eastAsia="MS Mincho" w:cs="Bookman Old Style"/>
          <w:iCs/>
          <w:szCs w:val="20"/>
          <w:lang w:val="es-MX"/>
        </w:rPr>
      </w:pPr>
      <w:r w:rsidRPr="00332C4C">
        <w:rPr>
          <w:rFonts w:eastAsia="MS Mincho" w:cs="Bookman Old Style"/>
          <w:iCs/>
          <w:szCs w:val="20"/>
          <w:lang w:val="es-MX"/>
        </w:rPr>
        <w:t>Cabe señalar que la Su</w:t>
      </w:r>
      <w:r w:rsidR="006E157D" w:rsidRPr="00332C4C">
        <w:rPr>
          <w:rFonts w:eastAsia="MS Mincho" w:cs="Bookman Old Style"/>
          <w:iCs/>
          <w:szCs w:val="20"/>
          <w:lang w:val="es-MX"/>
        </w:rPr>
        <w:t xml:space="preserve">bsecretaría de Movilidad </w:t>
      </w:r>
      <w:r w:rsidR="004F420E" w:rsidRPr="00332C4C">
        <w:rPr>
          <w:rFonts w:eastAsia="MS Mincho" w:cs="Bookman Old Style"/>
          <w:iCs/>
          <w:szCs w:val="20"/>
          <w:lang w:val="es-MX"/>
        </w:rPr>
        <w:t>tiene bajo su adscripción</w:t>
      </w:r>
      <w:r w:rsidR="000865EF" w:rsidRPr="00332C4C">
        <w:rPr>
          <w:rFonts w:eastAsia="MS Mincho" w:cs="Bookman Old Style"/>
          <w:iCs/>
          <w:szCs w:val="20"/>
          <w:lang w:val="es-MX"/>
        </w:rPr>
        <w:t xml:space="preserve">, a </w:t>
      </w:r>
      <w:r w:rsidR="004F420E" w:rsidRPr="00332C4C">
        <w:rPr>
          <w:rFonts w:eastAsia="MS Mincho" w:cs="Bookman Old Style"/>
          <w:iCs/>
          <w:szCs w:val="20"/>
          <w:lang w:val="es-MX"/>
        </w:rPr>
        <w:t>las Direcciones Generales de Movilidad, entre las que se encuentra la Dirección Ge</w:t>
      </w:r>
      <w:r w:rsidR="00852C75" w:rsidRPr="00332C4C">
        <w:rPr>
          <w:rFonts w:eastAsia="MS Mincho" w:cs="Bookman Old Style"/>
          <w:iCs/>
          <w:szCs w:val="20"/>
          <w:lang w:val="es-MX"/>
        </w:rPr>
        <w:t>neral de Movilidad de Zona II</w:t>
      </w:r>
      <w:r w:rsidR="004F420E" w:rsidRPr="00332C4C">
        <w:rPr>
          <w:rFonts w:eastAsia="MS Mincho" w:cs="Bookman Old Style"/>
          <w:iCs/>
          <w:szCs w:val="20"/>
          <w:lang w:val="es-MX"/>
        </w:rPr>
        <w:t xml:space="preserve"> como se desprende de los artículos 12 fracción II del Reglamento Interno, a saber:</w:t>
      </w:r>
    </w:p>
    <w:p w14:paraId="0B36136C" w14:textId="77777777" w:rsidR="004F420E" w:rsidRPr="00332C4C" w:rsidRDefault="004F420E" w:rsidP="00332C4C">
      <w:pPr>
        <w:spacing w:before="120" w:after="120"/>
        <w:ind w:left="851" w:right="902"/>
        <w:jc w:val="both"/>
        <w:rPr>
          <w:i/>
          <w:sz w:val="22"/>
          <w:szCs w:val="22"/>
        </w:rPr>
      </w:pPr>
      <w:r w:rsidRPr="00332C4C">
        <w:rPr>
          <w:rFonts w:eastAsia="MS Mincho" w:cs="Bookman Old Style"/>
          <w:i/>
          <w:iCs/>
          <w:sz w:val="22"/>
          <w:szCs w:val="22"/>
          <w:lang w:val="es-MX"/>
        </w:rPr>
        <w:t>“</w:t>
      </w:r>
      <w:r w:rsidRPr="00332C4C">
        <w:rPr>
          <w:b/>
          <w:i/>
          <w:sz w:val="22"/>
          <w:szCs w:val="22"/>
        </w:rPr>
        <w:t>Artículo 12.</w:t>
      </w:r>
      <w:r w:rsidRPr="00332C4C">
        <w:rPr>
          <w:i/>
          <w:sz w:val="22"/>
          <w:szCs w:val="22"/>
        </w:rPr>
        <w:t xml:space="preserve"> La Subsecretaría tendrá bajo su adscripción las siguientes unidades administrativas:</w:t>
      </w:r>
    </w:p>
    <w:p w14:paraId="03F72EE5" w14:textId="77777777" w:rsidR="004F420E" w:rsidRPr="00332C4C" w:rsidRDefault="004F420E" w:rsidP="00332C4C">
      <w:pPr>
        <w:spacing w:before="120" w:after="120"/>
        <w:ind w:left="1134" w:right="902"/>
        <w:jc w:val="both"/>
        <w:rPr>
          <w:i/>
          <w:sz w:val="22"/>
          <w:szCs w:val="22"/>
        </w:rPr>
      </w:pPr>
      <w:r w:rsidRPr="00332C4C">
        <w:rPr>
          <w:b/>
          <w:i/>
          <w:sz w:val="22"/>
          <w:szCs w:val="22"/>
        </w:rPr>
        <w:t>I.</w:t>
      </w:r>
      <w:r w:rsidRPr="00332C4C">
        <w:rPr>
          <w:i/>
          <w:sz w:val="22"/>
          <w:szCs w:val="22"/>
        </w:rPr>
        <w:t xml:space="preserve"> Dirección General de Movilidad Zona I; </w:t>
      </w:r>
    </w:p>
    <w:p w14:paraId="4DF9CEF9" w14:textId="77777777" w:rsidR="004F420E" w:rsidRPr="00332C4C" w:rsidRDefault="004F420E" w:rsidP="00332C4C">
      <w:pPr>
        <w:spacing w:before="120" w:after="120"/>
        <w:ind w:left="1134" w:right="902"/>
        <w:jc w:val="both"/>
        <w:rPr>
          <w:b/>
          <w:i/>
          <w:sz w:val="22"/>
          <w:szCs w:val="22"/>
        </w:rPr>
      </w:pPr>
      <w:r w:rsidRPr="00332C4C">
        <w:rPr>
          <w:b/>
          <w:i/>
          <w:sz w:val="22"/>
          <w:szCs w:val="22"/>
        </w:rPr>
        <w:t>II.</w:t>
      </w:r>
      <w:r w:rsidRPr="00332C4C">
        <w:rPr>
          <w:i/>
          <w:sz w:val="22"/>
          <w:szCs w:val="22"/>
        </w:rPr>
        <w:t xml:space="preserve"> </w:t>
      </w:r>
      <w:r w:rsidRPr="00332C4C">
        <w:rPr>
          <w:b/>
          <w:i/>
          <w:sz w:val="22"/>
          <w:szCs w:val="22"/>
        </w:rPr>
        <w:t>Dirección General de Movilidad Zona II;</w:t>
      </w:r>
    </w:p>
    <w:p w14:paraId="03DD3CFD" w14:textId="77777777" w:rsidR="004F420E" w:rsidRPr="00332C4C" w:rsidRDefault="004F420E" w:rsidP="00332C4C">
      <w:pPr>
        <w:spacing w:before="120" w:after="120"/>
        <w:ind w:left="1134" w:right="902"/>
        <w:jc w:val="both"/>
        <w:rPr>
          <w:i/>
          <w:sz w:val="22"/>
          <w:szCs w:val="22"/>
        </w:rPr>
      </w:pPr>
      <w:r w:rsidRPr="00332C4C">
        <w:rPr>
          <w:b/>
          <w:i/>
          <w:sz w:val="22"/>
          <w:szCs w:val="22"/>
        </w:rPr>
        <w:t>III</w:t>
      </w:r>
      <w:r w:rsidRPr="00332C4C">
        <w:rPr>
          <w:i/>
          <w:sz w:val="22"/>
          <w:szCs w:val="22"/>
        </w:rPr>
        <w:t xml:space="preserve">. Dirección General de Movilidad Zona III, y </w:t>
      </w:r>
    </w:p>
    <w:p w14:paraId="4A91B9DA" w14:textId="6C21682C" w:rsidR="004F420E" w:rsidRPr="00332C4C" w:rsidRDefault="004F420E" w:rsidP="00332C4C">
      <w:pPr>
        <w:spacing w:before="120" w:after="120"/>
        <w:ind w:left="1134" w:right="902"/>
        <w:jc w:val="both"/>
        <w:rPr>
          <w:rFonts w:eastAsia="MS Mincho" w:cs="Bookman Old Style"/>
          <w:i/>
          <w:iCs/>
          <w:sz w:val="22"/>
          <w:szCs w:val="22"/>
          <w:lang w:val="es-MX"/>
        </w:rPr>
      </w:pPr>
      <w:r w:rsidRPr="00332C4C">
        <w:rPr>
          <w:b/>
          <w:i/>
          <w:sz w:val="22"/>
          <w:szCs w:val="22"/>
        </w:rPr>
        <w:t>IV</w:t>
      </w:r>
      <w:r w:rsidRPr="00332C4C">
        <w:rPr>
          <w:i/>
          <w:sz w:val="22"/>
          <w:szCs w:val="22"/>
        </w:rPr>
        <w:t>. Dirección General de Movilidad Zona IV.”</w:t>
      </w:r>
    </w:p>
    <w:p w14:paraId="5F7033A1" w14:textId="4660CF41" w:rsidR="000865EF" w:rsidRPr="00332C4C" w:rsidRDefault="000865EF" w:rsidP="00332C4C">
      <w:pPr>
        <w:spacing w:before="240" w:after="240" w:line="360" w:lineRule="auto"/>
        <w:jc w:val="both"/>
        <w:rPr>
          <w:rFonts w:cs="Arial"/>
          <w:szCs w:val="28"/>
        </w:rPr>
      </w:pPr>
      <w:r w:rsidRPr="00332C4C">
        <w:rPr>
          <w:rFonts w:cs="Arial"/>
          <w:iCs/>
        </w:rPr>
        <w:t>Por su parte, la Dirección General de Zona II, de conformidad con el Manual General</w:t>
      </w:r>
      <w:r w:rsidR="0044722A" w:rsidRPr="00332C4C">
        <w:rPr>
          <w:rFonts w:cs="Arial"/>
          <w:iCs/>
        </w:rPr>
        <w:t xml:space="preserve"> de Organización de la Secretarí</w:t>
      </w:r>
      <w:r w:rsidRPr="00332C4C">
        <w:rPr>
          <w:rFonts w:cs="Arial"/>
          <w:iCs/>
        </w:rPr>
        <w:t xml:space="preserve">a de Movilidad, tiene como objetivo </w:t>
      </w:r>
      <w:r w:rsidRPr="00332C4C">
        <w:rPr>
          <w:rFonts w:cs="Arial"/>
        </w:rPr>
        <w:t xml:space="preserve">promover y regular el desarrollo del servicio público de transporte en la región de su competencia, a través de la aplicación y ejecución de las disposiciones legales que </w:t>
      </w:r>
      <w:r w:rsidRPr="00332C4C">
        <w:rPr>
          <w:rFonts w:cs="Arial"/>
        </w:rPr>
        <w:lastRenderedPageBreak/>
        <w:t>rigen la materia, así como autorizar la realización de visitas</w:t>
      </w:r>
      <w:r w:rsidRPr="00332C4C">
        <w:rPr>
          <w:rFonts w:cs="Arial"/>
          <w:szCs w:val="28"/>
        </w:rPr>
        <w:t xml:space="preserve"> de inspección y verificación que permitan supervisar la puntual observancia y cumplimiento de los lineamentos legales y obligaciones a cargo de los concesionarios y permisionarios del servicio público de tra</w:t>
      </w:r>
      <w:r w:rsidR="00140C23" w:rsidRPr="00332C4C">
        <w:rPr>
          <w:rFonts w:cs="Arial"/>
          <w:szCs w:val="28"/>
        </w:rPr>
        <w:t xml:space="preserve">nsporte y sus servicios conexos, </w:t>
      </w:r>
      <w:r w:rsidRPr="00332C4C">
        <w:rPr>
          <w:rFonts w:cs="Arial"/>
          <w:szCs w:val="28"/>
        </w:rPr>
        <w:t xml:space="preserve">apoyándose para el cumplimiento del mismo de las Delegaciones Regionales de Naucalpan, Cuautitlán Izcalli y Zumpango, </w:t>
      </w:r>
      <w:r w:rsidR="008715ED" w:rsidRPr="00332C4C">
        <w:rPr>
          <w:rFonts w:cs="Arial"/>
          <w:szCs w:val="28"/>
        </w:rPr>
        <w:t>como se desprende del artículo 15 del  Reglamento Interno, a saber:</w:t>
      </w:r>
    </w:p>
    <w:p w14:paraId="610954BE" w14:textId="77777777" w:rsidR="008715ED" w:rsidRPr="00332C4C" w:rsidRDefault="008715ED" w:rsidP="00332C4C">
      <w:pPr>
        <w:spacing w:before="120" w:after="120"/>
        <w:ind w:left="851" w:right="902"/>
        <w:jc w:val="both"/>
        <w:rPr>
          <w:i/>
          <w:iCs/>
          <w:sz w:val="22"/>
          <w:szCs w:val="22"/>
        </w:rPr>
      </w:pPr>
      <w:r w:rsidRPr="00332C4C">
        <w:rPr>
          <w:b/>
          <w:bCs/>
          <w:i/>
          <w:iCs/>
          <w:sz w:val="22"/>
          <w:szCs w:val="22"/>
        </w:rPr>
        <w:t>Artículo 15</w:t>
      </w:r>
      <w:r w:rsidRPr="00332C4C">
        <w:rPr>
          <w:i/>
          <w:iCs/>
          <w:sz w:val="22"/>
          <w:szCs w:val="22"/>
        </w:rPr>
        <w:t xml:space="preserve"> Las direcciones generales de movilidad tendrán bajo su adscripción delegaciones regionales, con atribuciones en los municipios siguientes:</w:t>
      </w:r>
    </w:p>
    <w:p w14:paraId="3E04F06A" w14:textId="77777777" w:rsidR="008715ED" w:rsidRPr="00332C4C" w:rsidRDefault="008715ED" w:rsidP="00332C4C">
      <w:pPr>
        <w:spacing w:before="120" w:after="120"/>
        <w:ind w:left="1134" w:right="902"/>
        <w:jc w:val="both"/>
        <w:rPr>
          <w:rFonts w:cs="Arial"/>
          <w:i/>
          <w:iCs/>
          <w:sz w:val="22"/>
          <w:szCs w:val="22"/>
        </w:rPr>
      </w:pPr>
      <w:r w:rsidRPr="00332C4C">
        <w:rPr>
          <w:rFonts w:cs="Arial"/>
          <w:i/>
          <w:iCs/>
          <w:sz w:val="22"/>
          <w:szCs w:val="22"/>
        </w:rPr>
        <w:t>...</w:t>
      </w:r>
    </w:p>
    <w:p w14:paraId="5E87E1DB" w14:textId="77777777" w:rsidR="008715ED" w:rsidRPr="00332C4C" w:rsidRDefault="008715ED" w:rsidP="00332C4C">
      <w:pPr>
        <w:spacing w:before="120" w:after="120"/>
        <w:ind w:left="1134" w:right="902"/>
        <w:jc w:val="both"/>
        <w:rPr>
          <w:i/>
          <w:iCs/>
          <w:sz w:val="22"/>
          <w:szCs w:val="22"/>
        </w:rPr>
      </w:pPr>
      <w:r w:rsidRPr="00332C4C">
        <w:rPr>
          <w:b/>
          <w:bCs/>
          <w:i/>
          <w:iCs/>
          <w:sz w:val="22"/>
          <w:szCs w:val="22"/>
        </w:rPr>
        <w:t>II. Dirección General de Movilidad Zona II</w:t>
      </w:r>
      <w:r w:rsidRPr="00332C4C">
        <w:rPr>
          <w:i/>
          <w:iCs/>
          <w:sz w:val="22"/>
          <w:szCs w:val="22"/>
        </w:rPr>
        <w:t xml:space="preserve">: </w:t>
      </w:r>
    </w:p>
    <w:p w14:paraId="1DF0761D" w14:textId="77777777" w:rsidR="008715ED" w:rsidRPr="00332C4C" w:rsidRDefault="008715ED" w:rsidP="00332C4C">
      <w:pPr>
        <w:spacing w:before="120" w:after="120"/>
        <w:ind w:left="1418" w:right="902"/>
        <w:jc w:val="both"/>
        <w:rPr>
          <w:i/>
          <w:iCs/>
          <w:sz w:val="22"/>
          <w:szCs w:val="22"/>
        </w:rPr>
      </w:pPr>
      <w:r w:rsidRPr="00332C4C">
        <w:rPr>
          <w:b/>
          <w:bCs/>
          <w:i/>
          <w:iCs/>
          <w:sz w:val="22"/>
          <w:szCs w:val="22"/>
        </w:rPr>
        <w:t>a) Delegación Regional Naucalpan</w:t>
      </w:r>
      <w:r w:rsidRPr="00332C4C">
        <w:rPr>
          <w:i/>
          <w:iCs/>
          <w:sz w:val="22"/>
          <w:szCs w:val="22"/>
        </w:rPr>
        <w:t xml:space="preserve">: Atizapán de Zaragoza, Huixquilucan, Isidro Fabela, Jilotzingo, </w:t>
      </w:r>
      <w:r w:rsidRPr="00332C4C">
        <w:rPr>
          <w:b/>
          <w:bCs/>
          <w:i/>
          <w:iCs/>
          <w:sz w:val="22"/>
          <w:szCs w:val="22"/>
          <w:u w:val="single"/>
        </w:rPr>
        <w:t>Naucalpan de Juárez,</w:t>
      </w:r>
      <w:r w:rsidRPr="00332C4C">
        <w:rPr>
          <w:i/>
          <w:iCs/>
          <w:sz w:val="22"/>
          <w:szCs w:val="22"/>
        </w:rPr>
        <w:t xml:space="preserve"> Nicolás Romero y Tlalnepantla de Baz. </w:t>
      </w:r>
    </w:p>
    <w:p w14:paraId="2CEFEB10" w14:textId="77777777" w:rsidR="008715ED" w:rsidRPr="00332C4C" w:rsidRDefault="008715ED" w:rsidP="00332C4C">
      <w:pPr>
        <w:spacing w:before="120" w:after="120"/>
        <w:ind w:left="1418" w:right="902"/>
        <w:jc w:val="both"/>
        <w:rPr>
          <w:i/>
          <w:iCs/>
          <w:sz w:val="22"/>
          <w:szCs w:val="22"/>
        </w:rPr>
      </w:pPr>
      <w:r w:rsidRPr="00332C4C">
        <w:rPr>
          <w:b/>
          <w:bCs/>
          <w:i/>
          <w:iCs/>
          <w:sz w:val="22"/>
          <w:szCs w:val="22"/>
        </w:rPr>
        <w:t>b) Delegación Regional Cuautitlán Izcalli:</w:t>
      </w:r>
      <w:r w:rsidRPr="00332C4C">
        <w:rPr>
          <w:i/>
          <w:iCs/>
          <w:sz w:val="22"/>
          <w:szCs w:val="22"/>
        </w:rPr>
        <w:t xml:space="preserve"> Coyotepec, Coacalco de Berriozábal, Cuautitlán, Cuautitlán Izcalli, Huehuetoca, Melchor Ocampo, Teoloyucan, Tepotzotlán, Tultepec, Tultitlán y Villa del Carbón. </w:t>
      </w:r>
    </w:p>
    <w:p w14:paraId="0B1984F4" w14:textId="77777777" w:rsidR="008715ED" w:rsidRPr="00332C4C" w:rsidRDefault="008715ED" w:rsidP="00332C4C">
      <w:pPr>
        <w:spacing w:before="120" w:after="120"/>
        <w:ind w:left="1418" w:right="902"/>
        <w:jc w:val="both"/>
        <w:rPr>
          <w:rFonts w:cs="Arial"/>
          <w:i/>
          <w:iCs/>
          <w:sz w:val="22"/>
          <w:szCs w:val="22"/>
        </w:rPr>
      </w:pPr>
      <w:r w:rsidRPr="00332C4C">
        <w:rPr>
          <w:b/>
          <w:bCs/>
          <w:i/>
          <w:iCs/>
          <w:sz w:val="22"/>
          <w:szCs w:val="22"/>
        </w:rPr>
        <w:t>c) Delegación Regional Zumpango</w:t>
      </w:r>
      <w:r w:rsidRPr="00332C4C">
        <w:rPr>
          <w:i/>
          <w:iCs/>
          <w:sz w:val="22"/>
          <w:szCs w:val="22"/>
        </w:rPr>
        <w:t xml:space="preserve">: </w:t>
      </w:r>
      <w:proofErr w:type="spellStart"/>
      <w:r w:rsidRPr="00332C4C">
        <w:rPr>
          <w:i/>
          <w:iCs/>
          <w:sz w:val="22"/>
          <w:szCs w:val="22"/>
        </w:rPr>
        <w:t>Apaxco</w:t>
      </w:r>
      <w:proofErr w:type="spellEnd"/>
      <w:r w:rsidRPr="00332C4C">
        <w:rPr>
          <w:i/>
          <w:iCs/>
          <w:sz w:val="22"/>
          <w:szCs w:val="22"/>
        </w:rPr>
        <w:t xml:space="preserve">, </w:t>
      </w:r>
      <w:proofErr w:type="spellStart"/>
      <w:r w:rsidRPr="00332C4C">
        <w:rPr>
          <w:i/>
          <w:iCs/>
          <w:sz w:val="22"/>
          <w:szCs w:val="22"/>
        </w:rPr>
        <w:t>Hueypoxtla</w:t>
      </w:r>
      <w:proofErr w:type="spellEnd"/>
      <w:r w:rsidRPr="00332C4C">
        <w:rPr>
          <w:i/>
          <w:iCs/>
          <w:sz w:val="22"/>
          <w:szCs w:val="22"/>
        </w:rPr>
        <w:t xml:space="preserve">, </w:t>
      </w:r>
      <w:proofErr w:type="spellStart"/>
      <w:r w:rsidRPr="00332C4C">
        <w:rPr>
          <w:i/>
          <w:iCs/>
          <w:sz w:val="22"/>
          <w:szCs w:val="22"/>
        </w:rPr>
        <w:t>Jaltenco</w:t>
      </w:r>
      <w:proofErr w:type="spellEnd"/>
      <w:r w:rsidRPr="00332C4C">
        <w:rPr>
          <w:i/>
          <w:iCs/>
          <w:sz w:val="22"/>
          <w:szCs w:val="22"/>
        </w:rPr>
        <w:t xml:space="preserve">, </w:t>
      </w:r>
      <w:proofErr w:type="spellStart"/>
      <w:r w:rsidRPr="00332C4C">
        <w:rPr>
          <w:i/>
          <w:iCs/>
          <w:sz w:val="22"/>
          <w:szCs w:val="22"/>
        </w:rPr>
        <w:t>Nextlalpan</w:t>
      </w:r>
      <w:proofErr w:type="spellEnd"/>
      <w:r w:rsidRPr="00332C4C">
        <w:rPr>
          <w:i/>
          <w:iCs/>
          <w:sz w:val="22"/>
          <w:szCs w:val="22"/>
        </w:rPr>
        <w:t xml:space="preserve">, </w:t>
      </w:r>
      <w:proofErr w:type="spellStart"/>
      <w:r w:rsidRPr="00332C4C">
        <w:rPr>
          <w:i/>
          <w:iCs/>
          <w:sz w:val="22"/>
          <w:szCs w:val="22"/>
        </w:rPr>
        <w:t>Tequixquiac</w:t>
      </w:r>
      <w:proofErr w:type="spellEnd"/>
      <w:r w:rsidRPr="00332C4C">
        <w:rPr>
          <w:i/>
          <w:iCs/>
          <w:sz w:val="22"/>
          <w:szCs w:val="22"/>
        </w:rPr>
        <w:t xml:space="preserve">, </w:t>
      </w:r>
      <w:proofErr w:type="spellStart"/>
      <w:r w:rsidRPr="00332C4C">
        <w:rPr>
          <w:i/>
          <w:iCs/>
          <w:sz w:val="22"/>
          <w:szCs w:val="22"/>
        </w:rPr>
        <w:t>Tonanitla</w:t>
      </w:r>
      <w:proofErr w:type="spellEnd"/>
      <w:r w:rsidRPr="00332C4C">
        <w:rPr>
          <w:i/>
          <w:iCs/>
          <w:sz w:val="22"/>
          <w:szCs w:val="22"/>
        </w:rPr>
        <w:t xml:space="preserve"> y Zumpango.</w:t>
      </w:r>
      <w:r w:rsidRPr="00332C4C">
        <w:rPr>
          <w:rFonts w:cs="Arial"/>
          <w:i/>
          <w:iCs/>
          <w:sz w:val="22"/>
          <w:szCs w:val="22"/>
        </w:rPr>
        <w:t>”</w:t>
      </w:r>
    </w:p>
    <w:p w14:paraId="78927645" w14:textId="3F11AB3F" w:rsidR="000776B6" w:rsidRPr="00332C4C" w:rsidRDefault="00852C75" w:rsidP="00332C4C">
      <w:pPr>
        <w:spacing w:before="240" w:after="240" w:line="360" w:lineRule="auto"/>
        <w:jc w:val="both"/>
        <w:rPr>
          <w:rFonts w:cs="Arial"/>
          <w:szCs w:val="28"/>
        </w:rPr>
      </w:pPr>
      <w:r w:rsidRPr="00332C4C">
        <w:rPr>
          <w:rFonts w:cs="Arial"/>
          <w:szCs w:val="28"/>
        </w:rPr>
        <w:t>Por su parte, las Delegaciones Regionales, de conformidad con el Manual de Organización de la Secretaría de Movilidad, tiene</w:t>
      </w:r>
      <w:r w:rsidR="000776B6" w:rsidRPr="00332C4C">
        <w:rPr>
          <w:rFonts w:cs="Arial"/>
          <w:szCs w:val="28"/>
        </w:rPr>
        <w:t xml:space="preserve"> las siguientes</w:t>
      </w:r>
      <w:r w:rsidRPr="00332C4C">
        <w:rPr>
          <w:rFonts w:cs="Arial"/>
          <w:szCs w:val="28"/>
        </w:rPr>
        <w:t xml:space="preserve"> funciones</w:t>
      </w:r>
      <w:r w:rsidR="001948CA" w:rsidRPr="00332C4C">
        <w:rPr>
          <w:rFonts w:cs="Arial"/>
          <w:szCs w:val="28"/>
        </w:rPr>
        <w:t xml:space="preserve"> en lo conducente</w:t>
      </w:r>
      <w:r w:rsidR="000776B6" w:rsidRPr="00332C4C">
        <w:rPr>
          <w:rFonts w:cs="Arial"/>
          <w:szCs w:val="28"/>
        </w:rPr>
        <w:t xml:space="preserve">: </w:t>
      </w:r>
    </w:p>
    <w:p w14:paraId="151BD7FB" w14:textId="2479A8D5" w:rsidR="000776B6" w:rsidRPr="00332C4C" w:rsidRDefault="000776B6" w:rsidP="00332C4C">
      <w:pPr>
        <w:spacing w:before="240" w:after="240" w:line="360" w:lineRule="auto"/>
        <w:ind w:left="284"/>
        <w:jc w:val="both"/>
      </w:pPr>
      <w:bookmarkStart w:id="13" w:name="_Hlk96942261"/>
      <w:r w:rsidRPr="00332C4C">
        <w:rPr>
          <w:rFonts w:cs="Arial"/>
          <w:szCs w:val="28"/>
        </w:rPr>
        <w:t xml:space="preserve">- </w:t>
      </w:r>
      <w:r w:rsidRPr="00332C4C">
        <w:t>Recibir, tramitar y resolver las solicitudes para el otorgamiento de concesiones, permisos y autorizaciones relativos al servicio público de transporte.</w:t>
      </w:r>
      <w:bookmarkEnd w:id="13"/>
      <w:r w:rsidRPr="00332C4C">
        <w:t xml:space="preserve"> </w:t>
      </w:r>
    </w:p>
    <w:p w14:paraId="5B983B0E" w14:textId="769F2005" w:rsidR="008F41FD" w:rsidRPr="00332C4C" w:rsidRDefault="000776B6" w:rsidP="00332C4C">
      <w:pPr>
        <w:spacing w:before="240" w:after="240" w:line="360" w:lineRule="auto"/>
        <w:ind w:left="284"/>
        <w:jc w:val="both"/>
      </w:pPr>
      <w:r w:rsidRPr="00332C4C">
        <w:t>- Autorizar y revisar la elaboración de estudios técnicos y económicos que soliciten los concesionarios, previa verificación del pago de derechos.</w:t>
      </w:r>
    </w:p>
    <w:p w14:paraId="71D0E99D" w14:textId="1EDE2CA3" w:rsidR="000776B6" w:rsidRPr="00332C4C" w:rsidRDefault="000776B6" w:rsidP="00332C4C">
      <w:pPr>
        <w:spacing w:before="240" w:after="240" w:line="360" w:lineRule="auto"/>
        <w:ind w:left="284"/>
        <w:jc w:val="both"/>
        <w:rPr>
          <w:rFonts w:cs="Arial"/>
          <w:szCs w:val="28"/>
        </w:rPr>
      </w:pPr>
      <w:r w:rsidRPr="00332C4C">
        <w:lastRenderedPageBreak/>
        <w:t>- Elaborar los estudios técnicos que correspondan al área geográfica de su competencia conforme a la normatividad de la materia y verificar el cumplimiento de las normas técnicas emitidas por la Secretaría.</w:t>
      </w:r>
    </w:p>
    <w:p w14:paraId="3A246FEE" w14:textId="7F6C729E" w:rsidR="008715ED" w:rsidRPr="00332C4C" w:rsidRDefault="000776B6" w:rsidP="00332C4C">
      <w:pPr>
        <w:spacing w:before="240" w:after="240" w:line="360" w:lineRule="auto"/>
        <w:ind w:left="284"/>
        <w:jc w:val="both"/>
        <w:rPr>
          <w:rFonts w:cs="Arial"/>
          <w:szCs w:val="28"/>
        </w:rPr>
      </w:pPr>
      <w:bookmarkStart w:id="14" w:name="_Hlk96942275"/>
      <w:r w:rsidRPr="00332C4C">
        <w:rPr>
          <w:rFonts w:cs="Arial"/>
          <w:szCs w:val="28"/>
        </w:rPr>
        <w:t xml:space="preserve">- </w:t>
      </w:r>
      <w:r w:rsidRPr="00332C4C">
        <w:t>Integrar, registrar y actualizar los datos, informes y documentos relacionados con las concesiones, permisos, autorizaciones y control vehicular, relativas al servicio público de transporte, así como con los vehículos que prestan un servicio a la población para coadyuvar en el cumplimiento de acciones y programas que se establezcan por la Secretaría.</w:t>
      </w:r>
    </w:p>
    <w:bookmarkEnd w:id="14"/>
    <w:p w14:paraId="3105CF5A" w14:textId="544AFD13" w:rsidR="007F5427" w:rsidRPr="00332C4C" w:rsidRDefault="006C3F3B" w:rsidP="00332C4C">
      <w:pPr>
        <w:spacing w:before="120" w:after="120" w:line="360" w:lineRule="auto"/>
        <w:ind w:right="49"/>
        <w:jc w:val="both"/>
        <w:rPr>
          <w:rFonts w:eastAsia="Palatino Linotype" w:cs="Palatino Linotype"/>
        </w:rPr>
      </w:pPr>
      <w:r w:rsidRPr="00332C4C">
        <w:rPr>
          <w:rFonts w:cs="Arial"/>
          <w:szCs w:val="28"/>
        </w:rPr>
        <w:t>Ahora bien, d</w:t>
      </w:r>
      <w:r w:rsidR="007F5427" w:rsidRPr="00332C4C">
        <w:t xml:space="preserve">e manera preliminar, es imprescindible señalar que no escapa de la óptica de este Órgano Garante que el particular requiere diversa información de la “ruta 18” o “ruta 18 ramal”, dando como referencia que corre de Jesús del Monte al Metro Cuatro Caminos, y que el </w:t>
      </w:r>
      <w:r w:rsidR="007F5427" w:rsidRPr="00332C4C">
        <w:rPr>
          <w:b/>
          <w:bCs/>
        </w:rPr>
        <w:t>Sujeto Obligado</w:t>
      </w:r>
      <w:r w:rsidR="007F5427" w:rsidRPr="00332C4C">
        <w:t xml:space="preserve">, al interpretar la solicitud de información de manera literal, manifestó que no encontró alguna empresa con la denominación “Ruta 18 Ramal que corre de Jesús del Monte al metro Cuatro Caminos”, no obstante, no debe perderse de vista que derecho de acceso a la información pública no implica que los solicitantes tengan la obligación de ser expertos en la materia para poder ejercerlo, siendo obligación de los Sujetos Obligados y de este Órgano Garante, aplicar la facultad de suplencia en favor de los particulares, de conformidad con lo previsto </w:t>
      </w:r>
      <w:r w:rsidR="007F5427" w:rsidRPr="00332C4C">
        <w:rPr>
          <w:rFonts w:eastAsia="Palatino Linotype" w:cs="Palatino Linotype"/>
        </w:rPr>
        <w:t>artículos 13</w:t>
      </w:r>
      <w:r w:rsidR="007F5427" w:rsidRPr="00332C4C">
        <w:rPr>
          <w:rFonts w:eastAsia="Palatino Linotype" w:cs="Palatino Linotype"/>
          <w:vertAlign w:val="superscript"/>
        </w:rPr>
        <w:footnoteReference w:id="5"/>
      </w:r>
      <w:r w:rsidR="007F5427" w:rsidRPr="00332C4C">
        <w:rPr>
          <w:rFonts w:eastAsia="Palatino Linotype" w:cs="Palatino Linotype"/>
        </w:rPr>
        <w:t xml:space="preserve"> y 181</w:t>
      </w:r>
      <w:r w:rsidR="007F5427" w:rsidRPr="00332C4C">
        <w:rPr>
          <w:rFonts w:eastAsia="Palatino Linotype" w:cs="Palatino Linotype"/>
          <w:vertAlign w:val="superscript"/>
        </w:rPr>
        <w:footnoteReference w:id="6"/>
      </w:r>
      <w:r w:rsidR="007F5427" w:rsidRPr="00332C4C">
        <w:rPr>
          <w:rFonts w:eastAsia="Palatino Linotype" w:cs="Palatino Linotype"/>
        </w:rPr>
        <w:t xml:space="preserve"> párrafo cuarto de </w:t>
      </w:r>
      <w:r w:rsidR="007F5427" w:rsidRPr="00332C4C">
        <w:rPr>
          <w:rFonts w:eastAsia="Palatino Linotype" w:cs="Palatino Linotype"/>
        </w:rPr>
        <w:lastRenderedPageBreak/>
        <w:t>la Ley de Transparencia y Acceso a la Información Pública del Estado de México y Municipios, con la finalidad de garantizar plenamente dicho derecho humano.</w:t>
      </w:r>
    </w:p>
    <w:p w14:paraId="46F07049" w14:textId="77777777" w:rsidR="007F5427" w:rsidRPr="00332C4C" w:rsidRDefault="007F5427" w:rsidP="00332C4C">
      <w:pPr>
        <w:spacing w:before="120" w:after="120" w:line="360" w:lineRule="auto"/>
        <w:ind w:right="49"/>
        <w:jc w:val="both"/>
      </w:pPr>
      <w:r w:rsidRPr="00332C4C">
        <w:rPr>
          <w:rFonts w:eastAsia="Palatino Linotype" w:cs="Palatino Linotype"/>
        </w:rPr>
        <w:t xml:space="preserve">En el caso concreto, de la interpretación de los requerimientos, no se advierte que el particular refiera que la expresión </w:t>
      </w:r>
      <w:r w:rsidRPr="00332C4C">
        <w:t xml:space="preserve">“Ruta 18 Ramal que corre de Jesús del Monte al metro Cuatro Caminos”, corresponda con la denominación o razón social de alguna persona moral, sino que dicha expresión se proporcionó únicamente como una referencia de la información que se solicita, por tanto, el </w:t>
      </w:r>
      <w:r w:rsidRPr="00332C4C">
        <w:rPr>
          <w:b/>
        </w:rPr>
        <w:t>Sujeto Obligado</w:t>
      </w:r>
      <w:r w:rsidRPr="00332C4C">
        <w:t xml:space="preserve">, al ser el responsable de generar, administrar o poseer la información relacionada con el otorgamiento de concesiones, permisos y autorizaciones relativos al servicio público de transporte, es quien, en la </w:t>
      </w:r>
      <w:r w:rsidRPr="00332C4C">
        <w:rPr>
          <w:i/>
          <w:iCs/>
        </w:rPr>
        <w:t>praxis,</w:t>
      </w:r>
      <w:r w:rsidRPr="00332C4C">
        <w:t xml:space="preserve"> cuenta con las herramientas necesarias para que, derivado de la interpretación extensiva los planteamientos vertidos por el particular, pueda atribuirles un significado cuya expresión obre en un soporte documental.</w:t>
      </w:r>
    </w:p>
    <w:p w14:paraId="11106A07" w14:textId="77777777" w:rsidR="007F5427" w:rsidRPr="00332C4C" w:rsidRDefault="007F5427" w:rsidP="00332C4C">
      <w:pPr>
        <w:spacing w:before="240" w:after="240" w:line="360" w:lineRule="auto"/>
        <w:jc w:val="both"/>
        <w:rPr>
          <w:rFonts w:eastAsia="Palatino Linotype" w:cs="Palatino Linotype"/>
        </w:rPr>
      </w:pPr>
      <w:r w:rsidRPr="00332C4C">
        <w:rPr>
          <w:rFonts w:eastAsia="Palatino Linotype" w:cs="Palatino Linotype"/>
        </w:rPr>
        <w:t xml:space="preserve">Lo anterior es así, toda vez que </w:t>
      </w:r>
      <w:r w:rsidRPr="00332C4C">
        <w:t xml:space="preserve">es obligación de los Sujetos Obligados dar a las solicitudes una interpretación que les dé una expresión documental, cuando los particulares no identifiquen o señalen de manera clara los documentos que desean obtener, en el entendido de que la materia sus requerimientos </w:t>
      </w:r>
      <w:r w:rsidRPr="00332C4C">
        <w:rPr>
          <w:rFonts w:eastAsia="Palatino Linotype" w:cs="Palatino Linotype"/>
        </w:rPr>
        <w:t>pudiera colmarse documentos previamente generados, adquiridos, transformados, o que se conserven por cualquier título, que se entienda como cualquier registro que documente el ejercicio de sus facultades o actividades sin importar su fuente o fecha de elaboración,  en los que conste la información que es de su interés, debiendo proceder a la entrega de dicho soporte documental, privilegiando el principio de máxima publicidad.</w:t>
      </w:r>
    </w:p>
    <w:p w14:paraId="3DC0494A" w14:textId="77777777" w:rsidR="007F5427" w:rsidRPr="00332C4C" w:rsidRDefault="007F5427" w:rsidP="00332C4C">
      <w:pPr>
        <w:pBdr>
          <w:top w:val="nil"/>
          <w:left w:val="nil"/>
          <w:bottom w:val="nil"/>
          <w:right w:val="nil"/>
          <w:between w:val="nil"/>
        </w:pBdr>
        <w:spacing w:before="240" w:after="240" w:line="360" w:lineRule="auto"/>
        <w:jc w:val="both"/>
        <w:rPr>
          <w:rFonts w:eastAsia="Palatino Linotype" w:cs="Palatino Linotype"/>
        </w:rPr>
      </w:pPr>
      <w:r w:rsidRPr="00332C4C">
        <w:rPr>
          <w:rFonts w:eastAsia="Palatino Linotype" w:cs="Palatino Linotype"/>
        </w:rPr>
        <w:lastRenderedPageBreak/>
        <w:t xml:space="preserve">Como sustento a lo anterior es aplicable el Criterio 16/17, emitido por el Instituto Federal de Acceso a la Información y Protección de Datos, ahora Instituto Nacional de Transparencia, Acceso a la Información y Protección de Datos Personales, establece lo siguiente: </w:t>
      </w:r>
    </w:p>
    <w:p w14:paraId="14C85EF2" w14:textId="77777777" w:rsidR="007F5427" w:rsidRPr="00332C4C" w:rsidRDefault="007F5427" w:rsidP="00332C4C">
      <w:pPr>
        <w:pBdr>
          <w:top w:val="nil"/>
          <w:left w:val="nil"/>
          <w:bottom w:val="nil"/>
          <w:right w:val="nil"/>
          <w:between w:val="nil"/>
        </w:pBdr>
        <w:spacing w:after="120"/>
        <w:ind w:left="851" w:right="902"/>
        <w:jc w:val="both"/>
        <w:rPr>
          <w:rFonts w:eastAsia="Palatino Linotype" w:cs="Palatino Linotype"/>
          <w:sz w:val="22"/>
          <w:szCs w:val="22"/>
        </w:rPr>
      </w:pPr>
      <w:r w:rsidRPr="00332C4C">
        <w:rPr>
          <w:sz w:val="22"/>
          <w:szCs w:val="22"/>
        </w:rPr>
        <w:t xml:space="preserve"> “</w:t>
      </w:r>
      <w:r w:rsidRPr="00332C4C">
        <w:rPr>
          <w:rFonts w:eastAsia="Palatino Linotype" w:cs="Palatino Linotype"/>
          <w:b/>
          <w:i/>
          <w:sz w:val="22"/>
          <w:szCs w:val="22"/>
        </w:rPr>
        <w:t xml:space="preserve">Expresión documental. </w:t>
      </w:r>
      <w:r w:rsidRPr="00332C4C">
        <w:rPr>
          <w:rFonts w:eastAsia="Palatino Linotype" w:cs="Palatino Linotype"/>
          <w:i/>
          <w:sz w:val="22"/>
          <w:szCs w:val="22"/>
        </w:rPr>
        <w:t>Cuando los particulares presenten solicitudes de acceso a la información sin identificar de forma precisa la documentación que pudiera contener la información de su interés, o bien, la solicitud constituya una consulta, pero la respuesta pudiera obrar en algún documento en poder de los sujetos obligados, éstos deben dar a dichas solicitudes una interpretación que les otorgue una expresión documental.”</w:t>
      </w:r>
    </w:p>
    <w:p w14:paraId="08341278" w14:textId="2981FE1F" w:rsidR="00BC6A9C" w:rsidRPr="00332C4C" w:rsidRDefault="006C3F3B" w:rsidP="00332C4C">
      <w:pPr>
        <w:spacing w:before="240" w:after="240" w:line="360" w:lineRule="auto"/>
        <w:ind w:right="51"/>
        <w:jc w:val="both"/>
        <w:rPr>
          <w:rFonts w:eastAsia="Palatino Linotype"/>
        </w:rPr>
      </w:pPr>
      <w:r w:rsidRPr="00332C4C">
        <w:rPr>
          <w:b/>
        </w:rPr>
        <w:t>Aclarado lo anterior, respecto de</w:t>
      </w:r>
      <w:r w:rsidR="008F39FD" w:rsidRPr="00332C4C">
        <w:rPr>
          <w:b/>
        </w:rPr>
        <w:t xml:space="preserve"> </w:t>
      </w:r>
      <w:r w:rsidRPr="00332C4C">
        <w:rPr>
          <w:b/>
        </w:rPr>
        <w:t>l</w:t>
      </w:r>
      <w:r w:rsidR="008F39FD" w:rsidRPr="00332C4C">
        <w:rPr>
          <w:b/>
        </w:rPr>
        <w:t>os</w:t>
      </w:r>
      <w:r w:rsidRPr="00332C4C">
        <w:rPr>
          <w:b/>
        </w:rPr>
        <w:t xml:space="preserve"> punto</w:t>
      </w:r>
      <w:r w:rsidR="008F39FD" w:rsidRPr="00332C4C">
        <w:rPr>
          <w:b/>
        </w:rPr>
        <w:t>s</w:t>
      </w:r>
      <w:r w:rsidRPr="00332C4C">
        <w:rPr>
          <w:b/>
        </w:rPr>
        <w:t xml:space="preserve"> 1</w:t>
      </w:r>
      <w:r w:rsidR="005E031C" w:rsidRPr="00332C4C">
        <w:rPr>
          <w:rFonts w:eastAsia="Calibri" w:cs="Arial"/>
          <w:b/>
        </w:rPr>
        <w:t xml:space="preserve"> </w:t>
      </w:r>
      <w:r w:rsidR="008F39FD" w:rsidRPr="00332C4C">
        <w:rPr>
          <w:b/>
        </w:rPr>
        <w:t xml:space="preserve"> y 9</w:t>
      </w:r>
      <w:r w:rsidRPr="00332C4C">
        <w:rPr>
          <w:b/>
        </w:rPr>
        <w:t xml:space="preserve">, mediante </w:t>
      </w:r>
      <w:r w:rsidR="008F39FD" w:rsidRPr="00332C4C">
        <w:rPr>
          <w:b/>
        </w:rPr>
        <w:t xml:space="preserve">los </w:t>
      </w:r>
      <w:r w:rsidRPr="00332C4C">
        <w:rPr>
          <w:b/>
        </w:rPr>
        <w:t>cual</w:t>
      </w:r>
      <w:r w:rsidR="008F39FD" w:rsidRPr="00332C4C">
        <w:rPr>
          <w:b/>
        </w:rPr>
        <w:t>es</w:t>
      </w:r>
      <w:r w:rsidRPr="00332C4C">
        <w:rPr>
          <w:b/>
        </w:rPr>
        <w:t xml:space="preserve"> se requiere </w:t>
      </w:r>
      <w:r w:rsidR="00E41341" w:rsidRPr="00332C4C">
        <w:rPr>
          <w:b/>
        </w:rPr>
        <w:t>el instrumento mediante el cual se formalizó el otorgamiento de la concesi</w:t>
      </w:r>
      <w:r w:rsidR="008F39FD" w:rsidRPr="00332C4C">
        <w:rPr>
          <w:b/>
        </w:rPr>
        <w:t>ón</w:t>
      </w:r>
      <w:r w:rsidR="00E41341" w:rsidRPr="00332C4C">
        <w:rPr>
          <w:rFonts w:eastAsia="Palatino Linotype" w:cs="Palatino Linotype"/>
          <w:b/>
          <w:lang w:val="es-MX"/>
        </w:rPr>
        <w:t xml:space="preserve"> </w:t>
      </w:r>
      <w:r w:rsidR="008F39FD" w:rsidRPr="00332C4C">
        <w:rPr>
          <w:rFonts w:eastAsia="Palatino Linotype" w:cs="Palatino Linotype"/>
          <w:b/>
          <w:lang w:val="es-MX"/>
        </w:rPr>
        <w:t>y la publicación mediante la cual se otorgó la concesión a la asociación que actualmente es titular de</w:t>
      </w:r>
      <w:r w:rsidR="008F39FD" w:rsidRPr="00332C4C">
        <w:rPr>
          <w:b/>
        </w:rPr>
        <w:t xml:space="preserve"> la ruta ramal 18 que corre de </w:t>
      </w:r>
      <w:r w:rsidR="008F39FD" w:rsidRPr="00332C4C">
        <w:rPr>
          <w:rFonts w:eastAsia="Palatino Linotype" w:cs="Palatino Linotype"/>
          <w:b/>
          <w:lang w:val="es-MX"/>
        </w:rPr>
        <w:t xml:space="preserve">Jesús del Monte al Metro Cuatro Caminos, </w:t>
      </w:r>
      <w:r w:rsidR="00E41341" w:rsidRPr="00332C4C">
        <w:rPr>
          <w:rFonts w:eastAsia="Palatino Linotype" w:cs="Palatino Linotype"/>
          <w:lang w:val="es-MX"/>
        </w:rPr>
        <w:t xml:space="preserve">el </w:t>
      </w:r>
      <w:r w:rsidR="00E41341" w:rsidRPr="00332C4C">
        <w:rPr>
          <w:rFonts w:eastAsia="Palatino Linotype" w:cs="Palatino Linotype"/>
          <w:b/>
          <w:lang w:val="es-MX"/>
        </w:rPr>
        <w:t xml:space="preserve">Sujeto Obligado </w:t>
      </w:r>
      <w:r w:rsidR="00E41341" w:rsidRPr="00332C4C">
        <w:rPr>
          <w:rFonts w:eastAsia="Palatino Linotype"/>
        </w:rPr>
        <w:t>fue omiso en emitir pronunciamiento alguno</w:t>
      </w:r>
      <w:r w:rsidR="008F39FD" w:rsidRPr="00332C4C">
        <w:rPr>
          <w:rFonts w:eastAsia="Palatino Linotype"/>
        </w:rPr>
        <w:t xml:space="preserve"> respecto del primer punto y, por cuanto hace al segundo </w:t>
      </w:r>
      <w:r w:rsidR="003B5211" w:rsidRPr="00332C4C">
        <w:rPr>
          <w:rFonts w:eastAsia="Palatino Linotype"/>
        </w:rPr>
        <w:t xml:space="preserve">refirió que el otorgamiento de concesiones para la prestación del transporte público en cualquier modalidad </w:t>
      </w:r>
      <w:r w:rsidR="00DE70FE" w:rsidRPr="00332C4C">
        <w:rPr>
          <w:rFonts w:eastAsia="Palatino Linotype"/>
        </w:rPr>
        <w:t xml:space="preserve">no se publicaba mediante algún medio, sino una vez que se </w:t>
      </w:r>
      <w:r w:rsidR="00BC6A9C" w:rsidRPr="00332C4C">
        <w:rPr>
          <w:rFonts w:eastAsia="Palatino Linotype"/>
        </w:rPr>
        <w:t>cumple con lo dispuesto para el otorgamiento y materialización de las concesiones de conformidad con los artículos 17, 18, 19, 20, 21, 22, 23 y 24 del Reglamento del Transporte Público y Servicios Conexos del Estado de México.</w:t>
      </w:r>
    </w:p>
    <w:p w14:paraId="39BA372A" w14:textId="78C31F7A" w:rsidR="00C62017" w:rsidRPr="00332C4C" w:rsidRDefault="000644B8" w:rsidP="00332C4C">
      <w:pPr>
        <w:spacing w:before="240" w:after="240" w:line="360" w:lineRule="auto"/>
        <w:ind w:right="51"/>
        <w:jc w:val="both"/>
        <w:rPr>
          <w:rFonts w:eastAsia="Palatino Linotype"/>
        </w:rPr>
      </w:pPr>
      <w:r w:rsidRPr="00332C4C">
        <w:rPr>
          <w:rFonts w:eastAsia="Palatino Linotype"/>
        </w:rPr>
        <w:t xml:space="preserve">En tal sentido, es </w:t>
      </w:r>
      <w:r w:rsidR="00B816F3" w:rsidRPr="00332C4C">
        <w:rPr>
          <w:rFonts w:eastAsia="Palatino Linotype"/>
        </w:rPr>
        <w:t>i</w:t>
      </w:r>
      <w:r w:rsidR="00C17316" w:rsidRPr="00332C4C">
        <w:t>ndispensable menciona</w:t>
      </w:r>
      <w:r w:rsidR="00B816F3" w:rsidRPr="00332C4C">
        <w:t xml:space="preserve">r </w:t>
      </w:r>
      <w:r w:rsidR="00C17316" w:rsidRPr="00332C4C">
        <w:t>que</w:t>
      </w:r>
      <w:r w:rsidR="00C62017" w:rsidRPr="00332C4C">
        <w:t xml:space="preserve">, de conformidad con el párrafo segundo del artículo 68 del </w:t>
      </w:r>
      <w:r w:rsidR="00C62017" w:rsidRPr="00332C4C">
        <w:rPr>
          <w:rFonts w:eastAsia="Palatino Linotype"/>
        </w:rPr>
        <w:t>Reglamento del Transporte Público</w:t>
      </w:r>
      <w:r w:rsidR="00E87E20" w:rsidRPr="00332C4C">
        <w:rPr>
          <w:rFonts w:eastAsia="Palatino Linotype"/>
        </w:rPr>
        <w:t xml:space="preserve">, ninguna ruta puede crearse, si no es mediante el otorgamiento de concesiones para satisfacerla, </w:t>
      </w:r>
      <w:r w:rsidR="00606C16" w:rsidRPr="00332C4C">
        <w:rPr>
          <w:rFonts w:eastAsia="Palatino Linotype"/>
        </w:rPr>
        <w:t>a saber:</w:t>
      </w:r>
    </w:p>
    <w:p w14:paraId="3120E5A7" w14:textId="77777777" w:rsidR="005121AF" w:rsidRDefault="005121AF" w:rsidP="00332C4C">
      <w:pPr>
        <w:spacing w:before="240" w:after="240"/>
        <w:ind w:left="851" w:right="900"/>
        <w:jc w:val="both"/>
        <w:rPr>
          <w:b/>
          <w:i/>
          <w:iCs/>
          <w:sz w:val="22"/>
          <w:szCs w:val="22"/>
        </w:rPr>
      </w:pPr>
    </w:p>
    <w:p w14:paraId="77238BC0" w14:textId="676F3A6A" w:rsidR="00606C16" w:rsidRPr="00332C4C" w:rsidRDefault="00606C16" w:rsidP="00332C4C">
      <w:pPr>
        <w:spacing w:before="240" w:after="240"/>
        <w:ind w:left="851" w:right="900"/>
        <w:jc w:val="both"/>
        <w:rPr>
          <w:i/>
          <w:iCs/>
          <w:sz w:val="22"/>
          <w:szCs w:val="22"/>
        </w:rPr>
      </w:pPr>
      <w:r w:rsidRPr="00332C4C">
        <w:rPr>
          <w:b/>
          <w:i/>
          <w:iCs/>
          <w:sz w:val="22"/>
          <w:szCs w:val="22"/>
        </w:rPr>
        <w:lastRenderedPageBreak/>
        <w:t>“ARTICULO 68</w:t>
      </w:r>
      <w:r w:rsidRPr="00332C4C">
        <w:rPr>
          <w:i/>
          <w:iCs/>
          <w:sz w:val="22"/>
          <w:szCs w:val="22"/>
        </w:rPr>
        <w:t>…</w:t>
      </w:r>
    </w:p>
    <w:p w14:paraId="29B54687" w14:textId="77777777" w:rsidR="00606C16" w:rsidRPr="00332C4C" w:rsidRDefault="00606C16" w:rsidP="00332C4C">
      <w:pPr>
        <w:spacing w:before="240" w:after="240"/>
        <w:ind w:left="851" w:right="900"/>
        <w:jc w:val="both"/>
        <w:rPr>
          <w:i/>
          <w:iCs/>
          <w:sz w:val="22"/>
          <w:szCs w:val="22"/>
        </w:rPr>
      </w:pPr>
      <w:r w:rsidRPr="00332C4C">
        <w:rPr>
          <w:b/>
          <w:i/>
          <w:iCs/>
          <w:sz w:val="22"/>
          <w:szCs w:val="22"/>
        </w:rPr>
        <w:t>Ninguna ruta podrá crearse si no es mediante el otorgamiento de concesiones para satisfacerla</w:t>
      </w:r>
      <w:r w:rsidRPr="00332C4C">
        <w:rPr>
          <w:i/>
          <w:iCs/>
          <w:sz w:val="22"/>
          <w:szCs w:val="22"/>
        </w:rPr>
        <w:t>, para lo cual deberá seguirse el procedimiento establecido en este Reglamento.”</w:t>
      </w:r>
    </w:p>
    <w:p w14:paraId="4D917F2E" w14:textId="3859B716" w:rsidR="00C17316" w:rsidRPr="00332C4C" w:rsidRDefault="009A7A1E" w:rsidP="00332C4C">
      <w:pPr>
        <w:spacing w:before="240" w:after="240" w:line="360" w:lineRule="auto"/>
        <w:ind w:right="51"/>
        <w:jc w:val="both"/>
        <w:rPr>
          <w:rFonts w:eastAsia="Palatino Linotype"/>
        </w:rPr>
      </w:pPr>
      <w:r w:rsidRPr="00332C4C">
        <w:rPr>
          <w:rFonts w:eastAsia="Calibri" w:cs="Arial"/>
        </w:rPr>
        <w:t>E</w:t>
      </w:r>
      <w:r w:rsidR="00C17316" w:rsidRPr="00332C4C">
        <w:rPr>
          <w:rFonts w:eastAsia="Calibri" w:cs="Arial"/>
        </w:rPr>
        <w:t>l otorgamiento de concesiones para la prestación del servicio público en los casos previstos en el Código Administrativo del Estado de México y el Reglamento del Transporte Público, se efectúa por concurso o por asignación directa, en el primer caso respecto a las concesiones de servicios de nueva creación, para atender determinada necesidad pública insatisfecha, y, en el segundo, respecto de las concesiones que son necesarias para adecuar los servicios existentes en operación, a nuevas demandas de servicio que impliquen la aplicación de los existentes, de conformidad con el artículo 17 del Reglamento del Transporte Público.</w:t>
      </w:r>
    </w:p>
    <w:p w14:paraId="61C8D675" w14:textId="53EB789F" w:rsidR="00C17316" w:rsidRPr="00332C4C" w:rsidRDefault="00504A65" w:rsidP="00332C4C">
      <w:pPr>
        <w:spacing w:before="240" w:after="240" w:line="360" w:lineRule="auto"/>
        <w:ind w:right="49"/>
        <w:jc w:val="both"/>
        <w:rPr>
          <w:rFonts w:eastAsia="Calibri" w:cs="Arial"/>
        </w:rPr>
      </w:pPr>
      <w:r w:rsidRPr="00332C4C">
        <w:rPr>
          <w:rFonts w:eastAsia="Calibri" w:cs="Arial"/>
        </w:rPr>
        <w:t>E</w:t>
      </w:r>
      <w:r w:rsidR="00C17316" w:rsidRPr="00332C4C">
        <w:rPr>
          <w:rFonts w:eastAsia="Calibri" w:cs="Arial"/>
        </w:rPr>
        <w:t xml:space="preserve">l procedimiento para el otorgamiento de concesiones por </w:t>
      </w:r>
      <w:r w:rsidR="00C17316" w:rsidRPr="00332C4C">
        <w:rPr>
          <w:rFonts w:eastAsia="Calibri" w:cs="Arial"/>
          <w:i/>
        </w:rPr>
        <w:t>concurso</w:t>
      </w:r>
      <w:r w:rsidR="00C17316" w:rsidRPr="00332C4C">
        <w:rPr>
          <w:rFonts w:eastAsia="Calibri" w:cs="Arial"/>
        </w:rPr>
        <w:t xml:space="preserve"> se debe sujetarse a lo siguiente, conforme al artículo 19 del referido Reglamento:</w:t>
      </w:r>
    </w:p>
    <w:p w14:paraId="70D84308" w14:textId="77777777" w:rsidR="00C17316" w:rsidRPr="00332C4C" w:rsidRDefault="00C17316" w:rsidP="00332C4C">
      <w:pPr>
        <w:spacing w:before="120" w:after="120"/>
        <w:ind w:left="851" w:right="900"/>
        <w:jc w:val="both"/>
        <w:rPr>
          <w:rFonts w:eastAsia="Calibri" w:cs="Arial"/>
          <w:i/>
          <w:iCs/>
          <w:sz w:val="22"/>
          <w:szCs w:val="22"/>
        </w:rPr>
      </w:pPr>
      <w:r w:rsidRPr="00332C4C">
        <w:rPr>
          <w:rFonts w:eastAsia="Calibri" w:cs="Arial"/>
          <w:i/>
          <w:iCs/>
          <w:sz w:val="22"/>
          <w:szCs w:val="22"/>
        </w:rPr>
        <w:t>“</w:t>
      </w:r>
      <w:r w:rsidRPr="00332C4C">
        <w:rPr>
          <w:rFonts w:eastAsia="Calibri" w:cs="Arial"/>
          <w:b/>
          <w:bCs/>
          <w:i/>
          <w:iCs/>
          <w:sz w:val="22"/>
          <w:szCs w:val="22"/>
        </w:rPr>
        <w:t>ARTICULO 19.</w:t>
      </w:r>
      <w:r w:rsidRPr="00332C4C">
        <w:rPr>
          <w:rFonts w:eastAsia="Calibri" w:cs="Arial"/>
          <w:i/>
          <w:iCs/>
          <w:sz w:val="22"/>
          <w:szCs w:val="22"/>
        </w:rPr>
        <w:t>- El procedimiento para el otorgamiento de concesiones por concurso, se sujetará a lo siguiente:</w:t>
      </w:r>
    </w:p>
    <w:p w14:paraId="339085C4" w14:textId="77777777" w:rsidR="00C17316" w:rsidRPr="00332C4C" w:rsidRDefault="00C17316" w:rsidP="00332C4C">
      <w:pPr>
        <w:spacing w:before="120" w:after="120"/>
        <w:ind w:left="1134" w:right="900"/>
        <w:jc w:val="both"/>
        <w:rPr>
          <w:i/>
          <w:iCs/>
          <w:sz w:val="22"/>
          <w:szCs w:val="22"/>
        </w:rPr>
      </w:pPr>
      <w:r w:rsidRPr="00332C4C">
        <w:rPr>
          <w:rFonts w:eastAsia="Calibri" w:cs="Arial"/>
          <w:b/>
          <w:bCs/>
          <w:i/>
          <w:iCs/>
          <w:sz w:val="22"/>
          <w:szCs w:val="22"/>
        </w:rPr>
        <w:t>I</w:t>
      </w:r>
      <w:r w:rsidRPr="00332C4C">
        <w:rPr>
          <w:rFonts w:eastAsia="Calibri" w:cs="Arial"/>
          <w:i/>
          <w:iCs/>
          <w:sz w:val="22"/>
          <w:szCs w:val="22"/>
        </w:rPr>
        <w:t xml:space="preserve">. Con base en los planes de desarrollo urbano y sus programas y atendiendo al avance de los mismos, de </w:t>
      </w:r>
      <w:r w:rsidRPr="00332C4C">
        <w:rPr>
          <w:rFonts w:eastAsia="Calibri" w:cs="Arial"/>
          <w:b/>
          <w:i/>
          <w:iCs/>
          <w:sz w:val="22"/>
          <w:szCs w:val="22"/>
        </w:rPr>
        <w:t xml:space="preserve">oficio la autoridad de transporte determinará durante el mes de febrero de cada año </w:t>
      </w:r>
      <w:r w:rsidRPr="00332C4C">
        <w:rPr>
          <w:b/>
          <w:i/>
          <w:iCs/>
          <w:sz w:val="22"/>
          <w:szCs w:val="22"/>
        </w:rPr>
        <w:t>si es o no procedente realizar estudios técnicos para declarar la existencia de necesidad pública de transporte que deba ser satisfecha con servicios de nueva creación.</w:t>
      </w:r>
    </w:p>
    <w:p w14:paraId="4A686D6B" w14:textId="77777777" w:rsidR="00C17316" w:rsidRPr="00332C4C" w:rsidRDefault="00C17316" w:rsidP="00332C4C">
      <w:pPr>
        <w:spacing w:before="120" w:after="120"/>
        <w:ind w:left="1134" w:right="900"/>
        <w:jc w:val="both"/>
        <w:rPr>
          <w:i/>
          <w:iCs/>
          <w:sz w:val="22"/>
          <w:szCs w:val="22"/>
        </w:rPr>
      </w:pPr>
      <w:r w:rsidRPr="00332C4C">
        <w:rPr>
          <w:b/>
          <w:bCs/>
          <w:i/>
          <w:iCs/>
          <w:sz w:val="22"/>
          <w:szCs w:val="22"/>
        </w:rPr>
        <w:t>II</w:t>
      </w:r>
      <w:r w:rsidRPr="00332C4C">
        <w:rPr>
          <w:i/>
          <w:iCs/>
          <w:sz w:val="22"/>
          <w:szCs w:val="22"/>
        </w:rPr>
        <w:t>. En caso de que se determine la realización de estudios para declarar la existencia de necesidad pública de transporte, éstos deben contener:</w:t>
      </w:r>
    </w:p>
    <w:p w14:paraId="233A8B13" w14:textId="77777777" w:rsidR="00C17316" w:rsidRPr="00332C4C" w:rsidRDefault="00C17316" w:rsidP="00332C4C">
      <w:pPr>
        <w:spacing w:before="120" w:after="120"/>
        <w:ind w:left="1134" w:right="900"/>
        <w:jc w:val="both"/>
        <w:rPr>
          <w:i/>
          <w:iCs/>
          <w:sz w:val="22"/>
          <w:szCs w:val="22"/>
        </w:rPr>
      </w:pPr>
      <w:r w:rsidRPr="00332C4C">
        <w:rPr>
          <w:i/>
          <w:iCs/>
          <w:sz w:val="22"/>
          <w:szCs w:val="22"/>
        </w:rPr>
        <w:t xml:space="preserve">[...] </w:t>
      </w:r>
    </w:p>
    <w:p w14:paraId="17F60C48" w14:textId="77777777" w:rsidR="00C17316" w:rsidRPr="00332C4C" w:rsidRDefault="00C17316" w:rsidP="00332C4C">
      <w:pPr>
        <w:spacing w:before="120" w:after="120"/>
        <w:ind w:left="1134" w:right="900"/>
        <w:jc w:val="both"/>
        <w:rPr>
          <w:i/>
          <w:iCs/>
          <w:sz w:val="22"/>
          <w:szCs w:val="22"/>
        </w:rPr>
      </w:pPr>
      <w:r w:rsidRPr="00332C4C">
        <w:rPr>
          <w:b/>
          <w:bCs/>
          <w:i/>
          <w:iCs/>
          <w:sz w:val="22"/>
          <w:szCs w:val="22"/>
        </w:rPr>
        <w:t>III</w:t>
      </w:r>
      <w:r w:rsidRPr="00332C4C">
        <w:rPr>
          <w:i/>
          <w:iCs/>
          <w:sz w:val="22"/>
          <w:szCs w:val="22"/>
        </w:rPr>
        <w:t>. Realizado el estudio a que se refiere la fracción anterior</w:t>
      </w:r>
      <w:r w:rsidRPr="00332C4C">
        <w:rPr>
          <w:b/>
          <w:bCs/>
          <w:i/>
          <w:iCs/>
          <w:sz w:val="22"/>
          <w:szCs w:val="22"/>
        </w:rPr>
        <w:t>, si del mismo se advierte necesidad pública insatisfecha, la autoridad de transporte expedirá la declaratoria correspondiente,</w:t>
      </w:r>
      <w:r w:rsidRPr="00332C4C">
        <w:rPr>
          <w:i/>
          <w:iCs/>
          <w:sz w:val="22"/>
          <w:szCs w:val="22"/>
        </w:rPr>
        <w:t xml:space="preserve"> en la que se expresará lo siguiente: </w:t>
      </w:r>
    </w:p>
    <w:p w14:paraId="5541D85B" w14:textId="77777777" w:rsidR="00C17316" w:rsidRPr="00332C4C" w:rsidRDefault="00C17316" w:rsidP="00332C4C">
      <w:pPr>
        <w:spacing w:before="120" w:after="120"/>
        <w:ind w:left="1134" w:right="900"/>
        <w:jc w:val="both"/>
        <w:rPr>
          <w:b/>
          <w:bCs/>
          <w:i/>
          <w:iCs/>
          <w:sz w:val="22"/>
          <w:szCs w:val="22"/>
        </w:rPr>
      </w:pPr>
      <w:r w:rsidRPr="00332C4C">
        <w:rPr>
          <w:b/>
          <w:bCs/>
          <w:i/>
          <w:iCs/>
          <w:sz w:val="22"/>
          <w:szCs w:val="22"/>
        </w:rPr>
        <w:lastRenderedPageBreak/>
        <w:t>[...]</w:t>
      </w:r>
    </w:p>
    <w:p w14:paraId="5A160FB8" w14:textId="77777777" w:rsidR="00C17316" w:rsidRPr="00332C4C" w:rsidRDefault="00C17316" w:rsidP="00332C4C">
      <w:pPr>
        <w:spacing w:before="120" w:after="120"/>
        <w:ind w:left="1134" w:right="900"/>
        <w:jc w:val="both"/>
        <w:rPr>
          <w:i/>
          <w:iCs/>
          <w:sz w:val="22"/>
          <w:szCs w:val="22"/>
        </w:rPr>
      </w:pPr>
      <w:r w:rsidRPr="00332C4C">
        <w:rPr>
          <w:b/>
          <w:bCs/>
          <w:i/>
          <w:iCs/>
          <w:sz w:val="22"/>
          <w:szCs w:val="22"/>
        </w:rPr>
        <w:t>IV.</w:t>
      </w:r>
      <w:r w:rsidRPr="00332C4C">
        <w:rPr>
          <w:i/>
          <w:iCs/>
          <w:sz w:val="22"/>
          <w:szCs w:val="22"/>
        </w:rPr>
        <w:t xml:space="preserve"> </w:t>
      </w:r>
      <w:r w:rsidRPr="00332C4C">
        <w:rPr>
          <w:b/>
          <w:bCs/>
          <w:i/>
          <w:iCs/>
          <w:sz w:val="22"/>
          <w:szCs w:val="22"/>
        </w:rPr>
        <w:t xml:space="preserve">Emitida la declaratoria de necesidad pública, la autoridad de transporte </w:t>
      </w:r>
      <w:r w:rsidRPr="00332C4C">
        <w:rPr>
          <w:b/>
          <w:bCs/>
          <w:i/>
          <w:iCs/>
          <w:sz w:val="22"/>
          <w:szCs w:val="22"/>
          <w:u w:val="single"/>
        </w:rPr>
        <w:t>expedirá la convocatoria</w:t>
      </w:r>
      <w:r w:rsidRPr="00332C4C">
        <w:rPr>
          <w:i/>
          <w:iCs/>
          <w:sz w:val="22"/>
          <w:szCs w:val="22"/>
        </w:rPr>
        <w:t xml:space="preserve"> que contendrá: </w:t>
      </w:r>
    </w:p>
    <w:p w14:paraId="1B65FEEE" w14:textId="77777777" w:rsidR="00C17316" w:rsidRPr="00332C4C" w:rsidRDefault="00C17316" w:rsidP="00332C4C">
      <w:pPr>
        <w:spacing w:before="120" w:after="120"/>
        <w:ind w:left="1418" w:right="900"/>
        <w:jc w:val="both"/>
        <w:rPr>
          <w:i/>
          <w:iCs/>
          <w:sz w:val="22"/>
          <w:szCs w:val="22"/>
        </w:rPr>
      </w:pPr>
      <w:r w:rsidRPr="00332C4C">
        <w:rPr>
          <w:b/>
          <w:bCs/>
          <w:i/>
          <w:iCs/>
          <w:sz w:val="22"/>
          <w:szCs w:val="22"/>
        </w:rPr>
        <w:t>a)</w:t>
      </w:r>
      <w:r w:rsidRPr="00332C4C">
        <w:rPr>
          <w:i/>
          <w:iCs/>
          <w:sz w:val="22"/>
          <w:szCs w:val="22"/>
        </w:rPr>
        <w:t xml:space="preserve"> Área geográfica que comprenderá el servicio. </w:t>
      </w:r>
    </w:p>
    <w:p w14:paraId="32F1B851" w14:textId="77777777" w:rsidR="00C17316" w:rsidRPr="00332C4C" w:rsidRDefault="00C17316" w:rsidP="00332C4C">
      <w:pPr>
        <w:spacing w:before="120" w:after="120"/>
        <w:ind w:left="1418" w:right="900"/>
        <w:jc w:val="both"/>
        <w:rPr>
          <w:i/>
          <w:iCs/>
          <w:sz w:val="22"/>
          <w:szCs w:val="22"/>
        </w:rPr>
      </w:pPr>
      <w:r w:rsidRPr="00332C4C">
        <w:rPr>
          <w:b/>
          <w:bCs/>
          <w:i/>
          <w:iCs/>
          <w:sz w:val="22"/>
          <w:szCs w:val="22"/>
        </w:rPr>
        <w:t>b)</w:t>
      </w:r>
      <w:r w:rsidRPr="00332C4C">
        <w:rPr>
          <w:i/>
          <w:iCs/>
          <w:sz w:val="22"/>
          <w:szCs w:val="22"/>
        </w:rPr>
        <w:t xml:space="preserve"> Determinación del incremento del servicio señalando el número de concesiones que habrán de licitarse.</w:t>
      </w:r>
    </w:p>
    <w:p w14:paraId="7E38DCAE" w14:textId="77777777" w:rsidR="00C17316" w:rsidRPr="00332C4C" w:rsidRDefault="00C17316" w:rsidP="00332C4C">
      <w:pPr>
        <w:spacing w:before="120" w:after="120"/>
        <w:ind w:left="1418" w:right="900"/>
        <w:jc w:val="both"/>
        <w:rPr>
          <w:i/>
          <w:iCs/>
          <w:sz w:val="22"/>
          <w:szCs w:val="22"/>
        </w:rPr>
      </w:pPr>
      <w:r w:rsidRPr="00332C4C">
        <w:rPr>
          <w:b/>
          <w:bCs/>
          <w:i/>
          <w:iCs/>
          <w:sz w:val="22"/>
          <w:szCs w:val="22"/>
        </w:rPr>
        <w:t>c)</w:t>
      </w:r>
      <w:r w:rsidRPr="00332C4C">
        <w:rPr>
          <w:i/>
          <w:iCs/>
          <w:sz w:val="22"/>
          <w:szCs w:val="22"/>
        </w:rPr>
        <w:t xml:space="preserve"> Clasificación, modalidad y tipo de servicio que deberá proporcionarse. </w:t>
      </w:r>
    </w:p>
    <w:p w14:paraId="6676F692" w14:textId="77777777" w:rsidR="00C17316" w:rsidRPr="00332C4C" w:rsidRDefault="00C17316" w:rsidP="00332C4C">
      <w:pPr>
        <w:spacing w:before="120" w:after="120"/>
        <w:ind w:left="1418" w:right="900"/>
        <w:jc w:val="both"/>
        <w:rPr>
          <w:i/>
          <w:iCs/>
          <w:sz w:val="22"/>
          <w:szCs w:val="22"/>
        </w:rPr>
      </w:pPr>
      <w:r w:rsidRPr="00332C4C">
        <w:rPr>
          <w:b/>
          <w:bCs/>
          <w:i/>
          <w:iCs/>
          <w:sz w:val="22"/>
          <w:szCs w:val="22"/>
        </w:rPr>
        <w:t>d)</w:t>
      </w:r>
      <w:r w:rsidRPr="00332C4C">
        <w:rPr>
          <w:i/>
          <w:iCs/>
          <w:sz w:val="22"/>
          <w:szCs w:val="22"/>
        </w:rPr>
        <w:t xml:space="preserve"> Plazo en el que deberá iniciarse la prestación del servicio. </w:t>
      </w:r>
    </w:p>
    <w:p w14:paraId="7CDE2683" w14:textId="77777777" w:rsidR="00C17316" w:rsidRPr="00332C4C" w:rsidRDefault="00C17316" w:rsidP="00332C4C">
      <w:pPr>
        <w:spacing w:before="120" w:after="120"/>
        <w:ind w:left="1418" w:right="900"/>
        <w:jc w:val="both"/>
        <w:rPr>
          <w:i/>
          <w:iCs/>
          <w:sz w:val="22"/>
          <w:szCs w:val="22"/>
        </w:rPr>
      </w:pPr>
      <w:r w:rsidRPr="00332C4C">
        <w:rPr>
          <w:b/>
          <w:bCs/>
          <w:i/>
          <w:iCs/>
          <w:sz w:val="22"/>
          <w:szCs w:val="22"/>
        </w:rPr>
        <w:t>e)</w:t>
      </w:r>
      <w:r w:rsidRPr="00332C4C">
        <w:rPr>
          <w:i/>
          <w:iCs/>
          <w:sz w:val="22"/>
          <w:szCs w:val="22"/>
        </w:rPr>
        <w:t xml:space="preserve"> Vigencia de las concesiones. </w:t>
      </w:r>
    </w:p>
    <w:p w14:paraId="717869DF" w14:textId="77777777" w:rsidR="00C17316" w:rsidRPr="00332C4C" w:rsidRDefault="00C17316" w:rsidP="00332C4C">
      <w:pPr>
        <w:spacing w:before="120" w:after="120"/>
        <w:ind w:left="1418" w:right="900"/>
        <w:jc w:val="both"/>
        <w:rPr>
          <w:i/>
          <w:iCs/>
          <w:sz w:val="22"/>
          <w:szCs w:val="22"/>
        </w:rPr>
      </w:pPr>
      <w:r w:rsidRPr="00332C4C">
        <w:rPr>
          <w:b/>
          <w:bCs/>
          <w:i/>
          <w:iCs/>
          <w:sz w:val="22"/>
          <w:szCs w:val="22"/>
        </w:rPr>
        <w:t>f)</w:t>
      </w:r>
      <w:r w:rsidRPr="00332C4C">
        <w:rPr>
          <w:i/>
          <w:iCs/>
          <w:sz w:val="22"/>
          <w:szCs w:val="22"/>
        </w:rPr>
        <w:t xml:space="preserve"> Lugar, horario y término dentro del cual deberán presentarse las solicitudes de los concursantes, así como indicación de los documentos que deberán adjuntarse. </w:t>
      </w:r>
    </w:p>
    <w:p w14:paraId="33827AA3" w14:textId="77777777" w:rsidR="00C17316" w:rsidRPr="00332C4C" w:rsidRDefault="00C17316" w:rsidP="00332C4C">
      <w:pPr>
        <w:spacing w:before="120" w:after="120"/>
        <w:ind w:left="1418" w:right="900"/>
        <w:jc w:val="both"/>
        <w:rPr>
          <w:i/>
          <w:iCs/>
          <w:sz w:val="22"/>
          <w:szCs w:val="22"/>
        </w:rPr>
      </w:pPr>
      <w:r w:rsidRPr="00332C4C">
        <w:rPr>
          <w:b/>
          <w:bCs/>
          <w:i/>
          <w:iCs/>
          <w:sz w:val="22"/>
          <w:szCs w:val="22"/>
        </w:rPr>
        <w:t>g)</w:t>
      </w:r>
      <w:r w:rsidRPr="00332C4C">
        <w:rPr>
          <w:i/>
          <w:iCs/>
          <w:sz w:val="22"/>
          <w:szCs w:val="22"/>
        </w:rPr>
        <w:t xml:space="preserve"> Tratándose de transporte masivo, el lugar, horario y periodo en el que se venderán las bases de licitación y costo de las mismas. Las bases de licitación contendrán además de las menciones a que se refiere esta fracción, las que estime necesarias la autoridad del transporte y se complementarán con los estudios técnicos especializados en la materia. </w:t>
      </w:r>
    </w:p>
    <w:p w14:paraId="2FA784F9" w14:textId="77777777" w:rsidR="00C17316" w:rsidRPr="00332C4C" w:rsidRDefault="00C17316" w:rsidP="00332C4C">
      <w:pPr>
        <w:spacing w:before="120" w:after="120"/>
        <w:ind w:left="1134" w:right="900"/>
        <w:jc w:val="both"/>
        <w:rPr>
          <w:rFonts w:eastAsia="Calibri" w:cs="Arial"/>
          <w:i/>
          <w:iCs/>
          <w:sz w:val="22"/>
          <w:szCs w:val="22"/>
        </w:rPr>
      </w:pPr>
      <w:r w:rsidRPr="00332C4C">
        <w:rPr>
          <w:b/>
          <w:bCs/>
          <w:i/>
          <w:iCs/>
          <w:sz w:val="22"/>
          <w:szCs w:val="22"/>
        </w:rPr>
        <w:t>V.</w:t>
      </w:r>
      <w:r w:rsidRPr="00332C4C">
        <w:rPr>
          <w:i/>
          <w:iCs/>
          <w:sz w:val="22"/>
          <w:szCs w:val="22"/>
        </w:rPr>
        <w:t xml:space="preserve"> </w:t>
      </w:r>
      <w:r w:rsidRPr="00332C4C">
        <w:rPr>
          <w:b/>
          <w:bCs/>
          <w:i/>
          <w:iCs/>
          <w:sz w:val="22"/>
          <w:szCs w:val="22"/>
        </w:rPr>
        <w:t xml:space="preserve">La autoridad de transporte podrá modificar la </w:t>
      </w:r>
      <w:r w:rsidRPr="00332C4C">
        <w:rPr>
          <w:b/>
          <w:bCs/>
          <w:i/>
          <w:iCs/>
          <w:sz w:val="22"/>
          <w:szCs w:val="22"/>
          <w:u w:val="single"/>
        </w:rPr>
        <w:t>convocatoria y las bases de licitación</w:t>
      </w:r>
      <w:r w:rsidRPr="00332C4C">
        <w:rPr>
          <w:b/>
          <w:bCs/>
          <w:i/>
          <w:iCs/>
          <w:sz w:val="22"/>
          <w:szCs w:val="22"/>
        </w:rPr>
        <w:t xml:space="preserve"> por causas sobrevenidas de interés general</w:t>
      </w:r>
      <w:r w:rsidRPr="00332C4C">
        <w:rPr>
          <w:i/>
          <w:iCs/>
          <w:sz w:val="22"/>
          <w:szCs w:val="22"/>
        </w:rPr>
        <w:t>, caso fortuito o fuerza mayor. Las modificaciones se publicarán en el mismo medio utilizado para la publicación de la convocatoria, y se notificará personalmente a los adquirentes.”</w:t>
      </w:r>
    </w:p>
    <w:p w14:paraId="6912B7C1" w14:textId="0DAD4580" w:rsidR="00890E5E" w:rsidRPr="00332C4C" w:rsidRDefault="00C17316" w:rsidP="00332C4C">
      <w:pPr>
        <w:spacing w:before="240" w:after="240" w:line="360" w:lineRule="auto"/>
        <w:ind w:right="49"/>
        <w:jc w:val="both"/>
      </w:pPr>
      <w:r w:rsidRPr="00332C4C">
        <w:rPr>
          <w:rFonts w:eastAsia="Calibri" w:cs="Arial"/>
        </w:rPr>
        <w:t xml:space="preserve">La declaratoria de existencia de necesidad pública de transporte y la convocatoria correspondiente, deben publicarse conjuntamente por una sola vez en el periódico oficial "Gaceta del Gobierno" e inscribirse o anotarse según corresponda en el Registro Estatal del Transporte e Infraestructura Vial, y, una vez concluido el concurso, </w:t>
      </w:r>
      <w:r w:rsidRPr="00332C4C">
        <w:t xml:space="preserve">se hará la designación de adjudicatarios y se declarará agotado el procedimiento. La </w:t>
      </w:r>
      <w:r w:rsidRPr="00332C4C">
        <w:rPr>
          <w:b/>
        </w:rPr>
        <w:t>designación de adjudicatarios</w:t>
      </w:r>
      <w:r w:rsidRPr="00332C4C">
        <w:t xml:space="preserve"> y la declaratoria de conclusión del procedimiento antes referida, s</w:t>
      </w:r>
      <w:r w:rsidRPr="00332C4C">
        <w:rPr>
          <w:b/>
        </w:rPr>
        <w:t xml:space="preserve">e publicarán por una sola vez en el periódico </w:t>
      </w:r>
      <w:r w:rsidRPr="00332C4C">
        <w:rPr>
          <w:b/>
        </w:rPr>
        <w:lastRenderedPageBreak/>
        <w:t>oficial "Gaceta del Gobierno",</w:t>
      </w:r>
      <w:r w:rsidRPr="00332C4C">
        <w:t xml:space="preserve"> según se desprende de los artículos 20 y 21 primer párrafo del Reglamento del Transporte Púb</w:t>
      </w:r>
      <w:r w:rsidR="00890E5E" w:rsidRPr="00332C4C">
        <w:t xml:space="preserve">lico, a saber: </w:t>
      </w:r>
    </w:p>
    <w:p w14:paraId="11E61848" w14:textId="65378B21" w:rsidR="00890E5E" w:rsidRPr="00332C4C" w:rsidRDefault="00890E5E" w:rsidP="00332C4C">
      <w:pPr>
        <w:spacing w:before="120" w:after="120"/>
        <w:ind w:left="851" w:right="902"/>
        <w:jc w:val="both"/>
        <w:rPr>
          <w:i/>
          <w:sz w:val="22"/>
        </w:rPr>
      </w:pPr>
      <w:r w:rsidRPr="00332C4C">
        <w:rPr>
          <w:i/>
          <w:sz w:val="22"/>
        </w:rPr>
        <w:t>“</w:t>
      </w:r>
      <w:r w:rsidRPr="00332C4C">
        <w:rPr>
          <w:b/>
          <w:i/>
          <w:sz w:val="22"/>
        </w:rPr>
        <w:t>ARTICULO 20.-</w:t>
      </w:r>
      <w:r w:rsidRPr="00332C4C">
        <w:rPr>
          <w:i/>
          <w:sz w:val="22"/>
        </w:rPr>
        <w:t xml:space="preserve"> La declaratoria de existencia de necesidad pública de transporte y la convocatoria correspondiente, deberán publicarse conjuntamente por una sola vez en el periódico oficial "Gaceta del Gobierno" e inscribirse o anotarse según corresponda en el Registro.</w:t>
      </w:r>
    </w:p>
    <w:p w14:paraId="2A8ADBAB" w14:textId="1ED9A4CB" w:rsidR="0033037E" w:rsidRPr="00332C4C" w:rsidRDefault="00890E5E" w:rsidP="00332C4C">
      <w:pPr>
        <w:spacing w:before="120" w:after="120"/>
        <w:ind w:left="851" w:right="902"/>
        <w:jc w:val="both"/>
        <w:rPr>
          <w:i/>
          <w:sz w:val="22"/>
        </w:rPr>
      </w:pPr>
      <w:r w:rsidRPr="00332C4C">
        <w:rPr>
          <w:b/>
          <w:i/>
          <w:sz w:val="22"/>
        </w:rPr>
        <w:t>ARTICULO 21</w:t>
      </w:r>
      <w:r w:rsidRPr="00332C4C">
        <w:rPr>
          <w:i/>
          <w:sz w:val="22"/>
        </w:rPr>
        <w:t xml:space="preserve">.- Concluido el concurso, se hará la designación de adjudicatarios y se declarará agotado el procedimiento. </w:t>
      </w:r>
      <w:r w:rsidRPr="00332C4C">
        <w:rPr>
          <w:b/>
          <w:i/>
          <w:sz w:val="22"/>
        </w:rPr>
        <w:t>La designación de adjudicatarios</w:t>
      </w:r>
      <w:r w:rsidRPr="00332C4C">
        <w:rPr>
          <w:i/>
          <w:sz w:val="22"/>
        </w:rPr>
        <w:t xml:space="preserve"> y la declaratoria de conclusión del procedimiento antes referida, </w:t>
      </w:r>
      <w:r w:rsidRPr="00332C4C">
        <w:rPr>
          <w:b/>
          <w:i/>
          <w:sz w:val="22"/>
        </w:rPr>
        <w:t>se publicarán por una sola vez en el periódico oficial "Gaceta del Gobierno</w:t>
      </w:r>
      <w:r w:rsidRPr="00332C4C">
        <w:rPr>
          <w:i/>
          <w:sz w:val="22"/>
        </w:rPr>
        <w:t>."</w:t>
      </w:r>
    </w:p>
    <w:p w14:paraId="0226342C" w14:textId="77777777" w:rsidR="00C17316" w:rsidRPr="00332C4C" w:rsidRDefault="00C17316" w:rsidP="00332C4C">
      <w:pPr>
        <w:spacing w:before="240" w:after="240" w:line="360" w:lineRule="auto"/>
        <w:ind w:right="49"/>
        <w:jc w:val="both"/>
      </w:pPr>
      <w:r w:rsidRPr="00332C4C">
        <w:t xml:space="preserve">Respecto de la </w:t>
      </w:r>
      <w:r w:rsidRPr="00332C4C">
        <w:rPr>
          <w:i/>
        </w:rPr>
        <w:t>asignación directa</w:t>
      </w:r>
      <w:r w:rsidRPr="00332C4C">
        <w:t xml:space="preserve"> de las concesiones, el artículo 22 del Reglamento establece que se hará por la autoridad del transporte, debiendo observar lo siguiente:</w:t>
      </w:r>
    </w:p>
    <w:p w14:paraId="0EAC3289" w14:textId="77777777" w:rsidR="00C17316" w:rsidRPr="00332C4C" w:rsidRDefault="00C17316" w:rsidP="00332C4C">
      <w:pPr>
        <w:spacing w:before="240" w:after="240" w:line="360" w:lineRule="auto"/>
        <w:ind w:left="567" w:right="49"/>
        <w:jc w:val="both"/>
      </w:pPr>
      <w:r w:rsidRPr="00332C4C">
        <w:rPr>
          <w:b/>
        </w:rPr>
        <w:t>I.</w:t>
      </w:r>
      <w:r w:rsidRPr="00332C4C">
        <w:t xml:space="preserve"> Con base en los planes de desarrollo urbano y sus respectivos programas y atendiendo al avance de los mismos, la autoridad, de oficio determinará durante el mes de julio de cada año, si es o no procedente realizar estudios técnicos para declarar la existencia de necesidad pública de transporte. </w:t>
      </w:r>
    </w:p>
    <w:p w14:paraId="7F1B6E3C" w14:textId="77777777" w:rsidR="00C17316" w:rsidRPr="00332C4C" w:rsidRDefault="00C17316" w:rsidP="00332C4C">
      <w:pPr>
        <w:spacing w:before="240" w:after="240" w:line="360" w:lineRule="auto"/>
        <w:ind w:left="567" w:right="49"/>
        <w:jc w:val="both"/>
      </w:pPr>
      <w:r w:rsidRPr="00332C4C">
        <w:rPr>
          <w:b/>
        </w:rPr>
        <w:t>II.</w:t>
      </w:r>
      <w:r w:rsidRPr="00332C4C">
        <w:t xml:space="preserve"> </w:t>
      </w:r>
      <w:r w:rsidRPr="00332C4C">
        <w:rPr>
          <w:b/>
        </w:rPr>
        <w:t>La asignación directa de concesiones se hará mediante acuerdo sustentado en el resultado de estudios técnicos</w:t>
      </w:r>
      <w:r w:rsidRPr="00332C4C">
        <w:t xml:space="preserve">, que se sujetarán a las prevenciones contenidas en el artículo 19 fracción II del presente Reglamento, y observando las reglas previstas en el artículo 72 del mismo. </w:t>
      </w:r>
    </w:p>
    <w:p w14:paraId="5A60FB0B" w14:textId="77777777" w:rsidR="00C17316" w:rsidRPr="00332C4C" w:rsidRDefault="00C17316" w:rsidP="00332C4C">
      <w:pPr>
        <w:spacing w:before="240" w:after="240" w:line="360" w:lineRule="auto"/>
        <w:ind w:left="567" w:right="49"/>
        <w:jc w:val="both"/>
        <w:rPr>
          <w:rFonts w:eastAsia="Calibri" w:cs="Arial"/>
        </w:rPr>
      </w:pPr>
      <w:r w:rsidRPr="00332C4C">
        <w:rPr>
          <w:b/>
        </w:rPr>
        <w:t>III.</w:t>
      </w:r>
      <w:r w:rsidRPr="00332C4C">
        <w:t xml:space="preserve"> Las concesiones para la construcción, operación, mantenimiento y ampliación de los sistemas de transportación masiva, podrán asignarse directamente en los casos en que existan características particulares de la </w:t>
      </w:r>
      <w:r w:rsidRPr="00332C4C">
        <w:lastRenderedPageBreak/>
        <w:t>infraestructura requerida, de experiencia, capacidad, materiales, equipos o tecnología especiales, o el financiamiento total esté a cargo de los particulares.</w:t>
      </w:r>
    </w:p>
    <w:p w14:paraId="558BA997" w14:textId="4C3D5118" w:rsidR="00C17316" w:rsidRPr="00332C4C" w:rsidRDefault="00C17316" w:rsidP="00332C4C">
      <w:pPr>
        <w:spacing w:before="240" w:after="240" w:line="360" w:lineRule="auto"/>
        <w:ind w:right="49"/>
        <w:jc w:val="both"/>
        <w:rPr>
          <w:rFonts w:eastAsia="Calibri" w:cs="Arial"/>
        </w:rPr>
      </w:pPr>
      <w:r w:rsidRPr="00332C4C">
        <w:rPr>
          <w:rFonts w:eastAsia="Calibri" w:cs="Arial"/>
        </w:rPr>
        <w:t xml:space="preserve">Los estudios técnicos y los acuerdos de asignación directa de concesiones, </w:t>
      </w:r>
      <w:r w:rsidRPr="00332C4C">
        <w:rPr>
          <w:rFonts w:eastAsia="Calibri" w:cs="Arial"/>
          <w:b/>
        </w:rPr>
        <w:t>deben inscribirse o anotarse, según corresponda, en el Registro Estatal del Transporte</w:t>
      </w:r>
      <w:r w:rsidRPr="00332C4C">
        <w:rPr>
          <w:rFonts w:eastAsia="Calibri" w:cs="Arial"/>
        </w:rPr>
        <w:t xml:space="preserve"> e </w:t>
      </w:r>
      <w:r w:rsidRPr="00332C4C">
        <w:rPr>
          <w:rFonts w:eastAsia="Calibri" w:cs="Arial"/>
          <w:b/>
        </w:rPr>
        <w:t>Infraestructura Vial</w:t>
      </w:r>
      <w:r w:rsidRPr="00332C4C">
        <w:rPr>
          <w:rFonts w:eastAsia="Calibri" w:cs="Arial"/>
        </w:rPr>
        <w:t>, según se lee en el artícul</w:t>
      </w:r>
      <w:r w:rsidR="00890E5E" w:rsidRPr="00332C4C">
        <w:rPr>
          <w:rFonts w:eastAsia="Calibri" w:cs="Arial"/>
        </w:rPr>
        <w:t>o 23 del Reglamento en estudio, como se lee a continuación:</w:t>
      </w:r>
    </w:p>
    <w:p w14:paraId="335A9DF0" w14:textId="7008DB3B" w:rsidR="00890E5E" w:rsidRPr="00332C4C" w:rsidRDefault="00890E5E" w:rsidP="00332C4C">
      <w:pPr>
        <w:spacing w:before="120" w:after="120"/>
        <w:ind w:left="851" w:right="902"/>
        <w:jc w:val="both"/>
        <w:rPr>
          <w:rFonts w:eastAsia="Calibri" w:cs="Arial"/>
          <w:i/>
          <w:sz w:val="22"/>
        </w:rPr>
      </w:pPr>
      <w:r w:rsidRPr="00332C4C">
        <w:rPr>
          <w:rFonts w:eastAsia="Calibri" w:cs="Arial"/>
          <w:i/>
          <w:sz w:val="22"/>
        </w:rPr>
        <w:t>“</w:t>
      </w:r>
      <w:r w:rsidRPr="00332C4C">
        <w:rPr>
          <w:b/>
          <w:i/>
          <w:sz w:val="22"/>
        </w:rPr>
        <w:t>ARTICULO 23.</w:t>
      </w:r>
      <w:r w:rsidRPr="00332C4C">
        <w:rPr>
          <w:i/>
          <w:sz w:val="22"/>
        </w:rPr>
        <w:t>- Los estudios técnicos y l</w:t>
      </w:r>
      <w:r w:rsidRPr="00332C4C">
        <w:rPr>
          <w:b/>
          <w:i/>
          <w:sz w:val="22"/>
        </w:rPr>
        <w:t>os acuerdos de asignación directa de concesiones, se inscribirán o anotarán según corresponda, en el Registro</w:t>
      </w:r>
      <w:r w:rsidRPr="00332C4C">
        <w:rPr>
          <w:rFonts w:eastAsia="Calibri" w:cs="Arial"/>
          <w:i/>
          <w:sz w:val="22"/>
        </w:rPr>
        <w:t>”</w:t>
      </w:r>
    </w:p>
    <w:p w14:paraId="69F5E277" w14:textId="716CD88A" w:rsidR="00C17316" w:rsidRPr="00332C4C" w:rsidRDefault="00C17316" w:rsidP="00332C4C">
      <w:pPr>
        <w:spacing w:before="240" w:after="240" w:line="360" w:lineRule="auto"/>
        <w:ind w:right="49"/>
        <w:jc w:val="both"/>
        <w:rPr>
          <w:rFonts w:eastAsia="Calibri" w:cs="Arial"/>
        </w:rPr>
      </w:pPr>
      <w:r w:rsidRPr="00332C4C">
        <w:rPr>
          <w:rFonts w:eastAsia="Calibri" w:cs="Arial"/>
        </w:rPr>
        <w:t>Por su parte, el artículo 7.36 fracción I del Código Administrativo del Estado de México dispone que el Registro Estatal de Transporte tiene por objeto integrar la información relacionada con las c</w:t>
      </w:r>
      <w:r w:rsidR="00890E5E" w:rsidRPr="00332C4C">
        <w:rPr>
          <w:rFonts w:eastAsia="Calibri" w:cs="Arial"/>
        </w:rPr>
        <w:t>oncesiones y permisos estatales:</w:t>
      </w:r>
    </w:p>
    <w:p w14:paraId="2BE0FDCF" w14:textId="77777777" w:rsidR="00890E5E" w:rsidRPr="00332C4C" w:rsidRDefault="00890E5E" w:rsidP="00332C4C">
      <w:pPr>
        <w:spacing w:before="120" w:after="120"/>
        <w:ind w:left="851" w:right="900"/>
        <w:jc w:val="both"/>
        <w:rPr>
          <w:i/>
          <w:sz w:val="22"/>
        </w:rPr>
      </w:pPr>
      <w:r w:rsidRPr="00332C4C">
        <w:rPr>
          <w:i/>
          <w:sz w:val="22"/>
        </w:rPr>
        <w:t>“</w:t>
      </w:r>
      <w:r w:rsidRPr="00332C4C">
        <w:rPr>
          <w:b/>
          <w:i/>
          <w:sz w:val="22"/>
        </w:rPr>
        <w:t>Artículo 7.36.</w:t>
      </w:r>
      <w:r w:rsidRPr="00332C4C">
        <w:rPr>
          <w:i/>
          <w:sz w:val="22"/>
        </w:rPr>
        <w:t xml:space="preserve">- El Registro Estatal de Transporte tiene por objeto integrar la información relacionada con el transporte; contendrá la información siguiente: </w:t>
      </w:r>
    </w:p>
    <w:p w14:paraId="77BC1759" w14:textId="52498A78" w:rsidR="00890E5E" w:rsidRPr="00332C4C" w:rsidRDefault="00890E5E" w:rsidP="00332C4C">
      <w:pPr>
        <w:spacing w:before="120" w:after="120"/>
        <w:ind w:left="1134" w:right="900"/>
        <w:jc w:val="both"/>
        <w:rPr>
          <w:rFonts w:eastAsia="Calibri" w:cs="Arial"/>
          <w:i/>
          <w:sz w:val="22"/>
        </w:rPr>
      </w:pPr>
      <w:r w:rsidRPr="00332C4C">
        <w:rPr>
          <w:b/>
          <w:i/>
          <w:sz w:val="22"/>
        </w:rPr>
        <w:t>I</w:t>
      </w:r>
      <w:r w:rsidRPr="00332C4C">
        <w:rPr>
          <w:i/>
          <w:sz w:val="22"/>
        </w:rPr>
        <w:t>. Concesiones y permisos estatales;”</w:t>
      </w:r>
    </w:p>
    <w:p w14:paraId="6DD0F111" w14:textId="77777777" w:rsidR="008F39FD" w:rsidRPr="00332C4C" w:rsidRDefault="00890E5E" w:rsidP="00332C4C">
      <w:pPr>
        <w:spacing w:before="240" w:after="240" w:line="360" w:lineRule="auto"/>
        <w:ind w:right="49"/>
        <w:jc w:val="both"/>
        <w:rPr>
          <w:rFonts w:eastAsia="Calibri" w:cs="Arial"/>
        </w:rPr>
      </w:pPr>
      <w:r w:rsidRPr="00332C4C">
        <w:rPr>
          <w:rFonts w:eastAsia="Calibri" w:cs="Arial"/>
        </w:rPr>
        <w:t xml:space="preserve">En tal contexto, </w:t>
      </w:r>
      <w:r w:rsidR="00C17316" w:rsidRPr="00332C4C">
        <w:rPr>
          <w:rFonts w:eastAsia="Calibri" w:cs="Arial"/>
        </w:rPr>
        <w:t xml:space="preserve">respecto al tema que nos ocupa, se advierte que la concesión para la prestación del servicio público de transporte que tiene autorizada la ruta 18 como accesoria, pudo ser otorgada mediante concurso o bien por asignación directa, en primer caso, el </w:t>
      </w:r>
      <w:r w:rsidR="00C17316" w:rsidRPr="00332C4C">
        <w:rPr>
          <w:rFonts w:eastAsia="Calibri" w:cs="Arial"/>
          <w:b/>
        </w:rPr>
        <w:t xml:space="preserve">Sujeto Obligado, </w:t>
      </w:r>
      <w:r w:rsidR="00C17316" w:rsidRPr="00332C4C">
        <w:rPr>
          <w:rFonts w:eastAsia="Calibri" w:cs="Arial"/>
        </w:rPr>
        <w:t>debió emitir de manera previa una convocatoria, que debió publicarse en el Periódico Oficial “Gaceta del Gobierno”, en donde se especifique el lugar, horario y periodo en el que se vender</w:t>
      </w:r>
      <w:r w:rsidRPr="00332C4C">
        <w:rPr>
          <w:rFonts w:eastAsia="Calibri" w:cs="Arial"/>
        </w:rPr>
        <w:t>á</w:t>
      </w:r>
      <w:r w:rsidR="00C17316" w:rsidRPr="00332C4C">
        <w:rPr>
          <w:rFonts w:eastAsia="Calibri" w:cs="Arial"/>
        </w:rPr>
        <w:t xml:space="preserve">n las bases de licitación, y una vez concluido el concurso, se procederá a publicar en el mismo medio la designación de adjudicatarios así como la conclusión del procedimiento, por otro lado, si la concesión se otorgó mediante asignación directa, el </w:t>
      </w:r>
      <w:r w:rsidR="00C17316" w:rsidRPr="00332C4C">
        <w:rPr>
          <w:rFonts w:eastAsia="Calibri" w:cs="Arial"/>
          <w:b/>
        </w:rPr>
        <w:t xml:space="preserve">Sujeto Obligado </w:t>
      </w:r>
      <w:r w:rsidR="00C17316" w:rsidRPr="00332C4C">
        <w:rPr>
          <w:rFonts w:eastAsia="Calibri"/>
        </w:rPr>
        <w:lastRenderedPageBreak/>
        <w:t xml:space="preserve">únicamente contaría con el acuerdo sustentado en el resultado de los estudios técnicos, documento que se inscribe en el Registro </w:t>
      </w:r>
      <w:r w:rsidR="00C17316" w:rsidRPr="00332C4C">
        <w:rPr>
          <w:rFonts w:eastAsia="Calibri" w:cs="Arial"/>
        </w:rPr>
        <w:t>Estatal del Tra</w:t>
      </w:r>
      <w:r w:rsidR="008F39FD" w:rsidRPr="00332C4C">
        <w:rPr>
          <w:rFonts w:eastAsia="Calibri" w:cs="Arial"/>
        </w:rPr>
        <w:t>nsporte e Infraestructura Vial.</w:t>
      </w:r>
    </w:p>
    <w:p w14:paraId="71CB2803" w14:textId="51F50F12" w:rsidR="008F39FD" w:rsidRPr="00332C4C" w:rsidRDefault="008F39FD" w:rsidP="00332C4C">
      <w:pPr>
        <w:spacing w:before="240" w:after="240" w:line="360" w:lineRule="auto"/>
        <w:ind w:right="49"/>
        <w:jc w:val="both"/>
        <w:rPr>
          <w:rFonts w:eastAsia="Calibri" w:cs="Arial"/>
        </w:rPr>
      </w:pPr>
      <w:r w:rsidRPr="00332C4C">
        <w:rPr>
          <w:rFonts w:eastAsia="Palatino Linotype"/>
        </w:rPr>
        <w:t xml:space="preserve">En tal contexto, se advierte que el documento mediante el cual el </w:t>
      </w:r>
      <w:r w:rsidRPr="00332C4C">
        <w:rPr>
          <w:rFonts w:eastAsia="Palatino Linotype"/>
          <w:b/>
        </w:rPr>
        <w:t xml:space="preserve">Sujeto Obligado </w:t>
      </w:r>
      <w:r w:rsidRPr="00332C4C">
        <w:rPr>
          <w:rFonts w:eastAsia="Palatino Linotype"/>
        </w:rPr>
        <w:t>pudiera atender e</w:t>
      </w:r>
      <w:r w:rsidR="00152B40" w:rsidRPr="00332C4C">
        <w:rPr>
          <w:rFonts w:eastAsia="Palatino Linotype"/>
        </w:rPr>
        <w:t xml:space="preserve"> </w:t>
      </w:r>
      <w:r w:rsidRPr="00332C4C">
        <w:rPr>
          <w:rFonts w:eastAsia="Palatino Linotype"/>
        </w:rPr>
        <w:t>l</w:t>
      </w:r>
      <w:r w:rsidR="00152B40" w:rsidRPr="00332C4C">
        <w:rPr>
          <w:rFonts w:eastAsia="Palatino Linotype"/>
        </w:rPr>
        <w:t>os</w:t>
      </w:r>
      <w:r w:rsidRPr="00332C4C">
        <w:rPr>
          <w:rFonts w:eastAsia="Palatino Linotype"/>
        </w:rPr>
        <w:t xml:space="preserve"> requerimiento</w:t>
      </w:r>
      <w:r w:rsidR="00152B40" w:rsidRPr="00332C4C">
        <w:rPr>
          <w:rFonts w:eastAsia="Palatino Linotype"/>
        </w:rPr>
        <w:t>s</w:t>
      </w:r>
      <w:r w:rsidRPr="00332C4C">
        <w:rPr>
          <w:rFonts w:eastAsia="Palatino Linotype"/>
        </w:rPr>
        <w:t xml:space="preserve"> marcado</w:t>
      </w:r>
      <w:r w:rsidR="00152B40" w:rsidRPr="00332C4C">
        <w:rPr>
          <w:rFonts w:eastAsia="Palatino Linotype"/>
        </w:rPr>
        <w:t>s con los</w:t>
      </w:r>
      <w:r w:rsidRPr="00332C4C">
        <w:rPr>
          <w:rFonts w:eastAsia="Palatino Linotype"/>
        </w:rPr>
        <w:t xml:space="preserve"> numeral</w:t>
      </w:r>
      <w:r w:rsidR="00152B40" w:rsidRPr="00332C4C">
        <w:rPr>
          <w:rFonts w:eastAsia="Palatino Linotype"/>
        </w:rPr>
        <w:t>es</w:t>
      </w:r>
      <w:r w:rsidRPr="00332C4C">
        <w:rPr>
          <w:rFonts w:eastAsia="Palatino Linotype"/>
        </w:rPr>
        <w:t xml:space="preserve"> 1</w:t>
      </w:r>
      <w:r w:rsidR="00152B40" w:rsidRPr="00332C4C">
        <w:rPr>
          <w:rFonts w:eastAsia="Palatino Linotype"/>
        </w:rPr>
        <w:t xml:space="preserve"> y 9</w:t>
      </w:r>
      <w:r w:rsidRPr="00332C4C">
        <w:rPr>
          <w:rFonts w:eastAsia="Palatino Linotype"/>
        </w:rPr>
        <w:t>, es l</w:t>
      </w:r>
      <w:r w:rsidR="00152B40" w:rsidRPr="00332C4C">
        <w:rPr>
          <w:rFonts w:eastAsia="Calibri" w:cs="Arial"/>
        </w:rPr>
        <w:t>a designación de adjudicatarios</w:t>
      </w:r>
      <w:r w:rsidR="005E031C" w:rsidRPr="00332C4C">
        <w:rPr>
          <w:rFonts w:eastAsia="Calibri" w:cs="Arial"/>
        </w:rPr>
        <w:t xml:space="preserve"> y su respectiva publicación en el Periódico Oficial “Gaceta del Gobierno” del Estado de México, </w:t>
      </w:r>
      <w:r w:rsidRPr="00332C4C">
        <w:rPr>
          <w:rFonts w:eastAsia="Calibri" w:cs="Arial"/>
        </w:rPr>
        <w:t>o bien</w:t>
      </w:r>
      <w:r w:rsidR="00AF21CF" w:rsidRPr="00332C4C">
        <w:rPr>
          <w:rFonts w:eastAsia="Calibri" w:cs="Arial"/>
        </w:rPr>
        <w:t>,</w:t>
      </w:r>
      <w:r w:rsidRPr="00332C4C">
        <w:rPr>
          <w:rFonts w:eastAsia="Calibri" w:cs="Arial"/>
        </w:rPr>
        <w:t xml:space="preserve"> el acuerdo de asignación directa,</w:t>
      </w:r>
      <w:r w:rsidR="005E031C" w:rsidRPr="00332C4C">
        <w:rPr>
          <w:rFonts w:eastAsia="Calibri" w:cs="Arial"/>
        </w:rPr>
        <w:t xml:space="preserve"> </w:t>
      </w:r>
      <w:r w:rsidRPr="00332C4C">
        <w:rPr>
          <w:rFonts w:eastAsia="Calibri" w:cs="Arial"/>
        </w:rPr>
        <w:t xml:space="preserve"> </w:t>
      </w:r>
      <w:r w:rsidR="009C7212" w:rsidRPr="00332C4C">
        <w:rPr>
          <w:rFonts w:eastAsia="Calibri" w:cs="Arial"/>
        </w:rPr>
        <w:t xml:space="preserve">equiparándose este último con </w:t>
      </w:r>
      <w:r w:rsidR="00F92C6A" w:rsidRPr="00332C4C">
        <w:rPr>
          <w:rFonts w:eastAsia="Calibri" w:cs="Arial"/>
        </w:rPr>
        <w:t xml:space="preserve">la publicación de la designación de adjudicatarios, </w:t>
      </w:r>
      <w:r w:rsidRPr="00332C4C">
        <w:rPr>
          <w:rFonts w:eastAsia="Calibri" w:cs="Arial"/>
        </w:rPr>
        <w:t xml:space="preserve">en el entendido de que la autorización de una ruta se encuentra condicionada a la existencia de una concesión de </w:t>
      </w:r>
      <w:r w:rsidR="00152B40" w:rsidRPr="00332C4C">
        <w:rPr>
          <w:rFonts w:eastAsia="Calibri" w:cs="Arial"/>
        </w:rPr>
        <w:t>servicio público de transporte, así como el documento en el que conste la inscripción de dicho acto en el Registro Público del Transporte.</w:t>
      </w:r>
    </w:p>
    <w:p w14:paraId="0F59AAA3" w14:textId="0FFF04FD" w:rsidR="0031129B" w:rsidRPr="00332C4C" w:rsidRDefault="0031129B" w:rsidP="00332C4C">
      <w:pPr>
        <w:spacing w:before="240" w:after="240" w:line="360" w:lineRule="auto"/>
        <w:ind w:right="49"/>
        <w:jc w:val="both"/>
        <w:rPr>
          <w:rFonts w:eastAsia="Palatino Linotype"/>
        </w:rPr>
      </w:pPr>
      <w:r w:rsidRPr="00332C4C">
        <w:rPr>
          <w:rFonts w:eastAsia="Palatino Linotype"/>
        </w:rPr>
        <w:t>Asimismo, como complemento, el requerimiento pudiera ser satisfecho con el documento mediante el cual se autorizó la ruta, o la “autorización de otorgamiento de derrotero” al que hace referencia el servidor público habilitado, documento que debe inscribirse o anotarse en el Registro Estatal de Transporte como lo prevé el artículo 50</w:t>
      </w:r>
      <w:r w:rsidR="00CE0488" w:rsidRPr="00332C4C">
        <w:rPr>
          <w:rStyle w:val="Refdenotaalpie"/>
          <w:rFonts w:eastAsia="Palatino Linotype"/>
        </w:rPr>
        <w:footnoteReference w:id="7"/>
      </w:r>
      <w:r w:rsidRPr="00332C4C">
        <w:rPr>
          <w:rFonts w:eastAsia="Palatino Linotype"/>
        </w:rPr>
        <w:t xml:space="preserve"> del Reglamento del Transporte Público.</w:t>
      </w:r>
    </w:p>
    <w:p w14:paraId="023AA564" w14:textId="54EADC52" w:rsidR="004877BC" w:rsidRPr="00332C4C" w:rsidRDefault="00F154ED" w:rsidP="00332C4C">
      <w:pPr>
        <w:spacing w:before="240" w:after="240" w:line="360" w:lineRule="auto"/>
        <w:ind w:right="51"/>
        <w:jc w:val="both"/>
        <w:rPr>
          <w:rFonts w:eastAsia="Palatino Linotype" w:cs="Palatino Linotype"/>
          <w:lang w:val="es-MX"/>
        </w:rPr>
      </w:pPr>
      <w:r w:rsidRPr="00332C4C">
        <w:rPr>
          <w:rFonts w:eastAsia="Calibri" w:cs="Arial"/>
          <w:b/>
        </w:rPr>
        <w:t xml:space="preserve">Por cuanto hace al punto 2, mediante el cual se requiere el </w:t>
      </w:r>
      <w:r w:rsidRPr="00332C4C">
        <w:rPr>
          <w:rFonts w:eastAsia="Palatino Linotype" w:cs="Palatino Linotype"/>
          <w:b/>
          <w:lang w:val="es-MX"/>
        </w:rPr>
        <w:t xml:space="preserve">dictamen que determino la factibilidad de la ruta 18 ramal que corre de Jesús del Monte al </w:t>
      </w:r>
      <w:r w:rsidRPr="00332C4C">
        <w:rPr>
          <w:rFonts w:eastAsia="Palatino Linotype" w:cs="Palatino Linotype"/>
          <w:b/>
          <w:lang w:val="es-MX"/>
        </w:rPr>
        <w:lastRenderedPageBreak/>
        <w:t xml:space="preserve">Metro Cuatro Caminos, </w:t>
      </w:r>
      <w:r w:rsidR="004877BC" w:rsidRPr="00332C4C">
        <w:rPr>
          <w:rFonts w:eastAsia="Palatino Linotype" w:cs="Palatino Linotype"/>
          <w:lang w:val="es-MX"/>
        </w:rPr>
        <w:t>cabe señalar que la respuesta emitida por el servidor público habilitado no corresponde con la materia de lo solicitado.</w:t>
      </w:r>
    </w:p>
    <w:p w14:paraId="3774EA41" w14:textId="51130B6E" w:rsidR="00F154ED" w:rsidRPr="00332C4C" w:rsidRDefault="004877BC" w:rsidP="00332C4C">
      <w:pPr>
        <w:spacing w:before="240" w:after="240" w:line="360" w:lineRule="auto"/>
        <w:ind w:right="51"/>
        <w:jc w:val="both"/>
        <w:rPr>
          <w:rFonts w:eastAsia="Palatino Linotype" w:cs="Palatino Linotype"/>
          <w:b/>
          <w:lang w:val="es-MX"/>
        </w:rPr>
      </w:pPr>
      <w:r w:rsidRPr="00332C4C">
        <w:rPr>
          <w:rFonts w:eastAsia="Palatino Linotype" w:cs="Palatino Linotype"/>
          <w:lang w:val="es-MX"/>
        </w:rPr>
        <w:t xml:space="preserve">En este sentido, es de mencionar que </w:t>
      </w:r>
      <w:r w:rsidR="001E29AC" w:rsidRPr="00332C4C">
        <w:rPr>
          <w:rFonts w:eastAsia="Palatino Linotype" w:cs="Palatino Linotype"/>
          <w:lang w:val="es-MX"/>
        </w:rPr>
        <w:t>el artículo 67 del Reglamento del Trasporte P</w:t>
      </w:r>
      <w:r w:rsidR="007043B0" w:rsidRPr="00332C4C">
        <w:rPr>
          <w:rFonts w:eastAsia="Palatino Linotype" w:cs="Palatino Linotype"/>
          <w:lang w:val="es-MX"/>
        </w:rPr>
        <w:t>úblico, prevé la realización de un estudio técnico para crear, modificar o enlazar rutas, como se lee a</w:t>
      </w:r>
      <w:r w:rsidR="008927AF" w:rsidRPr="00332C4C">
        <w:rPr>
          <w:rFonts w:eastAsia="Palatino Linotype" w:cs="Palatino Linotype"/>
          <w:lang w:val="es-MX"/>
        </w:rPr>
        <w:t xml:space="preserve"> </w:t>
      </w:r>
      <w:r w:rsidR="007043B0" w:rsidRPr="00332C4C">
        <w:rPr>
          <w:rFonts w:eastAsia="Palatino Linotype" w:cs="Palatino Linotype"/>
          <w:lang w:val="es-MX"/>
        </w:rPr>
        <w:t>continuación:</w:t>
      </w:r>
    </w:p>
    <w:p w14:paraId="2A8F9D59" w14:textId="77777777" w:rsidR="007043B0" w:rsidRPr="00332C4C" w:rsidRDefault="007043B0" w:rsidP="00332C4C">
      <w:pPr>
        <w:spacing w:before="240" w:after="240"/>
        <w:ind w:left="851" w:right="900"/>
        <w:jc w:val="both"/>
        <w:rPr>
          <w:i/>
          <w:iCs/>
          <w:sz w:val="22"/>
          <w:szCs w:val="22"/>
        </w:rPr>
      </w:pPr>
      <w:r w:rsidRPr="00332C4C">
        <w:rPr>
          <w:rFonts w:eastAsia="Palatino Linotype"/>
          <w:i/>
          <w:iCs/>
          <w:sz w:val="22"/>
          <w:szCs w:val="22"/>
        </w:rPr>
        <w:t>“</w:t>
      </w:r>
      <w:r w:rsidRPr="00332C4C">
        <w:rPr>
          <w:b/>
          <w:bCs/>
          <w:i/>
          <w:iCs/>
          <w:sz w:val="22"/>
          <w:szCs w:val="22"/>
        </w:rPr>
        <w:t>ARTICULO 67</w:t>
      </w:r>
      <w:r w:rsidRPr="00332C4C">
        <w:rPr>
          <w:i/>
          <w:iCs/>
          <w:sz w:val="22"/>
          <w:szCs w:val="22"/>
        </w:rPr>
        <w:t xml:space="preserve">.- La autoridad de transporte </w:t>
      </w:r>
      <w:r w:rsidRPr="00332C4C">
        <w:rPr>
          <w:b/>
          <w:bCs/>
          <w:i/>
          <w:iCs/>
          <w:sz w:val="22"/>
          <w:szCs w:val="22"/>
          <w:u w:val="single"/>
        </w:rPr>
        <w:t>con base en estudios técnicos</w:t>
      </w:r>
      <w:r w:rsidRPr="00332C4C">
        <w:rPr>
          <w:b/>
          <w:bCs/>
          <w:i/>
          <w:iCs/>
          <w:sz w:val="22"/>
          <w:szCs w:val="22"/>
        </w:rPr>
        <w:t xml:space="preserve"> y de acuerdo a la necesidad pública, en cualquier tiempo podrá crear, modificar, enlazar o suprimir las rutas,</w:t>
      </w:r>
      <w:r w:rsidRPr="00332C4C">
        <w:rPr>
          <w:i/>
          <w:iCs/>
          <w:sz w:val="22"/>
          <w:szCs w:val="22"/>
        </w:rPr>
        <w:t xml:space="preserve"> así como modificar las frecuencias y horarios, ordenar el cambio o supresión de bases y paraderos y señalar la forma de identificación de los vehículos afectos a la prestación del servicio regular en cualquiera de sus modalidades y tipos.</w:t>
      </w:r>
    </w:p>
    <w:p w14:paraId="4A848EEE" w14:textId="2E0EEAF9" w:rsidR="00942322" w:rsidRPr="00332C4C" w:rsidRDefault="00942322" w:rsidP="00332C4C">
      <w:pPr>
        <w:spacing w:before="240" w:after="240" w:line="360" w:lineRule="auto"/>
        <w:ind w:right="49"/>
        <w:jc w:val="both"/>
        <w:rPr>
          <w:rFonts w:eastAsia="Calibri"/>
        </w:rPr>
      </w:pPr>
      <w:r w:rsidRPr="00332C4C">
        <w:rPr>
          <w:rFonts w:eastAsia="Calibri" w:cs="Arial"/>
        </w:rPr>
        <w:t xml:space="preserve">De igual forma, es de mencionar que, de la investigación efectuada por este Órgano Garante, en la página de internet del </w:t>
      </w:r>
      <w:r w:rsidRPr="00332C4C">
        <w:rPr>
          <w:rFonts w:eastAsia="Calibri" w:cs="Arial"/>
          <w:b/>
        </w:rPr>
        <w:t>Sujeto Obligado</w:t>
      </w:r>
      <w:r w:rsidRPr="00332C4C">
        <w:rPr>
          <w:rStyle w:val="Refdenotaalpie"/>
          <w:rFonts w:eastAsia="Calibri" w:cs="Arial"/>
          <w:b/>
        </w:rPr>
        <w:footnoteReference w:id="8"/>
      </w:r>
      <w:r w:rsidRPr="00332C4C">
        <w:rPr>
          <w:rFonts w:eastAsia="Calibri" w:cs="Arial"/>
          <w:b/>
        </w:rPr>
        <w:t xml:space="preserve"> </w:t>
      </w:r>
      <w:r w:rsidRPr="00332C4C">
        <w:rPr>
          <w:rFonts w:eastAsia="Calibri"/>
        </w:rPr>
        <w:t>pudo advertirse que el otorgamiento de concesiones en la modalidad colectivo de pasajeros en ruta fija, contempla la emisión de un dictamen que determine la factibilidad jurídica y material de otorgar la concesión respectiva, como se observa a continuación:</w:t>
      </w:r>
    </w:p>
    <w:p w14:paraId="573EFDBE" w14:textId="2F5D237F" w:rsidR="00942322" w:rsidRPr="00332C4C" w:rsidRDefault="004877BC" w:rsidP="00332C4C">
      <w:pPr>
        <w:spacing w:before="240" w:after="240" w:line="360" w:lineRule="auto"/>
        <w:ind w:right="49"/>
        <w:jc w:val="center"/>
        <w:rPr>
          <w:rFonts w:eastAsia="Calibri" w:cs="Arial"/>
        </w:rPr>
      </w:pPr>
      <w:r w:rsidRPr="00332C4C">
        <w:rPr>
          <w:rFonts w:eastAsia="Calibri" w:cs="Arial"/>
          <w:noProof/>
          <w:lang w:val="es-MX"/>
        </w:rPr>
        <w:drawing>
          <wp:inline distT="0" distB="0" distL="0" distR="0" wp14:anchorId="7BF9386D" wp14:editId="6CC7BE44">
            <wp:extent cx="4248000" cy="2163673"/>
            <wp:effectExtent l="0" t="0" r="635"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48000" cy="2163673"/>
                    </a:xfrm>
                    <a:prstGeom prst="rect">
                      <a:avLst/>
                    </a:prstGeom>
                    <a:noFill/>
                    <a:ln>
                      <a:noFill/>
                    </a:ln>
                  </pic:spPr>
                </pic:pic>
              </a:graphicData>
            </a:graphic>
          </wp:inline>
        </w:drawing>
      </w:r>
    </w:p>
    <w:p w14:paraId="232793E2" w14:textId="54A1EF4F" w:rsidR="004877BC" w:rsidRPr="00332C4C" w:rsidRDefault="004877BC" w:rsidP="00332C4C">
      <w:pPr>
        <w:spacing w:before="240" w:after="240" w:line="360" w:lineRule="auto"/>
        <w:ind w:right="49"/>
        <w:jc w:val="both"/>
      </w:pPr>
      <w:r w:rsidRPr="00332C4C">
        <w:lastRenderedPageBreak/>
        <w:t xml:space="preserve">Por lo tanto, se </w:t>
      </w:r>
      <w:r w:rsidR="00C3659D" w:rsidRPr="00332C4C">
        <w:t>presume</w:t>
      </w:r>
      <w:r w:rsidRPr="00332C4C">
        <w:t xml:space="preserve"> que </w:t>
      </w:r>
      <w:r w:rsidR="00C3659D" w:rsidRPr="00332C4C">
        <w:t xml:space="preserve">el </w:t>
      </w:r>
      <w:r w:rsidR="00C3659D" w:rsidRPr="00332C4C">
        <w:rPr>
          <w:b/>
        </w:rPr>
        <w:t xml:space="preserve">Sujeto Obligado </w:t>
      </w:r>
      <w:r w:rsidR="00C3659D" w:rsidRPr="00332C4C">
        <w:t>cuenta con atribuciones para haber generado el referido dictamen para determinar la factibilidad del otorgamiento de la concesión que tiene como complemento la ruta 18, siendo procedente ordenar la entr</w:t>
      </w:r>
      <w:r w:rsidR="00743685" w:rsidRPr="00332C4C">
        <w:t xml:space="preserve">ega de dicho soporte documental para </w:t>
      </w:r>
      <w:r w:rsidR="00305CB6" w:rsidRPr="00332C4C">
        <w:t>tener por atendido el requerimiento en estudio.</w:t>
      </w:r>
    </w:p>
    <w:p w14:paraId="39DB574E" w14:textId="59D09DA2" w:rsidR="00C653D1" w:rsidRPr="00332C4C" w:rsidRDefault="00305CB6" w:rsidP="00332C4C">
      <w:pPr>
        <w:spacing w:before="240" w:after="240" w:line="360" w:lineRule="auto"/>
        <w:ind w:right="49"/>
        <w:jc w:val="both"/>
        <w:rPr>
          <w:rFonts w:eastAsia="Palatino Linotype"/>
        </w:rPr>
      </w:pPr>
      <w:r w:rsidRPr="00332C4C">
        <w:rPr>
          <w:b/>
        </w:rPr>
        <w:t xml:space="preserve">Tocante al punto 3, por medio del cual se solicita la garantía vigente que otorgó el titular de la concesión de la referida ruta 18, </w:t>
      </w:r>
      <w:r w:rsidR="0075614F" w:rsidRPr="00332C4C">
        <w:t>el servidor públi</w:t>
      </w:r>
      <w:r w:rsidR="001B0B36" w:rsidRPr="00332C4C">
        <w:t xml:space="preserve">co habilitado refirió que no había normatividad que obligara a las empresas concesionadas de transporte público a entregar garantías para el otorgamiento de concesiones, sino que se estas deben sujetarse a la normatividad y cumplir con lo dispuesto los artículos </w:t>
      </w:r>
      <w:r w:rsidR="001B0B36" w:rsidRPr="00332C4C">
        <w:rPr>
          <w:rFonts w:eastAsia="Palatino Linotype"/>
        </w:rPr>
        <w:t xml:space="preserve">17, 18, 19, 20, 21, 22, 23 y 24, Sección Segunda del </w:t>
      </w:r>
      <w:r w:rsidR="00C653D1" w:rsidRPr="00332C4C">
        <w:rPr>
          <w:rFonts w:eastAsia="Palatino Linotype"/>
        </w:rPr>
        <w:t>Reglamento de Trasporte Público, dispositivos legales que son del tenor literal siguiente:</w:t>
      </w:r>
    </w:p>
    <w:p w14:paraId="75396655" w14:textId="77777777" w:rsidR="00C653D1" w:rsidRPr="00332C4C" w:rsidRDefault="00C653D1" w:rsidP="00332C4C">
      <w:pPr>
        <w:spacing w:before="120" w:after="120"/>
        <w:ind w:left="851" w:right="902"/>
        <w:jc w:val="both"/>
        <w:rPr>
          <w:i/>
          <w:sz w:val="22"/>
          <w:szCs w:val="22"/>
        </w:rPr>
      </w:pPr>
      <w:r w:rsidRPr="00332C4C">
        <w:rPr>
          <w:i/>
          <w:sz w:val="22"/>
          <w:szCs w:val="22"/>
        </w:rPr>
        <w:t>“</w:t>
      </w:r>
      <w:r w:rsidRPr="00332C4C">
        <w:rPr>
          <w:b/>
          <w:i/>
          <w:sz w:val="22"/>
          <w:szCs w:val="22"/>
        </w:rPr>
        <w:t>ARTICULO 17.</w:t>
      </w:r>
      <w:r w:rsidRPr="00332C4C">
        <w:rPr>
          <w:i/>
          <w:sz w:val="22"/>
          <w:szCs w:val="22"/>
        </w:rPr>
        <w:t>- El otorgamiento de concesiones para la prestación del servicio público en los casos previstos en el Código y este Reglamento, se hará por concurso o por asignación directa, conforme a las siguientes prevenciones:</w:t>
      </w:r>
    </w:p>
    <w:p w14:paraId="1A751481" w14:textId="77777777" w:rsidR="00C653D1" w:rsidRPr="00332C4C" w:rsidRDefault="00C653D1" w:rsidP="00332C4C">
      <w:pPr>
        <w:spacing w:before="120" w:after="120"/>
        <w:ind w:left="1134" w:right="902"/>
        <w:jc w:val="both"/>
        <w:rPr>
          <w:i/>
          <w:sz w:val="22"/>
          <w:szCs w:val="22"/>
        </w:rPr>
      </w:pPr>
      <w:r w:rsidRPr="00332C4C">
        <w:rPr>
          <w:b/>
          <w:i/>
          <w:sz w:val="22"/>
          <w:szCs w:val="22"/>
        </w:rPr>
        <w:t>I.</w:t>
      </w:r>
      <w:r w:rsidRPr="00332C4C">
        <w:rPr>
          <w:i/>
          <w:sz w:val="22"/>
          <w:szCs w:val="22"/>
        </w:rPr>
        <w:t xml:space="preserve"> Se otorgarán por concurso las concesiones que se refieran a servicios de nueva creación para atender determinada necesidad pública insatisfecha. </w:t>
      </w:r>
    </w:p>
    <w:p w14:paraId="6037B42B" w14:textId="77777777" w:rsidR="00C653D1" w:rsidRPr="00332C4C" w:rsidRDefault="00C653D1" w:rsidP="00332C4C">
      <w:pPr>
        <w:spacing w:before="120" w:after="120"/>
        <w:ind w:left="1134" w:right="902"/>
        <w:jc w:val="both"/>
        <w:rPr>
          <w:i/>
          <w:sz w:val="22"/>
          <w:szCs w:val="22"/>
        </w:rPr>
      </w:pPr>
      <w:r w:rsidRPr="00332C4C">
        <w:rPr>
          <w:b/>
          <w:i/>
          <w:sz w:val="22"/>
          <w:szCs w:val="22"/>
        </w:rPr>
        <w:t>II.</w:t>
      </w:r>
      <w:r w:rsidRPr="00332C4C">
        <w:rPr>
          <w:i/>
          <w:sz w:val="22"/>
          <w:szCs w:val="22"/>
        </w:rPr>
        <w:t xml:space="preserve"> Se otorgarán a través de asignación directa las concesiones que fueren necesarias para adecuar los servicios existentes y en operación, a nuevas demandas de servicio que impliquen la ampliación de los existentes. </w:t>
      </w:r>
    </w:p>
    <w:p w14:paraId="333C43B1" w14:textId="5407B454" w:rsidR="00C653D1" w:rsidRPr="00332C4C" w:rsidRDefault="00C653D1" w:rsidP="00332C4C">
      <w:pPr>
        <w:spacing w:before="120" w:after="120"/>
        <w:ind w:left="1134" w:right="902"/>
        <w:jc w:val="both"/>
        <w:rPr>
          <w:i/>
          <w:sz w:val="22"/>
          <w:szCs w:val="22"/>
        </w:rPr>
      </w:pPr>
      <w:r w:rsidRPr="00332C4C">
        <w:rPr>
          <w:i/>
          <w:sz w:val="22"/>
          <w:szCs w:val="22"/>
        </w:rPr>
        <w:t>Para efectos de esta fracción, se entiende por servicios existentes y en operación, únicamente a los que estuvieren concesionados.</w:t>
      </w:r>
    </w:p>
    <w:p w14:paraId="496DFC32" w14:textId="77777777" w:rsidR="00C653D1" w:rsidRPr="00332C4C" w:rsidRDefault="00C653D1" w:rsidP="00332C4C">
      <w:pPr>
        <w:spacing w:before="120" w:after="120"/>
        <w:ind w:left="851" w:right="902"/>
        <w:jc w:val="both"/>
        <w:rPr>
          <w:i/>
          <w:sz w:val="22"/>
          <w:szCs w:val="22"/>
        </w:rPr>
      </w:pPr>
      <w:r w:rsidRPr="00332C4C">
        <w:rPr>
          <w:b/>
          <w:i/>
          <w:sz w:val="22"/>
          <w:szCs w:val="22"/>
        </w:rPr>
        <w:t>ARTICULO 18.</w:t>
      </w:r>
      <w:r w:rsidRPr="00332C4C">
        <w:rPr>
          <w:i/>
          <w:sz w:val="22"/>
          <w:szCs w:val="22"/>
        </w:rPr>
        <w:t xml:space="preserve">- En caso de concurrencia de varias personas físicas o morales para obtener concesiones para servicios de nueva creación, el otorgamiento se hará siguiendo las reglas previstas en el Código y en el presente Reglamento. </w:t>
      </w:r>
    </w:p>
    <w:p w14:paraId="469DEB22" w14:textId="1B70DDA3" w:rsidR="00C653D1" w:rsidRPr="00332C4C" w:rsidRDefault="00C653D1" w:rsidP="00332C4C">
      <w:pPr>
        <w:spacing w:before="120" w:after="120"/>
        <w:ind w:left="851" w:right="902"/>
        <w:jc w:val="both"/>
        <w:rPr>
          <w:i/>
          <w:sz w:val="22"/>
          <w:szCs w:val="22"/>
        </w:rPr>
      </w:pPr>
      <w:r w:rsidRPr="00332C4C">
        <w:rPr>
          <w:b/>
          <w:i/>
          <w:sz w:val="22"/>
          <w:szCs w:val="22"/>
        </w:rPr>
        <w:t>ARTICULO 19</w:t>
      </w:r>
      <w:r w:rsidRPr="00332C4C">
        <w:rPr>
          <w:i/>
          <w:sz w:val="22"/>
          <w:szCs w:val="22"/>
        </w:rPr>
        <w:t>.- El procedimiento para el otorgamiento de concesiones por concurso, se sujetará a lo siguiente:</w:t>
      </w:r>
    </w:p>
    <w:p w14:paraId="7BBB0ED5" w14:textId="77777777" w:rsidR="00C653D1" w:rsidRPr="00332C4C" w:rsidRDefault="00C653D1" w:rsidP="00332C4C">
      <w:pPr>
        <w:spacing w:before="120" w:after="120"/>
        <w:ind w:left="1134" w:right="902"/>
        <w:jc w:val="both"/>
        <w:rPr>
          <w:i/>
          <w:sz w:val="22"/>
          <w:szCs w:val="22"/>
        </w:rPr>
      </w:pPr>
      <w:r w:rsidRPr="00332C4C">
        <w:rPr>
          <w:b/>
          <w:i/>
          <w:sz w:val="22"/>
          <w:szCs w:val="22"/>
        </w:rPr>
        <w:lastRenderedPageBreak/>
        <w:t>I.</w:t>
      </w:r>
      <w:r w:rsidRPr="00332C4C">
        <w:rPr>
          <w:i/>
          <w:sz w:val="22"/>
          <w:szCs w:val="22"/>
        </w:rPr>
        <w:t xml:space="preserve"> Con base en los planes de desarrollo urbano y sus programas y atendiendo al avance de los mismos, de oficio la autoridad de transporte determinará durante el mes de febrero de cada año si es o no procedente realizar estudios técnicos para declarar la existencia de necesidad pública de transporte que deba ser satisfecha con servicios de nueva creación. </w:t>
      </w:r>
    </w:p>
    <w:p w14:paraId="32AC8FE4" w14:textId="77777777" w:rsidR="00C653D1" w:rsidRPr="00332C4C" w:rsidRDefault="00C653D1" w:rsidP="00332C4C">
      <w:pPr>
        <w:spacing w:before="120" w:after="120"/>
        <w:ind w:left="1134" w:right="902"/>
        <w:jc w:val="both"/>
        <w:rPr>
          <w:i/>
          <w:sz w:val="22"/>
          <w:szCs w:val="22"/>
        </w:rPr>
      </w:pPr>
      <w:r w:rsidRPr="00332C4C">
        <w:rPr>
          <w:b/>
          <w:i/>
          <w:sz w:val="22"/>
          <w:szCs w:val="22"/>
        </w:rPr>
        <w:t>II.</w:t>
      </w:r>
      <w:r w:rsidRPr="00332C4C">
        <w:rPr>
          <w:i/>
          <w:sz w:val="22"/>
          <w:szCs w:val="22"/>
        </w:rPr>
        <w:t xml:space="preserve"> En caso de que se determine la realización de estudios para declarar la existencia de necesidad pública de transporte, éstos deben contener: </w:t>
      </w:r>
    </w:p>
    <w:p w14:paraId="56C82272" w14:textId="77777777" w:rsidR="00C653D1" w:rsidRPr="00332C4C" w:rsidRDefault="00C653D1" w:rsidP="00332C4C">
      <w:pPr>
        <w:spacing w:before="120" w:after="120"/>
        <w:ind w:left="1418" w:right="902"/>
        <w:jc w:val="both"/>
        <w:rPr>
          <w:i/>
          <w:sz w:val="22"/>
          <w:szCs w:val="22"/>
        </w:rPr>
      </w:pPr>
      <w:r w:rsidRPr="00332C4C">
        <w:rPr>
          <w:i/>
          <w:sz w:val="22"/>
          <w:szCs w:val="22"/>
        </w:rPr>
        <w:t xml:space="preserve">a) Nombre de la población o poblaciones en que se determine la necesidad pública. </w:t>
      </w:r>
    </w:p>
    <w:p w14:paraId="2AF1BA2A" w14:textId="77777777" w:rsidR="00C653D1" w:rsidRPr="00332C4C" w:rsidRDefault="00C653D1" w:rsidP="00332C4C">
      <w:pPr>
        <w:spacing w:before="120" w:after="120"/>
        <w:ind w:left="1418" w:right="902"/>
        <w:jc w:val="both"/>
        <w:rPr>
          <w:i/>
          <w:sz w:val="22"/>
          <w:szCs w:val="22"/>
        </w:rPr>
      </w:pPr>
      <w:r w:rsidRPr="00332C4C">
        <w:rPr>
          <w:i/>
          <w:sz w:val="22"/>
          <w:szCs w:val="22"/>
        </w:rPr>
        <w:t xml:space="preserve">b) Densidad demográfica, tomando en cuenta el último censo poblacional y comercial, adicionando la estimación del incremento que se haya registrado durante el tiempo transcurrido desde el año en que se practicaron tales censos a la fecha en que se realice el estudio, así como una estimación de población flotante. </w:t>
      </w:r>
    </w:p>
    <w:p w14:paraId="3889BAD4" w14:textId="77777777" w:rsidR="00C653D1" w:rsidRPr="00332C4C" w:rsidRDefault="00C653D1" w:rsidP="00332C4C">
      <w:pPr>
        <w:spacing w:before="120" w:after="120"/>
        <w:ind w:left="1418" w:right="902"/>
        <w:jc w:val="both"/>
        <w:rPr>
          <w:i/>
          <w:sz w:val="22"/>
          <w:szCs w:val="22"/>
        </w:rPr>
      </w:pPr>
      <w:r w:rsidRPr="00332C4C">
        <w:rPr>
          <w:i/>
          <w:sz w:val="22"/>
          <w:szCs w:val="22"/>
        </w:rPr>
        <w:t xml:space="preserve">c) Centros educativos y culturales. </w:t>
      </w:r>
    </w:p>
    <w:p w14:paraId="72D04D47" w14:textId="77777777" w:rsidR="00C653D1" w:rsidRPr="00332C4C" w:rsidRDefault="00C653D1" w:rsidP="00332C4C">
      <w:pPr>
        <w:spacing w:before="120" w:after="120"/>
        <w:ind w:left="1418" w:right="902"/>
        <w:jc w:val="both"/>
        <w:rPr>
          <w:i/>
          <w:sz w:val="22"/>
          <w:szCs w:val="22"/>
        </w:rPr>
      </w:pPr>
      <w:r w:rsidRPr="00332C4C">
        <w:rPr>
          <w:i/>
          <w:sz w:val="22"/>
          <w:szCs w:val="22"/>
        </w:rPr>
        <w:t>d) Centros de trabajo.</w:t>
      </w:r>
    </w:p>
    <w:p w14:paraId="2D8EE156" w14:textId="77777777" w:rsidR="00C653D1" w:rsidRPr="00332C4C" w:rsidRDefault="00C653D1" w:rsidP="00332C4C">
      <w:pPr>
        <w:spacing w:before="120" w:after="120"/>
        <w:ind w:left="1418" w:right="902"/>
        <w:jc w:val="both"/>
        <w:rPr>
          <w:i/>
          <w:sz w:val="22"/>
          <w:szCs w:val="22"/>
        </w:rPr>
      </w:pPr>
      <w:r w:rsidRPr="00332C4C">
        <w:rPr>
          <w:i/>
          <w:sz w:val="22"/>
          <w:szCs w:val="22"/>
        </w:rPr>
        <w:t xml:space="preserve">e) Medio de vida predominante de las poblaciones. </w:t>
      </w:r>
    </w:p>
    <w:p w14:paraId="64C094F0" w14:textId="77777777" w:rsidR="00C653D1" w:rsidRPr="00332C4C" w:rsidRDefault="00C653D1" w:rsidP="00332C4C">
      <w:pPr>
        <w:spacing w:before="120" w:after="120"/>
        <w:ind w:left="1418" w:right="902"/>
        <w:jc w:val="both"/>
        <w:rPr>
          <w:i/>
          <w:sz w:val="22"/>
          <w:szCs w:val="22"/>
        </w:rPr>
      </w:pPr>
      <w:r w:rsidRPr="00332C4C">
        <w:rPr>
          <w:i/>
          <w:sz w:val="22"/>
          <w:szCs w:val="22"/>
        </w:rPr>
        <w:t xml:space="preserve">f) Tipo de comercio predominante, con inclusión de las zonas de abastecimiento, así como el horario a que esté sujeto. </w:t>
      </w:r>
    </w:p>
    <w:p w14:paraId="730DD3C2" w14:textId="77777777" w:rsidR="00C653D1" w:rsidRPr="00332C4C" w:rsidRDefault="00C653D1" w:rsidP="00332C4C">
      <w:pPr>
        <w:spacing w:before="120" w:after="120"/>
        <w:ind w:left="1418" w:right="902"/>
        <w:jc w:val="both"/>
        <w:rPr>
          <w:i/>
          <w:sz w:val="22"/>
          <w:szCs w:val="22"/>
        </w:rPr>
      </w:pPr>
      <w:r w:rsidRPr="00332C4C">
        <w:rPr>
          <w:i/>
          <w:sz w:val="22"/>
          <w:szCs w:val="22"/>
        </w:rPr>
        <w:t xml:space="preserve">g) Descripción de las oficinas públicas existentes, talleres, estaciones de servicio de combustibles y demás que la autoridad de transporte estime necesarias. </w:t>
      </w:r>
    </w:p>
    <w:p w14:paraId="2F21E0F1" w14:textId="77777777" w:rsidR="00C653D1" w:rsidRPr="00332C4C" w:rsidRDefault="00C653D1" w:rsidP="00332C4C">
      <w:pPr>
        <w:spacing w:before="120" w:after="120"/>
        <w:ind w:left="1418" w:right="902"/>
        <w:jc w:val="both"/>
        <w:rPr>
          <w:i/>
          <w:sz w:val="22"/>
          <w:szCs w:val="22"/>
        </w:rPr>
      </w:pPr>
      <w:r w:rsidRPr="00332C4C">
        <w:rPr>
          <w:i/>
          <w:sz w:val="22"/>
          <w:szCs w:val="22"/>
        </w:rPr>
        <w:t xml:space="preserve">h) Descripción de la infraestructura vial, indicando las principales vías primarias y secundarias de comunicación, señalando en su caso las que fueren de jurisdicción federal y que de manera necesaria deban usarse en ciertos tramos para la satisfacción de la necesidad pública de servicio. En todos los casos se hará el señalamiento de los correspondientes derechos de vía. </w:t>
      </w:r>
    </w:p>
    <w:p w14:paraId="64602ACF" w14:textId="77777777" w:rsidR="00C653D1" w:rsidRPr="00332C4C" w:rsidRDefault="00C653D1" w:rsidP="00332C4C">
      <w:pPr>
        <w:spacing w:before="120" w:after="120"/>
        <w:ind w:left="1418" w:right="902"/>
        <w:jc w:val="both"/>
        <w:rPr>
          <w:i/>
          <w:sz w:val="22"/>
          <w:szCs w:val="22"/>
        </w:rPr>
      </w:pPr>
      <w:r w:rsidRPr="00332C4C">
        <w:rPr>
          <w:i/>
          <w:sz w:val="22"/>
          <w:szCs w:val="22"/>
        </w:rPr>
        <w:t xml:space="preserve">i) Medios existentes de transportación, con indicación de los tipos y capacidad de los vehículos, así como clases, modalidades y tipos de servicio. </w:t>
      </w:r>
    </w:p>
    <w:p w14:paraId="140DA3E5" w14:textId="77777777" w:rsidR="00C653D1" w:rsidRPr="00332C4C" w:rsidRDefault="00C653D1" w:rsidP="00332C4C">
      <w:pPr>
        <w:spacing w:before="120" w:after="120"/>
        <w:ind w:left="1418" w:right="902"/>
        <w:jc w:val="both"/>
        <w:rPr>
          <w:i/>
          <w:sz w:val="22"/>
          <w:szCs w:val="22"/>
        </w:rPr>
      </w:pPr>
      <w:r w:rsidRPr="00332C4C">
        <w:rPr>
          <w:i/>
          <w:sz w:val="22"/>
          <w:szCs w:val="22"/>
        </w:rPr>
        <w:t xml:space="preserve">j) Necesidad de transporte indicando las deficiencias o insuficiencias del existente, horarios, tarifas e itinerarios, así como nivel de ocupación de los vehículos en los diferentes horarios. </w:t>
      </w:r>
    </w:p>
    <w:p w14:paraId="246FADB7" w14:textId="6A554ED9" w:rsidR="00C653D1" w:rsidRPr="00332C4C" w:rsidRDefault="00C653D1" w:rsidP="00332C4C">
      <w:pPr>
        <w:spacing w:before="120" w:after="120"/>
        <w:ind w:left="1418" w:right="902"/>
        <w:jc w:val="both"/>
        <w:rPr>
          <w:i/>
          <w:sz w:val="22"/>
          <w:szCs w:val="22"/>
        </w:rPr>
      </w:pPr>
      <w:r w:rsidRPr="00332C4C">
        <w:rPr>
          <w:i/>
          <w:sz w:val="22"/>
          <w:szCs w:val="22"/>
        </w:rPr>
        <w:t xml:space="preserve">k) Estimación aproximada del transporte particular. </w:t>
      </w:r>
    </w:p>
    <w:p w14:paraId="65BEBFAF" w14:textId="77777777" w:rsidR="00C653D1" w:rsidRPr="00332C4C" w:rsidRDefault="00C653D1" w:rsidP="00332C4C">
      <w:pPr>
        <w:spacing w:before="120" w:after="120"/>
        <w:ind w:left="1418" w:right="902"/>
        <w:jc w:val="both"/>
        <w:rPr>
          <w:i/>
          <w:sz w:val="22"/>
          <w:szCs w:val="22"/>
        </w:rPr>
      </w:pPr>
      <w:r w:rsidRPr="00332C4C">
        <w:rPr>
          <w:i/>
          <w:sz w:val="22"/>
          <w:szCs w:val="22"/>
        </w:rPr>
        <w:lastRenderedPageBreak/>
        <w:t xml:space="preserve">l) Análisis de los principales desplazamientos de personas, para los que no se tiene servicio público de transporte o que teniéndolo es insuficiente. </w:t>
      </w:r>
    </w:p>
    <w:p w14:paraId="7EB631D8" w14:textId="77777777" w:rsidR="00C653D1" w:rsidRPr="00332C4C" w:rsidRDefault="00C653D1" w:rsidP="00332C4C">
      <w:pPr>
        <w:spacing w:before="120" w:after="120"/>
        <w:ind w:left="1418" w:right="902"/>
        <w:jc w:val="both"/>
        <w:rPr>
          <w:i/>
          <w:sz w:val="22"/>
          <w:szCs w:val="22"/>
        </w:rPr>
      </w:pPr>
      <w:r w:rsidRPr="00332C4C">
        <w:rPr>
          <w:i/>
          <w:sz w:val="22"/>
          <w:szCs w:val="22"/>
        </w:rPr>
        <w:t xml:space="preserve">m) Propuesta de los lugares más adecuados para el establecimiento de bases, paraderos, lanzaderas o terminales. </w:t>
      </w:r>
    </w:p>
    <w:p w14:paraId="4592AE70" w14:textId="77777777" w:rsidR="00C653D1" w:rsidRPr="00332C4C" w:rsidRDefault="00C653D1" w:rsidP="00332C4C">
      <w:pPr>
        <w:spacing w:before="120" w:after="120"/>
        <w:ind w:left="1134" w:right="902"/>
        <w:jc w:val="both"/>
        <w:rPr>
          <w:i/>
          <w:sz w:val="22"/>
          <w:szCs w:val="22"/>
        </w:rPr>
      </w:pPr>
      <w:r w:rsidRPr="00332C4C">
        <w:rPr>
          <w:b/>
          <w:i/>
          <w:sz w:val="22"/>
          <w:szCs w:val="22"/>
        </w:rPr>
        <w:t>III</w:t>
      </w:r>
      <w:r w:rsidRPr="00332C4C">
        <w:rPr>
          <w:i/>
          <w:sz w:val="22"/>
          <w:szCs w:val="22"/>
        </w:rPr>
        <w:t xml:space="preserve">. Realizado el estudio a que se refiere la fracción anterior, si del mismo se advierte necesidad pública insatisfecha, la autoridad de transporte expedirá la declaratoria correspondiente, en la que se expresará lo siguiente: </w:t>
      </w:r>
    </w:p>
    <w:p w14:paraId="16CB2DA4" w14:textId="77777777" w:rsidR="00C653D1" w:rsidRPr="00332C4C" w:rsidRDefault="00C653D1" w:rsidP="00332C4C">
      <w:pPr>
        <w:spacing w:before="120" w:after="120"/>
        <w:ind w:left="1418" w:right="902"/>
        <w:jc w:val="both"/>
        <w:rPr>
          <w:i/>
          <w:sz w:val="22"/>
          <w:szCs w:val="22"/>
        </w:rPr>
      </w:pPr>
      <w:r w:rsidRPr="00332C4C">
        <w:rPr>
          <w:i/>
          <w:sz w:val="22"/>
          <w:szCs w:val="22"/>
        </w:rPr>
        <w:t xml:space="preserve">a) Breve relación de los antecedentes. </w:t>
      </w:r>
    </w:p>
    <w:p w14:paraId="53F37707" w14:textId="0BA2AF6B" w:rsidR="00C653D1" w:rsidRPr="00332C4C" w:rsidRDefault="00C653D1" w:rsidP="00332C4C">
      <w:pPr>
        <w:spacing w:before="120" w:after="120"/>
        <w:ind w:left="1418" w:right="902"/>
        <w:jc w:val="both"/>
        <w:rPr>
          <w:rFonts w:eastAsia="Palatino Linotype"/>
          <w:i/>
          <w:sz w:val="22"/>
          <w:szCs w:val="22"/>
        </w:rPr>
      </w:pPr>
      <w:r w:rsidRPr="00332C4C">
        <w:rPr>
          <w:i/>
          <w:sz w:val="22"/>
          <w:szCs w:val="22"/>
        </w:rPr>
        <w:t>b) Consideraciones técnicas y legales que funden la declaratoria</w:t>
      </w:r>
    </w:p>
    <w:p w14:paraId="10093AE8" w14:textId="77777777" w:rsidR="00C653D1" w:rsidRPr="00332C4C" w:rsidRDefault="00C653D1" w:rsidP="00332C4C">
      <w:pPr>
        <w:spacing w:before="120" w:after="120"/>
        <w:ind w:left="1418" w:right="902"/>
        <w:jc w:val="both"/>
        <w:rPr>
          <w:i/>
          <w:sz w:val="22"/>
          <w:szCs w:val="22"/>
        </w:rPr>
      </w:pPr>
      <w:r w:rsidRPr="00332C4C">
        <w:rPr>
          <w:i/>
          <w:sz w:val="22"/>
          <w:szCs w:val="22"/>
        </w:rPr>
        <w:t xml:space="preserve">c) Determinación de la zona geográfica en la que ha de prestarse el servicio. </w:t>
      </w:r>
    </w:p>
    <w:p w14:paraId="3616D2A6" w14:textId="77777777" w:rsidR="00C653D1" w:rsidRPr="00332C4C" w:rsidRDefault="00C653D1" w:rsidP="00332C4C">
      <w:pPr>
        <w:spacing w:before="120" w:after="120"/>
        <w:ind w:left="1418" w:right="902"/>
        <w:jc w:val="both"/>
        <w:rPr>
          <w:i/>
          <w:sz w:val="22"/>
          <w:szCs w:val="22"/>
        </w:rPr>
      </w:pPr>
      <w:r w:rsidRPr="00332C4C">
        <w:rPr>
          <w:i/>
          <w:sz w:val="22"/>
          <w:szCs w:val="22"/>
        </w:rPr>
        <w:t xml:space="preserve">d) Clasificación, modalidad y tipo de servicio con el que habrá de satisfacerse la necesidad pública a que se refiera la declaratoria. </w:t>
      </w:r>
    </w:p>
    <w:p w14:paraId="0C4CFFAD" w14:textId="77777777" w:rsidR="00C653D1" w:rsidRPr="00332C4C" w:rsidRDefault="00C653D1" w:rsidP="00332C4C">
      <w:pPr>
        <w:spacing w:before="120" w:after="120"/>
        <w:ind w:left="1418" w:right="902"/>
        <w:jc w:val="both"/>
        <w:rPr>
          <w:i/>
          <w:sz w:val="22"/>
          <w:szCs w:val="22"/>
        </w:rPr>
      </w:pPr>
      <w:r w:rsidRPr="00332C4C">
        <w:rPr>
          <w:i/>
          <w:sz w:val="22"/>
          <w:szCs w:val="22"/>
        </w:rPr>
        <w:t xml:space="preserve">e) Número de concesiones que habrán de licitarse para la satisfacción del servicio. </w:t>
      </w:r>
    </w:p>
    <w:p w14:paraId="73A46F53" w14:textId="77777777" w:rsidR="00C653D1" w:rsidRPr="00332C4C" w:rsidRDefault="00C653D1" w:rsidP="00332C4C">
      <w:pPr>
        <w:spacing w:before="120" w:after="120"/>
        <w:ind w:left="1418" w:right="902"/>
        <w:jc w:val="both"/>
        <w:rPr>
          <w:i/>
          <w:sz w:val="22"/>
          <w:szCs w:val="22"/>
        </w:rPr>
      </w:pPr>
      <w:r w:rsidRPr="00332C4C">
        <w:rPr>
          <w:i/>
          <w:sz w:val="22"/>
          <w:szCs w:val="22"/>
        </w:rPr>
        <w:t xml:space="preserve">f) Los demás datos que se estimen necesarios para aclarar o completar la anterior información. </w:t>
      </w:r>
    </w:p>
    <w:p w14:paraId="3B2EEC8E" w14:textId="77777777" w:rsidR="00C653D1" w:rsidRPr="00332C4C" w:rsidRDefault="00C653D1" w:rsidP="00332C4C">
      <w:pPr>
        <w:spacing w:before="120" w:after="120"/>
        <w:ind w:left="1134" w:right="902"/>
        <w:jc w:val="both"/>
        <w:rPr>
          <w:i/>
          <w:sz w:val="22"/>
          <w:szCs w:val="22"/>
        </w:rPr>
      </w:pPr>
      <w:r w:rsidRPr="00332C4C">
        <w:rPr>
          <w:b/>
          <w:i/>
          <w:sz w:val="22"/>
          <w:szCs w:val="22"/>
        </w:rPr>
        <w:t>IV</w:t>
      </w:r>
      <w:r w:rsidRPr="00332C4C">
        <w:rPr>
          <w:i/>
          <w:sz w:val="22"/>
          <w:szCs w:val="22"/>
        </w:rPr>
        <w:t xml:space="preserve">. Emitida la declaratoria de necesidad pública, la autoridad de transporte expedirá la convocatoria que contendrá: </w:t>
      </w:r>
    </w:p>
    <w:p w14:paraId="361AE02D" w14:textId="77777777" w:rsidR="00C653D1" w:rsidRPr="00332C4C" w:rsidRDefault="00C653D1" w:rsidP="00332C4C">
      <w:pPr>
        <w:spacing w:before="120" w:after="120"/>
        <w:ind w:left="1418" w:right="902"/>
        <w:jc w:val="both"/>
        <w:rPr>
          <w:i/>
          <w:sz w:val="22"/>
          <w:szCs w:val="22"/>
        </w:rPr>
      </w:pPr>
      <w:r w:rsidRPr="00332C4C">
        <w:rPr>
          <w:i/>
          <w:sz w:val="22"/>
          <w:szCs w:val="22"/>
        </w:rPr>
        <w:t xml:space="preserve">a) </w:t>
      </w:r>
      <w:proofErr w:type="spellStart"/>
      <w:r w:rsidRPr="00332C4C">
        <w:rPr>
          <w:i/>
          <w:sz w:val="22"/>
          <w:szCs w:val="22"/>
        </w:rPr>
        <w:t>Area</w:t>
      </w:r>
      <w:proofErr w:type="spellEnd"/>
      <w:r w:rsidRPr="00332C4C">
        <w:rPr>
          <w:i/>
          <w:sz w:val="22"/>
          <w:szCs w:val="22"/>
        </w:rPr>
        <w:t xml:space="preserve"> geográfica que comprenderá el servicio.</w:t>
      </w:r>
    </w:p>
    <w:p w14:paraId="173D754D" w14:textId="77777777" w:rsidR="00C653D1" w:rsidRPr="00332C4C" w:rsidRDefault="00C653D1" w:rsidP="00332C4C">
      <w:pPr>
        <w:spacing w:before="120" w:after="120"/>
        <w:ind w:left="1418" w:right="902"/>
        <w:jc w:val="both"/>
        <w:rPr>
          <w:i/>
          <w:sz w:val="22"/>
          <w:szCs w:val="22"/>
        </w:rPr>
      </w:pPr>
      <w:r w:rsidRPr="00332C4C">
        <w:rPr>
          <w:i/>
          <w:sz w:val="22"/>
          <w:szCs w:val="22"/>
        </w:rPr>
        <w:t xml:space="preserve">b) Determinación del incremento del servicio señalando el número de concesiones que habrán de licitarse. </w:t>
      </w:r>
    </w:p>
    <w:p w14:paraId="79A6E4E4" w14:textId="77777777" w:rsidR="00C653D1" w:rsidRPr="00332C4C" w:rsidRDefault="00C653D1" w:rsidP="00332C4C">
      <w:pPr>
        <w:spacing w:before="120" w:after="120"/>
        <w:ind w:left="1418" w:right="902"/>
        <w:jc w:val="both"/>
        <w:rPr>
          <w:i/>
          <w:sz w:val="22"/>
          <w:szCs w:val="22"/>
        </w:rPr>
      </w:pPr>
      <w:r w:rsidRPr="00332C4C">
        <w:rPr>
          <w:i/>
          <w:sz w:val="22"/>
          <w:szCs w:val="22"/>
        </w:rPr>
        <w:t xml:space="preserve">c) Clasificación, modalidad y tipo de servicio que deberá proporcionarse. </w:t>
      </w:r>
    </w:p>
    <w:p w14:paraId="4E0194EB" w14:textId="77777777" w:rsidR="00C653D1" w:rsidRPr="00332C4C" w:rsidRDefault="00C653D1" w:rsidP="00332C4C">
      <w:pPr>
        <w:spacing w:before="120" w:after="120"/>
        <w:ind w:left="1418" w:right="902"/>
        <w:jc w:val="both"/>
        <w:rPr>
          <w:i/>
          <w:sz w:val="22"/>
          <w:szCs w:val="22"/>
        </w:rPr>
      </w:pPr>
      <w:r w:rsidRPr="00332C4C">
        <w:rPr>
          <w:i/>
          <w:sz w:val="22"/>
          <w:szCs w:val="22"/>
        </w:rPr>
        <w:t xml:space="preserve">d) Plazo en el que deberá iniciarse la prestación del servicio. </w:t>
      </w:r>
    </w:p>
    <w:p w14:paraId="723C39AD" w14:textId="77777777" w:rsidR="00C653D1" w:rsidRPr="00332C4C" w:rsidRDefault="00C653D1" w:rsidP="00332C4C">
      <w:pPr>
        <w:spacing w:before="120" w:after="120"/>
        <w:ind w:left="1418" w:right="902"/>
        <w:jc w:val="both"/>
        <w:rPr>
          <w:i/>
          <w:sz w:val="22"/>
          <w:szCs w:val="22"/>
        </w:rPr>
      </w:pPr>
      <w:r w:rsidRPr="00332C4C">
        <w:rPr>
          <w:i/>
          <w:sz w:val="22"/>
          <w:szCs w:val="22"/>
        </w:rPr>
        <w:t xml:space="preserve">e) Vigencia de las concesiones. </w:t>
      </w:r>
    </w:p>
    <w:p w14:paraId="6C6E4DAC" w14:textId="77777777" w:rsidR="00C653D1" w:rsidRPr="00332C4C" w:rsidRDefault="00C653D1" w:rsidP="00332C4C">
      <w:pPr>
        <w:spacing w:before="120" w:after="120"/>
        <w:ind w:left="1418" w:right="902"/>
        <w:jc w:val="both"/>
        <w:rPr>
          <w:i/>
          <w:sz w:val="22"/>
          <w:szCs w:val="22"/>
        </w:rPr>
      </w:pPr>
      <w:r w:rsidRPr="00332C4C">
        <w:rPr>
          <w:i/>
          <w:sz w:val="22"/>
          <w:szCs w:val="22"/>
        </w:rPr>
        <w:t xml:space="preserve">f) Lugar, horario y término dentro del cual deberán presentarse las solicitudes de los concursantes, así como indicación de los documentos que deberán adjuntarse. </w:t>
      </w:r>
    </w:p>
    <w:p w14:paraId="3D9EBA10" w14:textId="77777777" w:rsidR="00C653D1" w:rsidRPr="00332C4C" w:rsidRDefault="00C653D1" w:rsidP="00332C4C">
      <w:pPr>
        <w:spacing w:before="120" w:after="120"/>
        <w:ind w:left="1418" w:right="902"/>
        <w:jc w:val="both"/>
        <w:rPr>
          <w:i/>
          <w:sz w:val="22"/>
          <w:szCs w:val="22"/>
        </w:rPr>
      </w:pPr>
      <w:r w:rsidRPr="00332C4C">
        <w:rPr>
          <w:i/>
          <w:sz w:val="22"/>
          <w:szCs w:val="22"/>
        </w:rPr>
        <w:t xml:space="preserve">g) Tratándose de transporte masivo, el lugar, horario y periodo en el que se venderán las bases de licitación y costo de las mismas. Las bases de licitación contendrán además de las menciones a que se refiere esta fracción, las que estime necesarias la autoridad del transporte y se complementarán con los estudios técnicos especializados en la materia. </w:t>
      </w:r>
    </w:p>
    <w:p w14:paraId="2A9DF638" w14:textId="0D54C84A" w:rsidR="00C653D1" w:rsidRPr="00332C4C" w:rsidRDefault="00C653D1" w:rsidP="00332C4C">
      <w:pPr>
        <w:spacing w:before="120" w:after="120"/>
        <w:ind w:left="1134" w:right="902"/>
        <w:jc w:val="both"/>
        <w:rPr>
          <w:i/>
          <w:sz w:val="22"/>
          <w:szCs w:val="22"/>
        </w:rPr>
      </w:pPr>
      <w:r w:rsidRPr="00332C4C">
        <w:rPr>
          <w:b/>
          <w:i/>
          <w:sz w:val="22"/>
          <w:szCs w:val="22"/>
        </w:rPr>
        <w:lastRenderedPageBreak/>
        <w:t>V.</w:t>
      </w:r>
      <w:r w:rsidRPr="00332C4C">
        <w:rPr>
          <w:i/>
          <w:sz w:val="22"/>
          <w:szCs w:val="22"/>
        </w:rPr>
        <w:t xml:space="preserve"> La autoridad de transporte podrá modificar la convocatoria y las bases de licitación por causas sobrevenidas de interés general, caso fortuito o fuerza mayor. Las modificaciones se publicarán en el mismo medio utilizado para la publicación de la convocatoria, y se notificará personalmente a los adquirentes.</w:t>
      </w:r>
    </w:p>
    <w:p w14:paraId="28F95F61" w14:textId="33C10C7F" w:rsidR="00C653D1" w:rsidRPr="00332C4C" w:rsidRDefault="00C653D1" w:rsidP="00332C4C">
      <w:pPr>
        <w:spacing w:before="120" w:after="120"/>
        <w:ind w:left="851" w:right="902"/>
        <w:jc w:val="both"/>
        <w:rPr>
          <w:i/>
          <w:sz w:val="22"/>
          <w:szCs w:val="22"/>
        </w:rPr>
      </w:pPr>
      <w:r w:rsidRPr="00332C4C">
        <w:rPr>
          <w:b/>
          <w:i/>
          <w:sz w:val="22"/>
          <w:szCs w:val="22"/>
        </w:rPr>
        <w:t>ARTICULO 20.</w:t>
      </w:r>
      <w:r w:rsidRPr="00332C4C">
        <w:rPr>
          <w:i/>
          <w:sz w:val="22"/>
          <w:szCs w:val="22"/>
        </w:rPr>
        <w:t xml:space="preserve">- La declaratoria de existencia de necesidad pública de transporte y la convocatoria correspondiente, deberán publicarse conjuntamente por una sola vez en el periódico oficial "Gaceta del Gobierno" e inscribirse o anotarse según corresponda en el Registro. </w:t>
      </w:r>
    </w:p>
    <w:p w14:paraId="65AE1A99" w14:textId="01CCD898" w:rsidR="004877BC" w:rsidRPr="00332C4C" w:rsidRDefault="00C653D1" w:rsidP="00332C4C">
      <w:pPr>
        <w:spacing w:before="120" w:after="120"/>
        <w:ind w:left="851" w:right="902"/>
        <w:jc w:val="both"/>
        <w:rPr>
          <w:i/>
          <w:sz w:val="22"/>
          <w:szCs w:val="22"/>
        </w:rPr>
      </w:pPr>
      <w:r w:rsidRPr="00332C4C">
        <w:rPr>
          <w:b/>
          <w:i/>
          <w:sz w:val="22"/>
          <w:szCs w:val="22"/>
        </w:rPr>
        <w:t>ARTICULO 21.-</w:t>
      </w:r>
      <w:r w:rsidRPr="00332C4C">
        <w:rPr>
          <w:i/>
          <w:sz w:val="22"/>
          <w:szCs w:val="22"/>
        </w:rPr>
        <w:t xml:space="preserve"> Concluido el concurso, se hará la designación de adjudicatarios y se declarará agotado el procedimiento. La designación de adjudicatarios y la declaratoria de conclusión del procedimiento antes referida, se publicarán por una sola vez en el periódico oficial "Gaceta del Gobierno". No se otorgará un número de concesiones mayor al que señale la declaratoria de existencia de necesidad pública y la convocatoria; las que se otorguen deberán referirse exclusivamente a la o las modalidades de servicio concursado.</w:t>
      </w:r>
    </w:p>
    <w:p w14:paraId="06ADA6AC" w14:textId="77777777" w:rsidR="00792443" w:rsidRPr="00332C4C" w:rsidRDefault="00C653D1" w:rsidP="00332C4C">
      <w:pPr>
        <w:spacing w:before="120" w:after="120"/>
        <w:ind w:left="851" w:right="902"/>
        <w:jc w:val="both"/>
        <w:rPr>
          <w:i/>
          <w:sz w:val="22"/>
          <w:szCs w:val="22"/>
        </w:rPr>
      </w:pPr>
      <w:r w:rsidRPr="00332C4C">
        <w:rPr>
          <w:b/>
          <w:i/>
          <w:sz w:val="22"/>
          <w:szCs w:val="22"/>
        </w:rPr>
        <w:t>ARTICULO 22.</w:t>
      </w:r>
      <w:r w:rsidRPr="00332C4C">
        <w:rPr>
          <w:i/>
          <w:sz w:val="22"/>
          <w:szCs w:val="22"/>
        </w:rPr>
        <w:t>- La asignación directa de concesiones se hará por la autoridad de transporte con sujeción a lo siguiente:</w:t>
      </w:r>
    </w:p>
    <w:p w14:paraId="6ED35F61" w14:textId="77777777" w:rsidR="00792443" w:rsidRPr="00332C4C" w:rsidRDefault="00C653D1" w:rsidP="00332C4C">
      <w:pPr>
        <w:spacing w:before="120" w:after="120"/>
        <w:ind w:left="1134" w:right="902"/>
        <w:jc w:val="both"/>
        <w:rPr>
          <w:i/>
          <w:sz w:val="22"/>
          <w:szCs w:val="22"/>
        </w:rPr>
      </w:pPr>
      <w:r w:rsidRPr="00332C4C">
        <w:rPr>
          <w:b/>
          <w:i/>
          <w:sz w:val="22"/>
          <w:szCs w:val="22"/>
        </w:rPr>
        <w:t>I.</w:t>
      </w:r>
      <w:r w:rsidRPr="00332C4C">
        <w:rPr>
          <w:i/>
          <w:sz w:val="22"/>
          <w:szCs w:val="22"/>
        </w:rPr>
        <w:t xml:space="preserve"> Con base en los planes de desarrollo urbano y sus respectivos programas y atendiendo al avance de los mismos, la autoridad, de oficio determinará durante el mes de julio de cada año, si es o no procedente realizar estudios técnicos para declarar la existencia de necesidad pública de transporte. </w:t>
      </w:r>
    </w:p>
    <w:p w14:paraId="398095A9" w14:textId="77777777" w:rsidR="00792443" w:rsidRPr="00332C4C" w:rsidRDefault="00C653D1" w:rsidP="00332C4C">
      <w:pPr>
        <w:spacing w:before="120" w:after="120"/>
        <w:ind w:left="1134" w:right="902"/>
        <w:jc w:val="both"/>
        <w:rPr>
          <w:i/>
          <w:sz w:val="22"/>
          <w:szCs w:val="22"/>
        </w:rPr>
      </w:pPr>
      <w:r w:rsidRPr="00332C4C">
        <w:rPr>
          <w:b/>
          <w:i/>
          <w:sz w:val="22"/>
          <w:szCs w:val="22"/>
        </w:rPr>
        <w:t>II.</w:t>
      </w:r>
      <w:r w:rsidRPr="00332C4C">
        <w:rPr>
          <w:i/>
          <w:sz w:val="22"/>
          <w:szCs w:val="22"/>
        </w:rPr>
        <w:t xml:space="preserve"> La asignación directa de concesiones se hará mediante acuerdo sustentado en el resultado de estudios técnicos, que se sujetarán a las prevenciones contenidas en el artículo 19 fracción II del presente Reglamento, y observando las reglas previstas en el artículo 72 del mismo. </w:t>
      </w:r>
    </w:p>
    <w:p w14:paraId="62501D31" w14:textId="77777777" w:rsidR="00792443" w:rsidRPr="00332C4C" w:rsidRDefault="00C653D1" w:rsidP="00332C4C">
      <w:pPr>
        <w:spacing w:before="120" w:after="120"/>
        <w:ind w:left="1134" w:right="902"/>
        <w:jc w:val="both"/>
        <w:rPr>
          <w:i/>
          <w:sz w:val="22"/>
          <w:szCs w:val="22"/>
        </w:rPr>
      </w:pPr>
      <w:r w:rsidRPr="00332C4C">
        <w:rPr>
          <w:b/>
          <w:i/>
          <w:sz w:val="22"/>
          <w:szCs w:val="22"/>
        </w:rPr>
        <w:t xml:space="preserve">III. </w:t>
      </w:r>
      <w:r w:rsidRPr="00332C4C">
        <w:rPr>
          <w:i/>
          <w:sz w:val="22"/>
          <w:szCs w:val="22"/>
        </w:rPr>
        <w:t xml:space="preserve">Las concesiones para la construcción, operación, mantenimiento y ampliación de los sistemas de transportación masiva, podrán asignarse directamente en los casos en que existan características particulares de la infraestructura requerida, de experiencia, capacidad, materiales, equipos o tecnología especiales, o el financiamiento total esté a cargo de los particulares. </w:t>
      </w:r>
    </w:p>
    <w:p w14:paraId="6AB7AFBF" w14:textId="77777777" w:rsidR="00792443" w:rsidRPr="00332C4C" w:rsidRDefault="00C653D1" w:rsidP="00332C4C">
      <w:pPr>
        <w:spacing w:before="120" w:after="120"/>
        <w:ind w:left="851" w:right="902"/>
        <w:jc w:val="both"/>
        <w:rPr>
          <w:i/>
          <w:sz w:val="22"/>
          <w:szCs w:val="22"/>
        </w:rPr>
      </w:pPr>
      <w:r w:rsidRPr="00332C4C">
        <w:rPr>
          <w:b/>
          <w:i/>
          <w:sz w:val="22"/>
          <w:szCs w:val="22"/>
        </w:rPr>
        <w:t>ARTICULO 23.</w:t>
      </w:r>
      <w:r w:rsidRPr="00332C4C">
        <w:rPr>
          <w:i/>
          <w:sz w:val="22"/>
          <w:szCs w:val="22"/>
        </w:rPr>
        <w:t xml:space="preserve">- Los estudios técnicos y los acuerdos de asignación directa de concesiones, se inscribirán o anotarán según corresponda, en el Registro. </w:t>
      </w:r>
    </w:p>
    <w:p w14:paraId="1CE32C91" w14:textId="77777777" w:rsidR="00792443" w:rsidRPr="00332C4C" w:rsidRDefault="00C653D1" w:rsidP="00332C4C">
      <w:pPr>
        <w:spacing w:before="120" w:after="120"/>
        <w:ind w:left="851" w:right="902"/>
        <w:jc w:val="both"/>
        <w:rPr>
          <w:i/>
          <w:sz w:val="22"/>
          <w:szCs w:val="22"/>
        </w:rPr>
      </w:pPr>
      <w:proofErr w:type="gramStart"/>
      <w:r w:rsidRPr="00332C4C">
        <w:rPr>
          <w:b/>
          <w:i/>
          <w:sz w:val="22"/>
          <w:szCs w:val="22"/>
        </w:rPr>
        <w:t>ARTICULO</w:t>
      </w:r>
      <w:proofErr w:type="gramEnd"/>
      <w:r w:rsidRPr="00332C4C">
        <w:rPr>
          <w:b/>
          <w:i/>
          <w:sz w:val="22"/>
          <w:szCs w:val="22"/>
        </w:rPr>
        <w:t xml:space="preserve"> 24.</w:t>
      </w:r>
      <w:r w:rsidRPr="00332C4C">
        <w:rPr>
          <w:i/>
          <w:sz w:val="22"/>
          <w:szCs w:val="22"/>
        </w:rPr>
        <w:t xml:space="preserve">- Ningún servicio surgido de manera irregular podrá ser objeto de regularización, por tanto queda prohibido: </w:t>
      </w:r>
    </w:p>
    <w:p w14:paraId="4E885768" w14:textId="77777777" w:rsidR="00792443" w:rsidRPr="00332C4C" w:rsidRDefault="00C653D1" w:rsidP="00332C4C">
      <w:pPr>
        <w:spacing w:before="120" w:after="120"/>
        <w:ind w:left="1134" w:right="902"/>
        <w:jc w:val="both"/>
        <w:rPr>
          <w:i/>
          <w:sz w:val="22"/>
          <w:szCs w:val="22"/>
        </w:rPr>
      </w:pPr>
      <w:r w:rsidRPr="00332C4C">
        <w:rPr>
          <w:b/>
          <w:i/>
          <w:sz w:val="22"/>
          <w:szCs w:val="22"/>
        </w:rPr>
        <w:t xml:space="preserve">I. </w:t>
      </w:r>
      <w:r w:rsidRPr="00332C4C">
        <w:rPr>
          <w:i/>
          <w:sz w:val="22"/>
          <w:szCs w:val="22"/>
        </w:rPr>
        <w:t xml:space="preserve">Expedir convocatoria que tenga por objeto concursar el otorgamiento de concesiones para regularizar servicios. </w:t>
      </w:r>
    </w:p>
    <w:p w14:paraId="08947582" w14:textId="57A4D518" w:rsidR="00C653D1" w:rsidRPr="00332C4C" w:rsidRDefault="00C653D1" w:rsidP="00332C4C">
      <w:pPr>
        <w:spacing w:before="120" w:after="120"/>
        <w:ind w:left="1134" w:right="902"/>
        <w:jc w:val="both"/>
        <w:rPr>
          <w:i/>
          <w:sz w:val="22"/>
          <w:szCs w:val="22"/>
        </w:rPr>
      </w:pPr>
      <w:r w:rsidRPr="00332C4C">
        <w:rPr>
          <w:b/>
          <w:i/>
          <w:sz w:val="22"/>
          <w:szCs w:val="22"/>
        </w:rPr>
        <w:lastRenderedPageBreak/>
        <w:t xml:space="preserve">II. </w:t>
      </w:r>
      <w:r w:rsidRPr="00332C4C">
        <w:rPr>
          <w:i/>
          <w:sz w:val="22"/>
          <w:szCs w:val="22"/>
        </w:rPr>
        <w:t>Realizar acto administrativo que tenga por objeto asignar de manera directa concesiones para regularizar servicios.</w:t>
      </w:r>
      <w:r w:rsidR="00792443" w:rsidRPr="00332C4C">
        <w:rPr>
          <w:i/>
          <w:sz w:val="22"/>
          <w:szCs w:val="22"/>
        </w:rPr>
        <w:t>”</w:t>
      </w:r>
    </w:p>
    <w:p w14:paraId="74BCB50B" w14:textId="483FA23C" w:rsidR="00AA0362" w:rsidRPr="00332C4C" w:rsidRDefault="00AA0362" w:rsidP="00332C4C">
      <w:pPr>
        <w:spacing w:before="240" w:after="240" w:line="360" w:lineRule="auto"/>
        <w:ind w:right="49"/>
        <w:jc w:val="both"/>
        <w:rPr>
          <w:b/>
          <w:bCs/>
        </w:rPr>
      </w:pPr>
      <w:r w:rsidRPr="00332C4C">
        <w:t>Como se advierte, ninguno de los preceptos legales citados establece como requisito la constitución de una garantía para el otorgamiento de una concesión y mucho menos para la autorización de una ruta o derrotero.</w:t>
      </w:r>
    </w:p>
    <w:p w14:paraId="20E72080" w14:textId="34B39E4E" w:rsidR="00AA0362" w:rsidRPr="00332C4C" w:rsidRDefault="00AA0362" w:rsidP="00332C4C">
      <w:pPr>
        <w:spacing w:before="240" w:after="240" w:line="360" w:lineRule="auto"/>
        <w:ind w:right="49"/>
        <w:jc w:val="both"/>
        <w:rPr>
          <w:rFonts w:cs="Arial"/>
        </w:rPr>
      </w:pPr>
      <w:r w:rsidRPr="00332C4C">
        <w:t>En tales consideraciones es de mencionar que la obligación de transparencia implica que los sujetos obligados hagan entrega de aquellos documentos que, en el ejercicio de sus atribuciones,  hubieran generado, en el estado en el que estos se encuentren, más no generarlos para presentarla información conforme al interés de los solicitantes, por lo que, si en el caso concreto, la constitución de una garantía por parte de los interesados no es un requisito exigible</w:t>
      </w:r>
      <w:r w:rsidR="00AE1C97" w:rsidRPr="00332C4C">
        <w:t xml:space="preserve"> de conformidad con la normatividad aplicable, </w:t>
      </w:r>
      <w:r w:rsidRPr="00332C4C">
        <w:t>p</w:t>
      </w:r>
      <w:r w:rsidR="00AE1C97" w:rsidRPr="00332C4C">
        <w:t xml:space="preserve">ara el otorgamiento de una concesión </w:t>
      </w:r>
      <w:r w:rsidRPr="00332C4C">
        <w:t>o la autorización de una ruta o derrotero, es evidente que el</w:t>
      </w:r>
      <w:r w:rsidRPr="00332C4C">
        <w:rPr>
          <w:b/>
          <w:bCs/>
        </w:rPr>
        <w:t xml:space="preserve"> Sujeto Obligado</w:t>
      </w:r>
      <w:r w:rsidRPr="00332C4C">
        <w:t xml:space="preserve"> se encuentra imposibilitado para atender de manera favorable el requerimiento de información en estudio, al no contar con atribución que le permita documentar dicho acto</w:t>
      </w:r>
      <w:r w:rsidR="00AE1C97" w:rsidRPr="00332C4C">
        <w:t xml:space="preserve">, en tal sentido, </w:t>
      </w:r>
      <w:r w:rsidRPr="00332C4C">
        <w:rPr>
          <w:rFonts w:cs="Arial"/>
        </w:rPr>
        <w:t xml:space="preserve">basta con la aseveración por parte del servidor público habilitado </w:t>
      </w:r>
      <w:r w:rsidRPr="00332C4C">
        <w:t>de la Dirección General de Movilidad Zona II</w:t>
      </w:r>
      <w:r w:rsidRPr="00332C4C">
        <w:rPr>
          <w:rFonts w:cs="Arial"/>
        </w:rPr>
        <w:t>, con relación a la inexistencia de información en el área a su cargo, para tener por satisfecho el requerimiento</w:t>
      </w:r>
      <w:r w:rsidR="00AE1C97" w:rsidRPr="00332C4C">
        <w:rPr>
          <w:rFonts w:cs="Arial"/>
        </w:rPr>
        <w:t xml:space="preserve"> de información.</w:t>
      </w:r>
    </w:p>
    <w:p w14:paraId="7B8DB4F3" w14:textId="0007BA4F" w:rsidR="00EE43C5" w:rsidRPr="00332C4C" w:rsidRDefault="00C81401" w:rsidP="00332C4C">
      <w:pPr>
        <w:spacing w:before="120" w:after="120" w:line="360" w:lineRule="auto"/>
        <w:ind w:right="49"/>
        <w:jc w:val="both"/>
        <w:rPr>
          <w:rFonts w:eastAsia="Palatino Linotype"/>
        </w:rPr>
      </w:pPr>
      <w:r w:rsidRPr="00332C4C">
        <w:rPr>
          <w:b/>
        </w:rPr>
        <w:t>Por cuanto hace al punto 4, mediante el cual se requiere la</w:t>
      </w:r>
      <w:r w:rsidR="00F409CC" w:rsidRPr="00332C4C">
        <w:rPr>
          <w:b/>
        </w:rPr>
        <w:t xml:space="preserve"> </w:t>
      </w:r>
      <w:r w:rsidR="00F409CC" w:rsidRPr="00332C4C">
        <w:rPr>
          <w:rFonts w:eastAsia="Palatino Linotype" w:cs="Palatino Linotype"/>
          <w:b/>
          <w:lang w:val="es-MX"/>
        </w:rPr>
        <w:t>inscripción</w:t>
      </w:r>
      <w:r w:rsidRPr="00332C4C">
        <w:rPr>
          <w:rFonts w:eastAsia="Palatino Linotype" w:cs="Palatino Linotype"/>
          <w:b/>
          <w:lang w:val="es-MX"/>
        </w:rPr>
        <w:t xml:space="preserve"> en el Registro Estatal del Paradero y/o persona concesionaria de la ruta 18 ramal que corre de Jesús del Monte al Metro Cuatro Caminos</w:t>
      </w:r>
      <w:r w:rsidRPr="00332C4C">
        <w:rPr>
          <w:rFonts w:eastAsia="Palatino Linotype" w:cs="Palatino Linotype"/>
          <w:lang w:val="es-MX"/>
        </w:rPr>
        <w:t xml:space="preserve">, </w:t>
      </w:r>
      <w:r w:rsidR="00184370" w:rsidRPr="00332C4C">
        <w:rPr>
          <w:rFonts w:eastAsia="Palatino Linotype" w:cs="Palatino Linotype"/>
          <w:lang w:val="es-MX"/>
        </w:rPr>
        <w:t>del análisis efectuado en la normatividad aplica</w:t>
      </w:r>
      <w:r w:rsidR="00A81B98" w:rsidRPr="00332C4C">
        <w:rPr>
          <w:rFonts w:eastAsia="Palatino Linotype" w:cs="Palatino Linotype"/>
          <w:lang w:val="es-MX"/>
        </w:rPr>
        <w:t>ble no se advirtió la existencia de un Registro Estatal del Paradero</w:t>
      </w:r>
      <w:r w:rsidR="004503A2" w:rsidRPr="00332C4C">
        <w:rPr>
          <w:rFonts w:eastAsia="Palatino Linotype" w:cs="Palatino Linotype"/>
          <w:lang w:val="es-MX"/>
        </w:rPr>
        <w:t xml:space="preserve">, </w:t>
      </w:r>
      <w:r w:rsidR="00A30535" w:rsidRPr="00332C4C">
        <w:rPr>
          <w:rFonts w:eastAsia="Palatino Linotype" w:cs="Palatino Linotype"/>
          <w:lang w:val="es-MX"/>
        </w:rPr>
        <w:t xml:space="preserve">sin embargo, </w:t>
      </w:r>
      <w:r w:rsidR="004503A2" w:rsidRPr="00332C4C">
        <w:rPr>
          <w:rFonts w:eastAsia="Palatino Linotype" w:cs="Palatino Linotype"/>
          <w:lang w:val="es-MX"/>
        </w:rPr>
        <w:t xml:space="preserve">como lo refirió el </w:t>
      </w:r>
      <w:r w:rsidR="00BF1B11" w:rsidRPr="00332C4C">
        <w:rPr>
          <w:rFonts w:eastAsia="Palatino Linotype"/>
        </w:rPr>
        <w:t>servidor público habilitado</w:t>
      </w:r>
      <w:r w:rsidR="00A30535" w:rsidRPr="00332C4C">
        <w:rPr>
          <w:rFonts w:eastAsia="Palatino Linotype"/>
        </w:rPr>
        <w:t xml:space="preserve">, si se cuenta </w:t>
      </w:r>
      <w:r w:rsidR="00A30535" w:rsidRPr="00332C4C">
        <w:rPr>
          <w:rFonts w:eastAsia="Palatino Linotype"/>
        </w:rPr>
        <w:lastRenderedPageBreak/>
        <w:t>con un Registro Estatal de Transporte, en el cual se inscriben</w:t>
      </w:r>
      <w:r w:rsidR="00EE43C5" w:rsidRPr="00332C4C">
        <w:rPr>
          <w:rFonts w:eastAsia="Palatino Linotype"/>
        </w:rPr>
        <w:t xml:space="preserve"> las normas técnicas, sus modificaciones, sustitución o extinción; la declaratoria de existencia de necesidad pública de transporte y la convocatoria correspondiente; los estudios técnicos y los acuerdos de asignación directa de concesiones; </w:t>
      </w:r>
      <w:r w:rsidR="00EE43C5" w:rsidRPr="00332C4C">
        <w:t xml:space="preserve">todos los actos relativos a la cesión y transmisión de concesiones; la prórroga de concesiones; la instauración y resolución de cualquier procedimiento cuyo objeto sea la terminación de concesiones; las autorizaciones complementarias de las concesiones; las sociedades mercantiles titulares de concesiones las modificaciones en su acta o escritura constitutiva, las organizaciones sociales de carácter no lucrativo integradas por los concesionarios, así como cualquier modificación de sus estatutos, el padrón de asociados y sus modificaciones, la elección o remoción </w:t>
      </w:r>
      <w:r w:rsidR="008B3BBB" w:rsidRPr="00332C4C">
        <w:t xml:space="preserve">de representantes; los convenios de enrolamiento, </w:t>
      </w:r>
      <w:r w:rsidR="00C17279" w:rsidRPr="00332C4C">
        <w:t>los convenios que celebre la autoridad de trasporte con autoridades competentes de otras entidades, los celebrados por los concesionarios, y las aprobaciones de dichos convenios, y los convenios de enlace de rutas, conforme a lo establecido en los a</w:t>
      </w:r>
      <w:r w:rsidR="00EE43C5" w:rsidRPr="00332C4C">
        <w:rPr>
          <w:rFonts w:eastAsia="Palatino Linotype"/>
        </w:rPr>
        <w:t>rtículos 7 párrafo segundo, 20, 23, 29, 33, 38, 50, 61, 62, 64</w:t>
      </w:r>
      <w:r w:rsidR="00254878" w:rsidRPr="00332C4C">
        <w:rPr>
          <w:rFonts w:eastAsia="Palatino Linotype"/>
        </w:rPr>
        <w:t xml:space="preserve"> fracciones I y II, </w:t>
      </w:r>
      <w:r w:rsidR="00C17279" w:rsidRPr="00332C4C">
        <w:rPr>
          <w:rFonts w:eastAsia="Palatino Linotype"/>
        </w:rPr>
        <w:t>76 último párrafo, 112 y 115 párrafo primero fracción V, del Reglamento del Trasporte Público, a saber:</w:t>
      </w:r>
    </w:p>
    <w:p w14:paraId="3B06D843" w14:textId="10301C09" w:rsidR="00EE43C5" w:rsidRPr="00332C4C" w:rsidRDefault="00C17279" w:rsidP="00332C4C">
      <w:pPr>
        <w:spacing w:before="120" w:after="120"/>
        <w:ind w:left="851" w:right="900"/>
        <w:jc w:val="both"/>
        <w:rPr>
          <w:i/>
          <w:sz w:val="22"/>
        </w:rPr>
      </w:pPr>
      <w:r w:rsidRPr="00332C4C">
        <w:rPr>
          <w:i/>
          <w:sz w:val="22"/>
        </w:rPr>
        <w:t>“</w:t>
      </w:r>
      <w:r w:rsidR="00EE43C5" w:rsidRPr="00332C4C">
        <w:rPr>
          <w:b/>
          <w:i/>
          <w:sz w:val="22"/>
        </w:rPr>
        <w:t xml:space="preserve">ARTICULO </w:t>
      </w:r>
      <w:r w:rsidRPr="00332C4C">
        <w:rPr>
          <w:b/>
          <w:i/>
          <w:sz w:val="22"/>
        </w:rPr>
        <w:t>7.</w:t>
      </w:r>
      <w:r w:rsidRPr="00332C4C">
        <w:rPr>
          <w:i/>
          <w:sz w:val="22"/>
        </w:rPr>
        <w:t>-</w:t>
      </w:r>
    </w:p>
    <w:p w14:paraId="5019FDF2" w14:textId="72201EF4" w:rsidR="00C17279" w:rsidRPr="00332C4C" w:rsidRDefault="00C17279" w:rsidP="00332C4C">
      <w:pPr>
        <w:spacing w:before="120" w:after="120"/>
        <w:ind w:left="851" w:right="900"/>
        <w:jc w:val="both"/>
        <w:rPr>
          <w:i/>
          <w:sz w:val="22"/>
        </w:rPr>
      </w:pPr>
      <w:r w:rsidRPr="00332C4C">
        <w:rPr>
          <w:i/>
          <w:sz w:val="22"/>
        </w:rPr>
        <w:t>…</w:t>
      </w:r>
    </w:p>
    <w:p w14:paraId="16337865" w14:textId="05E1C3B7" w:rsidR="00EE43C5" w:rsidRPr="00332C4C" w:rsidRDefault="00EE43C5" w:rsidP="00332C4C">
      <w:pPr>
        <w:spacing w:before="120" w:after="120"/>
        <w:ind w:left="851" w:right="900"/>
        <w:jc w:val="both"/>
        <w:rPr>
          <w:rFonts w:eastAsia="Palatino Linotype"/>
          <w:i/>
          <w:sz w:val="22"/>
        </w:rPr>
      </w:pPr>
      <w:r w:rsidRPr="00332C4C">
        <w:rPr>
          <w:i/>
          <w:sz w:val="22"/>
        </w:rPr>
        <w:t>Toda norma técnica, sus modificaciones, sustitución o extinción se inscribirá o anotará según corresponda en el Registro.</w:t>
      </w:r>
    </w:p>
    <w:p w14:paraId="5550660F" w14:textId="7D208A49" w:rsidR="00C17279" w:rsidRPr="00332C4C" w:rsidRDefault="00C17279" w:rsidP="00332C4C">
      <w:pPr>
        <w:spacing w:before="120" w:after="120"/>
        <w:ind w:left="851" w:right="900"/>
        <w:jc w:val="both"/>
        <w:rPr>
          <w:b/>
          <w:i/>
          <w:sz w:val="22"/>
        </w:rPr>
      </w:pPr>
      <w:r w:rsidRPr="00332C4C">
        <w:rPr>
          <w:b/>
          <w:i/>
          <w:sz w:val="22"/>
        </w:rPr>
        <w:t>…</w:t>
      </w:r>
    </w:p>
    <w:p w14:paraId="426CBFAA" w14:textId="398F0E63" w:rsidR="00C653D1" w:rsidRPr="00332C4C" w:rsidRDefault="00EE43C5" w:rsidP="00332C4C">
      <w:pPr>
        <w:spacing w:before="120" w:after="120"/>
        <w:ind w:left="851" w:right="900"/>
        <w:jc w:val="both"/>
        <w:rPr>
          <w:i/>
          <w:sz w:val="22"/>
        </w:rPr>
      </w:pPr>
      <w:r w:rsidRPr="00332C4C">
        <w:rPr>
          <w:b/>
          <w:i/>
          <w:sz w:val="22"/>
        </w:rPr>
        <w:t>ARTICULO 20</w:t>
      </w:r>
      <w:r w:rsidRPr="00332C4C">
        <w:rPr>
          <w:i/>
          <w:sz w:val="22"/>
        </w:rPr>
        <w:t>.- La declaratoria de existencia de necesidad pública de transporte y la convocatoria correspondiente, deberán publicarse conjuntamente por una sola vez en el periódico oficial "Gaceta del Gobierno" e inscribirse o anotarse según corresponda en el Registro.</w:t>
      </w:r>
    </w:p>
    <w:p w14:paraId="64661A96" w14:textId="7F940680" w:rsidR="00C17279" w:rsidRPr="00332C4C" w:rsidRDefault="00C17279" w:rsidP="00332C4C">
      <w:pPr>
        <w:spacing w:before="120" w:after="120"/>
        <w:ind w:left="851" w:right="900"/>
        <w:jc w:val="both"/>
        <w:rPr>
          <w:b/>
          <w:i/>
          <w:sz w:val="22"/>
        </w:rPr>
      </w:pPr>
      <w:r w:rsidRPr="00332C4C">
        <w:rPr>
          <w:b/>
          <w:i/>
          <w:sz w:val="22"/>
        </w:rPr>
        <w:t>…</w:t>
      </w:r>
    </w:p>
    <w:p w14:paraId="6101A284" w14:textId="14B530F0" w:rsidR="00C653D1" w:rsidRPr="00332C4C" w:rsidRDefault="00EE43C5" w:rsidP="00332C4C">
      <w:pPr>
        <w:spacing w:before="120" w:after="120"/>
        <w:ind w:left="851" w:right="900"/>
        <w:jc w:val="both"/>
        <w:rPr>
          <w:i/>
          <w:sz w:val="22"/>
        </w:rPr>
      </w:pPr>
      <w:r w:rsidRPr="00332C4C">
        <w:rPr>
          <w:b/>
          <w:i/>
          <w:sz w:val="22"/>
        </w:rPr>
        <w:lastRenderedPageBreak/>
        <w:t>ARTICULO 23</w:t>
      </w:r>
      <w:r w:rsidRPr="00332C4C">
        <w:rPr>
          <w:i/>
          <w:sz w:val="22"/>
        </w:rPr>
        <w:t>.- Los estudios técnicos y los acuerdos de asignación directa de concesiones, se inscribirán o anotarán según corresponda, en el Registro.</w:t>
      </w:r>
    </w:p>
    <w:p w14:paraId="6CCA5C7A" w14:textId="5D079A60" w:rsidR="00C17279" w:rsidRPr="00332C4C" w:rsidRDefault="00C17279" w:rsidP="00332C4C">
      <w:pPr>
        <w:spacing w:before="120" w:after="120"/>
        <w:ind w:left="851" w:right="900"/>
        <w:jc w:val="both"/>
        <w:rPr>
          <w:b/>
          <w:i/>
          <w:sz w:val="22"/>
        </w:rPr>
      </w:pPr>
      <w:r w:rsidRPr="00332C4C">
        <w:rPr>
          <w:b/>
          <w:i/>
          <w:sz w:val="22"/>
        </w:rPr>
        <w:t>…</w:t>
      </w:r>
    </w:p>
    <w:p w14:paraId="16C47FEB" w14:textId="3636B3A9" w:rsidR="00C653D1" w:rsidRPr="00332C4C" w:rsidRDefault="00EE43C5" w:rsidP="00332C4C">
      <w:pPr>
        <w:spacing w:before="120" w:after="120"/>
        <w:ind w:left="851" w:right="900"/>
        <w:jc w:val="both"/>
        <w:rPr>
          <w:i/>
          <w:sz w:val="22"/>
        </w:rPr>
      </w:pPr>
      <w:r w:rsidRPr="00332C4C">
        <w:rPr>
          <w:b/>
          <w:i/>
          <w:sz w:val="22"/>
        </w:rPr>
        <w:t>Artículo 29.</w:t>
      </w:r>
      <w:r w:rsidRPr="00332C4C">
        <w:rPr>
          <w:i/>
          <w:sz w:val="22"/>
        </w:rPr>
        <w:t xml:space="preserve"> Todos los actos relativos a la cesión y transmisión de concesiones se anotarán o inscribirán según corresponda en el Registro.</w:t>
      </w:r>
    </w:p>
    <w:p w14:paraId="07BA4D70" w14:textId="4E5C904F" w:rsidR="00C17279" w:rsidRPr="00332C4C" w:rsidRDefault="00C17279" w:rsidP="00332C4C">
      <w:pPr>
        <w:spacing w:before="120" w:after="120"/>
        <w:ind w:left="851" w:right="900"/>
        <w:jc w:val="both"/>
        <w:rPr>
          <w:i/>
          <w:sz w:val="22"/>
        </w:rPr>
      </w:pPr>
      <w:r w:rsidRPr="00332C4C">
        <w:rPr>
          <w:i/>
          <w:sz w:val="22"/>
        </w:rPr>
        <w:t>…</w:t>
      </w:r>
    </w:p>
    <w:p w14:paraId="7A386445" w14:textId="3261AF1F" w:rsidR="00EE43C5" w:rsidRPr="00332C4C" w:rsidRDefault="00EE43C5" w:rsidP="00332C4C">
      <w:pPr>
        <w:spacing w:before="120" w:after="120"/>
        <w:ind w:left="851" w:right="900"/>
        <w:jc w:val="both"/>
        <w:rPr>
          <w:i/>
          <w:sz w:val="22"/>
        </w:rPr>
      </w:pPr>
      <w:r w:rsidRPr="00332C4C">
        <w:rPr>
          <w:b/>
          <w:i/>
          <w:sz w:val="22"/>
        </w:rPr>
        <w:t>ARTICULO 33</w:t>
      </w:r>
      <w:r w:rsidRPr="00332C4C">
        <w:rPr>
          <w:i/>
          <w:sz w:val="22"/>
        </w:rPr>
        <w:t>.- Todos los actos relativos a la prórroga de concesiones, se anotarán o inscribirán según corresponda, en el Registro.</w:t>
      </w:r>
    </w:p>
    <w:p w14:paraId="50190063" w14:textId="523B6DE4" w:rsidR="00C17279" w:rsidRPr="00332C4C" w:rsidRDefault="00C17279" w:rsidP="00332C4C">
      <w:pPr>
        <w:spacing w:before="120" w:after="120"/>
        <w:ind w:left="851" w:right="900"/>
        <w:jc w:val="both"/>
        <w:rPr>
          <w:b/>
          <w:i/>
          <w:sz w:val="22"/>
        </w:rPr>
      </w:pPr>
      <w:r w:rsidRPr="00332C4C">
        <w:rPr>
          <w:b/>
          <w:i/>
          <w:sz w:val="22"/>
        </w:rPr>
        <w:t>…</w:t>
      </w:r>
    </w:p>
    <w:p w14:paraId="55ED3622" w14:textId="3404B50B" w:rsidR="00EE43C5" w:rsidRPr="00332C4C" w:rsidRDefault="00EE43C5" w:rsidP="00332C4C">
      <w:pPr>
        <w:spacing w:before="120" w:after="120"/>
        <w:ind w:left="851" w:right="900"/>
        <w:jc w:val="both"/>
        <w:rPr>
          <w:i/>
          <w:sz w:val="22"/>
        </w:rPr>
      </w:pPr>
      <w:r w:rsidRPr="00332C4C">
        <w:rPr>
          <w:b/>
          <w:i/>
          <w:sz w:val="22"/>
        </w:rPr>
        <w:t>ARTICULO 38</w:t>
      </w:r>
      <w:r w:rsidRPr="00332C4C">
        <w:rPr>
          <w:i/>
          <w:sz w:val="22"/>
        </w:rPr>
        <w:t>.- La instauración y resolución de cualquier procedimiento cuyo objeto sea la terminación de concesiones, se anotará o inscribirá, según corresponda, en el Registro.</w:t>
      </w:r>
    </w:p>
    <w:p w14:paraId="4CF396C6" w14:textId="72A11548" w:rsidR="00C17279" w:rsidRPr="00332C4C" w:rsidRDefault="00C17279" w:rsidP="00332C4C">
      <w:pPr>
        <w:spacing w:before="120" w:after="120"/>
        <w:ind w:left="851" w:right="900"/>
        <w:jc w:val="both"/>
        <w:rPr>
          <w:i/>
          <w:sz w:val="22"/>
        </w:rPr>
      </w:pPr>
      <w:r w:rsidRPr="00332C4C">
        <w:rPr>
          <w:i/>
          <w:sz w:val="22"/>
        </w:rPr>
        <w:t>…</w:t>
      </w:r>
    </w:p>
    <w:p w14:paraId="0D4B6E97" w14:textId="62A7270E" w:rsidR="00EE43C5" w:rsidRPr="00332C4C" w:rsidRDefault="00EE43C5" w:rsidP="00332C4C">
      <w:pPr>
        <w:spacing w:before="120" w:after="120"/>
        <w:ind w:left="851" w:right="900"/>
        <w:jc w:val="both"/>
        <w:rPr>
          <w:i/>
          <w:sz w:val="22"/>
        </w:rPr>
      </w:pPr>
      <w:r w:rsidRPr="00332C4C">
        <w:rPr>
          <w:b/>
          <w:i/>
          <w:sz w:val="22"/>
        </w:rPr>
        <w:t>ARTICULO 50.</w:t>
      </w:r>
      <w:r w:rsidRPr="00332C4C">
        <w:rPr>
          <w:i/>
          <w:sz w:val="22"/>
        </w:rPr>
        <w:t xml:space="preserve">- </w:t>
      </w:r>
      <w:r w:rsidRPr="00332C4C">
        <w:rPr>
          <w:b/>
          <w:i/>
          <w:sz w:val="22"/>
        </w:rPr>
        <w:t>Las autorizaciones serán complementarias de las concesiones</w:t>
      </w:r>
      <w:r w:rsidRPr="00332C4C">
        <w:rPr>
          <w:i/>
          <w:sz w:val="22"/>
        </w:rPr>
        <w:t xml:space="preserve"> y permisos, formarán parte de los mismos, sólo se expedirán por la misma autoridad que los hubiere otorgado y </w:t>
      </w:r>
      <w:r w:rsidRPr="00332C4C">
        <w:rPr>
          <w:b/>
          <w:i/>
          <w:sz w:val="22"/>
        </w:rPr>
        <w:t>se inscribirán o anotarán en el Registro relacionándolas con la concesión</w:t>
      </w:r>
      <w:r w:rsidRPr="00332C4C">
        <w:rPr>
          <w:i/>
          <w:sz w:val="22"/>
        </w:rPr>
        <w:t xml:space="preserve"> o permiso que complementen.</w:t>
      </w:r>
    </w:p>
    <w:p w14:paraId="27A5EFC6" w14:textId="57E42508" w:rsidR="00C17279" w:rsidRPr="00332C4C" w:rsidRDefault="00C17279" w:rsidP="00332C4C">
      <w:pPr>
        <w:spacing w:before="120" w:after="120"/>
        <w:ind w:left="851" w:right="900"/>
        <w:jc w:val="both"/>
        <w:rPr>
          <w:b/>
          <w:i/>
          <w:sz w:val="22"/>
        </w:rPr>
      </w:pPr>
      <w:r w:rsidRPr="00332C4C">
        <w:rPr>
          <w:b/>
          <w:i/>
          <w:sz w:val="22"/>
        </w:rPr>
        <w:t>…</w:t>
      </w:r>
    </w:p>
    <w:p w14:paraId="7011BAE8" w14:textId="098014E4" w:rsidR="00EE43C5" w:rsidRPr="00332C4C" w:rsidRDefault="00EE43C5" w:rsidP="00332C4C">
      <w:pPr>
        <w:spacing w:before="120" w:after="120"/>
        <w:ind w:left="851" w:right="900"/>
        <w:jc w:val="both"/>
        <w:rPr>
          <w:i/>
          <w:sz w:val="22"/>
        </w:rPr>
      </w:pPr>
      <w:r w:rsidRPr="00332C4C">
        <w:rPr>
          <w:b/>
          <w:i/>
          <w:sz w:val="22"/>
        </w:rPr>
        <w:t>ARTICULO 61</w:t>
      </w:r>
      <w:r w:rsidRPr="00332C4C">
        <w:rPr>
          <w:i/>
          <w:sz w:val="22"/>
        </w:rPr>
        <w:t>.- Las sociedades mercantiles titulares de concesiones o permisos, deberán estar inscritas en el Registro Público del Comercio, así como obtener su inscripción en el Registro.</w:t>
      </w:r>
    </w:p>
    <w:p w14:paraId="28BA6E5C" w14:textId="04B82667" w:rsidR="00C17279" w:rsidRPr="00332C4C" w:rsidRDefault="00C17279" w:rsidP="00332C4C">
      <w:pPr>
        <w:spacing w:before="120" w:after="120"/>
        <w:ind w:left="851" w:right="900"/>
        <w:jc w:val="both"/>
        <w:rPr>
          <w:b/>
          <w:i/>
          <w:sz w:val="22"/>
        </w:rPr>
      </w:pPr>
      <w:r w:rsidRPr="00332C4C">
        <w:rPr>
          <w:b/>
          <w:i/>
          <w:sz w:val="22"/>
        </w:rPr>
        <w:t>…</w:t>
      </w:r>
    </w:p>
    <w:p w14:paraId="437563BD" w14:textId="3F76DEE7" w:rsidR="00EE43C5" w:rsidRPr="00332C4C" w:rsidRDefault="00EE43C5" w:rsidP="00332C4C">
      <w:pPr>
        <w:spacing w:before="120" w:after="120"/>
        <w:ind w:left="851" w:right="900"/>
        <w:jc w:val="both"/>
        <w:rPr>
          <w:i/>
          <w:sz w:val="22"/>
        </w:rPr>
      </w:pPr>
      <w:r w:rsidRPr="00332C4C">
        <w:rPr>
          <w:b/>
          <w:i/>
          <w:sz w:val="22"/>
        </w:rPr>
        <w:t>ARTICULO 62.</w:t>
      </w:r>
      <w:r w:rsidRPr="00332C4C">
        <w:rPr>
          <w:i/>
          <w:sz w:val="22"/>
        </w:rPr>
        <w:t>- Las sociedades mercantiles titulares de concesiones o permisos deben comunicar a la autoridad de transporte toda modificación de su acta o escritura constitutiva, así como todo cambio en sus órganos de administración y de vigilancia, debiendo además solicitar su inscripción en el Registro dentro de los siguientes treinta días naturales a que ocurran tales eventos.</w:t>
      </w:r>
    </w:p>
    <w:p w14:paraId="666D7E1E" w14:textId="09787959" w:rsidR="00C17279" w:rsidRPr="00332C4C" w:rsidRDefault="00C17279" w:rsidP="00332C4C">
      <w:pPr>
        <w:spacing w:before="120" w:after="120"/>
        <w:ind w:left="851" w:right="900"/>
        <w:jc w:val="both"/>
        <w:rPr>
          <w:i/>
          <w:sz w:val="22"/>
        </w:rPr>
      </w:pPr>
      <w:r w:rsidRPr="00332C4C">
        <w:rPr>
          <w:i/>
          <w:sz w:val="22"/>
        </w:rPr>
        <w:t>…</w:t>
      </w:r>
    </w:p>
    <w:p w14:paraId="39636AEE" w14:textId="77777777" w:rsidR="00254878" w:rsidRPr="00332C4C" w:rsidRDefault="00254878" w:rsidP="00332C4C">
      <w:pPr>
        <w:spacing w:before="120" w:after="120"/>
        <w:ind w:left="851" w:right="900"/>
        <w:jc w:val="both"/>
        <w:rPr>
          <w:i/>
          <w:sz w:val="22"/>
        </w:rPr>
      </w:pPr>
      <w:r w:rsidRPr="00332C4C">
        <w:rPr>
          <w:b/>
          <w:i/>
          <w:sz w:val="22"/>
        </w:rPr>
        <w:t>ARTICULO 64.-</w:t>
      </w:r>
      <w:r w:rsidRPr="00332C4C">
        <w:rPr>
          <w:i/>
          <w:sz w:val="22"/>
        </w:rPr>
        <w:t xml:space="preserve"> Los concesionarios y permisionarios, podrán integrar organizaciones sociales de carácter no lucrativo, adoptando la forma que estimen pertinente, las cuales tendrán como objeto la realización de fines comunes relacionados con el mejoramiento y desarrollo del transporte y sin que dichas organizaciones puedan ser titulares de concesiones o permisos, con sujeción a lo siguiente: </w:t>
      </w:r>
    </w:p>
    <w:p w14:paraId="386737BE" w14:textId="77777777" w:rsidR="00254878" w:rsidRPr="00332C4C" w:rsidRDefault="00254878" w:rsidP="00332C4C">
      <w:pPr>
        <w:spacing w:before="120" w:after="120"/>
        <w:ind w:left="1134" w:right="900"/>
        <w:jc w:val="both"/>
        <w:rPr>
          <w:i/>
          <w:sz w:val="22"/>
        </w:rPr>
      </w:pPr>
      <w:r w:rsidRPr="00332C4C">
        <w:rPr>
          <w:i/>
          <w:sz w:val="22"/>
        </w:rPr>
        <w:lastRenderedPageBreak/>
        <w:t xml:space="preserve">I. Las organizaciones se regirán por lo que dispongan sus estatutos, pero para su reconocimiento ante la autoridad de transporte, deberán inscribirse en el Registro. </w:t>
      </w:r>
    </w:p>
    <w:p w14:paraId="2525A96F" w14:textId="77777777" w:rsidR="00254878" w:rsidRPr="00332C4C" w:rsidRDefault="00254878" w:rsidP="00332C4C">
      <w:pPr>
        <w:spacing w:before="120" w:after="120"/>
        <w:ind w:left="1134" w:right="900"/>
        <w:jc w:val="both"/>
        <w:rPr>
          <w:i/>
          <w:sz w:val="22"/>
        </w:rPr>
      </w:pPr>
      <w:r w:rsidRPr="00332C4C">
        <w:rPr>
          <w:i/>
          <w:sz w:val="22"/>
        </w:rPr>
        <w:t xml:space="preserve">II. Las organizaciones tendrán la obligación de comunicar a la autoridad de transporte e inscribir en el Registro, lo siguiente: </w:t>
      </w:r>
    </w:p>
    <w:p w14:paraId="4793AA4E" w14:textId="30E1DB05" w:rsidR="00254878" w:rsidRPr="00332C4C" w:rsidRDefault="00254878" w:rsidP="00332C4C">
      <w:pPr>
        <w:spacing w:before="120" w:after="120"/>
        <w:ind w:left="1418" w:right="900"/>
        <w:jc w:val="both"/>
        <w:rPr>
          <w:i/>
          <w:sz w:val="22"/>
        </w:rPr>
      </w:pPr>
      <w:r w:rsidRPr="00332C4C">
        <w:rPr>
          <w:i/>
          <w:sz w:val="22"/>
        </w:rPr>
        <w:t xml:space="preserve">a) Cualquier modificación de sus estatutos. </w:t>
      </w:r>
    </w:p>
    <w:p w14:paraId="639C2488" w14:textId="77777777" w:rsidR="00254878" w:rsidRPr="00332C4C" w:rsidRDefault="00254878" w:rsidP="00332C4C">
      <w:pPr>
        <w:spacing w:before="120" w:after="120"/>
        <w:ind w:left="1418" w:right="900"/>
        <w:jc w:val="both"/>
        <w:rPr>
          <w:i/>
          <w:sz w:val="22"/>
        </w:rPr>
      </w:pPr>
      <w:r w:rsidRPr="00332C4C">
        <w:rPr>
          <w:i/>
          <w:sz w:val="22"/>
        </w:rPr>
        <w:t xml:space="preserve">b) El padrón de asociados. </w:t>
      </w:r>
    </w:p>
    <w:p w14:paraId="41ABC0CB" w14:textId="77777777" w:rsidR="00254878" w:rsidRPr="00332C4C" w:rsidRDefault="00254878" w:rsidP="00332C4C">
      <w:pPr>
        <w:spacing w:before="120" w:after="120"/>
        <w:ind w:left="1418" w:right="900"/>
        <w:jc w:val="both"/>
        <w:rPr>
          <w:i/>
          <w:sz w:val="22"/>
        </w:rPr>
      </w:pPr>
      <w:r w:rsidRPr="00332C4C">
        <w:rPr>
          <w:i/>
          <w:sz w:val="22"/>
        </w:rPr>
        <w:t xml:space="preserve">c) Las modificaciones que se operen anualmente en el padrón de asociados. </w:t>
      </w:r>
    </w:p>
    <w:p w14:paraId="733C4998" w14:textId="75100BE0" w:rsidR="00EE43C5" w:rsidRPr="00332C4C" w:rsidRDefault="00254878" w:rsidP="00332C4C">
      <w:pPr>
        <w:spacing w:before="120" w:after="120"/>
        <w:ind w:left="1418" w:right="900"/>
        <w:jc w:val="both"/>
        <w:rPr>
          <w:i/>
          <w:sz w:val="22"/>
        </w:rPr>
      </w:pPr>
      <w:r w:rsidRPr="00332C4C">
        <w:rPr>
          <w:i/>
          <w:sz w:val="22"/>
        </w:rPr>
        <w:t>d) La elección o remoción de representantes.</w:t>
      </w:r>
    </w:p>
    <w:p w14:paraId="0A8AEF5A" w14:textId="609E24AB" w:rsidR="00C17279" w:rsidRPr="00332C4C" w:rsidRDefault="00C17279" w:rsidP="00332C4C">
      <w:pPr>
        <w:spacing w:before="120" w:after="120"/>
        <w:ind w:left="851" w:right="900"/>
        <w:jc w:val="both"/>
        <w:rPr>
          <w:b/>
          <w:i/>
          <w:sz w:val="22"/>
        </w:rPr>
      </w:pPr>
      <w:r w:rsidRPr="00332C4C">
        <w:rPr>
          <w:b/>
          <w:i/>
          <w:sz w:val="22"/>
        </w:rPr>
        <w:t>…</w:t>
      </w:r>
    </w:p>
    <w:p w14:paraId="6AE03B09" w14:textId="5D56CF67" w:rsidR="00EE43C5" w:rsidRPr="00332C4C" w:rsidRDefault="00C17279" w:rsidP="00332C4C">
      <w:pPr>
        <w:spacing w:before="120" w:after="120"/>
        <w:ind w:left="851" w:right="900"/>
        <w:jc w:val="both"/>
        <w:rPr>
          <w:b/>
          <w:i/>
          <w:sz w:val="22"/>
        </w:rPr>
      </w:pPr>
      <w:r w:rsidRPr="00332C4C">
        <w:rPr>
          <w:b/>
          <w:i/>
          <w:sz w:val="22"/>
        </w:rPr>
        <w:t>ARTICULO 76.-</w:t>
      </w:r>
    </w:p>
    <w:p w14:paraId="665F88D8" w14:textId="1B98DB08" w:rsidR="00C17279" w:rsidRPr="00332C4C" w:rsidRDefault="00C17279" w:rsidP="00332C4C">
      <w:pPr>
        <w:spacing w:before="120" w:after="120"/>
        <w:ind w:left="851" w:right="900"/>
        <w:jc w:val="both"/>
        <w:rPr>
          <w:i/>
          <w:sz w:val="22"/>
        </w:rPr>
      </w:pPr>
      <w:r w:rsidRPr="00332C4C">
        <w:rPr>
          <w:i/>
          <w:sz w:val="22"/>
        </w:rPr>
        <w:t>…</w:t>
      </w:r>
    </w:p>
    <w:p w14:paraId="52178471" w14:textId="32A680BA" w:rsidR="00C17279" w:rsidRPr="00332C4C" w:rsidRDefault="00C17279" w:rsidP="00332C4C">
      <w:pPr>
        <w:spacing w:before="120" w:after="120"/>
        <w:ind w:left="851" w:right="900"/>
        <w:jc w:val="both"/>
        <w:rPr>
          <w:i/>
          <w:sz w:val="22"/>
        </w:rPr>
      </w:pPr>
      <w:r w:rsidRPr="00332C4C">
        <w:rPr>
          <w:i/>
          <w:sz w:val="22"/>
        </w:rPr>
        <w:t>Los convenios de enrolamiento se inscribirán o anotarán según corresponda, en el Registro.</w:t>
      </w:r>
    </w:p>
    <w:p w14:paraId="2DF1AEB5" w14:textId="05E9634A" w:rsidR="00C17279" w:rsidRPr="00332C4C" w:rsidRDefault="00C17279" w:rsidP="00332C4C">
      <w:pPr>
        <w:spacing w:before="120" w:after="120"/>
        <w:ind w:left="851" w:right="900"/>
        <w:jc w:val="both"/>
        <w:rPr>
          <w:i/>
          <w:sz w:val="22"/>
        </w:rPr>
      </w:pPr>
      <w:r w:rsidRPr="00332C4C">
        <w:rPr>
          <w:i/>
          <w:sz w:val="22"/>
        </w:rPr>
        <w:t>…</w:t>
      </w:r>
    </w:p>
    <w:p w14:paraId="74B7CEFC" w14:textId="77777777" w:rsidR="00C17279" w:rsidRPr="00332C4C" w:rsidRDefault="00C17279" w:rsidP="00332C4C">
      <w:pPr>
        <w:spacing w:before="120" w:after="120"/>
        <w:ind w:left="851" w:right="900"/>
        <w:jc w:val="both"/>
        <w:rPr>
          <w:i/>
          <w:sz w:val="22"/>
        </w:rPr>
      </w:pPr>
      <w:r w:rsidRPr="00332C4C">
        <w:rPr>
          <w:b/>
          <w:i/>
          <w:sz w:val="22"/>
        </w:rPr>
        <w:t>ARTICULO 112.</w:t>
      </w:r>
      <w:r w:rsidRPr="00332C4C">
        <w:rPr>
          <w:i/>
          <w:sz w:val="22"/>
        </w:rPr>
        <w:t xml:space="preserve">- Todos los convenios que celebre la autoridad de transporte con las autoridades competentes de otras entidades federativas, en términos de las disposiciones de este Título, serán inscritos o anotados según corresponda, en el Registro. </w:t>
      </w:r>
    </w:p>
    <w:p w14:paraId="0D132206" w14:textId="77777777" w:rsidR="00C17279" w:rsidRPr="00332C4C" w:rsidRDefault="00C17279" w:rsidP="00332C4C">
      <w:pPr>
        <w:spacing w:before="120" w:after="120"/>
        <w:ind w:left="851" w:right="900"/>
        <w:jc w:val="both"/>
        <w:rPr>
          <w:i/>
          <w:sz w:val="22"/>
        </w:rPr>
      </w:pPr>
      <w:r w:rsidRPr="00332C4C">
        <w:rPr>
          <w:i/>
          <w:sz w:val="22"/>
        </w:rPr>
        <w:t xml:space="preserve">Lo mismo se observará respecto de los convenios que conforme a este Título pueden celebrar los concesionarios, de los actos de su aprobación y de las autorizaciones que por virtud de tales convenios expida la autoridad de transporte. </w:t>
      </w:r>
    </w:p>
    <w:p w14:paraId="3745BAFC" w14:textId="320CF0E2" w:rsidR="00EE43C5" w:rsidRPr="00332C4C" w:rsidRDefault="00C17279" w:rsidP="00332C4C">
      <w:pPr>
        <w:spacing w:before="120" w:after="120"/>
        <w:ind w:left="851" w:right="900"/>
        <w:jc w:val="both"/>
        <w:rPr>
          <w:i/>
          <w:sz w:val="22"/>
        </w:rPr>
      </w:pPr>
      <w:r w:rsidRPr="00332C4C">
        <w:rPr>
          <w:i/>
          <w:sz w:val="22"/>
        </w:rPr>
        <w:t>Asimismo, la autoridad de transporte hará inscribir o anotar en el Registro, según corresponda, las aprobaciones de convenios en los que participen concesionarios o permisionarios del Estado, o autorizaciones que por virtud de dichos convenios expidan las autoridades competentes en materia de transporte de otras entidades federativas.</w:t>
      </w:r>
    </w:p>
    <w:p w14:paraId="6592C1CE" w14:textId="3BB8C39D" w:rsidR="00C17279" w:rsidRPr="00332C4C" w:rsidRDefault="00C17279" w:rsidP="00332C4C">
      <w:pPr>
        <w:spacing w:before="120" w:after="120"/>
        <w:ind w:left="851" w:right="900"/>
        <w:jc w:val="both"/>
        <w:rPr>
          <w:i/>
          <w:sz w:val="22"/>
        </w:rPr>
      </w:pPr>
      <w:r w:rsidRPr="00332C4C">
        <w:rPr>
          <w:i/>
          <w:sz w:val="22"/>
        </w:rPr>
        <w:t>…</w:t>
      </w:r>
    </w:p>
    <w:p w14:paraId="438310C9" w14:textId="73D40DB4" w:rsidR="00C17279" w:rsidRPr="00332C4C" w:rsidRDefault="00C17279" w:rsidP="00332C4C">
      <w:pPr>
        <w:spacing w:before="120" w:after="120"/>
        <w:ind w:left="851" w:right="900"/>
        <w:jc w:val="both"/>
        <w:rPr>
          <w:i/>
          <w:sz w:val="22"/>
        </w:rPr>
      </w:pPr>
      <w:r w:rsidRPr="00332C4C">
        <w:rPr>
          <w:b/>
          <w:i/>
          <w:sz w:val="22"/>
        </w:rPr>
        <w:t>ARTICULO 115.-</w:t>
      </w:r>
      <w:r w:rsidRPr="00332C4C">
        <w:rPr>
          <w:i/>
          <w:sz w:val="22"/>
        </w:rPr>
        <w:t xml:space="preserve"> Los convenios de enlace de rutas entre concesionarios del Estado y de otras entidades federativas con áreas conurbadas al Estado, se sujetarán a lo siguiente:</w:t>
      </w:r>
    </w:p>
    <w:p w14:paraId="291EA33C" w14:textId="2B0612C9" w:rsidR="00C17279" w:rsidRPr="00332C4C" w:rsidRDefault="00C17279" w:rsidP="00332C4C">
      <w:pPr>
        <w:spacing w:before="120" w:after="120"/>
        <w:ind w:left="1134" w:right="900"/>
        <w:jc w:val="both"/>
        <w:rPr>
          <w:i/>
          <w:sz w:val="22"/>
        </w:rPr>
      </w:pPr>
      <w:r w:rsidRPr="00332C4C">
        <w:rPr>
          <w:i/>
          <w:sz w:val="22"/>
        </w:rPr>
        <w:t>…</w:t>
      </w:r>
    </w:p>
    <w:p w14:paraId="230B6E8E" w14:textId="15B97C94" w:rsidR="00C17279" w:rsidRPr="00332C4C" w:rsidRDefault="00C17279" w:rsidP="00332C4C">
      <w:pPr>
        <w:spacing w:before="120" w:after="120"/>
        <w:ind w:left="1134" w:right="900"/>
        <w:jc w:val="both"/>
        <w:rPr>
          <w:i/>
          <w:sz w:val="22"/>
        </w:rPr>
      </w:pPr>
      <w:r w:rsidRPr="00332C4C">
        <w:rPr>
          <w:b/>
          <w:i/>
          <w:sz w:val="22"/>
        </w:rPr>
        <w:lastRenderedPageBreak/>
        <w:t xml:space="preserve">V. </w:t>
      </w:r>
      <w:r w:rsidRPr="00332C4C">
        <w:rPr>
          <w:i/>
          <w:sz w:val="22"/>
        </w:rPr>
        <w:t>Todos los actos y convenios que se refieren en este capítulo serán inscritos o anotados según corresponda, en el Registro.”</w:t>
      </w:r>
    </w:p>
    <w:p w14:paraId="1627CFAE" w14:textId="392BD7C4" w:rsidR="00C17279" w:rsidRPr="00332C4C" w:rsidRDefault="008A2503" w:rsidP="00332C4C">
      <w:pPr>
        <w:spacing w:before="240" w:after="240" w:line="360" w:lineRule="auto"/>
        <w:ind w:right="49"/>
        <w:jc w:val="both"/>
      </w:pPr>
      <w:r w:rsidRPr="00332C4C">
        <w:t>En tal sentido, el Registro Estatal de Transporte integra la siguiente información conforme a lo establecido en el artículo 7.36 del Código Administrativo del Estado de México, que es del tenor literal siguiente:</w:t>
      </w:r>
    </w:p>
    <w:p w14:paraId="0045EDCF" w14:textId="77777777" w:rsidR="008A2503" w:rsidRPr="00332C4C" w:rsidRDefault="008A2503" w:rsidP="00332C4C">
      <w:pPr>
        <w:spacing w:before="120" w:after="120"/>
        <w:ind w:left="851" w:right="902"/>
        <w:jc w:val="both"/>
        <w:rPr>
          <w:i/>
          <w:sz w:val="22"/>
        </w:rPr>
      </w:pPr>
      <w:r w:rsidRPr="00332C4C">
        <w:rPr>
          <w:i/>
          <w:sz w:val="22"/>
        </w:rPr>
        <w:t>“</w:t>
      </w:r>
      <w:r w:rsidRPr="00332C4C">
        <w:rPr>
          <w:b/>
          <w:i/>
          <w:sz w:val="22"/>
        </w:rPr>
        <w:t>Artículo 7.36.</w:t>
      </w:r>
      <w:r w:rsidRPr="00332C4C">
        <w:rPr>
          <w:i/>
          <w:sz w:val="22"/>
        </w:rPr>
        <w:t>- El Registro Estatal de Transporte tiene por objeto integrar la información relacionada con el transporte; contendrá la información siguiente:</w:t>
      </w:r>
    </w:p>
    <w:p w14:paraId="4D0D7E5C" w14:textId="77777777" w:rsidR="008A2503" w:rsidRPr="00332C4C" w:rsidRDefault="008A2503" w:rsidP="00332C4C">
      <w:pPr>
        <w:spacing w:before="120" w:after="120"/>
        <w:ind w:left="1134" w:right="902"/>
        <w:jc w:val="both"/>
        <w:rPr>
          <w:b/>
          <w:i/>
          <w:sz w:val="22"/>
        </w:rPr>
      </w:pPr>
      <w:r w:rsidRPr="00332C4C">
        <w:rPr>
          <w:b/>
          <w:i/>
          <w:sz w:val="22"/>
        </w:rPr>
        <w:t xml:space="preserve">I. Concesiones y permisos estatales; </w:t>
      </w:r>
    </w:p>
    <w:p w14:paraId="5C42A35B" w14:textId="77777777" w:rsidR="008A2503" w:rsidRPr="00332C4C" w:rsidRDefault="008A2503" w:rsidP="00332C4C">
      <w:pPr>
        <w:spacing w:before="120" w:after="120"/>
        <w:ind w:left="1134" w:right="902"/>
        <w:jc w:val="both"/>
        <w:rPr>
          <w:i/>
          <w:sz w:val="22"/>
        </w:rPr>
      </w:pPr>
      <w:r w:rsidRPr="00332C4C">
        <w:rPr>
          <w:i/>
          <w:sz w:val="22"/>
        </w:rPr>
        <w:t xml:space="preserve">II. Matrículas; </w:t>
      </w:r>
    </w:p>
    <w:p w14:paraId="2218CDA4" w14:textId="77777777" w:rsidR="008A2503" w:rsidRPr="00332C4C" w:rsidRDefault="008A2503" w:rsidP="00332C4C">
      <w:pPr>
        <w:spacing w:before="120" w:after="120"/>
        <w:ind w:left="1134" w:right="902"/>
        <w:jc w:val="both"/>
        <w:rPr>
          <w:i/>
          <w:sz w:val="22"/>
        </w:rPr>
      </w:pPr>
      <w:r w:rsidRPr="00332C4C">
        <w:rPr>
          <w:i/>
          <w:sz w:val="22"/>
        </w:rPr>
        <w:t>III. Constitución de garantías;</w:t>
      </w:r>
    </w:p>
    <w:p w14:paraId="30EA8ADA" w14:textId="77777777" w:rsidR="008A2503" w:rsidRPr="00332C4C" w:rsidRDefault="008A2503" w:rsidP="00332C4C">
      <w:pPr>
        <w:spacing w:before="120" w:after="120"/>
        <w:ind w:left="1134" w:right="902"/>
        <w:jc w:val="both"/>
        <w:rPr>
          <w:i/>
          <w:sz w:val="22"/>
        </w:rPr>
      </w:pPr>
      <w:r w:rsidRPr="00332C4C">
        <w:rPr>
          <w:i/>
          <w:sz w:val="22"/>
        </w:rPr>
        <w:t xml:space="preserve">IV. Estatutos y representación de concesionarios y permisionarios; </w:t>
      </w:r>
    </w:p>
    <w:p w14:paraId="41C57CCC" w14:textId="77777777" w:rsidR="008A2503" w:rsidRPr="00332C4C" w:rsidRDefault="008A2503" w:rsidP="00332C4C">
      <w:pPr>
        <w:spacing w:before="120" w:after="120"/>
        <w:ind w:left="1134" w:right="902"/>
        <w:jc w:val="both"/>
        <w:rPr>
          <w:i/>
          <w:sz w:val="22"/>
        </w:rPr>
      </w:pPr>
      <w:r w:rsidRPr="00332C4C">
        <w:rPr>
          <w:i/>
          <w:sz w:val="22"/>
        </w:rPr>
        <w:t xml:space="preserve">V. Padrón de operadores; </w:t>
      </w:r>
    </w:p>
    <w:p w14:paraId="5E9EEC07" w14:textId="77777777" w:rsidR="008A2503" w:rsidRPr="00332C4C" w:rsidRDefault="008A2503" w:rsidP="00332C4C">
      <w:pPr>
        <w:spacing w:before="120" w:after="120"/>
        <w:ind w:left="1134" w:right="902"/>
        <w:jc w:val="both"/>
        <w:rPr>
          <w:i/>
          <w:sz w:val="22"/>
        </w:rPr>
      </w:pPr>
      <w:r w:rsidRPr="00332C4C">
        <w:rPr>
          <w:i/>
          <w:sz w:val="22"/>
        </w:rPr>
        <w:t xml:space="preserve">VI. Licencias para conducir; </w:t>
      </w:r>
    </w:p>
    <w:p w14:paraId="352C5A4C" w14:textId="77777777" w:rsidR="008A2503" w:rsidRPr="00332C4C" w:rsidRDefault="008A2503" w:rsidP="00332C4C">
      <w:pPr>
        <w:spacing w:before="120" w:after="120"/>
        <w:ind w:left="1134" w:right="902"/>
        <w:jc w:val="both"/>
        <w:rPr>
          <w:i/>
          <w:sz w:val="22"/>
        </w:rPr>
      </w:pPr>
      <w:r w:rsidRPr="00332C4C">
        <w:rPr>
          <w:i/>
          <w:sz w:val="22"/>
        </w:rPr>
        <w:t xml:space="preserve">VII. Las demás que señale el reglamento correspondiente. </w:t>
      </w:r>
    </w:p>
    <w:p w14:paraId="3446DE5F" w14:textId="0190DFF1" w:rsidR="008A2503" w:rsidRPr="00332C4C" w:rsidRDefault="008A2503" w:rsidP="00332C4C">
      <w:pPr>
        <w:spacing w:before="120" w:after="120"/>
        <w:ind w:left="851" w:right="902"/>
        <w:jc w:val="both"/>
        <w:rPr>
          <w:i/>
          <w:sz w:val="22"/>
        </w:rPr>
      </w:pPr>
      <w:r w:rsidRPr="00332C4C">
        <w:rPr>
          <w:i/>
          <w:sz w:val="22"/>
        </w:rPr>
        <w:t>El Registro Estatal de Transporte será público, tendrá efectos declarativos y surtirá efectos contra terceros.”</w:t>
      </w:r>
    </w:p>
    <w:p w14:paraId="73F7F7C4" w14:textId="4B835A94" w:rsidR="00621C11" w:rsidRPr="00332C4C" w:rsidRDefault="00621C11" w:rsidP="00332C4C">
      <w:pPr>
        <w:spacing w:before="240" w:after="240" w:line="360" w:lineRule="auto"/>
        <w:ind w:right="49"/>
        <w:jc w:val="both"/>
      </w:pPr>
      <w:r w:rsidRPr="00332C4C">
        <w:t xml:space="preserve">Respecto del registro de las autorizaciones complementarias de las concesiones que deben inscribirse, de acuerdo con lo establecido en el </w:t>
      </w:r>
      <w:r w:rsidR="002B31AA" w:rsidRPr="00332C4C">
        <w:t>artículo</w:t>
      </w:r>
      <w:r w:rsidRPr="00332C4C">
        <w:t xml:space="preserve"> 50 del Reglamento, citado con antelación, que cabe señalar que, conforme al </w:t>
      </w:r>
      <w:r w:rsidR="002B31AA" w:rsidRPr="00332C4C">
        <w:t>artículo</w:t>
      </w:r>
      <w:r w:rsidRPr="00332C4C">
        <w:t xml:space="preserve"> 51 del mismo Reglamento, es objeto de autorización lo siguiente:</w:t>
      </w:r>
    </w:p>
    <w:p w14:paraId="2EB0CCD9" w14:textId="77777777" w:rsidR="00621C11" w:rsidRPr="00332C4C" w:rsidRDefault="00621C11" w:rsidP="00332C4C">
      <w:pPr>
        <w:spacing w:before="120" w:after="120"/>
        <w:ind w:left="1134" w:right="51"/>
        <w:jc w:val="both"/>
        <w:rPr>
          <w:i/>
          <w:sz w:val="22"/>
        </w:rPr>
      </w:pPr>
      <w:r w:rsidRPr="00332C4C">
        <w:rPr>
          <w:b/>
          <w:i/>
          <w:sz w:val="22"/>
        </w:rPr>
        <w:t xml:space="preserve">“ARTICULO 51.- </w:t>
      </w:r>
      <w:r w:rsidRPr="00332C4C">
        <w:rPr>
          <w:i/>
          <w:sz w:val="22"/>
        </w:rPr>
        <w:t>Serán objeto de autorización:</w:t>
      </w:r>
    </w:p>
    <w:p w14:paraId="2ED211A7" w14:textId="77777777" w:rsidR="00621C11" w:rsidRPr="00332C4C" w:rsidRDefault="00621C11" w:rsidP="00332C4C">
      <w:pPr>
        <w:spacing w:before="120" w:after="120"/>
        <w:ind w:left="1418" w:right="51"/>
        <w:jc w:val="both"/>
        <w:rPr>
          <w:b/>
          <w:i/>
          <w:sz w:val="22"/>
        </w:rPr>
      </w:pPr>
      <w:r w:rsidRPr="00332C4C">
        <w:rPr>
          <w:b/>
          <w:i/>
          <w:sz w:val="22"/>
        </w:rPr>
        <w:t xml:space="preserve">I. Las rutas de transporte público. </w:t>
      </w:r>
    </w:p>
    <w:p w14:paraId="5E4B7D6F" w14:textId="77777777" w:rsidR="00621C11" w:rsidRPr="00332C4C" w:rsidRDefault="00621C11" w:rsidP="00332C4C">
      <w:pPr>
        <w:spacing w:before="120" w:after="120"/>
        <w:ind w:left="1418" w:right="51"/>
        <w:jc w:val="both"/>
        <w:rPr>
          <w:b/>
          <w:i/>
          <w:sz w:val="22"/>
        </w:rPr>
      </w:pPr>
      <w:r w:rsidRPr="00332C4C">
        <w:rPr>
          <w:b/>
          <w:i/>
          <w:sz w:val="22"/>
        </w:rPr>
        <w:t>II. La modificación de las rutas del transporte público.</w:t>
      </w:r>
    </w:p>
    <w:p w14:paraId="17A122FD" w14:textId="77777777" w:rsidR="00621C11" w:rsidRPr="00332C4C" w:rsidRDefault="00621C11" w:rsidP="00332C4C">
      <w:pPr>
        <w:spacing w:before="120" w:after="120"/>
        <w:ind w:left="1418" w:right="51"/>
        <w:jc w:val="both"/>
        <w:rPr>
          <w:i/>
          <w:sz w:val="22"/>
        </w:rPr>
      </w:pPr>
      <w:r w:rsidRPr="00332C4C">
        <w:rPr>
          <w:i/>
          <w:sz w:val="22"/>
        </w:rPr>
        <w:t xml:space="preserve">III. La cromática de los vehículos y equipos afectos a los servicios de transporte público, arrastre y salvamento. </w:t>
      </w:r>
    </w:p>
    <w:p w14:paraId="65445647" w14:textId="77777777" w:rsidR="00621C11" w:rsidRPr="00332C4C" w:rsidRDefault="00621C11" w:rsidP="00332C4C">
      <w:pPr>
        <w:spacing w:before="120" w:after="120"/>
        <w:ind w:left="1418" w:right="51"/>
        <w:jc w:val="both"/>
        <w:rPr>
          <w:i/>
          <w:sz w:val="22"/>
        </w:rPr>
      </w:pPr>
      <w:r w:rsidRPr="00332C4C">
        <w:rPr>
          <w:i/>
          <w:sz w:val="22"/>
        </w:rPr>
        <w:t xml:space="preserve">IV. Las tarifas a que se sujetará la operación de los servicios regulados en este Reglamento. </w:t>
      </w:r>
    </w:p>
    <w:p w14:paraId="1032DE16" w14:textId="77777777" w:rsidR="00621C11" w:rsidRPr="00332C4C" w:rsidRDefault="00621C11" w:rsidP="00332C4C">
      <w:pPr>
        <w:spacing w:before="120" w:after="120"/>
        <w:ind w:left="1418" w:right="51"/>
        <w:jc w:val="both"/>
        <w:rPr>
          <w:b/>
          <w:i/>
          <w:sz w:val="22"/>
        </w:rPr>
      </w:pPr>
      <w:r w:rsidRPr="00332C4C">
        <w:rPr>
          <w:b/>
          <w:i/>
          <w:sz w:val="22"/>
        </w:rPr>
        <w:lastRenderedPageBreak/>
        <w:t xml:space="preserve">V. Las bases, sitios y lanzaderas. </w:t>
      </w:r>
    </w:p>
    <w:p w14:paraId="38765491" w14:textId="77777777" w:rsidR="00621C11" w:rsidRPr="00332C4C" w:rsidRDefault="00621C11" w:rsidP="00332C4C">
      <w:pPr>
        <w:spacing w:before="120" w:after="120"/>
        <w:ind w:left="1418" w:right="51"/>
        <w:jc w:val="both"/>
        <w:rPr>
          <w:i/>
          <w:sz w:val="22"/>
        </w:rPr>
      </w:pPr>
      <w:r w:rsidRPr="00332C4C">
        <w:rPr>
          <w:i/>
          <w:sz w:val="22"/>
        </w:rPr>
        <w:t xml:space="preserve">VI. Las que fueren consecuencia de la aprobación por la autoridad de transporte, de los convenios que celebren concesionarios diversos en los términos de este Reglamento. </w:t>
      </w:r>
    </w:p>
    <w:p w14:paraId="4585DC56" w14:textId="3BA4DF3B" w:rsidR="00621C11" w:rsidRPr="00332C4C" w:rsidRDefault="00621C11" w:rsidP="00332C4C">
      <w:pPr>
        <w:spacing w:before="120" w:after="120"/>
        <w:ind w:left="1418" w:right="51"/>
        <w:jc w:val="both"/>
        <w:rPr>
          <w:i/>
          <w:sz w:val="22"/>
        </w:rPr>
      </w:pPr>
      <w:r w:rsidRPr="00332C4C">
        <w:rPr>
          <w:i/>
          <w:sz w:val="22"/>
        </w:rPr>
        <w:t>VII. La construcción, conservación y explotación de servicios complementarios que coadyuven al funcionamiento del sistema de transporte masivo, así como la ocupación de espacios para servicios comerciales que se instalen en el interior y en el exterior de las estaciones.”</w:t>
      </w:r>
    </w:p>
    <w:p w14:paraId="00D812F4" w14:textId="15BFE6DC" w:rsidR="002A731B" w:rsidRPr="00332C4C" w:rsidRDefault="00621C11" w:rsidP="00332C4C">
      <w:pPr>
        <w:spacing w:before="240" w:after="240" w:line="360" w:lineRule="auto"/>
        <w:ind w:right="49"/>
        <w:jc w:val="both"/>
      </w:pPr>
      <w:r w:rsidRPr="00332C4C">
        <w:t>De lo</w:t>
      </w:r>
      <w:r w:rsidR="00641FEB" w:rsidRPr="00332C4C">
        <w:t xml:space="preserve"> hasta aquí expuesto </w:t>
      </w:r>
      <w:r w:rsidRPr="00332C4C">
        <w:t xml:space="preserve">se desprende, que si bien, no existe un Registro Público del Paradero, </w:t>
      </w:r>
      <w:r w:rsidR="002C3412" w:rsidRPr="00332C4C">
        <w:t xml:space="preserve">el </w:t>
      </w:r>
      <w:r w:rsidR="002C3412" w:rsidRPr="00332C4C">
        <w:rPr>
          <w:b/>
        </w:rPr>
        <w:t>Sujeto Obligado</w:t>
      </w:r>
      <w:r w:rsidR="002C3412" w:rsidRPr="00332C4C">
        <w:t xml:space="preserve"> si cuenta con la obligación de inscribir en el Registro Público del Transporte las rutas transporte público, sus modificaciones, así como las bases, sitios y lanzaderas, entendidas estas últimas como la </w:t>
      </w:r>
      <w:r w:rsidR="002C3412" w:rsidRPr="00332C4C">
        <w:rPr>
          <w:i/>
        </w:rPr>
        <w:t xml:space="preserve">extensión del sitio, en la que sin hacer base los vehículos concesionados, tienen autorizado </w:t>
      </w:r>
      <w:r w:rsidR="002C3412" w:rsidRPr="00332C4C">
        <w:rPr>
          <w:b/>
          <w:i/>
        </w:rPr>
        <w:t xml:space="preserve">hacer un paradero momentáneo </w:t>
      </w:r>
      <w:r w:rsidR="002C3412" w:rsidRPr="00332C4C">
        <w:rPr>
          <w:i/>
        </w:rPr>
        <w:t xml:space="preserve">para el ascenso del pasaje, </w:t>
      </w:r>
      <w:r w:rsidR="002C3412" w:rsidRPr="00332C4C">
        <w:t xml:space="preserve"> de conformidad con la fracción II del </w:t>
      </w:r>
      <w:r w:rsidR="002B31AA" w:rsidRPr="00332C4C">
        <w:t>artículo</w:t>
      </w:r>
      <w:r w:rsidR="002C3412" w:rsidRPr="00332C4C">
        <w:t xml:space="preserve"> 81 del Reglamento del Transporte P</w:t>
      </w:r>
      <w:r w:rsidR="002A731B" w:rsidRPr="00332C4C">
        <w:t>úblico por lo tanto, se advierte que el o los documentos mediante los cuales pudiera atenderse el requerimiento relativo al registro del paradero, es aquel en el que conste la inscripción de la lanzadera en el Registro Estatal.</w:t>
      </w:r>
    </w:p>
    <w:p w14:paraId="2B425B08" w14:textId="5FC90ABF" w:rsidR="00505DC1" w:rsidRPr="00332C4C" w:rsidRDefault="002A025E" w:rsidP="00332C4C">
      <w:pPr>
        <w:spacing w:before="240" w:after="240" w:line="360" w:lineRule="auto"/>
        <w:ind w:right="49"/>
        <w:jc w:val="both"/>
      </w:pPr>
      <w:r w:rsidRPr="00332C4C">
        <w:t>R</w:t>
      </w:r>
      <w:r w:rsidR="00505DC1" w:rsidRPr="00332C4C">
        <w:t>especto de la segunda parte</w:t>
      </w:r>
      <w:r w:rsidRPr="00332C4C">
        <w:t xml:space="preserve"> del requerimiento, donde se pide la inscripción de la persona concesionaria de la ruta 18, las concesiones son objeto de inscripción en el referido Registro conforme a lo establecido en el artículo 7.36 fracción I del código Administrativo, por lo que la entrega del documento en el que conste dicha inscripción colmará el requerimiento de información.</w:t>
      </w:r>
    </w:p>
    <w:p w14:paraId="5F6E1939" w14:textId="61203505" w:rsidR="00E816AB" w:rsidRPr="00332C4C" w:rsidRDefault="00EA62C3" w:rsidP="00332C4C">
      <w:pPr>
        <w:spacing w:before="120" w:after="120" w:line="360" w:lineRule="auto"/>
        <w:ind w:right="49"/>
        <w:jc w:val="both"/>
        <w:rPr>
          <w:rFonts w:eastAsia="Palatino Linotype" w:cs="Palatino Linotype"/>
          <w:b/>
          <w:lang w:val="es-MX"/>
        </w:rPr>
      </w:pPr>
      <w:r w:rsidRPr="00332C4C">
        <w:rPr>
          <w:b/>
        </w:rPr>
        <w:t>Por otro lado, respecto de la información que se solicita a través de</w:t>
      </w:r>
      <w:r w:rsidR="0025568A" w:rsidRPr="00332C4C">
        <w:rPr>
          <w:b/>
        </w:rPr>
        <w:t xml:space="preserve">l </w:t>
      </w:r>
      <w:r w:rsidRPr="00332C4C">
        <w:rPr>
          <w:b/>
        </w:rPr>
        <w:t xml:space="preserve">punto 7 </w:t>
      </w:r>
      <w:r w:rsidR="0025568A" w:rsidRPr="00332C4C">
        <w:rPr>
          <w:b/>
        </w:rPr>
        <w:t>a través del c</w:t>
      </w:r>
      <w:r w:rsidRPr="00332C4C">
        <w:rPr>
          <w:b/>
        </w:rPr>
        <w:t xml:space="preserve">ual se requiere </w:t>
      </w:r>
      <w:r w:rsidR="00E816AB" w:rsidRPr="00332C4C">
        <w:rPr>
          <w:b/>
        </w:rPr>
        <w:t xml:space="preserve">la </w:t>
      </w:r>
      <w:r w:rsidR="00E816AB" w:rsidRPr="00332C4C">
        <w:rPr>
          <w:rFonts w:eastAsia="Palatino Linotype" w:cs="Palatino Linotype"/>
          <w:b/>
          <w:lang w:val="es-MX"/>
        </w:rPr>
        <w:t>publicación en la Gaceta mediante la cual se autorizó el Paradero ruta 18 ramal que corre de Jesús del</w:t>
      </w:r>
      <w:r w:rsidR="00C24DA4" w:rsidRPr="00332C4C">
        <w:rPr>
          <w:rFonts w:eastAsia="Palatino Linotype" w:cs="Palatino Linotype"/>
          <w:b/>
          <w:lang w:val="es-MX"/>
        </w:rPr>
        <w:t xml:space="preserve"> Monte al Metro Cuatro Caminos,</w:t>
      </w:r>
      <w:r w:rsidR="00C24DA4" w:rsidRPr="00332C4C">
        <w:rPr>
          <w:rFonts w:eastAsia="Palatino Linotype" w:cs="Palatino Linotype"/>
          <w:lang w:val="es-MX"/>
        </w:rPr>
        <w:t xml:space="preserve"> </w:t>
      </w:r>
      <w:r w:rsidR="00AC4B31" w:rsidRPr="00332C4C">
        <w:rPr>
          <w:rFonts w:eastAsia="Palatino Linotype" w:cs="Palatino Linotype"/>
          <w:lang w:val="es-MX"/>
        </w:rPr>
        <w:lastRenderedPageBreak/>
        <w:t>como se despende del apartado anterior, las autorizaciones de rutas o lanzaderas, no se publica en el Periódico Oficial “Gaceta del Gobierno”</w:t>
      </w:r>
      <w:r w:rsidR="001506F9" w:rsidRPr="00332C4C">
        <w:rPr>
          <w:rFonts w:eastAsia="Palatino Linotype" w:cs="Palatino Linotype"/>
          <w:lang w:val="es-MX"/>
        </w:rPr>
        <w:t xml:space="preserve">, sino que únicamente se inscriben el Registro </w:t>
      </w:r>
      <w:r w:rsidR="0037516C" w:rsidRPr="00332C4C">
        <w:rPr>
          <w:rFonts w:eastAsia="Palatino Linotype" w:cs="Palatino Linotype"/>
          <w:lang w:val="es-MX"/>
        </w:rPr>
        <w:t xml:space="preserve">Estatal de Trasporte, debiendo relacionarse con la concesión respectiva, </w:t>
      </w:r>
      <w:r w:rsidR="00C24DA4" w:rsidRPr="00332C4C">
        <w:rPr>
          <w:rFonts w:eastAsia="Palatino Linotype" w:cs="Palatino Linotype"/>
          <w:lang w:val="es-MX"/>
        </w:rPr>
        <w:t>por lo que el pronunciamiento emitido por el servidor público habilitado resulta ser suficiente para tener por atendido el requerimiento de información al haber referido de manera expresa que la</w:t>
      </w:r>
      <w:r w:rsidR="007E2F87" w:rsidRPr="00332C4C">
        <w:rPr>
          <w:rFonts w:eastAsia="Palatino Linotype" w:cs="Palatino Linotype"/>
          <w:lang w:val="es-MX"/>
        </w:rPr>
        <w:t>s autorizaciones de derroteros, bases, lanzaderas y sitios no se publican mediante alguna Gaceta del Gobierno, ni en otro medio, sino que se inscriben el Registro Estatal de Trasport</w:t>
      </w:r>
      <w:r w:rsidR="00661298" w:rsidRPr="00332C4C">
        <w:rPr>
          <w:rFonts w:eastAsia="Palatino Linotype" w:cs="Palatino Linotype"/>
          <w:lang w:val="es-MX"/>
        </w:rPr>
        <w:t>e, por los mismos argumentos expuestos en el estudio del punto 3.</w:t>
      </w:r>
    </w:p>
    <w:p w14:paraId="55CB71CA" w14:textId="1926BF2D" w:rsidR="00550246" w:rsidRPr="00332C4C" w:rsidRDefault="00AE16EF" w:rsidP="00332C4C">
      <w:pPr>
        <w:spacing w:before="240" w:after="240" w:line="360" w:lineRule="auto"/>
        <w:ind w:right="49"/>
        <w:jc w:val="both"/>
        <w:rPr>
          <w:rFonts w:eastAsia="Calibri" w:cs="Arial"/>
        </w:rPr>
      </w:pPr>
      <w:r w:rsidRPr="00332C4C">
        <w:rPr>
          <w:b/>
        </w:rPr>
        <w:t xml:space="preserve">Lo mismo ocurre respecto del </w:t>
      </w:r>
      <w:r w:rsidR="00661298" w:rsidRPr="00332C4C">
        <w:rPr>
          <w:b/>
        </w:rPr>
        <w:t xml:space="preserve">punto 8, mediante el cual se requiere </w:t>
      </w:r>
      <w:r w:rsidRPr="00332C4C">
        <w:rPr>
          <w:b/>
        </w:rPr>
        <w:t>la licitación en la cual se especificaron las bases para la ocupación y uso de la ruta 18 ramal que corre de Jesús del Monte al Metro Cuatro Caminos,</w:t>
      </w:r>
      <w:r w:rsidRPr="00332C4C">
        <w:t xml:space="preserve"> toda vez que del análisis de la legislación aplicable no se establece que </w:t>
      </w:r>
      <w:r w:rsidRPr="00332C4C">
        <w:rPr>
          <w:rFonts w:eastAsia="Palatino Linotype"/>
        </w:rPr>
        <w:t xml:space="preserve">deban  expedirse bases de licitación para la ocupación y uso de una ruta, en virtud de que </w:t>
      </w:r>
      <w:r w:rsidR="00550246" w:rsidRPr="00332C4C">
        <w:rPr>
          <w:rFonts w:eastAsia="Palatino Linotype"/>
        </w:rPr>
        <w:t>c</w:t>
      </w:r>
      <w:r w:rsidR="00550246" w:rsidRPr="00332C4C">
        <w:t xml:space="preserve">orresponde a la autoridad del trasporte expedir dichas autorizaciones de oficio, </w:t>
      </w:r>
      <w:r w:rsidR="00550246" w:rsidRPr="00332C4C">
        <w:rPr>
          <w:rFonts w:eastAsia="Calibri" w:cs="Arial"/>
        </w:rPr>
        <w:t xml:space="preserve">es decir, sin necesidad de que sea solicitada por la parte interesada sino por decisión de la propia de la autoridad, tal y como se desprende del artículo 52 fracción I del Reglamento del Trasporte Público, a saber: </w:t>
      </w:r>
    </w:p>
    <w:p w14:paraId="78D92B3F" w14:textId="77777777" w:rsidR="00550246" w:rsidRPr="00332C4C" w:rsidRDefault="00550246" w:rsidP="00332C4C">
      <w:pPr>
        <w:spacing w:before="120" w:after="120"/>
        <w:ind w:left="851" w:right="902"/>
        <w:jc w:val="both"/>
        <w:rPr>
          <w:rFonts w:eastAsia="Palatino Linotype"/>
          <w:i/>
          <w:sz w:val="22"/>
        </w:rPr>
      </w:pPr>
      <w:r w:rsidRPr="00332C4C">
        <w:rPr>
          <w:rFonts w:eastAsia="Palatino Linotype"/>
          <w:i/>
          <w:sz w:val="22"/>
        </w:rPr>
        <w:t>“</w:t>
      </w:r>
      <w:r w:rsidRPr="00332C4C">
        <w:rPr>
          <w:rFonts w:eastAsia="Palatino Linotype"/>
          <w:b/>
          <w:i/>
          <w:sz w:val="22"/>
        </w:rPr>
        <w:t>ARTICULO 52</w:t>
      </w:r>
      <w:r w:rsidRPr="00332C4C">
        <w:rPr>
          <w:rFonts w:eastAsia="Palatino Linotype"/>
          <w:i/>
          <w:sz w:val="22"/>
        </w:rPr>
        <w:t>.- Para la expedición de autorizaciones se observará lo siguiente:</w:t>
      </w:r>
    </w:p>
    <w:p w14:paraId="3E5CFA0F" w14:textId="77777777" w:rsidR="00550246" w:rsidRPr="00332C4C" w:rsidRDefault="00550246" w:rsidP="00332C4C">
      <w:pPr>
        <w:spacing w:before="120" w:after="120"/>
        <w:ind w:left="1134" w:right="902"/>
        <w:jc w:val="both"/>
        <w:rPr>
          <w:rFonts w:eastAsia="Palatino Linotype"/>
          <w:i/>
          <w:sz w:val="22"/>
        </w:rPr>
      </w:pPr>
      <w:r w:rsidRPr="00332C4C">
        <w:rPr>
          <w:rFonts w:eastAsia="Palatino Linotype"/>
          <w:b/>
          <w:i/>
          <w:sz w:val="22"/>
        </w:rPr>
        <w:t>I.</w:t>
      </w:r>
      <w:r w:rsidRPr="00332C4C">
        <w:rPr>
          <w:rFonts w:eastAsia="Palatino Linotype"/>
          <w:i/>
          <w:sz w:val="22"/>
        </w:rPr>
        <w:t xml:space="preserve"> </w:t>
      </w:r>
      <w:r w:rsidRPr="006C6605">
        <w:rPr>
          <w:rFonts w:eastAsia="Palatino Linotype"/>
          <w:b/>
          <w:i/>
          <w:sz w:val="22"/>
        </w:rPr>
        <w:t>Las autorizaciones a que se refieren las fracciones I, II</w:t>
      </w:r>
      <w:r w:rsidRPr="00332C4C">
        <w:rPr>
          <w:rFonts w:eastAsia="Palatino Linotype"/>
          <w:i/>
          <w:sz w:val="22"/>
        </w:rPr>
        <w:t xml:space="preserve"> y IV, del artículo anterior, </w:t>
      </w:r>
      <w:r w:rsidRPr="006C6605">
        <w:rPr>
          <w:rFonts w:eastAsia="Palatino Linotype"/>
          <w:b/>
          <w:i/>
          <w:sz w:val="22"/>
        </w:rPr>
        <w:t>l</w:t>
      </w:r>
      <w:r w:rsidRPr="006C6605">
        <w:rPr>
          <w:rFonts w:eastAsia="Palatino Linotype"/>
          <w:b/>
          <w:i/>
          <w:sz w:val="22"/>
          <w:u w:val="single"/>
        </w:rPr>
        <w:t>as expedirá de oficio la autoridad de transporte</w:t>
      </w:r>
      <w:r w:rsidRPr="006C6605">
        <w:rPr>
          <w:rFonts w:eastAsia="Palatino Linotype"/>
          <w:b/>
          <w:i/>
          <w:sz w:val="22"/>
        </w:rPr>
        <w:t>,</w:t>
      </w:r>
      <w:r w:rsidRPr="00332C4C">
        <w:rPr>
          <w:rFonts w:eastAsia="Palatino Linotype"/>
          <w:i/>
          <w:sz w:val="22"/>
        </w:rPr>
        <w:t xml:space="preserve"> en los términos del presente Reglamento.”</w:t>
      </w:r>
    </w:p>
    <w:p w14:paraId="38160D3F" w14:textId="0674DC3E" w:rsidR="00550246" w:rsidRPr="00332C4C" w:rsidRDefault="00550246" w:rsidP="00332C4C">
      <w:pPr>
        <w:spacing w:before="240" w:after="240" w:line="360" w:lineRule="auto"/>
        <w:ind w:right="49"/>
        <w:jc w:val="both"/>
        <w:rPr>
          <w:rFonts w:eastAsia="Palatino Linotype"/>
        </w:rPr>
      </w:pPr>
      <w:r w:rsidRPr="00332C4C">
        <w:t>En este tenor, l</w:t>
      </w:r>
      <w:r w:rsidRPr="00332C4C">
        <w:rPr>
          <w:rFonts w:eastAsia="Palatino Linotype"/>
        </w:rPr>
        <w:t xml:space="preserve">a autoridad de transporte, en cualquier momento puede crear, modificar, enlazar o suprimir las rutas, con base en estudios técnicos, sin embargo, </w:t>
      </w:r>
      <w:r w:rsidRPr="00332C4C">
        <w:rPr>
          <w:rFonts w:eastAsia="Palatino Linotype"/>
        </w:rPr>
        <w:lastRenderedPageBreak/>
        <w:t>la creación de rutas se encuentra supeditada a la existencia de una necesidad pública de transporte insatisfecha, como se desprende del artículo 68 párrafo primero del Reglamento:</w:t>
      </w:r>
    </w:p>
    <w:p w14:paraId="4FCB5EAD" w14:textId="4F195A1B" w:rsidR="00550246" w:rsidRPr="00332C4C" w:rsidRDefault="00550246" w:rsidP="00332C4C">
      <w:pPr>
        <w:spacing w:before="240" w:after="240"/>
        <w:ind w:left="851" w:right="900"/>
        <w:jc w:val="both"/>
        <w:rPr>
          <w:i/>
          <w:iCs/>
          <w:sz w:val="22"/>
          <w:szCs w:val="22"/>
        </w:rPr>
      </w:pPr>
      <w:r w:rsidRPr="00332C4C">
        <w:rPr>
          <w:b/>
          <w:i/>
          <w:iCs/>
          <w:sz w:val="22"/>
          <w:szCs w:val="22"/>
        </w:rPr>
        <w:t>“ARTICULO 68</w:t>
      </w:r>
      <w:r w:rsidRPr="00332C4C">
        <w:rPr>
          <w:i/>
          <w:iCs/>
          <w:sz w:val="22"/>
          <w:szCs w:val="22"/>
        </w:rPr>
        <w:t>.- Es causa de la creación de rutas, la existencia de necesidad pública de transporte insatisfecha.”</w:t>
      </w:r>
    </w:p>
    <w:p w14:paraId="43B6D8CC" w14:textId="41CA1E4E" w:rsidR="00550246" w:rsidRPr="00332C4C" w:rsidRDefault="009C0694" w:rsidP="00332C4C">
      <w:pPr>
        <w:spacing w:before="240" w:after="240" w:line="360" w:lineRule="auto"/>
        <w:ind w:right="49"/>
        <w:jc w:val="both"/>
        <w:rPr>
          <w:rFonts w:eastAsia="Palatino Linotype"/>
        </w:rPr>
      </w:pPr>
      <w:r w:rsidRPr="00332C4C">
        <w:rPr>
          <w:rFonts w:eastAsia="Palatino Linotype"/>
        </w:rPr>
        <w:t>No obstante, el dictamen mediante el cual se determinó la factibilidad de la concesión que tiene como complemento la ruta 18, pudiera atender lo solicitado por el particular, al</w:t>
      </w:r>
      <w:r w:rsidR="009E5A6C" w:rsidRPr="00332C4C">
        <w:rPr>
          <w:rFonts w:eastAsia="Palatino Linotype"/>
        </w:rPr>
        <w:t xml:space="preserve"> quedar plasmadas </w:t>
      </w:r>
      <w:r w:rsidRPr="00332C4C">
        <w:rPr>
          <w:rFonts w:eastAsia="Palatino Linotype"/>
        </w:rPr>
        <w:t xml:space="preserve">las características </w:t>
      </w:r>
      <w:r w:rsidR="009E5A6C" w:rsidRPr="00332C4C">
        <w:rPr>
          <w:rFonts w:eastAsia="Palatino Linotype"/>
        </w:rPr>
        <w:t>que debe cubrir el servicio que se brinde a través de la referida ruta.</w:t>
      </w:r>
    </w:p>
    <w:bookmarkEnd w:id="11"/>
    <w:p w14:paraId="2714EEF7" w14:textId="42FCD9F4" w:rsidR="00AD00E7" w:rsidRPr="00332C4C" w:rsidRDefault="001178AD" w:rsidP="00332C4C">
      <w:pPr>
        <w:spacing w:before="240" w:after="240" w:line="360" w:lineRule="auto"/>
        <w:ind w:right="51"/>
        <w:jc w:val="both"/>
        <w:rPr>
          <w:rFonts w:eastAsia="Palatino Linotype" w:cs="Palatino Linotype"/>
          <w:b/>
          <w:lang w:val="es-MX"/>
        </w:rPr>
      </w:pPr>
      <w:r w:rsidRPr="00332C4C">
        <w:rPr>
          <w:rFonts w:eastAsia="Calibri" w:cs="Arial"/>
          <w:b/>
        </w:rPr>
        <w:t xml:space="preserve">Finalmente, </w:t>
      </w:r>
      <w:r w:rsidR="00B47005" w:rsidRPr="00332C4C">
        <w:rPr>
          <w:rFonts w:eastAsia="Calibri" w:cs="Arial"/>
          <w:b/>
        </w:rPr>
        <w:t>respecto de los puntos 6 y 10</w:t>
      </w:r>
      <w:r w:rsidR="006A390F" w:rsidRPr="00332C4C">
        <w:rPr>
          <w:rFonts w:eastAsia="Calibri" w:cs="Arial"/>
          <w:b/>
        </w:rPr>
        <w:t xml:space="preserve"> </w:t>
      </w:r>
      <w:r w:rsidR="006A390F" w:rsidRPr="00332C4C">
        <w:rPr>
          <w:rFonts w:eastAsia="Calibri"/>
          <w:b/>
        </w:rPr>
        <w:t xml:space="preserve">mediante los cuales se solicitó el acceso a las </w:t>
      </w:r>
      <w:r w:rsidR="006A390F" w:rsidRPr="00332C4C">
        <w:rPr>
          <w:rFonts w:eastAsia="Palatino Linotype" w:cs="Palatino Linotype"/>
          <w:lang w:val="es-MX"/>
        </w:rPr>
        <w:t>a</w:t>
      </w:r>
      <w:r w:rsidR="006A390F" w:rsidRPr="00332C4C">
        <w:rPr>
          <w:rFonts w:eastAsia="Palatino Linotype" w:cs="Palatino Linotype"/>
          <w:b/>
          <w:lang w:val="es-MX"/>
        </w:rPr>
        <w:t xml:space="preserve">utorizaciones emitidas por las Secretarias de Movilidad y Finanzas, para la operación y recorrido de ruta 18 ramal que corre de Jesús del Monte al Metro Cuatro Caminos, así como el plano autorizado para dicha ruta, </w:t>
      </w:r>
      <w:r w:rsidR="00B47005" w:rsidRPr="00332C4C">
        <w:rPr>
          <w:rFonts w:eastAsia="Calibri" w:cs="Arial"/>
        </w:rPr>
        <w:t xml:space="preserve">el </w:t>
      </w:r>
      <w:r w:rsidR="00B47005" w:rsidRPr="00332C4C">
        <w:rPr>
          <w:rFonts w:eastAsia="Calibri" w:cs="Arial"/>
          <w:b/>
        </w:rPr>
        <w:t xml:space="preserve">Sujeto Obligado </w:t>
      </w:r>
      <w:r w:rsidR="00271817" w:rsidRPr="00332C4C">
        <w:rPr>
          <w:rFonts w:eastAsia="Calibri"/>
        </w:rPr>
        <w:t>clasificó la información</w:t>
      </w:r>
      <w:r w:rsidR="00771CEB" w:rsidRPr="00332C4C">
        <w:rPr>
          <w:rFonts w:eastAsia="Calibri"/>
        </w:rPr>
        <w:t xml:space="preserve"> como reservada</w:t>
      </w:r>
      <w:r w:rsidR="00271817" w:rsidRPr="00332C4C">
        <w:rPr>
          <w:rFonts w:eastAsia="Calibri"/>
        </w:rPr>
        <w:t xml:space="preserve"> </w:t>
      </w:r>
      <w:r w:rsidR="005F6F77" w:rsidRPr="00332C4C">
        <w:rPr>
          <w:rFonts w:eastAsia="Calibri"/>
        </w:rPr>
        <w:t xml:space="preserve">a través del Acta de la Centésima Décima Tercera Sesión Extraordinaria del año dos mil veintiuno, </w:t>
      </w:r>
      <w:r w:rsidR="00D0046F" w:rsidRPr="00332C4C">
        <w:rPr>
          <w:rFonts w:eastAsia="Calibri"/>
        </w:rPr>
        <w:t xml:space="preserve">al considerar que actualiza el supuesto señalado en </w:t>
      </w:r>
      <w:r w:rsidR="00771CEB" w:rsidRPr="00332C4C">
        <w:rPr>
          <w:rFonts w:eastAsia="Calibri"/>
        </w:rPr>
        <w:t xml:space="preserve">los artículos 113 fracción XIII de la Ley General de Transparencia y Acceso a la Información Pública y 140 fracción X segundo párrafo de la </w:t>
      </w:r>
      <w:r w:rsidR="00771CEB" w:rsidRPr="00332C4C">
        <w:rPr>
          <w:rFonts w:eastAsia="Calibri" w:cs="Arial"/>
        </w:rPr>
        <w:t xml:space="preserve">Ley de Transparencia y Acceso a la Información Pública del Estado de México y Municipios, </w:t>
      </w:r>
      <w:r w:rsidR="007047BC" w:rsidRPr="00332C4C">
        <w:rPr>
          <w:rFonts w:eastAsia="Calibri" w:cs="Arial"/>
        </w:rPr>
        <w:t>presumiéndose en consecuencia</w:t>
      </w:r>
      <w:r w:rsidR="0078525F" w:rsidRPr="00332C4C">
        <w:rPr>
          <w:rFonts w:eastAsia="Calibri" w:cs="Arial"/>
        </w:rPr>
        <w:t xml:space="preserve"> </w:t>
      </w:r>
      <w:r w:rsidR="00103F25" w:rsidRPr="00332C4C">
        <w:rPr>
          <w:rFonts w:eastAsia="Calibri" w:cs="Arial"/>
        </w:rPr>
        <w:t xml:space="preserve">la existencia de la misma, </w:t>
      </w:r>
      <w:r w:rsidR="0078525F" w:rsidRPr="00332C4C">
        <w:rPr>
          <w:rFonts w:eastAsia="Calibri" w:cs="Arial"/>
        </w:rPr>
        <w:t>al pretender</w:t>
      </w:r>
      <w:r w:rsidR="00103F25" w:rsidRPr="00332C4C">
        <w:rPr>
          <w:rFonts w:eastAsia="Calibri" w:cs="Arial"/>
        </w:rPr>
        <w:t xml:space="preserve"> clasificar</w:t>
      </w:r>
      <w:r w:rsidR="007047BC" w:rsidRPr="00332C4C">
        <w:rPr>
          <w:rFonts w:eastAsia="Calibri" w:cs="Arial"/>
        </w:rPr>
        <w:t>se</w:t>
      </w:r>
      <w:r w:rsidR="0078525F" w:rsidRPr="00332C4C">
        <w:rPr>
          <w:rFonts w:eastAsia="Calibri" w:cs="Arial"/>
        </w:rPr>
        <w:t xml:space="preserve"> por un periodo de dos años.</w:t>
      </w:r>
      <w:r w:rsidR="00620833" w:rsidRPr="00332C4C">
        <w:rPr>
          <w:rFonts w:eastAsia="Calibri" w:cs="Arial"/>
        </w:rPr>
        <w:t xml:space="preserve"> </w:t>
      </w:r>
    </w:p>
    <w:p w14:paraId="5493B9A4" w14:textId="77777777" w:rsidR="00103F25" w:rsidRPr="00332C4C" w:rsidRDefault="00103F25" w:rsidP="00332C4C">
      <w:pPr>
        <w:spacing w:before="240" w:after="240" w:line="360" w:lineRule="auto"/>
        <w:ind w:right="51"/>
        <w:jc w:val="both"/>
        <w:rPr>
          <w:rFonts w:cs="Arial"/>
        </w:rPr>
      </w:pPr>
      <w:r w:rsidRPr="00332C4C">
        <w:rPr>
          <w:rFonts w:cs="Arial"/>
        </w:rPr>
        <w:t>A efecto de robustecer lo anterior</w:t>
      </w:r>
      <w:r w:rsidRPr="00332C4C">
        <w:rPr>
          <w:rFonts w:cs="Arial"/>
          <w:bCs/>
          <w:szCs w:val="22"/>
        </w:rPr>
        <w:t xml:space="preserve">, sirve de sustento </w:t>
      </w:r>
      <w:r w:rsidRPr="00332C4C">
        <w:rPr>
          <w:rFonts w:cs="Arial"/>
        </w:rPr>
        <w:t xml:space="preserve">el criterio orientador </w:t>
      </w:r>
      <w:r w:rsidRPr="00332C4C">
        <w:rPr>
          <w:rFonts w:eastAsiaTheme="minorEastAsia" w:cs="Arial"/>
          <w:lang w:val="es-MX"/>
        </w:rPr>
        <w:t xml:space="preserve">29/10 emitido por el </w:t>
      </w:r>
      <w:r w:rsidRPr="00332C4C">
        <w:rPr>
          <w:rFonts w:cs="Arial"/>
        </w:rPr>
        <w:t xml:space="preserve">Instituto </w:t>
      </w:r>
      <w:r w:rsidRPr="00332C4C">
        <w:rPr>
          <w:rFonts w:cs="Arial"/>
          <w:bCs/>
          <w:shd w:val="clear" w:color="auto" w:fill="FFFFFF"/>
        </w:rPr>
        <w:t>Nacional de Transparencia, Acceso a la Información y Protección de Datos Personales, INAI</w:t>
      </w:r>
      <w:r w:rsidRPr="00332C4C">
        <w:rPr>
          <w:rStyle w:val="Textoennegrita"/>
          <w:rFonts w:cs="Arial"/>
        </w:rPr>
        <w:t xml:space="preserve">, </w:t>
      </w:r>
      <w:r w:rsidRPr="00332C4C">
        <w:rPr>
          <w:rFonts w:cs="Arial"/>
        </w:rPr>
        <w:t xml:space="preserve">el cual refiere lo siguiente: </w:t>
      </w:r>
    </w:p>
    <w:p w14:paraId="42459C33" w14:textId="77777777" w:rsidR="00103F25" w:rsidRPr="00332C4C" w:rsidRDefault="00103F25" w:rsidP="00332C4C">
      <w:pPr>
        <w:spacing w:before="67"/>
        <w:ind w:left="851" w:right="900"/>
        <w:jc w:val="both"/>
        <w:rPr>
          <w:rFonts w:eastAsia="Arial" w:cs="Arial"/>
          <w:i/>
          <w:sz w:val="22"/>
          <w:szCs w:val="22"/>
        </w:rPr>
      </w:pPr>
      <w:r w:rsidRPr="00332C4C">
        <w:rPr>
          <w:rFonts w:eastAsia="Arial" w:cs="Arial"/>
          <w:b/>
          <w:i/>
          <w:sz w:val="22"/>
          <w:szCs w:val="22"/>
        </w:rPr>
        <w:lastRenderedPageBreak/>
        <w:t>“La</w:t>
      </w:r>
      <w:r w:rsidRPr="00332C4C">
        <w:rPr>
          <w:rFonts w:eastAsia="Arial" w:cs="Arial"/>
          <w:b/>
          <w:i/>
          <w:spacing w:val="7"/>
          <w:sz w:val="22"/>
          <w:szCs w:val="22"/>
        </w:rPr>
        <w:t xml:space="preserve"> </w:t>
      </w:r>
      <w:r w:rsidRPr="00332C4C">
        <w:rPr>
          <w:rFonts w:eastAsia="Arial" w:cs="Arial"/>
          <w:b/>
          <w:i/>
          <w:spacing w:val="1"/>
          <w:sz w:val="22"/>
          <w:szCs w:val="22"/>
        </w:rPr>
        <w:t>c</w:t>
      </w:r>
      <w:r w:rsidRPr="00332C4C">
        <w:rPr>
          <w:rFonts w:eastAsia="Arial" w:cs="Arial"/>
          <w:b/>
          <w:i/>
          <w:sz w:val="22"/>
          <w:szCs w:val="22"/>
        </w:rPr>
        <w:t>l</w:t>
      </w:r>
      <w:r w:rsidRPr="00332C4C">
        <w:rPr>
          <w:rFonts w:eastAsia="Arial" w:cs="Arial"/>
          <w:b/>
          <w:i/>
          <w:spacing w:val="-1"/>
          <w:sz w:val="22"/>
          <w:szCs w:val="22"/>
        </w:rPr>
        <w:t>a</w:t>
      </w:r>
      <w:r w:rsidRPr="00332C4C">
        <w:rPr>
          <w:rFonts w:eastAsia="Arial" w:cs="Arial"/>
          <w:b/>
          <w:i/>
          <w:spacing w:val="1"/>
          <w:sz w:val="22"/>
          <w:szCs w:val="22"/>
        </w:rPr>
        <w:t>s</w:t>
      </w:r>
      <w:r w:rsidRPr="00332C4C">
        <w:rPr>
          <w:rFonts w:eastAsia="Arial" w:cs="Arial"/>
          <w:b/>
          <w:i/>
          <w:sz w:val="22"/>
          <w:szCs w:val="22"/>
        </w:rPr>
        <w:t>ifi</w:t>
      </w:r>
      <w:r w:rsidRPr="00332C4C">
        <w:rPr>
          <w:rFonts w:eastAsia="Arial" w:cs="Arial"/>
          <w:b/>
          <w:i/>
          <w:spacing w:val="-1"/>
          <w:sz w:val="22"/>
          <w:szCs w:val="22"/>
        </w:rPr>
        <w:t>c</w:t>
      </w:r>
      <w:r w:rsidRPr="00332C4C">
        <w:rPr>
          <w:rFonts w:eastAsia="Arial" w:cs="Arial"/>
          <w:b/>
          <w:i/>
          <w:spacing w:val="1"/>
          <w:sz w:val="22"/>
          <w:szCs w:val="22"/>
        </w:rPr>
        <w:t>ac</w:t>
      </w:r>
      <w:r w:rsidRPr="00332C4C">
        <w:rPr>
          <w:rFonts w:eastAsia="Arial" w:cs="Arial"/>
          <w:b/>
          <w:i/>
          <w:sz w:val="22"/>
          <w:szCs w:val="22"/>
        </w:rPr>
        <w:t>ión</w:t>
      </w:r>
      <w:r w:rsidRPr="00332C4C">
        <w:rPr>
          <w:rFonts w:eastAsia="Arial" w:cs="Arial"/>
          <w:b/>
          <w:i/>
          <w:spacing w:val="7"/>
          <w:sz w:val="22"/>
          <w:szCs w:val="22"/>
        </w:rPr>
        <w:t xml:space="preserve"> </w:t>
      </w:r>
      <w:r w:rsidRPr="00332C4C">
        <w:rPr>
          <w:rFonts w:eastAsia="Arial" w:cs="Arial"/>
          <w:b/>
          <w:i/>
          <w:sz w:val="22"/>
          <w:szCs w:val="22"/>
        </w:rPr>
        <w:t xml:space="preserve">y </w:t>
      </w:r>
      <w:r w:rsidRPr="00332C4C">
        <w:rPr>
          <w:rFonts w:eastAsia="Arial" w:cs="Arial"/>
          <w:b/>
          <w:i/>
          <w:spacing w:val="3"/>
          <w:sz w:val="22"/>
          <w:szCs w:val="22"/>
        </w:rPr>
        <w:t>l</w:t>
      </w:r>
      <w:r w:rsidRPr="00332C4C">
        <w:rPr>
          <w:rFonts w:eastAsia="Arial" w:cs="Arial"/>
          <w:b/>
          <w:i/>
          <w:sz w:val="22"/>
          <w:szCs w:val="22"/>
        </w:rPr>
        <w:t>a</w:t>
      </w:r>
      <w:r w:rsidRPr="00332C4C">
        <w:rPr>
          <w:rFonts w:eastAsia="Arial" w:cs="Arial"/>
          <w:b/>
          <w:i/>
          <w:spacing w:val="7"/>
          <w:sz w:val="22"/>
          <w:szCs w:val="22"/>
        </w:rPr>
        <w:t xml:space="preserve"> </w:t>
      </w:r>
      <w:r w:rsidRPr="00332C4C">
        <w:rPr>
          <w:rFonts w:eastAsia="Arial" w:cs="Arial"/>
          <w:b/>
          <w:i/>
          <w:sz w:val="22"/>
          <w:szCs w:val="22"/>
        </w:rPr>
        <w:t>in</w:t>
      </w:r>
      <w:r w:rsidRPr="00332C4C">
        <w:rPr>
          <w:rFonts w:eastAsia="Arial" w:cs="Arial"/>
          <w:b/>
          <w:i/>
          <w:spacing w:val="1"/>
          <w:sz w:val="22"/>
          <w:szCs w:val="22"/>
        </w:rPr>
        <w:t>e</w:t>
      </w:r>
      <w:r w:rsidRPr="00332C4C">
        <w:rPr>
          <w:rFonts w:eastAsia="Arial" w:cs="Arial"/>
          <w:b/>
          <w:i/>
          <w:spacing w:val="-1"/>
          <w:sz w:val="22"/>
          <w:szCs w:val="22"/>
        </w:rPr>
        <w:t>x</w:t>
      </w:r>
      <w:r w:rsidRPr="00332C4C">
        <w:rPr>
          <w:rFonts w:eastAsia="Arial" w:cs="Arial"/>
          <w:b/>
          <w:i/>
          <w:sz w:val="22"/>
          <w:szCs w:val="22"/>
        </w:rPr>
        <w:t>i</w:t>
      </w:r>
      <w:r w:rsidRPr="00332C4C">
        <w:rPr>
          <w:rFonts w:eastAsia="Arial" w:cs="Arial"/>
          <w:b/>
          <w:i/>
          <w:spacing w:val="1"/>
          <w:sz w:val="22"/>
          <w:szCs w:val="22"/>
        </w:rPr>
        <w:t>s</w:t>
      </w:r>
      <w:r w:rsidRPr="00332C4C">
        <w:rPr>
          <w:rFonts w:eastAsia="Arial" w:cs="Arial"/>
          <w:b/>
          <w:i/>
          <w:sz w:val="22"/>
          <w:szCs w:val="22"/>
        </w:rPr>
        <w:t>ten</w:t>
      </w:r>
      <w:r w:rsidRPr="00332C4C">
        <w:rPr>
          <w:rFonts w:eastAsia="Arial" w:cs="Arial"/>
          <w:b/>
          <w:i/>
          <w:spacing w:val="-1"/>
          <w:sz w:val="22"/>
          <w:szCs w:val="22"/>
        </w:rPr>
        <w:t>c</w:t>
      </w:r>
      <w:r w:rsidRPr="00332C4C">
        <w:rPr>
          <w:rFonts w:eastAsia="Arial" w:cs="Arial"/>
          <w:b/>
          <w:i/>
          <w:sz w:val="22"/>
          <w:szCs w:val="22"/>
        </w:rPr>
        <w:t>ia</w:t>
      </w:r>
      <w:r w:rsidRPr="00332C4C">
        <w:rPr>
          <w:rFonts w:eastAsia="Arial" w:cs="Arial"/>
          <w:b/>
          <w:i/>
          <w:spacing w:val="8"/>
          <w:sz w:val="22"/>
          <w:szCs w:val="22"/>
        </w:rPr>
        <w:t xml:space="preserve"> </w:t>
      </w:r>
      <w:r w:rsidRPr="00332C4C">
        <w:rPr>
          <w:rFonts w:eastAsia="Arial" w:cs="Arial"/>
          <w:b/>
          <w:i/>
          <w:spacing w:val="-3"/>
          <w:sz w:val="22"/>
          <w:szCs w:val="22"/>
        </w:rPr>
        <w:t>d</w:t>
      </w:r>
      <w:r w:rsidRPr="00332C4C">
        <w:rPr>
          <w:rFonts w:eastAsia="Arial" w:cs="Arial"/>
          <w:b/>
          <w:i/>
          <w:sz w:val="22"/>
          <w:szCs w:val="22"/>
        </w:rPr>
        <w:t>e</w:t>
      </w:r>
      <w:r w:rsidRPr="00332C4C">
        <w:rPr>
          <w:rFonts w:eastAsia="Arial" w:cs="Arial"/>
          <w:b/>
          <w:i/>
          <w:spacing w:val="12"/>
          <w:sz w:val="22"/>
          <w:szCs w:val="22"/>
        </w:rPr>
        <w:t xml:space="preserve"> </w:t>
      </w:r>
      <w:r w:rsidRPr="00332C4C">
        <w:rPr>
          <w:rFonts w:eastAsia="Arial" w:cs="Arial"/>
          <w:b/>
          <w:i/>
          <w:sz w:val="22"/>
          <w:szCs w:val="22"/>
        </w:rPr>
        <w:t>i</w:t>
      </w:r>
      <w:r w:rsidRPr="00332C4C">
        <w:rPr>
          <w:rFonts w:eastAsia="Arial" w:cs="Arial"/>
          <w:b/>
          <w:i/>
          <w:spacing w:val="-2"/>
          <w:sz w:val="22"/>
          <w:szCs w:val="22"/>
        </w:rPr>
        <w:t>n</w:t>
      </w:r>
      <w:r w:rsidRPr="00332C4C">
        <w:rPr>
          <w:rFonts w:eastAsia="Arial" w:cs="Arial"/>
          <w:b/>
          <w:i/>
          <w:sz w:val="22"/>
          <w:szCs w:val="22"/>
        </w:rPr>
        <w:t>f</w:t>
      </w:r>
      <w:r w:rsidRPr="00332C4C">
        <w:rPr>
          <w:rFonts w:eastAsia="Arial" w:cs="Arial"/>
          <w:b/>
          <w:i/>
          <w:spacing w:val="-1"/>
          <w:sz w:val="22"/>
          <w:szCs w:val="22"/>
        </w:rPr>
        <w:t>o</w:t>
      </w:r>
      <w:r w:rsidRPr="00332C4C">
        <w:rPr>
          <w:rFonts w:eastAsia="Arial" w:cs="Arial"/>
          <w:b/>
          <w:i/>
          <w:sz w:val="22"/>
          <w:szCs w:val="22"/>
        </w:rPr>
        <w:t>rm</w:t>
      </w:r>
      <w:r w:rsidRPr="00332C4C">
        <w:rPr>
          <w:rFonts w:eastAsia="Arial" w:cs="Arial"/>
          <w:b/>
          <w:i/>
          <w:spacing w:val="1"/>
          <w:sz w:val="22"/>
          <w:szCs w:val="22"/>
        </w:rPr>
        <w:t>ac</w:t>
      </w:r>
      <w:r w:rsidRPr="00332C4C">
        <w:rPr>
          <w:rFonts w:eastAsia="Arial" w:cs="Arial"/>
          <w:b/>
          <w:i/>
          <w:sz w:val="22"/>
          <w:szCs w:val="22"/>
        </w:rPr>
        <w:t>ión</w:t>
      </w:r>
      <w:r w:rsidRPr="00332C4C">
        <w:rPr>
          <w:rFonts w:eastAsia="Arial" w:cs="Arial"/>
          <w:b/>
          <w:i/>
          <w:spacing w:val="7"/>
          <w:sz w:val="22"/>
          <w:szCs w:val="22"/>
        </w:rPr>
        <w:t xml:space="preserve"> </w:t>
      </w:r>
      <w:r w:rsidRPr="00332C4C">
        <w:rPr>
          <w:rFonts w:eastAsia="Arial" w:cs="Arial"/>
          <w:b/>
          <w:i/>
          <w:spacing w:val="1"/>
          <w:sz w:val="22"/>
          <w:szCs w:val="22"/>
        </w:rPr>
        <w:t>s</w:t>
      </w:r>
      <w:r w:rsidRPr="00332C4C">
        <w:rPr>
          <w:rFonts w:eastAsia="Arial" w:cs="Arial"/>
          <w:b/>
          <w:i/>
          <w:sz w:val="22"/>
          <w:szCs w:val="22"/>
        </w:rPr>
        <w:t>on</w:t>
      </w:r>
      <w:r w:rsidRPr="00332C4C">
        <w:rPr>
          <w:rFonts w:eastAsia="Arial" w:cs="Arial"/>
          <w:b/>
          <w:i/>
          <w:spacing w:val="4"/>
          <w:sz w:val="22"/>
          <w:szCs w:val="22"/>
        </w:rPr>
        <w:t xml:space="preserve"> </w:t>
      </w:r>
      <w:r w:rsidRPr="00332C4C">
        <w:rPr>
          <w:rFonts w:eastAsia="Arial" w:cs="Arial"/>
          <w:b/>
          <w:i/>
          <w:spacing w:val="1"/>
          <w:sz w:val="22"/>
          <w:szCs w:val="22"/>
        </w:rPr>
        <w:t>c</w:t>
      </w:r>
      <w:r w:rsidRPr="00332C4C">
        <w:rPr>
          <w:rFonts w:eastAsia="Arial" w:cs="Arial"/>
          <w:b/>
          <w:i/>
          <w:sz w:val="22"/>
          <w:szCs w:val="22"/>
        </w:rPr>
        <w:t>on</w:t>
      </w:r>
      <w:r w:rsidRPr="00332C4C">
        <w:rPr>
          <w:rFonts w:eastAsia="Arial" w:cs="Arial"/>
          <w:b/>
          <w:i/>
          <w:spacing w:val="-2"/>
          <w:sz w:val="22"/>
          <w:szCs w:val="22"/>
        </w:rPr>
        <w:t>c</w:t>
      </w:r>
      <w:r w:rsidRPr="00332C4C">
        <w:rPr>
          <w:rFonts w:eastAsia="Arial" w:cs="Arial"/>
          <w:b/>
          <w:i/>
          <w:spacing w:val="1"/>
          <w:sz w:val="22"/>
          <w:szCs w:val="22"/>
        </w:rPr>
        <w:t>e</w:t>
      </w:r>
      <w:r w:rsidRPr="00332C4C">
        <w:rPr>
          <w:rFonts w:eastAsia="Arial" w:cs="Arial"/>
          <w:b/>
          <w:i/>
          <w:sz w:val="22"/>
          <w:szCs w:val="22"/>
        </w:rPr>
        <w:t>p</w:t>
      </w:r>
      <w:r w:rsidRPr="00332C4C">
        <w:rPr>
          <w:rFonts w:eastAsia="Arial" w:cs="Arial"/>
          <w:b/>
          <w:i/>
          <w:spacing w:val="-1"/>
          <w:sz w:val="22"/>
          <w:szCs w:val="22"/>
        </w:rPr>
        <w:t>t</w:t>
      </w:r>
      <w:r w:rsidRPr="00332C4C">
        <w:rPr>
          <w:rFonts w:eastAsia="Arial" w:cs="Arial"/>
          <w:b/>
          <w:i/>
          <w:sz w:val="22"/>
          <w:szCs w:val="22"/>
        </w:rPr>
        <w:t>os</w:t>
      </w:r>
      <w:r w:rsidRPr="00332C4C">
        <w:rPr>
          <w:rFonts w:eastAsia="Arial" w:cs="Arial"/>
          <w:b/>
          <w:i/>
          <w:spacing w:val="7"/>
          <w:sz w:val="22"/>
          <w:szCs w:val="22"/>
        </w:rPr>
        <w:t xml:space="preserve"> </w:t>
      </w:r>
      <w:r w:rsidRPr="00332C4C">
        <w:rPr>
          <w:rFonts w:eastAsia="Arial" w:cs="Arial"/>
          <w:b/>
          <w:i/>
          <w:sz w:val="22"/>
          <w:szCs w:val="22"/>
        </w:rPr>
        <w:t>que</w:t>
      </w:r>
      <w:r w:rsidRPr="00332C4C">
        <w:rPr>
          <w:rFonts w:eastAsia="Arial" w:cs="Arial"/>
          <w:b/>
          <w:i/>
          <w:spacing w:val="10"/>
          <w:sz w:val="22"/>
          <w:szCs w:val="22"/>
        </w:rPr>
        <w:t xml:space="preserve"> </w:t>
      </w:r>
      <w:r w:rsidRPr="00332C4C">
        <w:rPr>
          <w:rFonts w:eastAsia="Arial" w:cs="Arial"/>
          <w:b/>
          <w:i/>
          <w:sz w:val="22"/>
          <w:szCs w:val="22"/>
        </w:rPr>
        <w:t>no pued</w:t>
      </w:r>
      <w:r w:rsidRPr="00332C4C">
        <w:rPr>
          <w:rFonts w:eastAsia="Arial" w:cs="Arial"/>
          <w:b/>
          <w:i/>
          <w:spacing w:val="1"/>
          <w:sz w:val="22"/>
          <w:szCs w:val="22"/>
        </w:rPr>
        <w:t>e</w:t>
      </w:r>
      <w:r w:rsidRPr="00332C4C">
        <w:rPr>
          <w:rFonts w:eastAsia="Arial" w:cs="Arial"/>
          <w:b/>
          <w:i/>
          <w:sz w:val="22"/>
          <w:szCs w:val="22"/>
        </w:rPr>
        <w:t>n</w:t>
      </w:r>
      <w:r w:rsidRPr="00332C4C">
        <w:rPr>
          <w:rFonts w:eastAsia="Arial" w:cs="Arial"/>
          <w:b/>
          <w:i/>
          <w:spacing w:val="36"/>
          <w:sz w:val="22"/>
          <w:szCs w:val="22"/>
        </w:rPr>
        <w:t xml:space="preserve"> </w:t>
      </w:r>
      <w:r w:rsidRPr="00332C4C">
        <w:rPr>
          <w:rFonts w:eastAsia="Arial" w:cs="Arial"/>
          <w:b/>
          <w:i/>
          <w:spacing w:val="1"/>
          <w:sz w:val="22"/>
          <w:szCs w:val="22"/>
        </w:rPr>
        <w:t>c</w:t>
      </w:r>
      <w:r w:rsidRPr="00332C4C">
        <w:rPr>
          <w:rFonts w:eastAsia="Arial" w:cs="Arial"/>
          <w:b/>
          <w:i/>
          <w:sz w:val="22"/>
          <w:szCs w:val="22"/>
        </w:rPr>
        <w:t>o</w:t>
      </w:r>
      <w:r w:rsidRPr="00332C4C">
        <w:rPr>
          <w:rFonts w:eastAsia="Arial" w:cs="Arial"/>
          <w:b/>
          <w:i/>
          <w:spacing w:val="-2"/>
          <w:sz w:val="22"/>
          <w:szCs w:val="22"/>
        </w:rPr>
        <w:t>e</w:t>
      </w:r>
      <w:r w:rsidRPr="00332C4C">
        <w:rPr>
          <w:rFonts w:eastAsia="Arial" w:cs="Arial"/>
          <w:b/>
          <w:i/>
          <w:spacing w:val="1"/>
          <w:sz w:val="22"/>
          <w:szCs w:val="22"/>
        </w:rPr>
        <w:t>x</w:t>
      </w:r>
      <w:r w:rsidRPr="00332C4C">
        <w:rPr>
          <w:rFonts w:eastAsia="Arial" w:cs="Arial"/>
          <w:b/>
          <w:i/>
          <w:sz w:val="22"/>
          <w:szCs w:val="22"/>
        </w:rPr>
        <w:t>i</w:t>
      </w:r>
      <w:r w:rsidRPr="00332C4C">
        <w:rPr>
          <w:rFonts w:eastAsia="Arial" w:cs="Arial"/>
          <w:b/>
          <w:i/>
          <w:spacing w:val="1"/>
          <w:sz w:val="22"/>
          <w:szCs w:val="22"/>
        </w:rPr>
        <w:t>s</w:t>
      </w:r>
      <w:r w:rsidRPr="00332C4C">
        <w:rPr>
          <w:rFonts w:eastAsia="Arial" w:cs="Arial"/>
          <w:b/>
          <w:i/>
          <w:sz w:val="22"/>
          <w:szCs w:val="22"/>
        </w:rPr>
        <w:t>tir.</w:t>
      </w:r>
      <w:r w:rsidRPr="00332C4C">
        <w:rPr>
          <w:rFonts w:eastAsia="Arial" w:cs="Arial"/>
          <w:b/>
          <w:i/>
          <w:spacing w:val="35"/>
          <w:sz w:val="22"/>
          <w:szCs w:val="22"/>
        </w:rPr>
        <w:t xml:space="preserve"> </w:t>
      </w:r>
      <w:r w:rsidRPr="00332C4C">
        <w:rPr>
          <w:rFonts w:eastAsia="Arial" w:cs="Arial"/>
          <w:i/>
          <w:spacing w:val="1"/>
          <w:sz w:val="22"/>
          <w:szCs w:val="22"/>
        </w:rPr>
        <w:t>L</w:t>
      </w:r>
      <w:r w:rsidRPr="00332C4C">
        <w:rPr>
          <w:rFonts w:eastAsia="Arial" w:cs="Arial"/>
          <w:i/>
          <w:sz w:val="22"/>
          <w:szCs w:val="22"/>
        </w:rPr>
        <w:t>a</w:t>
      </w:r>
      <w:r w:rsidRPr="00332C4C">
        <w:rPr>
          <w:rFonts w:eastAsia="Arial" w:cs="Arial"/>
          <w:i/>
          <w:spacing w:val="25"/>
          <w:sz w:val="22"/>
          <w:szCs w:val="22"/>
        </w:rPr>
        <w:t xml:space="preserve"> </w:t>
      </w:r>
      <w:r w:rsidRPr="00332C4C">
        <w:rPr>
          <w:rFonts w:eastAsia="Arial" w:cs="Arial"/>
          <w:i/>
          <w:sz w:val="22"/>
          <w:szCs w:val="22"/>
        </w:rPr>
        <w:t>in</w:t>
      </w:r>
      <w:r w:rsidRPr="00332C4C">
        <w:rPr>
          <w:rFonts w:eastAsia="Arial" w:cs="Arial"/>
          <w:i/>
          <w:spacing w:val="1"/>
          <w:sz w:val="22"/>
          <w:szCs w:val="22"/>
        </w:rPr>
        <w:t>e</w:t>
      </w:r>
      <w:r w:rsidRPr="00332C4C">
        <w:rPr>
          <w:rFonts w:eastAsia="Arial" w:cs="Arial"/>
          <w:i/>
          <w:spacing w:val="-2"/>
          <w:sz w:val="22"/>
          <w:szCs w:val="22"/>
        </w:rPr>
        <w:t>x</w:t>
      </w:r>
      <w:r w:rsidRPr="00332C4C">
        <w:rPr>
          <w:rFonts w:eastAsia="Arial" w:cs="Arial"/>
          <w:i/>
          <w:sz w:val="22"/>
          <w:szCs w:val="22"/>
        </w:rPr>
        <w:t>ist</w:t>
      </w:r>
      <w:r w:rsidRPr="00332C4C">
        <w:rPr>
          <w:rFonts w:eastAsia="Arial" w:cs="Arial"/>
          <w:i/>
          <w:spacing w:val="1"/>
          <w:sz w:val="22"/>
          <w:szCs w:val="22"/>
        </w:rPr>
        <w:t>en</w:t>
      </w:r>
      <w:r w:rsidRPr="00332C4C">
        <w:rPr>
          <w:rFonts w:eastAsia="Arial" w:cs="Arial"/>
          <w:i/>
          <w:sz w:val="22"/>
          <w:szCs w:val="22"/>
        </w:rPr>
        <w:t>cia</w:t>
      </w:r>
      <w:r w:rsidRPr="00332C4C">
        <w:rPr>
          <w:rFonts w:eastAsia="Arial" w:cs="Arial"/>
          <w:i/>
          <w:spacing w:val="27"/>
          <w:sz w:val="22"/>
          <w:szCs w:val="22"/>
        </w:rPr>
        <w:t xml:space="preserve"> </w:t>
      </w:r>
      <w:r w:rsidRPr="00332C4C">
        <w:rPr>
          <w:rFonts w:eastAsia="Arial" w:cs="Arial"/>
          <w:i/>
          <w:sz w:val="22"/>
          <w:szCs w:val="22"/>
        </w:rPr>
        <w:t>i</w:t>
      </w:r>
      <w:r w:rsidRPr="00332C4C">
        <w:rPr>
          <w:rFonts w:eastAsia="Arial" w:cs="Arial"/>
          <w:i/>
          <w:spacing w:val="1"/>
          <w:sz w:val="22"/>
          <w:szCs w:val="22"/>
        </w:rPr>
        <w:t>mp</w:t>
      </w:r>
      <w:r w:rsidRPr="00332C4C">
        <w:rPr>
          <w:rFonts w:eastAsia="Arial" w:cs="Arial"/>
          <w:i/>
          <w:sz w:val="22"/>
          <w:szCs w:val="22"/>
        </w:rPr>
        <w:t>l</w:t>
      </w:r>
      <w:r w:rsidRPr="00332C4C">
        <w:rPr>
          <w:rFonts w:eastAsia="Arial" w:cs="Arial"/>
          <w:i/>
          <w:spacing w:val="-1"/>
          <w:sz w:val="22"/>
          <w:szCs w:val="22"/>
        </w:rPr>
        <w:t>i</w:t>
      </w:r>
      <w:r w:rsidRPr="00332C4C">
        <w:rPr>
          <w:rFonts w:eastAsia="Arial" w:cs="Arial"/>
          <w:i/>
          <w:sz w:val="22"/>
          <w:szCs w:val="22"/>
        </w:rPr>
        <w:t>ca</w:t>
      </w:r>
      <w:r w:rsidRPr="00332C4C">
        <w:rPr>
          <w:rFonts w:eastAsia="Arial" w:cs="Arial"/>
          <w:i/>
          <w:spacing w:val="28"/>
          <w:sz w:val="22"/>
          <w:szCs w:val="22"/>
        </w:rPr>
        <w:t xml:space="preserve"> </w:t>
      </w:r>
      <w:r w:rsidRPr="00332C4C">
        <w:rPr>
          <w:rFonts w:eastAsia="Arial" w:cs="Arial"/>
          <w:i/>
          <w:spacing w:val="-1"/>
          <w:sz w:val="22"/>
          <w:szCs w:val="22"/>
        </w:rPr>
        <w:t>n</w:t>
      </w:r>
      <w:r w:rsidRPr="00332C4C">
        <w:rPr>
          <w:rFonts w:eastAsia="Arial" w:cs="Arial"/>
          <w:i/>
          <w:spacing w:val="1"/>
          <w:sz w:val="22"/>
          <w:szCs w:val="22"/>
        </w:rPr>
        <w:t>e</w:t>
      </w:r>
      <w:r w:rsidRPr="00332C4C">
        <w:rPr>
          <w:rFonts w:eastAsia="Arial" w:cs="Arial"/>
          <w:i/>
          <w:sz w:val="22"/>
          <w:szCs w:val="22"/>
        </w:rPr>
        <w:t>c</w:t>
      </w:r>
      <w:r w:rsidRPr="00332C4C">
        <w:rPr>
          <w:rFonts w:eastAsia="Arial" w:cs="Arial"/>
          <w:i/>
          <w:spacing w:val="1"/>
          <w:sz w:val="22"/>
          <w:szCs w:val="22"/>
        </w:rPr>
        <w:t>e</w:t>
      </w:r>
      <w:r w:rsidRPr="00332C4C">
        <w:rPr>
          <w:rFonts w:eastAsia="Arial" w:cs="Arial"/>
          <w:i/>
          <w:sz w:val="22"/>
          <w:szCs w:val="22"/>
        </w:rPr>
        <w:t>s</w:t>
      </w:r>
      <w:r w:rsidRPr="00332C4C">
        <w:rPr>
          <w:rFonts w:eastAsia="Arial" w:cs="Arial"/>
          <w:i/>
          <w:spacing w:val="1"/>
          <w:sz w:val="22"/>
          <w:szCs w:val="22"/>
        </w:rPr>
        <w:t>a</w:t>
      </w:r>
      <w:r w:rsidRPr="00332C4C">
        <w:rPr>
          <w:rFonts w:eastAsia="Arial" w:cs="Arial"/>
          <w:i/>
          <w:sz w:val="22"/>
          <w:szCs w:val="22"/>
        </w:rPr>
        <w:t>r</w:t>
      </w:r>
      <w:r w:rsidRPr="00332C4C">
        <w:rPr>
          <w:rFonts w:eastAsia="Arial" w:cs="Arial"/>
          <w:i/>
          <w:spacing w:val="-1"/>
          <w:sz w:val="22"/>
          <w:szCs w:val="22"/>
        </w:rPr>
        <w:t>ia</w:t>
      </w:r>
      <w:r w:rsidRPr="00332C4C">
        <w:rPr>
          <w:rFonts w:eastAsia="Arial" w:cs="Arial"/>
          <w:i/>
          <w:spacing w:val="1"/>
          <w:sz w:val="22"/>
          <w:szCs w:val="22"/>
        </w:rPr>
        <w:t>me</w:t>
      </w:r>
      <w:r w:rsidRPr="00332C4C">
        <w:rPr>
          <w:rFonts w:eastAsia="Arial" w:cs="Arial"/>
          <w:i/>
          <w:spacing w:val="-1"/>
          <w:sz w:val="22"/>
          <w:szCs w:val="22"/>
        </w:rPr>
        <w:t>n</w:t>
      </w:r>
      <w:r w:rsidRPr="00332C4C">
        <w:rPr>
          <w:rFonts w:eastAsia="Arial" w:cs="Arial"/>
          <w:i/>
          <w:sz w:val="22"/>
          <w:szCs w:val="22"/>
        </w:rPr>
        <w:t>te</w:t>
      </w:r>
      <w:r w:rsidRPr="00332C4C">
        <w:rPr>
          <w:rFonts w:eastAsia="Arial" w:cs="Arial"/>
          <w:i/>
          <w:spacing w:val="28"/>
          <w:sz w:val="22"/>
          <w:szCs w:val="22"/>
        </w:rPr>
        <w:t xml:space="preserve"> </w:t>
      </w:r>
      <w:r w:rsidRPr="00332C4C">
        <w:rPr>
          <w:rFonts w:eastAsia="Arial" w:cs="Arial"/>
          <w:i/>
          <w:spacing w:val="-1"/>
          <w:sz w:val="22"/>
          <w:szCs w:val="22"/>
        </w:rPr>
        <w:t>q</w:t>
      </w:r>
      <w:r w:rsidRPr="00332C4C">
        <w:rPr>
          <w:rFonts w:eastAsia="Arial" w:cs="Arial"/>
          <w:i/>
          <w:spacing w:val="1"/>
          <w:sz w:val="22"/>
          <w:szCs w:val="22"/>
        </w:rPr>
        <w:t>u</w:t>
      </w:r>
      <w:r w:rsidRPr="00332C4C">
        <w:rPr>
          <w:rFonts w:eastAsia="Arial" w:cs="Arial"/>
          <w:i/>
          <w:sz w:val="22"/>
          <w:szCs w:val="22"/>
        </w:rPr>
        <w:t>e</w:t>
      </w:r>
      <w:r w:rsidRPr="00332C4C">
        <w:rPr>
          <w:rFonts w:eastAsia="Arial" w:cs="Arial"/>
          <w:i/>
          <w:spacing w:val="28"/>
          <w:sz w:val="22"/>
          <w:szCs w:val="22"/>
        </w:rPr>
        <w:t xml:space="preserve"> </w:t>
      </w:r>
      <w:r w:rsidRPr="00332C4C">
        <w:rPr>
          <w:rFonts w:eastAsia="Arial" w:cs="Arial"/>
          <w:i/>
          <w:sz w:val="22"/>
          <w:szCs w:val="22"/>
        </w:rPr>
        <w:t>la</w:t>
      </w:r>
      <w:r w:rsidRPr="00332C4C">
        <w:rPr>
          <w:rFonts w:eastAsia="Arial" w:cs="Arial"/>
          <w:i/>
          <w:spacing w:val="25"/>
          <w:sz w:val="22"/>
          <w:szCs w:val="22"/>
        </w:rPr>
        <w:t xml:space="preserve"> </w:t>
      </w:r>
      <w:r w:rsidRPr="00332C4C">
        <w:rPr>
          <w:rFonts w:eastAsia="Arial" w:cs="Arial"/>
          <w:i/>
          <w:sz w:val="22"/>
          <w:szCs w:val="22"/>
        </w:rPr>
        <w:t>in</w:t>
      </w:r>
      <w:r w:rsidRPr="00332C4C">
        <w:rPr>
          <w:rFonts w:eastAsia="Arial" w:cs="Arial"/>
          <w:i/>
          <w:spacing w:val="1"/>
          <w:sz w:val="22"/>
          <w:szCs w:val="22"/>
        </w:rPr>
        <w:t>fo</w:t>
      </w:r>
      <w:r w:rsidRPr="00332C4C">
        <w:rPr>
          <w:rFonts w:eastAsia="Arial" w:cs="Arial"/>
          <w:i/>
          <w:sz w:val="22"/>
          <w:szCs w:val="22"/>
        </w:rPr>
        <w:t>r</w:t>
      </w:r>
      <w:r w:rsidRPr="00332C4C">
        <w:rPr>
          <w:rFonts w:eastAsia="Arial" w:cs="Arial"/>
          <w:i/>
          <w:spacing w:val="-1"/>
          <w:sz w:val="22"/>
          <w:szCs w:val="22"/>
        </w:rPr>
        <w:t>m</w:t>
      </w:r>
      <w:r w:rsidRPr="00332C4C">
        <w:rPr>
          <w:rFonts w:eastAsia="Arial" w:cs="Arial"/>
          <w:i/>
          <w:spacing w:val="1"/>
          <w:sz w:val="22"/>
          <w:szCs w:val="22"/>
        </w:rPr>
        <w:t>a</w:t>
      </w:r>
      <w:r w:rsidRPr="00332C4C">
        <w:rPr>
          <w:rFonts w:eastAsia="Arial" w:cs="Arial"/>
          <w:i/>
          <w:sz w:val="22"/>
          <w:szCs w:val="22"/>
        </w:rPr>
        <w:t>ción</w:t>
      </w:r>
      <w:r w:rsidRPr="00332C4C">
        <w:rPr>
          <w:rFonts w:eastAsia="Arial" w:cs="Arial"/>
          <w:i/>
          <w:spacing w:val="26"/>
          <w:sz w:val="22"/>
          <w:szCs w:val="22"/>
        </w:rPr>
        <w:t xml:space="preserve"> </w:t>
      </w:r>
      <w:r w:rsidRPr="00332C4C">
        <w:rPr>
          <w:rFonts w:eastAsia="Arial" w:cs="Arial"/>
          <w:i/>
          <w:spacing w:val="-1"/>
          <w:sz w:val="22"/>
          <w:szCs w:val="22"/>
        </w:rPr>
        <w:t>n</w:t>
      </w:r>
      <w:r w:rsidRPr="00332C4C">
        <w:rPr>
          <w:rFonts w:eastAsia="Arial" w:cs="Arial"/>
          <w:i/>
          <w:sz w:val="22"/>
          <w:szCs w:val="22"/>
        </w:rPr>
        <w:t>o se</w:t>
      </w:r>
      <w:r w:rsidRPr="00332C4C">
        <w:rPr>
          <w:rFonts w:eastAsia="Arial" w:cs="Arial"/>
          <w:i/>
          <w:spacing w:val="3"/>
          <w:sz w:val="22"/>
          <w:szCs w:val="22"/>
        </w:rPr>
        <w:t xml:space="preserve"> </w:t>
      </w:r>
      <w:r w:rsidRPr="00332C4C">
        <w:rPr>
          <w:rFonts w:eastAsia="Arial" w:cs="Arial"/>
          <w:i/>
          <w:spacing w:val="1"/>
          <w:sz w:val="22"/>
          <w:szCs w:val="22"/>
        </w:rPr>
        <w:t>en</w:t>
      </w:r>
      <w:r w:rsidRPr="00332C4C">
        <w:rPr>
          <w:rFonts w:eastAsia="Arial" w:cs="Arial"/>
          <w:i/>
          <w:spacing w:val="-2"/>
          <w:sz w:val="22"/>
          <w:szCs w:val="22"/>
        </w:rPr>
        <w:t>c</w:t>
      </w:r>
      <w:r w:rsidRPr="00332C4C">
        <w:rPr>
          <w:rFonts w:eastAsia="Arial" w:cs="Arial"/>
          <w:i/>
          <w:spacing w:val="1"/>
          <w:sz w:val="22"/>
          <w:szCs w:val="22"/>
        </w:rPr>
        <w:t>ue</w:t>
      </w:r>
      <w:r w:rsidRPr="00332C4C">
        <w:rPr>
          <w:rFonts w:eastAsia="Arial" w:cs="Arial"/>
          <w:i/>
          <w:spacing w:val="-1"/>
          <w:sz w:val="22"/>
          <w:szCs w:val="22"/>
        </w:rPr>
        <w:t>n</w:t>
      </w:r>
      <w:r w:rsidRPr="00332C4C">
        <w:rPr>
          <w:rFonts w:eastAsia="Arial" w:cs="Arial"/>
          <w:i/>
          <w:sz w:val="22"/>
          <w:szCs w:val="22"/>
        </w:rPr>
        <w:t>tra</w:t>
      </w:r>
      <w:r w:rsidRPr="00332C4C">
        <w:rPr>
          <w:rFonts w:eastAsia="Arial" w:cs="Arial"/>
          <w:i/>
          <w:spacing w:val="3"/>
          <w:sz w:val="22"/>
          <w:szCs w:val="22"/>
        </w:rPr>
        <w:t xml:space="preserve"> </w:t>
      </w:r>
      <w:r w:rsidRPr="00332C4C">
        <w:rPr>
          <w:rFonts w:eastAsia="Arial" w:cs="Arial"/>
          <w:i/>
          <w:spacing w:val="1"/>
          <w:sz w:val="22"/>
          <w:szCs w:val="22"/>
        </w:rPr>
        <w:t>e</w:t>
      </w:r>
      <w:r w:rsidRPr="00332C4C">
        <w:rPr>
          <w:rFonts w:eastAsia="Arial" w:cs="Arial"/>
          <w:i/>
          <w:sz w:val="22"/>
          <w:szCs w:val="22"/>
        </w:rPr>
        <w:t>n</w:t>
      </w:r>
      <w:r w:rsidRPr="00332C4C">
        <w:rPr>
          <w:rFonts w:eastAsia="Arial" w:cs="Arial"/>
          <w:i/>
          <w:spacing w:val="3"/>
          <w:sz w:val="22"/>
          <w:szCs w:val="22"/>
        </w:rPr>
        <w:t xml:space="preserve"> </w:t>
      </w:r>
      <w:r w:rsidRPr="00332C4C">
        <w:rPr>
          <w:rFonts w:eastAsia="Arial" w:cs="Arial"/>
          <w:i/>
          <w:spacing w:val="-3"/>
          <w:sz w:val="22"/>
          <w:szCs w:val="22"/>
        </w:rPr>
        <w:t>l</w:t>
      </w:r>
      <w:r w:rsidRPr="00332C4C">
        <w:rPr>
          <w:rFonts w:eastAsia="Arial" w:cs="Arial"/>
          <w:i/>
          <w:spacing w:val="1"/>
          <w:sz w:val="22"/>
          <w:szCs w:val="22"/>
        </w:rPr>
        <w:t>o</w:t>
      </w:r>
      <w:r w:rsidRPr="00332C4C">
        <w:rPr>
          <w:rFonts w:eastAsia="Arial" w:cs="Arial"/>
          <w:i/>
          <w:sz w:val="22"/>
          <w:szCs w:val="22"/>
        </w:rPr>
        <w:t>s</w:t>
      </w:r>
      <w:r w:rsidRPr="00332C4C">
        <w:rPr>
          <w:rFonts w:eastAsia="Arial" w:cs="Arial"/>
          <w:i/>
          <w:spacing w:val="2"/>
          <w:sz w:val="22"/>
          <w:szCs w:val="22"/>
        </w:rPr>
        <w:t xml:space="preserve"> </w:t>
      </w:r>
      <w:r w:rsidRPr="00332C4C">
        <w:rPr>
          <w:rFonts w:eastAsia="Arial" w:cs="Arial"/>
          <w:i/>
          <w:spacing w:val="-1"/>
          <w:sz w:val="22"/>
          <w:szCs w:val="22"/>
        </w:rPr>
        <w:t>a</w:t>
      </w:r>
      <w:r w:rsidRPr="00332C4C">
        <w:rPr>
          <w:rFonts w:eastAsia="Arial" w:cs="Arial"/>
          <w:i/>
          <w:sz w:val="22"/>
          <w:szCs w:val="22"/>
        </w:rPr>
        <w:t>rchi</w:t>
      </w:r>
      <w:r w:rsidRPr="00332C4C">
        <w:rPr>
          <w:rFonts w:eastAsia="Arial" w:cs="Arial"/>
          <w:i/>
          <w:spacing w:val="-3"/>
          <w:sz w:val="22"/>
          <w:szCs w:val="22"/>
        </w:rPr>
        <w:t>v</w:t>
      </w:r>
      <w:r w:rsidRPr="00332C4C">
        <w:rPr>
          <w:rFonts w:eastAsia="Arial" w:cs="Arial"/>
          <w:i/>
          <w:spacing w:val="1"/>
          <w:sz w:val="22"/>
          <w:szCs w:val="22"/>
        </w:rPr>
        <w:t>o</w:t>
      </w:r>
      <w:r w:rsidRPr="00332C4C">
        <w:rPr>
          <w:rFonts w:eastAsia="Arial" w:cs="Arial"/>
          <w:i/>
          <w:sz w:val="22"/>
          <w:szCs w:val="22"/>
        </w:rPr>
        <w:t>s</w:t>
      </w:r>
      <w:r w:rsidRPr="00332C4C">
        <w:rPr>
          <w:rFonts w:eastAsia="Arial" w:cs="Arial"/>
          <w:i/>
          <w:spacing w:val="2"/>
          <w:sz w:val="22"/>
          <w:szCs w:val="22"/>
        </w:rPr>
        <w:t xml:space="preserve"> </w:t>
      </w:r>
      <w:r w:rsidRPr="00332C4C">
        <w:rPr>
          <w:rFonts w:eastAsia="Arial" w:cs="Arial"/>
          <w:i/>
          <w:spacing w:val="1"/>
          <w:sz w:val="22"/>
          <w:szCs w:val="22"/>
        </w:rPr>
        <w:t>d</w:t>
      </w:r>
      <w:r w:rsidRPr="00332C4C">
        <w:rPr>
          <w:rFonts w:eastAsia="Arial" w:cs="Arial"/>
          <w:i/>
          <w:sz w:val="22"/>
          <w:szCs w:val="22"/>
        </w:rPr>
        <w:t>e</w:t>
      </w:r>
      <w:r w:rsidRPr="00332C4C">
        <w:rPr>
          <w:rFonts w:eastAsia="Arial" w:cs="Arial"/>
          <w:i/>
          <w:spacing w:val="3"/>
          <w:sz w:val="22"/>
          <w:szCs w:val="22"/>
        </w:rPr>
        <w:t xml:space="preserve"> </w:t>
      </w:r>
      <w:r w:rsidRPr="00332C4C">
        <w:rPr>
          <w:rFonts w:eastAsia="Arial" w:cs="Arial"/>
          <w:i/>
          <w:sz w:val="22"/>
          <w:szCs w:val="22"/>
        </w:rPr>
        <w:t>la</w:t>
      </w:r>
      <w:r w:rsidRPr="00332C4C">
        <w:rPr>
          <w:rFonts w:eastAsia="Arial" w:cs="Arial"/>
          <w:i/>
          <w:spacing w:val="3"/>
          <w:sz w:val="22"/>
          <w:szCs w:val="22"/>
        </w:rPr>
        <w:t xml:space="preserve"> </w:t>
      </w:r>
      <w:r w:rsidRPr="00332C4C">
        <w:rPr>
          <w:rFonts w:eastAsia="Arial" w:cs="Arial"/>
          <w:i/>
          <w:spacing w:val="1"/>
          <w:sz w:val="22"/>
          <w:szCs w:val="22"/>
        </w:rPr>
        <w:t>au</w:t>
      </w:r>
      <w:r w:rsidRPr="00332C4C">
        <w:rPr>
          <w:rFonts w:eastAsia="Arial" w:cs="Arial"/>
          <w:i/>
          <w:spacing w:val="-2"/>
          <w:sz w:val="22"/>
          <w:szCs w:val="22"/>
        </w:rPr>
        <w:t>t</w:t>
      </w:r>
      <w:r w:rsidRPr="00332C4C">
        <w:rPr>
          <w:rFonts w:eastAsia="Arial" w:cs="Arial"/>
          <w:i/>
          <w:spacing w:val="1"/>
          <w:sz w:val="22"/>
          <w:szCs w:val="22"/>
        </w:rPr>
        <w:t>o</w:t>
      </w:r>
      <w:r w:rsidRPr="00332C4C">
        <w:rPr>
          <w:rFonts w:eastAsia="Arial" w:cs="Arial"/>
          <w:i/>
          <w:sz w:val="22"/>
          <w:szCs w:val="22"/>
        </w:rPr>
        <w:t>r</w:t>
      </w:r>
      <w:r w:rsidRPr="00332C4C">
        <w:rPr>
          <w:rFonts w:eastAsia="Arial" w:cs="Arial"/>
          <w:i/>
          <w:spacing w:val="-1"/>
          <w:sz w:val="22"/>
          <w:szCs w:val="22"/>
        </w:rPr>
        <w:t>i</w:t>
      </w:r>
      <w:r w:rsidRPr="00332C4C">
        <w:rPr>
          <w:rFonts w:eastAsia="Arial" w:cs="Arial"/>
          <w:i/>
          <w:spacing w:val="1"/>
          <w:sz w:val="22"/>
          <w:szCs w:val="22"/>
        </w:rPr>
        <w:t>d</w:t>
      </w:r>
      <w:r w:rsidRPr="00332C4C">
        <w:rPr>
          <w:rFonts w:eastAsia="Arial" w:cs="Arial"/>
          <w:i/>
          <w:spacing w:val="-1"/>
          <w:sz w:val="22"/>
          <w:szCs w:val="22"/>
        </w:rPr>
        <w:t>a</w:t>
      </w:r>
      <w:r w:rsidRPr="00332C4C">
        <w:rPr>
          <w:rFonts w:eastAsia="Arial" w:cs="Arial"/>
          <w:i/>
          <w:spacing w:val="1"/>
          <w:sz w:val="22"/>
          <w:szCs w:val="22"/>
        </w:rPr>
        <w:t>d</w:t>
      </w:r>
      <w:r w:rsidRPr="00332C4C">
        <w:rPr>
          <w:rFonts w:eastAsia="Arial" w:cs="Arial"/>
          <w:i/>
          <w:sz w:val="22"/>
          <w:szCs w:val="22"/>
        </w:rPr>
        <w:t>,</w:t>
      </w:r>
      <w:r w:rsidRPr="00332C4C">
        <w:rPr>
          <w:rFonts w:eastAsia="Arial" w:cs="Arial"/>
          <w:i/>
          <w:spacing w:val="3"/>
          <w:sz w:val="22"/>
          <w:szCs w:val="22"/>
        </w:rPr>
        <w:t xml:space="preserve"> </w:t>
      </w:r>
      <w:r w:rsidRPr="00332C4C">
        <w:rPr>
          <w:rFonts w:eastAsia="Arial" w:cs="Arial"/>
          <w:i/>
          <w:spacing w:val="1"/>
          <w:sz w:val="22"/>
          <w:szCs w:val="22"/>
        </w:rPr>
        <w:t>n</w:t>
      </w:r>
      <w:r w:rsidRPr="00332C4C">
        <w:rPr>
          <w:rFonts w:eastAsia="Arial" w:cs="Arial"/>
          <w:i/>
          <w:sz w:val="22"/>
          <w:szCs w:val="22"/>
        </w:rPr>
        <w:t>o</w:t>
      </w:r>
      <w:r w:rsidRPr="00332C4C">
        <w:rPr>
          <w:rFonts w:eastAsia="Arial" w:cs="Arial"/>
          <w:i/>
          <w:spacing w:val="1"/>
          <w:sz w:val="22"/>
          <w:szCs w:val="22"/>
        </w:rPr>
        <w:t xml:space="preserve"> ob</w:t>
      </w:r>
      <w:r w:rsidRPr="00332C4C">
        <w:rPr>
          <w:rFonts w:eastAsia="Arial" w:cs="Arial"/>
          <w:i/>
          <w:sz w:val="22"/>
          <w:szCs w:val="22"/>
        </w:rPr>
        <w:t>s</w:t>
      </w:r>
      <w:r w:rsidRPr="00332C4C">
        <w:rPr>
          <w:rFonts w:eastAsia="Arial" w:cs="Arial"/>
          <w:i/>
          <w:spacing w:val="-2"/>
          <w:sz w:val="22"/>
          <w:szCs w:val="22"/>
        </w:rPr>
        <w:t>t</w:t>
      </w:r>
      <w:r w:rsidRPr="00332C4C">
        <w:rPr>
          <w:rFonts w:eastAsia="Arial" w:cs="Arial"/>
          <w:i/>
          <w:spacing w:val="1"/>
          <w:sz w:val="22"/>
          <w:szCs w:val="22"/>
        </w:rPr>
        <w:t>an</w:t>
      </w:r>
      <w:r w:rsidRPr="00332C4C">
        <w:rPr>
          <w:rFonts w:eastAsia="Arial" w:cs="Arial"/>
          <w:i/>
          <w:spacing w:val="-2"/>
          <w:sz w:val="22"/>
          <w:szCs w:val="22"/>
        </w:rPr>
        <w:t>t</w:t>
      </w:r>
      <w:r w:rsidRPr="00332C4C">
        <w:rPr>
          <w:rFonts w:eastAsia="Arial" w:cs="Arial"/>
          <w:i/>
          <w:sz w:val="22"/>
          <w:szCs w:val="22"/>
        </w:rPr>
        <w:t>e</w:t>
      </w:r>
      <w:r w:rsidRPr="00332C4C">
        <w:rPr>
          <w:rFonts w:eastAsia="Arial" w:cs="Arial"/>
          <w:i/>
          <w:spacing w:val="3"/>
          <w:sz w:val="22"/>
          <w:szCs w:val="22"/>
        </w:rPr>
        <w:t xml:space="preserve"> </w:t>
      </w:r>
      <w:r w:rsidRPr="00332C4C">
        <w:rPr>
          <w:rFonts w:eastAsia="Arial" w:cs="Arial"/>
          <w:i/>
          <w:spacing w:val="-1"/>
          <w:sz w:val="22"/>
          <w:szCs w:val="22"/>
        </w:rPr>
        <w:t>q</w:t>
      </w:r>
      <w:r w:rsidRPr="00332C4C">
        <w:rPr>
          <w:rFonts w:eastAsia="Arial" w:cs="Arial"/>
          <w:i/>
          <w:spacing w:val="1"/>
          <w:sz w:val="22"/>
          <w:szCs w:val="22"/>
        </w:rPr>
        <w:t>u</w:t>
      </w:r>
      <w:r w:rsidRPr="00332C4C">
        <w:rPr>
          <w:rFonts w:eastAsia="Arial" w:cs="Arial"/>
          <w:i/>
          <w:sz w:val="22"/>
          <w:szCs w:val="22"/>
        </w:rPr>
        <w:t>e</w:t>
      </w:r>
      <w:r w:rsidRPr="00332C4C">
        <w:rPr>
          <w:rFonts w:eastAsia="Arial" w:cs="Arial"/>
          <w:i/>
          <w:spacing w:val="3"/>
          <w:sz w:val="22"/>
          <w:szCs w:val="22"/>
        </w:rPr>
        <w:t xml:space="preserve"> </w:t>
      </w:r>
      <w:r w:rsidRPr="00332C4C">
        <w:rPr>
          <w:rFonts w:eastAsia="Arial" w:cs="Arial"/>
          <w:i/>
          <w:sz w:val="22"/>
          <w:szCs w:val="22"/>
        </w:rPr>
        <w:t xml:space="preserve">la </w:t>
      </w:r>
      <w:r w:rsidRPr="00332C4C">
        <w:rPr>
          <w:rFonts w:eastAsia="Arial" w:cs="Arial"/>
          <w:i/>
          <w:spacing w:val="1"/>
          <w:sz w:val="22"/>
          <w:szCs w:val="22"/>
        </w:rPr>
        <w:t>de</w:t>
      </w:r>
      <w:r w:rsidRPr="00332C4C">
        <w:rPr>
          <w:rFonts w:eastAsia="Arial" w:cs="Arial"/>
          <w:i/>
          <w:spacing w:val="-1"/>
          <w:sz w:val="22"/>
          <w:szCs w:val="22"/>
        </w:rPr>
        <w:t>p</w:t>
      </w:r>
      <w:r w:rsidRPr="00332C4C">
        <w:rPr>
          <w:rFonts w:eastAsia="Arial" w:cs="Arial"/>
          <w:i/>
          <w:spacing w:val="1"/>
          <w:sz w:val="22"/>
          <w:szCs w:val="22"/>
        </w:rPr>
        <w:t>en</w:t>
      </w:r>
      <w:r w:rsidRPr="00332C4C">
        <w:rPr>
          <w:rFonts w:eastAsia="Arial" w:cs="Arial"/>
          <w:i/>
          <w:spacing w:val="-1"/>
          <w:sz w:val="22"/>
          <w:szCs w:val="22"/>
        </w:rPr>
        <w:t>d</w:t>
      </w:r>
      <w:r w:rsidRPr="00332C4C">
        <w:rPr>
          <w:rFonts w:eastAsia="Arial" w:cs="Arial"/>
          <w:i/>
          <w:spacing w:val="1"/>
          <w:sz w:val="22"/>
          <w:szCs w:val="22"/>
        </w:rPr>
        <w:t>en</w:t>
      </w:r>
      <w:r w:rsidRPr="00332C4C">
        <w:rPr>
          <w:rFonts w:eastAsia="Arial" w:cs="Arial"/>
          <w:i/>
          <w:sz w:val="22"/>
          <w:szCs w:val="22"/>
        </w:rPr>
        <w:t xml:space="preserve">cia o </w:t>
      </w:r>
      <w:r w:rsidRPr="00332C4C">
        <w:rPr>
          <w:rFonts w:eastAsia="Arial" w:cs="Arial"/>
          <w:i/>
          <w:spacing w:val="1"/>
          <w:sz w:val="22"/>
          <w:szCs w:val="22"/>
        </w:rPr>
        <w:t>en</w:t>
      </w:r>
      <w:r w:rsidRPr="00332C4C">
        <w:rPr>
          <w:rFonts w:eastAsia="Arial" w:cs="Arial"/>
          <w:i/>
          <w:sz w:val="22"/>
          <w:szCs w:val="22"/>
        </w:rPr>
        <w:t>ti</w:t>
      </w:r>
      <w:r w:rsidRPr="00332C4C">
        <w:rPr>
          <w:rFonts w:eastAsia="Arial" w:cs="Arial"/>
          <w:i/>
          <w:spacing w:val="-1"/>
          <w:sz w:val="22"/>
          <w:szCs w:val="22"/>
        </w:rPr>
        <w:t>d</w:t>
      </w:r>
      <w:r w:rsidRPr="00332C4C">
        <w:rPr>
          <w:rFonts w:eastAsia="Arial" w:cs="Arial"/>
          <w:i/>
          <w:spacing w:val="1"/>
          <w:sz w:val="22"/>
          <w:szCs w:val="22"/>
        </w:rPr>
        <w:t>a</w:t>
      </w:r>
      <w:r w:rsidRPr="00332C4C">
        <w:rPr>
          <w:rFonts w:eastAsia="Arial" w:cs="Arial"/>
          <w:i/>
          <w:sz w:val="22"/>
          <w:szCs w:val="22"/>
        </w:rPr>
        <w:t>d</w:t>
      </w:r>
      <w:r w:rsidRPr="00332C4C">
        <w:rPr>
          <w:rFonts w:eastAsia="Arial" w:cs="Arial"/>
          <w:i/>
          <w:spacing w:val="2"/>
          <w:sz w:val="22"/>
          <w:szCs w:val="22"/>
        </w:rPr>
        <w:t xml:space="preserve"> </w:t>
      </w:r>
      <w:r w:rsidRPr="00332C4C">
        <w:rPr>
          <w:rFonts w:eastAsia="Arial" w:cs="Arial"/>
          <w:i/>
          <w:sz w:val="22"/>
          <w:szCs w:val="22"/>
        </w:rPr>
        <w:t>c</w:t>
      </w:r>
      <w:r w:rsidRPr="00332C4C">
        <w:rPr>
          <w:rFonts w:eastAsia="Arial" w:cs="Arial"/>
          <w:i/>
          <w:spacing w:val="1"/>
          <w:sz w:val="22"/>
          <w:szCs w:val="22"/>
        </w:rPr>
        <w:t>u</w:t>
      </w:r>
      <w:r w:rsidRPr="00332C4C">
        <w:rPr>
          <w:rFonts w:eastAsia="Arial" w:cs="Arial"/>
          <w:i/>
          <w:spacing w:val="-1"/>
          <w:sz w:val="22"/>
          <w:szCs w:val="22"/>
        </w:rPr>
        <w:t>e</w:t>
      </w:r>
      <w:r w:rsidRPr="00332C4C">
        <w:rPr>
          <w:rFonts w:eastAsia="Arial" w:cs="Arial"/>
          <w:i/>
          <w:spacing w:val="1"/>
          <w:sz w:val="22"/>
          <w:szCs w:val="22"/>
        </w:rPr>
        <w:t>n</w:t>
      </w:r>
      <w:r w:rsidRPr="00332C4C">
        <w:rPr>
          <w:rFonts w:eastAsia="Arial" w:cs="Arial"/>
          <w:i/>
          <w:sz w:val="22"/>
          <w:szCs w:val="22"/>
        </w:rPr>
        <w:t>te</w:t>
      </w:r>
      <w:r w:rsidRPr="00332C4C">
        <w:rPr>
          <w:rFonts w:eastAsia="Arial" w:cs="Arial"/>
          <w:i/>
          <w:spacing w:val="2"/>
          <w:sz w:val="22"/>
          <w:szCs w:val="22"/>
        </w:rPr>
        <w:t xml:space="preserve"> </w:t>
      </w:r>
      <w:r w:rsidRPr="00332C4C">
        <w:rPr>
          <w:rFonts w:eastAsia="Arial" w:cs="Arial"/>
          <w:i/>
          <w:spacing w:val="-2"/>
          <w:sz w:val="22"/>
          <w:szCs w:val="22"/>
        </w:rPr>
        <w:t>c</w:t>
      </w:r>
      <w:r w:rsidRPr="00332C4C">
        <w:rPr>
          <w:rFonts w:eastAsia="Arial" w:cs="Arial"/>
          <w:i/>
          <w:spacing w:val="1"/>
          <w:sz w:val="22"/>
          <w:szCs w:val="22"/>
        </w:rPr>
        <w:t>o</w:t>
      </w:r>
      <w:r w:rsidRPr="00332C4C">
        <w:rPr>
          <w:rFonts w:eastAsia="Arial" w:cs="Arial"/>
          <w:i/>
          <w:sz w:val="22"/>
          <w:szCs w:val="22"/>
        </w:rPr>
        <w:t>n</w:t>
      </w:r>
      <w:r w:rsidRPr="00332C4C">
        <w:rPr>
          <w:rFonts w:eastAsia="Arial" w:cs="Arial"/>
          <w:i/>
          <w:spacing w:val="3"/>
          <w:sz w:val="22"/>
          <w:szCs w:val="22"/>
        </w:rPr>
        <w:t xml:space="preserve"> f</w:t>
      </w:r>
      <w:r w:rsidRPr="00332C4C">
        <w:rPr>
          <w:rFonts w:eastAsia="Arial" w:cs="Arial"/>
          <w:i/>
          <w:spacing w:val="-1"/>
          <w:sz w:val="22"/>
          <w:szCs w:val="22"/>
        </w:rPr>
        <w:t>a</w:t>
      </w:r>
      <w:r w:rsidRPr="00332C4C">
        <w:rPr>
          <w:rFonts w:eastAsia="Arial" w:cs="Arial"/>
          <w:i/>
          <w:sz w:val="22"/>
          <w:szCs w:val="22"/>
        </w:rPr>
        <w:t>c</w:t>
      </w:r>
      <w:r w:rsidRPr="00332C4C">
        <w:rPr>
          <w:rFonts w:eastAsia="Arial" w:cs="Arial"/>
          <w:i/>
          <w:spacing w:val="1"/>
          <w:sz w:val="22"/>
          <w:szCs w:val="22"/>
        </w:rPr>
        <w:t>u</w:t>
      </w:r>
      <w:r w:rsidRPr="00332C4C">
        <w:rPr>
          <w:rFonts w:eastAsia="Arial" w:cs="Arial"/>
          <w:i/>
          <w:sz w:val="22"/>
          <w:szCs w:val="22"/>
        </w:rPr>
        <w:t>lt</w:t>
      </w:r>
      <w:r w:rsidRPr="00332C4C">
        <w:rPr>
          <w:rFonts w:eastAsia="Arial" w:cs="Arial"/>
          <w:i/>
          <w:spacing w:val="1"/>
          <w:sz w:val="22"/>
          <w:szCs w:val="22"/>
        </w:rPr>
        <w:t>a</w:t>
      </w:r>
      <w:r w:rsidRPr="00332C4C">
        <w:rPr>
          <w:rFonts w:eastAsia="Arial" w:cs="Arial"/>
          <w:i/>
          <w:spacing w:val="-1"/>
          <w:sz w:val="22"/>
          <w:szCs w:val="22"/>
        </w:rPr>
        <w:t>d</w:t>
      </w:r>
      <w:r w:rsidRPr="00332C4C">
        <w:rPr>
          <w:rFonts w:eastAsia="Arial" w:cs="Arial"/>
          <w:i/>
          <w:spacing w:val="1"/>
          <w:sz w:val="22"/>
          <w:szCs w:val="22"/>
        </w:rPr>
        <w:t>e</w:t>
      </w:r>
      <w:r w:rsidRPr="00332C4C">
        <w:rPr>
          <w:rFonts w:eastAsia="Arial" w:cs="Arial"/>
          <w:i/>
          <w:sz w:val="22"/>
          <w:szCs w:val="22"/>
        </w:rPr>
        <w:t>s</w:t>
      </w:r>
      <w:r w:rsidRPr="00332C4C">
        <w:rPr>
          <w:rFonts w:eastAsia="Arial" w:cs="Arial"/>
          <w:i/>
          <w:spacing w:val="1"/>
          <w:sz w:val="22"/>
          <w:szCs w:val="22"/>
        </w:rPr>
        <w:t xml:space="preserve"> pa</w:t>
      </w:r>
      <w:r w:rsidRPr="00332C4C">
        <w:rPr>
          <w:rFonts w:eastAsia="Arial" w:cs="Arial"/>
          <w:i/>
          <w:sz w:val="22"/>
          <w:szCs w:val="22"/>
        </w:rPr>
        <w:t>ra</w:t>
      </w:r>
      <w:r w:rsidRPr="00332C4C">
        <w:rPr>
          <w:rFonts w:eastAsia="Arial" w:cs="Arial"/>
          <w:i/>
          <w:spacing w:val="1"/>
          <w:sz w:val="22"/>
          <w:szCs w:val="22"/>
        </w:rPr>
        <w:t xml:space="preserve"> </w:t>
      </w:r>
      <w:r w:rsidRPr="00332C4C">
        <w:rPr>
          <w:rFonts w:eastAsia="Arial" w:cs="Arial"/>
          <w:i/>
          <w:spacing w:val="-1"/>
          <w:sz w:val="22"/>
          <w:szCs w:val="22"/>
        </w:rPr>
        <w:t>p</w:t>
      </w:r>
      <w:r w:rsidRPr="00332C4C">
        <w:rPr>
          <w:rFonts w:eastAsia="Arial" w:cs="Arial"/>
          <w:i/>
          <w:spacing w:val="1"/>
          <w:sz w:val="22"/>
          <w:szCs w:val="22"/>
        </w:rPr>
        <w:t>o</w:t>
      </w:r>
      <w:r w:rsidRPr="00332C4C">
        <w:rPr>
          <w:rFonts w:eastAsia="Arial" w:cs="Arial"/>
          <w:i/>
          <w:sz w:val="22"/>
          <w:szCs w:val="22"/>
        </w:rPr>
        <w:t>s</w:t>
      </w:r>
      <w:r w:rsidRPr="00332C4C">
        <w:rPr>
          <w:rFonts w:eastAsia="Arial" w:cs="Arial"/>
          <w:i/>
          <w:spacing w:val="-1"/>
          <w:sz w:val="22"/>
          <w:szCs w:val="22"/>
        </w:rPr>
        <w:t>e</w:t>
      </w:r>
      <w:r w:rsidRPr="00332C4C">
        <w:rPr>
          <w:rFonts w:eastAsia="Arial" w:cs="Arial"/>
          <w:i/>
          <w:spacing w:val="1"/>
          <w:sz w:val="22"/>
          <w:szCs w:val="22"/>
        </w:rPr>
        <w:t>e</w:t>
      </w:r>
      <w:r w:rsidRPr="00332C4C">
        <w:rPr>
          <w:rFonts w:eastAsia="Arial" w:cs="Arial"/>
          <w:i/>
          <w:sz w:val="22"/>
          <w:szCs w:val="22"/>
        </w:rPr>
        <w:t xml:space="preserve">r </w:t>
      </w:r>
      <w:r w:rsidRPr="00332C4C">
        <w:rPr>
          <w:rFonts w:eastAsia="Arial" w:cs="Arial"/>
          <w:i/>
          <w:spacing w:val="1"/>
          <w:sz w:val="22"/>
          <w:szCs w:val="22"/>
        </w:rPr>
        <w:t>d</w:t>
      </w:r>
      <w:r w:rsidRPr="00332C4C">
        <w:rPr>
          <w:rFonts w:eastAsia="Arial" w:cs="Arial"/>
          <w:i/>
          <w:sz w:val="22"/>
          <w:szCs w:val="22"/>
        </w:rPr>
        <w:t>icha</w:t>
      </w:r>
      <w:r w:rsidRPr="00332C4C">
        <w:rPr>
          <w:rFonts w:eastAsia="Arial" w:cs="Arial"/>
          <w:i/>
          <w:spacing w:val="2"/>
          <w:sz w:val="22"/>
          <w:szCs w:val="22"/>
        </w:rPr>
        <w:t xml:space="preserve"> </w:t>
      </w:r>
      <w:r w:rsidRPr="00332C4C">
        <w:rPr>
          <w:rFonts w:eastAsia="Arial" w:cs="Arial"/>
          <w:i/>
          <w:sz w:val="22"/>
          <w:szCs w:val="22"/>
        </w:rPr>
        <w:t>i</w:t>
      </w:r>
      <w:r w:rsidRPr="00332C4C">
        <w:rPr>
          <w:rFonts w:eastAsia="Arial" w:cs="Arial"/>
          <w:i/>
          <w:spacing w:val="-2"/>
          <w:sz w:val="22"/>
          <w:szCs w:val="22"/>
        </w:rPr>
        <w:t>n</w:t>
      </w:r>
      <w:r w:rsidRPr="00332C4C">
        <w:rPr>
          <w:rFonts w:eastAsia="Arial" w:cs="Arial"/>
          <w:i/>
          <w:sz w:val="22"/>
          <w:szCs w:val="22"/>
        </w:rPr>
        <w:t>f</w:t>
      </w:r>
      <w:r w:rsidRPr="00332C4C">
        <w:rPr>
          <w:rFonts w:eastAsia="Arial" w:cs="Arial"/>
          <w:i/>
          <w:spacing w:val="1"/>
          <w:sz w:val="22"/>
          <w:szCs w:val="22"/>
        </w:rPr>
        <w:t>o</w:t>
      </w:r>
      <w:r w:rsidRPr="00332C4C">
        <w:rPr>
          <w:rFonts w:eastAsia="Arial" w:cs="Arial"/>
          <w:i/>
          <w:sz w:val="22"/>
          <w:szCs w:val="22"/>
        </w:rPr>
        <w:t>r</w:t>
      </w:r>
      <w:r w:rsidRPr="00332C4C">
        <w:rPr>
          <w:rFonts w:eastAsia="Arial" w:cs="Arial"/>
          <w:i/>
          <w:spacing w:val="1"/>
          <w:sz w:val="22"/>
          <w:szCs w:val="22"/>
        </w:rPr>
        <w:t>ma</w:t>
      </w:r>
      <w:r w:rsidRPr="00332C4C">
        <w:rPr>
          <w:rFonts w:eastAsia="Arial" w:cs="Arial"/>
          <w:i/>
          <w:sz w:val="22"/>
          <w:szCs w:val="22"/>
        </w:rPr>
        <w:t>ci</w:t>
      </w:r>
      <w:r w:rsidRPr="00332C4C">
        <w:rPr>
          <w:rFonts w:eastAsia="Arial" w:cs="Arial"/>
          <w:i/>
          <w:spacing w:val="-2"/>
          <w:sz w:val="22"/>
          <w:szCs w:val="22"/>
        </w:rPr>
        <w:t>ó</w:t>
      </w:r>
      <w:r w:rsidRPr="00332C4C">
        <w:rPr>
          <w:rFonts w:eastAsia="Arial" w:cs="Arial"/>
          <w:i/>
          <w:spacing w:val="1"/>
          <w:sz w:val="22"/>
          <w:szCs w:val="22"/>
        </w:rPr>
        <w:t>n</w:t>
      </w:r>
      <w:r w:rsidRPr="00332C4C">
        <w:rPr>
          <w:rFonts w:eastAsia="Arial" w:cs="Arial"/>
          <w:i/>
          <w:sz w:val="22"/>
          <w:szCs w:val="22"/>
        </w:rPr>
        <w:t>.</w:t>
      </w:r>
      <w:r w:rsidRPr="00332C4C">
        <w:rPr>
          <w:rFonts w:eastAsia="Arial" w:cs="Arial"/>
          <w:i/>
          <w:spacing w:val="2"/>
          <w:sz w:val="22"/>
          <w:szCs w:val="22"/>
        </w:rPr>
        <w:t xml:space="preserve"> </w:t>
      </w:r>
      <w:r w:rsidRPr="00332C4C">
        <w:rPr>
          <w:rFonts w:eastAsia="Arial" w:cs="Arial"/>
          <w:i/>
          <w:spacing w:val="-2"/>
          <w:sz w:val="22"/>
          <w:szCs w:val="22"/>
        </w:rPr>
        <w:t>E</w:t>
      </w:r>
      <w:r w:rsidRPr="00332C4C">
        <w:rPr>
          <w:rFonts w:eastAsia="Arial" w:cs="Arial"/>
          <w:i/>
          <w:sz w:val="22"/>
          <w:szCs w:val="22"/>
        </w:rPr>
        <w:t>n</w:t>
      </w:r>
      <w:r w:rsidRPr="00332C4C">
        <w:rPr>
          <w:rFonts w:eastAsia="Arial" w:cs="Arial"/>
          <w:i/>
          <w:spacing w:val="2"/>
          <w:sz w:val="22"/>
          <w:szCs w:val="22"/>
        </w:rPr>
        <w:t xml:space="preserve"> </w:t>
      </w:r>
      <w:r w:rsidRPr="00332C4C">
        <w:rPr>
          <w:rFonts w:eastAsia="Arial" w:cs="Arial"/>
          <w:i/>
          <w:spacing w:val="1"/>
          <w:sz w:val="22"/>
          <w:szCs w:val="22"/>
        </w:rPr>
        <w:t>e</w:t>
      </w:r>
      <w:r w:rsidRPr="00332C4C">
        <w:rPr>
          <w:rFonts w:eastAsia="Arial" w:cs="Arial"/>
          <w:i/>
          <w:sz w:val="22"/>
          <w:szCs w:val="22"/>
        </w:rPr>
        <w:t>ste</w:t>
      </w:r>
      <w:r w:rsidRPr="00332C4C">
        <w:rPr>
          <w:rFonts w:eastAsia="Arial" w:cs="Arial"/>
          <w:i/>
          <w:spacing w:val="2"/>
          <w:sz w:val="22"/>
          <w:szCs w:val="22"/>
        </w:rPr>
        <w:t xml:space="preserve"> </w:t>
      </w:r>
      <w:r w:rsidRPr="00332C4C">
        <w:rPr>
          <w:rFonts w:eastAsia="Arial" w:cs="Arial"/>
          <w:i/>
          <w:sz w:val="22"/>
          <w:szCs w:val="22"/>
        </w:rPr>
        <w:t>s</w:t>
      </w:r>
      <w:r w:rsidRPr="00332C4C">
        <w:rPr>
          <w:rFonts w:eastAsia="Arial" w:cs="Arial"/>
          <w:i/>
          <w:spacing w:val="-1"/>
          <w:sz w:val="22"/>
          <w:szCs w:val="22"/>
        </w:rPr>
        <w:t>e</w:t>
      </w:r>
      <w:r w:rsidRPr="00332C4C">
        <w:rPr>
          <w:rFonts w:eastAsia="Arial" w:cs="Arial"/>
          <w:i/>
          <w:spacing w:val="1"/>
          <w:sz w:val="22"/>
          <w:szCs w:val="22"/>
        </w:rPr>
        <w:t>n</w:t>
      </w:r>
      <w:r w:rsidRPr="00332C4C">
        <w:rPr>
          <w:rFonts w:eastAsia="Arial" w:cs="Arial"/>
          <w:i/>
          <w:sz w:val="22"/>
          <w:szCs w:val="22"/>
        </w:rPr>
        <w:t>ti</w:t>
      </w:r>
      <w:r w:rsidRPr="00332C4C">
        <w:rPr>
          <w:rFonts w:eastAsia="Arial" w:cs="Arial"/>
          <w:i/>
          <w:spacing w:val="1"/>
          <w:sz w:val="22"/>
          <w:szCs w:val="22"/>
        </w:rPr>
        <w:t>d</w:t>
      </w:r>
      <w:r w:rsidRPr="00332C4C">
        <w:rPr>
          <w:rFonts w:eastAsia="Arial" w:cs="Arial"/>
          <w:i/>
          <w:spacing w:val="-1"/>
          <w:sz w:val="22"/>
          <w:szCs w:val="22"/>
        </w:rPr>
        <w:t>o</w:t>
      </w:r>
      <w:r w:rsidRPr="00332C4C">
        <w:rPr>
          <w:rFonts w:eastAsia="Arial" w:cs="Arial"/>
          <w:i/>
          <w:sz w:val="22"/>
          <w:szCs w:val="22"/>
        </w:rPr>
        <w:t>,</w:t>
      </w:r>
      <w:r w:rsidRPr="00332C4C">
        <w:rPr>
          <w:rFonts w:eastAsia="Arial" w:cs="Arial"/>
          <w:i/>
          <w:spacing w:val="2"/>
          <w:sz w:val="22"/>
          <w:szCs w:val="22"/>
        </w:rPr>
        <w:t xml:space="preserve"> </w:t>
      </w:r>
      <w:r w:rsidRPr="00332C4C">
        <w:rPr>
          <w:rFonts w:eastAsia="Arial" w:cs="Arial"/>
          <w:i/>
          <w:spacing w:val="-3"/>
          <w:sz w:val="22"/>
          <w:szCs w:val="22"/>
        </w:rPr>
        <w:t>l</w:t>
      </w:r>
      <w:r w:rsidRPr="00332C4C">
        <w:rPr>
          <w:rFonts w:eastAsia="Arial" w:cs="Arial"/>
          <w:i/>
          <w:sz w:val="22"/>
          <w:szCs w:val="22"/>
        </w:rPr>
        <w:t>a in</w:t>
      </w:r>
      <w:r w:rsidRPr="00332C4C">
        <w:rPr>
          <w:rFonts w:eastAsia="Arial" w:cs="Arial"/>
          <w:i/>
          <w:spacing w:val="1"/>
          <w:sz w:val="22"/>
          <w:szCs w:val="22"/>
        </w:rPr>
        <w:t>e</w:t>
      </w:r>
      <w:r w:rsidRPr="00332C4C">
        <w:rPr>
          <w:rFonts w:eastAsia="Arial" w:cs="Arial"/>
          <w:i/>
          <w:spacing w:val="-2"/>
          <w:sz w:val="22"/>
          <w:szCs w:val="22"/>
        </w:rPr>
        <w:t>x</w:t>
      </w:r>
      <w:r w:rsidRPr="00332C4C">
        <w:rPr>
          <w:rFonts w:eastAsia="Arial" w:cs="Arial"/>
          <w:i/>
          <w:sz w:val="22"/>
          <w:szCs w:val="22"/>
        </w:rPr>
        <w:t>ist</w:t>
      </w:r>
      <w:r w:rsidRPr="00332C4C">
        <w:rPr>
          <w:rFonts w:eastAsia="Arial" w:cs="Arial"/>
          <w:i/>
          <w:spacing w:val="1"/>
          <w:sz w:val="22"/>
          <w:szCs w:val="22"/>
        </w:rPr>
        <w:t>en</w:t>
      </w:r>
      <w:r w:rsidRPr="00332C4C">
        <w:rPr>
          <w:rFonts w:eastAsia="Arial" w:cs="Arial"/>
          <w:i/>
          <w:sz w:val="22"/>
          <w:szCs w:val="22"/>
        </w:rPr>
        <w:t>cia</w:t>
      </w:r>
      <w:r w:rsidRPr="00332C4C">
        <w:rPr>
          <w:rFonts w:eastAsia="Arial" w:cs="Arial"/>
          <w:i/>
          <w:spacing w:val="51"/>
          <w:sz w:val="22"/>
          <w:szCs w:val="22"/>
        </w:rPr>
        <w:t xml:space="preserve"> </w:t>
      </w:r>
      <w:r w:rsidRPr="00332C4C">
        <w:rPr>
          <w:rFonts w:eastAsia="Arial" w:cs="Arial"/>
          <w:i/>
          <w:spacing w:val="1"/>
          <w:sz w:val="22"/>
          <w:szCs w:val="22"/>
        </w:rPr>
        <w:t>e</w:t>
      </w:r>
      <w:r w:rsidRPr="00332C4C">
        <w:rPr>
          <w:rFonts w:eastAsia="Arial" w:cs="Arial"/>
          <w:i/>
          <w:sz w:val="22"/>
          <w:szCs w:val="22"/>
        </w:rPr>
        <w:t>s</w:t>
      </w:r>
      <w:r w:rsidRPr="00332C4C">
        <w:rPr>
          <w:rFonts w:eastAsia="Arial" w:cs="Arial"/>
          <w:i/>
          <w:spacing w:val="50"/>
          <w:sz w:val="22"/>
          <w:szCs w:val="22"/>
        </w:rPr>
        <w:t xml:space="preserve"> </w:t>
      </w:r>
      <w:r w:rsidRPr="00332C4C">
        <w:rPr>
          <w:rFonts w:eastAsia="Arial" w:cs="Arial"/>
          <w:i/>
          <w:spacing w:val="-1"/>
          <w:sz w:val="22"/>
          <w:szCs w:val="22"/>
        </w:rPr>
        <w:t>u</w:t>
      </w:r>
      <w:r w:rsidRPr="00332C4C">
        <w:rPr>
          <w:rFonts w:eastAsia="Arial" w:cs="Arial"/>
          <w:i/>
          <w:spacing w:val="1"/>
          <w:sz w:val="22"/>
          <w:szCs w:val="22"/>
        </w:rPr>
        <w:t>n</w:t>
      </w:r>
      <w:r w:rsidRPr="00332C4C">
        <w:rPr>
          <w:rFonts w:eastAsia="Arial" w:cs="Arial"/>
          <w:i/>
          <w:sz w:val="22"/>
          <w:szCs w:val="22"/>
        </w:rPr>
        <w:t>a</w:t>
      </w:r>
      <w:r w:rsidRPr="00332C4C">
        <w:rPr>
          <w:rFonts w:eastAsia="Arial" w:cs="Arial"/>
          <w:i/>
          <w:spacing w:val="51"/>
          <w:sz w:val="22"/>
          <w:szCs w:val="22"/>
        </w:rPr>
        <w:t xml:space="preserve"> </w:t>
      </w:r>
      <w:r w:rsidRPr="00332C4C">
        <w:rPr>
          <w:rFonts w:eastAsia="Arial" w:cs="Arial"/>
          <w:i/>
          <w:spacing w:val="-2"/>
          <w:sz w:val="22"/>
          <w:szCs w:val="22"/>
        </w:rPr>
        <w:t>c</w:t>
      </w:r>
      <w:r w:rsidRPr="00332C4C">
        <w:rPr>
          <w:rFonts w:eastAsia="Arial" w:cs="Arial"/>
          <w:i/>
          <w:spacing w:val="1"/>
          <w:sz w:val="22"/>
          <w:szCs w:val="22"/>
        </w:rPr>
        <w:t>a</w:t>
      </w:r>
      <w:r w:rsidRPr="00332C4C">
        <w:rPr>
          <w:rFonts w:eastAsia="Arial" w:cs="Arial"/>
          <w:i/>
          <w:sz w:val="22"/>
          <w:szCs w:val="22"/>
        </w:rPr>
        <w:t>l</w:t>
      </w:r>
      <w:r w:rsidRPr="00332C4C">
        <w:rPr>
          <w:rFonts w:eastAsia="Arial" w:cs="Arial"/>
          <w:i/>
          <w:spacing w:val="-1"/>
          <w:sz w:val="22"/>
          <w:szCs w:val="22"/>
        </w:rPr>
        <w:t>i</w:t>
      </w:r>
      <w:r w:rsidRPr="00332C4C">
        <w:rPr>
          <w:rFonts w:eastAsia="Arial" w:cs="Arial"/>
          <w:i/>
          <w:spacing w:val="1"/>
          <w:sz w:val="22"/>
          <w:szCs w:val="22"/>
        </w:rPr>
        <w:t>da</w:t>
      </w:r>
      <w:r w:rsidRPr="00332C4C">
        <w:rPr>
          <w:rFonts w:eastAsia="Arial" w:cs="Arial"/>
          <w:i/>
          <w:sz w:val="22"/>
          <w:szCs w:val="22"/>
        </w:rPr>
        <w:t>d</w:t>
      </w:r>
      <w:r w:rsidRPr="00332C4C">
        <w:rPr>
          <w:rFonts w:eastAsia="Arial" w:cs="Arial"/>
          <w:i/>
          <w:spacing w:val="51"/>
          <w:sz w:val="22"/>
          <w:szCs w:val="22"/>
        </w:rPr>
        <w:t xml:space="preserve"> </w:t>
      </w:r>
      <w:r w:rsidRPr="00332C4C">
        <w:rPr>
          <w:rFonts w:eastAsia="Arial" w:cs="Arial"/>
          <w:i/>
          <w:spacing w:val="-1"/>
          <w:sz w:val="22"/>
          <w:szCs w:val="22"/>
        </w:rPr>
        <w:t>q</w:t>
      </w:r>
      <w:r w:rsidRPr="00332C4C">
        <w:rPr>
          <w:rFonts w:eastAsia="Arial" w:cs="Arial"/>
          <w:i/>
          <w:spacing w:val="1"/>
          <w:sz w:val="22"/>
          <w:szCs w:val="22"/>
        </w:rPr>
        <w:t>u</w:t>
      </w:r>
      <w:r w:rsidRPr="00332C4C">
        <w:rPr>
          <w:rFonts w:eastAsia="Arial" w:cs="Arial"/>
          <w:i/>
          <w:sz w:val="22"/>
          <w:szCs w:val="22"/>
        </w:rPr>
        <w:t>e</w:t>
      </w:r>
      <w:r w:rsidRPr="00332C4C">
        <w:rPr>
          <w:rFonts w:eastAsia="Arial" w:cs="Arial"/>
          <w:i/>
          <w:spacing w:val="51"/>
          <w:sz w:val="22"/>
          <w:szCs w:val="22"/>
        </w:rPr>
        <w:t xml:space="preserve"> </w:t>
      </w:r>
      <w:r w:rsidRPr="00332C4C">
        <w:rPr>
          <w:rFonts w:eastAsia="Arial" w:cs="Arial"/>
          <w:i/>
          <w:spacing w:val="-2"/>
          <w:sz w:val="22"/>
          <w:szCs w:val="22"/>
        </w:rPr>
        <w:t>s</w:t>
      </w:r>
      <w:r w:rsidRPr="00332C4C">
        <w:rPr>
          <w:rFonts w:eastAsia="Arial" w:cs="Arial"/>
          <w:i/>
          <w:sz w:val="22"/>
          <w:szCs w:val="22"/>
        </w:rPr>
        <w:t>e</w:t>
      </w:r>
      <w:r w:rsidRPr="00332C4C">
        <w:rPr>
          <w:rFonts w:eastAsia="Arial" w:cs="Arial"/>
          <w:i/>
          <w:spacing w:val="51"/>
          <w:sz w:val="22"/>
          <w:szCs w:val="22"/>
        </w:rPr>
        <w:t xml:space="preserve"> </w:t>
      </w:r>
      <w:r w:rsidRPr="00332C4C">
        <w:rPr>
          <w:rFonts w:eastAsia="Arial" w:cs="Arial"/>
          <w:i/>
          <w:spacing w:val="1"/>
          <w:sz w:val="22"/>
          <w:szCs w:val="22"/>
        </w:rPr>
        <w:t>a</w:t>
      </w:r>
      <w:r w:rsidRPr="00332C4C">
        <w:rPr>
          <w:rFonts w:eastAsia="Arial" w:cs="Arial"/>
          <w:i/>
          <w:sz w:val="22"/>
          <w:szCs w:val="22"/>
        </w:rPr>
        <w:t>tr</w:t>
      </w:r>
      <w:r w:rsidRPr="00332C4C">
        <w:rPr>
          <w:rFonts w:eastAsia="Arial" w:cs="Arial"/>
          <w:i/>
          <w:spacing w:val="-1"/>
          <w:sz w:val="22"/>
          <w:szCs w:val="22"/>
        </w:rPr>
        <w:t>ib</w:t>
      </w:r>
      <w:r w:rsidRPr="00332C4C">
        <w:rPr>
          <w:rFonts w:eastAsia="Arial" w:cs="Arial"/>
          <w:i/>
          <w:spacing w:val="1"/>
          <w:sz w:val="22"/>
          <w:szCs w:val="22"/>
        </w:rPr>
        <w:t>u</w:t>
      </w:r>
      <w:r w:rsidRPr="00332C4C">
        <w:rPr>
          <w:rFonts w:eastAsia="Arial" w:cs="Arial"/>
          <w:i/>
          <w:spacing w:val="-2"/>
          <w:sz w:val="22"/>
          <w:szCs w:val="22"/>
        </w:rPr>
        <w:t>y</w:t>
      </w:r>
      <w:r w:rsidRPr="00332C4C">
        <w:rPr>
          <w:rFonts w:eastAsia="Arial" w:cs="Arial"/>
          <w:i/>
          <w:sz w:val="22"/>
          <w:szCs w:val="22"/>
        </w:rPr>
        <w:t>e</w:t>
      </w:r>
      <w:r w:rsidRPr="00332C4C">
        <w:rPr>
          <w:rFonts w:eastAsia="Arial" w:cs="Arial"/>
          <w:i/>
          <w:spacing w:val="51"/>
          <w:sz w:val="22"/>
          <w:szCs w:val="22"/>
        </w:rPr>
        <w:t xml:space="preserve"> </w:t>
      </w:r>
      <w:r w:rsidRPr="00332C4C">
        <w:rPr>
          <w:rFonts w:eastAsia="Arial" w:cs="Arial"/>
          <w:i/>
          <w:sz w:val="22"/>
          <w:szCs w:val="22"/>
        </w:rPr>
        <w:t>a</w:t>
      </w:r>
      <w:r w:rsidRPr="00332C4C">
        <w:rPr>
          <w:rFonts w:eastAsia="Arial" w:cs="Arial"/>
          <w:i/>
          <w:spacing w:val="51"/>
          <w:sz w:val="22"/>
          <w:szCs w:val="22"/>
        </w:rPr>
        <w:t xml:space="preserve"> </w:t>
      </w:r>
      <w:r w:rsidRPr="00332C4C">
        <w:rPr>
          <w:rFonts w:eastAsia="Arial" w:cs="Arial"/>
          <w:i/>
          <w:sz w:val="22"/>
          <w:szCs w:val="22"/>
        </w:rPr>
        <w:t>la</w:t>
      </w:r>
      <w:r w:rsidRPr="00332C4C">
        <w:rPr>
          <w:rFonts w:eastAsia="Arial" w:cs="Arial"/>
          <w:i/>
          <w:spacing w:val="51"/>
          <w:sz w:val="22"/>
          <w:szCs w:val="22"/>
        </w:rPr>
        <w:t xml:space="preserve"> </w:t>
      </w:r>
      <w:r w:rsidRPr="00332C4C">
        <w:rPr>
          <w:rFonts w:eastAsia="Arial" w:cs="Arial"/>
          <w:i/>
          <w:sz w:val="22"/>
          <w:szCs w:val="22"/>
        </w:rPr>
        <w:t>i</w:t>
      </w:r>
      <w:r w:rsidRPr="00332C4C">
        <w:rPr>
          <w:rFonts w:eastAsia="Arial" w:cs="Arial"/>
          <w:i/>
          <w:spacing w:val="-2"/>
          <w:sz w:val="22"/>
          <w:szCs w:val="22"/>
        </w:rPr>
        <w:t>n</w:t>
      </w:r>
      <w:r w:rsidRPr="00332C4C">
        <w:rPr>
          <w:rFonts w:eastAsia="Arial" w:cs="Arial"/>
          <w:i/>
          <w:sz w:val="22"/>
          <w:szCs w:val="22"/>
        </w:rPr>
        <w:t>f</w:t>
      </w:r>
      <w:r w:rsidRPr="00332C4C">
        <w:rPr>
          <w:rFonts w:eastAsia="Arial" w:cs="Arial"/>
          <w:i/>
          <w:spacing w:val="1"/>
          <w:sz w:val="22"/>
          <w:szCs w:val="22"/>
        </w:rPr>
        <w:t>o</w:t>
      </w:r>
      <w:r w:rsidRPr="00332C4C">
        <w:rPr>
          <w:rFonts w:eastAsia="Arial" w:cs="Arial"/>
          <w:i/>
          <w:sz w:val="22"/>
          <w:szCs w:val="22"/>
        </w:rPr>
        <w:t>r</w:t>
      </w:r>
      <w:r w:rsidRPr="00332C4C">
        <w:rPr>
          <w:rFonts w:eastAsia="Arial" w:cs="Arial"/>
          <w:i/>
          <w:spacing w:val="-1"/>
          <w:sz w:val="22"/>
          <w:szCs w:val="22"/>
        </w:rPr>
        <w:t>m</w:t>
      </w:r>
      <w:r w:rsidRPr="00332C4C">
        <w:rPr>
          <w:rFonts w:eastAsia="Arial" w:cs="Arial"/>
          <w:i/>
          <w:spacing w:val="1"/>
          <w:sz w:val="22"/>
          <w:szCs w:val="22"/>
        </w:rPr>
        <w:t>a</w:t>
      </w:r>
      <w:r w:rsidRPr="00332C4C">
        <w:rPr>
          <w:rFonts w:eastAsia="Arial" w:cs="Arial"/>
          <w:i/>
          <w:sz w:val="22"/>
          <w:szCs w:val="22"/>
        </w:rPr>
        <w:t>ción</w:t>
      </w:r>
      <w:r w:rsidRPr="00332C4C">
        <w:rPr>
          <w:rFonts w:eastAsia="Arial" w:cs="Arial"/>
          <w:i/>
          <w:spacing w:val="51"/>
          <w:sz w:val="22"/>
          <w:szCs w:val="22"/>
        </w:rPr>
        <w:t xml:space="preserve"> </w:t>
      </w:r>
      <w:r w:rsidRPr="00332C4C">
        <w:rPr>
          <w:rFonts w:eastAsia="Arial" w:cs="Arial"/>
          <w:i/>
          <w:spacing w:val="-2"/>
          <w:sz w:val="22"/>
          <w:szCs w:val="22"/>
        </w:rPr>
        <w:t>s</w:t>
      </w:r>
      <w:r w:rsidRPr="00332C4C">
        <w:rPr>
          <w:rFonts w:eastAsia="Arial" w:cs="Arial"/>
          <w:i/>
          <w:spacing w:val="-1"/>
          <w:sz w:val="22"/>
          <w:szCs w:val="22"/>
        </w:rPr>
        <w:t>o</w:t>
      </w:r>
      <w:r w:rsidRPr="00332C4C">
        <w:rPr>
          <w:rFonts w:eastAsia="Arial" w:cs="Arial"/>
          <w:i/>
          <w:sz w:val="22"/>
          <w:szCs w:val="22"/>
        </w:rPr>
        <w:t>l</w:t>
      </w:r>
      <w:r w:rsidRPr="00332C4C">
        <w:rPr>
          <w:rFonts w:eastAsia="Arial" w:cs="Arial"/>
          <w:i/>
          <w:spacing w:val="-1"/>
          <w:sz w:val="22"/>
          <w:szCs w:val="22"/>
        </w:rPr>
        <w:t>i</w:t>
      </w:r>
      <w:r w:rsidRPr="00332C4C">
        <w:rPr>
          <w:rFonts w:eastAsia="Arial" w:cs="Arial"/>
          <w:i/>
          <w:sz w:val="22"/>
          <w:szCs w:val="22"/>
        </w:rPr>
        <w:t>cit</w:t>
      </w:r>
      <w:r w:rsidRPr="00332C4C">
        <w:rPr>
          <w:rFonts w:eastAsia="Arial" w:cs="Arial"/>
          <w:i/>
          <w:spacing w:val="1"/>
          <w:sz w:val="22"/>
          <w:szCs w:val="22"/>
        </w:rPr>
        <w:t>ada</w:t>
      </w:r>
      <w:r w:rsidRPr="00332C4C">
        <w:rPr>
          <w:rFonts w:eastAsia="Arial" w:cs="Arial"/>
          <w:i/>
          <w:sz w:val="22"/>
          <w:szCs w:val="22"/>
        </w:rPr>
        <w:t>.</w:t>
      </w:r>
      <w:r w:rsidRPr="00332C4C">
        <w:rPr>
          <w:rFonts w:eastAsia="Arial" w:cs="Arial"/>
          <w:i/>
          <w:spacing w:val="51"/>
          <w:sz w:val="22"/>
          <w:szCs w:val="22"/>
        </w:rPr>
        <w:t xml:space="preserve"> </w:t>
      </w:r>
      <w:r w:rsidRPr="00332C4C">
        <w:rPr>
          <w:rFonts w:eastAsia="Arial" w:cs="Arial"/>
          <w:i/>
          <w:spacing w:val="-2"/>
          <w:sz w:val="22"/>
          <w:szCs w:val="22"/>
        </w:rPr>
        <w:t>P</w:t>
      </w:r>
      <w:r w:rsidRPr="00332C4C">
        <w:rPr>
          <w:rFonts w:eastAsia="Arial" w:cs="Arial"/>
          <w:i/>
          <w:spacing w:val="1"/>
          <w:sz w:val="22"/>
          <w:szCs w:val="22"/>
        </w:rPr>
        <w:t>o</w:t>
      </w:r>
      <w:r w:rsidRPr="00332C4C">
        <w:rPr>
          <w:rFonts w:eastAsia="Arial" w:cs="Arial"/>
          <w:i/>
          <w:sz w:val="22"/>
          <w:szCs w:val="22"/>
        </w:rPr>
        <w:t>r</w:t>
      </w:r>
      <w:r w:rsidRPr="00332C4C">
        <w:rPr>
          <w:rFonts w:eastAsia="Arial" w:cs="Arial"/>
          <w:i/>
          <w:spacing w:val="50"/>
          <w:sz w:val="22"/>
          <w:szCs w:val="22"/>
        </w:rPr>
        <w:t xml:space="preserve"> </w:t>
      </w:r>
      <w:r w:rsidRPr="00332C4C">
        <w:rPr>
          <w:rFonts w:eastAsia="Arial" w:cs="Arial"/>
          <w:i/>
          <w:sz w:val="22"/>
          <w:szCs w:val="22"/>
        </w:rPr>
        <w:t xml:space="preserve">su </w:t>
      </w:r>
      <w:r w:rsidRPr="00332C4C">
        <w:rPr>
          <w:rFonts w:eastAsia="Arial" w:cs="Arial"/>
          <w:i/>
          <w:spacing w:val="1"/>
          <w:sz w:val="22"/>
          <w:szCs w:val="22"/>
        </w:rPr>
        <w:t>pa</w:t>
      </w:r>
      <w:r w:rsidRPr="00332C4C">
        <w:rPr>
          <w:rFonts w:eastAsia="Arial" w:cs="Arial"/>
          <w:i/>
          <w:sz w:val="22"/>
          <w:szCs w:val="22"/>
        </w:rPr>
        <w:t>rte,</w:t>
      </w:r>
      <w:r w:rsidRPr="00332C4C">
        <w:rPr>
          <w:rFonts w:eastAsia="Arial" w:cs="Arial"/>
          <w:i/>
          <w:spacing w:val="2"/>
          <w:sz w:val="22"/>
          <w:szCs w:val="22"/>
        </w:rPr>
        <w:t xml:space="preserve"> </w:t>
      </w:r>
      <w:r w:rsidRPr="00332C4C">
        <w:rPr>
          <w:rFonts w:eastAsia="Arial" w:cs="Arial"/>
          <w:i/>
          <w:sz w:val="22"/>
          <w:szCs w:val="22"/>
        </w:rPr>
        <w:t>la clas</w:t>
      </w:r>
      <w:r w:rsidRPr="00332C4C">
        <w:rPr>
          <w:rFonts w:eastAsia="Arial" w:cs="Arial"/>
          <w:i/>
          <w:spacing w:val="-3"/>
          <w:sz w:val="22"/>
          <w:szCs w:val="22"/>
        </w:rPr>
        <w:t>i</w:t>
      </w:r>
      <w:r w:rsidRPr="00332C4C">
        <w:rPr>
          <w:rFonts w:eastAsia="Arial" w:cs="Arial"/>
          <w:i/>
          <w:spacing w:val="3"/>
          <w:sz w:val="22"/>
          <w:szCs w:val="22"/>
        </w:rPr>
        <w:t>f</w:t>
      </w:r>
      <w:r w:rsidRPr="00332C4C">
        <w:rPr>
          <w:rFonts w:eastAsia="Arial" w:cs="Arial"/>
          <w:i/>
          <w:sz w:val="22"/>
          <w:szCs w:val="22"/>
        </w:rPr>
        <w:t>icaci</w:t>
      </w:r>
      <w:r w:rsidRPr="00332C4C">
        <w:rPr>
          <w:rFonts w:eastAsia="Arial" w:cs="Arial"/>
          <w:i/>
          <w:spacing w:val="1"/>
          <w:sz w:val="22"/>
          <w:szCs w:val="22"/>
        </w:rPr>
        <w:t>ó</w:t>
      </w:r>
      <w:r w:rsidRPr="00332C4C">
        <w:rPr>
          <w:rFonts w:eastAsia="Arial" w:cs="Arial"/>
          <w:i/>
          <w:sz w:val="22"/>
          <w:szCs w:val="22"/>
        </w:rPr>
        <w:t xml:space="preserve">n </w:t>
      </w:r>
      <w:r w:rsidRPr="00332C4C">
        <w:rPr>
          <w:rFonts w:eastAsia="Arial" w:cs="Arial"/>
          <w:i/>
          <w:spacing w:val="1"/>
          <w:sz w:val="22"/>
          <w:szCs w:val="22"/>
        </w:rPr>
        <w:t>e</w:t>
      </w:r>
      <w:r w:rsidRPr="00332C4C">
        <w:rPr>
          <w:rFonts w:eastAsia="Arial" w:cs="Arial"/>
          <w:i/>
          <w:sz w:val="22"/>
          <w:szCs w:val="22"/>
        </w:rPr>
        <w:t>s</w:t>
      </w:r>
      <w:r w:rsidRPr="00332C4C">
        <w:rPr>
          <w:rFonts w:eastAsia="Arial" w:cs="Arial"/>
          <w:i/>
          <w:spacing w:val="2"/>
          <w:sz w:val="22"/>
          <w:szCs w:val="22"/>
        </w:rPr>
        <w:t xml:space="preserve"> </w:t>
      </w:r>
      <w:r w:rsidRPr="00332C4C">
        <w:rPr>
          <w:rFonts w:eastAsia="Arial" w:cs="Arial"/>
          <w:i/>
          <w:spacing w:val="1"/>
          <w:sz w:val="22"/>
          <w:szCs w:val="22"/>
        </w:rPr>
        <w:t>u</w:t>
      </w:r>
      <w:r w:rsidRPr="00332C4C">
        <w:rPr>
          <w:rFonts w:eastAsia="Arial" w:cs="Arial"/>
          <w:i/>
          <w:spacing w:val="-1"/>
          <w:sz w:val="22"/>
          <w:szCs w:val="22"/>
        </w:rPr>
        <w:t>n</w:t>
      </w:r>
      <w:r w:rsidRPr="00332C4C">
        <w:rPr>
          <w:rFonts w:eastAsia="Arial" w:cs="Arial"/>
          <w:i/>
          <w:sz w:val="22"/>
          <w:szCs w:val="22"/>
        </w:rPr>
        <w:t>a</w:t>
      </w:r>
      <w:r w:rsidRPr="00332C4C">
        <w:rPr>
          <w:rFonts w:eastAsia="Arial" w:cs="Arial"/>
          <w:i/>
          <w:spacing w:val="2"/>
          <w:sz w:val="22"/>
          <w:szCs w:val="22"/>
        </w:rPr>
        <w:t xml:space="preserve"> </w:t>
      </w:r>
      <w:r w:rsidRPr="00332C4C">
        <w:rPr>
          <w:rFonts w:eastAsia="Arial" w:cs="Arial"/>
          <w:i/>
          <w:sz w:val="22"/>
          <w:szCs w:val="22"/>
        </w:rPr>
        <w:t>c</w:t>
      </w:r>
      <w:r w:rsidRPr="00332C4C">
        <w:rPr>
          <w:rFonts w:eastAsia="Arial" w:cs="Arial"/>
          <w:i/>
          <w:spacing w:val="1"/>
          <w:sz w:val="22"/>
          <w:szCs w:val="22"/>
        </w:rPr>
        <w:t>a</w:t>
      </w:r>
      <w:r w:rsidRPr="00332C4C">
        <w:rPr>
          <w:rFonts w:eastAsia="Arial" w:cs="Arial"/>
          <w:i/>
          <w:sz w:val="22"/>
          <w:szCs w:val="22"/>
        </w:rPr>
        <w:t>rac</w:t>
      </w:r>
      <w:r w:rsidRPr="00332C4C">
        <w:rPr>
          <w:rFonts w:eastAsia="Arial" w:cs="Arial"/>
          <w:i/>
          <w:spacing w:val="-2"/>
          <w:sz w:val="22"/>
          <w:szCs w:val="22"/>
        </w:rPr>
        <w:t>t</w:t>
      </w:r>
      <w:r w:rsidRPr="00332C4C">
        <w:rPr>
          <w:rFonts w:eastAsia="Arial" w:cs="Arial"/>
          <w:i/>
          <w:spacing w:val="1"/>
          <w:sz w:val="22"/>
          <w:szCs w:val="22"/>
        </w:rPr>
        <w:t>e</w:t>
      </w:r>
      <w:r w:rsidRPr="00332C4C">
        <w:rPr>
          <w:rFonts w:eastAsia="Arial" w:cs="Arial"/>
          <w:i/>
          <w:sz w:val="22"/>
          <w:szCs w:val="22"/>
        </w:rPr>
        <w:t>r</w:t>
      </w:r>
      <w:r w:rsidRPr="00332C4C">
        <w:rPr>
          <w:rFonts w:eastAsia="Arial" w:cs="Arial"/>
          <w:i/>
          <w:spacing w:val="-3"/>
          <w:sz w:val="22"/>
          <w:szCs w:val="22"/>
        </w:rPr>
        <w:t>í</w:t>
      </w:r>
      <w:r w:rsidRPr="00332C4C">
        <w:rPr>
          <w:rFonts w:eastAsia="Arial" w:cs="Arial"/>
          <w:i/>
          <w:sz w:val="22"/>
          <w:szCs w:val="22"/>
        </w:rPr>
        <w:t>stica</w:t>
      </w:r>
      <w:r w:rsidRPr="00332C4C">
        <w:rPr>
          <w:rFonts w:eastAsia="Arial" w:cs="Arial"/>
          <w:i/>
          <w:spacing w:val="2"/>
          <w:sz w:val="22"/>
          <w:szCs w:val="22"/>
        </w:rPr>
        <w:t xml:space="preserve"> </w:t>
      </w:r>
      <w:r w:rsidRPr="00332C4C">
        <w:rPr>
          <w:rFonts w:eastAsia="Arial" w:cs="Arial"/>
          <w:i/>
          <w:spacing w:val="-1"/>
          <w:sz w:val="22"/>
          <w:szCs w:val="22"/>
        </w:rPr>
        <w:t>q</w:t>
      </w:r>
      <w:r w:rsidRPr="00332C4C">
        <w:rPr>
          <w:rFonts w:eastAsia="Arial" w:cs="Arial"/>
          <w:i/>
          <w:spacing w:val="1"/>
          <w:sz w:val="22"/>
          <w:szCs w:val="22"/>
        </w:rPr>
        <w:t>u</w:t>
      </w:r>
      <w:r w:rsidRPr="00332C4C">
        <w:rPr>
          <w:rFonts w:eastAsia="Arial" w:cs="Arial"/>
          <w:i/>
          <w:sz w:val="22"/>
          <w:szCs w:val="22"/>
        </w:rPr>
        <w:t>e</w:t>
      </w:r>
      <w:r w:rsidRPr="00332C4C">
        <w:rPr>
          <w:rFonts w:eastAsia="Arial" w:cs="Arial"/>
          <w:i/>
          <w:spacing w:val="2"/>
          <w:sz w:val="22"/>
          <w:szCs w:val="22"/>
        </w:rPr>
        <w:t xml:space="preserve"> </w:t>
      </w:r>
      <w:r w:rsidRPr="00332C4C">
        <w:rPr>
          <w:rFonts w:eastAsia="Arial" w:cs="Arial"/>
          <w:i/>
          <w:spacing w:val="1"/>
          <w:sz w:val="22"/>
          <w:szCs w:val="22"/>
        </w:rPr>
        <w:t>ad</w:t>
      </w:r>
      <w:r w:rsidRPr="00332C4C">
        <w:rPr>
          <w:rFonts w:eastAsia="Arial" w:cs="Arial"/>
          <w:i/>
          <w:spacing w:val="-1"/>
          <w:sz w:val="22"/>
          <w:szCs w:val="22"/>
        </w:rPr>
        <w:t>q</w:t>
      </w:r>
      <w:r w:rsidRPr="00332C4C">
        <w:rPr>
          <w:rFonts w:eastAsia="Arial" w:cs="Arial"/>
          <w:i/>
          <w:spacing w:val="1"/>
          <w:sz w:val="22"/>
          <w:szCs w:val="22"/>
        </w:rPr>
        <w:t>u</w:t>
      </w:r>
      <w:r w:rsidRPr="00332C4C">
        <w:rPr>
          <w:rFonts w:eastAsia="Arial" w:cs="Arial"/>
          <w:i/>
          <w:sz w:val="22"/>
          <w:szCs w:val="22"/>
        </w:rPr>
        <w:t>iere</w:t>
      </w:r>
      <w:r w:rsidRPr="00332C4C">
        <w:rPr>
          <w:rFonts w:eastAsia="Arial" w:cs="Arial"/>
          <w:i/>
          <w:spacing w:val="2"/>
          <w:sz w:val="22"/>
          <w:szCs w:val="22"/>
        </w:rPr>
        <w:t xml:space="preserve"> </w:t>
      </w:r>
      <w:r w:rsidRPr="00332C4C">
        <w:rPr>
          <w:rFonts w:eastAsia="Arial" w:cs="Arial"/>
          <w:i/>
          <w:sz w:val="22"/>
          <w:szCs w:val="22"/>
        </w:rPr>
        <w:t>la</w:t>
      </w:r>
      <w:r w:rsidRPr="00332C4C">
        <w:rPr>
          <w:rFonts w:eastAsia="Arial" w:cs="Arial"/>
          <w:i/>
          <w:spacing w:val="2"/>
          <w:sz w:val="22"/>
          <w:szCs w:val="22"/>
        </w:rPr>
        <w:t xml:space="preserve"> </w:t>
      </w:r>
      <w:r w:rsidRPr="00332C4C">
        <w:rPr>
          <w:rFonts w:eastAsia="Arial" w:cs="Arial"/>
          <w:i/>
          <w:sz w:val="22"/>
          <w:szCs w:val="22"/>
        </w:rPr>
        <w:t>i</w:t>
      </w:r>
      <w:r w:rsidRPr="00332C4C">
        <w:rPr>
          <w:rFonts w:eastAsia="Arial" w:cs="Arial"/>
          <w:i/>
          <w:spacing w:val="-2"/>
          <w:sz w:val="22"/>
          <w:szCs w:val="22"/>
        </w:rPr>
        <w:t>n</w:t>
      </w:r>
      <w:r w:rsidRPr="00332C4C">
        <w:rPr>
          <w:rFonts w:eastAsia="Arial" w:cs="Arial"/>
          <w:i/>
          <w:sz w:val="22"/>
          <w:szCs w:val="22"/>
        </w:rPr>
        <w:t>f</w:t>
      </w:r>
      <w:r w:rsidRPr="00332C4C">
        <w:rPr>
          <w:rFonts w:eastAsia="Arial" w:cs="Arial"/>
          <w:i/>
          <w:spacing w:val="1"/>
          <w:sz w:val="22"/>
          <w:szCs w:val="22"/>
        </w:rPr>
        <w:t>o</w:t>
      </w:r>
      <w:r w:rsidRPr="00332C4C">
        <w:rPr>
          <w:rFonts w:eastAsia="Arial" w:cs="Arial"/>
          <w:i/>
          <w:spacing w:val="-3"/>
          <w:sz w:val="22"/>
          <w:szCs w:val="22"/>
        </w:rPr>
        <w:t>r</w:t>
      </w:r>
      <w:r w:rsidRPr="00332C4C">
        <w:rPr>
          <w:rFonts w:eastAsia="Arial" w:cs="Arial"/>
          <w:i/>
          <w:spacing w:val="1"/>
          <w:sz w:val="22"/>
          <w:szCs w:val="22"/>
        </w:rPr>
        <w:t>ma</w:t>
      </w:r>
      <w:r w:rsidRPr="00332C4C">
        <w:rPr>
          <w:rFonts w:eastAsia="Arial" w:cs="Arial"/>
          <w:i/>
          <w:sz w:val="22"/>
          <w:szCs w:val="22"/>
        </w:rPr>
        <w:t>ci</w:t>
      </w:r>
      <w:r w:rsidRPr="00332C4C">
        <w:rPr>
          <w:rFonts w:eastAsia="Arial" w:cs="Arial"/>
          <w:i/>
          <w:spacing w:val="-2"/>
          <w:sz w:val="22"/>
          <w:szCs w:val="22"/>
        </w:rPr>
        <w:t>ó</w:t>
      </w:r>
      <w:r w:rsidRPr="00332C4C">
        <w:rPr>
          <w:rFonts w:eastAsia="Arial" w:cs="Arial"/>
          <w:i/>
          <w:sz w:val="22"/>
          <w:szCs w:val="22"/>
        </w:rPr>
        <w:t>n</w:t>
      </w:r>
      <w:r w:rsidRPr="00332C4C">
        <w:rPr>
          <w:rFonts w:eastAsia="Arial" w:cs="Arial"/>
          <w:i/>
          <w:spacing w:val="2"/>
          <w:sz w:val="22"/>
          <w:szCs w:val="22"/>
        </w:rPr>
        <w:t xml:space="preserve"> </w:t>
      </w:r>
      <w:r w:rsidRPr="00332C4C">
        <w:rPr>
          <w:rFonts w:eastAsia="Arial" w:cs="Arial"/>
          <w:i/>
          <w:sz w:val="22"/>
          <w:szCs w:val="22"/>
        </w:rPr>
        <w:t>c</w:t>
      </w:r>
      <w:r w:rsidRPr="00332C4C">
        <w:rPr>
          <w:rFonts w:eastAsia="Arial" w:cs="Arial"/>
          <w:i/>
          <w:spacing w:val="1"/>
          <w:sz w:val="22"/>
          <w:szCs w:val="22"/>
        </w:rPr>
        <w:t>on</w:t>
      </w:r>
      <w:r w:rsidRPr="00332C4C">
        <w:rPr>
          <w:rFonts w:eastAsia="Arial" w:cs="Arial"/>
          <w:i/>
          <w:sz w:val="22"/>
          <w:szCs w:val="22"/>
        </w:rPr>
        <w:t>c</w:t>
      </w:r>
      <w:r w:rsidRPr="00332C4C">
        <w:rPr>
          <w:rFonts w:eastAsia="Arial" w:cs="Arial"/>
          <w:i/>
          <w:spacing w:val="-3"/>
          <w:sz w:val="22"/>
          <w:szCs w:val="22"/>
        </w:rPr>
        <w:t>r</w:t>
      </w:r>
      <w:r w:rsidRPr="00332C4C">
        <w:rPr>
          <w:rFonts w:eastAsia="Arial" w:cs="Arial"/>
          <w:i/>
          <w:spacing w:val="1"/>
          <w:sz w:val="22"/>
          <w:szCs w:val="22"/>
        </w:rPr>
        <w:t>e</w:t>
      </w:r>
      <w:r w:rsidRPr="00332C4C">
        <w:rPr>
          <w:rFonts w:eastAsia="Arial" w:cs="Arial"/>
          <w:i/>
          <w:spacing w:val="-2"/>
          <w:sz w:val="22"/>
          <w:szCs w:val="22"/>
        </w:rPr>
        <w:t>t</w:t>
      </w:r>
      <w:r w:rsidRPr="00332C4C">
        <w:rPr>
          <w:rFonts w:eastAsia="Arial" w:cs="Arial"/>
          <w:i/>
          <w:sz w:val="22"/>
          <w:szCs w:val="22"/>
        </w:rPr>
        <w:t>a c</w:t>
      </w:r>
      <w:r w:rsidRPr="00332C4C">
        <w:rPr>
          <w:rFonts w:eastAsia="Arial" w:cs="Arial"/>
          <w:i/>
          <w:spacing w:val="1"/>
          <w:sz w:val="22"/>
          <w:szCs w:val="22"/>
        </w:rPr>
        <w:t>on</w:t>
      </w:r>
      <w:r w:rsidRPr="00332C4C">
        <w:rPr>
          <w:rFonts w:eastAsia="Arial" w:cs="Arial"/>
          <w:i/>
          <w:sz w:val="22"/>
          <w:szCs w:val="22"/>
        </w:rPr>
        <w:t>t</w:t>
      </w:r>
      <w:r w:rsidRPr="00332C4C">
        <w:rPr>
          <w:rFonts w:eastAsia="Arial" w:cs="Arial"/>
          <w:i/>
          <w:spacing w:val="-1"/>
          <w:sz w:val="22"/>
          <w:szCs w:val="22"/>
        </w:rPr>
        <w:t>e</w:t>
      </w:r>
      <w:r w:rsidRPr="00332C4C">
        <w:rPr>
          <w:rFonts w:eastAsia="Arial" w:cs="Arial"/>
          <w:i/>
          <w:spacing w:val="1"/>
          <w:sz w:val="22"/>
          <w:szCs w:val="22"/>
        </w:rPr>
        <w:t>n</w:t>
      </w:r>
      <w:r w:rsidRPr="00332C4C">
        <w:rPr>
          <w:rFonts w:eastAsia="Arial" w:cs="Arial"/>
          <w:i/>
          <w:sz w:val="22"/>
          <w:szCs w:val="22"/>
        </w:rPr>
        <w:t xml:space="preserve">ida </w:t>
      </w:r>
      <w:r w:rsidRPr="00332C4C">
        <w:rPr>
          <w:rFonts w:eastAsia="Arial" w:cs="Arial"/>
          <w:i/>
          <w:spacing w:val="-1"/>
          <w:sz w:val="22"/>
          <w:szCs w:val="22"/>
        </w:rPr>
        <w:t>e</w:t>
      </w:r>
      <w:r w:rsidRPr="00332C4C">
        <w:rPr>
          <w:rFonts w:eastAsia="Arial" w:cs="Arial"/>
          <w:i/>
          <w:sz w:val="22"/>
          <w:szCs w:val="22"/>
        </w:rPr>
        <w:t xml:space="preserve">n </w:t>
      </w:r>
      <w:r w:rsidRPr="00332C4C">
        <w:rPr>
          <w:rFonts w:eastAsia="Arial" w:cs="Arial"/>
          <w:i/>
          <w:spacing w:val="1"/>
          <w:sz w:val="22"/>
          <w:szCs w:val="22"/>
        </w:rPr>
        <w:t>u</w:t>
      </w:r>
      <w:r w:rsidRPr="00332C4C">
        <w:rPr>
          <w:rFonts w:eastAsia="Arial" w:cs="Arial"/>
          <w:i/>
          <w:sz w:val="22"/>
          <w:szCs w:val="22"/>
        </w:rPr>
        <w:t xml:space="preserve">n </w:t>
      </w:r>
      <w:r w:rsidRPr="00332C4C">
        <w:rPr>
          <w:rFonts w:eastAsia="Arial" w:cs="Arial"/>
          <w:i/>
          <w:spacing w:val="3"/>
          <w:sz w:val="22"/>
          <w:szCs w:val="22"/>
        </w:rPr>
        <w:t xml:space="preserve"> </w:t>
      </w:r>
      <w:r w:rsidRPr="00332C4C">
        <w:rPr>
          <w:rFonts w:eastAsia="Arial" w:cs="Arial"/>
          <w:i/>
          <w:spacing w:val="-1"/>
          <w:sz w:val="22"/>
          <w:szCs w:val="22"/>
        </w:rPr>
        <w:t>do</w:t>
      </w:r>
      <w:r w:rsidRPr="00332C4C">
        <w:rPr>
          <w:rFonts w:eastAsia="Arial" w:cs="Arial"/>
          <w:i/>
          <w:sz w:val="22"/>
          <w:szCs w:val="22"/>
        </w:rPr>
        <w:t>c</w:t>
      </w:r>
      <w:r w:rsidRPr="00332C4C">
        <w:rPr>
          <w:rFonts w:eastAsia="Arial" w:cs="Arial"/>
          <w:i/>
          <w:spacing w:val="1"/>
          <w:sz w:val="22"/>
          <w:szCs w:val="22"/>
        </w:rPr>
        <w:t>um</w:t>
      </w:r>
      <w:r w:rsidRPr="00332C4C">
        <w:rPr>
          <w:rFonts w:eastAsia="Arial" w:cs="Arial"/>
          <w:i/>
          <w:spacing w:val="-1"/>
          <w:sz w:val="22"/>
          <w:szCs w:val="22"/>
        </w:rPr>
        <w:t>e</w:t>
      </w:r>
      <w:r w:rsidRPr="00332C4C">
        <w:rPr>
          <w:rFonts w:eastAsia="Arial" w:cs="Arial"/>
          <w:i/>
          <w:spacing w:val="1"/>
          <w:sz w:val="22"/>
          <w:szCs w:val="22"/>
        </w:rPr>
        <w:t>n</w:t>
      </w:r>
      <w:r w:rsidRPr="00332C4C">
        <w:rPr>
          <w:rFonts w:eastAsia="Arial" w:cs="Arial"/>
          <w:i/>
          <w:sz w:val="22"/>
          <w:szCs w:val="22"/>
        </w:rPr>
        <w:t xml:space="preserve">to </w:t>
      </w:r>
      <w:r w:rsidRPr="00332C4C">
        <w:rPr>
          <w:rFonts w:eastAsia="Arial" w:cs="Arial"/>
          <w:i/>
          <w:spacing w:val="1"/>
          <w:sz w:val="22"/>
          <w:szCs w:val="22"/>
        </w:rPr>
        <w:t xml:space="preserve"> e</w:t>
      </w:r>
      <w:r w:rsidRPr="00332C4C">
        <w:rPr>
          <w:rFonts w:eastAsia="Arial" w:cs="Arial"/>
          <w:i/>
          <w:sz w:val="22"/>
          <w:szCs w:val="22"/>
        </w:rPr>
        <w:t>s</w:t>
      </w:r>
      <w:r w:rsidRPr="00332C4C">
        <w:rPr>
          <w:rFonts w:eastAsia="Arial" w:cs="Arial"/>
          <w:i/>
          <w:spacing w:val="1"/>
          <w:sz w:val="22"/>
          <w:szCs w:val="22"/>
        </w:rPr>
        <w:t>pe</w:t>
      </w:r>
      <w:r w:rsidRPr="00332C4C">
        <w:rPr>
          <w:rFonts w:eastAsia="Arial" w:cs="Arial"/>
          <w:i/>
          <w:spacing w:val="5"/>
          <w:sz w:val="22"/>
          <w:szCs w:val="22"/>
        </w:rPr>
        <w:t>c</w:t>
      </w:r>
      <w:r w:rsidRPr="00332C4C">
        <w:rPr>
          <w:rFonts w:eastAsia="Arial" w:cs="Arial"/>
          <w:i/>
          <w:spacing w:val="-4"/>
          <w:sz w:val="22"/>
          <w:szCs w:val="22"/>
        </w:rPr>
        <w:t>í</w:t>
      </w:r>
      <w:r w:rsidRPr="00332C4C">
        <w:rPr>
          <w:rFonts w:eastAsia="Arial" w:cs="Arial"/>
          <w:i/>
          <w:spacing w:val="3"/>
          <w:sz w:val="22"/>
          <w:szCs w:val="22"/>
        </w:rPr>
        <w:t>f</w:t>
      </w:r>
      <w:r w:rsidRPr="00332C4C">
        <w:rPr>
          <w:rFonts w:eastAsia="Arial" w:cs="Arial"/>
          <w:i/>
          <w:sz w:val="22"/>
          <w:szCs w:val="22"/>
        </w:rPr>
        <w:t>ico,  sie</w:t>
      </w:r>
      <w:r w:rsidRPr="00332C4C">
        <w:rPr>
          <w:rFonts w:eastAsia="Arial" w:cs="Arial"/>
          <w:i/>
          <w:spacing w:val="2"/>
          <w:sz w:val="22"/>
          <w:szCs w:val="22"/>
        </w:rPr>
        <w:t>m</w:t>
      </w:r>
      <w:r w:rsidRPr="00332C4C">
        <w:rPr>
          <w:rFonts w:eastAsia="Arial" w:cs="Arial"/>
          <w:i/>
          <w:spacing w:val="1"/>
          <w:sz w:val="22"/>
          <w:szCs w:val="22"/>
        </w:rPr>
        <w:t>p</w:t>
      </w:r>
      <w:r w:rsidRPr="00332C4C">
        <w:rPr>
          <w:rFonts w:eastAsia="Arial" w:cs="Arial"/>
          <w:i/>
          <w:sz w:val="22"/>
          <w:szCs w:val="22"/>
        </w:rPr>
        <w:t xml:space="preserve">re </w:t>
      </w:r>
      <w:r w:rsidRPr="00332C4C">
        <w:rPr>
          <w:rFonts w:eastAsia="Arial" w:cs="Arial"/>
          <w:i/>
          <w:spacing w:val="2"/>
          <w:sz w:val="22"/>
          <w:szCs w:val="22"/>
        </w:rPr>
        <w:t xml:space="preserve"> </w:t>
      </w:r>
      <w:r w:rsidRPr="00332C4C">
        <w:rPr>
          <w:rFonts w:eastAsia="Arial" w:cs="Arial"/>
          <w:i/>
          <w:spacing w:val="-1"/>
          <w:sz w:val="22"/>
          <w:szCs w:val="22"/>
        </w:rPr>
        <w:t>q</w:t>
      </w:r>
      <w:r w:rsidRPr="00332C4C">
        <w:rPr>
          <w:rFonts w:eastAsia="Arial" w:cs="Arial"/>
          <w:i/>
          <w:spacing w:val="1"/>
          <w:sz w:val="22"/>
          <w:szCs w:val="22"/>
        </w:rPr>
        <w:t>u</w:t>
      </w:r>
      <w:r w:rsidRPr="00332C4C">
        <w:rPr>
          <w:rFonts w:eastAsia="Arial" w:cs="Arial"/>
          <w:i/>
          <w:sz w:val="22"/>
          <w:szCs w:val="22"/>
        </w:rPr>
        <w:t xml:space="preserve">e </w:t>
      </w:r>
      <w:r w:rsidRPr="00332C4C">
        <w:rPr>
          <w:rFonts w:eastAsia="Arial" w:cs="Arial"/>
          <w:i/>
          <w:spacing w:val="3"/>
          <w:sz w:val="22"/>
          <w:szCs w:val="22"/>
        </w:rPr>
        <w:t xml:space="preserve"> </w:t>
      </w:r>
      <w:r w:rsidRPr="00332C4C">
        <w:rPr>
          <w:rFonts w:eastAsia="Arial" w:cs="Arial"/>
          <w:i/>
          <w:sz w:val="22"/>
          <w:szCs w:val="22"/>
        </w:rPr>
        <w:t xml:space="preserve">se </w:t>
      </w:r>
      <w:r w:rsidRPr="00332C4C">
        <w:rPr>
          <w:rFonts w:eastAsia="Arial" w:cs="Arial"/>
          <w:i/>
          <w:spacing w:val="3"/>
          <w:sz w:val="22"/>
          <w:szCs w:val="22"/>
        </w:rPr>
        <w:t xml:space="preserve"> </w:t>
      </w:r>
      <w:r w:rsidRPr="00332C4C">
        <w:rPr>
          <w:rFonts w:eastAsia="Arial" w:cs="Arial"/>
          <w:i/>
          <w:spacing w:val="-1"/>
          <w:sz w:val="22"/>
          <w:szCs w:val="22"/>
        </w:rPr>
        <w:t>e</w:t>
      </w:r>
      <w:r w:rsidRPr="00332C4C">
        <w:rPr>
          <w:rFonts w:eastAsia="Arial" w:cs="Arial"/>
          <w:i/>
          <w:spacing w:val="1"/>
          <w:sz w:val="22"/>
          <w:szCs w:val="22"/>
        </w:rPr>
        <w:t>n</w:t>
      </w:r>
      <w:r w:rsidRPr="00332C4C">
        <w:rPr>
          <w:rFonts w:eastAsia="Arial" w:cs="Arial"/>
          <w:i/>
          <w:spacing w:val="-2"/>
          <w:sz w:val="22"/>
          <w:szCs w:val="22"/>
        </w:rPr>
        <w:t>c</w:t>
      </w:r>
      <w:r w:rsidRPr="00332C4C">
        <w:rPr>
          <w:rFonts w:eastAsia="Arial" w:cs="Arial"/>
          <w:i/>
          <w:spacing w:val="1"/>
          <w:sz w:val="22"/>
          <w:szCs w:val="22"/>
        </w:rPr>
        <w:t>uen</w:t>
      </w:r>
      <w:r w:rsidRPr="00332C4C">
        <w:rPr>
          <w:rFonts w:eastAsia="Arial" w:cs="Arial"/>
          <w:i/>
          <w:sz w:val="22"/>
          <w:szCs w:val="22"/>
        </w:rPr>
        <w:t xml:space="preserve">tre  </w:t>
      </w:r>
      <w:r w:rsidRPr="00332C4C">
        <w:rPr>
          <w:rFonts w:eastAsia="Arial" w:cs="Arial"/>
          <w:i/>
          <w:spacing w:val="1"/>
          <w:sz w:val="22"/>
          <w:szCs w:val="22"/>
        </w:rPr>
        <w:t>e</w:t>
      </w:r>
      <w:r w:rsidRPr="00332C4C">
        <w:rPr>
          <w:rFonts w:eastAsia="Arial" w:cs="Arial"/>
          <w:i/>
          <w:sz w:val="22"/>
          <w:szCs w:val="22"/>
        </w:rPr>
        <w:t xml:space="preserve">n </w:t>
      </w:r>
      <w:r w:rsidRPr="00332C4C">
        <w:rPr>
          <w:rFonts w:eastAsia="Arial" w:cs="Arial"/>
          <w:i/>
          <w:spacing w:val="3"/>
          <w:sz w:val="22"/>
          <w:szCs w:val="22"/>
        </w:rPr>
        <w:t xml:space="preserve"> </w:t>
      </w:r>
      <w:r w:rsidRPr="00332C4C">
        <w:rPr>
          <w:rFonts w:eastAsia="Arial" w:cs="Arial"/>
          <w:i/>
          <w:sz w:val="22"/>
          <w:szCs w:val="22"/>
        </w:rPr>
        <w:t>los s</w:t>
      </w:r>
      <w:r w:rsidRPr="00332C4C">
        <w:rPr>
          <w:rFonts w:eastAsia="Arial" w:cs="Arial"/>
          <w:i/>
          <w:spacing w:val="1"/>
          <w:sz w:val="22"/>
          <w:szCs w:val="22"/>
        </w:rPr>
        <w:t>up</w:t>
      </w:r>
      <w:r w:rsidRPr="00332C4C">
        <w:rPr>
          <w:rFonts w:eastAsia="Arial" w:cs="Arial"/>
          <w:i/>
          <w:spacing w:val="-1"/>
          <w:sz w:val="22"/>
          <w:szCs w:val="22"/>
        </w:rPr>
        <w:t>u</w:t>
      </w:r>
      <w:r w:rsidRPr="00332C4C">
        <w:rPr>
          <w:rFonts w:eastAsia="Arial" w:cs="Arial"/>
          <w:i/>
          <w:spacing w:val="1"/>
          <w:sz w:val="22"/>
          <w:szCs w:val="22"/>
        </w:rPr>
        <w:t>e</w:t>
      </w:r>
      <w:r w:rsidRPr="00332C4C">
        <w:rPr>
          <w:rFonts w:eastAsia="Arial" w:cs="Arial"/>
          <w:i/>
          <w:sz w:val="22"/>
          <w:szCs w:val="22"/>
        </w:rPr>
        <w:t>st</w:t>
      </w:r>
      <w:r w:rsidRPr="00332C4C">
        <w:rPr>
          <w:rFonts w:eastAsia="Arial" w:cs="Arial"/>
          <w:i/>
          <w:spacing w:val="1"/>
          <w:sz w:val="22"/>
          <w:szCs w:val="22"/>
        </w:rPr>
        <w:t>o</w:t>
      </w:r>
      <w:r w:rsidRPr="00332C4C">
        <w:rPr>
          <w:rFonts w:eastAsia="Arial" w:cs="Arial"/>
          <w:i/>
          <w:sz w:val="22"/>
          <w:szCs w:val="22"/>
        </w:rPr>
        <w:t xml:space="preserve">s  </w:t>
      </w:r>
      <w:r w:rsidRPr="00332C4C">
        <w:rPr>
          <w:rFonts w:eastAsia="Arial" w:cs="Arial"/>
          <w:i/>
          <w:spacing w:val="1"/>
          <w:sz w:val="22"/>
          <w:szCs w:val="22"/>
        </w:rPr>
        <w:t>e</w:t>
      </w:r>
      <w:r w:rsidRPr="00332C4C">
        <w:rPr>
          <w:rFonts w:eastAsia="Arial" w:cs="Arial"/>
          <w:i/>
          <w:sz w:val="22"/>
          <w:szCs w:val="22"/>
        </w:rPr>
        <w:t>st</w:t>
      </w:r>
      <w:r w:rsidRPr="00332C4C">
        <w:rPr>
          <w:rFonts w:eastAsia="Arial" w:cs="Arial"/>
          <w:i/>
          <w:spacing w:val="-1"/>
          <w:sz w:val="22"/>
          <w:szCs w:val="22"/>
        </w:rPr>
        <w:t>a</w:t>
      </w:r>
      <w:r w:rsidRPr="00332C4C">
        <w:rPr>
          <w:rFonts w:eastAsia="Arial" w:cs="Arial"/>
          <w:i/>
          <w:spacing w:val="1"/>
          <w:sz w:val="22"/>
          <w:szCs w:val="22"/>
        </w:rPr>
        <w:t>b</w:t>
      </w:r>
      <w:r w:rsidRPr="00332C4C">
        <w:rPr>
          <w:rFonts w:eastAsia="Arial" w:cs="Arial"/>
          <w:i/>
          <w:sz w:val="22"/>
          <w:szCs w:val="22"/>
        </w:rPr>
        <w:t>leci</w:t>
      </w:r>
      <w:r w:rsidRPr="00332C4C">
        <w:rPr>
          <w:rFonts w:eastAsia="Arial" w:cs="Arial"/>
          <w:i/>
          <w:spacing w:val="-2"/>
          <w:sz w:val="22"/>
          <w:szCs w:val="22"/>
        </w:rPr>
        <w:t>d</w:t>
      </w:r>
      <w:r w:rsidRPr="00332C4C">
        <w:rPr>
          <w:rFonts w:eastAsia="Arial" w:cs="Arial"/>
          <w:i/>
          <w:spacing w:val="1"/>
          <w:sz w:val="22"/>
          <w:szCs w:val="22"/>
        </w:rPr>
        <w:t>o</w:t>
      </w:r>
      <w:r w:rsidRPr="00332C4C">
        <w:rPr>
          <w:rFonts w:eastAsia="Arial" w:cs="Arial"/>
          <w:i/>
          <w:sz w:val="22"/>
          <w:szCs w:val="22"/>
        </w:rPr>
        <w:t xml:space="preserve">s </w:t>
      </w:r>
      <w:r w:rsidRPr="00332C4C">
        <w:rPr>
          <w:rFonts w:eastAsia="Arial" w:cs="Arial"/>
          <w:i/>
          <w:spacing w:val="2"/>
          <w:sz w:val="22"/>
          <w:szCs w:val="22"/>
        </w:rPr>
        <w:t xml:space="preserve"> </w:t>
      </w:r>
      <w:r w:rsidRPr="00332C4C">
        <w:rPr>
          <w:rFonts w:eastAsia="Arial" w:cs="Arial"/>
          <w:i/>
          <w:spacing w:val="1"/>
          <w:sz w:val="22"/>
          <w:szCs w:val="22"/>
        </w:rPr>
        <w:t>e</w:t>
      </w:r>
      <w:r w:rsidRPr="00332C4C">
        <w:rPr>
          <w:rFonts w:eastAsia="Arial" w:cs="Arial"/>
          <w:i/>
          <w:sz w:val="22"/>
          <w:szCs w:val="22"/>
        </w:rPr>
        <w:t xml:space="preserve">n </w:t>
      </w:r>
      <w:r w:rsidRPr="00332C4C">
        <w:rPr>
          <w:rFonts w:eastAsia="Arial" w:cs="Arial"/>
          <w:i/>
          <w:spacing w:val="1"/>
          <w:sz w:val="22"/>
          <w:szCs w:val="22"/>
        </w:rPr>
        <w:t xml:space="preserve"> </w:t>
      </w:r>
      <w:r w:rsidRPr="00332C4C">
        <w:rPr>
          <w:rFonts w:eastAsia="Arial" w:cs="Arial"/>
          <w:i/>
          <w:sz w:val="22"/>
          <w:szCs w:val="22"/>
        </w:rPr>
        <w:t xml:space="preserve">los </w:t>
      </w:r>
      <w:r w:rsidRPr="00332C4C">
        <w:rPr>
          <w:rFonts w:eastAsia="Arial" w:cs="Arial"/>
          <w:i/>
          <w:spacing w:val="3"/>
          <w:sz w:val="22"/>
          <w:szCs w:val="22"/>
        </w:rPr>
        <w:t xml:space="preserve"> </w:t>
      </w:r>
      <w:r w:rsidRPr="00332C4C">
        <w:rPr>
          <w:rFonts w:eastAsia="Arial" w:cs="Arial"/>
          <w:i/>
          <w:spacing w:val="1"/>
          <w:sz w:val="22"/>
          <w:szCs w:val="22"/>
        </w:rPr>
        <w:t>a</w:t>
      </w:r>
      <w:r w:rsidRPr="00332C4C">
        <w:rPr>
          <w:rFonts w:eastAsia="Arial" w:cs="Arial"/>
          <w:i/>
          <w:sz w:val="22"/>
          <w:szCs w:val="22"/>
        </w:rPr>
        <w:t>rt</w:t>
      </w:r>
      <w:r w:rsidRPr="00332C4C">
        <w:rPr>
          <w:rFonts w:eastAsia="Arial" w:cs="Arial"/>
          <w:i/>
          <w:spacing w:val="-2"/>
          <w:sz w:val="22"/>
          <w:szCs w:val="22"/>
        </w:rPr>
        <w:t>í</w:t>
      </w:r>
      <w:r w:rsidRPr="00332C4C">
        <w:rPr>
          <w:rFonts w:eastAsia="Arial" w:cs="Arial"/>
          <w:i/>
          <w:sz w:val="22"/>
          <w:szCs w:val="22"/>
        </w:rPr>
        <w:t>c</w:t>
      </w:r>
      <w:r w:rsidRPr="00332C4C">
        <w:rPr>
          <w:rFonts w:eastAsia="Arial" w:cs="Arial"/>
          <w:i/>
          <w:spacing w:val="1"/>
          <w:sz w:val="22"/>
          <w:szCs w:val="22"/>
        </w:rPr>
        <w:t>u</w:t>
      </w:r>
      <w:r w:rsidRPr="00332C4C">
        <w:rPr>
          <w:rFonts w:eastAsia="Arial" w:cs="Arial"/>
          <w:i/>
          <w:sz w:val="22"/>
          <w:szCs w:val="22"/>
        </w:rPr>
        <w:t xml:space="preserve">los  </w:t>
      </w:r>
      <w:r w:rsidRPr="00332C4C">
        <w:rPr>
          <w:rFonts w:eastAsia="Arial" w:cs="Arial"/>
          <w:i/>
          <w:spacing w:val="1"/>
          <w:sz w:val="22"/>
          <w:szCs w:val="22"/>
        </w:rPr>
        <w:t>1</w:t>
      </w:r>
      <w:r w:rsidRPr="00332C4C">
        <w:rPr>
          <w:rFonts w:eastAsia="Arial" w:cs="Arial"/>
          <w:i/>
          <w:sz w:val="22"/>
          <w:szCs w:val="22"/>
        </w:rPr>
        <w:t xml:space="preserve">3 </w:t>
      </w:r>
      <w:r w:rsidRPr="00332C4C">
        <w:rPr>
          <w:rFonts w:eastAsia="Arial" w:cs="Arial"/>
          <w:i/>
          <w:spacing w:val="3"/>
          <w:sz w:val="22"/>
          <w:szCs w:val="22"/>
        </w:rPr>
        <w:t xml:space="preserve"> </w:t>
      </w:r>
      <w:r w:rsidRPr="00332C4C">
        <w:rPr>
          <w:rFonts w:eastAsia="Arial" w:cs="Arial"/>
          <w:i/>
          <w:sz w:val="22"/>
          <w:szCs w:val="22"/>
        </w:rPr>
        <w:t xml:space="preserve">y  </w:t>
      </w:r>
      <w:r w:rsidRPr="00332C4C">
        <w:rPr>
          <w:rFonts w:eastAsia="Arial" w:cs="Arial"/>
          <w:i/>
          <w:spacing w:val="1"/>
          <w:sz w:val="22"/>
          <w:szCs w:val="22"/>
        </w:rPr>
        <w:t>1</w:t>
      </w:r>
      <w:r w:rsidRPr="00332C4C">
        <w:rPr>
          <w:rFonts w:eastAsia="Arial" w:cs="Arial"/>
          <w:i/>
          <w:sz w:val="22"/>
          <w:szCs w:val="22"/>
        </w:rPr>
        <w:t xml:space="preserve">4  </w:t>
      </w:r>
      <w:r w:rsidRPr="00332C4C">
        <w:rPr>
          <w:rFonts w:eastAsia="Arial" w:cs="Arial"/>
          <w:i/>
          <w:spacing w:val="1"/>
          <w:sz w:val="22"/>
          <w:szCs w:val="22"/>
        </w:rPr>
        <w:t>d</w:t>
      </w:r>
      <w:r w:rsidRPr="00332C4C">
        <w:rPr>
          <w:rFonts w:eastAsia="Arial" w:cs="Arial"/>
          <w:i/>
          <w:sz w:val="22"/>
          <w:szCs w:val="22"/>
        </w:rPr>
        <w:t xml:space="preserve">e </w:t>
      </w:r>
      <w:r w:rsidRPr="00332C4C">
        <w:rPr>
          <w:rFonts w:eastAsia="Arial" w:cs="Arial"/>
          <w:i/>
          <w:spacing w:val="3"/>
          <w:sz w:val="22"/>
          <w:szCs w:val="22"/>
        </w:rPr>
        <w:t xml:space="preserve"> </w:t>
      </w:r>
      <w:r w:rsidRPr="00332C4C">
        <w:rPr>
          <w:rFonts w:eastAsia="Arial" w:cs="Arial"/>
          <w:i/>
          <w:sz w:val="22"/>
          <w:szCs w:val="22"/>
        </w:rPr>
        <w:t xml:space="preserve">la  </w:t>
      </w:r>
      <w:r w:rsidRPr="00332C4C">
        <w:rPr>
          <w:rFonts w:eastAsia="Arial" w:cs="Arial"/>
          <w:i/>
          <w:spacing w:val="-1"/>
          <w:sz w:val="22"/>
          <w:szCs w:val="22"/>
        </w:rPr>
        <w:t>L</w:t>
      </w:r>
      <w:r w:rsidRPr="00332C4C">
        <w:rPr>
          <w:rFonts w:eastAsia="Arial" w:cs="Arial"/>
          <w:i/>
          <w:spacing w:val="1"/>
          <w:sz w:val="22"/>
          <w:szCs w:val="22"/>
        </w:rPr>
        <w:t>e</w:t>
      </w:r>
      <w:r w:rsidRPr="00332C4C">
        <w:rPr>
          <w:rFonts w:eastAsia="Arial" w:cs="Arial"/>
          <w:i/>
          <w:sz w:val="22"/>
          <w:szCs w:val="22"/>
        </w:rPr>
        <w:t>y  Fe</w:t>
      </w:r>
      <w:r w:rsidRPr="00332C4C">
        <w:rPr>
          <w:rFonts w:eastAsia="Arial" w:cs="Arial"/>
          <w:i/>
          <w:spacing w:val="1"/>
          <w:sz w:val="22"/>
          <w:szCs w:val="22"/>
        </w:rPr>
        <w:t>de</w:t>
      </w:r>
      <w:r w:rsidRPr="00332C4C">
        <w:rPr>
          <w:rFonts w:eastAsia="Arial" w:cs="Arial"/>
          <w:i/>
          <w:sz w:val="22"/>
          <w:szCs w:val="22"/>
        </w:rPr>
        <w:t xml:space="preserve">ral </w:t>
      </w:r>
      <w:r w:rsidRPr="00332C4C">
        <w:rPr>
          <w:rFonts w:eastAsia="Arial" w:cs="Arial"/>
          <w:i/>
          <w:spacing w:val="2"/>
          <w:sz w:val="22"/>
          <w:szCs w:val="22"/>
        </w:rPr>
        <w:t xml:space="preserve"> </w:t>
      </w:r>
      <w:r w:rsidRPr="00332C4C">
        <w:rPr>
          <w:rFonts w:eastAsia="Arial" w:cs="Arial"/>
          <w:i/>
          <w:spacing w:val="-1"/>
          <w:sz w:val="22"/>
          <w:szCs w:val="22"/>
        </w:rPr>
        <w:t>d</w:t>
      </w:r>
      <w:r w:rsidRPr="00332C4C">
        <w:rPr>
          <w:rFonts w:eastAsia="Arial" w:cs="Arial"/>
          <w:i/>
          <w:sz w:val="22"/>
          <w:szCs w:val="22"/>
        </w:rPr>
        <w:t xml:space="preserve">e </w:t>
      </w:r>
      <w:r w:rsidRPr="00332C4C">
        <w:rPr>
          <w:rFonts w:eastAsia="Arial" w:cs="Arial"/>
          <w:i/>
          <w:spacing w:val="2"/>
          <w:sz w:val="22"/>
          <w:szCs w:val="22"/>
        </w:rPr>
        <w:t>T</w:t>
      </w:r>
      <w:r w:rsidRPr="00332C4C">
        <w:rPr>
          <w:rFonts w:eastAsia="Arial" w:cs="Arial"/>
          <w:i/>
          <w:sz w:val="22"/>
          <w:szCs w:val="22"/>
        </w:rPr>
        <w:t>ra</w:t>
      </w:r>
      <w:r w:rsidRPr="00332C4C">
        <w:rPr>
          <w:rFonts w:eastAsia="Arial" w:cs="Arial"/>
          <w:i/>
          <w:spacing w:val="1"/>
          <w:sz w:val="22"/>
          <w:szCs w:val="22"/>
        </w:rPr>
        <w:t>n</w:t>
      </w:r>
      <w:r w:rsidRPr="00332C4C">
        <w:rPr>
          <w:rFonts w:eastAsia="Arial" w:cs="Arial"/>
          <w:i/>
          <w:spacing w:val="-2"/>
          <w:sz w:val="22"/>
          <w:szCs w:val="22"/>
        </w:rPr>
        <w:t>s</w:t>
      </w:r>
      <w:r w:rsidRPr="00332C4C">
        <w:rPr>
          <w:rFonts w:eastAsia="Arial" w:cs="Arial"/>
          <w:i/>
          <w:spacing w:val="1"/>
          <w:sz w:val="22"/>
          <w:szCs w:val="22"/>
        </w:rPr>
        <w:t>pa</w:t>
      </w:r>
      <w:r w:rsidRPr="00332C4C">
        <w:rPr>
          <w:rFonts w:eastAsia="Arial" w:cs="Arial"/>
          <w:i/>
          <w:sz w:val="22"/>
          <w:szCs w:val="22"/>
        </w:rPr>
        <w:t>r</w:t>
      </w:r>
      <w:r w:rsidRPr="00332C4C">
        <w:rPr>
          <w:rFonts w:eastAsia="Arial" w:cs="Arial"/>
          <w:i/>
          <w:spacing w:val="-2"/>
          <w:sz w:val="22"/>
          <w:szCs w:val="22"/>
        </w:rPr>
        <w:t>e</w:t>
      </w:r>
      <w:r w:rsidRPr="00332C4C">
        <w:rPr>
          <w:rFonts w:eastAsia="Arial" w:cs="Arial"/>
          <w:i/>
          <w:spacing w:val="1"/>
          <w:sz w:val="22"/>
          <w:szCs w:val="22"/>
        </w:rPr>
        <w:t>n</w:t>
      </w:r>
      <w:r w:rsidRPr="00332C4C">
        <w:rPr>
          <w:rFonts w:eastAsia="Arial" w:cs="Arial"/>
          <w:i/>
          <w:sz w:val="22"/>
          <w:szCs w:val="22"/>
        </w:rPr>
        <w:t>cia</w:t>
      </w:r>
      <w:r w:rsidRPr="00332C4C">
        <w:rPr>
          <w:rFonts w:eastAsia="Arial" w:cs="Arial"/>
          <w:i/>
          <w:spacing w:val="3"/>
          <w:sz w:val="22"/>
          <w:szCs w:val="22"/>
        </w:rPr>
        <w:t xml:space="preserve"> </w:t>
      </w:r>
      <w:r w:rsidRPr="00332C4C">
        <w:rPr>
          <w:rFonts w:eastAsia="Arial" w:cs="Arial"/>
          <w:i/>
          <w:sz w:val="22"/>
          <w:szCs w:val="22"/>
        </w:rPr>
        <w:t>y Acc</w:t>
      </w:r>
      <w:r w:rsidRPr="00332C4C">
        <w:rPr>
          <w:rFonts w:eastAsia="Arial" w:cs="Arial"/>
          <w:i/>
          <w:spacing w:val="1"/>
          <w:sz w:val="22"/>
          <w:szCs w:val="22"/>
        </w:rPr>
        <w:t>e</w:t>
      </w:r>
      <w:r w:rsidRPr="00332C4C">
        <w:rPr>
          <w:rFonts w:eastAsia="Arial" w:cs="Arial"/>
          <w:i/>
          <w:sz w:val="22"/>
          <w:szCs w:val="22"/>
        </w:rPr>
        <w:t>so</w:t>
      </w:r>
      <w:r w:rsidRPr="00332C4C">
        <w:rPr>
          <w:rFonts w:eastAsia="Arial" w:cs="Arial"/>
          <w:i/>
          <w:spacing w:val="3"/>
          <w:sz w:val="22"/>
          <w:szCs w:val="22"/>
        </w:rPr>
        <w:t xml:space="preserve"> </w:t>
      </w:r>
      <w:r w:rsidRPr="00332C4C">
        <w:rPr>
          <w:rFonts w:eastAsia="Arial" w:cs="Arial"/>
          <w:i/>
          <w:sz w:val="22"/>
          <w:szCs w:val="22"/>
        </w:rPr>
        <w:t>a</w:t>
      </w:r>
      <w:r w:rsidRPr="00332C4C">
        <w:rPr>
          <w:rFonts w:eastAsia="Arial" w:cs="Arial"/>
          <w:i/>
          <w:spacing w:val="3"/>
          <w:sz w:val="22"/>
          <w:szCs w:val="22"/>
        </w:rPr>
        <w:t xml:space="preserve"> </w:t>
      </w:r>
      <w:r w:rsidRPr="00332C4C">
        <w:rPr>
          <w:rFonts w:eastAsia="Arial" w:cs="Arial"/>
          <w:i/>
          <w:sz w:val="22"/>
          <w:szCs w:val="22"/>
        </w:rPr>
        <w:t>la</w:t>
      </w:r>
      <w:r w:rsidRPr="00332C4C">
        <w:rPr>
          <w:rFonts w:eastAsia="Arial" w:cs="Arial"/>
          <w:i/>
          <w:spacing w:val="3"/>
          <w:sz w:val="22"/>
          <w:szCs w:val="22"/>
        </w:rPr>
        <w:t xml:space="preserve"> </w:t>
      </w:r>
      <w:r w:rsidRPr="00332C4C">
        <w:rPr>
          <w:rFonts w:eastAsia="Arial" w:cs="Arial"/>
          <w:i/>
          <w:sz w:val="22"/>
          <w:szCs w:val="22"/>
        </w:rPr>
        <w:t>I</w:t>
      </w:r>
      <w:r w:rsidRPr="00332C4C">
        <w:rPr>
          <w:rFonts w:eastAsia="Arial" w:cs="Arial"/>
          <w:i/>
          <w:spacing w:val="-1"/>
          <w:sz w:val="22"/>
          <w:szCs w:val="22"/>
        </w:rPr>
        <w:t>n</w:t>
      </w:r>
      <w:r w:rsidRPr="00332C4C">
        <w:rPr>
          <w:rFonts w:eastAsia="Arial" w:cs="Arial"/>
          <w:i/>
          <w:sz w:val="22"/>
          <w:szCs w:val="22"/>
        </w:rPr>
        <w:t>f</w:t>
      </w:r>
      <w:r w:rsidRPr="00332C4C">
        <w:rPr>
          <w:rFonts w:eastAsia="Arial" w:cs="Arial"/>
          <w:i/>
          <w:spacing w:val="1"/>
          <w:sz w:val="22"/>
          <w:szCs w:val="22"/>
        </w:rPr>
        <w:t>o</w:t>
      </w:r>
      <w:r w:rsidRPr="00332C4C">
        <w:rPr>
          <w:rFonts w:eastAsia="Arial" w:cs="Arial"/>
          <w:i/>
          <w:sz w:val="22"/>
          <w:szCs w:val="22"/>
        </w:rPr>
        <w:t>r</w:t>
      </w:r>
      <w:r w:rsidRPr="00332C4C">
        <w:rPr>
          <w:rFonts w:eastAsia="Arial" w:cs="Arial"/>
          <w:i/>
          <w:spacing w:val="1"/>
          <w:sz w:val="22"/>
          <w:szCs w:val="22"/>
        </w:rPr>
        <w:t>ma</w:t>
      </w:r>
      <w:r w:rsidRPr="00332C4C">
        <w:rPr>
          <w:rFonts w:eastAsia="Arial" w:cs="Arial"/>
          <w:i/>
          <w:sz w:val="22"/>
          <w:szCs w:val="22"/>
        </w:rPr>
        <w:t>c</w:t>
      </w:r>
      <w:r w:rsidRPr="00332C4C">
        <w:rPr>
          <w:rFonts w:eastAsia="Arial" w:cs="Arial"/>
          <w:i/>
          <w:spacing w:val="-3"/>
          <w:sz w:val="22"/>
          <w:szCs w:val="22"/>
        </w:rPr>
        <w:t>i</w:t>
      </w:r>
      <w:r w:rsidRPr="00332C4C">
        <w:rPr>
          <w:rFonts w:eastAsia="Arial" w:cs="Arial"/>
          <w:i/>
          <w:spacing w:val="1"/>
          <w:sz w:val="22"/>
          <w:szCs w:val="22"/>
        </w:rPr>
        <w:t>ó</w:t>
      </w:r>
      <w:r w:rsidRPr="00332C4C">
        <w:rPr>
          <w:rFonts w:eastAsia="Arial" w:cs="Arial"/>
          <w:i/>
          <w:sz w:val="22"/>
          <w:szCs w:val="22"/>
        </w:rPr>
        <w:t>n</w:t>
      </w:r>
      <w:r w:rsidRPr="00332C4C">
        <w:rPr>
          <w:rFonts w:eastAsia="Arial" w:cs="Arial"/>
          <w:i/>
          <w:spacing w:val="3"/>
          <w:sz w:val="22"/>
          <w:szCs w:val="22"/>
        </w:rPr>
        <w:t xml:space="preserve"> </w:t>
      </w:r>
      <w:r w:rsidRPr="00332C4C">
        <w:rPr>
          <w:rFonts w:eastAsia="Arial" w:cs="Arial"/>
          <w:i/>
          <w:sz w:val="22"/>
          <w:szCs w:val="22"/>
        </w:rPr>
        <w:t>P</w:t>
      </w:r>
      <w:r w:rsidRPr="00332C4C">
        <w:rPr>
          <w:rFonts w:eastAsia="Arial" w:cs="Arial"/>
          <w:i/>
          <w:spacing w:val="-1"/>
          <w:sz w:val="22"/>
          <w:szCs w:val="22"/>
        </w:rPr>
        <w:t>ú</w:t>
      </w:r>
      <w:r w:rsidRPr="00332C4C">
        <w:rPr>
          <w:rFonts w:eastAsia="Arial" w:cs="Arial"/>
          <w:i/>
          <w:spacing w:val="1"/>
          <w:sz w:val="22"/>
          <w:szCs w:val="22"/>
        </w:rPr>
        <w:t>b</w:t>
      </w:r>
      <w:r w:rsidRPr="00332C4C">
        <w:rPr>
          <w:rFonts w:eastAsia="Arial" w:cs="Arial"/>
          <w:i/>
          <w:sz w:val="22"/>
          <w:szCs w:val="22"/>
        </w:rPr>
        <w:t>l</w:t>
      </w:r>
      <w:r w:rsidRPr="00332C4C">
        <w:rPr>
          <w:rFonts w:eastAsia="Arial" w:cs="Arial"/>
          <w:i/>
          <w:spacing w:val="-1"/>
          <w:sz w:val="22"/>
          <w:szCs w:val="22"/>
        </w:rPr>
        <w:t>i</w:t>
      </w:r>
      <w:r w:rsidRPr="00332C4C">
        <w:rPr>
          <w:rFonts w:eastAsia="Arial" w:cs="Arial"/>
          <w:i/>
          <w:sz w:val="22"/>
          <w:szCs w:val="22"/>
        </w:rPr>
        <w:t>ca</w:t>
      </w:r>
      <w:r w:rsidRPr="00332C4C">
        <w:rPr>
          <w:rFonts w:eastAsia="Arial" w:cs="Arial"/>
          <w:i/>
          <w:spacing w:val="3"/>
          <w:sz w:val="22"/>
          <w:szCs w:val="22"/>
        </w:rPr>
        <w:t xml:space="preserve"> </w:t>
      </w:r>
      <w:r w:rsidRPr="00332C4C">
        <w:rPr>
          <w:rFonts w:eastAsia="Arial" w:cs="Arial"/>
          <w:i/>
          <w:sz w:val="22"/>
          <w:szCs w:val="22"/>
        </w:rPr>
        <w:t>G</w:t>
      </w:r>
      <w:r w:rsidRPr="00332C4C">
        <w:rPr>
          <w:rFonts w:eastAsia="Arial" w:cs="Arial"/>
          <w:i/>
          <w:spacing w:val="1"/>
          <w:sz w:val="22"/>
          <w:szCs w:val="22"/>
        </w:rPr>
        <w:t>u</w:t>
      </w:r>
      <w:r w:rsidRPr="00332C4C">
        <w:rPr>
          <w:rFonts w:eastAsia="Arial" w:cs="Arial"/>
          <w:i/>
          <w:spacing w:val="-1"/>
          <w:sz w:val="22"/>
          <w:szCs w:val="22"/>
        </w:rPr>
        <w:t>b</w:t>
      </w:r>
      <w:r w:rsidRPr="00332C4C">
        <w:rPr>
          <w:rFonts w:eastAsia="Arial" w:cs="Arial"/>
          <w:i/>
          <w:spacing w:val="1"/>
          <w:sz w:val="22"/>
          <w:szCs w:val="22"/>
        </w:rPr>
        <w:t>e</w:t>
      </w:r>
      <w:r w:rsidRPr="00332C4C">
        <w:rPr>
          <w:rFonts w:eastAsia="Arial" w:cs="Arial"/>
          <w:i/>
          <w:sz w:val="22"/>
          <w:szCs w:val="22"/>
        </w:rPr>
        <w:t>rn</w:t>
      </w:r>
      <w:r w:rsidRPr="00332C4C">
        <w:rPr>
          <w:rFonts w:eastAsia="Arial" w:cs="Arial"/>
          <w:i/>
          <w:spacing w:val="-1"/>
          <w:sz w:val="22"/>
          <w:szCs w:val="22"/>
        </w:rPr>
        <w:t>a</w:t>
      </w:r>
      <w:r w:rsidRPr="00332C4C">
        <w:rPr>
          <w:rFonts w:eastAsia="Arial" w:cs="Arial"/>
          <w:i/>
          <w:spacing w:val="1"/>
          <w:sz w:val="22"/>
          <w:szCs w:val="22"/>
        </w:rPr>
        <w:t>me</w:t>
      </w:r>
      <w:r w:rsidRPr="00332C4C">
        <w:rPr>
          <w:rFonts w:eastAsia="Arial" w:cs="Arial"/>
          <w:i/>
          <w:spacing w:val="-1"/>
          <w:sz w:val="22"/>
          <w:szCs w:val="22"/>
        </w:rPr>
        <w:t>n</w:t>
      </w:r>
      <w:r w:rsidRPr="00332C4C">
        <w:rPr>
          <w:rFonts w:eastAsia="Arial" w:cs="Arial"/>
          <w:i/>
          <w:sz w:val="22"/>
          <w:szCs w:val="22"/>
        </w:rPr>
        <w:t>t</w:t>
      </w:r>
      <w:r w:rsidRPr="00332C4C">
        <w:rPr>
          <w:rFonts w:eastAsia="Arial" w:cs="Arial"/>
          <w:i/>
          <w:spacing w:val="1"/>
          <w:sz w:val="22"/>
          <w:szCs w:val="22"/>
        </w:rPr>
        <w:t>a</w:t>
      </w:r>
      <w:r w:rsidRPr="00332C4C">
        <w:rPr>
          <w:rFonts w:eastAsia="Arial" w:cs="Arial"/>
          <w:i/>
          <w:sz w:val="22"/>
          <w:szCs w:val="22"/>
        </w:rPr>
        <w:t xml:space="preserve">l, </w:t>
      </w:r>
      <w:r w:rsidRPr="00332C4C">
        <w:rPr>
          <w:rFonts w:eastAsia="Arial" w:cs="Arial"/>
          <w:i/>
          <w:spacing w:val="1"/>
          <w:sz w:val="22"/>
          <w:szCs w:val="22"/>
        </w:rPr>
        <w:t>pa</w:t>
      </w:r>
      <w:r w:rsidRPr="00332C4C">
        <w:rPr>
          <w:rFonts w:eastAsia="Arial" w:cs="Arial"/>
          <w:i/>
          <w:sz w:val="22"/>
          <w:szCs w:val="22"/>
        </w:rPr>
        <w:t>ra</w:t>
      </w:r>
      <w:r w:rsidRPr="00332C4C">
        <w:rPr>
          <w:rFonts w:eastAsia="Arial" w:cs="Arial"/>
          <w:i/>
          <w:spacing w:val="3"/>
          <w:sz w:val="22"/>
          <w:szCs w:val="22"/>
        </w:rPr>
        <w:t xml:space="preserve"> </w:t>
      </w:r>
      <w:r w:rsidRPr="00332C4C">
        <w:rPr>
          <w:rFonts w:eastAsia="Arial" w:cs="Arial"/>
          <w:i/>
          <w:spacing w:val="1"/>
          <w:sz w:val="22"/>
          <w:szCs w:val="22"/>
        </w:rPr>
        <w:t>e</w:t>
      </w:r>
      <w:r w:rsidRPr="00332C4C">
        <w:rPr>
          <w:rFonts w:eastAsia="Arial" w:cs="Arial"/>
          <w:i/>
          <w:sz w:val="22"/>
          <w:szCs w:val="22"/>
        </w:rPr>
        <w:t>l</w:t>
      </w:r>
      <w:r w:rsidRPr="00332C4C">
        <w:rPr>
          <w:rFonts w:eastAsia="Arial" w:cs="Arial"/>
          <w:i/>
          <w:spacing w:val="2"/>
          <w:sz w:val="22"/>
          <w:szCs w:val="22"/>
        </w:rPr>
        <w:t xml:space="preserve"> </w:t>
      </w:r>
      <w:r w:rsidRPr="00332C4C">
        <w:rPr>
          <w:rFonts w:eastAsia="Arial" w:cs="Arial"/>
          <w:i/>
          <w:sz w:val="22"/>
          <w:szCs w:val="22"/>
        </w:rPr>
        <w:t>c</w:t>
      </w:r>
      <w:r w:rsidRPr="00332C4C">
        <w:rPr>
          <w:rFonts w:eastAsia="Arial" w:cs="Arial"/>
          <w:i/>
          <w:spacing w:val="1"/>
          <w:sz w:val="22"/>
          <w:szCs w:val="22"/>
        </w:rPr>
        <w:t>a</w:t>
      </w:r>
      <w:r w:rsidRPr="00332C4C">
        <w:rPr>
          <w:rFonts w:eastAsia="Arial" w:cs="Arial"/>
          <w:i/>
          <w:sz w:val="22"/>
          <w:szCs w:val="22"/>
        </w:rPr>
        <w:t>so</w:t>
      </w:r>
      <w:r w:rsidRPr="00332C4C">
        <w:rPr>
          <w:rFonts w:eastAsia="Arial" w:cs="Arial"/>
          <w:i/>
          <w:spacing w:val="1"/>
          <w:sz w:val="22"/>
          <w:szCs w:val="22"/>
        </w:rPr>
        <w:t xml:space="preserve"> </w:t>
      </w:r>
      <w:r w:rsidRPr="00332C4C">
        <w:rPr>
          <w:rFonts w:eastAsia="Arial" w:cs="Arial"/>
          <w:i/>
          <w:spacing w:val="-1"/>
          <w:sz w:val="22"/>
          <w:szCs w:val="22"/>
        </w:rPr>
        <w:t>d</w:t>
      </w:r>
      <w:r w:rsidRPr="00332C4C">
        <w:rPr>
          <w:rFonts w:eastAsia="Arial" w:cs="Arial"/>
          <w:i/>
          <w:sz w:val="22"/>
          <w:szCs w:val="22"/>
        </w:rPr>
        <w:t>e la</w:t>
      </w:r>
      <w:r w:rsidRPr="00332C4C">
        <w:rPr>
          <w:rFonts w:eastAsia="Arial" w:cs="Arial"/>
          <w:i/>
          <w:spacing w:val="4"/>
          <w:sz w:val="22"/>
          <w:szCs w:val="22"/>
        </w:rPr>
        <w:t xml:space="preserve"> </w:t>
      </w:r>
      <w:r w:rsidRPr="00332C4C">
        <w:rPr>
          <w:rFonts w:eastAsia="Arial" w:cs="Arial"/>
          <w:i/>
          <w:sz w:val="22"/>
          <w:szCs w:val="22"/>
        </w:rPr>
        <w:t>in</w:t>
      </w:r>
      <w:r w:rsidRPr="00332C4C">
        <w:rPr>
          <w:rFonts w:eastAsia="Arial" w:cs="Arial"/>
          <w:i/>
          <w:spacing w:val="1"/>
          <w:sz w:val="22"/>
          <w:szCs w:val="22"/>
        </w:rPr>
        <w:t>fo</w:t>
      </w:r>
      <w:r w:rsidRPr="00332C4C">
        <w:rPr>
          <w:rFonts w:eastAsia="Arial" w:cs="Arial"/>
          <w:i/>
          <w:sz w:val="22"/>
          <w:szCs w:val="22"/>
        </w:rPr>
        <w:t>r</w:t>
      </w:r>
      <w:r w:rsidRPr="00332C4C">
        <w:rPr>
          <w:rFonts w:eastAsia="Arial" w:cs="Arial"/>
          <w:i/>
          <w:spacing w:val="-1"/>
          <w:sz w:val="22"/>
          <w:szCs w:val="22"/>
        </w:rPr>
        <w:t>m</w:t>
      </w:r>
      <w:r w:rsidRPr="00332C4C">
        <w:rPr>
          <w:rFonts w:eastAsia="Arial" w:cs="Arial"/>
          <w:i/>
          <w:spacing w:val="1"/>
          <w:sz w:val="22"/>
          <w:szCs w:val="22"/>
        </w:rPr>
        <w:t>a</w:t>
      </w:r>
      <w:r w:rsidRPr="00332C4C">
        <w:rPr>
          <w:rFonts w:eastAsia="Arial" w:cs="Arial"/>
          <w:i/>
          <w:sz w:val="22"/>
          <w:szCs w:val="22"/>
        </w:rPr>
        <w:t>ción</w:t>
      </w:r>
      <w:r w:rsidRPr="00332C4C">
        <w:rPr>
          <w:rFonts w:eastAsia="Arial" w:cs="Arial"/>
          <w:i/>
          <w:spacing w:val="4"/>
          <w:sz w:val="22"/>
          <w:szCs w:val="22"/>
        </w:rPr>
        <w:t xml:space="preserve"> </w:t>
      </w:r>
      <w:r w:rsidRPr="00332C4C">
        <w:rPr>
          <w:rFonts w:eastAsia="Arial" w:cs="Arial"/>
          <w:i/>
          <w:sz w:val="22"/>
          <w:szCs w:val="22"/>
        </w:rPr>
        <w:t>res</w:t>
      </w:r>
      <w:r w:rsidRPr="00332C4C">
        <w:rPr>
          <w:rFonts w:eastAsia="Arial" w:cs="Arial"/>
          <w:i/>
          <w:spacing w:val="1"/>
          <w:sz w:val="22"/>
          <w:szCs w:val="22"/>
        </w:rPr>
        <w:t>e</w:t>
      </w:r>
      <w:r w:rsidRPr="00332C4C">
        <w:rPr>
          <w:rFonts w:eastAsia="Arial" w:cs="Arial"/>
          <w:i/>
          <w:sz w:val="22"/>
          <w:szCs w:val="22"/>
        </w:rPr>
        <w:t>r</w:t>
      </w:r>
      <w:r w:rsidRPr="00332C4C">
        <w:rPr>
          <w:rFonts w:eastAsia="Arial" w:cs="Arial"/>
          <w:i/>
          <w:spacing w:val="-3"/>
          <w:sz w:val="22"/>
          <w:szCs w:val="22"/>
        </w:rPr>
        <w:t>v</w:t>
      </w:r>
      <w:r w:rsidRPr="00332C4C">
        <w:rPr>
          <w:rFonts w:eastAsia="Arial" w:cs="Arial"/>
          <w:i/>
          <w:spacing w:val="1"/>
          <w:sz w:val="22"/>
          <w:szCs w:val="22"/>
        </w:rPr>
        <w:t>ada</w:t>
      </w:r>
      <w:r w:rsidRPr="00332C4C">
        <w:rPr>
          <w:rFonts w:eastAsia="Arial" w:cs="Arial"/>
          <w:i/>
          <w:sz w:val="22"/>
          <w:szCs w:val="22"/>
        </w:rPr>
        <w:t>,</w:t>
      </w:r>
      <w:r w:rsidRPr="00332C4C">
        <w:rPr>
          <w:rFonts w:eastAsia="Arial" w:cs="Arial"/>
          <w:i/>
          <w:spacing w:val="4"/>
          <w:sz w:val="22"/>
          <w:szCs w:val="22"/>
        </w:rPr>
        <w:t xml:space="preserve"> </w:t>
      </w:r>
      <w:r w:rsidRPr="00332C4C">
        <w:rPr>
          <w:rFonts w:eastAsia="Arial" w:cs="Arial"/>
          <w:i/>
          <w:sz w:val="22"/>
          <w:szCs w:val="22"/>
        </w:rPr>
        <w:t>y</w:t>
      </w:r>
      <w:r w:rsidRPr="00332C4C">
        <w:rPr>
          <w:rFonts w:eastAsia="Arial" w:cs="Arial"/>
          <w:i/>
          <w:spacing w:val="1"/>
          <w:sz w:val="22"/>
          <w:szCs w:val="22"/>
        </w:rPr>
        <w:t xml:space="preserve"> 1</w:t>
      </w:r>
      <w:r w:rsidRPr="00332C4C">
        <w:rPr>
          <w:rFonts w:eastAsia="Arial" w:cs="Arial"/>
          <w:i/>
          <w:sz w:val="22"/>
          <w:szCs w:val="22"/>
        </w:rPr>
        <w:t>8</w:t>
      </w:r>
      <w:r w:rsidRPr="00332C4C">
        <w:rPr>
          <w:rFonts w:eastAsia="Arial" w:cs="Arial"/>
          <w:i/>
          <w:spacing w:val="4"/>
          <w:sz w:val="22"/>
          <w:szCs w:val="22"/>
        </w:rPr>
        <w:t xml:space="preserve"> </w:t>
      </w:r>
      <w:r w:rsidRPr="00332C4C">
        <w:rPr>
          <w:rFonts w:eastAsia="Arial" w:cs="Arial"/>
          <w:i/>
          <w:spacing w:val="1"/>
          <w:sz w:val="22"/>
          <w:szCs w:val="22"/>
        </w:rPr>
        <w:t>de</w:t>
      </w:r>
      <w:r w:rsidRPr="00332C4C">
        <w:rPr>
          <w:rFonts w:eastAsia="Arial" w:cs="Arial"/>
          <w:i/>
          <w:sz w:val="22"/>
          <w:szCs w:val="22"/>
        </w:rPr>
        <w:t xml:space="preserve">l </w:t>
      </w:r>
      <w:r w:rsidRPr="00332C4C">
        <w:rPr>
          <w:rFonts w:eastAsia="Arial" w:cs="Arial"/>
          <w:i/>
          <w:spacing w:val="1"/>
          <w:sz w:val="22"/>
          <w:szCs w:val="22"/>
        </w:rPr>
        <w:t>m</w:t>
      </w:r>
      <w:r w:rsidRPr="00332C4C">
        <w:rPr>
          <w:rFonts w:eastAsia="Arial" w:cs="Arial"/>
          <w:i/>
          <w:sz w:val="22"/>
          <w:szCs w:val="22"/>
        </w:rPr>
        <w:t>is</w:t>
      </w:r>
      <w:r w:rsidRPr="00332C4C">
        <w:rPr>
          <w:rFonts w:eastAsia="Arial" w:cs="Arial"/>
          <w:i/>
          <w:spacing w:val="-1"/>
          <w:sz w:val="22"/>
          <w:szCs w:val="22"/>
        </w:rPr>
        <w:t>m</w:t>
      </w:r>
      <w:r w:rsidRPr="00332C4C">
        <w:rPr>
          <w:rFonts w:eastAsia="Arial" w:cs="Arial"/>
          <w:i/>
          <w:sz w:val="22"/>
          <w:szCs w:val="22"/>
        </w:rPr>
        <w:t>o</w:t>
      </w:r>
      <w:r w:rsidRPr="00332C4C">
        <w:rPr>
          <w:rFonts w:eastAsia="Arial" w:cs="Arial"/>
          <w:i/>
          <w:spacing w:val="2"/>
          <w:sz w:val="22"/>
          <w:szCs w:val="22"/>
        </w:rPr>
        <w:t xml:space="preserve"> </w:t>
      </w:r>
      <w:r w:rsidRPr="00332C4C">
        <w:rPr>
          <w:rFonts w:eastAsia="Arial" w:cs="Arial"/>
          <w:i/>
          <w:spacing w:val="1"/>
          <w:sz w:val="22"/>
          <w:szCs w:val="22"/>
        </w:rPr>
        <w:t>o</w:t>
      </w:r>
      <w:r w:rsidRPr="00332C4C">
        <w:rPr>
          <w:rFonts w:eastAsia="Arial" w:cs="Arial"/>
          <w:i/>
          <w:sz w:val="22"/>
          <w:szCs w:val="22"/>
        </w:rPr>
        <w:t>rd</w:t>
      </w:r>
      <w:r w:rsidRPr="00332C4C">
        <w:rPr>
          <w:rFonts w:eastAsia="Arial" w:cs="Arial"/>
          <w:i/>
          <w:spacing w:val="1"/>
          <w:sz w:val="22"/>
          <w:szCs w:val="22"/>
        </w:rPr>
        <w:t>en</w:t>
      </w:r>
      <w:r w:rsidRPr="00332C4C">
        <w:rPr>
          <w:rFonts w:eastAsia="Arial" w:cs="Arial"/>
          <w:i/>
          <w:spacing w:val="-1"/>
          <w:sz w:val="22"/>
          <w:szCs w:val="22"/>
        </w:rPr>
        <w:t>a</w:t>
      </w:r>
      <w:r w:rsidRPr="00332C4C">
        <w:rPr>
          <w:rFonts w:eastAsia="Arial" w:cs="Arial"/>
          <w:i/>
          <w:spacing w:val="1"/>
          <w:sz w:val="22"/>
          <w:szCs w:val="22"/>
        </w:rPr>
        <w:t>m</w:t>
      </w:r>
      <w:r w:rsidRPr="00332C4C">
        <w:rPr>
          <w:rFonts w:eastAsia="Arial" w:cs="Arial"/>
          <w:i/>
          <w:sz w:val="22"/>
          <w:szCs w:val="22"/>
        </w:rPr>
        <w:t>i</w:t>
      </w:r>
      <w:r w:rsidRPr="00332C4C">
        <w:rPr>
          <w:rFonts w:eastAsia="Arial" w:cs="Arial"/>
          <w:i/>
          <w:spacing w:val="-2"/>
          <w:sz w:val="22"/>
          <w:szCs w:val="22"/>
        </w:rPr>
        <w:t>e</w:t>
      </w:r>
      <w:r w:rsidRPr="00332C4C">
        <w:rPr>
          <w:rFonts w:eastAsia="Arial" w:cs="Arial"/>
          <w:i/>
          <w:spacing w:val="1"/>
          <w:sz w:val="22"/>
          <w:szCs w:val="22"/>
        </w:rPr>
        <w:t>n</w:t>
      </w:r>
      <w:r w:rsidRPr="00332C4C">
        <w:rPr>
          <w:rFonts w:eastAsia="Arial" w:cs="Arial"/>
          <w:i/>
          <w:sz w:val="22"/>
          <w:szCs w:val="22"/>
        </w:rPr>
        <w:t>t</w:t>
      </w:r>
      <w:r w:rsidRPr="00332C4C">
        <w:rPr>
          <w:rFonts w:eastAsia="Arial" w:cs="Arial"/>
          <w:i/>
          <w:spacing w:val="-1"/>
          <w:sz w:val="22"/>
          <w:szCs w:val="22"/>
        </w:rPr>
        <w:t>o</w:t>
      </w:r>
      <w:r w:rsidRPr="00332C4C">
        <w:rPr>
          <w:rFonts w:eastAsia="Arial" w:cs="Arial"/>
          <w:i/>
          <w:sz w:val="22"/>
          <w:szCs w:val="22"/>
        </w:rPr>
        <w:t>,</w:t>
      </w:r>
      <w:r w:rsidRPr="00332C4C">
        <w:rPr>
          <w:rFonts w:eastAsia="Arial" w:cs="Arial"/>
          <w:i/>
          <w:spacing w:val="4"/>
          <w:sz w:val="22"/>
          <w:szCs w:val="22"/>
        </w:rPr>
        <w:t xml:space="preserve"> </w:t>
      </w:r>
      <w:r w:rsidRPr="00332C4C">
        <w:rPr>
          <w:rFonts w:eastAsia="Arial" w:cs="Arial"/>
          <w:i/>
          <w:spacing w:val="1"/>
          <w:sz w:val="22"/>
          <w:szCs w:val="22"/>
        </w:rPr>
        <w:t>pa</w:t>
      </w:r>
      <w:r w:rsidRPr="00332C4C">
        <w:rPr>
          <w:rFonts w:eastAsia="Arial" w:cs="Arial"/>
          <w:i/>
          <w:sz w:val="22"/>
          <w:szCs w:val="22"/>
        </w:rPr>
        <w:t>ra</w:t>
      </w:r>
      <w:r w:rsidRPr="00332C4C">
        <w:rPr>
          <w:rFonts w:eastAsia="Arial" w:cs="Arial"/>
          <w:i/>
          <w:spacing w:val="1"/>
          <w:sz w:val="22"/>
          <w:szCs w:val="22"/>
        </w:rPr>
        <w:t xml:space="preserve"> e</w:t>
      </w:r>
      <w:r w:rsidRPr="00332C4C">
        <w:rPr>
          <w:rFonts w:eastAsia="Arial" w:cs="Arial"/>
          <w:i/>
          <w:sz w:val="22"/>
          <w:szCs w:val="22"/>
        </w:rPr>
        <w:t>l</w:t>
      </w:r>
      <w:r w:rsidRPr="00332C4C">
        <w:rPr>
          <w:rFonts w:eastAsia="Arial" w:cs="Arial"/>
          <w:i/>
          <w:spacing w:val="3"/>
          <w:sz w:val="22"/>
          <w:szCs w:val="22"/>
        </w:rPr>
        <w:t xml:space="preserve"> </w:t>
      </w:r>
      <w:r w:rsidRPr="00332C4C">
        <w:rPr>
          <w:rFonts w:eastAsia="Arial" w:cs="Arial"/>
          <w:i/>
          <w:sz w:val="22"/>
          <w:szCs w:val="22"/>
        </w:rPr>
        <w:t>c</w:t>
      </w:r>
      <w:r w:rsidRPr="00332C4C">
        <w:rPr>
          <w:rFonts w:eastAsia="Arial" w:cs="Arial"/>
          <w:i/>
          <w:spacing w:val="1"/>
          <w:sz w:val="22"/>
          <w:szCs w:val="22"/>
        </w:rPr>
        <w:t>a</w:t>
      </w:r>
      <w:r w:rsidRPr="00332C4C">
        <w:rPr>
          <w:rFonts w:eastAsia="Arial" w:cs="Arial"/>
          <w:i/>
          <w:sz w:val="22"/>
          <w:szCs w:val="22"/>
        </w:rPr>
        <w:t>so</w:t>
      </w:r>
      <w:r w:rsidRPr="00332C4C">
        <w:rPr>
          <w:rFonts w:eastAsia="Arial" w:cs="Arial"/>
          <w:i/>
          <w:spacing w:val="4"/>
          <w:sz w:val="22"/>
          <w:szCs w:val="22"/>
        </w:rPr>
        <w:t xml:space="preserve"> </w:t>
      </w:r>
      <w:r w:rsidRPr="00332C4C">
        <w:rPr>
          <w:rFonts w:eastAsia="Arial" w:cs="Arial"/>
          <w:i/>
          <w:spacing w:val="11"/>
          <w:sz w:val="22"/>
          <w:szCs w:val="22"/>
        </w:rPr>
        <w:t>d</w:t>
      </w:r>
      <w:r w:rsidRPr="00332C4C">
        <w:rPr>
          <w:rFonts w:eastAsia="Arial" w:cs="Arial"/>
          <w:i/>
          <w:sz w:val="22"/>
          <w:szCs w:val="22"/>
        </w:rPr>
        <w:t>e</w:t>
      </w:r>
      <w:r w:rsidRPr="00332C4C">
        <w:rPr>
          <w:rFonts w:eastAsia="Arial" w:cs="Arial"/>
          <w:i/>
          <w:spacing w:val="4"/>
          <w:sz w:val="22"/>
          <w:szCs w:val="22"/>
        </w:rPr>
        <w:t xml:space="preserve"> </w:t>
      </w:r>
      <w:r w:rsidRPr="00332C4C">
        <w:rPr>
          <w:rFonts w:eastAsia="Arial" w:cs="Arial"/>
          <w:i/>
          <w:spacing w:val="-3"/>
          <w:sz w:val="22"/>
          <w:szCs w:val="22"/>
        </w:rPr>
        <w:t>l</w:t>
      </w:r>
      <w:r w:rsidRPr="00332C4C">
        <w:rPr>
          <w:rFonts w:eastAsia="Arial" w:cs="Arial"/>
          <w:i/>
          <w:sz w:val="22"/>
          <w:szCs w:val="22"/>
        </w:rPr>
        <w:t>a in</w:t>
      </w:r>
      <w:r w:rsidRPr="00332C4C">
        <w:rPr>
          <w:rFonts w:eastAsia="Arial" w:cs="Arial"/>
          <w:i/>
          <w:spacing w:val="1"/>
          <w:sz w:val="22"/>
          <w:szCs w:val="22"/>
        </w:rPr>
        <w:t>fo</w:t>
      </w:r>
      <w:r w:rsidRPr="00332C4C">
        <w:rPr>
          <w:rFonts w:eastAsia="Arial" w:cs="Arial"/>
          <w:i/>
          <w:sz w:val="22"/>
          <w:szCs w:val="22"/>
        </w:rPr>
        <w:t>r</w:t>
      </w:r>
      <w:r w:rsidRPr="00332C4C">
        <w:rPr>
          <w:rFonts w:eastAsia="Arial" w:cs="Arial"/>
          <w:i/>
          <w:spacing w:val="-1"/>
          <w:sz w:val="22"/>
          <w:szCs w:val="22"/>
        </w:rPr>
        <w:t>m</w:t>
      </w:r>
      <w:r w:rsidRPr="00332C4C">
        <w:rPr>
          <w:rFonts w:eastAsia="Arial" w:cs="Arial"/>
          <w:i/>
          <w:spacing w:val="1"/>
          <w:sz w:val="22"/>
          <w:szCs w:val="22"/>
        </w:rPr>
        <w:t>a</w:t>
      </w:r>
      <w:r w:rsidRPr="00332C4C">
        <w:rPr>
          <w:rFonts w:eastAsia="Arial" w:cs="Arial"/>
          <w:i/>
          <w:sz w:val="22"/>
          <w:szCs w:val="22"/>
        </w:rPr>
        <w:t>ción</w:t>
      </w:r>
      <w:r w:rsidRPr="00332C4C">
        <w:rPr>
          <w:rFonts w:eastAsia="Arial" w:cs="Arial"/>
          <w:i/>
          <w:spacing w:val="3"/>
          <w:sz w:val="22"/>
          <w:szCs w:val="22"/>
        </w:rPr>
        <w:t xml:space="preserve"> </w:t>
      </w:r>
      <w:r w:rsidRPr="00332C4C">
        <w:rPr>
          <w:rFonts w:eastAsia="Arial" w:cs="Arial"/>
          <w:i/>
          <w:sz w:val="22"/>
          <w:szCs w:val="22"/>
        </w:rPr>
        <w:t>c</w:t>
      </w:r>
      <w:r w:rsidRPr="00332C4C">
        <w:rPr>
          <w:rFonts w:eastAsia="Arial" w:cs="Arial"/>
          <w:i/>
          <w:spacing w:val="-1"/>
          <w:sz w:val="22"/>
          <w:szCs w:val="22"/>
        </w:rPr>
        <w:t>on</w:t>
      </w:r>
      <w:r w:rsidRPr="00332C4C">
        <w:rPr>
          <w:rFonts w:eastAsia="Arial" w:cs="Arial"/>
          <w:i/>
          <w:spacing w:val="3"/>
          <w:sz w:val="22"/>
          <w:szCs w:val="22"/>
        </w:rPr>
        <w:t>f</w:t>
      </w:r>
      <w:r w:rsidRPr="00332C4C">
        <w:rPr>
          <w:rFonts w:eastAsia="Arial" w:cs="Arial"/>
          <w:i/>
          <w:sz w:val="22"/>
          <w:szCs w:val="22"/>
        </w:rPr>
        <w:t>id</w:t>
      </w:r>
      <w:r w:rsidRPr="00332C4C">
        <w:rPr>
          <w:rFonts w:eastAsia="Arial" w:cs="Arial"/>
          <w:i/>
          <w:spacing w:val="-1"/>
          <w:sz w:val="22"/>
          <w:szCs w:val="22"/>
        </w:rPr>
        <w:t>e</w:t>
      </w:r>
      <w:r w:rsidRPr="00332C4C">
        <w:rPr>
          <w:rFonts w:eastAsia="Arial" w:cs="Arial"/>
          <w:i/>
          <w:spacing w:val="1"/>
          <w:sz w:val="22"/>
          <w:szCs w:val="22"/>
        </w:rPr>
        <w:t>n</w:t>
      </w:r>
      <w:r w:rsidRPr="00332C4C">
        <w:rPr>
          <w:rFonts w:eastAsia="Arial" w:cs="Arial"/>
          <w:i/>
          <w:spacing w:val="-2"/>
          <w:sz w:val="22"/>
          <w:szCs w:val="22"/>
        </w:rPr>
        <w:t>c</w:t>
      </w:r>
      <w:r w:rsidRPr="00332C4C">
        <w:rPr>
          <w:rFonts w:eastAsia="Arial" w:cs="Arial"/>
          <w:i/>
          <w:sz w:val="22"/>
          <w:szCs w:val="22"/>
        </w:rPr>
        <w:t>ial.</w:t>
      </w:r>
      <w:r w:rsidRPr="00332C4C">
        <w:rPr>
          <w:rFonts w:eastAsia="Arial" w:cs="Arial"/>
          <w:i/>
          <w:spacing w:val="2"/>
          <w:sz w:val="22"/>
          <w:szCs w:val="22"/>
        </w:rPr>
        <w:t xml:space="preserve"> </w:t>
      </w:r>
      <w:r w:rsidRPr="00332C4C">
        <w:rPr>
          <w:rFonts w:eastAsia="Arial" w:cs="Arial"/>
          <w:i/>
          <w:sz w:val="22"/>
          <w:szCs w:val="22"/>
        </w:rPr>
        <w:t>P</w:t>
      </w:r>
      <w:r w:rsidRPr="00332C4C">
        <w:rPr>
          <w:rFonts w:eastAsia="Arial" w:cs="Arial"/>
          <w:i/>
          <w:spacing w:val="1"/>
          <w:sz w:val="22"/>
          <w:szCs w:val="22"/>
        </w:rPr>
        <w:t>o</w:t>
      </w:r>
      <w:r w:rsidRPr="00332C4C">
        <w:rPr>
          <w:rFonts w:eastAsia="Arial" w:cs="Arial"/>
          <w:i/>
          <w:sz w:val="22"/>
          <w:szCs w:val="22"/>
        </w:rPr>
        <w:t>r</w:t>
      </w:r>
      <w:r w:rsidRPr="00332C4C">
        <w:rPr>
          <w:rFonts w:eastAsia="Arial" w:cs="Arial"/>
          <w:i/>
          <w:spacing w:val="1"/>
          <w:sz w:val="22"/>
          <w:szCs w:val="22"/>
        </w:rPr>
        <w:t xml:space="preserve"> </w:t>
      </w:r>
      <w:r w:rsidRPr="00332C4C">
        <w:rPr>
          <w:rFonts w:eastAsia="Arial" w:cs="Arial"/>
          <w:i/>
          <w:sz w:val="22"/>
          <w:szCs w:val="22"/>
        </w:rPr>
        <w:t>lo</w:t>
      </w:r>
      <w:r w:rsidRPr="00332C4C">
        <w:rPr>
          <w:rFonts w:eastAsia="Arial" w:cs="Arial"/>
          <w:i/>
          <w:spacing w:val="2"/>
          <w:sz w:val="22"/>
          <w:szCs w:val="22"/>
        </w:rPr>
        <w:t xml:space="preserve"> </w:t>
      </w:r>
      <w:r w:rsidRPr="00332C4C">
        <w:rPr>
          <w:rFonts w:eastAsia="Arial" w:cs="Arial"/>
          <w:i/>
          <w:spacing w:val="1"/>
          <w:sz w:val="22"/>
          <w:szCs w:val="22"/>
        </w:rPr>
        <w:t>an</w:t>
      </w:r>
      <w:r w:rsidRPr="00332C4C">
        <w:rPr>
          <w:rFonts w:eastAsia="Arial" w:cs="Arial"/>
          <w:i/>
          <w:spacing w:val="-2"/>
          <w:sz w:val="22"/>
          <w:szCs w:val="22"/>
        </w:rPr>
        <w:t>t</w:t>
      </w:r>
      <w:r w:rsidRPr="00332C4C">
        <w:rPr>
          <w:rFonts w:eastAsia="Arial" w:cs="Arial"/>
          <w:i/>
          <w:spacing w:val="1"/>
          <w:sz w:val="22"/>
          <w:szCs w:val="22"/>
        </w:rPr>
        <w:t>e</w:t>
      </w:r>
      <w:r w:rsidRPr="00332C4C">
        <w:rPr>
          <w:rFonts w:eastAsia="Arial" w:cs="Arial"/>
          <w:i/>
          <w:sz w:val="22"/>
          <w:szCs w:val="22"/>
        </w:rPr>
        <w:t>r</w:t>
      </w:r>
      <w:r w:rsidRPr="00332C4C">
        <w:rPr>
          <w:rFonts w:eastAsia="Arial" w:cs="Arial"/>
          <w:i/>
          <w:spacing w:val="-1"/>
          <w:sz w:val="22"/>
          <w:szCs w:val="22"/>
        </w:rPr>
        <w:t>i</w:t>
      </w:r>
      <w:r w:rsidRPr="00332C4C">
        <w:rPr>
          <w:rFonts w:eastAsia="Arial" w:cs="Arial"/>
          <w:i/>
          <w:spacing w:val="1"/>
          <w:sz w:val="22"/>
          <w:szCs w:val="22"/>
        </w:rPr>
        <w:t>o</w:t>
      </w:r>
      <w:r w:rsidRPr="00332C4C">
        <w:rPr>
          <w:rFonts w:eastAsia="Arial" w:cs="Arial"/>
          <w:i/>
          <w:sz w:val="22"/>
          <w:szCs w:val="22"/>
        </w:rPr>
        <w:t>r,</w:t>
      </w:r>
      <w:r w:rsidRPr="00332C4C">
        <w:rPr>
          <w:rFonts w:eastAsia="Arial" w:cs="Arial"/>
          <w:i/>
          <w:spacing w:val="2"/>
          <w:sz w:val="22"/>
          <w:szCs w:val="22"/>
        </w:rPr>
        <w:t xml:space="preserve"> </w:t>
      </w:r>
      <w:r w:rsidRPr="00332C4C">
        <w:rPr>
          <w:rFonts w:eastAsia="Arial" w:cs="Arial"/>
          <w:b/>
          <w:i/>
          <w:sz w:val="22"/>
          <w:szCs w:val="22"/>
        </w:rPr>
        <w:t>la</w:t>
      </w:r>
      <w:r w:rsidRPr="00332C4C">
        <w:rPr>
          <w:rFonts w:eastAsia="Arial" w:cs="Arial"/>
          <w:b/>
          <w:i/>
          <w:spacing w:val="2"/>
          <w:sz w:val="22"/>
          <w:szCs w:val="22"/>
        </w:rPr>
        <w:t xml:space="preserve"> </w:t>
      </w:r>
      <w:r w:rsidRPr="00332C4C">
        <w:rPr>
          <w:rFonts w:eastAsia="Arial" w:cs="Arial"/>
          <w:b/>
          <w:i/>
          <w:sz w:val="22"/>
          <w:szCs w:val="22"/>
        </w:rPr>
        <w:t>clasi</w:t>
      </w:r>
      <w:r w:rsidRPr="00332C4C">
        <w:rPr>
          <w:rFonts w:eastAsia="Arial" w:cs="Arial"/>
          <w:b/>
          <w:i/>
          <w:spacing w:val="3"/>
          <w:sz w:val="22"/>
          <w:szCs w:val="22"/>
        </w:rPr>
        <w:t>f</w:t>
      </w:r>
      <w:r w:rsidRPr="00332C4C">
        <w:rPr>
          <w:rFonts w:eastAsia="Arial" w:cs="Arial"/>
          <w:b/>
          <w:i/>
          <w:sz w:val="22"/>
          <w:szCs w:val="22"/>
        </w:rPr>
        <w:t>i</w:t>
      </w:r>
      <w:r w:rsidRPr="00332C4C">
        <w:rPr>
          <w:rFonts w:eastAsia="Arial" w:cs="Arial"/>
          <w:b/>
          <w:i/>
          <w:spacing w:val="-3"/>
          <w:sz w:val="22"/>
          <w:szCs w:val="22"/>
        </w:rPr>
        <w:t>c</w:t>
      </w:r>
      <w:r w:rsidRPr="00332C4C">
        <w:rPr>
          <w:rFonts w:eastAsia="Arial" w:cs="Arial"/>
          <w:b/>
          <w:i/>
          <w:spacing w:val="1"/>
          <w:sz w:val="22"/>
          <w:szCs w:val="22"/>
        </w:rPr>
        <w:t>a</w:t>
      </w:r>
      <w:r w:rsidRPr="00332C4C">
        <w:rPr>
          <w:rFonts w:eastAsia="Arial" w:cs="Arial"/>
          <w:b/>
          <w:i/>
          <w:sz w:val="22"/>
          <w:szCs w:val="22"/>
        </w:rPr>
        <w:t>ción</w:t>
      </w:r>
      <w:r w:rsidRPr="00332C4C">
        <w:rPr>
          <w:rFonts w:eastAsia="Arial" w:cs="Arial"/>
          <w:b/>
          <w:i/>
          <w:spacing w:val="3"/>
          <w:sz w:val="22"/>
          <w:szCs w:val="22"/>
        </w:rPr>
        <w:t xml:space="preserve"> </w:t>
      </w:r>
      <w:r w:rsidRPr="00332C4C">
        <w:rPr>
          <w:rFonts w:eastAsia="Arial" w:cs="Arial"/>
          <w:b/>
          <w:i/>
          <w:sz w:val="22"/>
          <w:szCs w:val="22"/>
        </w:rPr>
        <w:t>y la</w:t>
      </w:r>
      <w:r w:rsidRPr="00332C4C">
        <w:rPr>
          <w:rFonts w:eastAsia="Arial" w:cs="Arial"/>
          <w:b/>
          <w:i/>
          <w:spacing w:val="2"/>
          <w:sz w:val="22"/>
          <w:szCs w:val="22"/>
        </w:rPr>
        <w:t xml:space="preserve"> i</w:t>
      </w:r>
      <w:r w:rsidRPr="00332C4C">
        <w:rPr>
          <w:rFonts w:eastAsia="Arial" w:cs="Arial"/>
          <w:b/>
          <w:i/>
          <w:spacing w:val="1"/>
          <w:sz w:val="22"/>
          <w:szCs w:val="22"/>
        </w:rPr>
        <w:t>ne</w:t>
      </w:r>
      <w:r w:rsidRPr="00332C4C">
        <w:rPr>
          <w:rFonts w:eastAsia="Arial" w:cs="Arial"/>
          <w:b/>
          <w:i/>
          <w:spacing w:val="-2"/>
          <w:sz w:val="22"/>
          <w:szCs w:val="22"/>
        </w:rPr>
        <w:t>x</w:t>
      </w:r>
      <w:r w:rsidRPr="00332C4C">
        <w:rPr>
          <w:rFonts w:eastAsia="Arial" w:cs="Arial"/>
          <w:b/>
          <w:i/>
          <w:sz w:val="22"/>
          <w:szCs w:val="22"/>
        </w:rPr>
        <w:t>ist</w:t>
      </w:r>
      <w:r w:rsidRPr="00332C4C">
        <w:rPr>
          <w:rFonts w:eastAsia="Arial" w:cs="Arial"/>
          <w:b/>
          <w:i/>
          <w:spacing w:val="1"/>
          <w:sz w:val="22"/>
          <w:szCs w:val="22"/>
        </w:rPr>
        <w:t>en</w:t>
      </w:r>
      <w:r w:rsidRPr="00332C4C">
        <w:rPr>
          <w:rFonts w:eastAsia="Arial" w:cs="Arial"/>
          <w:b/>
          <w:i/>
          <w:sz w:val="22"/>
          <w:szCs w:val="22"/>
        </w:rPr>
        <w:t>cia</w:t>
      </w:r>
      <w:r w:rsidRPr="00332C4C">
        <w:rPr>
          <w:rFonts w:eastAsia="Arial" w:cs="Arial"/>
          <w:b/>
          <w:i/>
          <w:spacing w:val="2"/>
          <w:sz w:val="22"/>
          <w:szCs w:val="22"/>
        </w:rPr>
        <w:t xml:space="preserve"> </w:t>
      </w:r>
      <w:r w:rsidRPr="00332C4C">
        <w:rPr>
          <w:rFonts w:eastAsia="Arial" w:cs="Arial"/>
          <w:b/>
          <w:i/>
          <w:spacing w:val="-1"/>
          <w:sz w:val="22"/>
          <w:szCs w:val="22"/>
        </w:rPr>
        <w:t>n</w:t>
      </w:r>
      <w:r w:rsidRPr="00332C4C">
        <w:rPr>
          <w:rFonts w:eastAsia="Arial" w:cs="Arial"/>
          <w:b/>
          <w:i/>
          <w:sz w:val="22"/>
          <w:szCs w:val="22"/>
        </w:rPr>
        <w:t>o c</w:t>
      </w:r>
      <w:r w:rsidRPr="00332C4C">
        <w:rPr>
          <w:rFonts w:eastAsia="Arial" w:cs="Arial"/>
          <w:b/>
          <w:i/>
          <w:spacing w:val="1"/>
          <w:sz w:val="22"/>
          <w:szCs w:val="22"/>
        </w:rPr>
        <w:t>oe</w:t>
      </w:r>
      <w:r w:rsidRPr="00332C4C">
        <w:rPr>
          <w:rFonts w:eastAsia="Arial" w:cs="Arial"/>
          <w:b/>
          <w:i/>
          <w:spacing w:val="-2"/>
          <w:sz w:val="22"/>
          <w:szCs w:val="22"/>
        </w:rPr>
        <w:t>x</w:t>
      </w:r>
      <w:r w:rsidRPr="00332C4C">
        <w:rPr>
          <w:rFonts w:eastAsia="Arial" w:cs="Arial"/>
          <w:b/>
          <w:i/>
          <w:sz w:val="22"/>
          <w:szCs w:val="22"/>
        </w:rPr>
        <w:t>ist</w:t>
      </w:r>
      <w:r w:rsidRPr="00332C4C">
        <w:rPr>
          <w:rFonts w:eastAsia="Arial" w:cs="Arial"/>
          <w:b/>
          <w:i/>
          <w:spacing w:val="1"/>
          <w:sz w:val="22"/>
          <w:szCs w:val="22"/>
        </w:rPr>
        <w:t>e</w:t>
      </w:r>
      <w:r w:rsidRPr="00332C4C">
        <w:rPr>
          <w:rFonts w:eastAsia="Arial" w:cs="Arial"/>
          <w:b/>
          <w:i/>
          <w:sz w:val="22"/>
          <w:szCs w:val="22"/>
        </w:rPr>
        <w:t>n</w:t>
      </w:r>
      <w:r w:rsidRPr="00332C4C">
        <w:rPr>
          <w:rFonts w:eastAsia="Arial" w:cs="Arial"/>
          <w:b/>
          <w:i/>
          <w:spacing w:val="2"/>
          <w:sz w:val="22"/>
          <w:szCs w:val="22"/>
        </w:rPr>
        <w:t xml:space="preserve"> </w:t>
      </w:r>
      <w:r w:rsidRPr="00332C4C">
        <w:rPr>
          <w:rFonts w:eastAsia="Arial" w:cs="Arial"/>
          <w:b/>
          <w:i/>
          <w:spacing w:val="1"/>
          <w:sz w:val="22"/>
          <w:szCs w:val="22"/>
        </w:rPr>
        <w:t>en</w:t>
      </w:r>
      <w:r w:rsidRPr="00332C4C">
        <w:rPr>
          <w:rFonts w:eastAsia="Arial" w:cs="Arial"/>
          <w:b/>
          <w:i/>
          <w:sz w:val="22"/>
          <w:szCs w:val="22"/>
        </w:rPr>
        <w:t>t</w:t>
      </w:r>
      <w:r w:rsidRPr="00332C4C">
        <w:rPr>
          <w:rFonts w:eastAsia="Arial" w:cs="Arial"/>
          <w:b/>
          <w:i/>
          <w:spacing w:val="-3"/>
          <w:sz w:val="22"/>
          <w:szCs w:val="22"/>
        </w:rPr>
        <w:t>r</w:t>
      </w:r>
      <w:r w:rsidRPr="00332C4C">
        <w:rPr>
          <w:rFonts w:eastAsia="Arial" w:cs="Arial"/>
          <w:b/>
          <w:i/>
          <w:sz w:val="22"/>
          <w:szCs w:val="22"/>
        </w:rPr>
        <w:t>e</w:t>
      </w:r>
      <w:r w:rsidRPr="00332C4C">
        <w:rPr>
          <w:rFonts w:eastAsia="Arial" w:cs="Arial"/>
          <w:b/>
          <w:i/>
          <w:spacing w:val="2"/>
          <w:sz w:val="22"/>
          <w:szCs w:val="22"/>
        </w:rPr>
        <w:t xml:space="preserve"> </w:t>
      </w:r>
      <w:r w:rsidRPr="00332C4C">
        <w:rPr>
          <w:rFonts w:eastAsia="Arial" w:cs="Arial"/>
          <w:b/>
          <w:i/>
          <w:sz w:val="22"/>
          <w:szCs w:val="22"/>
        </w:rPr>
        <w:t>s</w:t>
      </w:r>
      <w:r w:rsidRPr="00332C4C">
        <w:rPr>
          <w:rFonts w:eastAsia="Arial" w:cs="Arial"/>
          <w:b/>
          <w:i/>
          <w:spacing w:val="-2"/>
          <w:sz w:val="22"/>
          <w:szCs w:val="22"/>
        </w:rPr>
        <w:t>í</w:t>
      </w:r>
      <w:r w:rsidRPr="00332C4C">
        <w:rPr>
          <w:rFonts w:eastAsia="Arial" w:cs="Arial"/>
          <w:b/>
          <w:i/>
          <w:sz w:val="22"/>
          <w:szCs w:val="22"/>
        </w:rPr>
        <w:t>,</w:t>
      </w:r>
      <w:r w:rsidRPr="00332C4C">
        <w:rPr>
          <w:rFonts w:eastAsia="Arial" w:cs="Arial"/>
          <w:b/>
          <w:i/>
          <w:spacing w:val="2"/>
          <w:sz w:val="22"/>
          <w:szCs w:val="22"/>
        </w:rPr>
        <w:t xml:space="preserve"> </w:t>
      </w:r>
      <w:r w:rsidRPr="00332C4C">
        <w:rPr>
          <w:rFonts w:eastAsia="Arial" w:cs="Arial"/>
          <w:b/>
          <w:i/>
          <w:spacing w:val="1"/>
          <w:sz w:val="22"/>
          <w:szCs w:val="22"/>
        </w:rPr>
        <w:t>e</w:t>
      </w:r>
      <w:r w:rsidRPr="00332C4C">
        <w:rPr>
          <w:rFonts w:eastAsia="Arial" w:cs="Arial"/>
          <w:b/>
          <w:i/>
          <w:sz w:val="22"/>
          <w:szCs w:val="22"/>
        </w:rPr>
        <w:t>n</w:t>
      </w:r>
      <w:r w:rsidRPr="00332C4C">
        <w:rPr>
          <w:rFonts w:eastAsia="Arial" w:cs="Arial"/>
          <w:b/>
          <w:i/>
          <w:spacing w:val="2"/>
          <w:sz w:val="22"/>
          <w:szCs w:val="22"/>
        </w:rPr>
        <w:t xml:space="preserve"> </w:t>
      </w:r>
      <w:r w:rsidRPr="00332C4C">
        <w:rPr>
          <w:rFonts w:eastAsia="Arial" w:cs="Arial"/>
          <w:b/>
          <w:i/>
          <w:spacing w:val="-2"/>
          <w:sz w:val="22"/>
          <w:szCs w:val="22"/>
        </w:rPr>
        <w:t>v</w:t>
      </w:r>
      <w:r w:rsidRPr="00332C4C">
        <w:rPr>
          <w:rFonts w:eastAsia="Arial" w:cs="Arial"/>
          <w:b/>
          <w:i/>
          <w:sz w:val="22"/>
          <w:szCs w:val="22"/>
        </w:rPr>
        <w:t>i</w:t>
      </w:r>
      <w:r w:rsidRPr="00332C4C">
        <w:rPr>
          <w:rFonts w:eastAsia="Arial" w:cs="Arial"/>
          <w:b/>
          <w:i/>
          <w:spacing w:val="-1"/>
          <w:sz w:val="22"/>
          <w:szCs w:val="22"/>
        </w:rPr>
        <w:t>r</w:t>
      </w:r>
      <w:r w:rsidRPr="00332C4C">
        <w:rPr>
          <w:rFonts w:eastAsia="Arial" w:cs="Arial"/>
          <w:b/>
          <w:i/>
          <w:sz w:val="22"/>
          <w:szCs w:val="22"/>
        </w:rPr>
        <w:t>t</w:t>
      </w:r>
      <w:r w:rsidRPr="00332C4C">
        <w:rPr>
          <w:rFonts w:eastAsia="Arial" w:cs="Arial"/>
          <w:b/>
          <w:i/>
          <w:spacing w:val="1"/>
          <w:sz w:val="22"/>
          <w:szCs w:val="22"/>
        </w:rPr>
        <w:t>u</w:t>
      </w:r>
      <w:r w:rsidRPr="00332C4C">
        <w:rPr>
          <w:rFonts w:eastAsia="Arial" w:cs="Arial"/>
          <w:b/>
          <w:i/>
          <w:sz w:val="22"/>
          <w:szCs w:val="22"/>
        </w:rPr>
        <w:t>d</w:t>
      </w:r>
      <w:r w:rsidRPr="00332C4C">
        <w:rPr>
          <w:rFonts w:eastAsia="Arial" w:cs="Arial"/>
          <w:b/>
          <w:i/>
          <w:spacing w:val="2"/>
          <w:sz w:val="22"/>
          <w:szCs w:val="22"/>
        </w:rPr>
        <w:t xml:space="preserve"> </w:t>
      </w:r>
      <w:r w:rsidRPr="00332C4C">
        <w:rPr>
          <w:rFonts w:eastAsia="Arial" w:cs="Arial"/>
          <w:b/>
          <w:i/>
          <w:spacing w:val="1"/>
          <w:sz w:val="22"/>
          <w:szCs w:val="22"/>
        </w:rPr>
        <w:t>d</w:t>
      </w:r>
      <w:r w:rsidRPr="00332C4C">
        <w:rPr>
          <w:rFonts w:eastAsia="Arial" w:cs="Arial"/>
          <w:b/>
          <w:i/>
          <w:sz w:val="22"/>
          <w:szCs w:val="22"/>
        </w:rPr>
        <w:t>e</w:t>
      </w:r>
      <w:r w:rsidRPr="00332C4C">
        <w:rPr>
          <w:rFonts w:eastAsia="Arial" w:cs="Arial"/>
          <w:b/>
          <w:i/>
          <w:spacing w:val="2"/>
          <w:sz w:val="22"/>
          <w:szCs w:val="22"/>
        </w:rPr>
        <w:t xml:space="preserve"> </w:t>
      </w:r>
      <w:r w:rsidRPr="00332C4C">
        <w:rPr>
          <w:rFonts w:eastAsia="Arial" w:cs="Arial"/>
          <w:b/>
          <w:i/>
          <w:spacing w:val="-1"/>
          <w:sz w:val="22"/>
          <w:szCs w:val="22"/>
        </w:rPr>
        <w:t>q</w:t>
      </w:r>
      <w:r w:rsidRPr="00332C4C">
        <w:rPr>
          <w:rFonts w:eastAsia="Arial" w:cs="Arial"/>
          <w:b/>
          <w:i/>
          <w:spacing w:val="1"/>
          <w:sz w:val="22"/>
          <w:szCs w:val="22"/>
        </w:rPr>
        <w:t>u</w:t>
      </w:r>
      <w:r w:rsidRPr="00332C4C">
        <w:rPr>
          <w:rFonts w:eastAsia="Arial" w:cs="Arial"/>
          <w:b/>
          <w:i/>
          <w:sz w:val="22"/>
          <w:szCs w:val="22"/>
        </w:rPr>
        <w:t>e</w:t>
      </w:r>
      <w:r w:rsidRPr="00332C4C">
        <w:rPr>
          <w:rFonts w:eastAsia="Arial" w:cs="Arial"/>
          <w:b/>
          <w:i/>
          <w:spacing w:val="2"/>
          <w:sz w:val="22"/>
          <w:szCs w:val="22"/>
        </w:rPr>
        <w:t xml:space="preserve"> </w:t>
      </w:r>
      <w:r w:rsidRPr="00332C4C">
        <w:rPr>
          <w:rFonts w:eastAsia="Arial" w:cs="Arial"/>
          <w:b/>
          <w:i/>
          <w:sz w:val="22"/>
          <w:szCs w:val="22"/>
        </w:rPr>
        <w:t>la clasi</w:t>
      </w:r>
      <w:r w:rsidRPr="00332C4C">
        <w:rPr>
          <w:rFonts w:eastAsia="Arial" w:cs="Arial"/>
          <w:b/>
          <w:i/>
          <w:spacing w:val="3"/>
          <w:sz w:val="22"/>
          <w:szCs w:val="22"/>
        </w:rPr>
        <w:t>f</w:t>
      </w:r>
      <w:r w:rsidRPr="00332C4C">
        <w:rPr>
          <w:rFonts w:eastAsia="Arial" w:cs="Arial"/>
          <w:b/>
          <w:i/>
          <w:sz w:val="22"/>
          <w:szCs w:val="22"/>
        </w:rPr>
        <w:t>icaci</w:t>
      </w:r>
      <w:r w:rsidRPr="00332C4C">
        <w:rPr>
          <w:rFonts w:eastAsia="Arial" w:cs="Arial"/>
          <w:b/>
          <w:i/>
          <w:spacing w:val="-2"/>
          <w:sz w:val="22"/>
          <w:szCs w:val="22"/>
        </w:rPr>
        <w:t>ó</w:t>
      </w:r>
      <w:r w:rsidRPr="00332C4C">
        <w:rPr>
          <w:rFonts w:eastAsia="Arial" w:cs="Arial"/>
          <w:b/>
          <w:i/>
          <w:sz w:val="22"/>
          <w:szCs w:val="22"/>
        </w:rPr>
        <w:t>n</w:t>
      </w:r>
      <w:r w:rsidRPr="00332C4C">
        <w:rPr>
          <w:rFonts w:eastAsia="Arial" w:cs="Arial"/>
          <w:b/>
          <w:i/>
          <w:spacing w:val="2"/>
          <w:sz w:val="22"/>
          <w:szCs w:val="22"/>
        </w:rPr>
        <w:t xml:space="preserve"> </w:t>
      </w:r>
      <w:r w:rsidRPr="00332C4C">
        <w:rPr>
          <w:rFonts w:eastAsia="Arial" w:cs="Arial"/>
          <w:b/>
          <w:i/>
          <w:spacing w:val="-1"/>
          <w:sz w:val="22"/>
          <w:szCs w:val="22"/>
        </w:rPr>
        <w:t>d</w:t>
      </w:r>
      <w:r w:rsidRPr="00332C4C">
        <w:rPr>
          <w:rFonts w:eastAsia="Arial" w:cs="Arial"/>
          <w:b/>
          <w:i/>
          <w:sz w:val="22"/>
          <w:szCs w:val="22"/>
        </w:rPr>
        <w:t>e</w:t>
      </w:r>
      <w:r w:rsidRPr="00332C4C">
        <w:rPr>
          <w:rFonts w:eastAsia="Arial" w:cs="Arial"/>
          <w:b/>
          <w:i/>
          <w:spacing w:val="2"/>
          <w:sz w:val="22"/>
          <w:szCs w:val="22"/>
        </w:rPr>
        <w:t xml:space="preserve"> </w:t>
      </w:r>
      <w:r w:rsidRPr="00332C4C">
        <w:rPr>
          <w:rFonts w:eastAsia="Arial" w:cs="Arial"/>
          <w:b/>
          <w:i/>
          <w:sz w:val="22"/>
          <w:szCs w:val="22"/>
        </w:rPr>
        <w:t>i</w:t>
      </w:r>
      <w:r w:rsidRPr="00332C4C">
        <w:rPr>
          <w:rFonts w:eastAsia="Arial" w:cs="Arial"/>
          <w:b/>
          <w:i/>
          <w:spacing w:val="-2"/>
          <w:sz w:val="22"/>
          <w:szCs w:val="22"/>
        </w:rPr>
        <w:t>n</w:t>
      </w:r>
      <w:r w:rsidRPr="00332C4C">
        <w:rPr>
          <w:rFonts w:eastAsia="Arial" w:cs="Arial"/>
          <w:b/>
          <w:i/>
          <w:spacing w:val="3"/>
          <w:sz w:val="22"/>
          <w:szCs w:val="22"/>
        </w:rPr>
        <w:t>f</w:t>
      </w:r>
      <w:r w:rsidRPr="00332C4C">
        <w:rPr>
          <w:rFonts w:eastAsia="Arial" w:cs="Arial"/>
          <w:b/>
          <w:i/>
          <w:spacing w:val="1"/>
          <w:sz w:val="22"/>
          <w:szCs w:val="22"/>
        </w:rPr>
        <w:t>o</w:t>
      </w:r>
      <w:r w:rsidRPr="00332C4C">
        <w:rPr>
          <w:rFonts w:eastAsia="Arial" w:cs="Arial"/>
          <w:b/>
          <w:i/>
          <w:spacing w:val="-3"/>
          <w:sz w:val="22"/>
          <w:szCs w:val="22"/>
        </w:rPr>
        <w:t>r</w:t>
      </w:r>
      <w:r w:rsidRPr="00332C4C">
        <w:rPr>
          <w:rFonts w:eastAsia="Arial" w:cs="Arial"/>
          <w:b/>
          <w:i/>
          <w:spacing w:val="1"/>
          <w:sz w:val="22"/>
          <w:szCs w:val="22"/>
        </w:rPr>
        <w:t>ma</w:t>
      </w:r>
      <w:r w:rsidRPr="00332C4C">
        <w:rPr>
          <w:rFonts w:eastAsia="Arial" w:cs="Arial"/>
          <w:b/>
          <w:i/>
          <w:sz w:val="22"/>
          <w:szCs w:val="22"/>
        </w:rPr>
        <w:t>ci</w:t>
      </w:r>
      <w:r w:rsidRPr="00332C4C">
        <w:rPr>
          <w:rFonts w:eastAsia="Arial" w:cs="Arial"/>
          <w:b/>
          <w:i/>
          <w:spacing w:val="-2"/>
          <w:sz w:val="22"/>
          <w:szCs w:val="22"/>
        </w:rPr>
        <w:t>ó</w:t>
      </w:r>
      <w:r w:rsidRPr="00332C4C">
        <w:rPr>
          <w:rFonts w:eastAsia="Arial" w:cs="Arial"/>
          <w:b/>
          <w:i/>
          <w:sz w:val="22"/>
          <w:szCs w:val="22"/>
        </w:rPr>
        <w:t>n</w:t>
      </w:r>
      <w:r w:rsidRPr="00332C4C">
        <w:rPr>
          <w:rFonts w:eastAsia="Arial" w:cs="Arial"/>
          <w:b/>
          <w:i/>
          <w:spacing w:val="2"/>
          <w:sz w:val="22"/>
          <w:szCs w:val="22"/>
        </w:rPr>
        <w:t xml:space="preserve"> </w:t>
      </w:r>
      <w:r w:rsidRPr="00332C4C">
        <w:rPr>
          <w:rFonts w:eastAsia="Arial" w:cs="Arial"/>
          <w:b/>
          <w:i/>
          <w:sz w:val="22"/>
          <w:szCs w:val="22"/>
        </w:rPr>
        <w:t>i</w:t>
      </w:r>
      <w:r w:rsidRPr="00332C4C">
        <w:rPr>
          <w:rFonts w:eastAsia="Arial" w:cs="Arial"/>
          <w:b/>
          <w:i/>
          <w:spacing w:val="1"/>
          <w:sz w:val="22"/>
          <w:szCs w:val="22"/>
        </w:rPr>
        <w:t>mp</w:t>
      </w:r>
      <w:r w:rsidRPr="00332C4C">
        <w:rPr>
          <w:rFonts w:eastAsia="Arial" w:cs="Arial"/>
          <w:b/>
          <w:i/>
          <w:sz w:val="22"/>
          <w:szCs w:val="22"/>
        </w:rPr>
        <w:t>l</w:t>
      </w:r>
      <w:r w:rsidRPr="00332C4C">
        <w:rPr>
          <w:rFonts w:eastAsia="Arial" w:cs="Arial"/>
          <w:b/>
          <w:i/>
          <w:spacing w:val="-1"/>
          <w:sz w:val="22"/>
          <w:szCs w:val="22"/>
        </w:rPr>
        <w:t>i</w:t>
      </w:r>
      <w:r w:rsidRPr="00332C4C">
        <w:rPr>
          <w:rFonts w:eastAsia="Arial" w:cs="Arial"/>
          <w:b/>
          <w:i/>
          <w:spacing w:val="-2"/>
          <w:sz w:val="22"/>
          <w:szCs w:val="22"/>
        </w:rPr>
        <w:t>c</w:t>
      </w:r>
      <w:r w:rsidRPr="00332C4C">
        <w:rPr>
          <w:rFonts w:eastAsia="Arial" w:cs="Arial"/>
          <w:b/>
          <w:i/>
          <w:sz w:val="22"/>
          <w:szCs w:val="22"/>
        </w:rPr>
        <w:t>a in</w:t>
      </w:r>
      <w:r w:rsidRPr="00332C4C">
        <w:rPr>
          <w:rFonts w:eastAsia="Arial" w:cs="Arial"/>
          <w:b/>
          <w:i/>
          <w:spacing w:val="-2"/>
          <w:sz w:val="22"/>
          <w:szCs w:val="22"/>
        </w:rPr>
        <w:t>v</w:t>
      </w:r>
      <w:r w:rsidRPr="00332C4C">
        <w:rPr>
          <w:rFonts w:eastAsia="Arial" w:cs="Arial"/>
          <w:b/>
          <w:i/>
          <w:spacing w:val="1"/>
          <w:sz w:val="22"/>
          <w:szCs w:val="22"/>
        </w:rPr>
        <w:t>a</w:t>
      </w:r>
      <w:r w:rsidRPr="00332C4C">
        <w:rPr>
          <w:rFonts w:eastAsia="Arial" w:cs="Arial"/>
          <w:b/>
          <w:i/>
          <w:sz w:val="22"/>
          <w:szCs w:val="22"/>
        </w:rPr>
        <w:t>r</w:t>
      </w:r>
      <w:r w:rsidRPr="00332C4C">
        <w:rPr>
          <w:rFonts w:eastAsia="Arial" w:cs="Arial"/>
          <w:b/>
          <w:i/>
          <w:spacing w:val="-1"/>
          <w:sz w:val="22"/>
          <w:szCs w:val="22"/>
        </w:rPr>
        <w:t>i</w:t>
      </w:r>
      <w:r w:rsidRPr="00332C4C">
        <w:rPr>
          <w:rFonts w:eastAsia="Arial" w:cs="Arial"/>
          <w:b/>
          <w:i/>
          <w:spacing w:val="1"/>
          <w:sz w:val="22"/>
          <w:szCs w:val="22"/>
        </w:rPr>
        <w:t>ab</w:t>
      </w:r>
      <w:r w:rsidRPr="00332C4C">
        <w:rPr>
          <w:rFonts w:eastAsia="Arial" w:cs="Arial"/>
          <w:b/>
          <w:i/>
          <w:sz w:val="22"/>
          <w:szCs w:val="22"/>
        </w:rPr>
        <w:t>le</w:t>
      </w:r>
      <w:r w:rsidRPr="00332C4C">
        <w:rPr>
          <w:rFonts w:eastAsia="Arial" w:cs="Arial"/>
          <w:b/>
          <w:i/>
          <w:spacing w:val="2"/>
          <w:sz w:val="22"/>
          <w:szCs w:val="22"/>
        </w:rPr>
        <w:t>m</w:t>
      </w:r>
      <w:r w:rsidRPr="00332C4C">
        <w:rPr>
          <w:rFonts w:eastAsia="Arial" w:cs="Arial"/>
          <w:b/>
          <w:i/>
          <w:spacing w:val="1"/>
          <w:sz w:val="22"/>
          <w:szCs w:val="22"/>
        </w:rPr>
        <w:t>e</w:t>
      </w:r>
      <w:r w:rsidRPr="00332C4C">
        <w:rPr>
          <w:rFonts w:eastAsia="Arial" w:cs="Arial"/>
          <w:b/>
          <w:i/>
          <w:spacing w:val="-1"/>
          <w:sz w:val="22"/>
          <w:szCs w:val="22"/>
        </w:rPr>
        <w:t>n</w:t>
      </w:r>
      <w:r w:rsidRPr="00332C4C">
        <w:rPr>
          <w:rFonts w:eastAsia="Arial" w:cs="Arial"/>
          <w:b/>
          <w:i/>
          <w:sz w:val="22"/>
          <w:szCs w:val="22"/>
        </w:rPr>
        <w:t>te</w:t>
      </w:r>
      <w:r w:rsidRPr="00332C4C">
        <w:rPr>
          <w:rFonts w:eastAsia="Arial" w:cs="Arial"/>
          <w:b/>
          <w:i/>
          <w:spacing w:val="3"/>
          <w:sz w:val="22"/>
          <w:szCs w:val="22"/>
        </w:rPr>
        <w:t xml:space="preserve"> </w:t>
      </w:r>
      <w:r w:rsidRPr="00332C4C">
        <w:rPr>
          <w:rFonts w:eastAsia="Arial" w:cs="Arial"/>
          <w:b/>
          <w:i/>
          <w:sz w:val="22"/>
          <w:szCs w:val="22"/>
        </w:rPr>
        <w:t xml:space="preserve">la </w:t>
      </w:r>
      <w:r w:rsidRPr="00332C4C">
        <w:rPr>
          <w:rFonts w:eastAsia="Arial" w:cs="Arial"/>
          <w:b/>
          <w:i/>
          <w:spacing w:val="1"/>
          <w:sz w:val="22"/>
          <w:szCs w:val="22"/>
        </w:rPr>
        <w:t>e</w:t>
      </w:r>
      <w:r w:rsidRPr="00332C4C">
        <w:rPr>
          <w:rFonts w:eastAsia="Arial" w:cs="Arial"/>
          <w:b/>
          <w:i/>
          <w:spacing w:val="-2"/>
          <w:sz w:val="22"/>
          <w:szCs w:val="22"/>
        </w:rPr>
        <w:t>x</w:t>
      </w:r>
      <w:r w:rsidRPr="00332C4C">
        <w:rPr>
          <w:rFonts w:eastAsia="Arial" w:cs="Arial"/>
          <w:b/>
          <w:i/>
          <w:sz w:val="22"/>
          <w:szCs w:val="22"/>
        </w:rPr>
        <w:t>ist</w:t>
      </w:r>
      <w:r w:rsidRPr="00332C4C">
        <w:rPr>
          <w:rFonts w:eastAsia="Arial" w:cs="Arial"/>
          <w:b/>
          <w:i/>
          <w:spacing w:val="1"/>
          <w:sz w:val="22"/>
          <w:szCs w:val="22"/>
        </w:rPr>
        <w:t>en</w:t>
      </w:r>
      <w:r w:rsidRPr="00332C4C">
        <w:rPr>
          <w:rFonts w:eastAsia="Arial" w:cs="Arial"/>
          <w:b/>
          <w:i/>
          <w:sz w:val="22"/>
          <w:szCs w:val="22"/>
        </w:rPr>
        <w:t>cia</w:t>
      </w:r>
      <w:r w:rsidRPr="00332C4C">
        <w:rPr>
          <w:rFonts w:eastAsia="Arial" w:cs="Arial"/>
          <w:b/>
          <w:i/>
          <w:spacing w:val="2"/>
          <w:sz w:val="22"/>
          <w:szCs w:val="22"/>
        </w:rPr>
        <w:t xml:space="preserve"> </w:t>
      </w:r>
      <w:r w:rsidRPr="00332C4C">
        <w:rPr>
          <w:rFonts w:eastAsia="Arial" w:cs="Arial"/>
          <w:b/>
          <w:i/>
          <w:spacing w:val="-1"/>
          <w:sz w:val="22"/>
          <w:szCs w:val="22"/>
        </w:rPr>
        <w:t>d</w:t>
      </w:r>
      <w:r w:rsidRPr="00332C4C">
        <w:rPr>
          <w:rFonts w:eastAsia="Arial" w:cs="Arial"/>
          <w:b/>
          <w:i/>
          <w:sz w:val="22"/>
          <w:szCs w:val="22"/>
        </w:rPr>
        <w:t>e</w:t>
      </w:r>
      <w:r w:rsidRPr="00332C4C">
        <w:rPr>
          <w:rFonts w:eastAsia="Arial" w:cs="Arial"/>
          <w:b/>
          <w:i/>
          <w:spacing w:val="3"/>
          <w:sz w:val="22"/>
          <w:szCs w:val="22"/>
        </w:rPr>
        <w:t xml:space="preserve"> </w:t>
      </w:r>
      <w:r w:rsidRPr="00332C4C">
        <w:rPr>
          <w:rFonts w:eastAsia="Arial" w:cs="Arial"/>
          <w:b/>
          <w:i/>
          <w:spacing w:val="-1"/>
          <w:sz w:val="22"/>
          <w:szCs w:val="22"/>
        </w:rPr>
        <w:t>u</w:t>
      </w:r>
      <w:r w:rsidRPr="00332C4C">
        <w:rPr>
          <w:rFonts w:eastAsia="Arial" w:cs="Arial"/>
          <w:b/>
          <w:i/>
          <w:sz w:val="22"/>
          <w:szCs w:val="22"/>
        </w:rPr>
        <w:t>n</w:t>
      </w:r>
      <w:r w:rsidRPr="00332C4C">
        <w:rPr>
          <w:rFonts w:eastAsia="Arial" w:cs="Arial"/>
          <w:b/>
          <w:i/>
          <w:spacing w:val="3"/>
          <w:sz w:val="22"/>
          <w:szCs w:val="22"/>
        </w:rPr>
        <w:t xml:space="preserve"> </w:t>
      </w:r>
      <w:r w:rsidRPr="00332C4C">
        <w:rPr>
          <w:rFonts w:eastAsia="Arial" w:cs="Arial"/>
          <w:b/>
          <w:i/>
          <w:spacing w:val="1"/>
          <w:sz w:val="22"/>
          <w:szCs w:val="22"/>
        </w:rPr>
        <w:t>do</w:t>
      </w:r>
      <w:r w:rsidRPr="00332C4C">
        <w:rPr>
          <w:rFonts w:eastAsia="Arial" w:cs="Arial"/>
          <w:b/>
          <w:i/>
          <w:spacing w:val="-2"/>
          <w:sz w:val="22"/>
          <w:szCs w:val="22"/>
        </w:rPr>
        <w:t>c</w:t>
      </w:r>
      <w:r w:rsidRPr="00332C4C">
        <w:rPr>
          <w:rFonts w:eastAsia="Arial" w:cs="Arial"/>
          <w:b/>
          <w:i/>
          <w:spacing w:val="-1"/>
          <w:sz w:val="22"/>
          <w:szCs w:val="22"/>
        </w:rPr>
        <w:t>u</w:t>
      </w:r>
      <w:r w:rsidRPr="00332C4C">
        <w:rPr>
          <w:rFonts w:eastAsia="Arial" w:cs="Arial"/>
          <w:b/>
          <w:i/>
          <w:spacing w:val="1"/>
          <w:sz w:val="22"/>
          <w:szCs w:val="22"/>
        </w:rPr>
        <w:t>me</w:t>
      </w:r>
      <w:r w:rsidRPr="00332C4C">
        <w:rPr>
          <w:rFonts w:eastAsia="Arial" w:cs="Arial"/>
          <w:b/>
          <w:i/>
          <w:spacing w:val="-1"/>
          <w:sz w:val="22"/>
          <w:szCs w:val="22"/>
        </w:rPr>
        <w:t>n</w:t>
      </w:r>
      <w:r w:rsidRPr="00332C4C">
        <w:rPr>
          <w:rFonts w:eastAsia="Arial" w:cs="Arial"/>
          <w:b/>
          <w:i/>
          <w:sz w:val="22"/>
          <w:szCs w:val="22"/>
        </w:rPr>
        <w:t>to</w:t>
      </w:r>
      <w:r w:rsidRPr="00332C4C">
        <w:rPr>
          <w:rFonts w:eastAsia="Arial" w:cs="Arial"/>
          <w:b/>
          <w:i/>
          <w:spacing w:val="3"/>
          <w:sz w:val="22"/>
          <w:szCs w:val="22"/>
        </w:rPr>
        <w:t xml:space="preserve"> </w:t>
      </w:r>
      <w:r w:rsidRPr="00332C4C">
        <w:rPr>
          <w:rFonts w:eastAsia="Arial" w:cs="Arial"/>
          <w:b/>
          <w:i/>
          <w:sz w:val="22"/>
          <w:szCs w:val="22"/>
        </w:rPr>
        <w:t>o</w:t>
      </w:r>
      <w:r w:rsidRPr="00332C4C">
        <w:rPr>
          <w:rFonts w:eastAsia="Arial" w:cs="Arial"/>
          <w:b/>
          <w:i/>
          <w:spacing w:val="1"/>
          <w:sz w:val="22"/>
          <w:szCs w:val="22"/>
        </w:rPr>
        <w:t xml:space="preserve"> do</w:t>
      </w:r>
      <w:r w:rsidRPr="00332C4C">
        <w:rPr>
          <w:rFonts w:eastAsia="Arial" w:cs="Arial"/>
          <w:b/>
          <w:i/>
          <w:spacing w:val="-2"/>
          <w:sz w:val="22"/>
          <w:szCs w:val="22"/>
        </w:rPr>
        <w:t>c</w:t>
      </w:r>
      <w:r w:rsidRPr="00332C4C">
        <w:rPr>
          <w:rFonts w:eastAsia="Arial" w:cs="Arial"/>
          <w:b/>
          <w:i/>
          <w:spacing w:val="1"/>
          <w:sz w:val="22"/>
          <w:szCs w:val="22"/>
        </w:rPr>
        <w:t>u</w:t>
      </w:r>
      <w:r w:rsidRPr="00332C4C">
        <w:rPr>
          <w:rFonts w:eastAsia="Arial" w:cs="Arial"/>
          <w:b/>
          <w:i/>
          <w:spacing w:val="-1"/>
          <w:sz w:val="22"/>
          <w:szCs w:val="22"/>
        </w:rPr>
        <w:t>m</w:t>
      </w:r>
      <w:r w:rsidRPr="00332C4C">
        <w:rPr>
          <w:rFonts w:eastAsia="Arial" w:cs="Arial"/>
          <w:b/>
          <w:i/>
          <w:spacing w:val="1"/>
          <w:sz w:val="22"/>
          <w:szCs w:val="22"/>
        </w:rPr>
        <w:t>en</w:t>
      </w:r>
      <w:r w:rsidRPr="00332C4C">
        <w:rPr>
          <w:rFonts w:eastAsia="Arial" w:cs="Arial"/>
          <w:b/>
          <w:i/>
          <w:spacing w:val="-2"/>
          <w:sz w:val="22"/>
          <w:szCs w:val="22"/>
        </w:rPr>
        <w:t>t</w:t>
      </w:r>
      <w:r w:rsidRPr="00332C4C">
        <w:rPr>
          <w:rFonts w:eastAsia="Arial" w:cs="Arial"/>
          <w:b/>
          <w:i/>
          <w:spacing w:val="1"/>
          <w:sz w:val="22"/>
          <w:szCs w:val="22"/>
        </w:rPr>
        <w:t>o</w:t>
      </w:r>
      <w:r w:rsidRPr="00332C4C">
        <w:rPr>
          <w:rFonts w:eastAsia="Arial" w:cs="Arial"/>
          <w:b/>
          <w:i/>
          <w:sz w:val="22"/>
          <w:szCs w:val="22"/>
        </w:rPr>
        <w:t xml:space="preserve">s </w:t>
      </w:r>
      <w:r w:rsidRPr="00332C4C">
        <w:rPr>
          <w:rFonts w:eastAsia="Arial" w:cs="Arial"/>
          <w:b/>
          <w:i/>
          <w:spacing w:val="1"/>
          <w:sz w:val="22"/>
          <w:szCs w:val="22"/>
        </w:rPr>
        <w:t>de</w:t>
      </w:r>
      <w:r w:rsidRPr="00332C4C">
        <w:rPr>
          <w:rFonts w:eastAsia="Arial" w:cs="Arial"/>
          <w:b/>
          <w:i/>
          <w:sz w:val="22"/>
          <w:szCs w:val="22"/>
        </w:rPr>
        <w:t>t</w:t>
      </w:r>
      <w:r w:rsidRPr="00332C4C">
        <w:rPr>
          <w:rFonts w:eastAsia="Arial" w:cs="Arial"/>
          <w:b/>
          <w:i/>
          <w:spacing w:val="1"/>
          <w:sz w:val="22"/>
          <w:szCs w:val="22"/>
        </w:rPr>
        <w:t>e</w:t>
      </w:r>
      <w:r w:rsidRPr="00332C4C">
        <w:rPr>
          <w:rFonts w:eastAsia="Arial" w:cs="Arial"/>
          <w:b/>
          <w:i/>
          <w:spacing w:val="-3"/>
          <w:sz w:val="22"/>
          <w:szCs w:val="22"/>
        </w:rPr>
        <w:t>r</w:t>
      </w:r>
      <w:r w:rsidRPr="00332C4C">
        <w:rPr>
          <w:rFonts w:eastAsia="Arial" w:cs="Arial"/>
          <w:b/>
          <w:i/>
          <w:spacing w:val="1"/>
          <w:sz w:val="22"/>
          <w:szCs w:val="22"/>
        </w:rPr>
        <w:t>m</w:t>
      </w:r>
      <w:r w:rsidRPr="00332C4C">
        <w:rPr>
          <w:rFonts w:eastAsia="Arial" w:cs="Arial"/>
          <w:b/>
          <w:i/>
          <w:sz w:val="22"/>
          <w:szCs w:val="22"/>
        </w:rPr>
        <w:t>in</w:t>
      </w:r>
      <w:r w:rsidRPr="00332C4C">
        <w:rPr>
          <w:rFonts w:eastAsia="Arial" w:cs="Arial"/>
          <w:b/>
          <w:i/>
          <w:spacing w:val="-1"/>
          <w:sz w:val="22"/>
          <w:szCs w:val="22"/>
        </w:rPr>
        <w:t>a</w:t>
      </w:r>
      <w:r w:rsidRPr="00332C4C">
        <w:rPr>
          <w:rFonts w:eastAsia="Arial" w:cs="Arial"/>
          <w:b/>
          <w:i/>
          <w:spacing w:val="1"/>
          <w:sz w:val="22"/>
          <w:szCs w:val="22"/>
        </w:rPr>
        <w:t>do</w:t>
      </w:r>
      <w:r w:rsidRPr="00332C4C">
        <w:rPr>
          <w:rFonts w:eastAsia="Arial" w:cs="Arial"/>
          <w:b/>
          <w:i/>
          <w:sz w:val="22"/>
          <w:szCs w:val="22"/>
        </w:rPr>
        <w:t xml:space="preserve">s, </w:t>
      </w:r>
      <w:r w:rsidRPr="00332C4C">
        <w:rPr>
          <w:rFonts w:eastAsia="Arial" w:cs="Arial"/>
          <w:b/>
          <w:i/>
          <w:spacing w:val="1"/>
          <w:sz w:val="22"/>
          <w:szCs w:val="22"/>
        </w:rPr>
        <w:t>m</w:t>
      </w:r>
      <w:r w:rsidRPr="00332C4C">
        <w:rPr>
          <w:rFonts w:eastAsia="Arial" w:cs="Arial"/>
          <w:b/>
          <w:i/>
          <w:sz w:val="22"/>
          <w:szCs w:val="22"/>
        </w:rPr>
        <w:t>ie</w:t>
      </w:r>
      <w:r w:rsidRPr="00332C4C">
        <w:rPr>
          <w:rFonts w:eastAsia="Arial" w:cs="Arial"/>
          <w:b/>
          <w:i/>
          <w:spacing w:val="1"/>
          <w:sz w:val="22"/>
          <w:szCs w:val="22"/>
        </w:rPr>
        <w:t>n</w:t>
      </w:r>
      <w:r w:rsidRPr="00332C4C">
        <w:rPr>
          <w:rFonts w:eastAsia="Arial" w:cs="Arial"/>
          <w:b/>
          <w:i/>
          <w:sz w:val="22"/>
          <w:szCs w:val="22"/>
        </w:rPr>
        <w:t>t</w:t>
      </w:r>
      <w:r w:rsidRPr="00332C4C">
        <w:rPr>
          <w:rFonts w:eastAsia="Arial" w:cs="Arial"/>
          <w:b/>
          <w:i/>
          <w:spacing w:val="-3"/>
          <w:sz w:val="22"/>
          <w:szCs w:val="22"/>
        </w:rPr>
        <w:t>r</w:t>
      </w:r>
      <w:r w:rsidRPr="00332C4C">
        <w:rPr>
          <w:rFonts w:eastAsia="Arial" w:cs="Arial"/>
          <w:b/>
          <w:i/>
          <w:spacing w:val="1"/>
          <w:sz w:val="22"/>
          <w:szCs w:val="22"/>
        </w:rPr>
        <w:t>a</w:t>
      </w:r>
      <w:r w:rsidRPr="00332C4C">
        <w:rPr>
          <w:rFonts w:eastAsia="Arial" w:cs="Arial"/>
          <w:b/>
          <w:i/>
          <w:sz w:val="22"/>
          <w:szCs w:val="22"/>
        </w:rPr>
        <w:t>s</w:t>
      </w:r>
      <w:r w:rsidRPr="00332C4C">
        <w:rPr>
          <w:rFonts w:eastAsia="Arial" w:cs="Arial"/>
          <w:b/>
          <w:i/>
          <w:spacing w:val="2"/>
          <w:sz w:val="22"/>
          <w:szCs w:val="22"/>
        </w:rPr>
        <w:t xml:space="preserve"> </w:t>
      </w:r>
      <w:r w:rsidRPr="00332C4C">
        <w:rPr>
          <w:rFonts w:eastAsia="Arial" w:cs="Arial"/>
          <w:b/>
          <w:i/>
          <w:spacing w:val="-1"/>
          <w:sz w:val="22"/>
          <w:szCs w:val="22"/>
        </w:rPr>
        <w:t>q</w:t>
      </w:r>
      <w:r w:rsidRPr="00332C4C">
        <w:rPr>
          <w:rFonts w:eastAsia="Arial" w:cs="Arial"/>
          <w:b/>
          <w:i/>
          <w:spacing w:val="1"/>
          <w:sz w:val="22"/>
          <w:szCs w:val="22"/>
        </w:rPr>
        <w:t>u</w:t>
      </w:r>
      <w:r w:rsidRPr="00332C4C">
        <w:rPr>
          <w:rFonts w:eastAsia="Arial" w:cs="Arial"/>
          <w:b/>
          <w:i/>
          <w:sz w:val="22"/>
          <w:szCs w:val="22"/>
        </w:rPr>
        <w:t>e</w:t>
      </w:r>
      <w:r w:rsidRPr="00332C4C">
        <w:rPr>
          <w:rFonts w:eastAsia="Arial" w:cs="Arial"/>
          <w:b/>
          <w:i/>
          <w:spacing w:val="1"/>
          <w:sz w:val="22"/>
          <w:szCs w:val="22"/>
        </w:rPr>
        <w:t xml:space="preserve"> </w:t>
      </w:r>
      <w:r w:rsidRPr="00332C4C">
        <w:rPr>
          <w:rFonts w:eastAsia="Arial" w:cs="Arial"/>
          <w:b/>
          <w:i/>
          <w:sz w:val="22"/>
          <w:szCs w:val="22"/>
        </w:rPr>
        <w:t>la in</w:t>
      </w:r>
      <w:r w:rsidRPr="00332C4C">
        <w:rPr>
          <w:rFonts w:eastAsia="Arial" w:cs="Arial"/>
          <w:b/>
          <w:i/>
          <w:spacing w:val="1"/>
          <w:sz w:val="22"/>
          <w:szCs w:val="22"/>
        </w:rPr>
        <w:t>e</w:t>
      </w:r>
      <w:r w:rsidRPr="00332C4C">
        <w:rPr>
          <w:rFonts w:eastAsia="Arial" w:cs="Arial"/>
          <w:b/>
          <w:i/>
          <w:sz w:val="22"/>
          <w:szCs w:val="22"/>
        </w:rPr>
        <w:t>xist</w:t>
      </w:r>
      <w:r w:rsidRPr="00332C4C">
        <w:rPr>
          <w:rFonts w:eastAsia="Arial" w:cs="Arial"/>
          <w:b/>
          <w:i/>
          <w:spacing w:val="1"/>
          <w:sz w:val="22"/>
          <w:szCs w:val="22"/>
        </w:rPr>
        <w:t>en</w:t>
      </w:r>
      <w:r w:rsidRPr="00332C4C">
        <w:rPr>
          <w:rFonts w:eastAsia="Arial" w:cs="Arial"/>
          <w:b/>
          <w:i/>
          <w:sz w:val="22"/>
          <w:szCs w:val="22"/>
        </w:rPr>
        <w:t>cia c</w:t>
      </w:r>
      <w:r w:rsidRPr="00332C4C">
        <w:rPr>
          <w:rFonts w:eastAsia="Arial" w:cs="Arial"/>
          <w:b/>
          <w:i/>
          <w:spacing w:val="1"/>
          <w:sz w:val="22"/>
          <w:szCs w:val="22"/>
        </w:rPr>
        <w:t>on</w:t>
      </w:r>
      <w:r w:rsidRPr="00332C4C">
        <w:rPr>
          <w:rFonts w:eastAsia="Arial" w:cs="Arial"/>
          <w:b/>
          <w:i/>
          <w:sz w:val="22"/>
          <w:szCs w:val="22"/>
        </w:rPr>
        <w:t>l</w:t>
      </w:r>
      <w:r w:rsidRPr="00332C4C">
        <w:rPr>
          <w:rFonts w:eastAsia="Arial" w:cs="Arial"/>
          <w:b/>
          <w:i/>
          <w:spacing w:val="-1"/>
          <w:sz w:val="22"/>
          <w:szCs w:val="22"/>
        </w:rPr>
        <w:t>l</w:t>
      </w:r>
      <w:r w:rsidRPr="00332C4C">
        <w:rPr>
          <w:rFonts w:eastAsia="Arial" w:cs="Arial"/>
          <w:b/>
          <w:i/>
          <w:spacing w:val="1"/>
          <w:sz w:val="22"/>
          <w:szCs w:val="22"/>
        </w:rPr>
        <w:t>e</w:t>
      </w:r>
      <w:r w:rsidRPr="00332C4C">
        <w:rPr>
          <w:rFonts w:eastAsia="Arial" w:cs="Arial"/>
          <w:b/>
          <w:i/>
          <w:spacing w:val="-2"/>
          <w:sz w:val="22"/>
          <w:szCs w:val="22"/>
        </w:rPr>
        <w:t>v</w:t>
      </w:r>
      <w:r w:rsidRPr="00332C4C">
        <w:rPr>
          <w:rFonts w:eastAsia="Arial" w:cs="Arial"/>
          <w:b/>
          <w:i/>
          <w:sz w:val="22"/>
          <w:szCs w:val="22"/>
        </w:rPr>
        <w:t>a</w:t>
      </w:r>
      <w:r w:rsidRPr="00332C4C">
        <w:rPr>
          <w:rFonts w:eastAsia="Arial" w:cs="Arial"/>
          <w:b/>
          <w:i/>
          <w:spacing w:val="3"/>
          <w:sz w:val="22"/>
          <w:szCs w:val="22"/>
        </w:rPr>
        <w:t xml:space="preserve"> </w:t>
      </w:r>
      <w:r w:rsidRPr="00332C4C">
        <w:rPr>
          <w:rFonts w:eastAsia="Arial" w:cs="Arial"/>
          <w:b/>
          <w:i/>
          <w:sz w:val="22"/>
          <w:szCs w:val="22"/>
        </w:rPr>
        <w:t xml:space="preserve">la </w:t>
      </w:r>
      <w:r w:rsidRPr="00332C4C">
        <w:rPr>
          <w:rFonts w:eastAsia="Arial" w:cs="Arial"/>
          <w:b/>
          <w:i/>
          <w:spacing w:val="-1"/>
          <w:sz w:val="22"/>
          <w:szCs w:val="22"/>
        </w:rPr>
        <w:t>a</w:t>
      </w:r>
      <w:r w:rsidRPr="00332C4C">
        <w:rPr>
          <w:rFonts w:eastAsia="Arial" w:cs="Arial"/>
          <w:b/>
          <w:i/>
          <w:spacing w:val="1"/>
          <w:sz w:val="22"/>
          <w:szCs w:val="22"/>
        </w:rPr>
        <w:t>u</w:t>
      </w:r>
      <w:r w:rsidRPr="00332C4C">
        <w:rPr>
          <w:rFonts w:eastAsia="Arial" w:cs="Arial"/>
          <w:b/>
          <w:i/>
          <w:sz w:val="22"/>
          <w:szCs w:val="22"/>
        </w:rPr>
        <w:t>s</w:t>
      </w:r>
      <w:r w:rsidRPr="00332C4C">
        <w:rPr>
          <w:rFonts w:eastAsia="Arial" w:cs="Arial"/>
          <w:b/>
          <w:i/>
          <w:spacing w:val="-1"/>
          <w:sz w:val="22"/>
          <w:szCs w:val="22"/>
        </w:rPr>
        <w:t>e</w:t>
      </w:r>
      <w:r w:rsidRPr="00332C4C">
        <w:rPr>
          <w:rFonts w:eastAsia="Arial" w:cs="Arial"/>
          <w:b/>
          <w:i/>
          <w:spacing w:val="1"/>
          <w:sz w:val="22"/>
          <w:szCs w:val="22"/>
        </w:rPr>
        <w:t>n</w:t>
      </w:r>
      <w:r w:rsidRPr="00332C4C">
        <w:rPr>
          <w:rFonts w:eastAsia="Arial" w:cs="Arial"/>
          <w:b/>
          <w:i/>
          <w:sz w:val="22"/>
          <w:szCs w:val="22"/>
        </w:rPr>
        <w:t xml:space="preserve">cia </w:t>
      </w:r>
      <w:r w:rsidRPr="00332C4C">
        <w:rPr>
          <w:rFonts w:eastAsia="Arial" w:cs="Arial"/>
          <w:b/>
          <w:i/>
          <w:spacing w:val="1"/>
          <w:sz w:val="22"/>
          <w:szCs w:val="22"/>
        </w:rPr>
        <w:t>d</w:t>
      </w:r>
      <w:r w:rsidRPr="00332C4C">
        <w:rPr>
          <w:rFonts w:eastAsia="Arial" w:cs="Arial"/>
          <w:b/>
          <w:i/>
          <w:sz w:val="22"/>
          <w:szCs w:val="22"/>
        </w:rPr>
        <w:t>e</w:t>
      </w:r>
      <w:r w:rsidRPr="00332C4C">
        <w:rPr>
          <w:rFonts w:eastAsia="Arial" w:cs="Arial"/>
          <w:b/>
          <w:i/>
          <w:spacing w:val="1"/>
          <w:sz w:val="22"/>
          <w:szCs w:val="22"/>
        </w:rPr>
        <w:t xml:space="preserve"> </w:t>
      </w:r>
      <w:r w:rsidRPr="00332C4C">
        <w:rPr>
          <w:rFonts w:eastAsia="Arial" w:cs="Arial"/>
          <w:b/>
          <w:i/>
          <w:sz w:val="22"/>
          <w:szCs w:val="22"/>
        </w:rPr>
        <w:t xml:space="preserve">los </w:t>
      </w:r>
      <w:r w:rsidRPr="00332C4C">
        <w:rPr>
          <w:rFonts w:eastAsia="Arial" w:cs="Arial"/>
          <w:b/>
          <w:i/>
          <w:spacing w:val="1"/>
          <w:sz w:val="22"/>
          <w:szCs w:val="22"/>
        </w:rPr>
        <w:t>m</w:t>
      </w:r>
      <w:r w:rsidRPr="00332C4C">
        <w:rPr>
          <w:rFonts w:eastAsia="Arial" w:cs="Arial"/>
          <w:b/>
          <w:i/>
          <w:sz w:val="22"/>
          <w:szCs w:val="22"/>
        </w:rPr>
        <w:t>i</w:t>
      </w:r>
      <w:r w:rsidRPr="00332C4C">
        <w:rPr>
          <w:rFonts w:eastAsia="Arial" w:cs="Arial"/>
          <w:b/>
          <w:i/>
          <w:spacing w:val="-3"/>
          <w:sz w:val="22"/>
          <w:szCs w:val="22"/>
        </w:rPr>
        <w:t>s</w:t>
      </w:r>
      <w:r w:rsidRPr="00332C4C">
        <w:rPr>
          <w:rFonts w:eastAsia="Arial" w:cs="Arial"/>
          <w:b/>
          <w:i/>
          <w:spacing w:val="1"/>
          <w:sz w:val="22"/>
          <w:szCs w:val="22"/>
        </w:rPr>
        <w:t>mo</w:t>
      </w:r>
      <w:r w:rsidRPr="00332C4C">
        <w:rPr>
          <w:rFonts w:eastAsia="Arial" w:cs="Arial"/>
          <w:b/>
          <w:i/>
          <w:sz w:val="22"/>
          <w:szCs w:val="22"/>
        </w:rPr>
        <w:t xml:space="preserve">s </w:t>
      </w:r>
      <w:r w:rsidRPr="00332C4C">
        <w:rPr>
          <w:rFonts w:eastAsia="Arial" w:cs="Arial"/>
          <w:b/>
          <w:i/>
          <w:spacing w:val="1"/>
          <w:sz w:val="22"/>
          <w:szCs w:val="22"/>
        </w:rPr>
        <w:t>e</w:t>
      </w:r>
      <w:r w:rsidRPr="00332C4C">
        <w:rPr>
          <w:rFonts w:eastAsia="Arial" w:cs="Arial"/>
          <w:b/>
          <w:i/>
          <w:sz w:val="22"/>
          <w:szCs w:val="22"/>
        </w:rPr>
        <w:t>n</w:t>
      </w:r>
      <w:r w:rsidRPr="00332C4C">
        <w:rPr>
          <w:rFonts w:eastAsia="Arial" w:cs="Arial"/>
          <w:b/>
          <w:i/>
          <w:spacing w:val="1"/>
          <w:sz w:val="22"/>
          <w:szCs w:val="22"/>
        </w:rPr>
        <w:t xml:space="preserve"> </w:t>
      </w:r>
      <w:r w:rsidRPr="00332C4C">
        <w:rPr>
          <w:rFonts w:eastAsia="Arial" w:cs="Arial"/>
          <w:b/>
          <w:i/>
          <w:sz w:val="22"/>
          <w:szCs w:val="22"/>
        </w:rPr>
        <w:t xml:space="preserve">los </w:t>
      </w:r>
      <w:r w:rsidRPr="00332C4C">
        <w:rPr>
          <w:rFonts w:eastAsia="Arial" w:cs="Arial"/>
          <w:b/>
          <w:i/>
          <w:spacing w:val="1"/>
          <w:sz w:val="22"/>
          <w:szCs w:val="22"/>
        </w:rPr>
        <w:t>a</w:t>
      </w:r>
      <w:r w:rsidRPr="00332C4C">
        <w:rPr>
          <w:rFonts w:eastAsia="Arial" w:cs="Arial"/>
          <w:b/>
          <w:i/>
          <w:sz w:val="22"/>
          <w:szCs w:val="22"/>
        </w:rPr>
        <w:t>rchi</w:t>
      </w:r>
      <w:r w:rsidRPr="00332C4C">
        <w:rPr>
          <w:rFonts w:eastAsia="Arial" w:cs="Arial"/>
          <w:b/>
          <w:i/>
          <w:spacing w:val="-3"/>
          <w:sz w:val="22"/>
          <w:szCs w:val="22"/>
        </w:rPr>
        <w:t>v</w:t>
      </w:r>
      <w:r w:rsidRPr="00332C4C">
        <w:rPr>
          <w:rFonts w:eastAsia="Arial" w:cs="Arial"/>
          <w:b/>
          <w:i/>
          <w:spacing w:val="1"/>
          <w:sz w:val="22"/>
          <w:szCs w:val="22"/>
        </w:rPr>
        <w:t>o</w:t>
      </w:r>
      <w:r w:rsidRPr="00332C4C">
        <w:rPr>
          <w:rFonts w:eastAsia="Arial" w:cs="Arial"/>
          <w:b/>
          <w:i/>
          <w:sz w:val="22"/>
          <w:szCs w:val="22"/>
        </w:rPr>
        <w:t xml:space="preserve">s </w:t>
      </w:r>
      <w:r w:rsidRPr="00332C4C">
        <w:rPr>
          <w:rFonts w:eastAsia="Arial" w:cs="Arial"/>
          <w:b/>
          <w:i/>
          <w:spacing w:val="-1"/>
          <w:sz w:val="22"/>
          <w:szCs w:val="22"/>
        </w:rPr>
        <w:t>d</w:t>
      </w:r>
      <w:r w:rsidRPr="00332C4C">
        <w:rPr>
          <w:rFonts w:eastAsia="Arial" w:cs="Arial"/>
          <w:b/>
          <w:i/>
          <w:sz w:val="22"/>
          <w:szCs w:val="22"/>
        </w:rPr>
        <w:t>e la</w:t>
      </w:r>
      <w:r w:rsidRPr="00332C4C">
        <w:rPr>
          <w:rFonts w:eastAsia="Arial" w:cs="Arial"/>
          <w:b/>
          <w:i/>
          <w:spacing w:val="1"/>
          <w:sz w:val="22"/>
          <w:szCs w:val="22"/>
        </w:rPr>
        <w:t xml:space="preserve"> d</w:t>
      </w:r>
      <w:r w:rsidRPr="00332C4C">
        <w:rPr>
          <w:rFonts w:eastAsia="Arial" w:cs="Arial"/>
          <w:b/>
          <w:i/>
          <w:spacing w:val="-1"/>
          <w:sz w:val="22"/>
          <w:szCs w:val="22"/>
        </w:rPr>
        <w:t>e</w:t>
      </w:r>
      <w:r w:rsidRPr="00332C4C">
        <w:rPr>
          <w:rFonts w:eastAsia="Arial" w:cs="Arial"/>
          <w:b/>
          <w:i/>
          <w:spacing w:val="1"/>
          <w:sz w:val="22"/>
          <w:szCs w:val="22"/>
        </w:rPr>
        <w:t>pe</w:t>
      </w:r>
      <w:r w:rsidRPr="00332C4C">
        <w:rPr>
          <w:rFonts w:eastAsia="Arial" w:cs="Arial"/>
          <w:b/>
          <w:i/>
          <w:spacing w:val="-1"/>
          <w:sz w:val="22"/>
          <w:szCs w:val="22"/>
        </w:rPr>
        <w:t>n</w:t>
      </w:r>
      <w:r w:rsidRPr="00332C4C">
        <w:rPr>
          <w:rFonts w:eastAsia="Arial" w:cs="Arial"/>
          <w:b/>
          <w:i/>
          <w:spacing w:val="1"/>
          <w:sz w:val="22"/>
          <w:szCs w:val="22"/>
        </w:rPr>
        <w:t>den</w:t>
      </w:r>
      <w:r w:rsidRPr="00332C4C">
        <w:rPr>
          <w:rFonts w:eastAsia="Arial" w:cs="Arial"/>
          <w:b/>
          <w:i/>
          <w:sz w:val="22"/>
          <w:szCs w:val="22"/>
        </w:rPr>
        <w:t>c</w:t>
      </w:r>
      <w:r w:rsidRPr="00332C4C">
        <w:rPr>
          <w:rFonts w:eastAsia="Arial" w:cs="Arial"/>
          <w:b/>
          <w:i/>
          <w:spacing w:val="-3"/>
          <w:sz w:val="22"/>
          <w:szCs w:val="22"/>
        </w:rPr>
        <w:t>i</w:t>
      </w:r>
      <w:r w:rsidRPr="00332C4C">
        <w:rPr>
          <w:rFonts w:eastAsia="Arial" w:cs="Arial"/>
          <w:b/>
          <w:i/>
          <w:sz w:val="22"/>
          <w:szCs w:val="22"/>
        </w:rPr>
        <w:t>a</w:t>
      </w:r>
      <w:r w:rsidRPr="00332C4C">
        <w:rPr>
          <w:rFonts w:eastAsia="Arial" w:cs="Arial"/>
          <w:b/>
          <w:i/>
          <w:spacing w:val="1"/>
          <w:sz w:val="22"/>
          <w:szCs w:val="22"/>
        </w:rPr>
        <w:t xml:space="preserve"> </w:t>
      </w:r>
      <w:r w:rsidRPr="00332C4C">
        <w:rPr>
          <w:rFonts w:eastAsia="Arial" w:cs="Arial"/>
          <w:b/>
          <w:i/>
          <w:sz w:val="22"/>
          <w:szCs w:val="22"/>
        </w:rPr>
        <w:t xml:space="preserve">o </w:t>
      </w:r>
      <w:r w:rsidRPr="00332C4C">
        <w:rPr>
          <w:rFonts w:eastAsia="Arial" w:cs="Arial"/>
          <w:b/>
          <w:i/>
          <w:spacing w:val="1"/>
          <w:sz w:val="22"/>
          <w:szCs w:val="22"/>
        </w:rPr>
        <w:t>en</w:t>
      </w:r>
      <w:r w:rsidRPr="00332C4C">
        <w:rPr>
          <w:rFonts w:eastAsia="Arial" w:cs="Arial"/>
          <w:b/>
          <w:i/>
          <w:sz w:val="22"/>
          <w:szCs w:val="22"/>
        </w:rPr>
        <w:t>t</w:t>
      </w:r>
      <w:r w:rsidRPr="00332C4C">
        <w:rPr>
          <w:rFonts w:eastAsia="Arial" w:cs="Arial"/>
          <w:b/>
          <w:i/>
          <w:spacing w:val="-2"/>
          <w:sz w:val="22"/>
          <w:szCs w:val="22"/>
        </w:rPr>
        <w:t>i</w:t>
      </w:r>
      <w:r w:rsidRPr="00332C4C">
        <w:rPr>
          <w:rFonts w:eastAsia="Arial" w:cs="Arial"/>
          <w:b/>
          <w:i/>
          <w:spacing w:val="-1"/>
          <w:sz w:val="22"/>
          <w:szCs w:val="22"/>
        </w:rPr>
        <w:t>d</w:t>
      </w:r>
      <w:r w:rsidRPr="00332C4C">
        <w:rPr>
          <w:rFonts w:eastAsia="Arial" w:cs="Arial"/>
          <w:b/>
          <w:i/>
          <w:spacing w:val="1"/>
          <w:sz w:val="22"/>
          <w:szCs w:val="22"/>
        </w:rPr>
        <w:t>a</w:t>
      </w:r>
      <w:r w:rsidRPr="00332C4C">
        <w:rPr>
          <w:rFonts w:eastAsia="Arial" w:cs="Arial"/>
          <w:b/>
          <w:i/>
          <w:sz w:val="22"/>
          <w:szCs w:val="22"/>
        </w:rPr>
        <w:t>d</w:t>
      </w:r>
      <w:r w:rsidRPr="00332C4C">
        <w:rPr>
          <w:rFonts w:eastAsia="Arial" w:cs="Arial"/>
          <w:b/>
          <w:i/>
          <w:spacing w:val="1"/>
          <w:sz w:val="22"/>
          <w:szCs w:val="22"/>
        </w:rPr>
        <w:t xml:space="preserve"> </w:t>
      </w:r>
      <w:r w:rsidRPr="00332C4C">
        <w:rPr>
          <w:rFonts w:eastAsia="Arial" w:cs="Arial"/>
          <w:b/>
          <w:i/>
          <w:spacing w:val="-1"/>
          <w:sz w:val="22"/>
          <w:szCs w:val="22"/>
        </w:rPr>
        <w:t>d</w:t>
      </w:r>
      <w:r w:rsidRPr="00332C4C">
        <w:rPr>
          <w:rFonts w:eastAsia="Arial" w:cs="Arial"/>
          <w:b/>
          <w:i/>
          <w:sz w:val="22"/>
          <w:szCs w:val="22"/>
        </w:rPr>
        <w:t>e</w:t>
      </w:r>
      <w:r w:rsidRPr="00332C4C">
        <w:rPr>
          <w:rFonts w:eastAsia="Arial" w:cs="Arial"/>
          <w:b/>
          <w:i/>
          <w:spacing w:val="1"/>
          <w:sz w:val="22"/>
          <w:szCs w:val="22"/>
        </w:rPr>
        <w:t xml:space="preserve"> </w:t>
      </w:r>
      <w:r w:rsidRPr="00332C4C">
        <w:rPr>
          <w:rFonts w:eastAsia="Arial" w:cs="Arial"/>
          <w:b/>
          <w:i/>
          <w:spacing w:val="-1"/>
          <w:sz w:val="22"/>
          <w:szCs w:val="22"/>
        </w:rPr>
        <w:t>q</w:t>
      </w:r>
      <w:r w:rsidRPr="00332C4C">
        <w:rPr>
          <w:rFonts w:eastAsia="Arial" w:cs="Arial"/>
          <w:b/>
          <w:i/>
          <w:spacing w:val="1"/>
          <w:sz w:val="22"/>
          <w:szCs w:val="22"/>
        </w:rPr>
        <w:t>u</w:t>
      </w:r>
      <w:r w:rsidRPr="00332C4C">
        <w:rPr>
          <w:rFonts w:eastAsia="Arial" w:cs="Arial"/>
          <w:b/>
          <w:i/>
          <w:sz w:val="22"/>
          <w:szCs w:val="22"/>
        </w:rPr>
        <w:t>e</w:t>
      </w:r>
      <w:r w:rsidRPr="00332C4C">
        <w:rPr>
          <w:rFonts w:eastAsia="Arial" w:cs="Arial"/>
          <w:b/>
          <w:i/>
          <w:spacing w:val="1"/>
          <w:sz w:val="22"/>
          <w:szCs w:val="22"/>
        </w:rPr>
        <w:t xml:space="preserve"> </w:t>
      </w:r>
      <w:r w:rsidRPr="00332C4C">
        <w:rPr>
          <w:rFonts w:eastAsia="Arial" w:cs="Arial"/>
          <w:b/>
          <w:i/>
          <w:spacing w:val="-2"/>
          <w:sz w:val="22"/>
          <w:szCs w:val="22"/>
        </w:rPr>
        <w:t>s</w:t>
      </w:r>
      <w:r w:rsidRPr="00332C4C">
        <w:rPr>
          <w:rFonts w:eastAsia="Arial" w:cs="Arial"/>
          <w:b/>
          <w:i/>
          <w:sz w:val="22"/>
          <w:szCs w:val="22"/>
        </w:rPr>
        <w:t>e</w:t>
      </w:r>
      <w:r w:rsidRPr="00332C4C">
        <w:rPr>
          <w:rFonts w:eastAsia="Arial" w:cs="Arial"/>
          <w:b/>
          <w:i/>
          <w:spacing w:val="1"/>
          <w:sz w:val="22"/>
          <w:szCs w:val="22"/>
        </w:rPr>
        <w:t xml:space="preserve"> t</w:t>
      </w:r>
      <w:r w:rsidRPr="00332C4C">
        <w:rPr>
          <w:rFonts w:eastAsia="Arial" w:cs="Arial"/>
          <w:b/>
          <w:i/>
          <w:sz w:val="22"/>
          <w:szCs w:val="22"/>
        </w:rPr>
        <w:t>ra</w:t>
      </w:r>
      <w:r w:rsidRPr="00332C4C">
        <w:rPr>
          <w:rFonts w:eastAsia="Arial" w:cs="Arial"/>
          <w:b/>
          <w:i/>
          <w:spacing w:val="-2"/>
          <w:sz w:val="22"/>
          <w:szCs w:val="22"/>
        </w:rPr>
        <w:t>t</w:t>
      </w:r>
      <w:r w:rsidRPr="00332C4C">
        <w:rPr>
          <w:rFonts w:eastAsia="Arial" w:cs="Arial"/>
          <w:b/>
          <w:i/>
          <w:spacing w:val="1"/>
          <w:sz w:val="22"/>
          <w:szCs w:val="22"/>
        </w:rPr>
        <w:t>e</w:t>
      </w:r>
      <w:r w:rsidRPr="00332C4C">
        <w:rPr>
          <w:rFonts w:eastAsia="Arial" w:cs="Arial"/>
          <w:i/>
          <w:sz w:val="22"/>
          <w:szCs w:val="22"/>
        </w:rPr>
        <w:t>.”</w:t>
      </w:r>
    </w:p>
    <w:p w14:paraId="7FA71578" w14:textId="77777777" w:rsidR="00B47005" w:rsidRPr="00332C4C" w:rsidRDefault="00B47005" w:rsidP="00332C4C">
      <w:pPr>
        <w:spacing w:before="240" w:after="240" w:line="360" w:lineRule="auto"/>
        <w:ind w:right="49"/>
        <w:contextualSpacing/>
        <w:jc w:val="both"/>
        <w:rPr>
          <w:rFonts w:cs="Arial"/>
        </w:rPr>
      </w:pPr>
    </w:p>
    <w:p w14:paraId="7FDC946A" w14:textId="38B73FF4" w:rsidR="008F20F5" w:rsidRPr="00332C4C" w:rsidRDefault="008F20F5" w:rsidP="00332C4C">
      <w:pPr>
        <w:spacing w:before="240" w:after="240" w:line="360" w:lineRule="auto"/>
        <w:ind w:right="51"/>
        <w:jc w:val="both"/>
        <w:rPr>
          <w:rFonts w:cs="Arial"/>
          <w:bCs/>
          <w:szCs w:val="22"/>
        </w:rPr>
      </w:pPr>
      <w:r w:rsidRPr="00332C4C">
        <w:rPr>
          <w:rFonts w:cs="Arial"/>
          <w:bCs/>
          <w:szCs w:val="22"/>
        </w:rPr>
        <w:t>En este tenor, del análisis efectuado por este Órgano Garante, en el Acta referida se desprende lo siguiente:</w:t>
      </w:r>
    </w:p>
    <w:p w14:paraId="29DB94E9" w14:textId="45110300" w:rsidR="008F20F5" w:rsidRPr="00332C4C" w:rsidRDefault="008F20F5" w:rsidP="00332C4C">
      <w:pPr>
        <w:pStyle w:val="Prrafodelista"/>
        <w:numPr>
          <w:ilvl w:val="0"/>
          <w:numId w:val="23"/>
        </w:numPr>
        <w:spacing w:before="240" w:after="240" w:line="360" w:lineRule="auto"/>
        <w:ind w:right="51"/>
        <w:jc w:val="both"/>
        <w:rPr>
          <w:rFonts w:cs="Arial"/>
          <w:bCs/>
          <w:szCs w:val="22"/>
        </w:rPr>
      </w:pPr>
      <w:r w:rsidRPr="00332C4C">
        <w:rPr>
          <w:rFonts w:cs="Arial"/>
          <w:bCs/>
          <w:szCs w:val="22"/>
        </w:rPr>
        <w:t>Que se tiene un gran porcentaje de concesiones vencidas o que están por vencer.</w:t>
      </w:r>
    </w:p>
    <w:p w14:paraId="0FC2F3D6" w14:textId="5E916D92" w:rsidR="008F20F5" w:rsidRPr="00332C4C" w:rsidRDefault="008F20F5" w:rsidP="00332C4C">
      <w:pPr>
        <w:pStyle w:val="Prrafodelista"/>
        <w:numPr>
          <w:ilvl w:val="0"/>
          <w:numId w:val="23"/>
        </w:numPr>
        <w:spacing w:before="240" w:after="240" w:line="360" w:lineRule="auto"/>
        <w:ind w:right="51"/>
        <w:jc w:val="both"/>
        <w:rPr>
          <w:rFonts w:cs="Arial"/>
          <w:bCs/>
          <w:szCs w:val="22"/>
        </w:rPr>
      </w:pPr>
      <w:r w:rsidRPr="00332C4C">
        <w:rPr>
          <w:rFonts w:cs="Arial"/>
          <w:bCs/>
          <w:szCs w:val="22"/>
        </w:rPr>
        <w:t>Hay un gran número de unidades irregulares que prestan el servicio, lo cual representa un problema grave para los propios concesionarios.</w:t>
      </w:r>
    </w:p>
    <w:p w14:paraId="1695BB03" w14:textId="6016FD1E" w:rsidR="008F20F5" w:rsidRPr="00332C4C" w:rsidRDefault="008E5A64" w:rsidP="00332C4C">
      <w:pPr>
        <w:pStyle w:val="Prrafodelista"/>
        <w:numPr>
          <w:ilvl w:val="0"/>
          <w:numId w:val="23"/>
        </w:numPr>
        <w:spacing w:before="240" w:after="240" w:line="360" w:lineRule="auto"/>
        <w:ind w:right="51"/>
        <w:jc w:val="both"/>
        <w:rPr>
          <w:rFonts w:cs="Arial"/>
          <w:bCs/>
          <w:szCs w:val="22"/>
        </w:rPr>
      </w:pPr>
      <w:r w:rsidRPr="00332C4C">
        <w:rPr>
          <w:rFonts w:cs="Arial"/>
          <w:bCs/>
          <w:szCs w:val="22"/>
        </w:rPr>
        <w:t>E</w:t>
      </w:r>
      <w:r w:rsidR="008F20F5" w:rsidRPr="00332C4C">
        <w:rPr>
          <w:rFonts w:cs="Arial"/>
          <w:bCs/>
          <w:szCs w:val="22"/>
        </w:rPr>
        <w:t>l Programa del ordenamiento del trasporte público que inició en 2018 aún est</w:t>
      </w:r>
      <w:r w:rsidRPr="00332C4C">
        <w:rPr>
          <w:rFonts w:cs="Arial"/>
          <w:bCs/>
          <w:szCs w:val="22"/>
        </w:rPr>
        <w:t>á en proceso.</w:t>
      </w:r>
    </w:p>
    <w:p w14:paraId="6CF949D4" w14:textId="57AD6B73" w:rsidR="008E5A64" w:rsidRPr="00332C4C" w:rsidRDefault="008E5A64" w:rsidP="00332C4C">
      <w:pPr>
        <w:pStyle w:val="Prrafodelista"/>
        <w:numPr>
          <w:ilvl w:val="0"/>
          <w:numId w:val="23"/>
        </w:numPr>
        <w:spacing w:before="240" w:after="240" w:line="360" w:lineRule="auto"/>
        <w:ind w:right="51"/>
        <w:jc w:val="both"/>
        <w:rPr>
          <w:rFonts w:cs="Arial"/>
          <w:bCs/>
          <w:szCs w:val="22"/>
        </w:rPr>
      </w:pPr>
      <w:r w:rsidRPr="00332C4C">
        <w:rPr>
          <w:rFonts w:cs="Arial"/>
          <w:bCs/>
          <w:szCs w:val="22"/>
        </w:rPr>
        <w:t xml:space="preserve">La movilidad en el Estado se encuentra en una etapa de ordenamiento, principalmente en la circunscripción territorial de la Dirección General de Zona II, al ser una de las zonas </w:t>
      </w:r>
      <w:r w:rsidR="002E1B5F" w:rsidRPr="00332C4C">
        <w:rPr>
          <w:rFonts w:cs="Arial"/>
          <w:bCs/>
          <w:szCs w:val="22"/>
        </w:rPr>
        <w:t>con el mayor número de habitantes.</w:t>
      </w:r>
    </w:p>
    <w:p w14:paraId="04309AC0" w14:textId="6E8D2A2C" w:rsidR="002E1B5F" w:rsidRPr="00332C4C" w:rsidRDefault="002E1B5F" w:rsidP="00332C4C">
      <w:pPr>
        <w:pStyle w:val="Prrafodelista"/>
        <w:numPr>
          <w:ilvl w:val="0"/>
          <w:numId w:val="23"/>
        </w:numPr>
        <w:spacing w:before="240" w:after="240" w:line="360" w:lineRule="auto"/>
        <w:ind w:right="51"/>
        <w:jc w:val="both"/>
        <w:rPr>
          <w:rFonts w:cs="Arial"/>
          <w:bCs/>
          <w:szCs w:val="22"/>
        </w:rPr>
      </w:pPr>
      <w:r w:rsidRPr="00332C4C">
        <w:rPr>
          <w:rFonts w:cs="Arial"/>
          <w:bCs/>
          <w:szCs w:val="22"/>
        </w:rPr>
        <w:t xml:space="preserve">Como parte de dicho ordenamiento integral del trasporte público, es necesario la revisión y, en su caso, la modificación o adecuación de los derroteros autorizados, con la finalidad de implementar proyectos de transporte de </w:t>
      </w:r>
      <w:r w:rsidRPr="00332C4C">
        <w:rPr>
          <w:rFonts w:cs="Arial"/>
          <w:bCs/>
          <w:szCs w:val="22"/>
        </w:rPr>
        <w:lastRenderedPageBreak/>
        <w:t>mediana capacidad (corredores), o bien ser alimentados de los proyectos de transporte masivo</w:t>
      </w:r>
      <w:r w:rsidR="00562426" w:rsidRPr="00332C4C">
        <w:rPr>
          <w:rFonts w:cs="Arial"/>
          <w:bCs/>
          <w:szCs w:val="22"/>
        </w:rPr>
        <w:t>.</w:t>
      </w:r>
    </w:p>
    <w:p w14:paraId="51DF096C" w14:textId="0C266503" w:rsidR="00562426" w:rsidRPr="00332C4C" w:rsidRDefault="00562426" w:rsidP="00332C4C">
      <w:pPr>
        <w:pStyle w:val="Prrafodelista"/>
        <w:numPr>
          <w:ilvl w:val="0"/>
          <w:numId w:val="23"/>
        </w:numPr>
        <w:spacing w:before="240" w:after="240" w:line="360" w:lineRule="auto"/>
        <w:ind w:right="51"/>
        <w:jc w:val="both"/>
        <w:rPr>
          <w:rFonts w:cs="Arial"/>
          <w:bCs/>
          <w:szCs w:val="22"/>
        </w:rPr>
      </w:pPr>
      <w:r w:rsidRPr="00332C4C">
        <w:rPr>
          <w:rFonts w:cs="Arial"/>
          <w:bCs/>
          <w:szCs w:val="22"/>
        </w:rPr>
        <w:t>La reserva de la información es con el propósito de concluir los estudios y análisis que se realizan actualmente para implementar los proyectos y políticas públicas en materia de movilidad, logrando el ordenamiento adecuado para poner en marcha los proyectos que incluyen las posibles modificaciones de derroteros, bases, sitios, alargamientos autorizados, que actualmente brindan el servicio de transporte público en el territorio mexiquense, una vez que se obtengan los resultados de los estudios y análisis que se están realizando.</w:t>
      </w:r>
    </w:p>
    <w:p w14:paraId="3897DD2F" w14:textId="76AEEAD9" w:rsidR="00562426" w:rsidRPr="00332C4C" w:rsidRDefault="00C4375B" w:rsidP="00332C4C">
      <w:pPr>
        <w:pStyle w:val="Prrafodelista"/>
        <w:numPr>
          <w:ilvl w:val="0"/>
          <w:numId w:val="23"/>
        </w:numPr>
        <w:spacing w:before="240" w:after="240" w:line="360" w:lineRule="auto"/>
        <w:ind w:right="51"/>
        <w:jc w:val="both"/>
        <w:rPr>
          <w:rFonts w:cs="Arial"/>
          <w:bCs/>
          <w:szCs w:val="22"/>
        </w:rPr>
      </w:pPr>
      <w:r w:rsidRPr="00332C4C">
        <w:rPr>
          <w:rFonts w:cs="Arial"/>
          <w:bCs/>
          <w:szCs w:val="22"/>
        </w:rPr>
        <w:t>Existen empresas que se encuentran realizando el cambio de régimen jurídico de asociación civil a sociedad anónima, modificándose las autorizaciones de derroteros, alargamientos, bases, sitios y lanzaderas.</w:t>
      </w:r>
    </w:p>
    <w:p w14:paraId="5D48E18B" w14:textId="02B9B399" w:rsidR="00C4375B" w:rsidRPr="00332C4C" w:rsidRDefault="00C4375B" w:rsidP="00332C4C">
      <w:pPr>
        <w:pStyle w:val="Prrafodelista"/>
        <w:numPr>
          <w:ilvl w:val="0"/>
          <w:numId w:val="23"/>
        </w:numPr>
        <w:spacing w:before="240" w:after="240" w:line="360" w:lineRule="auto"/>
        <w:ind w:right="51"/>
        <w:jc w:val="both"/>
        <w:rPr>
          <w:rFonts w:cs="Arial"/>
          <w:bCs/>
          <w:szCs w:val="22"/>
        </w:rPr>
      </w:pPr>
      <w:r w:rsidRPr="00332C4C">
        <w:rPr>
          <w:rFonts w:cs="Arial"/>
          <w:bCs/>
          <w:szCs w:val="22"/>
        </w:rPr>
        <w:t xml:space="preserve">Para el ordenamiento de los derroteros alargamientos, bases, sitios y lanzaderas es necesaria la creación de un sistema de mapeo gráfico, para generar y actualizar las autorizaciones de dichos documentos. </w:t>
      </w:r>
    </w:p>
    <w:p w14:paraId="4B43E79A" w14:textId="74558261" w:rsidR="00C4375B" w:rsidRPr="00332C4C" w:rsidRDefault="00EC0994" w:rsidP="00332C4C">
      <w:pPr>
        <w:pStyle w:val="Prrafodelista"/>
        <w:numPr>
          <w:ilvl w:val="0"/>
          <w:numId w:val="23"/>
        </w:numPr>
        <w:spacing w:before="240" w:after="240" w:line="360" w:lineRule="auto"/>
        <w:ind w:right="51"/>
        <w:jc w:val="both"/>
        <w:rPr>
          <w:rFonts w:cs="Arial"/>
          <w:bCs/>
          <w:szCs w:val="22"/>
        </w:rPr>
      </w:pPr>
      <w:r w:rsidRPr="00332C4C">
        <w:rPr>
          <w:rFonts w:cs="Arial"/>
          <w:bCs/>
          <w:szCs w:val="22"/>
        </w:rPr>
        <w:t>El Órgano Superior de Fiscalización emitió diversas recomendaciones derivado de la auditoría de desempeño al ejercicio fiscal 2015</w:t>
      </w:r>
      <w:r w:rsidR="00CE742F" w:rsidRPr="00332C4C">
        <w:rPr>
          <w:rFonts w:cs="Arial"/>
          <w:bCs/>
          <w:szCs w:val="22"/>
        </w:rPr>
        <w:t>, específicamente respecto del programa denominado Modernización del Transporte Terrestre</w:t>
      </w:r>
      <w:r w:rsidR="00890F34" w:rsidRPr="00332C4C">
        <w:rPr>
          <w:rFonts w:cs="Arial"/>
          <w:bCs/>
          <w:szCs w:val="22"/>
        </w:rPr>
        <w:t>.</w:t>
      </w:r>
    </w:p>
    <w:p w14:paraId="07769B62" w14:textId="5719A776" w:rsidR="008C403E" w:rsidRPr="002B31AA" w:rsidRDefault="00CE555B" w:rsidP="002B31AA">
      <w:pPr>
        <w:pStyle w:val="Prrafodelista"/>
        <w:numPr>
          <w:ilvl w:val="0"/>
          <w:numId w:val="23"/>
        </w:numPr>
        <w:spacing w:before="240" w:after="240" w:line="360" w:lineRule="auto"/>
        <w:ind w:right="51"/>
        <w:jc w:val="both"/>
        <w:rPr>
          <w:rFonts w:cs="Arial"/>
          <w:bCs/>
          <w:szCs w:val="22"/>
        </w:rPr>
      </w:pPr>
      <w:r w:rsidRPr="00332C4C">
        <w:rPr>
          <w:rFonts w:cs="Arial"/>
          <w:bCs/>
          <w:szCs w:val="22"/>
        </w:rPr>
        <w:t xml:space="preserve">La Secretaría de Movilidad, a </w:t>
      </w:r>
      <w:r w:rsidR="007D2A09" w:rsidRPr="00332C4C">
        <w:rPr>
          <w:rFonts w:cs="Arial"/>
          <w:bCs/>
          <w:szCs w:val="22"/>
        </w:rPr>
        <w:t xml:space="preserve">través de sus direcciones </w:t>
      </w:r>
      <w:r w:rsidRPr="00332C4C">
        <w:rPr>
          <w:rFonts w:cs="Arial"/>
          <w:bCs/>
          <w:szCs w:val="22"/>
        </w:rPr>
        <w:t>trabaja</w:t>
      </w:r>
      <w:r w:rsidR="002B31AA">
        <w:rPr>
          <w:rFonts w:cs="Arial"/>
          <w:bCs/>
          <w:szCs w:val="22"/>
        </w:rPr>
        <w:t xml:space="preserve"> </w:t>
      </w:r>
      <w:r w:rsidR="007D2A09" w:rsidRPr="002B31AA">
        <w:rPr>
          <w:rFonts w:cs="Arial"/>
          <w:bCs/>
          <w:szCs w:val="22"/>
        </w:rPr>
        <w:t xml:space="preserve">en la homologación e implementación de un nuevo sistema que registre </w:t>
      </w:r>
      <w:r w:rsidR="008C403E" w:rsidRPr="002B31AA">
        <w:rPr>
          <w:rFonts w:cs="Arial"/>
          <w:bCs/>
          <w:szCs w:val="22"/>
        </w:rPr>
        <w:t xml:space="preserve">gráficamente </w:t>
      </w:r>
      <w:r w:rsidR="007D2A09" w:rsidRPr="002B31AA">
        <w:rPr>
          <w:rFonts w:cs="Arial"/>
          <w:bCs/>
          <w:szCs w:val="22"/>
        </w:rPr>
        <w:t xml:space="preserve">el mapeo </w:t>
      </w:r>
      <w:r w:rsidR="008C403E" w:rsidRPr="002B31AA">
        <w:rPr>
          <w:rFonts w:cs="Arial"/>
          <w:bCs/>
          <w:szCs w:val="22"/>
        </w:rPr>
        <w:t xml:space="preserve">actualizado </w:t>
      </w:r>
      <w:r w:rsidR="007D2A09" w:rsidRPr="002B31AA">
        <w:rPr>
          <w:rFonts w:cs="Arial"/>
          <w:bCs/>
          <w:szCs w:val="22"/>
        </w:rPr>
        <w:t>de las bases, derroteros, sitios y alargamientos autorizados</w:t>
      </w:r>
      <w:r w:rsidR="008C403E" w:rsidRPr="002B31AA">
        <w:rPr>
          <w:rFonts w:cs="Arial"/>
          <w:bCs/>
          <w:szCs w:val="22"/>
        </w:rPr>
        <w:t>.</w:t>
      </w:r>
    </w:p>
    <w:p w14:paraId="326ABC77" w14:textId="6655221E" w:rsidR="008F20F5" w:rsidRPr="00332C4C" w:rsidRDefault="008C403E" w:rsidP="00332C4C">
      <w:pPr>
        <w:pStyle w:val="Prrafodelista"/>
        <w:numPr>
          <w:ilvl w:val="0"/>
          <w:numId w:val="23"/>
        </w:numPr>
        <w:spacing w:before="240" w:after="240" w:line="360" w:lineRule="auto"/>
        <w:ind w:right="51"/>
        <w:jc w:val="both"/>
        <w:rPr>
          <w:rFonts w:cs="Arial"/>
          <w:bCs/>
          <w:szCs w:val="22"/>
        </w:rPr>
      </w:pPr>
      <w:r w:rsidRPr="00332C4C">
        <w:rPr>
          <w:rFonts w:cs="Arial"/>
          <w:bCs/>
          <w:szCs w:val="22"/>
        </w:rPr>
        <w:t xml:space="preserve">Se trabaja para culminar los estudios y proyectos en materia de movilidad, además de atender las recomendaciones del Órgano Superior de Fiscalización, </w:t>
      </w:r>
      <w:r w:rsidRPr="00332C4C">
        <w:rPr>
          <w:rFonts w:cs="Arial"/>
          <w:bCs/>
          <w:szCs w:val="22"/>
        </w:rPr>
        <w:lastRenderedPageBreak/>
        <w:t>por lo que las autorizaciones de derroteros, bases, sitios y lanzaderas, complementarias a las concesiones, como documento fuente para generar el registro respectivo, están en proceso de revisión, actualización, validación y registro gráfico de mapeo, sin que se hayan concluido los trabajos.</w:t>
      </w:r>
    </w:p>
    <w:p w14:paraId="6B0AD38E" w14:textId="668546B4" w:rsidR="008C403E" w:rsidRPr="00332C4C" w:rsidRDefault="008C403E" w:rsidP="00332C4C">
      <w:pPr>
        <w:pStyle w:val="Prrafodelista"/>
        <w:numPr>
          <w:ilvl w:val="0"/>
          <w:numId w:val="23"/>
        </w:numPr>
        <w:spacing w:before="240" w:after="240" w:line="360" w:lineRule="auto"/>
        <w:ind w:right="51"/>
        <w:jc w:val="both"/>
        <w:rPr>
          <w:rFonts w:cs="Arial"/>
          <w:bCs/>
          <w:szCs w:val="22"/>
        </w:rPr>
      </w:pPr>
      <w:r w:rsidRPr="00332C4C">
        <w:rPr>
          <w:rFonts w:cs="Arial"/>
          <w:bCs/>
          <w:szCs w:val="22"/>
        </w:rPr>
        <w:t>La reserva de la información mencionada en el punto anterior, mantiene a salvo el derecho de terceros en dicho procedimiento administrativo, preservando la secrecía de la información en tanto se concluya con el referido procedimiento.</w:t>
      </w:r>
    </w:p>
    <w:p w14:paraId="2E8608A3" w14:textId="09C58023" w:rsidR="00B64B58" w:rsidRPr="00332C4C" w:rsidRDefault="00B64B58" w:rsidP="00332C4C">
      <w:pPr>
        <w:spacing w:line="360" w:lineRule="auto"/>
        <w:jc w:val="both"/>
      </w:pPr>
      <w:r w:rsidRPr="00332C4C">
        <w:rPr>
          <w:rFonts w:cs="Arial"/>
          <w:bCs/>
          <w:szCs w:val="22"/>
        </w:rPr>
        <w:t xml:space="preserve">Derivado de lo anterior, </w:t>
      </w:r>
      <w:r w:rsidRPr="00332C4C">
        <w:t xml:space="preserve">este Órgano Garante considera que el Acuerdo de Clasificación presentado, no satisface los requisitos previstos por la normatividad, toda vez que los preceptos invocados así como los elementos fácticos no son suficientes para reservar </w:t>
      </w:r>
      <w:r w:rsidR="006C6605">
        <w:t>la información solicitada por l</w:t>
      </w:r>
      <w:r w:rsidRPr="00332C4C">
        <w:t>a</w:t>
      </w:r>
      <w:r w:rsidR="006C6605">
        <w:t xml:space="preserve"> </w:t>
      </w:r>
      <w:r w:rsidRPr="00332C4C">
        <w:t xml:space="preserve">parte </w:t>
      </w:r>
      <w:r w:rsidRPr="00332C4C">
        <w:rPr>
          <w:b/>
        </w:rPr>
        <w:t xml:space="preserve">Recurrente, </w:t>
      </w:r>
      <w:r w:rsidR="006C6605" w:rsidRPr="006C6605">
        <w:t>pues</w:t>
      </w:r>
      <w:r w:rsidR="006C6605">
        <w:rPr>
          <w:b/>
        </w:rPr>
        <w:t xml:space="preserve"> </w:t>
      </w:r>
      <w:r w:rsidRPr="00332C4C">
        <w:t xml:space="preserve">debe recordarse que el </w:t>
      </w:r>
      <w:r w:rsidRPr="00332C4C">
        <w:rPr>
          <w:b/>
        </w:rPr>
        <w:t>Sujeto Obligad</w:t>
      </w:r>
      <w:r w:rsidRPr="00332C4C">
        <w:t>o manifiesta que la información requerida en el presente asunto encuadra en el supuesto de clasificación de la información como reservada prevista en el artículo 113, fracción XIII de la Ley General de Transparencia y Acceso a la Información Pública, así como el artículo 140, fracción X segundo párrafo de la Ley de Transparencia y Acceso a la Información Pública del Estado de México y Municipios, los cuales se citan a continuación para mejor proveer del presente estudio:</w:t>
      </w:r>
    </w:p>
    <w:p w14:paraId="290CF1D6" w14:textId="77777777" w:rsidR="00B64B58" w:rsidRPr="00332C4C" w:rsidRDefault="00B64B58" w:rsidP="00332C4C">
      <w:pPr>
        <w:ind w:left="851" w:right="900"/>
        <w:jc w:val="both"/>
        <w:rPr>
          <w:i/>
          <w:sz w:val="22"/>
        </w:rPr>
      </w:pPr>
      <w:bookmarkStart w:id="15" w:name="Artículo_113"/>
      <w:r w:rsidRPr="00332C4C">
        <w:rPr>
          <w:b/>
          <w:i/>
          <w:sz w:val="22"/>
        </w:rPr>
        <w:t>Artículo 113</w:t>
      </w:r>
      <w:bookmarkEnd w:id="15"/>
      <w:r w:rsidRPr="00332C4C">
        <w:rPr>
          <w:b/>
          <w:i/>
          <w:sz w:val="22"/>
        </w:rPr>
        <w:t xml:space="preserve">. </w:t>
      </w:r>
      <w:r w:rsidRPr="00332C4C">
        <w:rPr>
          <w:i/>
          <w:sz w:val="22"/>
        </w:rPr>
        <w:t>Como información reservada podrá clasificarse aquella cuya publicación:</w:t>
      </w:r>
    </w:p>
    <w:p w14:paraId="70A65F07" w14:textId="77777777" w:rsidR="00B64B58" w:rsidRPr="00332C4C" w:rsidRDefault="00B64B58" w:rsidP="00332C4C">
      <w:pPr>
        <w:ind w:left="1134" w:right="900"/>
        <w:jc w:val="both"/>
        <w:rPr>
          <w:i/>
          <w:sz w:val="22"/>
        </w:rPr>
      </w:pPr>
      <w:r w:rsidRPr="00332C4C">
        <w:rPr>
          <w:b/>
          <w:i/>
          <w:sz w:val="22"/>
        </w:rPr>
        <w:t>…</w:t>
      </w:r>
    </w:p>
    <w:p w14:paraId="399889E7" w14:textId="77777777" w:rsidR="00B64B58" w:rsidRPr="00332C4C" w:rsidRDefault="00B64B58" w:rsidP="00332C4C">
      <w:pPr>
        <w:ind w:left="1134" w:right="900"/>
        <w:jc w:val="both"/>
        <w:rPr>
          <w:i/>
          <w:sz w:val="22"/>
        </w:rPr>
      </w:pPr>
      <w:r w:rsidRPr="00332C4C">
        <w:rPr>
          <w:b/>
          <w:i/>
          <w:sz w:val="22"/>
        </w:rPr>
        <w:t>XIII.</w:t>
      </w:r>
      <w:r w:rsidRPr="00332C4C">
        <w:rPr>
          <w:b/>
          <w:i/>
          <w:sz w:val="22"/>
        </w:rPr>
        <w:tab/>
      </w:r>
      <w:r w:rsidRPr="00332C4C">
        <w:rPr>
          <w:b/>
          <w:i/>
          <w:sz w:val="22"/>
          <w:u w:val="single"/>
        </w:rPr>
        <w:t>Las que por disposición expresa de una ley tengan tal carácter, siempre que sean acordes con las bases, principios y disposiciones establecidos en esta Ley y no la contravengan; así como las previstas en tratados internacionales.</w:t>
      </w:r>
    </w:p>
    <w:p w14:paraId="2BEF2E39" w14:textId="77777777" w:rsidR="00B64B58" w:rsidRPr="00332C4C" w:rsidRDefault="00B64B58" w:rsidP="00332C4C">
      <w:pPr>
        <w:ind w:left="1134" w:right="900"/>
        <w:jc w:val="both"/>
        <w:rPr>
          <w:i/>
          <w:sz w:val="22"/>
        </w:rPr>
      </w:pPr>
      <w:r w:rsidRPr="00332C4C">
        <w:rPr>
          <w:b/>
          <w:i/>
          <w:sz w:val="22"/>
        </w:rPr>
        <w:t xml:space="preserve">         …</w:t>
      </w:r>
    </w:p>
    <w:p w14:paraId="11CD093E" w14:textId="77777777" w:rsidR="00B64B58" w:rsidRPr="00332C4C" w:rsidRDefault="00B64B58" w:rsidP="00332C4C">
      <w:pPr>
        <w:ind w:left="851" w:right="900"/>
        <w:jc w:val="both"/>
        <w:rPr>
          <w:b/>
          <w:i/>
          <w:sz w:val="22"/>
        </w:rPr>
      </w:pPr>
      <w:r w:rsidRPr="00332C4C">
        <w:rPr>
          <w:b/>
          <w:i/>
          <w:sz w:val="22"/>
        </w:rPr>
        <w:lastRenderedPageBreak/>
        <w:t>Artículo 140. El acceso a la información pública será restringido excepcionalmente, cuando por razones de interés público, ésta sea clasificada como reservada, conforme a los criterios siguientes:</w:t>
      </w:r>
    </w:p>
    <w:p w14:paraId="01E83C69" w14:textId="77777777" w:rsidR="00B64B58" w:rsidRPr="00332C4C" w:rsidRDefault="00B64B58" w:rsidP="00332C4C">
      <w:pPr>
        <w:ind w:left="851" w:right="900"/>
        <w:jc w:val="both"/>
        <w:rPr>
          <w:i/>
          <w:sz w:val="22"/>
        </w:rPr>
      </w:pPr>
      <w:r w:rsidRPr="00332C4C">
        <w:rPr>
          <w:i/>
          <w:sz w:val="22"/>
        </w:rPr>
        <w:t>…</w:t>
      </w:r>
    </w:p>
    <w:p w14:paraId="4CFE0EC7" w14:textId="77777777" w:rsidR="00B64B58" w:rsidRPr="00332C4C" w:rsidRDefault="00B64B58" w:rsidP="00332C4C">
      <w:pPr>
        <w:tabs>
          <w:tab w:val="left" w:pos="1276"/>
        </w:tabs>
        <w:ind w:left="1276" w:right="900"/>
        <w:jc w:val="both"/>
        <w:rPr>
          <w:i/>
          <w:sz w:val="22"/>
        </w:rPr>
      </w:pPr>
      <w:r w:rsidRPr="00332C4C">
        <w:rPr>
          <w:i/>
          <w:sz w:val="22"/>
        </w:rPr>
        <w:t>X</w:t>
      </w:r>
    </w:p>
    <w:p w14:paraId="4562340D" w14:textId="4989C115" w:rsidR="00B64B58" w:rsidRPr="00332C4C" w:rsidRDefault="00B64B58" w:rsidP="00332C4C">
      <w:pPr>
        <w:tabs>
          <w:tab w:val="left" w:pos="1276"/>
        </w:tabs>
        <w:ind w:left="1276" w:right="900"/>
        <w:jc w:val="both"/>
        <w:rPr>
          <w:b/>
          <w:i/>
          <w:sz w:val="22"/>
          <w:u w:val="single"/>
        </w:rPr>
      </w:pPr>
      <w:r w:rsidRPr="00332C4C">
        <w:rPr>
          <w:i/>
          <w:sz w:val="22"/>
        </w:rPr>
        <w:t>…</w:t>
      </w:r>
    </w:p>
    <w:p w14:paraId="6373C17F" w14:textId="5162336D" w:rsidR="00B64B58" w:rsidRPr="00332C4C" w:rsidRDefault="00B64B58" w:rsidP="00332C4C">
      <w:pPr>
        <w:ind w:left="1134" w:right="567"/>
        <w:jc w:val="both"/>
        <w:rPr>
          <w:i/>
          <w:sz w:val="20"/>
        </w:rPr>
      </w:pPr>
      <w:r w:rsidRPr="00332C4C">
        <w:rPr>
          <w:i/>
          <w:sz w:val="22"/>
        </w:rPr>
        <w:t>Cuando se trate de información sobre estudios y proyectos cuya divulgación pueda causar daños al interés del Estado o suponga un riesgo para su realización, siempre que esté directamente relacionado con procesos o procedimientos administrativos o judiciales que no hayan quedado firmes; y”</w:t>
      </w:r>
    </w:p>
    <w:p w14:paraId="71140411" w14:textId="77777777" w:rsidR="00B64B58" w:rsidRPr="00332C4C" w:rsidRDefault="00B64B58" w:rsidP="00332C4C">
      <w:pPr>
        <w:tabs>
          <w:tab w:val="left" w:pos="709"/>
        </w:tabs>
        <w:spacing w:before="240" w:after="160" w:line="360" w:lineRule="auto"/>
        <w:ind w:right="51"/>
        <w:jc w:val="both"/>
        <w:rPr>
          <w:rFonts w:eastAsia="Palatino Linotype" w:cs="Palatino Linotype"/>
        </w:rPr>
      </w:pPr>
      <w:r w:rsidRPr="00332C4C">
        <w:rPr>
          <w:rFonts w:eastAsia="Palatino Linotype" w:cs="Palatino Linotype"/>
        </w:rPr>
        <w:t xml:space="preserve">Bajo tales consideraciones, es preciso recordar que mediante informe justificado, el </w:t>
      </w:r>
      <w:r w:rsidRPr="006C6605">
        <w:rPr>
          <w:rFonts w:eastAsia="Palatino Linotype" w:cs="Palatino Linotype"/>
          <w:b/>
        </w:rPr>
        <w:t>Sujeto Obligado</w:t>
      </w:r>
      <w:r w:rsidRPr="00332C4C">
        <w:rPr>
          <w:rFonts w:eastAsia="Palatino Linotype" w:cs="Palatino Linotype"/>
        </w:rPr>
        <w:t xml:space="preserve"> confirmó la respuesta primigenia, toda vez que estimaba que existía un prueba de daño en la que se fundan y motivan las razones por las  que se clasifica la información, esto de conformidad con el numeral 129 de la Ley de Transparencia Local, así como los diversos 128, 130, 131, 133 y 134 de la misma Ley, para poder emitir el acuerdo de clasificación en donde se funden y motiven las razones por las cuales no se puede entregar la información. </w:t>
      </w:r>
    </w:p>
    <w:p w14:paraId="27ECFECE"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“Artículo 128.</w:t>
      </w:r>
      <w:r w:rsidRPr="00332C4C">
        <w:rPr>
          <w:rFonts w:eastAsia="Palatino Linotype" w:cs="Palatino Linotype"/>
          <w:i/>
          <w:sz w:val="22"/>
          <w:szCs w:val="22"/>
        </w:rPr>
        <w:t xml:space="preserve"> En los casos en que se niegue el acceso a la información, por actualizarse alguno de los supuestos de clasificación, </w:t>
      </w:r>
      <w:r w:rsidRPr="00332C4C">
        <w:rPr>
          <w:rFonts w:eastAsia="Palatino Linotype" w:cs="Palatino Linotype"/>
          <w:i/>
          <w:sz w:val="22"/>
          <w:szCs w:val="22"/>
          <w:u w:val="single"/>
        </w:rPr>
        <w:t>el Comité de Transparencia deberá confirmar, modificar o revocar la decisión</w:t>
      </w:r>
      <w:r w:rsidRPr="00332C4C">
        <w:rPr>
          <w:rFonts w:eastAsia="Palatino Linotype" w:cs="Palatino Linotype"/>
          <w:i/>
          <w:sz w:val="22"/>
          <w:szCs w:val="22"/>
        </w:rPr>
        <w:t xml:space="preserve">. </w:t>
      </w:r>
    </w:p>
    <w:p w14:paraId="49F7FDC7"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i/>
          <w:sz w:val="22"/>
          <w:szCs w:val="22"/>
        </w:rPr>
        <w:t xml:space="preserve">Para motivar la clasificación de la información y la ampliación del plazo de reserva, se deberán señalar las razones, motivos o circunstancias especiales que llevaron al sujeto obligado a concluir que el caso particular se ajusta al supuesto previsto por la norma legal invocada como fundamento. Además, el sujeto obligado deberá, en todo momento, aplicar una prueba de daño. </w:t>
      </w:r>
    </w:p>
    <w:p w14:paraId="49CF8612"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i/>
          <w:sz w:val="22"/>
          <w:szCs w:val="22"/>
        </w:rPr>
        <w:t xml:space="preserve">Tratándose de aquélla información que actualice los supuestos de clasificación, deberá señalarse el plazo al que estará sujeto la reserva. </w:t>
      </w:r>
    </w:p>
    <w:p w14:paraId="39574505"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Artículo 129.</w:t>
      </w:r>
      <w:r w:rsidRPr="00332C4C">
        <w:rPr>
          <w:rFonts w:eastAsia="Palatino Linotype" w:cs="Palatino Linotype"/>
          <w:i/>
          <w:sz w:val="22"/>
          <w:szCs w:val="22"/>
        </w:rPr>
        <w:t xml:space="preserve"> </w:t>
      </w:r>
      <w:r w:rsidRPr="00332C4C">
        <w:rPr>
          <w:rFonts w:eastAsia="Palatino Linotype" w:cs="Palatino Linotype"/>
          <w:i/>
          <w:sz w:val="22"/>
          <w:szCs w:val="22"/>
          <w:u w:val="single"/>
        </w:rPr>
        <w:t>En la aplicación de la prueba de daño</w:t>
      </w:r>
      <w:r w:rsidRPr="00332C4C">
        <w:rPr>
          <w:rFonts w:eastAsia="Palatino Linotype" w:cs="Palatino Linotype"/>
          <w:i/>
          <w:sz w:val="22"/>
          <w:szCs w:val="22"/>
        </w:rPr>
        <w:t xml:space="preserve">, el sujeto obligado deberá precisar las razones objetivas por las que la apertura de la información generaría una afectación, justificando que: </w:t>
      </w:r>
    </w:p>
    <w:p w14:paraId="63FF9A8B" w14:textId="77777777" w:rsidR="00B64B58" w:rsidRPr="00332C4C" w:rsidRDefault="00B64B58" w:rsidP="00332C4C">
      <w:pPr>
        <w:spacing w:before="240" w:after="240"/>
        <w:ind w:left="851" w:right="851"/>
        <w:jc w:val="both"/>
        <w:rPr>
          <w:rFonts w:eastAsia="Palatino Linotype" w:cs="Palatino Linotype"/>
          <w:i/>
          <w:sz w:val="22"/>
          <w:szCs w:val="22"/>
          <w:u w:val="single"/>
        </w:rPr>
      </w:pPr>
      <w:r w:rsidRPr="00332C4C">
        <w:rPr>
          <w:rFonts w:eastAsia="Palatino Linotype" w:cs="Palatino Linotype"/>
          <w:b/>
          <w:i/>
          <w:sz w:val="22"/>
          <w:szCs w:val="22"/>
        </w:rPr>
        <w:lastRenderedPageBreak/>
        <w:t>I.</w:t>
      </w:r>
      <w:r w:rsidRPr="00332C4C">
        <w:rPr>
          <w:rFonts w:eastAsia="Palatino Linotype" w:cs="Palatino Linotype"/>
          <w:i/>
          <w:sz w:val="22"/>
          <w:szCs w:val="22"/>
        </w:rPr>
        <w:t xml:space="preserve"> </w:t>
      </w:r>
      <w:r w:rsidRPr="00332C4C">
        <w:rPr>
          <w:rFonts w:eastAsia="Palatino Linotype" w:cs="Palatino Linotype"/>
          <w:i/>
          <w:sz w:val="22"/>
          <w:szCs w:val="22"/>
          <w:u w:val="single"/>
        </w:rPr>
        <w:t xml:space="preserve">La divulgación de la información representa un riesgo real, demostrable e identificable del perjuicio significativo al interés público o a la seguridad pública; </w:t>
      </w:r>
    </w:p>
    <w:p w14:paraId="5FD8BC82" w14:textId="77777777" w:rsidR="00B64B58" w:rsidRPr="00332C4C" w:rsidRDefault="00B64B58" w:rsidP="00332C4C">
      <w:pPr>
        <w:spacing w:before="240" w:after="240"/>
        <w:ind w:left="851" w:right="851"/>
        <w:jc w:val="both"/>
        <w:rPr>
          <w:rFonts w:eastAsia="Palatino Linotype" w:cs="Palatino Linotype"/>
          <w:i/>
          <w:sz w:val="22"/>
          <w:szCs w:val="22"/>
          <w:u w:val="single"/>
        </w:rPr>
      </w:pPr>
      <w:r w:rsidRPr="00332C4C">
        <w:rPr>
          <w:rFonts w:eastAsia="Palatino Linotype" w:cs="Palatino Linotype"/>
          <w:b/>
          <w:i/>
          <w:sz w:val="22"/>
          <w:szCs w:val="22"/>
          <w:u w:val="single"/>
        </w:rPr>
        <w:t>II.</w:t>
      </w:r>
      <w:r w:rsidRPr="00332C4C">
        <w:rPr>
          <w:rFonts w:eastAsia="Palatino Linotype" w:cs="Palatino Linotype"/>
          <w:i/>
          <w:sz w:val="22"/>
          <w:szCs w:val="22"/>
          <w:u w:val="single"/>
        </w:rPr>
        <w:t xml:space="preserve"> El riesgo de perjuicio que supondría la divulgación supera el interés público general de que se difunda; y </w:t>
      </w:r>
    </w:p>
    <w:p w14:paraId="18C4A44A"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u w:val="single"/>
        </w:rPr>
        <w:t>III.</w:t>
      </w:r>
      <w:r w:rsidRPr="00332C4C">
        <w:rPr>
          <w:rFonts w:eastAsia="Palatino Linotype" w:cs="Palatino Linotype"/>
          <w:i/>
          <w:sz w:val="22"/>
          <w:szCs w:val="22"/>
          <w:u w:val="single"/>
        </w:rPr>
        <w:t xml:space="preserve"> La limitación se adecua al principio de proporcionalidad y representa el medio menos restrictivo disponible representa el medio menos restrictivo disponible para evitar el perjuicio. </w:t>
      </w:r>
    </w:p>
    <w:p w14:paraId="4ADF7549"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Artículo 130.</w:t>
      </w:r>
      <w:r w:rsidRPr="00332C4C">
        <w:rPr>
          <w:rFonts w:eastAsia="Palatino Linotype" w:cs="Palatino Linotype"/>
          <w:i/>
          <w:sz w:val="22"/>
          <w:szCs w:val="22"/>
        </w:rPr>
        <w:t xml:space="preserve"> Los sujetos obligados deberán aplicar, de manera restrictiva y limitada, las excepciones al derecho de acceso a la información y sólo podrán invocarlas cuando acrediten su procedencia, sin ampliar las excepciones o supuestos de reserva o confidencialidad previstos en la Ley General y la presente Ley, aduciendo analogía o mayoría de razón. </w:t>
      </w:r>
    </w:p>
    <w:p w14:paraId="79A35984"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Artículo 131</w:t>
      </w:r>
      <w:r w:rsidRPr="00332C4C">
        <w:rPr>
          <w:rFonts w:eastAsia="Palatino Linotype" w:cs="Palatino Linotype"/>
          <w:i/>
          <w:sz w:val="22"/>
          <w:szCs w:val="22"/>
        </w:rPr>
        <w:t xml:space="preserve">. </w:t>
      </w:r>
      <w:r w:rsidRPr="00332C4C">
        <w:rPr>
          <w:rFonts w:eastAsia="Palatino Linotype" w:cs="Palatino Linotype"/>
          <w:i/>
          <w:sz w:val="22"/>
          <w:szCs w:val="22"/>
          <w:u w:val="single"/>
        </w:rPr>
        <w:t>La carga de la prueba para justificar toda negativa de acceso a la información, por actualizarse cualquiera de los supuestos de clasificación previstos en esta Ley corresponderá a los sujetos obligados</w:t>
      </w:r>
      <w:r w:rsidRPr="00332C4C">
        <w:rPr>
          <w:rFonts w:eastAsia="Palatino Linotype" w:cs="Palatino Linotype"/>
          <w:i/>
          <w:sz w:val="22"/>
          <w:szCs w:val="22"/>
        </w:rPr>
        <w:t>; en tal caso deberá fundar y motivar debidamente la clasificación de la información, de conformidad con lo previsto en la presente Ley.</w:t>
      </w:r>
    </w:p>
    <w:p w14:paraId="0AAE21A8"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Artículo 133.</w:t>
      </w:r>
      <w:r w:rsidRPr="00332C4C">
        <w:rPr>
          <w:rFonts w:eastAsia="Palatino Linotype" w:cs="Palatino Linotype"/>
          <w:i/>
          <w:sz w:val="22"/>
          <w:szCs w:val="22"/>
        </w:rPr>
        <w:t xml:space="preserve"> Los documentos clasificados total o parcialmente deberán llevar una leyenda que indique tal carácter, la fecha de clasificación, el fundamento legal y, en su caso, el periodo de reserva. </w:t>
      </w:r>
    </w:p>
    <w:p w14:paraId="554DD184"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Artículo 134.</w:t>
      </w:r>
      <w:r w:rsidRPr="00332C4C">
        <w:rPr>
          <w:rFonts w:eastAsia="Palatino Linotype" w:cs="Palatino Linotype"/>
          <w:i/>
          <w:sz w:val="22"/>
          <w:szCs w:val="22"/>
        </w:rPr>
        <w:t xml:space="preserve"> </w:t>
      </w:r>
      <w:r w:rsidRPr="00332C4C">
        <w:rPr>
          <w:rFonts w:eastAsia="Palatino Linotype" w:cs="Palatino Linotype"/>
          <w:i/>
          <w:sz w:val="22"/>
          <w:szCs w:val="22"/>
          <w:u w:val="single"/>
        </w:rPr>
        <w:t>Los sujetos obligados no podrán emitir acuerdos de carácter general ni particular que clasifiquen documentos o información como reservada</w:t>
      </w:r>
      <w:r w:rsidRPr="00332C4C">
        <w:rPr>
          <w:rFonts w:eastAsia="Palatino Linotype" w:cs="Palatino Linotype"/>
          <w:i/>
          <w:sz w:val="22"/>
          <w:szCs w:val="22"/>
        </w:rPr>
        <w:t>. La clasificación podrá establecerse de manera parcial o total de acuerdo al contenido de la información del documento y deberá estar acorde con la actualización de los supuestos definidos en el presente Título como información clasificada.”</w:t>
      </w:r>
    </w:p>
    <w:p w14:paraId="256BAA98" w14:textId="77777777" w:rsidR="00B64B58" w:rsidRPr="00332C4C" w:rsidRDefault="00B64B58" w:rsidP="00332C4C">
      <w:pPr>
        <w:spacing w:before="240" w:after="240" w:line="360" w:lineRule="auto"/>
        <w:jc w:val="both"/>
        <w:rPr>
          <w:rFonts w:eastAsia="Palatino Linotype" w:cs="Palatino Linotype"/>
        </w:rPr>
      </w:pPr>
      <w:r w:rsidRPr="00332C4C">
        <w:rPr>
          <w:rFonts w:eastAsia="Palatino Linotype" w:cs="Palatino Linotype"/>
        </w:rPr>
        <w:t xml:space="preserve">De los preceptos citados con anterioridad, podemos advertir que, en los casos en que se niegue el acceso a la información por actualizarse alguno de los supuestos de clasificación, se deberá generar una prueba de daño, en la cual, el sujeto obligado debió justificar que la divulgación de la información representa un riesgo real, demostrable e identificable. Que el riesgo de perjuicio que supondría la divulgación supera el interés público general y analizar si las limitaciones se adecuan al principio </w:t>
      </w:r>
      <w:r w:rsidRPr="00332C4C">
        <w:rPr>
          <w:rFonts w:eastAsia="Palatino Linotype" w:cs="Palatino Linotype"/>
        </w:rPr>
        <w:lastRenderedPageBreak/>
        <w:t>de proporcionalidad o si representa el medio menos restrictivo disponible para evitar algún perjuicio.</w:t>
      </w:r>
    </w:p>
    <w:p w14:paraId="2E7C4370" w14:textId="5CA56092" w:rsidR="00B64B58" w:rsidRPr="00332C4C" w:rsidRDefault="00B64B58" w:rsidP="00332C4C">
      <w:pPr>
        <w:spacing w:before="240" w:after="240" w:line="360" w:lineRule="auto"/>
        <w:jc w:val="both"/>
        <w:rPr>
          <w:rFonts w:eastAsia="Palatino Linotype" w:cs="Palatino Linotype"/>
        </w:rPr>
      </w:pPr>
      <w:r w:rsidRPr="00332C4C">
        <w:rPr>
          <w:rFonts w:eastAsia="Palatino Linotype" w:cs="Palatino Linotype"/>
        </w:rPr>
        <w:t xml:space="preserve">Asimismo, se debe precisar, que la carga de la prueba para justificar cualquier negativa de información corresponde al sujeto obligado, siendo así, que deberá demostrar bajo una detallada fundamentación y motivación, las razones que lo llevaron a determinar que la información requerida por la parte </w:t>
      </w:r>
      <w:r w:rsidR="002B31AA" w:rsidRPr="002B31AA">
        <w:rPr>
          <w:rFonts w:eastAsia="Palatino Linotype" w:cs="Palatino Linotype"/>
          <w:b/>
          <w:bCs/>
        </w:rPr>
        <w:t>R</w:t>
      </w:r>
      <w:r w:rsidRPr="002B31AA">
        <w:rPr>
          <w:rFonts w:eastAsia="Palatino Linotype" w:cs="Palatino Linotype"/>
          <w:b/>
          <w:bCs/>
        </w:rPr>
        <w:t>ecurrente</w:t>
      </w:r>
      <w:r w:rsidRPr="00332C4C">
        <w:rPr>
          <w:rFonts w:eastAsia="Palatino Linotype" w:cs="Palatino Linotype"/>
          <w:b/>
        </w:rPr>
        <w:t xml:space="preserve">, </w:t>
      </w:r>
      <w:r w:rsidRPr="00332C4C">
        <w:rPr>
          <w:rFonts w:eastAsia="Palatino Linotype" w:cs="Palatino Linotype"/>
        </w:rPr>
        <w:t>encuadra en alguno de los supuestos</w:t>
      </w:r>
      <w:r w:rsidRPr="00332C4C">
        <w:rPr>
          <w:rFonts w:eastAsia="Palatino Linotype" w:cs="Palatino Linotype"/>
          <w:b/>
        </w:rPr>
        <w:t xml:space="preserve"> </w:t>
      </w:r>
      <w:r w:rsidRPr="00332C4C">
        <w:rPr>
          <w:rFonts w:eastAsia="Palatino Linotype" w:cs="Palatino Linotype"/>
        </w:rPr>
        <w:t>en la ley de la materia.</w:t>
      </w:r>
    </w:p>
    <w:p w14:paraId="7033FEB2" w14:textId="5ABB0CF9" w:rsidR="00B64B58" w:rsidRPr="00332C4C" w:rsidRDefault="00B64B58" w:rsidP="00332C4C">
      <w:pPr>
        <w:spacing w:before="240" w:after="240" w:line="360" w:lineRule="auto"/>
        <w:jc w:val="both"/>
        <w:rPr>
          <w:rFonts w:eastAsia="Palatino Linotype" w:cs="Palatino Linotype"/>
        </w:rPr>
      </w:pPr>
      <w:r w:rsidRPr="00332C4C">
        <w:rPr>
          <w:rFonts w:eastAsia="Palatino Linotype" w:cs="Palatino Linotype"/>
        </w:rPr>
        <w:t>De igual forma, para que el acceso a la información pública pueda ser restringido al clasificar la información requerida como reservada, se deben actualizar los supuestos establecidos en el Artículo 113 de la</w:t>
      </w:r>
      <w:r w:rsidRPr="00332C4C">
        <w:rPr>
          <w:rFonts w:ascii="Calibri" w:eastAsia="Calibri" w:hAnsi="Calibri" w:cs="Calibri"/>
        </w:rPr>
        <w:t xml:space="preserve"> </w:t>
      </w:r>
      <w:r w:rsidRPr="00332C4C">
        <w:rPr>
          <w:rFonts w:eastAsia="Palatino Linotype" w:cs="Palatino Linotype"/>
        </w:rPr>
        <w:t xml:space="preserve">y Ley General De Transparencia Acceso a </w:t>
      </w:r>
      <w:r w:rsidR="006C6605">
        <w:rPr>
          <w:rFonts w:eastAsia="Palatino Linotype" w:cs="Palatino Linotype"/>
        </w:rPr>
        <w:t>l</w:t>
      </w:r>
      <w:r w:rsidRPr="00332C4C">
        <w:rPr>
          <w:rFonts w:eastAsia="Palatino Linotype" w:cs="Palatino Linotype"/>
        </w:rPr>
        <w:t>a Información Pública, artículo 140 de la Ley de Transparencia y Acceso a la Información Pública del Estado de México y Municipios, así como lo establecido en los Lineamientos Generales en Materia de Clasificación y Desclasificación de la Información, así como para la Elaboración de Versiones Públicas, que a la letra señalan lo siguiente:</w:t>
      </w:r>
    </w:p>
    <w:p w14:paraId="15BED8CB"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“Artículo 113.</w:t>
      </w:r>
      <w:r w:rsidRPr="00332C4C">
        <w:rPr>
          <w:rFonts w:eastAsia="Palatino Linotype" w:cs="Palatino Linotype"/>
          <w:i/>
          <w:sz w:val="22"/>
          <w:szCs w:val="22"/>
        </w:rPr>
        <w:t xml:space="preserve"> Como información reservada podrá clasificarse aquella cuya publicación:</w:t>
      </w:r>
    </w:p>
    <w:p w14:paraId="558FAD66"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 xml:space="preserve"> I.</w:t>
      </w:r>
      <w:r w:rsidRPr="00332C4C">
        <w:rPr>
          <w:rFonts w:eastAsia="Palatino Linotype" w:cs="Palatino Linotype"/>
          <w:i/>
          <w:sz w:val="22"/>
          <w:szCs w:val="22"/>
        </w:rPr>
        <w:t xml:space="preserve"> Comprometa la seguridad nacional, la seguridad pública o la defensa nacional y cuente con un propósito genuino y un efecto demostrable; </w:t>
      </w:r>
    </w:p>
    <w:p w14:paraId="03FC111A"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II.</w:t>
      </w:r>
      <w:r w:rsidRPr="00332C4C">
        <w:rPr>
          <w:rFonts w:eastAsia="Palatino Linotype" w:cs="Palatino Linotype"/>
          <w:i/>
          <w:sz w:val="22"/>
          <w:szCs w:val="22"/>
        </w:rPr>
        <w:t xml:space="preserve"> Pueda menoscabar la conducción de las negociaciones y relaciones internacionales; </w:t>
      </w:r>
      <w:r w:rsidRPr="00332C4C">
        <w:rPr>
          <w:rFonts w:eastAsia="Palatino Linotype" w:cs="Palatino Linotype"/>
          <w:i/>
          <w:sz w:val="22"/>
          <w:szCs w:val="22"/>
        </w:rPr>
        <w:br/>
      </w:r>
      <w:r w:rsidRPr="00332C4C">
        <w:rPr>
          <w:rFonts w:eastAsia="Palatino Linotype" w:cs="Palatino Linotype"/>
          <w:b/>
          <w:i/>
          <w:sz w:val="22"/>
          <w:szCs w:val="22"/>
        </w:rPr>
        <w:t>III.</w:t>
      </w:r>
      <w:r w:rsidRPr="00332C4C">
        <w:rPr>
          <w:rFonts w:eastAsia="Palatino Linotype" w:cs="Palatino Linotype"/>
          <w:i/>
          <w:sz w:val="22"/>
          <w:szCs w:val="22"/>
        </w:rPr>
        <w:t xml:space="preserve"> Se entregue al Estado mexicano expresamente con ese carácter o el de confidencial por otro u otros sujetos de derecho internacional, excepto cuando se trate de violaciones graves de derechos humanos o delitos de lesa humanidad de conformidad con el derecho internacional; </w:t>
      </w:r>
    </w:p>
    <w:p w14:paraId="7828CD43"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lastRenderedPageBreak/>
        <w:t>IV.</w:t>
      </w:r>
      <w:r w:rsidRPr="00332C4C">
        <w:rPr>
          <w:rFonts w:eastAsia="Palatino Linotype" w:cs="Palatino Linotype"/>
          <w:i/>
          <w:sz w:val="22"/>
          <w:szCs w:val="22"/>
        </w:rPr>
        <w:t xml:space="preserve"> Pueda afectar la efectividad de las medidas adoptadas en relación con las políticas en materia monetaria, cambiaria o del sistema financiero del país; pueda poner en riesgo la estabilidad de las instituciones financieras susceptibles de ser consideradas de riesgo sistémico o del sistema financiero del país, pueda comprometer la seguridad en la provisión de moneda nacional al país, o pueda incrementar el costo de operaciones financieras que realicen los sujetos obligados del sector público federal; </w:t>
      </w:r>
    </w:p>
    <w:p w14:paraId="505773BB"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V.</w:t>
      </w:r>
      <w:r w:rsidRPr="00332C4C">
        <w:rPr>
          <w:rFonts w:eastAsia="Palatino Linotype" w:cs="Palatino Linotype"/>
          <w:i/>
          <w:sz w:val="22"/>
          <w:szCs w:val="22"/>
        </w:rPr>
        <w:t xml:space="preserve"> Pueda poner en riesgo la vida, seguridad o salud de una persona física; </w:t>
      </w:r>
    </w:p>
    <w:p w14:paraId="45FFB875"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VI</w:t>
      </w:r>
      <w:r w:rsidRPr="00332C4C">
        <w:rPr>
          <w:rFonts w:eastAsia="Palatino Linotype" w:cs="Palatino Linotype"/>
          <w:i/>
          <w:sz w:val="22"/>
          <w:szCs w:val="22"/>
        </w:rPr>
        <w:t xml:space="preserve">. Obstruya las actividades de verificación, inspección y auditoría relativas al cumplimiento de las leyes o afecte la recaudación de contribuciones; </w:t>
      </w:r>
    </w:p>
    <w:p w14:paraId="7E542D14"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VII.</w:t>
      </w:r>
      <w:r w:rsidRPr="00332C4C">
        <w:rPr>
          <w:rFonts w:eastAsia="Palatino Linotype" w:cs="Palatino Linotype"/>
          <w:i/>
          <w:sz w:val="22"/>
          <w:szCs w:val="22"/>
        </w:rPr>
        <w:t xml:space="preserve"> Obstruya la prevención o persecución de los delitos; </w:t>
      </w:r>
    </w:p>
    <w:p w14:paraId="7E524A87"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VIII.</w:t>
      </w:r>
      <w:r w:rsidRPr="00332C4C">
        <w:rPr>
          <w:rFonts w:eastAsia="Palatino Linotype" w:cs="Palatino Linotype"/>
          <w:i/>
          <w:sz w:val="22"/>
          <w:szCs w:val="22"/>
        </w:rPr>
        <w:t xml:space="preserve"> La que contenga las opiniones, recomendaciones o puntos de vista que formen parte del proceso deliberativo de los servidores públicos, hasta en tanto no sea adoptada la decisión definitiva, la cual deberá estar documentada; </w:t>
      </w:r>
    </w:p>
    <w:p w14:paraId="36021D65"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IX.</w:t>
      </w:r>
      <w:r w:rsidRPr="00332C4C">
        <w:rPr>
          <w:rFonts w:eastAsia="Palatino Linotype" w:cs="Palatino Linotype"/>
          <w:i/>
          <w:sz w:val="22"/>
          <w:szCs w:val="22"/>
        </w:rPr>
        <w:t xml:space="preserve"> Obstruya los procedimientos para fincar responsabilidad a los Servidores Públicos, en tanto no se haya dictado la resolución administrativa; </w:t>
      </w:r>
    </w:p>
    <w:p w14:paraId="0A2E8B61"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X.</w:t>
      </w:r>
      <w:r w:rsidRPr="00332C4C">
        <w:rPr>
          <w:rFonts w:eastAsia="Palatino Linotype" w:cs="Palatino Linotype"/>
          <w:i/>
          <w:sz w:val="22"/>
          <w:szCs w:val="22"/>
        </w:rPr>
        <w:t xml:space="preserve"> Afecte los derechos del debido proceso; </w:t>
      </w:r>
    </w:p>
    <w:p w14:paraId="36A5B9FE"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XI.</w:t>
      </w:r>
      <w:r w:rsidRPr="00332C4C">
        <w:rPr>
          <w:rFonts w:eastAsia="Palatino Linotype" w:cs="Palatino Linotype"/>
          <w:i/>
          <w:sz w:val="22"/>
          <w:szCs w:val="22"/>
        </w:rPr>
        <w:t xml:space="preserve"> Vulnere la conducción de los Expedientes judiciales o de los procedimientos administrativos seguidos en forma de juicio, en tanto no hayan causado estado;</w:t>
      </w:r>
    </w:p>
    <w:p w14:paraId="0EDD1021"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Artículo 140</w:t>
      </w:r>
      <w:r w:rsidRPr="00332C4C">
        <w:rPr>
          <w:rFonts w:eastAsia="Palatino Linotype" w:cs="Palatino Linotype"/>
          <w:i/>
          <w:sz w:val="22"/>
          <w:szCs w:val="22"/>
        </w:rPr>
        <w:t xml:space="preserve">. El acceso a la información pública será restringido excepcionalmente, cuando por razones de interés público, ésta sea clasificada como reservada, conforme a los criterios siguientes: </w:t>
      </w:r>
    </w:p>
    <w:p w14:paraId="51C08712"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I</w:t>
      </w:r>
      <w:r w:rsidRPr="00332C4C">
        <w:rPr>
          <w:rFonts w:eastAsia="Palatino Linotype" w:cs="Palatino Linotype"/>
          <w:i/>
          <w:sz w:val="22"/>
          <w:szCs w:val="22"/>
        </w:rPr>
        <w:t xml:space="preserve">. Comprometa la seguridad pública y cuente con un propósito genuino y un efecto demostrable; </w:t>
      </w:r>
    </w:p>
    <w:p w14:paraId="620AA982"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II.</w:t>
      </w:r>
      <w:r w:rsidRPr="00332C4C">
        <w:rPr>
          <w:rFonts w:eastAsia="Palatino Linotype" w:cs="Palatino Linotype"/>
          <w:i/>
          <w:sz w:val="22"/>
          <w:szCs w:val="22"/>
        </w:rPr>
        <w:t xml:space="preserve"> Pueda menoscabar la conducción de las negociaciones y relaciones internacionales; </w:t>
      </w:r>
    </w:p>
    <w:p w14:paraId="4E15D69D"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III.</w:t>
      </w:r>
      <w:r w:rsidRPr="00332C4C">
        <w:rPr>
          <w:rFonts w:eastAsia="Palatino Linotype" w:cs="Palatino Linotype"/>
          <w:i/>
          <w:sz w:val="22"/>
          <w:szCs w:val="22"/>
        </w:rPr>
        <w:t xml:space="preserve"> Se entregue a la Entidad expresamente con ese carácter o el de confidencialidad por otro u otros sujetos de derecho internacional, excepto cuando se trate de violaciones graves de derechos humanos o delitos de lesa humanidad de conformidad con el derecho internacional; </w:t>
      </w:r>
    </w:p>
    <w:p w14:paraId="36D71E93"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lastRenderedPageBreak/>
        <w:t>IV.</w:t>
      </w:r>
      <w:r w:rsidRPr="00332C4C">
        <w:rPr>
          <w:rFonts w:eastAsia="Palatino Linotype" w:cs="Palatino Linotype"/>
          <w:i/>
          <w:sz w:val="22"/>
          <w:szCs w:val="22"/>
        </w:rPr>
        <w:t xml:space="preserve"> Ponga en riesgo la vida, la seguridad o la salud de una persona física; </w:t>
      </w:r>
    </w:p>
    <w:p w14:paraId="75BCC990"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V</w:t>
      </w:r>
      <w:r w:rsidRPr="00332C4C">
        <w:rPr>
          <w:rFonts w:eastAsia="Palatino Linotype" w:cs="Palatino Linotype"/>
          <w:i/>
          <w:sz w:val="22"/>
          <w:szCs w:val="22"/>
        </w:rPr>
        <w:t xml:space="preserve">. Aquella cuya divulgación obstruya o pueda causar un serio perjuicio a: </w:t>
      </w:r>
    </w:p>
    <w:p w14:paraId="668D832F" w14:textId="77777777" w:rsidR="00B64B58" w:rsidRPr="00332C4C" w:rsidRDefault="00B64B58" w:rsidP="00332C4C">
      <w:pPr>
        <w:spacing w:before="240" w:after="240"/>
        <w:ind w:left="1416" w:right="851"/>
        <w:jc w:val="both"/>
        <w:rPr>
          <w:rFonts w:eastAsia="Palatino Linotype" w:cs="Palatino Linotype"/>
          <w:i/>
          <w:sz w:val="22"/>
          <w:szCs w:val="22"/>
        </w:rPr>
      </w:pPr>
      <w:r w:rsidRPr="00332C4C">
        <w:rPr>
          <w:rFonts w:eastAsia="Palatino Linotype" w:cs="Palatino Linotype"/>
          <w:i/>
          <w:sz w:val="22"/>
          <w:szCs w:val="22"/>
        </w:rPr>
        <w:t xml:space="preserve">1. Las actividades de fiscalización, verificación, inspección, comprobación y auditoría sobre el cumplimiento de las Leyes; o </w:t>
      </w:r>
    </w:p>
    <w:p w14:paraId="5DEE953D" w14:textId="77777777" w:rsidR="00B64B58" w:rsidRPr="00332C4C" w:rsidRDefault="00B64B58" w:rsidP="00332C4C">
      <w:pPr>
        <w:spacing w:before="240" w:after="240"/>
        <w:ind w:left="1416" w:right="851"/>
        <w:jc w:val="both"/>
        <w:rPr>
          <w:rFonts w:eastAsia="Palatino Linotype" w:cs="Palatino Linotype"/>
          <w:i/>
          <w:sz w:val="22"/>
          <w:szCs w:val="22"/>
        </w:rPr>
      </w:pPr>
      <w:r w:rsidRPr="00332C4C">
        <w:rPr>
          <w:rFonts w:eastAsia="Palatino Linotype" w:cs="Palatino Linotype"/>
          <w:i/>
          <w:sz w:val="22"/>
          <w:szCs w:val="22"/>
        </w:rPr>
        <w:t xml:space="preserve">2. La recaudación de las contribuciones. </w:t>
      </w:r>
    </w:p>
    <w:p w14:paraId="24E025F8"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VI</w:t>
      </w:r>
      <w:r w:rsidRPr="00332C4C">
        <w:rPr>
          <w:rFonts w:eastAsia="Palatino Linotype" w:cs="Palatino Linotype"/>
          <w:i/>
          <w:sz w:val="22"/>
          <w:szCs w:val="22"/>
        </w:rPr>
        <w:t xml:space="preserve">. Pueda causar daño u obstruya la prevención o persecución de los delitos, altere el proceso de investigación de las carpetas de investigación,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 </w:t>
      </w:r>
    </w:p>
    <w:p w14:paraId="461D68A5"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VII.</w:t>
      </w:r>
      <w:r w:rsidRPr="00332C4C">
        <w:rPr>
          <w:rFonts w:eastAsia="Palatino Linotype" w:cs="Palatino Linotype"/>
          <w:i/>
          <w:sz w:val="22"/>
          <w:szCs w:val="22"/>
        </w:rPr>
        <w:t xml:space="preserve"> La que contengan las opiniones, recomendaciones o puntos de vista que formen parte del proceso deliberativo de los servidores públicos, hasta en tanto sea adoptada la decisión definitiva, la cual deberá estar documentada; </w:t>
      </w:r>
    </w:p>
    <w:p w14:paraId="71445BB4"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VIII.</w:t>
      </w:r>
      <w:r w:rsidRPr="00332C4C">
        <w:rPr>
          <w:rFonts w:eastAsia="Palatino Linotype" w:cs="Palatino Linotype"/>
          <w:i/>
          <w:sz w:val="22"/>
          <w:szCs w:val="22"/>
        </w:rPr>
        <w:t xml:space="preserve"> Vulnere la conducción de los expedientes judiciales o de los procedimientos administrativos seguidos en forma de juicio, en tanto no hayan quedado firmes; </w:t>
      </w:r>
    </w:p>
    <w:p w14:paraId="667EF975"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IX</w:t>
      </w:r>
      <w:r w:rsidRPr="00332C4C">
        <w:rPr>
          <w:rFonts w:eastAsia="Palatino Linotype" w:cs="Palatino Linotype"/>
          <w:i/>
          <w:sz w:val="22"/>
          <w:szCs w:val="22"/>
        </w:rPr>
        <w:t xml:space="preserve">. Se encuentre contenida dentro de las investigaciones de hechos que la Ley señale como delitos y se tramiten ante el Ministerio Público; </w:t>
      </w:r>
    </w:p>
    <w:p w14:paraId="3034DB17"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b/>
          <w:i/>
          <w:sz w:val="22"/>
          <w:szCs w:val="22"/>
        </w:rPr>
        <w:t>X.</w:t>
      </w:r>
      <w:r w:rsidRPr="00332C4C">
        <w:rPr>
          <w:rFonts w:eastAsia="Palatino Linotype" w:cs="Palatino Linotype"/>
          <w:i/>
          <w:sz w:val="22"/>
          <w:szCs w:val="22"/>
        </w:rPr>
        <w:t xml:space="preserve"> El daño que pueda producirse con la publicación de la información sea mayor que el interés público de conocer la información de referencia, siempre que esté directamente relacionado con procesos o procedimientos administrativos o judiciales que no hayan quedado firmes; </w:t>
      </w:r>
    </w:p>
    <w:p w14:paraId="76C5D62C" w14:textId="77777777" w:rsidR="00B64B58" w:rsidRPr="00332C4C" w:rsidRDefault="00B64B58" w:rsidP="00332C4C">
      <w:pPr>
        <w:spacing w:before="240" w:after="240"/>
        <w:ind w:left="851" w:right="851"/>
        <w:jc w:val="both"/>
        <w:rPr>
          <w:rFonts w:eastAsia="Palatino Linotype" w:cs="Palatino Linotype"/>
          <w:i/>
          <w:sz w:val="22"/>
          <w:szCs w:val="22"/>
        </w:rPr>
      </w:pPr>
      <w:r w:rsidRPr="00332C4C">
        <w:rPr>
          <w:rFonts w:eastAsia="Palatino Linotype" w:cs="Palatino Linotype"/>
          <w:i/>
          <w:sz w:val="22"/>
          <w:szCs w:val="22"/>
        </w:rPr>
        <w:t xml:space="preserve">Cuando se trate de información sobre estudios y proyectos cuya divulgación pueda causar daños al interés del Estado o suponga un riesgo para su realización, siempre que esté directamente relacionado con procesos o procedimientos administrativos o judiciales que no hayan quedado firmes; y </w:t>
      </w:r>
    </w:p>
    <w:p w14:paraId="1EB64781"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t>XI.</w:t>
      </w:r>
      <w:r w:rsidRPr="00332C4C">
        <w:rPr>
          <w:rFonts w:eastAsia="Palatino Linotype" w:cs="Palatino Linotype"/>
          <w:i/>
          <w:sz w:val="22"/>
          <w:szCs w:val="22"/>
        </w:rPr>
        <w:t xml:space="preserve"> Las que por disposición expresa de una ley tengan tal carácter, siempre que sean acordes con las bases, principios y disposiciones establecidos en esta Ley y no la contravengan; así como las previstas en tratados internacionales.</w:t>
      </w:r>
    </w:p>
    <w:p w14:paraId="51E1DA88" w14:textId="77777777" w:rsidR="00B64B58" w:rsidRPr="00332C4C" w:rsidRDefault="00B64B58" w:rsidP="00332C4C">
      <w:pPr>
        <w:spacing w:before="240" w:after="240"/>
        <w:ind w:left="794" w:right="851"/>
        <w:jc w:val="center"/>
        <w:rPr>
          <w:rFonts w:eastAsia="Palatino Linotype" w:cs="Palatino Linotype"/>
          <w:b/>
          <w:i/>
          <w:sz w:val="22"/>
          <w:szCs w:val="22"/>
        </w:rPr>
      </w:pPr>
      <w:r w:rsidRPr="00332C4C">
        <w:rPr>
          <w:rFonts w:eastAsia="Palatino Linotype" w:cs="Palatino Linotype"/>
          <w:b/>
          <w:i/>
          <w:sz w:val="22"/>
          <w:szCs w:val="22"/>
        </w:rPr>
        <w:lastRenderedPageBreak/>
        <w:t>CAPÍTULO V</w:t>
      </w:r>
    </w:p>
    <w:p w14:paraId="608975DC" w14:textId="77777777" w:rsidR="00B64B58" w:rsidRPr="00332C4C" w:rsidRDefault="00B64B58" w:rsidP="00332C4C">
      <w:pPr>
        <w:spacing w:before="240" w:after="240"/>
        <w:ind w:left="794" w:right="851"/>
        <w:jc w:val="center"/>
        <w:rPr>
          <w:rFonts w:eastAsia="Palatino Linotype" w:cs="Palatino Linotype"/>
          <w:b/>
          <w:i/>
          <w:sz w:val="22"/>
          <w:szCs w:val="22"/>
        </w:rPr>
      </w:pPr>
      <w:r w:rsidRPr="00332C4C">
        <w:rPr>
          <w:rFonts w:eastAsia="Palatino Linotype" w:cs="Palatino Linotype"/>
          <w:b/>
          <w:i/>
          <w:sz w:val="22"/>
          <w:szCs w:val="22"/>
        </w:rPr>
        <w:t>DE LA INFORMACIÓN RESERVADA</w:t>
      </w:r>
    </w:p>
    <w:p w14:paraId="147B6CB0"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t>Décimo octavo.</w:t>
      </w:r>
      <w:r w:rsidRPr="00332C4C">
        <w:rPr>
          <w:rFonts w:eastAsia="Palatino Linotype" w:cs="Palatino Linotype"/>
          <w:i/>
          <w:sz w:val="22"/>
          <w:szCs w:val="22"/>
        </w:rPr>
        <w:t xml:space="preserve"> De conformidad con el artículo 113, fracción I de la Ley General, podrá considerarse como información reservada, aquella que comprometa la seguridad pública, al poner en peligro las funciones a cargo de la Federación, la Ciudad de México, los Estados y los Municipios, tendientes a preservar y resguardar la vida, la salud, la integridad y el ejercicio de los derechos de las personas, así como para el mantenimiento del orden público. </w:t>
      </w:r>
    </w:p>
    <w:p w14:paraId="5E0567C3"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i/>
          <w:sz w:val="22"/>
          <w:szCs w:val="22"/>
        </w:rPr>
        <w:t xml:space="preserve">Se pone en peligro el orden público cuando la difusión de la información pueda entorpecer los sistemas de coordinación interinstitucional en materia de seguridad pública, menoscabar o dificultar las estrategias contra la evasión de reos; o menoscabar o limitar la capacidad de las autoridades encaminadas a disuadir o prevenir disturbios sociales. </w:t>
      </w:r>
    </w:p>
    <w:p w14:paraId="106A9D27"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i/>
          <w:sz w:val="22"/>
          <w:szCs w:val="22"/>
        </w:rPr>
        <w:t xml:space="preserve">Asimismo, podrá considerarse como reservada aquella que revele datos que pudieran ser aprovechados para conocer la capacidad de reacción de las instituciones encargadas de la seguridad pública, sus planes, estrategias, tecnología, información, sistemas de comunicaciones. </w:t>
      </w:r>
    </w:p>
    <w:p w14:paraId="651B9790"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i/>
          <w:sz w:val="22"/>
          <w:szCs w:val="22"/>
        </w:rPr>
        <w:t>(…)</w:t>
      </w:r>
    </w:p>
    <w:p w14:paraId="6E926A91"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t xml:space="preserve">Vigésimo tercero. </w:t>
      </w:r>
      <w:r w:rsidRPr="00332C4C">
        <w:rPr>
          <w:rFonts w:eastAsia="Palatino Linotype" w:cs="Palatino Linotype"/>
          <w:i/>
          <w:sz w:val="22"/>
          <w:szCs w:val="22"/>
        </w:rPr>
        <w:t>Para clasificar la información como reservada, de conformidad con el artículo 113, fracción V de la Ley General, será necesario acreditar un vínculo, entre la persona física y la información que pueda poner en riesgo su vida, seguridad o salud.</w:t>
      </w:r>
    </w:p>
    <w:p w14:paraId="020F352A"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i/>
          <w:sz w:val="22"/>
          <w:szCs w:val="22"/>
        </w:rPr>
        <w:t>(...)</w:t>
      </w:r>
    </w:p>
    <w:p w14:paraId="1C7742BC"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t>Vigésimo sexto.</w:t>
      </w:r>
      <w:r w:rsidRPr="00332C4C">
        <w:rPr>
          <w:rFonts w:eastAsia="Palatino Linotype" w:cs="Palatino Linotype"/>
          <w:i/>
          <w:sz w:val="22"/>
          <w:szCs w:val="22"/>
        </w:rPr>
        <w:t xml:space="preserve"> De conformidad con el artículo 113, fracción VII de la Ley General, podrá considerarse como información reservada, aquella que obstruya la prevención de delitos al obstaculizar las acciones implementadas por las autoridades para evitar su comisión, o menoscabar o limitar la capacidad de las autoridades para evitar la comisión de delitos. </w:t>
      </w:r>
    </w:p>
    <w:p w14:paraId="2647DBCD"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i/>
          <w:sz w:val="22"/>
          <w:szCs w:val="22"/>
        </w:rPr>
        <w:t xml:space="preserve">Para que se verifique el supuesto de reserva, cuando se cause un perjuicio a las actividades de persecución de los delitos, deben de actualizarse los siguientes elementos: </w:t>
      </w:r>
    </w:p>
    <w:p w14:paraId="2DC8061D"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lastRenderedPageBreak/>
        <w:t>I.</w:t>
      </w:r>
      <w:r w:rsidRPr="00332C4C">
        <w:rPr>
          <w:rFonts w:eastAsia="Palatino Linotype" w:cs="Palatino Linotype"/>
          <w:i/>
          <w:sz w:val="22"/>
          <w:szCs w:val="22"/>
        </w:rPr>
        <w:t xml:space="preserve"> La existencia de un proceso penal en sustanciación o una carpeta de investigación en trámite; </w:t>
      </w:r>
    </w:p>
    <w:p w14:paraId="6D9F5AAD"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t>II.</w:t>
      </w:r>
      <w:r w:rsidRPr="00332C4C">
        <w:rPr>
          <w:rFonts w:eastAsia="Palatino Linotype" w:cs="Palatino Linotype"/>
          <w:i/>
          <w:sz w:val="22"/>
          <w:szCs w:val="22"/>
        </w:rPr>
        <w:t xml:space="preserve"> Que se acredite el vínculo que existe entre la información solicitada y la carpeta de investigación, o el proceso penal, según sea el caso, y </w:t>
      </w:r>
    </w:p>
    <w:p w14:paraId="15669E61"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t>III</w:t>
      </w:r>
      <w:r w:rsidRPr="00332C4C">
        <w:rPr>
          <w:rFonts w:eastAsia="Palatino Linotype" w:cs="Palatino Linotype"/>
          <w:i/>
          <w:sz w:val="22"/>
          <w:szCs w:val="22"/>
        </w:rPr>
        <w:t xml:space="preserve">. Que la difusión de la información pueda impedir u obstruir las funciones que ejerce el Ministerio Público o su equivalente durante la etapa de investigación o ante los tribunales judiciales con motivo del ejercicio de la acción penal. </w:t>
      </w:r>
    </w:p>
    <w:p w14:paraId="1CD6A8B6"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t>(</w:t>
      </w:r>
      <w:r w:rsidRPr="00332C4C">
        <w:rPr>
          <w:rFonts w:eastAsia="Palatino Linotype" w:cs="Palatino Linotype"/>
          <w:i/>
          <w:sz w:val="22"/>
          <w:szCs w:val="22"/>
        </w:rPr>
        <w:t>…)</w:t>
      </w:r>
    </w:p>
    <w:p w14:paraId="72130DCE"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t>Vigésimo octavo.</w:t>
      </w:r>
      <w:r w:rsidRPr="00332C4C">
        <w:rPr>
          <w:rFonts w:eastAsia="Palatino Linotype" w:cs="Palatino Linotype"/>
          <w:i/>
          <w:sz w:val="22"/>
          <w:szCs w:val="22"/>
        </w:rPr>
        <w:t xml:space="preserve"> De conformidad con el artículo 113, fracción IX de la Ley General, podrá considerarse como información reservada, aquella que obstruya los procedimientos para fincar responsabilidad a los servidores públicos, en tanto no se haya dictado la resolución administrativa correspondiente; para lo cual, se deberán acreditar los siguientes supuestos: </w:t>
      </w:r>
    </w:p>
    <w:p w14:paraId="600580CF"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t>I.</w:t>
      </w:r>
      <w:r w:rsidRPr="00332C4C">
        <w:rPr>
          <w:rFonts w:eastAsia="Palatino Linotype" w:cs="Palatino Linotype"/>
          <w:i/>
          <w:sz w:val="22"/>
          <w:szCs w:val="22"/>
        </w:rPr>
        <w:t xml:space="preserve"> La existencia de un procedimiento de responsabilidad administrativa en trámite, y </w:t>
      </w:r>
      <w:r w:rsidRPr="00332C4C">
        <w:rPr>
          <w:rFonts w:eastAsia="Palatino Linotype" w:cs="Palatino Linotype"/>
          <w:b/>
          <w:i/>
          <w:sz w:val="22"/>
          <w:szCs w:val="22"/>
        </w:rPr>
        <w:t>II.</w:t>
      </w:r>
      <w:r w:rsidRPr="00332C4C">
        <w:rPr>
          <w:rFonts w:eastAsia="Palatino Linotype" w:cs="Palatino Linotype"/>
          <w:i/>
          <w:sz w:val="22"/>
          <w:szCs w:val="22"/>
        </w:rPr>
        <w:t xml:space="preserve"> Que la información se refiera a actuaciones, diligencias y constancias propias del procedimiento de responsabilidad. </w:t>
      </w:r>
    </w:p>
    <w:p w14:paraId="4E2B7178"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t>Vigésimo noveno.</w:t>
      </w:r>
      <w:r w:rsidRPr="00332C4C">
        <w:rPr>
          <w:rFonts w:eastAsia="Palatino Linotype" w:cs="Palatino Linotype"/>
          <w:i/>
          <w:sz w:val="22"/>
          <w:szCs w:val="22"/>
        </w:rPr>
        <w:t xml:space="preserve"> De conformidad con el artículo 113, fracción X de la Ley General, podrá considerarse como información reservada, aquella que de divulgarse afecte el debido proceso al actualizarse los siguientes elementos: </w:t>
      </w:r>
    </w:p>
    <w:p w14:paraId="73ACF47D"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t>I.</w:t>
      </w:r>
      <w:r w:rsidRPr="00332C4C">
        <w:rPr>
          <w:rFonts w:eastAsia="Palatino Linotype" w:cs="Palatino Linotype"/>
          <w:i/>
          <w:sz w:val="22"/>
          <w:szCs w:val="22"/>
        </w:rPr>
        <w:t xml:space="preserve"> La existencia de un procedimiento judicial, administrativo o arbitral en trámite; </w:t>
      </w:r>
    </w:p>
    <w:p w14:paraId="4D2C4ED4"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t>II.</w:t>
      </w:r>
      <w:r w:rsidRPr="00332C4C">
        <w:rPr>
          <w:rFonts w:eastAsia="Palatino Linotype" w:cs="Palatino Linotype"/>
          <w:i/>
          <w:sz w:val="22"/>
          <w:szCs w:val="22"/>
        </w:rPr>
        <w:t xml:space="preserve"> Que el sujeto obligado sea parte en ese procedimiento; </w:t>
      </w:r>
    </w:p>
    <w:p w14:paraId="37D8F8C0"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t>III.</w:t>
      </w:r>
      <w:r w:rsidRPr="00332C4C">
        <w:rPr>
          <w:rFonts w:eastAsia="Palatino Linotype" w:cs="Palatino Linotype"/>
          <w:i/>
          <w:sz w:val="22"/>
          <w:szCs w:val="22"/>
        </w:rPr>
        <w:t xml:space="preserve"> Que la información no sea conocida por la contraparte antes de la presentación de la misma en el proceso, y </w:t>
      </w:r>
    </w:p>
    <w:p w14:paraId="19CBC082"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t>IV.</w:t>
      </w:r>
      <w:r w:rsidRPr="00332C4C">
        <w:rPr>
          <w:rFonts w:eastAsia="Palatino Linotype" w:cs="Palatino Linotype"/>
          <w:i/>
          <w:sz w:val="22"/>
          <w:szCs w:val="22"/>
        </w:rPr>
        <w:t xml:space="preserve"> Que con su divulgación se afecte la oportunidad de llevar a cabo alguna de las garantías del debido proceso. </w:t>
      </w:r>
    </w:p>
    <w:p w14:paraId="38A4FE23"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t>Trigésimo.</w:t>
      </w:r>
      <w:r w:rsidRPr="00332C4C">
        <w:rPr>
          <w:rFonts w:eastAsia="Palatino Linotype" w:cs="Palatino Linotype"/>
          <w:i/>
          <w:sz w:val="22"/>
          <w:szCs w:val="22"/>
        </w:rPr>
        <w:t xml:space="preserve"> De conformidad con el artículo 113, fracción XI de la Ley General, podrá considerarse como información reservada, aquella que vulnere la conducción de los expedientes judiciales o de los procedimientos administrativos seguidos en forma de juicio, siempre y cuando se acrediten los siguientes elementos: </w:t>
      </w:r>
    </w:p>
    <w:p w14:paraId="2CB6666C"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lastRenderedPageBreak/>
        <w:t>I.</w:t>
      </w:r>
      <w:r w:rsidRPr="00332C4C">
        <w:rPr>
          <w:rFonts w:eastAsia="Palatino Linotype" w:cs="Palatino Linotype"/>
          <w:i/>
          <w:sz w:val="22"/>
          <w:szCs w:val="22"/>
        </w:rPr>
        <w:t xml:space="preserve"> La existencia de un juicio o procedimiento administrativo materialmente jurisdiccional, que se encuentre en trámite, y </w:t>
      </w:r>
    </w:p>
    <w:p w14:paraId="6C8411AD"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t>II.</w:t>
      </w:r>
      <w:r w:rsidRPr="00332C4C">
        <w:rPr>
          <w:rFonts w:eastAsia="Palatino Linotype" w:cs="Palatino Linotype"/>
          <w:i/>
          <w:sz w:val="22"/>
          <w:szCs w:val="22"/>
        </w:rPr>
        <w:t xml:space="preserve"> Que la información solicitada se refiera a actuaciones, diligencias o constancias propias del procedimiento. </w:t>
      </w:r>
    </w:p>
    <w:p w14:paraId="21A70EE3"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i/>
          <w:sz w:val="22"/>
          <w:szCs w:val="22"/>
        </w:rPr>
        <w:t xml:space="preserve">Para los efectos del primer párrafo de este numeral, se considera procedimiento seguido en forma de juicio a aquel formalmente administrativo, pero materialmente jurisdiccional; esto es, en el que concurran los siguientes elementos: </w:t>
      </w:r>
    </w:p>
    <w:p w14:paraId="20F2E9D1" w14:textId="77777777" w:rsidR="00B64B58" w:rsidRPr="00332C4C" w:rsidRDefault="00B64B58" w:rsidP="00332C4C">
      <w:pPr>
        <w:spacing w:before="240" w:after="240"/>
        <w:ind w:left="794" w:right="851" w:firstLine="622"/>
        <w:jc w:val="both"/>
        <w:rPr>
          <w:rFonts w:eastAsia="Palatino Linotype" w:cs="Palatino Linotype"/>
          <w:i/>
          <w:sz w:val="22"/>
          <w:szCs w:val="22"/>
        </w:rPr>
      </w:pPr>
      <w:r w:rsidRPr="00332C4C">
        <w:rPr>
          <w:rFonts w:eastAsia="Palatino Linotype" w:cs="Palatino Linotype"/>
          <w:i/>
          <w:sz w:val="22"/>
          <w:szCs w:val="22"/>
        </w:rPr>
        <w:t xml:space="preserve">1. Que se trate de un procedimiento en el que la autoridad dirima una controversia entre partes contendientes, así como los procedimientos en que la autoridad, frente al particular, prepare su resolución definitiva, aunque sólo sea un trámite para cumplir con la garantía de audiencia, y </w:t>
      </w:r>
    </w:p>
    <w:p w14:paraId="2200B81E" w14:textId="77777777" w:rsidR="00B64B58" w:rsidRPr="00332C4C" w:rsidRDefault="00B64B58" w:rsidP="00332C4C">
      <w:pPr>
        <w:spacing w:before="240" w:after="240"/>
        <w:ind w:left="794" w:right="851" w:firstLine="622"/>
        <w:jc w:val="both"/>
        <w:rPr>
          <w:rFonts w:eastAsia="Palatino Linotype" w:cs="Palatino Linotype"/>
          <w:i/>
          <w:sz w:val="22"/>
          <w:szCs w:val="22"/>
        </w:rPr>
      </w:pPr>
      <w:r w:rsidRPr="00332C4C">
        <w:rPr>
          <w:rFonts w:eastAsia="Palatino Linotype" w:cs="Palatino Linotype"/>
          <w:i/>
          <w:sz w:val="22"/>
          <w:szCs w:val="22"/>
        </w:rPr>
        <w:t xml:space="preserve">2. Que se cumplan las formalidades esenciales del procedimiento. </w:t>
      </w:r>
    </w:p>
    <w:p w14:paraId="10A40B6D"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i/>
          <w:sz w:val="22"/>
          <w:szCs w:val="22"/>
        </w:rPr>
        <w:t xml:space="preserve">No serán objeto de reserva las resoluciones interlocutorias o definitivas que se dicten dentro de los procedimientos o con las que se concluya el mismo. En estos casos deberá otorgarse acceso a la resolución en versión pública, testando la información clasificada. </w:t>
      </w:r>
    </w:p>
    <w:p w14:paraId="005714BE" w14:textId="77777777" w:rsidR="00B64B58" w:rsidRPr="00332C4C" w:rsidRDefault="00B64B58" w:rsidP="00332C4C">
      <w:pPr>
        <w:spacing w:before="240" w:after="240"/>
        <w:ind w:right="851"/>
        <w:jc w:val="both"/>
        <w:rPr>
          <w:rFonts w:eastAsia="Palatino Linotype" w:cs="Palatino Linotype"/>
          <w:i/>
          <w:sz w:val="22"/>
          <w:szCs w:val="22"/>
        </w:rPr>
      </w:pPr>
      <w:r w:rsidRPr="00332C4C">
        <w:rPr>
          <w:rFonts w:eastAsia="Palatino Linotype" w:cs="Palatino Linotype"/>
          <w:i/>
          <w:sz w:val="22"/>
          <w:szCs w:val="22"/>
        </w:rPr>
        <w:tab/>
        <w:t xml:space="preserve">  (…)</w:t>
      </w:r>
    </w:p>
    <w:p w14:paraId="27C35CB8"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t>Trigésimo tercero.</w:t>
      </w:r>
      <w:r w:rsidRPr="00332C4C">
        <w:rPr>
          <w:rFonts w:eastAsia="Palatino Linotype" w:cs="Palatino Linotype"/>
          <w:i/>
          <w:sz w:val="22"/>
          <w:szCs w:val="22"/>
        </w:rPr>
        <w:t xml:space="preserve"> Para la aplicación de la prueba de daño a la que hace referencia el artículo 104 de la Ley General, los sujetos obligados atenderán lo siguiente: </w:t>
      </w:r>
    </w:p>
    <w:p w14:paraId="0CC8D252"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t>I.</w:t>
      </w:r>
      <w:r w:rsidRPr="00332C4C">
        <w:rPr>
          <w:rFonts w:eastAsia="Palatino Linotype" w:cs="Palatino Linotype"/>
          <w:i/>
          <w:sz w:val="22"/>
          <w:szCs w:val="22"/>
        </w:rPr>
        <w:t xml:space="preserve"> Se deberá citar la fracción y, en su caso, la causal aplicable del artículo 113 de la Ley General, vinculándola con el Lineamiento específico del presente ordenamiento y, cuando corresponda, el supuesto normativo que expresamente le otorga el carácter de información reservada; </w:t>
      </w:r>
    </w:p>
    <w:p w14:paraId="0F393CA1"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t>II.</w:t>
      </w:r>
      <w:r w:rsidRPr="00332C4C">
        <w:rPr>
          <w:rFonts w:eastAsia="Palatino Linotype" w:cs="Palatino Linotype"/>
          <w:i/>
          <w:sz w:val="22"/>
          <w:szCs w:val="22"/>
        </w:rPr>
        <w:t xml:space="preserve"> Mediante la ponderación de los intereses en conflicto, los sujetos obligados deberán demostrar que la publicidad de la información solicitada generaría un riesgo de perjuicio y por lo tanto, tendrán que acreditar que este último rebasa el interés público protegido por la reserva; </w:t>
      </w:r>
    </w:p>
    <w:p w14:paraId="21D79FBE"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t>III.</w:t>
      </w:r>
      <w:r w:rsidRPr="00332C4C">
        <w:rPr>
          <w:rFonts w:eastAsia="Palatino Linotype" w:cs="Palatino Linotype"/>
          <w:i/>
          <w:sz w:val="22"/>
          <w:szCs w:val="22"/>
        </w:rPr>
        <w:t xml:space="preserve"> Se debe de acreditar el vínculo entre la difusión de la información y la afectación del interés jurídico tutelado de que se trate; </w:t>
      </w:r>
    </w:p>
    <w:p w14:paraId="6817F8CA"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lastRenderedPageBreak/>
        <w:t>IV.</w:t>
      </w:r>
      <w:r w:rsidRPr="00332C4C">
        <w:rPr>
          <w:rFonts w:eastAsia="Palatino Linotype" w:cs="Palatino Linotype"/>
          <w:i/>
          <w:sz w:val="22"/>
          <w:szCs w:val="22"/>
        </w:rPr>
        <w:t xml:space="preserve"> Precisar las razones objetivas por las que la apertura de la información generaría una afectación, a través de los elementos de un riesgo real, demostrable e identificable; </w:t>
      </w:r>
    </w:p>
    <w:p w14:paraId="7AB04322"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t>V.</w:t>
      </w:r>
      <w:r w:rsidRPr="00332C4C">
        <w:rPr>
          <w:rFonts w:eastAsia="Palatino Linotype" w:cs="Palatino Linotype"/>
          <w:i/>
          <w:sz w:val="22"/>
          <w:szCs w:val="22"/>
        </w:rPr>
        <w:t xml:space="preserve"> En la motivación de la clasificación, el sujeto obligado deberá acreditar las circunstancias de modo, tiempo y lugar del daño, y </w:t>
      </w:r>
    </w:p>
    <w:p w14:paraId="570C62D1" w14:textId="77777777" w:rsidR="00B64B58" w:rsidRPr="00332C4C" w:rsidRDefault="00B64B58" w:rsidP="00332C4C">
      <w:pPr>
        <w:spacing w:before="240" w:after="240"/>
        <w:ind w:left="794" w:right="851"/>
        <w:jc w:val="both"/>
        <w:rPr>
          <w:rFonts w:eastAsia="Palatino Linotype" w:cs="Palatino Linotype"/>
          <w:i/>
          <w:sz w:val="22"/>
          <w:szCs w:val="22"/>
        </w:rPr>
      </w:pPr>
      <w:r w:rsidRPr="00332C4C">
        <w:rPr>
          <w:rFonts w:eastAsia="Palatino Linotype" w:cs="Palatino Linotype"/>
          <w:b/>
          <w:i/>
          <w:sz w:val="22"/>
          <w:szCs w:val="22"/>
        </w:rPr>
        <w:t>VI.</w:t>
      </w:r>
      <w:r w:rsidRPr="00332C4C">
        <w:rPr>
          <w:rFonts w:eastAsia="Palatino Linotype" w:cs="Palatino Linotype"/>
          <w:i/>
          <w:sz w:val="22"/>
          <w:szCs w:val="22"/>
        </w:rPr>
        <w:t xml:space="preserve"> Deberán elegir la opción de excepción al acceso a la información que menos lo restrinja, la cual será adecuada y proporcional para la protección del interés público, y deberá interferir lo menos posible en el ejercicio efectivo del derecho de acceso a la información.”</w:t>
      </w:r>
    </w:p>
    <w:p w14:paraId="7C0E1147" w14:textId="77777777" w:rsidR="00B64B58" w:rsidRPr="00332C4C" w:rsidRDefault="00B64B58" w:rsidP="00332C4C">
      <w:pPr>
        <w:spacing w:after="160" w:line="360" w:lineRule="auto"/>
        <w:jc w:val="both"/>
        <w:rPr>
          <w:rFonts w:eastAsia="Palatino Linotype" w:cs="Palatino Linotype"/>
        </w:rPr>
      </w:pPr>
      <w:r w:rsidRPr="00332C4C">
        <w:rPr>
          <w:rFonts w:eastAsia="Palatino Linotype" w:cs="Palatino Linotype"/>
        </w:rPr>
        <w:t xml:space="preserve">Es así que, si bien es cierto el derecho de acceso a la información pública se satisface en aquellos casos en que se entregue el soporte documental en que conste la información requerida, también lo es que el derecho de acceso a la información pública puede ser restringido cuando se trate de información clasificada como </w:t>
      </w:r>
      <w:r w:rsidRPr="00332C4C">
        <w:rPr>
          <w:rFonts w:eastAsia="Palatino Linotype" w:cs="Palatino Linotype"/>
          <w:b/>
        </w:rPr>
        <w:t>Reservada</w:t>
      </w:r>
      <w:r w:rsidRPr="00332C4C">
        <w:rPr>
          <w:rFonts w:eastAsia="Palatino Linotype" w:cs="Palatino Linotype"/>
        </w:rPr>
        <w:t xml:space="preserve">, delimitando una serie de hipótesis de hecho en las cuales descansa la posibilidad de reserva de información, por lo que dentro la información que generen, posean o administren los Sujetos Obligados, se considerará reservada cuando su divulgación obstruya o pueda causar un serio perjuicio a las actividades de fiscalización, verificación, inspección, comprobación y auditoría sobre el cumplimiento de las Leyes, vulnere la conducción de los expedientes judiciales o </w:t>
      </w:r>
      <w:proofErr w:type="spellStart"/>
      <w:r w:rsidRPr="00332C4C">
        <w:rPr>
          <w:rFonts w:eastAsia="Palatino Linotype" w:cs="Palatino Linotype"/>
        </w:rPr>
        <w:t>quel</w:t>
      </w:r>
      <w:proofErr w:type="spellEnd"/>
      <w:r w:rsidRPr="00332C4C">
        <w:rPr>
          <w:rFonts w:eastAsia="Palatino Linotype" w:cs="Palatino Linotype"/>
        </w:rPr>
        <w:t xml:space="preserve"> daño que pueda producirse con la publicación de la información sea mayor que el interés público de conocer la información de referencia, siempre que esté directamente relacionado con procesos o procedimientos administrativos o judiciales que no hayan quedado firmes, como lo es en el caso en particular.</w:t>
      </w:r>
    </w:p>
    <w:p w14:paraId="4E7D74B7" w14:textId="3E371DFB" w:rsidR="00B64B58" w:rsidRPr="00332C4C" w:rsidRDefault="00B64B58" w:rsidP="00332C4C">
      <w:pPr>
        <w:spacing w:after="160" w:line="360" w:lineRule="auto"/>
        <w:jc w:val="both"/>
        <w:rPr>
          <w:rFonts w:eastAsia="Palatino Linotype" w:cs="Palatino Linotype"/>
        </w:rPr>
      </w:pPr>
      <w:r w:rsidRPr="00332C4C">
        <w:rPr>
          <w:rFonts w:eastAsia="Palatino Linotype" w:cs="Palatino Linotype"/>
        </w:rPr>
        <w:t xml:space="preserve">Lo anterior, se desprende que el </w:t>
      </w:r>
      <w:r w:rsidRPr="00332C4C">
        <w:rPr>
          <w:rFonts w:eastAsia="Palatino Linotype" w:cs="Palatino Linotype"/>
          <w:b/>
        </w:rPr>
        <w:t>Sujeto Obligado</w:t>
      </w:r>
      <w:r w:rsidRPr="00332C4C">
        <w:rPr>
          <w:rFonts w:eastAsia="Palatino Linotype" w:cs="Palatino Linotype"/>
        </w:rPr>
        <w:t xml:space="preserve">, determinó que la información requerida encuadra en los supuestos del artículo 140, fracción X párrafo segundo de </w:t>
      </w:r>
      <w:r w:rsidRPr="00332C4C">
        <w:rPr>
          <w:rFonts w:eastAsia="Palatino Linotype" w:cs="Palatino Linotype"/>
        </w:rPr>
        <w:lastRenderedPageBreak/>
        <w:t xml:space="preserve">la Ley de Transparencia y Acceso a la Información Pública del Estado de México y Municipios. </w:t>
      </w:r>
    </w:p>
    <w:p w14:paraId="4FE976CE" w14:textId="0F3ACBCD" w:rsidR="00B64B58" w:rsidRPr="00332C4C" w:rsidRDefault="00B64B58" w:rsidP="00332C4C">
      <w:pPr>
        <w:spacing w:after="160" w:line="360" w:lineRule="auto"/>
        <w:jc w:val="both"/>
        <w:rPr>
          <w:rFonts w:eastAsia="Palatino Linotype" w:cs="Palatino Linotype"/>
        </w:rPr>
      </w:pPr>
      <w:r w:rsidRPr="00332C4C">
        <w:rPr>
          <w:rFonts w:eastAsia="Palatino Linotype" w:cs="Palatino Linotype"/>
        </w:rPr>
        <w:t xml:space="preserve">Para mejor proveer del presente estudio, resulta necesario, analizar dicho Acuerdo de Reserva de la información antes referido, entregado por el Sujeto Obligado, en su respuesta, a fin de establecer </w:t>
      </w:r>
      <w:r w:rsidR="0031585B" w:rsidRPr="00332C4C">
        <w:rPr>
          <w:rFonts w:eastAsia="Palatino Linotype" w:cs="Palatino Linotype"/>
        </w:rPr>
        <w:t>si el Comité de Transparencia</w:t>
      </w:r>
      <w:r w:rsidRPr="00332C4C">
        <w:rPr>
          <w:rFonts w:eastAsia="Palatino Linotype" w:cs="Palatino Linotype"/>
        </w:rPr>
        <w:t xml:space="preserve"> cumplió cabalmente con las formalidades exigidas por con el artículo 113 de la Ley General de Transparencia y Acceso a la Información Pública, numeral trigésimo fracción I de los Lineamientos Generales en Materia de Clasificación y Desclasificación de la Información, así como para la Elaboración de Versiones Públicas, así como los artículos </w:t>
      </w:r>
      <w:r w:rsidR="0031585B" w:rsidRPr="00332C4C">
        <w:rPr>
          <w:rFonts w:eastAsia="Palatino Linotype" w:cs="Palatino Linotype"/>
        </w:rPr>
        <w:t>91, 128, 129, 140</w:t>
      </w:r>
      <w:r w:rsidRPr="00332C4C">
        <w:rPr>
          <w:rFonts w:eastAsia="Palatino Linotype" w:cs="Palatino Linotype"/>
        </w:rPr>
        <w:t xml:space="preserve"> y 141, de la Ley de Transparencia y Acceso a la Información Pública del Estado de México y Municipios: </w:t>
      </w:r>
    </w:p>
    <w:tbl>
      <w:tblPr>
        <w:tblStyle w:val="Tablaconcuadrcula"/>
        <w:tblW w:w="0" w:type="auto"/>
        <w:jc w:val="center"/>
        <w:tblLayout w:type="fixed"/>
        <w:tblLook w:val="04A0" w:firstRow="1" w:lastRow="0" w:firstColumn="1" w:lastColumn="0" w:noHBand="0" w:noVBand="1"/>
      </w:tblPr>
      <w:tblGrid>
        <w:gridCol w:w="1413"/>
        <w:gridCol w:w="6197"/>
        <w:gridCol w:w="1218"/>
      </w:tblGrid>
      <w:tr w:rsidR="00332C4C" w:rsidRPr="00332C4C" w14:paraId="10FFC24F" w14:textId="77777777" w:rsidTr="0031585B">
        <w:trPr>
          <w:jc w:val="center"/>
        </w:trPr>
        <w:tc>
          <w:tcPr>
            <w:tcW w:w="1413" w:type="dxa"/>
            <w:shd w:val="clear" w:color="auto" w:fill="auto"/>
          </w:tcPr>
          <w:p w14:paraId="4A7F89DD" w14:textId="77777777" w:rsidR="00B64B58" w:rsidRPr="00332C4C" w:rsidRDefault="00B64B58" w:rsidP="00332C4C">
            <w:pPr>
              <w:spacing w:before="100" w:after="200" w:line="276" w:lineRule="auto"/>
              <w:jc w:val="center"/>
              <w:rPr>
                <w:rFonts w:eastAsia="Calibri"/>
                <w:b/>
                <w:sz w:val="18"/>
                <w:szCs w:val="18"/>
                <w:lang w:val="es-MX" w:eastAsia="en-US"/>
              </w:rPr>
            </w:pPr>
            <w:r w:rsidRPr="00332C4C">
              <w:rPr>
                <w:rFonts w:eastAsia="Calibri"/>
                <w:b/>
                <w:sz w:val="18"/>
                <w:szCs w:val="18"/>
                <w:lang w:val="es-MX" w:eastAsia="en-US"/>
              </w:rPr>
              <w:t>Elementos del acuerdo de clasificación</w:t>
            </w:r>
          </w:p>
        </w:tc>
        <w:tc>
          <w:tcPr>
            <w:tcW w:w="6197" w:type="dxa"/>
            <w:shd w:val="clear" w:color="auto" w:fill="auto"/>
            <w:vAlign w:val="center"/>
          </w:tcPr>
          <w:p w14:paraId="19D8B2A3" w14:textId="77777777" w:rsidR="00B64B58" w:rsidRPr="00332C4C" w:rsidRDefault="00B64B58" w:rsidP="00332C4C">
            <w:pPr>
              <w:spacing w:before="100" w:after="200" w:line="276" w:lineRule="auto"/>
              <w:jc w:val="center"/>
              <w:rPr>
                <w:rFonts w:eastAsia="Calibri"/>
                <w:b/>
                <w:sz w:val="18"/>
                <w:szCs w:val="18"/>
                <w:lang w:val="es-MX" w:eastAsia="en-US"/>
              </w:rPr>
            </w:pPr>
            <w:r w:rsidRPr="00332C4C">
              <w:rPr>
                <w:rFonts w:eastAsia="Calibri"/>
                <w:b/>
                <w:sz w:val="18"/>
                <w:szCs w:val="18"/>
                <w:lang w:val="es-MX" w:eastAsia="en-US"/>
              </w:rPr>
              <w:t>Contenido</w:t>
            </w:r>
          </w:p>
        </w:tc>
        <w:tc>
          <w:tcPr>
            <w:tcW w:w="1218" w:type="dxa"/>
            <w:shd w:val="clear" w:color="auto" w:fill="auto"/>
          </w:tcPr>
          <w:p w14:paraId="2949D867" w14:textId="77777777" w:rsidR="00B64B58" w:rsidRPr="00332C4C" w:rsidRDefault="00B64B58" w:rsidP="00332C4C">
            <w:pPr>
              <w:spacing w:before="100" w:after="200" w:line="276" w:lineRule="auto"/>
              <w:jc w:val="center"/>
              <w:rPr>
                <w:rFonts w:eastAsia="Calibri"/>
                <w:b/>
                <w:sz w:val="18"/>
                <w:szCs w:val="18"/>
                <w:lang w:val="es-MX" w:eastAsia="en-US"/>
              </w:rPr>
            </w:pPr>
            <w:r w:rsidRPr="00332C4C">
              <w:rPr>
                <w:rFonts w:eastAsia="Calibri"/>
                <w:b/>
                <w:sz w:val="18"/>
                <w:szCs w:val="18"/>
                <w:lang w:val="es-MX" w:eastAsia="en-US"/>
              </w:rPr>
              <w:t>Cumple</w:t>
            </w:r>
          </w:p>
        </w:tc>
      </w:tr>
      <w:tr w:rsidR="00332C4C" w:rsidRPr="00332C4C" w14:paraId="3DEE6AC0" w14:textId="77777777" w:rsidTr="0031585B">
        <w:trPr>
          <w:jc w:val="center"/>
        </w:trPr>
        <w:tc>
          <w:tcPr>
            <w:tcW w:w="1413" w:type="dxa"/>
          </w:tcPr>
          <w:p w14:paraId="3ECE10D7" w14:textId="77777777" w:rsidR="00B64B58" w:rsidRPr="00332C4C" w:rsidRDefault="00B64B58" w:rsidP="00332C4C">
            <w:pPr>
              <w:spacing w:before="100" w:after="200" w:line="276" w:lineRule="auto"/>
              <w:jc w:val="center"/>
              <w:rPr>
                <w:rFonts w:eastAsia="Calibri"/>
                <w:sz w:val="18"/>
                <w:szCs w:val="18"/>
                <w:lang w:val="es-MX" w:eastAsia="en-US"/>
              </w:rPr>
            </w:pPr>
            <w:r w:rsidRPr="00332C4C">
              <w:rPr>
                <w:rFonts w:eastAsia="Calibri"/>
                <w:b/>
                <w:sz w:val="18"/>
                <w:szCs w:val="18"/>
                <w:lang w:eastAsia="en-US"/>
              </w:rPr>
              <w:t>Número de folio de la solicitud</w:t>
            </w:r>
          </w:p>
        </w:tc>
        <w:tc>
          <w:tcPr>
            <w:tcW w:w="6197" w:type="dxa"/>
          </w:tcPr>
          <w:p w14:paraId="0268CE2B" w14:textId="46E30B96" w:rsidR="00B64B58" w:rsidRPr="00332C4C" w:rsidRDefault="00B64B58" w:rsidP="00332C4C">
            <w:pPr>
              <w:spacing w:before="100" w:after="200" w:line="276" w:lineRule="auto"/>
              <w:rPr>
                <w:rFonts w:ascii="Calibri" w:eastAsia="Calibri" w:hAnsi="Calibri"/>
                <w:sz w:val="20"/>
                <w:szCs w:val="20"/>
                <w:lang w:val="es-MX" w:eastAsia="en-US"/>
              </w:rPr>
            </w:pPr>
            <w:r w:rsidRPr="00332C4C">
              <w:rPr>
                <w:noProof/>
                <w:lang w:val="es-MX"/>
              </w:rPr>
              <mc:AlternateContent>
                <mc:Choice Requires="wps">
                  <w:drawing>
                    <wp:anchor distT="0" distB="0" distL="114300" distR="114300" simplePos="0" relativeHeight="251660288" behindDoc="0" locked="0" layoutInCell="1" allowOverlap="1" wp14:anchorId="476C3AA5" wp14:editId="6D659431">
                      <wp:simplePos x="0" y="0"/>
                      <wp:positionH relativeFrom="column">
                        <wp:posOffset>1617980</wp:posOffset>
                      </wp:positionH>
                      <wp:positionV relativeFrom="paragraph">
                        <wp:posOffset>721521</wp:posOffset>
                      </wp:positionV>
                      <wp:extent cx="1000125" cy="142875"/>
                      <wp:effectExtent l="57150" t="38100" r="85725" b="104775"/>
                      <wp:wrapNone/>
                      <wp:docPr id="32" name="Rectángulo 32"/>
                      <wp:cNvGraphicFramePr/>
                      <a:graphic xmlns:a="http://schemas.openxmlformats.org/drawingml/2006/main">
                        <a:graphicData uri="http://schemas.microsoft.com/office/word/2010/wordprocessingShape">
                          <wps:wsp>
                            <wps:cNvSpPr/>
                            <wps:spPr>
                              <a:xfrm>
                                <a:off x="0" y="0"/>
                                <a:ext cx="1000125" cy="142875"/>
                              </a:xfrm>
                              <a:prstGeom prst="rect">
                                <a:avLst/>
                              </a:prstGeom>
                              <a:noFill/>
                              <a:ln w="28575">
                                <a:solidFill>
                                  <a:srgbClr val="C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01D665C" id="Rectángulo 32" o:spid="_x0000_s1026" style="position:absolute;margin-left:127.4pt;margin-top:56.8pt;width:78.75pt;height:11.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" filled="f" strokecolor="#c00000" strokeweight="2.25pt">
                      <v:shadow on="t" color="black" opacity="22937f" origin=",.5" offset="0,.63889mm"/>
                    </v:rect>
                  </w:pict>
                </mc:Fallback>
              </mc:AlternateContent>
            </w:r>
            <w:r w:rsidR="0031585B" w:rsidRPr="00332C4C">
              <w:t xml:space="preserve"> </w:t>
            </w:r>
            <w:r w:rsidR="0031585B" w:rsidRPr="00332C4C">
              <w:object w:dxaOrig="8985" w:dyaOrig="4035" w14:anchorId="552EA5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1.75pt;height:128.25pt" o:ole="">
                  <v:imagedata r:id="rId11" o:title=""/>
                </v:shape>
                <o:OLEObject Type="Embed" ProgID="PBrush" ShapeID="_x0000_i1025" DrawAspect="Content" ObjectID="_1710578580" r:id="rId12"/>
              </w:object>
            </w:r>
          </w:p>
        </w:tc>
        <w:tc>
          <w:tcPr>
            <w:tcW w:w="1218" w:type="dxa"/>
          </w:tcPr>
          <w:p w14:paraId="09B9F4BB" w14:textId="77777777" w:rsidR="00B64B58" w:rsidRPr="00332C4C" w:rsidRDefault="00B64B58" w:rsidP="00332C4C">
            <w:pPr>
              <w:spacing w:before="100" w:after="200" w:line="276" w:lineRule="auto"/>
              <w:jc w:val="center"/>
              <w:rPr>
                <w:rFonts w:eastAsia="Calibri"/>
                <w:b/>
                <w:sz w:val="20"/>
                <w:szCs w:val="20"/>
                <w:lang w:val="es-MX" w:eastAsia="en-US"/>
              </w:rPr>
            </w:pPr>
            <w:r w:rsidRPr="00332C4C">
              <w:rPr>
                <w:rFonts w:eastAsia="Calibri"/>
                <w:b/>
                <w:szCs w:val="20"/>
                <w:lang w:val="es-MX" w:eastAsia="en-US"/>
              </w:rPr>
              <w:t>Si</w:t>
            </w:r>
          </w:p>
        </w:tc>
      </w:tr>
      <w:tr w:rsidR="00332C4C" w:rsidRPr="00332C4C" w14:paraId="67BF8C5B" w14:textId="77777777" w:rsidTr="0031585B">
        <w:trPr>
          <w:jc w:val="center"/>
        </w:trPr>
        <w:tc>
          <w:tcPr>
            <w:tcW w:w="1413" w:type="dxa"/>
          </w:tcPr>
          <w:p w14:paraId="7E8216C9" w14:textId="77777777" w:rsidR="00B64B58" w:rsidRPr="00332C4C" w:rsidRDefault="00B64B58" w:rsidP="00332C4C">
            <w:pPr>
              <w:spacing w:before="100" w:after="200" w:line="276" w:lineRule="auto"/>
              <w:jc w:val="center"/>
              <w:rPr>
                <w:rFonts w:eastAsia="Calibri"/>
                <w:sz w:val="18"/>
                <w:szCs w:val="18"/>
                <w:lang w:val="es-MX" w:eastAsia="en-US"/>
              </w:rPr>
            </w:pPr>
            <w:r w:rsidRPr="00332C4C">
              <w:rPr>
                <w:rFonts w:eastAsia="Calibri"/>
                <w:b/>
                <w:sz w:val="18"/>
                <w:szCs w:val="18"/>
                <w:lang w:eastAsia="en-US"/>
              </w:rPr>
              <w:lastRenderedPageBreak/>
              <w:t>Referencia de la información solicitada</w:t>
            </w:r>
          </w:p>
        </w:tc>
        <w:tc>
          <w:tcPr>
            <w:tcW w:w="6197" w:type="dxa"/>
          </w:tcPr>
          <w:p w14:paraId="5FB12623" w14:textId="53CDABCF" w:rsidR="00B64B58" w:rsidRPr="00332C4C" w:rsidRDefault="0031585B" w:rsidP="00332C4C">
            <w:pPr>
              <w:spacing w:before="100" w:after="200" w:line="276" w:lineRule="auto"/>
              <w:jc w:val="center"/>
              <w:rPr>
                <w:rFonts w:eastAsia="Calibri"/>
                <w:lang w:val="es-MX" w:eastAsia="en-US"/>
              </w:rPr>
            </w:pPr>
            <w:r w:rsidRPr="00332C4C">
              <w:object w:dxaOrig="8985" w:dyaOrig="4035" w14:anchorId="7EBA8001">
                <v:shape id="_x0000_i1026" type="#_x0000_t75" style="width:291.75pt;height:128.25pt" o:ole="">
                  <v:imagedata r:id="rId11" o:title=""/>
                </v:shape>
                <o:OLEObject Type="Embed" ProgID="PBrush" ShapeID="_x0000_i1026" DrawAspect="Content" ObjectID="_1710578581" r:id="rId13"/>
              </w:object>
            </w:r>
          </w:p>
        </w:tc>
        <w:tc>
          <w:tcPr>
            <w:tcW w:w="1218" w:type="dxa"/>
          </w:tcPr>
          <w:p w14:paraId="2A10F624" w14:textId="77777777" w:rsidR="00B64B58" w:rsidRPr="00332C4C" w:rsidRDefault="00B64B58" w:rsidP="00332C4C">
            <w:pPr>
              <w:spacing w:before="100" w:after="200" w:line="276" w:lineRule="auto"/>
              <w:jc w:val="center"/>
              <w:rPr>
                <w:rFonts w:eastAsia="Calibri"/>
                <w:b/>
                <w:lang w:val="es-MX" w:eastAsia="en-US"/>
              </w:rPr>
            </w:pPr>
            <w:r w:rsidRPr="00332C4C">
              <w:rPr>
                <w:rFonts w:eastAsia="Calibri"/>
                <w:b/>
                <w:lang w:val="es-MX" w:eastAsia="en-US"/>
              </w:rPr>
              <w:t>Si</w:t>
            </w:r>
          </w:p>
        </w:tc>
      </w:tr>
      <w:tr w:rsidR="00332C4C" w:rsidRPr="00332C4C" w14:paraId="06356910" w14:textId="77777777" w:rsidTr="0031585B">
        <w:trPr>
          <w:jc w:val="center"/>
        </w:trPr>
        <w:tc>
          <w:tcPr>
            <w:tcW w:w="1413" w:type="dxa"/>
          </w:tcPr>
          <w:p w14:paraId="3A7871A0" w14:textId="77777777" w:rsidR="00B64B58" w:rsidRPr="00332C4C" w:rsidRDefault="00B64B58" w:rsidP="00332C4C">
            <w:pPr>
              <w:spacing w:before="100" w:after="200" w:line="276" w:lineRule="auto"/>
              <w:jc w:val="center"/>
              <w:rPr>
                <w:rFonts w:eastAsia="Calibri"/>
                <w:sz w:val="18"/>
                <w:szCs w:val="18"/>
                <w:lang w:val="es-MX" w:eastAsia="en-US"/>
              </w:rPr>
            </w:pPr>
            <w:r w:rsidRPr="00332C4C">
              <w:rPr>
                <w:rFonts w:eastAsia="Palatino Linotype" w:cs="Palatino Linotype"/>
                <w:b/>
                <w:sz w:val="18"/>
                <w:szCs w:val="18"/>
              </w:rPr>
              <w:t>Causal aplicable del artículo 113 de la Ley General, vinculándola con el Lineamiento específico del presente ordenamiento y, cuando corresponda, el supuesto normativo que expresamente le otorga el carácter de información reservada</w:t>
            </w:r>
          </w:p>
        </w:tc>
        <w:tc>
          <w:tcPr>
            <w:tcW w:w="6197" w:type="dxa"/>
          </w:tcPr>
          <w:p w14:paraId="39ABD68D" w14:textId="54A53BF1" w:rsidR="00B64B58" w:rsidRPr="00332C4C" w:rsidRDefault="0031585B" w:rsidP="00332C4C">
            <w:pPr>
              <w:spacing w:before="100" w:after="200" w:line="276" w:lineRule="auto"/>
              <w:rPr>
                <w:rFonts w:ascii="Calibri" w:eastAsia="Calibri" w:hAnsi="Calibri"/>
                <w:sz w:val="20"/>
                <w:szCs w:val="20"/>
                <w:lang w:val="es-MX" w:eastAsia="en-US"/>
              </w:rPr>
            </w:pPr>
            <w:r w:rsidRPr="00332C4C">
              <w:object w:dxaOrig="9075" w:dyaOrig="11085" w14:anchorId="7951D3E3">
                <v:shape id="_x0000_i1027" type="#_x0000_t75" style="width:299.25pt;height:368.25pt" o:ole="">
                  <v:imagedata r:id="rId14" o:title="" cropbottom="-538f"/>
                </v:shape>
                <o:OLEObject Type="Embed" ProgID="PBrush" ShapeID="_x0000_i1027" DrawAspect="Content" ObjectID="_1710578582" r:id="rId15"/>
              </w:object>
            </w:r>
          </w:p>
        </w:tc>
        <w:tc>
          <w:tcPr>
            <w:tcW w:w="1218" w:type="dxa"/>
          </w:tcPr>
          <w:p w14:paraId="1052A762" w14:textId="77777777" w:rsidR="00B64B58" w:rsidRPr="00332C4C" w:rsidRDefault="00B64B58" w:rsidP="00332C4C">
            <w:pPr>
              <w:spacing w:before="100" w:after="200" w:line="276" w:lineRule="auto"/>
              <w:jc w:val="center"/>
              <w:rPr>
                <w:rFonts w:eastAsia="Calibri"/>
                <w:b/>
                <w:szCs w:val="20"/>
                <w:lang w:val="es-MX" w:eastAsia="en-US"/>
              </w:rPr>
            </w:pPr>
            <w:r w:rsidRPr="00332C4C">
              <w:rPr>
                <w:rFonts w:eastAsia="Calibri"/>
                <w:b/>
                <w:szCs w:val="20"/>
                <w:lang w:val="es-MX" w:eastAsia="en-US"/>
              </w:rPr>
              <w:t>Si</w:t>
            </w:r>
          </w:p>
          <w:p w14:paraId="4DEC0B01" w14:textId="4F24D61C" w:rsidR="00B64B58" w:rsidRPr="00332C4C" w:rsidRDefault="00B64B58" w:rsidP="00332C4C">
            <w:pPr>
              <w:spacing w:before="100" w:after="200" w:line="276" w:lineRule="auto"/>
              <w:jc w:val="center"/>
              <w:rPr>
                <w:rFonts w:eastAsia="Calibri"/>
                <w:b/>
                <w:sz w:val="16"/>
                <w:szCs w:val="16"/>
                <w:lang w:val="es-MX" w:eastAsia="en-US"/>
              </w:rPr>
            </w:pPr>
            <w:r w:rsidRPr="00332C4C">
              <w:rPr>
                <w:rFonts w:eastAsia="Calibri"/>
                <w:b/>
                <w:sz w:val="16"/>
                <w:szCs w:val="16"/>
                <w:lang w:val="es-MX" w:eastAsia="en-US"/>
              </w:rPr>
              <w:t>(</w:t>
            </w:r>
            <w:r w:rsidR="0031585B" w:rsidRPr="00332C4C">
              <w:rPr>
                <w:rFonts w:eastAsia="Calibri"/>
                <w:b/>
                <w:sz w:val="16"/>
                <w:szCs w:val="16"/>
                <w:lang w:val="es-MX" w:eastAsia="en-US"/>
              </w:rPr>
              <w:t>Se cita pero no resulta aplicable</w:t>
            </w:r>
            <w:r w:rsidRPr="00332C4C">
              <w:rPr>
                <w:rFonts w:eastAsia="Calibri"/>
                <w:b/>
                <w:sz w:val="16"/>
                <w:szCs w:val="16"/>
                <w:lang w:val="es-MX" w:eastAsia="en-US"/>
              </w:rPr>
              <w:t xml:space="preserve">) </w:t>
            </w:r>
          </w:p>
          <w:p w14:paraId="736F0C3D" w14:textId="77777777" w:rsidR="00B64B58" w:rsidRPr="00332C4C" w:rsidRDefault="00B64B58" w:rsidP="00332C4C">
            <w:pPr>
              <w:spacing w:before="100" w:after="200" w:line="276" w:lineRule="auto"/>
              <w:jc w:val="center"/>
              <w:rPr>
                <w:rFonts w:eastAsia="Calibri"/>
                <w:b/>
                <w:sz w:val="20"/>
                <w:szCs w:val="20"/>
                <w:lang w:val="es-MX" w:eastAsia="en-US"/>
              </w:rPr>
            </w:pPr>
          </w:p>
        </w:tc>
      </w:tr>
      <w:tr w:rsidR="00332C4C" w:rsidRPr="00332C4C" w14:paraId="1D61E1DE" w14:textId="77777777" w:rsidTr="0031585B">
        <w:trPr>
          <w:cantSplit/>
          <w:trHeight w:val="1134"/>
          <w:jc w:val="center"/>
        </w:trPr>
        <w:tc>
          <w:tcPr>
            <w:tcW w:w="1413" w:type="dxa"/>
          </w:tcPr>
          <w:p w14:paraId="4A0C49AD" w14:textId="77777777" w:rsidR="00B64B58" w:rsidRPr="00332C4C" w:rsidRDefault="00B64B58" w:rsidP="00332C4C">
            <w:pPr>
              <w:spacing w:before="100" w:after="200" w:line="276" w:lineRule="auto"/>
              <w:jc w:val="center"/>
              <w:rPr>
                <w:rFonts w:eastAsia="Calibri"/>
                <w:sz w:val="18"/>
                <w:szCs w:val="18"/>
                <w:lang w:val="es-MX" w:eastAsia="en-US"/>
              </w:rPr>
            </w:pPr>
            <w:r w:rsidRPr="00332C4C">
              <w:rPr>
                <w:rFonts w:eastAsia="Palatino Linotype" w:cs="Palatino Linotype"/>
                <w:b/>
                <w:sz w:val="18"/>
                <w:szCs w:val="18"/>
              </w:rPr>
              <w:lastRenderedPageBreak/>
              <w:t>Fundamento y Motivación Legal</w:t>
            </w:r>
          </w:p>
        </w:tc>
        <w:tc>
          <w:tcPr>
            <w:tcW w:w="6197" w:type="dxa"/>
          </w:tcPr>
          <w:p w14:paraId="54735AE5" w14:textId="3028F45F" w:rsidR="00B64B58" w:rsidRPr="00332C4C" w:rsidRDefault="0031585B" w:rsidP="00332C4C">
            <w:pPr>
              <w:spacing w:before="100" w:after="200" w:line="276" w:lineRule="auto"/>
              <w:rPr>
                <w:rFonts w:ascii="Calibri" w:eastAsia="Calibri" w:hAnsi="Calibri"/>
                <w:sz w:val="20"/>
                <w:szCs w:val="20"/>
                <w:lang w:val="es-MX" w:eastAsia="en-US"/>
              </w:rPr>
            </w:pPr>
            <w:r w:rsidRPr="00332C4C">
              <w:object w:dxaOrig="9075" w:dyaOrig="11085" w14:anchorId="096440D7">
                <v:shape id="_x0000_i1028" type="#_x0000_t75" style="width:299.25pt;height:365.25pt" o:ole="">
                  <v:imagedata r:id="rId14" o:title=""/>
                </v:shape>
                <o:OLEObject Type="Embed" ProgID="PBrush" ShapeID="_x0000_i1028" DrawAspect="Content" ObjectID="_1710578583" r:id="rId16"/>
              </w:object>
            </w:r>
          </w:p>
        </w:tc>
        <w:tc>
          <w:tcPr>
            <w:tcW w:w="1218" w:type="dxa"/>
            <w:textDirection w:val="tbRl"/>
            <w:vAlign w:val="center"/>
          </w:tcPr>
          <w:p w14:paraId="6872F65B" w14:textId="77777777" w:rsidR="00B64B58" w:rsidRPr="00332C4C" w:rsidRDefault="00B64B58" w:rsidP="00332C4C">
            <w:pPr>
              <w:spacing w:before="100" w:after="200" w:line="276" w:lineRule="auto"/>
              <w:ind w:left="113" w:right="113"/>
              <w:jc w:val="center"/>
              <w:rPr>
                <w:rFonts w:eastAsia="Calibri"/>
                <w:b/>
                <w:sz w:val="20"/>
                <w:szCs w:val="20"/>
                <w:lang w:val="es-MX" w:eastAsia="en-US"/>
              </w:rPr>
            </w:pPr>
            <w:r w:rsidRPr="00332C4C">
              <w:rPr>
                <w:rFonts w:eastAsia="Calibri"/>
                <w:b/>
                <w:sz w:val="20"/>
                <w:szCs w:val="20"/>
                <w:lang w:val="es-MX" w:eastAsia="en-US"/>
              </w:rPr>
              <w:t>Parcialmente</w:t>
            </w:r>
          </w:p>
        </w:tc>
      </w:tr>
      <w:tr w:rsidR="00332C4C" w:rsidRPr="00332C4C" w14:paraId="4478CBCA" w14:textId="77777777" w:rsidTr="0031585B">
        <w:trPr>
          <w:jc w:val="center"/>
        </w:trPr>
        <w:tc>
          <w:tcPr>
            <w:tcW w:w="1413" w:type="dxa"/>
          </w:tcPr>
          <w:p w14:paraId="4F22CF33" w14:textId="77777777" w:rsidR="00B64B58" w:rsidRPr="00332C4C" w:rsidRDefault="00B64B58" w:rsidP="00332C4C">
            <w:pPr>
              <w:spacing w:before="100" w:after="200" w:line="276" w:lineRule="auto"/>
              <w:jc w:val="center"/>
              <w:rPr>
                <w:rFonts w:eastAsia="Palatino Linotype" w:cs="Palatino Linotype"/>
                <w:b/>
                <w:sz w:val="16"/>
                <w:szCs w:val="16"/>
              </w:rPr>
            </w:pPr>
            <w:r w:rsidRPr="00332C4C">
              <w:rPr>
                <w:rFonts w:eastAsia="Palatino Linotype" w:cs="Palatino Linotype"/>
                <w:b/>
                <w:sz w:val="16"/>
                <w:szCs w:val="16"/>
              </w:rPr>
              <w:lastRenderedPageBreak/>
              <w:t>Conexión entre los fundamentos y motivos que dieron origen a la Reserva de la información</w:t>
            </w:r>
          </w:p>
        </w:tc>
        <w:tc>
          <w:tcPr>
            <w:tcW w:w="6197" w:type="dxa"/>
          </w:tcPr>
          <w:p w14:paraId="0573B14C" w14:textId="52353F39" w:rsidR="00B64B58" w:rsidRPr="00332C4C" w:rsidRDefault="0031585B" w:rsidP="00332C4C">
            <w:pPr>
              <w:spacing w:before="100" w:after="200" w:line="276" w:lineRule="auto"/>
              <w:rPr>
                <w:rFonts w:ascii="Calibri" w:eastAsia="Calibri" w:hAnsi="Calibri"/>
                <w:sz w:val="20"/>
                <w:szCs w:val="20"/>
                <w:lang w:val="es-MX" w:eastAsia="en-US"/>
              </w:rPr>
            </w:pPr>
            <w:r w:rsidRPr="00332C4C">
              <w:object w:dxaOrig="9075" w:dyaOrig="11745" w14:anchorId="7FC3D1C0">
                <v:shape id="_x0000_i1029" type="#_x0000_t75" style="width:299.25pt;height:387pt" o:ole="">
                  <v:imagedata r:id="rId17" o:title=""/>
                </v:shape>
                <o:OLEObject Type="Embed" ProgID="PBrush" ShapeID="_x0000_i1029" DrawAspect="Content" ObjectID="_1710578584" r:id="rId18"/>
              </w:object>
            </w:r>
          </w:p>
        </w:tc>
        <w:tc>
          <w:tcPr>
            <w:tcW w:w="1218" w:type="dxa"/>
          </w:tcPr>
          <w:p w14:paraId="426554F3" w14:textId="77777777" w:rsidR="00B64B58" w:rsidRPr="00332C4C" w:rsidRDefault="00B64B58" w:rsidP="00332C4C">
            <w:pPr>
              <w:spacing w:before="100" w:after="200" w:line="276" w:lineRule="auto"/>
              <w:jc w:val="center"/>
              <w:rPr>
                <w:rFonts w:eastAsia="Calibri"/>
                <w:b/>
                <w:sz w:val="20"/>
                <w:szCs w:val="20"/>
                <w:lang w:val="es-MX" w:eastAsia="en-US"/>
              </w:rPr>
            </w:pPr>
            <w:r w:rsidRPr="00332C4C">
              <w:rPr>
                <w:rFonts w:eastAsia="Calibri"/>
                <w:b/>
                <w:szCs w:val="20"/>
                <w:lang w:val="es-MX" w:eastAsia="en-US"/>
              </w:rPr>
              <w:t>No</w:t>
            </w:r>
          </w:p>
        </w:tc>
      </w:tr>
      <w:tr w:rsidR="00332C4C" w:rsidRPr="00332C4C" w14:paraId="44441712" w14:textId="77777777" w:rsidTr="0031585B">
        <w:trPr>
          <w:jc w:val="center"/>
        </w:trPr>
        <w:tc>
          <w:tcPr>
            <w:tcW w:w="8828" w:type="dxa"/>
            <w:gridSpan w:val="3"/>
            <w:shd w:val="clear" w:color="auto" w:fill="auto"/>
          </w:tcPr>
          <w:p w14:paraId="692ED23B" w14:textId="77777777" w:rsidR="00B64B58" w:rsidRPr="00332C4C" w:rsidRDefault="00B64B58" w:rsidP="00332C4C">
            <w:pPr>
              <w:spacing w:before="100" w:after="200" w:line="276" w:lineRule="auto"/>
              <w:jc w:val="center"/>
              <w:rPr>
                <w:rFonts w:eastAsia="Calibri"/>
                <w:b/>
                <w:szCs w:val="20"/>
                <w:lang w:val="es-MX" w:eastAsia="en-US"/>
              </w:rPr>
            </w:pPr>
            <w:r w:rsidRPr="00332C4C">
              <w:rPr>
                <w:rFonts w:eastAsia="Calibri"/>
                <w:b/>
                <w:sz w:val="22"/>
                <w:szCs w:val="20"/>
                <w:lang w:val="es-MX" w:eastAsia="en-US"/>
              </w:rPr>
              <w:t>Elementos de la prueba de daño</w:t>
            </w:r>
          </w:p>
        </w:tc>
      </w:tr>
      <w:tr w:rsidR="00332C4C" w:rsidRPr="00332C4C" w14:paraId="7C0C6B78" w14:textId="77777777" w:rsidTr="0031585B">
        <w:trPr>
          <w:jc w:val="center"/>
        </w:trPr>
        <w:tc>
          <w:tcPr>
            <w:tcW w:w="1413" w:type="dxa"/>
            <w:shd w:val="clear" w:color="auto" w:fill="auto"/>
          </w:tcPr>
          <w:p w14:paraId="0335EE20" w14:textId="77777777" w:rsidR="00B64B58" w:rsidRPr="00332C4C" w:rsidRDefault="00B64B58" w:rsidP="00332C4C">
            <w:pPr>
              <w:spacing w:after="120" w:line="259" w:lineRule="auto"/>
              <w:jc w:val="center"/>
              <w:rPr>
                <w:rFonts w:eastAsia="Palatino Linotype" w:cs="Palatino Linotype"/>
                <w:b/>
                <w:sz w:val="16"/>
                <w:szCs w:val="16"/>
              </w:rPr>
            </w:pPr>
            <w:r w:rsidRPr="00332C4C">
              <w:rPr>
                <w:rFonts w:eastAsia="Palatino Linotype" w:cs="Palatino Linotype"/>
                <w:b/>
                <w:sz w:val="16"/>
                <w:szCs w:val="16"/>
              </w:rPr>
              <w:lastRenderedPageBreak/>
              <w:t>Riesgo Real, Demostrable e Identificable</w:t>
            </w:r>
          </w:p>
          <w:p w14:paraId="46FCFA45" w14:textId="77777777" w:rsidR="00B64B58" w:rsidRPr="00332C4C" w:rsidRDefault="00B64B58" w:rsidP="00332C4C">
            <w:pPr>
              <w:spacing w:before="100" w:after="200" w:line="276" w:lineRule="auto"/>
              <w:jc w:val="center"/>
              <w:rPr>
                <w:rFonts w:eastAsia="Calibri"/>
                <w:b/>
                <w:sz w:val="22"/>
                <w:szCs w:val="20"/>
                <w:lang w:val="es-MX" w:eastAsia="en-US"/>
              </w:rPr>
            </w:pPr>
            <w:r w:rsidRPr="00332C4C">
              <w:rPr>
                <w:rFonts w:eastAsia="Palatino Linotype" w:cs="Palatino Linotype"/>
                <w:b/>
                <w:sz w:val="16"/>
                <w:szCs w:val="16"/>
              </w:rPr>
              <w:t>(Modo, Tiempo y Lugar)</w:t>
            </w:r>
          </w:p>
        </w:tc>
        <w:tc>
          <w:tcPr>
            <w:tcW w:w="6197" w:type="dxa"/>
            <w:shd w:val="clear" w:color="auto" w:fill="auto"/>
          </w:tcPr>
          <w:p w14:paraId="721A0F31" w14:textId="79A705CF" w:rsidR="00B64B58" w:rsidRPr="00332C4C" w:rsidRDefault="00EF4C9F" w:rsidP="00332C4C">
            <w:pPr>
              <w:spacing w:before="100" w:after="200" w:line="276" w:lineRule="auto"/>
              <w:jc w:val="center"/>
              <w:rPr>
                <w:rFonts w:eastAsia="Calibri"/>
                <w:b/>
                <w:sz w:val="22"/>
                <w:szCs w:val="20"/>
                <w:lang w:val="es-MX" w:eastAsia="en-US"/>
              </w:rPr>
            </w:pPr>
            <w:r w:rsidRPr="00332C4C">
              <w:object w:dxaOrig="7575" w:dyaOrig="11985" w14:anchorId="4BF0C653">
                <v:shape id="_x0000_i1030" type="#_x0000_t75" style="width:297.75pt;height:472.5pt" o:ole="">
                  <v:imagedata r:id="rId19" o:title=""/>
                </v:shape>
                <o:OLEObject Type="Embed" ProgID="PBrush" ShapeID="_x0000_i1030" DrawAspect="Content" ObjectID="_1710578585" r:id="rId20"/>
              </w:object>
            </w:r>
          </w:p>
        </w:tc>
        <w:tc>
          <w:tcPr>
            <w:tcW w:w="1218" w:type="dxa"/>
            <w:shd w:val="clear" w:color="auto" w:fill="auto"/>
          </w:tcPr>
          <w:p w14:paraId="6CC5D1BF" w14:textId="77777777" w:rsidR="00B64B58" w:rsidRPr="00332C4C" w:rsidRDefault="00B64B58" w:rsidP="00332C4C">
            <w:pPr>
              <w:spacing w:before="100" w:after="200" w:line="276" w:lineRule="auto"/>
              <w:jc w:val="center"/>
              <w:rPr>
                <w:rFonts w:eastAsia="Calibri"/>
                <w:b/>
                <w:sz w:val="22"/>
                <w:szCs w:val="20"/>
                <w:lang w:val="es-MX" w:eastAsia="en-US"/>
              </w:rPr>
            </w:pPr>
            <w:r w:rsidRPr="00332C4C">
              <w:rPr>
                <w:rFonts w:eastAsia="Calibri"/>
                <w:b/>
                <w:sz w:val="22"/>
                <w:szCs w:val="20"/>
                <w:lang w:val="es-MX" w:eastAsia="en-US"/>
              </w:rPr>
              <w:t>No</w:t>
            </w:r>
          </w:p>
        </w:tc>
      </w:tr>
      <w:tr w:rsidR="00332C4C" w:rsidRPr="00332C4C" w14:paraId="7962B7F8" w14:textId="77777777" w:rsidTr="0031585B">
        <w:trPr>
          <w:jc w:val="center"/>
        </w:trPr>
        <w:tc>
          <w:tcPr>
            <w:tcW w:w="1413" w:type="dxa"/>
            <w:shd w:val="clear" w:color="auto" w:fill="auto"/>
          </w:tcPr>
          <w:p w14:paraId="0383C7C5" w14:textId="77777777" w:rsidR="00B64B58" w:rsidRPr="00332C4C" w:rsidRDefault="00B64B58" w:rsidP="00332C4C">
            <w:pPr>
              <w:spacing w:before="100" w:after="200" w:line="276" w:lineRule="auto"/>
              <w:jc w:val="center"/>
              <w:rPr>
                <w:rFonts w:eastAsia="Calibri"/>
                <w:b/>
                <w:sz w:val="22"/>
                <w:szCs w:val="20"/>
                <w:lang w:val="es-MX" w:eastAsia="en-US"/>
              </w:rPr>
            </w:pPr>
            <w:r w:rsidRPr="00332C4C">
              <w:rPr>
                <w:rFonts w:eastAsia="Palatino Linotype" w:cs="Palatino Linotype"/>
                <w:b/>
                <w:sz w:val="16"/>
                <w:szCs w:val="16"/>
              </w:rPr>
              <w:t>Temporalidad de la Reserva de la información</w:t>
            </w:r>
          </w:p>
        </w:tc>
        <w:tc>
          <w:tcPr>
            <w:tcW w:w="6197" w:type="dxa"/>
            <w:shd w:val="clear" w:color="auto" w:fill="auto"/>
          </w:tcPr>
          <w:p w14:paraId="719376B4" w14:textId="20D2C470" w:rsidR="00B64B58" w:rsidRPr="00332C4C" w:rsidRDefault="00EF4C9F" w:rsidP="00332C4C">
            <w:pPr>
              <w:spacing w:before="100" w:after="200" w:line="276" w:lineRule="auto"/>
              <w:jc w:val="center"/>
              <w:rPr>
                <w:rFonts w:eastAsia="Calibri"/>
                <w:b/>
                <w:sz w:val="22"/>
                <w:szCs w:val="20"/>
                <w:lang w:val="es-MX" w:eastAsia="en-US"/>
              </w:rPr>
            </w:pPr>
            <w:r w:rsidRPr="00332C4C">
              <w:object w:dxaOrig="5745" w:dyaOrig="525" w14:anchorId="7135322C">
                <v:shape id="_x0000_i1031" type="#_x0000_t75" style="width:287.25pt;height:26.25pt" o:ole="">
                  <v:imagedata r:id="rId21" o:title=""/>
                </v:shape>
                <o:OLEObject Type="Embed" ProgID="PBrush" ShapeID="_x0000_i1031" DrawAspect="Content" ObjectID="_1710578586" r:id="rId22"/>
              </w:object>
            </w:r>
          </w:p>
        </w:tc>
        <w:tc>
          <w:tcPr>
            <w:tcW w:w="1218" w:type="dxa"/>
            <w:shd w:val="clear" w:color="auto" w:fill="auto"/>
          </w:tcPr>
          <w:p w14:paraId="413DC2B0" w14:textId="77777777" w:rsidR="00B64B58" w:rsidRPr="00332C4C" w:rsidRDefault="00B64B58" w:rsidP="00332C4C">
            <w:pPr>
              <w:spacing w:before="100" w:after="200" w:line="276" w:lineRule="auto"/>
              <w:jc w:val="center"/>
              <w:rPr>
                <w:rFonts w:eastAsia="Calibri"/>
                <w:b/>
                <w:sz w:val="22"/>
                <w:szCs w:val="20"/>
                <w:lang w:val="es-MX" w:eastAsia="en-US"/>
              </w:rPr>
            </w:pPr>
            <w:r w:rsidRPr="00332C4C">
              <w:rPr>
                <w:rFonts w:eastAsia="Calibri"/>
                <w:b/>
                <w:szCs w:val="20"/>
                <w:lang w:val="es-MX" w:eastAsia="en-US"/>
              </w:rPr>
              <w:t>Si</w:t>
            </w:r>
          </w:p>
        </w:tc>
      </w:tr>
      <w:tr w:rsidR="00332C4C" w:rsidRPr="00332C4C" w14:paraId="2CB6FE11" w14:textId="77777777" w:rsidTr="0031585B">
        <w:trPr>
          <w:jc w:val="center"/>
        </w:trPr>
        <w:tc>
          <w:tcPr>
            <w:tcW w:w="1413" w:type="dxa"/>
            <w:shd w:val="clear" w:color="auto" w:fill="auto"/>
          </w:tcPr>
          <w:p w14:paraId="5B38A3B9" w14:textId="77777777" w:rsidR="00B64B58" w:rsidRPr="00332C4C" w:rsidRDefault="00B64B58" w:rsidP="00332C4C">
            <w:pPr>
              <w:spacing w:before="100" w:after="200" w:line="276" w:lineRule="auto"/>
              <w:jc w:val="center"/>
              <w:rPr>
                <w:rFonts w:eastAsia="Calibri"/>
                <w:b/>
                <w:sz w:val="22"/>
                <w:szCs w:val="20"/>
                <w:lang w:val="es-MX" w:eastAsia="en-US"/>
              </w:rPr>
            </w:pPr>
            <w:r w:rsidRPr="00332C4C">
              <w:rPr>
                <w:rFonts w:eastAsia="Palatino Linotype" w:cs="Palatino Linotype"/>
                <w:b/>
                <w:sz w:val="16"/>
                <w:szCs w:val="16"/>
              </w:rPr>
              <w:lastRenderedPageBreak/>
              <w:t>Autoridades competentes.</w:t>
            </w:r>
          </w:p>
        </w:tc>
        <w:tc>
          <w:tcPr>
            <w:tcW w:w="6197" w:type="dxa"/>
            <w:shd w:val="clear" w:color="auto" w:fill="auto"/>
          </w:tcPr>
          <w:p w14:paraId="445A159C" w14:textId="1ADA55B1" w:rsidR="00B64B58" w:rsidRPr="00332C4C" w:rsidRDefault="00EF4C9F" w:rsidP="00332C4C">
            <w:pPr>
              <w:spacing w:before="100" w:after="200" w:line="276" w:lineRule="auto"/>
              <w:jc w:val="center"/>
              <w:rPr>
                <w:rFonts w:eastAsia="Calibri"/>
                <w:b/>
                <w:sz w:val="22"/>
                <w:szCs w:val="20"/>
                <w:lang w:val="es-MX" w:eastAsia="en-US"/>
              </w:rPr>
            </w:pPr>
            <w:r w:rsidRPr="00332C4C">
              <w:object w:dxaOrig="5985" w:dyaOrig="8025" w14:anchorId="34DD7B57">
                <v:shape id="_x0000_i1032" type="#_x0000_t75" style="width:299.25pt;height:400.5pt" o:ole="">
                  <v:imagedata r:id="rId23" o:title=""/>
                </v:shape>
                <o:OLEObject Type="Embed" ProgID="PBrush" ShapeID="_x0000_i1032" DrawAspect="Content" ObjectID="_1710578587" r:id="rId24"/>
              </w:object>
            </w:r>
            <w:r w:rsidRPr="00332C4C">
              <w:object w:dxaOrig="4515" w:dyaOrig="5745" w14:anchorId="3D7D30CC">
                <v:shape id="_x0000_i1033" type="#_x0000_t75" style="width:225.75pt;height:287.25pt" o:ole="">
                  <v:imagedata r:id="rId25" o:title=""/>
                </v:shape>
                <o:OLEObject Type="Embed" ProgID="PBrush" ShapeID="_x0000_i1033" DrawAspect="Content" ObjectID="_1710578588" r:id="rId26"/>
              </w:object>
            </w:r>
          </w:p>
        </w:tc>
        <w:tc>
          <w:tcPr>
            <w:tcW w:w="1218" w:type="dxa"/>
            <w:shd w:val="clear" w:color="auto" w:fill="auto"/>
          </w:tcPr>
          <w:p w14:paraId="4EFBCB67" w14:textId="77777777" w:rsidR="00B64B58" w:rsidRPr="00332C4C" w:rsidRDefault="00B64B58" w:rsidP="00332C4C">
            <w:pPr>
              <w:spacing w:before="100" w:after="200" w:line="276" w:lineRule="auto"/>
              <w:jc w:val="center"/>
              <w:rPr>
                <w:rFonts w:eastAsia="Calibri"/>
                <w:b/>
                <w:sz w:val="22"/>
                <w:szCs w:val="20"/>
                <w:lang w:val="es-MX" w:eastAsia="en-US"/>
              </w:rPr>
            </w:pPr>
            <w:r w:rsidRPr="00332C4C">
              <w:rPr>
                <w:rFonts w:eastAsia="Calibri"/>
                <w:b/>
                <w:sz w:val="22"/>
                <w:szCs w:val="20"/>
                <w:lang w:val="es-MX" w:eastAsia="en-US"/>
              </w:rPr>
              <w:lastRenderedPageBreak/>
              <w:t>Si</w:t>
            </w:r>
          </w:p>
        </w:tc>
      </w:tr>
    </w:tbl>
    <w:p w14:paraId="033DAF3E" w14:textId="77777777" w:rsidR="00B64B58" w:rsidRPr="00332C4C" w:rsidRDefault="00B64B58" w:rsidP="00332C4C">
      <w:pPr>
        <w:spacing w:before="100" w:after="200" w:line="276" w:lineRule="auto"/>
        <w:rPr>
          <w:rFonts w:ascii="Calibri" w:eastAsia="Calibri" w:hAnsi="Calibri"/>
          <w:sz w:val="20"/>
          <w:szCs w:val="20"/>
          <w:lang w:val="es-MX" w:eastAsia="en-US"/>
        </w:rPr>
      </w:pPr>
    </w:p>
    <w:p w14:paraId="70788190" w14:textId="70823BC3" w:rsidR="00B64B58" w:rsidRPr="00332C4C" w:rsidRDefault="00B64B58" w:rsidP="00332C4C">
      <w:pPr>
        <w:spacing w:after="160" w:line="360" w:lineRule="auto"/>
        <w:jc w:val="both"/>
        <w:rPr>
          <w:rFonts w:eastAsia="Palatino Linotype" w:cs="Palatino Linotype"/>
        </w:rPr>
      </w:pPr>
      <w:r w:rsidRPr="00332C4C">
        <w:rPr>
          <w:rFonts w:eastAsia="Palatino Linotype" w:cs="Palatino Linotype"/>
        </w:rPr>
        <w:t xml:space="preserve">Como se vislumbró en páginas previas, el </w:t>
      </w:r>
      <w:r w:rsidRPr="00332C4C">
        <w:rPr>
          <w:rFonts w:eastAsia="Palatino Linotype" w:cs="Palatino Linotype"/>
          <w:b/>
        </w:rPr>
        <w:t>Sujeto Obligado</w:t>
      </w:r>
      <w:r w:rsidRPr="00332C4C">
        <w:rPr>
          <w:rFonts w:eastAsia="Palatino Linotype" w:cs="Palatino Linotype"/>
        </w:rPr>
        <w:t xml:space="preserve">, realizó la prueba de daño y precisó las razones por las cuales la apertura de la información generaría una afectación, sin embargo, no refirió que su divulgación representa un riesgo real, demostrable e identificable, ni se estableció que el perjuicio supera de momento el interés público general que pudiera existir sobre la información requerida, aunado a lo anterior debe mencionarse que este no está debidamente fundado, esto es, no encuadro correctamente la fracción de los artículos de la Ley General de Transparencia y la Ley de Transparencia Local, ya que como se puede apreciar pretende clasificar con la fracción XIII del artículo 113 de la Ley General de Transparencia y </w:t>
      </w:r>
      <w:r w:rsidR="00EF4C9F" w:rsidRPr="00332C4C">
        <w:rPr>
          <w:rFonts w:eastAsia="Palatino Linotype" w:cs="Palatino Linotype"/>
        </w:rPr>
        <w:t xml:space="preserve">el párrafo segundo de </w:t>
      </w:r>
      <w:r w:rsidRPr="00332C4C">
        <w:rPr>
          <w:rFonts w:eastAsia="Palatino Linotype" w:cs="Palatino Linotype"/>
        </w:rPr>
        <w:t>la fracción X del artículo 140 de la Ley Local de Transparencia.</w:t>
      </w:r>
    </w:p>
    <w:p w14:paraId="3F477CF4" w14:textId="698FE987" w:rsidR="001604C8" w:rsidRPr="00332C4C" w:rsidRDefault="00B64B58" w:rsidP="00332C4C">
      <w:pPr>
        <w:spacing w:line="360" w:lineRule="auto"/>
        <w:jc w:val="both"/>
      </w:pPr>
      <w:r w:rsidRPr="00332C4C">
        <w:lastRenderedPageBreak/>
        <w:t xml:space="preserve">Asimismo debe precisarse que mediante </w:t>
      </w:r>
      <w:r w:rsidR="00EF4C9F" w:rsidRPr="00332C4C">
        <w:rPr>
          <w:rFonts w:cs="Arial"/>
          <w:bCs/>
          <w:lang w:val="es-MX"/>
        </w:rPr>
        <w:t xml:space="preserve">el Acta </w:t>
      </w:r>
      <w:r w:rsidR="00EF4C9F" w:rsidRPr="00332C4C">
        <w:rPr>
          <w:rFonts w:eastAsia="Calibri"/>
        </w:rPr>
        <w:t>de la Centésima Décima Tercera Sesión Extraordinaria celebrada el veinticinco de octubre de 2021</w:t>
      </w:r>
      <w:r w:rsidRPr="00332C4C">
        <w:rPr>
          <w:rFonts w:cs="Arial"/>
          <w:bCs/>
          <w:lang w:val="es-MX"/>
        </w:rPr>
        <w:t xml:space="preserve"> del Comité de Transparencia de la Secretaría de Movilidad del Estado de México</w:t>
      </w:r>
      <w:r w:rsidR="00EF4C9F" w:rsidRPr="00332C4C">
        <w:rPr>
          <w:rFonts w:cs="Arial"/>
          <w:bCs/>
          <w:lang w:val="es-MX"/>
        </w:rPr>
        <w:t>,</w:t>
      </w:r>
      <w:r w:rsidRPr="00332C4C">
        <w:rPr>
          <w:rFonts w:cs="Arial"/>
          <w:b/>
          <w:bCs/>
          <w:i/>
          <w:lang w:val="es-MX"/>
        </w:rPr>
        <w:t xml:space="preserve"> </w:t>
      </w:r>
      <w:r w:rsidR="001604C8" w:rsidRPr="00332C4C">
        <w:t xml:space="preserve">se clasificaron los </w:t>
      </w:r>
      <w:r w:rsidR="001604C8" w:rsidRPr="00332C4C">
        <w:rPr>
          <w:rFonts w:cs="Arial"/>
          <w:bCs/>
          <w:szCs w:val="22"/>
        </w:rPr>
        <w:t xml:space="preserve">estudios y proyectos en materia de movilidad, así como las autorizaciones de derroteros, bases, sitios y lanzaderas, complementarias a las concesiones, como documento fuente para generar el registro gráfico de mapeo respectivo, </w:t>
      </w:r>
      <w:r w:rsidRPr="00332C4C">
        <w:t xml:space="preserve">sin embargo, lo solicitado por el particular </w:t>
      </w:r>
      <w:r w:rsidR="001604C8" w:rsidRPr="00332C4C">
        <w:t xml:space="preserve">fue concretamente las </w:t>
      </w:r>
      <w:r w:rsidR="00332C4C" w:rsidRPr="00332C4C">
        <w:rPr>
          <w:rFonts w:eastAsia="Palatino Linotype" w:cs="Palatino Linotype"/>
          <w:lang w:val="es-MX"/>
        </w:rPr>
        <w:t>autorizaciones</w:t>
      </w:r>
      <w:r w:rsidR="001604C8" w:rsidRPr="00332C4C">
        <w:rPr>
          <w:rFonts w:eastAsia="Palatino Linotype" w:cs="Palatino Linotype"/>
          <w:lang w:val="es-MX"/>
        </w:rPr>
        <w:t xml:space="preserve"> emitidas por las Secretarias de Movilidad y Finanzas, para la operación y recorrido de ruta 18 ramal que corre de Jesús del Monte al Metro Cuatro Caminos, así como el plano autorizado del recorrido que tiene el corredor del Transporte público autorizado para la ruta 18 ramal que corre de Jesús del Monte al Metro Cuatro Caminos, lo anterior se afirma así ya que la fundamentación de la clasificación se enfoca en ello, como a continuación se demuestra:</w:t>
      </w:r>
    </w:p>
    <w:p w14:paraId="353C435A" w14:textId="41700E9C" w:rsidR="00EF4C9F" w:rsidRPr="00332C4C" w:rsidRDefault="001604C8" w:rsidP="00332C4C">
      <w:pPr>
        <w:spacing w:line="360" w:lineRule="auto"/>
        <w:jc w:val="center"/>
      </w:pPr>
      <w:r w:rsidRPr="00332C4C">
        <w:object w:dxaOrig="7575" w:dyaOrig="11985" w14:anchorId="63F09315">
          <v:shape id="_x0000_i1034" type="#_x0000_t75" style="width:388.5pt;height:3in" o:ole="">
            <v:imagedata r:id="rId19" o:title="" cropbottom="42522f"/>
          </v:shape>
          <o:OLEObject Type="Embed" ProgID="PBrush" ShapeID="_x0000_i1034" DrawAspect="Content" ObjectID="_1710578589" r:id="rId27"/>
        </w:object>
      </w:r>
    </w:p>
    <w:p w14:paraId="216EF553" w14:textId="658F9F40" w:rsidR="001604C8" w:rsidRPr="00332C4C" w:rsidRDefault="001604C8" w:rsidP="00332C4C">
      <w:pPr>
        <w:spacing w:line="360" w:lineRule="auto"/>
        <w:jc w:val="center"/>
      </w:pPr>
      <w:r w:rsidRPr="00332C4C">
        <w:object w:dxaOrig="7575" w:dyaOrig="11985" w14:anchorId="38C63DF4">
          <v:shape id="_x0000_i1035" type="#_x0000_t75" style="width:369pt;height:250.5pt" o:ole="">
            <v:imagedata r:id="rId19" o:title="" croptop="37008f" cropbottom="452f"/>
          </v:shape>
          <o:OLEObject Type="Embed" ProgID="PBrush" ShapeID="_x0000_i1035" DrawAspect="Content" ObjectID="_1710578590" r:id="rId28"/>
        </w:object>
      </w:r>
    </w:p>
    <w:p w14:paraId="79BBE8C9" w14:textId="70081AE4" w:rsidR="00E46B00" w:rsidRPr="00332C4C" w:rsidRDefault="00E46B00" w:rsidP="00332C4C">
      <w:pPr>
        <w:spacing w:before="240" w:after="240" w:line="360" w:lineRule="auto"/>
        <w:jc w:val="both"/>
      </w:pPr>
      <w:r w:rsidRPr="00332C4C">
        <w:rPr>
          <w:rFonts w:eastAsia="Calibri"/>
        </w:rPr>
        <w:t xml:space="preserve">Aunado a lo anterior, no obsta mencionar que la causal invocada por el </w:t>
      </w:r>
      <w:r w:rsidRPr="00332C4C">
        <w:rPr>
          <w:rFonts w:eastAsia="Calibri"/>
          <w:b/>
        </w:rPr>
        <w:t>Sujeto Obligado</w:t>
      </w:r>
      <w:r w:rsidRPr="00332C4C">
        <w:rPr>
          <w:rFonts w:eastAsia="Calibri"/>
        </w:rPr>
        <w:t xml:space="preserve">, no se actualiza en el presente caso, ya que esta contiene un antecedente y un consecuente, sujetos a realización de una condición necesaria; el antecedente refiere a “cuando trate de información sobre estudios y proyectos cuya divulgación pueda causar daños a interés del Estado o suponga un riesgo para su realización”; por su parte el consecuente refiere a </w:t>
      </w:r>
      <w:r w:rsidRPr="00332C4C">
        <w:t>“se reserva la información”, y, finalmente, la condición necesaria refiere a “siempre que esté directamente relacionado con procesos o procedimientos administrativos o judiciales que no hayan quedado firmes”.</w:t>
      </w:r>
    </w:p>
    <w:p w14:paraId="38DE5ED5" w14:textId="76C1ED9F" w:rsidR="00E46B00" w:rsidRPr="00332C4C" w:rsidRDefault="00E46B00" w:rsidP="00332C4C">
      <w:pPr>
        <w:spacing w:before="240" w:after="240" w:line="360" w:lineRule="auto"/>
        <w:jc w:val="both"/>
      </w:pPr>
      <w:r w:rsidRPr="00332C4C">
        <w:t xml:space="preserve">En este tenor, se entiende que no puede actualizarse el consecuente sin que se actualice la condición necesaria; es decir, ninguna información relativa a estudios y proyectos, cuya divulgación pueda causar daños al interés del Estado o suponga un riesgo para su realización, se va a poder reservar, si no está directamente relacionada </w:t>
      </w:r>
      <w:r w:rsidRPr="00332C4C">
        <w:lastRenderedPageBreak/>
        <w:t xml:space="preserve">con procesos o procedimientos administrativos o judiciales que no hayan quedado firmes, esto es, que no tengan definitividad en el sentido de su resolución </w:t>
      </w:r>
      <w:r w:rsidRPr="002B31AA">
        <w:rPr>
          <w:sz w:val="22"/>
          <w:szCs w:val="22"/>
        </w:rPr>
        <w:t xml:space="preserve">-no la conclusión de la obra en sí misma, como pretende hacerlo valer el </w:t>
      </w:r>
      <w:r w:rsidR="002B31AA" w:rsidRPr="002B31AA">
        <w:rPr>
          <w:b/>
          <w:bCs/>
          <w:sz w:val="22"/>
          <w:szCs w:val="22"/>
        </w:rPr>
        <w:t>S</w:t>
      </w:r>
      <w:r w:rsidRPr="002B31AA">
        <w:rPr>
          <w:b/>
          <w:bCs/>
          <w:sz w:val="22"/>
          <w:szCs w:val="22"/>
        </w:rPr>
        <w:t xml:space="preserve">ujeto </w:t>
      </w:r>
      <w:r w:rsidR="002B31AA" w:rsidRPr="002B31AA">
        <w:rPr>
          <w:b/>
          <w:bCs/>
          <w:sz w:val="22"/>
          <w:szCs w:val="22"/>
        </w:rPr>
        <w:t>O</w:t>
      </w:r>
      <w:r w:rsidRPr="002B31AA">
        <w:rPr>
          <w:b/>
          <w:bCs/>
          <w:sz w:val="22"/>
          <w:szCs w:val="22"/>
        </w:rPr>
        <w:t>bligado</w:t>
      </w:r>
      <w:r w:rsidRPr="002B31AA">
        <w:rPr>
          <w:sz w:val="22"/>
          <w:szCs w:val="22"/>
        </w:rPr>
        <w:t>-.</w:t>
      </w:r>
    </w:p>
    <w:p w14:paraId="45E8D5F0" w14:textId="00CCD6A7" w:rsidR="00E46B00" w:rsidRPr="00332C4C" w:rsidRDefault="00E46B00" w:rsidP="00332C4C">
      <w:pPr>
        <w:spacing w:before="240" w:after="240" w:line="360" w:lineRule="auto"/>
        <w:jc w:val="both"/>
      </w:pPr>
      <w:r w:rsidRPr="00332C4C">
        <w:t xml:space="preserve">Bajo tales consideraciones, en el caso concreto, el </w:t>
      </w:r>
      <w:r w:rsidR="002B31AA" w:rsidRPr="002B31AA">
        <w:rPr>
          <w:b/>
          <w:bCs/>
        </w:rPr>
        <w:t>S</w:t>
      </w:r>
      <w:r w:rsidRPr="002B31AA">
        <w:rPr>
          <w:b/>
          <w:bCs/>
        </w:rPr>
        <w:t xml:space="preserve">ujeto </w:t>
      </w:r>
      <w:r w:rsidR="002B31AA" w:rsidRPr="002B31AA">
        <w:rPr>
          <w:b/>
          <w:bCs/>
        </w:rPr>
        <w:t>O</w:t>
      </w:r>
      <w:r w:rsidRPr="002B31AA">
        <w:rPr>
          <w:b/>
          <w:bCs/>
        </w:rPr>
        <w:t>bligado</w:t>
      </w:r>
      <w:r w:rsidRPr="00332C4C">
        <w:t xml:space="preserve"> no acreditó la existencia de un procedimiento administrativo o judicial -seguido en forma de juicio-, interpuesto, por ejemplo, por alguno de los licitantes, grupos ambientalistas o inclusive particulares afectados por la obra en comento.</w:t>
      </w:r>
    </w:p>
    <w:p w14:paraId="19E2477A" w14:textId="42535F27" w:rsidR="00B64B58" w:rsidRPr="00332C4C" w:rsidRDefault="00E46B00" w:rsidP="00332C4C">
      <w:pPr>
        <w:spacing w:before="240" w:after="240" w:line="360" w:lineRule="auto"/>
        <w:jc w:val="both"/>
      </w:pPr>
      <w:r w:rsidRPr="00332C4C">
        <w:t xml:space="preserve">De lo hasta aquí expuesto, se insiste que el </w:t>
      </w:r>
      <w:r w:rsidRPr="00332C4C">
        <w:rPr>
          <w:b/>
        </w:rPr>
        <w:t xml:space="preserve">Sujeto Obligado </w:t>
      </w:r>
      <w:r w:rsidRPr="00332C4C">
        <w:t>no acreditó que la información solicitada efectivamente actualiza la causal de reserva invocada, por lo que a consideración de este Órgano Garante, lo procedente es ordenar la entrega de las autorizaciones emitidas para la creación de la Ruta 18 que corre de Jesús del Monte al Metro Cuatro Caminos, así como el plano o mapeo del recorrido autorizado en dicha ruta.</w:t>
      </w:r>
    </w:p>
    <w:p w14:paraId="4940DBE7" w14:textId="10333776" w:rsidR="00024216" w:rsidRPr="00332C4C" w:rsidRDefault="00B64B58" w:rsidP="00332C4C">
      <w:pPr>
        <w:spacing w:line="360" w:lineRule="auto"/>
        <w:jc w:val="both"/>
      </w:pPr>
      <w:r w:rsidRPr="00332C4C">
        <w:t xml:space="preserve"> </w:t>
      </w:r>
      <w:r w:rsidR="00024216" w:rsidRPr="00332C4C">
        <w:rPr>
          <w:b/>
        </w:rPr>
        <w:t>Quinto. Versión Pública.</w:t>
      </w:r>
      <w:r w:rsidR="00024216" w:rsidRPr="00332C4C">
        <w:rPr>
          <w:rFonts w:cs="Arial"/>
          <w:bCs/>
          <w:sz w:val="28"/>
        </w:rPr>
        <w:t xml:space="preserve"> </w:t>
      </w:r>
      <w:r w:rsidR="00024216" w:rsidRPr="00332C4C">
        <w:t xml:space="preserve">Finalmente, debe señalarse que de ser el caso en que los documentos que vayan a ser entregados, para dar cumplimiento a la presente resolución, contengan datos que deban ser clasificados, el </w:t>
      </w:r>
      <w:r w:rsidR="00024216" w:rsidRPr="00332C4C">
        <w:rPr>
          <w:b/>
          <w:bCs/>
        </w:rPr>
        <w:t>Sujeto Obligado</w:t>
      </w:r>
      <w:r w:rsidR="00024216" w:rsidRPr="00332C4C">
        <w:t xml:space="preserve"> deberá hacer la elaboración de la versión pública de tales documentos a fin de satisfacer el derecho de acceso a la información pública del recurrente sin menoscabo al derecho a la protección de los datos personales de terceros.</w:t>
      </w:r>
    </w:p>
    <w:p w14:paraId="5840FAFE" w14:textId="77777777" w:rsidR="00024216" w:rsidRPr="00332C4C" w:rsidRDefault="00024216" w:rsidP="00332C4C">
      <w:pPr>
        <w:spacing w:before="240" w:after="240" w:line="360" w:lineRule="auto"/>
        <w:jc w:val="both"/>
        <w:rPr>
          <w:rFonts w:cs="Arial"/>
        </w:rPr>
      </w:pPr>
      <w:r w:rsidRPr="00332C4C">
        <w:rPr>
          <w:rFonts w:cs="Arial"/>
        </w:rPr>
        <w:t>Para efectos de la elaboración de la versión pública se deberá observar lo dispuesto por los artículos 3 fracciones IX, XX, XXI y XLV, 91, 132 fracciones II y III, y 143 fracción I de la Ley de Transparencia y Acceso a la Información Pública del Estado de México y Municipios que establecen:</w:t>
      </w:r>
    </w:p>
    <w:p w14:paraId="4FE9C674" w14:textId="77777777" w:rsidR="00024216" w:rsidRPr="00332C4C" w:rsidRDefault="00024216" w:rsidP="00332C4C">
      <w:pPr>
        <w:spacing w:before="120" w:after="120"/>
        <w:ind w:left="851" w:right="902"/>
        <w:jc w:val="both"/>
        <w:rPr>
          <w:rFonts w:cs="Arial"/>
          <w:i/>
          <w:sz w:val="22"/>
          <w:szCs w:val="22"/>
        </w:rPr>
      </w:pPr>
      <w:r w:rsidRPr="00332C4C">
        <w:rPr>
          <w:rFonts w:cs="Arial"/>
          <w:i/>
          <w:sz w:val="22"/>
          <w:szCs w:val="22"/>
        </w:rPr>
        <w:lastRenderedPageBreak/>
        <w:t>“</w:t>
      </w:r>
      <w:r w:rsidRPr="00332C4C">
        <w:rPr>
          <w:rFonts w:cs="Arial"/>
          <w:b/>
          <w:bCs/>
          <w:i/>
          <w:sz w:val="22"/>
          <w:szCs w:val="22"/>
        </w:rPr>
        <w:t>Artículo 3.</w:t>
      </w:r>
      <w:r w:rsidRPr="00332C4C">
        <w:rPr>
          <w:rFonts w:cs="Arial"/>
          <w:i/>
          <w:sz w:val="22"/>
          <w:szCs w:val="22"/>
        </w:rPr>
        <w:t xml:space="preserve"> Para los efectos de la presente Ley se entenderá por:</w:t>
      </w:r>
    </w:p>
    <w:p w14:paraId="566F245C" w14:textId="77777777" w:rsidR="00024216" w:rsidRPr="00332C4C" w:rsidRDefault="00024216" w:rsidP="00332C4C">
      <w:pPr>
        <w:spacing w:before="120" w:after="120"/>
        <w:ind w:left="1134" w:right="902"/>
        <w:jc w:val="both"/>
        <w:rPr>
          <w:rFonts w:cs="Arial"/>
          <w:i/>
          <w:sz w:val="22"/>
          <w:szCs w:val="22"/>
        </w:rPr>
      </w:pPr>
      <w:r w:rsidRPr="00332C4C">
        <w:rPr>
          <w:rFonts w:cs="Arial"/>
          <w:i/>
          <w:sz w:val="22"/>
          <w:szCs w:val="22"/>
        </w:rPr>
        <w:t>[…]</w:t>
      </w:r>
    </w:p>
    <w:p w14:paraId="00D2BD8F" w14:textId="77777777" w:rsidR="00024216" w:rsidRPr="00332C4C" w:rsidRDefault="00024216" w:rsidP="00332C4C">
      <w:pPr>
        <w:spacing w:before="120" w:after="120"/>
        <w:ind w:left="1134" w:right="902"/>
        <w:jc w:val="both"/>
        <w:rPr>
          <w:rFonts w:cs="Arial"/>
          <w:i/>
          <w:sz w:val="22"/>
          <w:szCs w:val="22"/>
        </w:rPr>
      </w:pPr>
      <w:r w:rsidRPr="00332C4C">
        <w:rPr>
          <w:rFonts w:cs="Arial"/>
          <w:b/>
          <w:bCs/>
          <w:i/>
          <w:sz w:val="22"/>
          <w:szCs w:val="22"/>
        </w:rPr>
        <w:t>IX. Datos personales</w:t>
      </w:r>
      <w:r w:rsidRPr="00332C4C">
        <w:rPr>
          <w:rFonts w:cs="Arial"/>
          <w:i/>
          <w:sz w:val="22"/>
          <w:szCs w:val="22"/>
        </w:rPr>
        <w:t xml:space="preserve">: La información concerniente a una persona, identificada o identificable según lo dispuesto por la Ley de Protección de Datos Personales del Estado de México; </w:t>
      </w:r>
    </w:p>
    <w:p w14:paraId="2FBECC26" w14:textId="77777777" w:rsidR="00024216" w:rsidRPr="00332C4C" w:rsidRDefault="00024216" w:rsidP="00332C4C">
      <w:pPr>
        <w:spacing w:before="120" w:after="120"/>
        <w:ind w:left="1134" w:right="902"/>
        <w:jc w:val="both"/>
        <w:rPr>
          <w:rFonts w:cs="Arial"/>
          <w:i/>
          <w:sz w:val="22"/>
          <w:szCs w:val="22"/>
        </w:rPr>
      </w:pPr>
      <w:r w:rsidRPr="00332C4C">
        <w:rPr>
          <w:rFonts w:cs="Arial"/>
          <w:b/>
          <w:bCs/>
          <w:i/>
          <w:sz w:val="22"/>
          <w:szCs w:val="22"/>
        </w:rPr>
        <w:t>XX. Información clasificada</w:t>
      </w:r>
      <w:r w:rsidRPr="00332C4C">
        <w:rPr>
          <w:rFonts w:cs="Arial"/>
          <w:i/>
          <w:sz w:val="22"/>
          <w:szCs w:val="22"/>
        </w:rPr>
        <w:t>: Aquella considerada por la presente Ley como reservada o confidencial;</w:t>
      </w:r>
    </w:p>
    <w:p w14:paraId="45AAA64C" w14:textId="77777777" w:rsidR="00024216" w:rsidRPr="00332C4C" w:rsidRDefault="00024216" w:rsidP="00332C4C">
      <w:pPr>
        <w:spacing w:before="120" w:after="120"/>
        <w:ind w:left="1134" w:right="902"/>
        <w:jc w:val="both"/>
        <w:rPr>
          <w:rFonts w:cs="Arial"/>
          <w:i/>
          <w:sz w:val="22"/>
          <w:szCs w:val="22"/>
        </w:rPr>
      </w:pPr>
      <w:r w:rsidRPr="00332C4C">
        <w:rPr>
          <w:rFonts w:cs="Arial"/>
          <w:b/>
          <w:bCs/>
          <w:i/>
          <w:sz w:val="22"/>
          <w:szCs w:val="22"/>
        </w:rPr>
        <w:t>XXI. Información confidencial</w:t>
      </w:r>
      <w:r w:rsidRPr="00332C4C">
        <w:rPr>
          <w:rFonts w:cs="Arial"/>
          <w:i/>
          <w:sz w:val="22"/>
          <w:szCs w:val="22"/>
        </w:rPr>
        <w:t>: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3EBA8471" w14:textId="77777777" w:rsidR="00024216" w:rsidRPr="00332C4C" w:rsidRDefault="00024216" w:rsidP="00332C4C">
      <w:pPr>
        <w:spacing w:before="120" w:after="120"/>
        <w:ind w:left="1134" w:right="902"/>
        <w:jc w:val="both"/>
        <w:rPr>
          <w:rFonts w:cs="Arial"/>
          <w:i/>
          <w:sz w:val="22"/>
          <w:szCs w:val="22"/>
        </w:rPr>
      </w:pPr>
      <w:r w:rsidRPr="00332C4C">
        <w:rPr>
          <w:rFonts w:cs="Arial"/>
          <w:b/>
          <w:bCs/>
          <w:i/>
          <w:sz w:val="22"/>
          <w:szCs w:val="22"/>
        </w:rPr>
        <w:t>XLV. Versión pública</w:t>
      </w:r>
      <w:r w:rsidRPr="00332C4C">
        <w:rPr>
          <w:rFonts w:cs="Arial"/>
          <w:i/>
          <w:sz w:val="22"/>
          <w:szCs w:val="22"/>
        </w:rPr>
        <w:t>: Documento en el que se elimine, suprime o borra la información clasificada como reservada o confidencial para permitir su acceso.</w:t>
      </w:r>
    </w:p>
    <w:p w14:paraId="1477C882" w14:textId="77777777" w:rsidR="00024216" w:rsidRPr="00332C4C" w:rsidRDefault="00024216" w:rsidP="00332C4C">
      <w:pPr>
        <w:spacing w:before="120" w:after="120"/>
        <w:ind w:left="851" w:right="902"/>
        <w:jc w:val="both"/>
        <w:rPr>
          <w:rFonts w:cs="Arial"/>
          <w:i/>
          <w:sz w:val="22"/>
          <w:szCs w:val="22"/>
        </w:rPr>
      </w:pPr>
      <w:r w:rsidRPr="00332C4C">
        <w:rPr>
          <w:rFonts w:cs="Arial"/>
          <w:i/>
          <w:sz w:val="22"/>
          <w:szCs w:val="22"/>
        </w:rPr>
        <w:t>[…]</w:t>
      </w:r>
    </w:p>
    <w:p w14:paraId="5253D474" w14:textId="77777777" w:rsidR="00024216" w:rsidRPr="00332C4C" w:rsidRDefault="00024216" w:rsidP="00332C4C">
      <w:pPr>
        <w:spacing w:before="120" w:after="120"/>
        <w:ind w:left="851" w:right="902"/>
        <w:jc w:val="both"/>
        <w:rPr>
          <w:rFonts w:cs="Arial"/>
          <w:i/>
          <w:sz w:val="22"/>
          <w:szCs w:val="22"/>
        </w:rPr>
      </w:pPr>
      <w:r w:rsidRPr="00332C4C">
        <w:rPr>
          <w:rFonts w:cs="Arial"/>
          <w:b/>
          <w:bCs/>
          <w:i/>
          <w:sz w:val="22"/>
          <w:szCs w:val="22"/>
        </w:rPr>
        <w:t>Artículo 91</w:t>
      </w:r>
      <w:r w:rsidRPr="00332C4C">
        <w:rPr>
          <w:rFonts w:cs="Arial"/>
          <w:i/>
          <w:sz w:val="22"/>
          <w:szCs w:val="22"/>
        </w:rPr>
        <w:t>. El acceso a la información pública será restringido excepcionalmente, cuando ésta sea clasificada como reservada o confidencial.</w:t>
      </w:r>
    </w:p>
    <w:p w14:paraId="750A4CF0" w14:textId="77777777" w:rsidR="00024216" w:rsidRPr="00332C4C" w:rsidRDefault="00024216" w:rsidP="00332C4C">
      <w:pPr>
        <w:spacing w:before="120" w:after="120"/>
        <w:ind w:left="851" w:right="902"/>
        <w:jc w:val="both"/>
        <w:rPr>
          <w:rFonts w:cs="Arial"/>
          <w:i/>
          <w:sz w:val="22"/>
          <w:szCs w:val="22"/>
        </w:rPr>
      </w:pPr>
      <w:r w:rsidRPr="00332C4C">
        <w:rPr>
          <w:rFonts w:cs="Arial"/>
          <w:b/>
          <w:bCs/>
          <w:i/>
          <w:sz w:val="22"/>
          <w:szCs w:val="22"/>
        </w:rPr>
        <w:t>Artículo 132.</w:t>
      </w:r>
      <w:r w:rsidRPr="00332C4C">
        <w:rPr>
          <w:rFonts w:cs="Arial"/>
          <w:i/>
          <w:sz w:val="22"/>
          <w:szCs w:val="22"/>
        </w:rPr>
        <w:t xml:space="preserve"> La clasificación de la información se llevará a cabo en el momento en que:</w:t>
      </w:r>
    </w:p>
    <w:p w14:paraId="27369B7C" w14:textId="77777777" w:rsidR="00024216" w:rsidRPr="00332C4C" w:rsidRDefault="00024216" w:rsidP="00332C4C">
      <w:pPr>
        <w:spacing w:before="120" w:after="120"/>
        <w:ind w:left="1134" w:right="902"/>
        <w:jc w:val="both"/>
        <w:rPr>
          <w:rFonts w:cs="Arial"/>
          <w:i/>
          <w:sz w:val="22"/>
          <w:szCs w:val="22"/>
        </w:rPr>
      </w:pPr>
      <w:r w:rsidRPr="00332C4C">
        <w:rPr>
          <w:rFonts w:cs="Arial"/>
          <w:b/>
          <w:bCs/>
          <w:i/>
          <w:sz w:val="22"/>
          <w:szCs w:val="22"/>
        </w:rPr>
        <w:t>I.</w:t>
      </w:r>
      <w:r w:rsidRPr="00332C4C">
        <w:rPr>
          <w:rFonts w:cs="Arial"/>
          <w:i/>
          <w:sz w:val="22"/>
          <w:szCs w:val="22"/>
        </w:rPr>
        <w:t xml:space="preserve"> Se reciba una solicitud de acceso a la información;</w:t>
      </w:r>
    </w:p>
    <w:p w14:paraId="74F7A71B" w14:textId="77777777" w:rsidR="00024216" w:rsidRPr="00332C4C" w:rsidRDefault="00024216" w:rsidP="00332C4C">
      <w:pPr>
        <w:spacing w:before="120" w:after="120"/>
        <w:ind w:left="1134" w:right="902"/>
        <w:jc w:val="both"/>
        <w:rPr>
          <w:rFonts w:cs="Arial"/>
          <w:i/>
          <w:sz w:val="22"/>
          <w:szCs w:val="22"/>
        </w:rPr>
      </w:pPr>
      <w:r w:rsidRPr="00332C4C">
        <w:rPr>
          <w:rFonts w:cs="Arial"/>
          <w:b/>
          <w:bCs/>
          <w:i/>
          <w:sz w:val="22"/>
          <w:szCs w:val="22"/>
        </w:rPr>
        <w:t>II.</w:t>
      </w:r>
      <w:r w:rsidRPr="00332C4C">
        <w:rPr>
          <w:rFonts w:cs="Arial"/>
          <w:i/>
          <w:sz w:val="22"/>
          <w:szCs w:val="22"/>
        </w:rPr>
        <w:t xml:space="preserve"> Se determine mediante resolución de autoridad competente; o</w:t>
      </w:r>
    </w:p>
    <w:p w14:paraId="5BD2A673" w14:textId="77777777" w:rsidR="00024216" w:rsidRPr="00332C4C" w:rsidRDefault="00024216" w:rsidP="00332C4C">
      <w:pPr>
        <w:spacing w:before="120" w:after="120"/>
        <w:ind w:left="1134" w:right="902"/>
        <w:jc w:val="both"/>
        <w:rPr>
          <w:rFonts w:cs="Arial"/>
          <w:i/>
          <w:sz w:val="22"/>
          <w:szCs w:val="22"/>
        </w:rPr>
      </w:pPr>
      <w:r w:rsidRPr="00332C4C">
        <w:rPr>
          <w:rFonts w:cs="Arial"/>
          <w:b/>
          <w:bCs/>
          <w:i/>
          <w:sz w:val="22"/>
          <w:szCs w:val="22"/>
        </w:rPr>
        <w:t>III.</w:t>
      </w:r>
      <w:r w:rsidRPr="00332C4C">
        <w:rPr>
          <w:rFonts w:cs="Arial"/>
          <w:i/>
          <w:sz w:val="22"/>
          <w:szCs w:val="22"/>
        </w:rPr>
        <w:t xml:space="preserve"> Se generen versiones públicas para dar cumplimiento a las obligaciones de transparencia previstas en esta Ley.</w:t>
      </w:r>
    </w:p>
    <w:p w14:paraId="3B487C7E" w14:textId="77777777" w:rsidR="00024216" w:rsidRPr="00332C4C" w:rsidRDefault="00024216" w:rsidP="00332C4C">
      <w:pPr>
        <w:spacing w:before="120" w:after="120"/>
        <w:ind w:left="851" w:right="902"/>
        <w:jc w:val="both"/>
        <w:rPr>
          <w:rFonts w:cs="Arial"/>
          <w:i/>
          <w:sz w:val="22"/>
          <w:szCs w:val="22"/>
        </w:rPr>
      </w:pPr>
      <w:r w:rsidRPr="00332C4C">
        <w:rPr>
          <w:rFonts w:cs="Arial"/>
          <w:i/>
          <w:sz w:val="22"/>
          <w:szCs w:val="22"/>
        </w:rPr>
        <w:t>[…]</w:t>
      </w:r>
    </w:p>
    <w:p w14:paraId="66DCCB22" w14:textId="77777777" w:rsidR="00024216" w:rsidRPr="00332C4C" w:rsidRDefault="00024216" w:rsidP="00332C4C">
      <w:pPr>
        <w:spacing w:before="120" w:after="120"/>
        <w:ind w:left="851" w:right="902"/>
        <w:jc w:val="both"/>
        <w:rPr>
          <w:rFonts w:cs="Arial"/>
          <w:i/>
          <w:sz w:val="22"/>
          <w:szCs w:val="22"/>
        </w:rPr>
      </w:pPr>
      <w:r w:rsidRPr="00332C4C">
        <w:rPr>
          <w:rFonts w:cs="Arial"/>
          <w:b/>
          <w:bCs/>
          <w:i/>
          <w:sz w:val="22"/>
          <w:szCs w:val="22"/>
        </w:rPr>
        <w:t>Artículo 143</w:t>
      </w:r>
      <w:r w:rsidRPr="00332C4C">
        <w:rPr>
          <w:rFonts w:cs="Arial"/>
          <w:i/>
          <w:sz w:val="22"/>
          <w:szCs w:val="22"/>
        </w:rPr>
        <w:t>. Para los efectos de esta Ley se considera información confidencial, la clasificada como tal, de manera permanente, por su naturaleza, cuando:</w:t>
      </w:r>
    </w:p>
    <w:p w14:paraId="3F69BDA1" w14:textId="77777777" w:rsidR="00024216" w:rsidRPr="00332C4C" w:rsidRDefault="00024216" w:rsidP="00332C4C">
      <w:pPr>
        <w:spacing w:before="120" w:after="120"/>
        <w:ind w:left="1134" w:right="902"/>
        <w:jc w:val="both"/>
        <w:rPr>
          <w:rFonts w:cs="Arial"/>
          <w:i/>
          <w:sz w:val="22"/>
          <w:szCs w:val="22"/>
        </w:rPr>
      </w:pPr>
      <w:r w:rsidRPr="00332C4C">
        <w:rPr>
          <w:rFonts w:cs="Arial"/>
          <w:b/>
          <w:bCs/>
          <w:i/>
          <w:sz w:val="22"/>
          <w:szCs w:val="22"/>
        </w:rPr>
        <w:t>I.</w:t>
      </w:r>
      <w:r w:rsidRPr="00332C4C">
        <w:rPr>
          <w:rFonts w:cs="Arial"/>
          <w:i/>
          <w:sz w:val="22"/>
          <w:szCs w:val="22"/>
        </w:rPr>
        <w:t xml:space="preserve"> Se refiera a la información privada y los datos personales concernientes a una persona física o jurídico colectiva identificada o identificable;</w:t>
      </w:r>
    </w:p>
    <w:p w14:paraId="569CA101" w14:textId="77777777" w:rsidR="00024216" w:rsidRPr="00332C4C" w:rsidRDefault="00024216" w:rsidP="00332C4C">
      <w:pPr>
        <w:spacing w:before="120" w:after="120"/>
        <w:ind w:left="1134" w:right="902"/>
        <w:jc w:val="both"/>
        <w:rPr>
          <w:rFonts w:cs="Arial"/>
          <w:i/>
          <w:sz w:val="22"/>
          <w:szCs w:val="22"/>
        </w:rPr>
      </w:pPr>
      <w:r w:rsidRPr="00332C4C">
        <w:rPr>
          <w:rFonts w:cs="Arial"/>
          <w:b/>
          <w:bCs/>
          <w:i/>
          <w:sz w:val="22"/>
          <w:szCs w:val="22"/>
        </w:rPr>
        <w:t>II.</w:t>
      </w:r>
      <w:r w:rsidRPr="00332C4C">
        <w:rPr>
          <w:rFonts w:cs="Arial"/>
          <w:i/>
          <w:sz w:val="22"/>
          <w:szCs w:val="22"/>
        </w:rPr>
        <w:t xml:space="preserve"> Los secretos bancario, fiduciario, industrial, comercial, fiscal, bursátil y postal, cuya titularidad corresponda a particulares, sujetos de derecho internacional o a sujetos obligados cuando no involucren el ejercicio de recursos públicos; y</w:t>
      </w:r>
    </w:p>
    <w:p w14:paraId="51D98332" w14:textId="77777777" w:rsidR="00024216" w:rsidRPr="00332C4C" w:rsidRDefault="00024216" w:rsidP="00332C4C">
      <w:pPr>
        <w:spacing w:before="120" w:after="120"/>
        <w:ind w:left="1134" w:right="902"/>
        <w:jc w:val="both"/>
        <w:rPr>
          <w:rFonts w:cs="Arial"/>
          <w:i/>
          <w:sz w:val="22"/>
          <w:szCs w:val="22"/>
        </w:rPr>
      </w:pPr>
      <w:r w:rsidRPr="00332C4C">
        <w:rPr>
          <w:rFonts w:cs="Arial"/>
          <w:b/>
          <w:bCs/>
          <w:i/>
          <w:sz w:val="22"/>
          <w:szCs w:val="22"/>
        </w:rPr>
        <w:lastRenderedPageBreak/>
        <w:t>III.</w:t>
      </w:r>
      <w:r w:rsidRPr="00332C4C">
        <w:rPr>
          <w:rFonts w:cs="Arial"/>
          <w:i/>
          <w:sz w:val="22"/>
          <w:szCs w:val="22"/>
        </w:rPr>
        <w:t xml:space="preserve"> La que presenten los particulares a los sujetos obligados, de conformidad con lo dispuesto por las leyes o los tratados internacionales.</w:t>
      </w:r>
    </w:p>
    <w:p w14:paraId="208AFB38" w14:textId="77777777" w:rsidR="00024216" w:rsidRPr="00332C4C" w:rsidRDefault="00024216" w:rsidP="00332C4C">
      <w:pPr>
        <w:spacing w:before="120" w:after="120"/>
        <w:ind w:left="851" w:right="902"/>
        <w:jc w:val="both"/>
        <w:rPr>
          <w:rFonts w:cs="Arial"/>
          <w:i/>
          <w:sz w:val="22"/>
          <w:szCs w:val="22"/>
        </w:rPr>
      </w:pPr>
      <w:r w:rsidRPr="00332C4C">
        <w:rPr>
          <w:rFonts w:cs="Arial"/>
          <w:i/>
          <w:sz w:val="22"/>
          <w:szCs w:val="22"/>
        </w:rPr>
        <w:t>La información confidencial no estará sujeta a temporalidad alguna y sólo podrán tener acceso a ella los titulares de la misma, sus representantes y los servidores públicos facultados para ello.</w:t>
      </w:r>
    </w:p>
    <w:p w14:paraId="0ED455F5" w14:textId="77777777" w:rsidR="00024216" w:rsidRPr="00332C4C" w:rsidRDefault="00024216" w:rsidP="00332C4C">
      <w:pPr>
        <w:spacing w:before="120" w:after="120"/>
        <w:ind w:left="851" w:right="902"/>
        <w:jc w:val="both"/>
        <w:rPr>
          <w:rFonts w:cs="Arial"/>
          <w:i/>
          <w:sz w:val="22"/>
          <w:szCs w:val="22"/>
        </w:rPr>
      </w:pPr>
      <w:r w:rsidRPr="00332C4C">
        <w:rPr>
          <w:rFonts w:cs="Arial"/>
          <w:i/>
          <w:sz w:val="22"/>
          <w:szCs w:val="22"/>
        </w:rPr>
        <w:t>No se considerará confidencial la información que se encuentre en los registros públicos o en fuentes de acceso público, ni tampoco la que sea considerada por la presente ley como información pública.”</w:t>
      </w:r>
    </w:p>
    <w:p w14:paraId="02F25DD7" w14:textId="77777777" w:rsidR="00024216" w:rsidRPr="00332C4C" w:rsidRDefault="00024216" w:rsidP="00332C4C">
      <w:pPr>
        <w:spacing w:before="240" w:after="240" w:line="360" w:lineRule="auto"/>
        <w:jc w:val="both"/>
        <w:rPr>
          <w:rFonts w:cs="Arial"/>
        </w:rPr>
      </w:pPr>
      <w:r w:rsidRPr="00332C4C">
        <w:rPr>
          <w:rFonts w:cs="Arial"/>
        </w:rPr>
        <w:t>Igualmente, los Lineamientos Generales en Materia de Clasificación y Desclasificación de la Información, así como para la elaboración de Versiones Públicas, emitidos por el Consejo Nacional del Sistema Nacional de Transparencia, Acceso a la Información Pública y Protección de Datos Personales, publicados en el Diario Oficial de la Federación el día quince de abril de dos mil dieciséis, tienen por objeto establecer los criterios con base en los cuales los sujetos obligados clasificarán como reservada o confidencial la información que posean, desclasificarán y generarán, en su caso, versiones públicas de expedientes o documentos que contengan partes o secciones clasificadas.</w:t>
      </w:r>
    </w:p>
    <w:p w14:paraId="2706BFAC" w14:textId="77777777" w:rsidR="00024216" w:rsidRPr="00332C4C" w:rsidRDefault="00024216" w:rsidP="00332C4C">
      <w:pPr>
        <w:spacing w:before="240" w:after="240" w:line="360" w:lineRule="auto"/>
        <w:jc w:val="both"/>
        <w:rPr>
          <w:rFonts w:cs="Arial"/>
        </w:rPr>
      </w:pPr>
      <w:r w:rsidRPr="00332C4C">
        <w:rPr>
          <w:rFonts w:cs="Arial"/>
        </w:rPr>
        <w:t>Entorno a lo que aquí nos interesa, los Lineamientos Quincuagésimo sexto, Quincuagésimo séptimo y Quincuagésimo octavo, establecen lo siguiente:</w:t>
      </w:r>
    </w:p>
    <w:p w14:paraId="48F3F6AA" w14:textId="77777777" w:rsidR="00024216" w:rsidRPr="00332C4C" w:rsidRDefault="00024216" w:rsidP="00332C4C">
      <w:pPr>
        <w:spacing w:before="120" w:after="120"/>
        <w:ind w:left="851" w:right="902"/>
        <w:jc w:val="both"/>
        <w:rPr>
          <w:rFonts w:cs="Arial"/>
          <w:i/>
          <w:sz w:val="22"/>
          <w:szCs w:val="20"/>
        </w:rPr>
      </w:pPr>
      <w:r w:rsidRPr="00332C4C">
        <w:rPr>
          <w:rFonts w:cs="Arial"/>
          <w:i/>
          <w:sz w:val="22"/>
          <w:szCs w:val="20"/>
        </w:rPr>
        <w:t>“</w:t>
      </w:r>
      <w:r w:rsidRPr="00332C4C">
        <w:rPr>
          <w:rFonts w:cs="Arial"/>
          <w:b/>
          <w:bCs/>
          <w:i/>
          <w:sz w:val="22"/>
          <w:szCs w:val="20"/>
        </w:rPr>
        <w:t>Quincuagésimo sexto.</w:t>
      </w:r>
      <w:r w:rsidRPr="00332C4C">
        <w:rPr>
          <w:rFonts w:cs="Arial"/>
          <w:i/>
          <w:sz w:val="22"/>
          <w:szCs w:val="20"/>
        </w:rPr>
        <w:t xml:space="preserve"> La versión pública del documento o expediente que contenga partes o secciones reservadas o confidenciales, será elaborada por los sujetos obligados, previo pago de los costos de reproducción, a través de sus áreas y deberá ser aprobada por su Comité de Transparencia</w:t>
      </w:r>
    </w:p>
    <w:p w14:paraId="524AA5AF" w14:textId="77777777" w:rsidR="00024216" w:rsidRPr="00332C4C" w:rsidRDefault="00024216" w:rsidP="00332C4C">
      <w:pPr>
        <w:spacing w:before="120" w:after="120"/>
        <w:ind w:left="851" w:right="902"/>
        <w:jc w:val="both"/>
        <w:rPr>
          <w:rFonts w:cs="Arial"/>
          <w:i/>
          <w:sz w:val="22"/>
          <w:szCs w:val="20"/>
        </w:rPr>
      </w:pPr>
      <w:r w:rsidRPr="00332C4C">
        <w:rPr>
          <w:rFonts w:cs="Arial"/>
          <w:b/>
          <w:bCs/>
          <w:i/>
          <w:sz w:val="22"/>
          <w:szCs w:val="20"/>
        </w:rPr>
        <w:t>Quincuagésimo séptimo</w:t>
      </w:r>
      <w:r w:rsidRPr="00332C4C">
        <w:rPr>
          <w:rFonts w:cs="Arial"/>
          <w:i/>
          <w:sz w:val="22"/>
          <w:szCs w:val="20"/>
        </w:rPr>
        <w:t xml:space="preserve">. Se considera, en principio, como información pública y no podrá omitirse de las versiones públicas la siguiente: </w:t>
      </w:r>
    </w:p>
    <w:p w14:paraId="14C300D2" w14:textId="77777777" w:rsidR="00024216" w:rsidRPr="00332C4C" w:rsidRDefault="00024216" w:rsidP="00332C4C">
      <w:pPr>
        <w:spacing w:before="120" w:after="120"/>
        <w:ind w:left="1134" w:right="902"/>
        <w:jc w:val="both"/>
        <w:rPr>
          <w:rFonts w:cs="Arial"/>
          <w:i/>
          <w:sz w:val="22"/>
          <w:szCs w:val="20"/>
        </w:rPr>
      </w:pPr>
      <w:r w:rsidRPr="00332C4C">
        <w:rPr>
          <w:rFonts w:cs="Arial"/>
          <w:b/>
          <w:bCs/>
          <w:i/>
          <w:sz w:val="22"/>
          <w:szCs w:val="20"/>
        </w:rPr>
        <w:t>I.</w:t>
      </w:r>
      <w:r w:rsidRPr="00332C4C">
        <w:rPr>
          <w:rFonts w:cs="Arial"/>
          <w:i/>
          <w:sz w:val="22"/>
          <w:szCs w:val="20"/>
        </w:rPr>
        <w:t xml:space="preserve"> La relativa a las Obligaciones de Transparencia que contempla el Título V de la Ley General y las demás disposiciones legales aplicables; </w:t>
      </w:r>
    </w:p>
    <w:p w14:paraId="18032E64" w14:textId="77777777" w:rsidR="00024216" w:rsidRPr="00332C4C" w:rsidRDefault="00024216" w:rsidP="00332C4C">
      <w:pPr>
        <w:spacing w:before="120" w:after="120"/>
        <w:ind w:left="1134" w:right="902"/>
        <w:jc w:val="both"/>
        <w:rPr>
          <w:rFonts w:cs="Arial"/>
          <w:i/>
          <w:sz w:val="22"/>
          <w:szCs w:val="20"/>
        </w:rPr>
      </w:pPr>
      <w:r w:rsidRPr="00332C4C">
        <w:rPr>
          <w:rFonts w:cs="Arial"/>
          <w:b/>
          <w:bCs/>
          <w:i/>
          <w:sz w:val="22"/>
          <w:szCs w:val="20"/>
        </w:rPr>
        <w:lastRenderedPageBreak/>
        <w:t>II</w:t>
      </w:r>
      <w:r w:rsidRPr="00332C4C">
        <w:rPr>
          <w:rFonts w:cs="Arial"/>
          <w:i/>
          <w:sz w:val="22"/>
          <w:szCs w:val="20"/>
        </w:rPr>
        <w:t xml:space="preserve">. El nombre de los servidores públicos en los documentos, y sus firmas autógrafas, cuando sean utilizados en el ejercicio de las facultades conferidas para el desempeño del servicio público, y </w:t>
      </w:r>
    </w:p>
    <w:p w14:paraId="4D176B59" w14:textId="77777777" w:rsidR="00024216" w:rsidRPr="00332C4C" w:rsidRDefault="00024216" w:rsidP="00332C4C">
      <w:pPr>
        <w:spacing w:before="120" w:after="120"/>
        <w:ind w:left="1134" w:right="902"/>
        <w:jc w:val="both"/>
        <w:rPr>
          <w:rFonts w:cs="Arial"/>
          <w:i/>
          <w:sz w:val="22"/>
          <w:szCs w:val="20"/>
        </w:rPr>
      </w:pPr>
      <w:r w:rsidRPr="00332C4C">
        <w:rPr>
          <w:rFonts w:cs="Arial"/>
          <w:b/>
          <w:bCs/>
          <w:i/>
          <w:sz w:val="22"/>
          <w:szCs w:val="20"/>
        </w:rPr>
        <w:t>III.</w:t>
      </w:r>
      <w:r w:rsidRPr="00332C4C">
        <w:rPr>
          <w:rFonts w:cs="Arial"/>
          <w:i/>
          <w:sz w:val="22"/>
          <w:szCs w:val="20"/>
        </w:rPr>
        <w:t xml:space="preserve"> La información que documente decisiones y los actos de autoridad concluidos de los sujetos obligados, así como el ejercicio de las facultades o actividades de los servidores públicos, de manera que se pueda valorar el desempeño de los mismos.</w:t>
      </w:r>
    </w:p>
    <w:p w14:paraId="167E17F1" w14:textId="77777777" w:rsidR="00024216" w:rsidRPr="00332C4C" w:rsidRDefault="00024216" w:rsidP="00332C4C">
      <w:pPr>
        <w:spacing w:before="120" w:after="120"/>
        <w:ind w:left="851" w:right="902"/>
        <w:jc w:val="both"/>
        <w:rPr>
          <w:rFonts w:cs="Arial"/>
          <w:i/>
          <w:sz w:val="22"/>
          <w:szCs w:val="20"/>
        </w:rPr>
      </w:pPr>
      <w:r w:rsidRPr="00332C4C">
        <w:rPr>
          <w:rFonts w:cs="Arial"/>
          <w:i/>
          <w:sz w:val="22"/>
          <w:szCs w:val="20"/>
        </w:rPr>
        <w:t xml:space="preserve">Lo anterior, siempre y cuando no se acredite alguna causal de clasificación, prevista en las leyes o en los tratados internaciones suscritos por el Estado mexicano. </w:t>
      </w:r>
    </w:p>
    <w:p w14:paraId="7E692D86" w14:textId="77777777" w:rsidR="00024216" w:rsidRPr="00332C4C" w:rsidRDefault="00024216" w:rsidP="00332C4C">
      <w:pPr>
        <w:spacing w:before="120" w:after="120"/>
        <w:ind w:left="851" w:right="902"/>
        <w:jc w:val="both"/>
        <w:rPr>
          <w:rFonts w:cs="Arial"/>
          <w:i/>
          <w:sz w:val="22"/>
          <w:szCs w:val="20"/>
        </w:rPr>
      </w:pPr>
      <w:r w:rsidRPr="00332C4C">
        <w:rPr>
          <w:rFonts w:cs="Arial"/>
          <w:i/>
          <w:sz w:val="22"/>
          <w:szCs w:val="20"/>
        </w:rPr>
        <w:t>Quincuagésimo octavo. Los sujetos obligados garantizarán que los sistemas o medios empleados para eliminar la información en las versiones públicas no permitan la recuperación o visualización de la misma.”</w:t>
      </w:r>
    </w:p>
    <w:p w14:paraId="240457A1" w14:textId="77777777" w:rsidR="00024216" w:rsidRPr="00332C4C" w:rsidRDefault="00024216" w:rsidP="00332C4C">
      <w:pPr>
        <w:spacing w:before="240" w:after="240" w:line="360" w:lineRule="auto"/>
        <w:jc w:val="both"/>
        <w:rPr>
          <w:rFonts w:cs="Arial"/>
        </w:rPr>
      </w:pPr>
      <w:r w:rsidRPr="00332C4C">
        <w:rPr>
          <w:rFonts w:cs="Arial"/>
        </w:rPr>
        <w:t xml:space="preserve">Por lo tanto, la entrega de documentos en su versión pública debe acompañarse necesariamente del Acuerdo del Comité de Transparencia que la sustente el cual debe estar debidamente fundado y motivado, en el que se expongan los fundamentos y razonamientos que llevaron al </w:t>
      </w:r>
      <w:r w:rsidRPr="00332C4C">
        <w:rPr>
          <w:rFonts w:cs="Arial"/>
          <w:b/>
          <w:bCs/>
        </w:rPr>
        <w:t>Sujeto Obligado</w:t>
      </w:r>
      <w:r w:rsidRPr="00332C4C">
        <w:rPr>
          <w:rFonts w:cs="Arial"/>
        </w:rPr>
        <w:t xml:space="preserve"> a testar, suprimir o eliminar datos de dicho soporte documental, ya que no hacerlo, se reitera que lo entregado no tendría un sustento jurídico ni resultaría ser una versión pública, sino más bien una documentación ilegible, incompleta o tachada; ya que el no justificar las causas o motivos por las que no se aprecian determinados datos -ya sea porque se testan o suprimen- deja al solicitante en estado de incertidumbre, al no conocer o comprender porque no aparecen en la documentación respectiva.</w:t>
      </w:r>
    </w:p>
    <w:p w14:paraId="55A28F55" w14:textId="77777777" w:rsidR="00024216" w:rsidRPr="00332C4C" w:rsidRDefault="00024216" w:rsidP="00332C4C">
      <w:pPr>
        <w:spacing w:before="240" w:after="240" w:line="360" w:lineRule="auto"/>
        <w:jc w:val="both"/>
      </w:pPr>
      <w:r w:rsidRPr="00332C4C">
        <w:rPr>
          <w:rFonts w:cs="Arial"/>
        </w:rPr>
        <w:t>En relación directa con ello, los Lineamientos en estudio</w:t>
      </w:r>
      <w:r w:rsidRPr="00332C4C">
        <w:t xml:space="preserve"> establecen los formatos para la clasificación parcial y total de los documentos, que atienden a lo siguiente:</w:t>
      </w:r>
    </w:p>
    <w:tbl>
      <w:tblPr>
        <w:tblStyle w:val="Tabladelista1clara-nfasis11"/>
        <w:tblW w:w="0" w:type="auto"/>
        <w:tblLayout w:type="fixed"/>
        <w:tblLook w:val="04A0" w:firstRow="1" w:lastRow="0" w:firstColumn="1" w:lastColumn="0" w:noHBand="0" w:noVBand="1"/>
      </w:tblPr>
      <w:tblGrid>
        <w:gridCol w:w="993"/>
        <w:gridCol w:w="3421"/>
        <w:gridCol w:w="968"/>
        <w:gridCol w:w="3446"/>
      </w:tblGrid>
      <w:tr w:rsidR="00024216" w:rsidRPr="00332C4C" w14:paraId="0366B606" w14:textId="77777777" w:rsidTr="005E54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gridSpan w:val="2"/>
          </w:tcPr>
          <w:p w14:paraId="58619388" w14:textId="77777777" w:rsidR="00024216" w:rsidRPr="00332C4C" w:rsidRDefault="00024216" w:rsidP="00332C4C">
            <w:pPr>
              <w:jc w:val="center"/>
              <w:rPr>
                <w:sz w:val="12"/>
                <w:szCs w:val="12"/>
              </w:rPr>
            </w:pPr>
            <w:r w:rsidRPr="00332C4C">
              <w:rPr>
                <w:sz w:val="12"/>
                <w:szCs w:val="12"/>
              </w:rPr>
              <w:t>Parcial</w:t>
            </w:r>
          </w:p>
        </w:tc>
        <w:tc>
          <w:tcPr>
            <w:tcW w:w="4414" w:type="dxa"/>
            <w:gridSpan w:val="2"/>
          </w:tcPr>
          <w:p w14:paraId="3265B893" w14:textId="77777777" w:rsidR="00024216" w:rsidRPr="00332C4C" w:rsidRDefault="00024216" w:rsidP="00332C4C">
            <w:pPr>
              <w:jc w:val="center"/>
              <w:cnfStyle w:val="100000000000" w:firstRow="1" w:lastRow="0" w:firstColumn="0" w:lastColumn="0" w:oddVBand="0" w:evenVBand="0" w:oddHBand="0" w:evenHBand="0" w:firstRowFirstColumn="0" w:firstRowLastColumn="0" w:lastRowFirstColumn="0" w:lastRowLastColumn="0"/>
              <w:rPr>
                <w:sz w:val="12"/>
                <w:szCs w:val="12"/>
              </w:rPr>
            </w:pPr>
            <w:r w:rsidRPr="00332C4C">
              <w:rPr>
                <w:sz w:val="12"/>
                <w:szCs w:val="12"/>
              </w:rPr>
              <w:t>Total</w:t>
            </w:r>
          </w:p>
        </w:tc>
      </w:tr>
      <w:tr w:rsidR="00024216" w:rsidRPr="00332C4C" w14:paraId="7075BE6C" w14:textId="77777777" w:rsidTr="005E54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1661B6C2" w14:textId="77777777" w:rsidR="00024216" w:rsidRPr="00332C4C" w:rsidRDefault="00024216" w:rsidP="00332C4C">
            <w:pPr>
              <w:jc w:val="center"/>
              <w:rPr>
                <w:sz w:val="12"/>
                <w:szCs w:val="12"/>
              </w:rPr>
            </w:pPr>
            <w:r w:rsidRPr="00332C4C">
              <w:rPr>
                <w:sz w:val="12"/>
                <w:szCs w:val="12"/>
              </w:rPr>
              <w:t>Concepto</w:t>
            </w:r>
          </w:p>
        </w:tc>
        <w:tc>
          <w:tcPr>
            <w:tcW w:w="3421" w:type="dxa"/>
          </w:tcPr>
          <w:p w14:paraId="3DACFB41" w14:textId="77777777" w:rsidR="00024216" w:rsidRPr="00332C4C" w:rsidRDefault="00024216" w:rsidP="00332C4C">
            <w:pPr>
              <w:jc w:val="center"/>
              <w:cnfStyle w:val="000000100000" w:firstRow="0" w:lastRow="0" w:firstColumn="0" w:lastColumn="0" w:oddVBand="0" w:evenVBand="0" w:oddHBand="1" w:evenHBand="0" w:firstRowFirstColumn="0" w:firstRowLastColumn="0" w:lastRowFirstColumn="0" w:lastRowLastColumn="0"/>
              <w:rPr>
                <w:b/>
                <w:sz w:val="12"/>
                <w:szCs w:val="12"/>
              </w:rPr>
            </w:pPr>
            <w:r w:rsidRPr="00332C4C">
              <w:rPr>
                <w:b/>
                <w:sz w:val="12"/>
                <w:szCs w:val="12"/>
              </w:rPr>
              <w:t>Dónde</w:t>
            </w:r>
          </w:p>
        </w:tc>
        <w:tc>
          <w:tcPr>
            <w:tcW w:w="968" w:type="dxa"/>
          </w:tcPr>
          <w:p w14:paraId="302FD118" w14:textId="77777777" w:rsidR="00024216" w:rsidRPr="00332C4C" w:rsidRDefault="00024216" w:rsidP="00332C4C">
            <w:pPr>
              <w:jc w:val="center"/>
              <w:cnfStyle w:val="000000100000" w:firstRow="0" w:lastRow="0" w:firstColumn="0" w:lastColumn="0" w:oddVBand="0" w:evenVBand="0" w:oddHBand="1" w:evenHBand="0" w:firstRowFirstColumn="0" w:firstRowLastColumn="0" w:lastRowFirstColumn="0" w:lastRowLastColumn="0"/>
              <w:rPr>
                <w:b/>
                <w:sz w:val="12"/>
                <w:szCs w:val="12"/>
              </w:rPr>
            </w:pPr>
            <w:r w:rsidRPr="00332C4C">
              <w:rPr>
                <w:b/>
                <w:sz w:val="12"/>
                <w:szCs w:val="12"/>
              </w:rPr>
              <w:t>Concepto</w:t>
            </w:r>
          </w:p>
        </w:tc>
        <w:tc>
          <w:tcPr>
            <w:tcW w:w="3446" w:type="dxa"/>
          </w:tcPr>
          <w:p w14:paraId="35754F73" w14:textId="77777777" w:rsidR="00024216" w:rsidRPr="00332C4C" w:rsidRDefault="00024216" w:rsidP="00332C4C">
            <w:pPr>
              <w:jc w:val="center"/>
              <w:cnfStyle w:val="000000100000" w:firstRow="0" w:lastRow="0" w:firstColumn="0" w:lastColumn="0" w:oddVBand="0" w:evenVBand="0" w:oddHBand="1" w:evenHBand="0" w:firstRowFirstColumn="0" w:firstRowLastColumn="0" w:lastRowFirstColumn="0" w:lastRowLastColumn="0"/>
              <w:rPr>
                <w:b/>
                <w:sz w:val="12"/>
                <w:szCs w:val="12"/>
              </w:rPr>
            </w:pPr>
            <w:r w:rsidRPr="00332C4C">
              <w:rPr>
                <w:b/>
                <w:sz w:val="12"/>
                <w:szCs w:val="12"/>
              </w:rPr>
              <w:t>Dónde</w:t>
            </w:r>
          </w:p>
        </w:tc>
      </w:tr>
      <w:tr w:rsidR="00024216" w:rsidRPr="00332C4C" w14:paraId="45E575F3" w14:textId="77777777" w:rsidTr="005E54FC">
        <w:tc>
          <w:tcPr>
            <w:cnfStyle w:val="001000000000" w:firstRow="0" w:lastRow="0" w:firstColumn="1" w:lastColumn="0" w:oddVBand="0" w:evenVBand="0" w:oddHBand="0" w:evenHBand="0" w:firstRowFirstColumn="0" w:firstRowLastColumn="0" w:lastRowFirstColumn="0" w:lastRowLastColumn="0"/>
            <w:tcW w:w="8828" w:type="dxa"/>
            <w:gridSpan w:val="4"/>
          </w:tcPr>
          <w:p w14:paraId="701738A8" w14:textId="77777777" w:rsidR="00024216" w:rsidRPr="00332C4C" w:rsidRDefault="00024216" w:rsidP="00332C4C">
            <w:pPr>
              <w:jc w:val="center"/>
              <w:rPr>
                <w:sz w:val="12"/>
                <w:szCs w:val="12"/>
              </w:rPr>
            </w:pPr>
            <w:r w:rsidRPr="00332C4C">
              <w:rPr>
                <w:sz w:val="12"/>
                <w:szCs w:val="12"/>
              </w:rPr>
              <w:t>Sello oficial o logotipo del sujeto obligado</w:t>
            </w:r>
          </w:p>
        </w:tc>
      </w:tr>
      <w:tr w:rsidR="00024216" w:rsidRPr="00332C4C" w14:paraId="409BE402" w14:textId="77777777" w:rsidTr="005E54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0EEABAEE" w14:textId="77777777" w:rsidR="00024216" w:rsidRPr="00332C4C" w:rsidRDefault="00024216" w:rsidP="00332C4C">
            <w:pPr>
              <w:jc w:val="both"/>
              <w:rPr>
                <w:sz w:val="12"/>
                <w:szCs w:val="12"/>
              </w:rPr>
            </w:pPr>
            <w:r w:rsidRPr="00332C4C">
              <w:rPr>
                <w:sz w:val="12"/>
                <w:szCs w:val="12"/>
              </w:rPr>
              <w:t>Fecha de clasificación</w:t>
            </w:r>
          </w:p>
        </w:tc>
        <w:tc>
          <w:tcPr>
            <w:tcW w:w="3421" w:type="dxa"/>
          </w:tcPr>
          <w:p w14:paraId="5E11F328" w14:textId="77777777" w:rsidR="00024216" w:rsidRPr="00332C4C" w:rsidRDefault="00024216" w:rsidP="00332C4C">
            <w:pPr>
              <w:jc w:val="both"/>
              <w:cnfStyle w:val="000000100000" w:firstRow="0" w:lastRow="0" w:firstColumn="0" w:lastColumn="0" w:oddVBand="0" w:evenVBand="0" w:oddHBand="1" w:evenHBand="0" w:firstRowFirstColumn="0" w:firstRowLastColumn="0" w:lastRowFirstColumn="0" w:lastRowLastColumn="0"/>
              <w:rPr>
                <w:sz w:val="12"/>
                <w:szCs w:val="12"/>
              </w:rPr>
            </w:pPr>
            <w:r w:rsidRPr="00332C4C">
              <w:rPr>
                <w:sz w:val="12"/>
                <w:szCs w:val="12"/>
              </w:rPr>
              <w:t>Se anotará la fecha en la que el Comité de Transparencia confirmó la clasificación del documento, en su caso.</w:t>
            </w:r>
          </w:p>
        </w:tc>
        <w:tc>
          <w:tcPr>
            <w:tcW w:w="968" w:type="dxa"/>
          </w:tcPr>
          <w:p w14:paraId="71AA364C" w14:textId="77777777" w:rsidR="00024216" w:rsidRPr="00332C4C" w:rsidRDefault="00024216" w:rsidP="00332C4C">
            <w:pPr>
              <w:jc w:val="both"/>
              <w:cnfStyle w:val="000000100000" w:firstRow="0" w:lastRow="0" w:firstColumn="0" w:lastColumn="0" w:oddVBand="0" w:evenVBand="0" w:oddHBand="1" w:evenHBand="0" w:firstRowFirstColumn="0" w:firstRowLastColumn="0" w:lastRowFirstColumn="0" w:lastRowLastColumn="0"/>
              <w:rPr>
                <w:b/>
                <w:sz w:val="12"/>
                <w:szCs w:val="12"/>
              </w:rPr>
            </w:pPr>
            <w:r w:rsidRPr="00332C4C">
              <w:rPr>
                <w:b/>
                <w:sz w:val="12"/>
                <w:szCs w:val="12"/>
              </w:rPr>
              <w:t>Fecha de clasificación</w:t>
            </w:r>
          </w:p>
        </w:tc>
        <w:tc>
          <w:tcPr>
            <w:tcW w:w="3446" w:type="dxa"/>
          </w:tcPr>
          <w:p w14:paraId="29F1E99D" w14:textId="77777777" w:rsidR="00024216" w:rsidRPr="00332C4C" w:rsidRDefault="00024216" w:rsidP="00332C4C">
            <w:pPr>
              <w:jc w:val="both"/>
              <w:cnfStyle w:val="000000100000" w:firstRow="0" w:lastRow="0" w:firstColumn="0" w:lastColumn="0" w:oddVBand="0" w:evenVBand="0" w:oddHBand="1" w:evenHBand="0" w:firstRowFirstColumn="0" w:firstRowLastColumn="0" w:lastRowFirstColumn="0" w:lastRowLastColumn="0"/>
              <w:rPr>
                <w:sz w:val="12"/>
                <w:szCs w:val="12"/>
              </w:rPr>
            </w:pPr>
            <w:r w:rsidRPr="00332C4C">
              <w:rPr>
                <w:sz w:val="12"/>
                <w:szCs w:val="12"/>
              </w:rPr>
              <w:t>Se anotará la fecha en la que el Comité de Transparencia confirmó la clasificación del documento, en su caso.</w:t>
            </w:r>
          </w:p>
        </w:tc>
      </w:tr>
      <w:tr w:rsidR="00024216" w:rsidRPr="00332C4C" w14:paraId="4BCFC3AC" w14:textId="77777777" w:rsidTr="005E54FC">
        <w:tc>
          <w:tcPr>
            <w:cnfStyle w:val="001000000000" w:firstRow="0" w:lastRow="0" w:firstColumn="1" w:lastColumn="0" w:oddVBand="0" w:evenVBand="0" w:oddHBand="0" w:evenHBand="0" w:firstRowFirstColumn="0" w:firstRowLastColumn="0" w:lastRowFirstColumn="0" w:lastRowLastColumn="0"/>
            <w:tcW w:w="993" w:type="dxa"/>
          </w:tcPr>
          <w:p w14:paraId="3786EE81" w14:textId="77777777" w:rsidR="00024216" w:rsidRPr="00332C4C" w:rsidRDefault="00024216" w:rsidP="00332C4C">
            <w:pPr>
              <w:jc w:val="both"/>
              <w:rPr>
                <w:sz w:val="12"/>
                <w:szCs w:val="12"/>
              </w:rPr>
            </w:pPr>
            <w:r w:rsidRPr="00332C4C">
              <w:rPr>
                <w:sz w:val="12"/>
                <w:szCs w:val="12"/>
              </w:rPr>
              <w:t>Área</w:t>
            </w:r>
          </w:p>
        </w:tc>
        <w:tc>
          <w:tcPr>
            <w:tcW w:w="3421" w:type="dxa"/>
          </w:tcPr>
          <w:p w14:paraId="4E78932B" w14:textId="77777777" w:rsidR="00024216" w:rsidRPr="00332C4C" w:rsidRDefault="00024216" w:rsidP="00332C4C">
            <w:pPr>
              <w:jc w:val="both"/>
              <w:cnfStyle w:val="000000000000" w:firstRow="0" w:lastRow="0" w:firstColumn="0" w:lastColumn="0" w:oddVBand="0" w:evenVBand="0" w:oddHBand="0" w:evenHBand="0" w:firstRowFirstColumn="0" w:firstRowLastColumn="0" w:lastRowFirstColumn="0" w:lastRowLastColumn="0"/>
              <w:rPr>
                <w:sz w:val="12"/>
                <w:szCs w:val="12"/>
              </w:rPr>
            </w:pPr>
            <w:r w:rsidRPr="00332C4C">
              <w:rPr>
                <w:sz w:val="12"/>
                <w:szCs w:val="12"/>
              </w:rPr>
              <w:t>Se señalará el nombre del área del cual es titular quien clasifica.</w:t>
            </w:r>
          </w:p>
        </w:tc>
        <w:tc>
          <w:tcPr>
            <w:tcW w:w="968" w:type="dxa"/>
          </w:tcPr>
          <w:p w14:paraId="02B2BD54" w14:textId="77777777" w:rsidR="00024216" w:rsidRPr="00332C4C" w:rsidRDefault="00024216" w:rsidP="00332C4C">
            <w:pPr>
              <w:jc w:val="both"/>
              <w:cnfStyle w:val="000000000000" w:firstRow="0" w:lastRow="0" w:firstColumn="0" w:lastColumn="0" w:oddVBand="0" w:evenVBand="0" w:oddHBand="0" w:evenHBand="0" w:firstRowFirstColumn="0" w:firstRowLastColumn="0" w:lastRowFirstColumn="0" w:lastRowLastColumn="0"/>
              <w:rPr>
                <w:b/>
                <w:sz w:val="12"/>
                <w:szCs w:val="12"/>
              </w:rPr>
            </w:pPr>
            <w:r w:rsidRPr="00332C4C">
              <w:rPr>
                <w:b/>
                <w:sz w:val="12"/>
                <w:szCs w:val="12"/>
              </w:rPr>
              <w:t>Área</w:t>
            </w:r>
          </w:p>
        </w:tc>
        <w:tc>
          <w:tcPr>
            <w:tcW w:w="3446" w:type="dxa"/>
          </w:tcPr>
          <w:p w14:paraId="1E15F7CA" w14:textId="77777777" w:rsidR="00024216" w:rsidRPr="00332C4C" w:rsidRDefault="00024216" w:rsidP="00332C4C">
            <w:pPr>
              <w:jc w:val="both"/>
              <w:cnfStyle w:val="000000000000" w:firstRow="0" w:lastRow="0" w:firstColumn="0" w:lastColumn="0" w:oddVBand="0" w:evenVBand="0" w:oddHBand="0" w:evenHBand="0" w:firstRowFirstColumn="0" w:firstRowLastColumn="0" w:lastRowFirstColumn="0" w:lastRowLastColumn="0"/>
              <w:rPr>
                <w:sz w:val="12"/>
                <w:szCs w:val="12"/>
              </w:rPr>
            </w:pPr>
            <w:r w:rsidRPr="00332C4C">
              <w:rPr>
                <w:sz w:val="12"/>
                <w:szCs w:val="12"/>
              </w:rPr>
              <w:t>Se señalará el nombre del área de la cual es el titular quien clasifica.</w:t>
            </w:r>
          </w:p>
        </w:tc>
      </w:tr>
      <w:tr w:rsidR="00024216" w:rsidRPr="00332C4C" w14:paraId="3DB4DD1C" w14:textId="77777777" w:rsidTr="005E54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7C926C4E" w14:textId="77777777" w:rsidR="00024216" w:rsidRPr="00332C4C" w:rsidRDefault="00024216" w:rsidP="00332C4C">
            <w:pPr>
              <w:jc w:val="both"/>
              <w:rPr>
                <w:sz w:val="12"/>
                <w:szCs w:val="12"/>
              </w:rPr>
            </w:pPr>
            <w:r w:rsidRPr="00332C4C">
              <w:rPr>
                <w:sz w:val="12"/>
                <w:szCs w:val="12"/>
              </w:rPr>
              <w:lastRenderedPageBreak/>
              <w:t>Información reservada</w:t>
            </w:r>
          </w:p>
        </w:tc>
        <w:tc>
          <w:tcPr>
            <w:tcW w:w="3421" w:type="dxa"/>
          </w:tcPr>
          <w:p w14:paraId="1851EFD6" w14:textId="77777777" w:rsidR="00024216" w:rsidRPr="00332C4C" w:rsidRDefault="00024216" w:rsidP="00332C4C">
            <w:pPr>
              <w:jc w:val="both"/>
              <w:cnfStyle w:val="000000100000" w:firstRow="0" w:lastRow="0" w:firstColumn="0" w:lastColumn="0" w:oddVBand="0" w:evenVBand="0" w:oddHBand="1" w:evenHBand="0" w:firstRowFirstColumn="0" w:firstRowLastColumn="0" w:lastRowFirstColumn="0" w:lastRowLastColumn="0"/>
              <w:rPr>
                <w:sz w:val="12"/>
                <w:szCs w:val="12"/>
              </w:rPr>
            </w:pPr>
            <w:r w:rsidRPr="00332C4C">
              <w:rPr>
                <w:sz w:val="12"/>
                <w:szCs w:val="12"/>
              </w:rPr>
              <w:t>Se indicarán, en su caso, las partes o páginas del documento que se clasifican como reservadas. Si el documento fuera reservado en su totalidad, se anotarán todas las páginas que lo conforman. Si el documento no contiene información reservada, se tachará este apartado.</w:t>
            </w:r>
          </w:p>
        </w:tc>
        <w:tc>
          <w:tcPr>
            <w:tcW w:w="968" w:type="dxa"/>
          </w:tcPr>
          <w:p w14:paraId="1A6AB631" w14:textId="77777777" w:rsidR="00024216" w:rsidRPr="00332C4C" w:rsidRDefault="00024216" w:rsidP="00332C4C">
            <w:pPr>
              <w:jc w:val="both"/>
              <w:cnfStyle w:val="000000100000" w:firstRow="0" w:lastRow="0" w:firstColumn="0" w:lastColumn="0" w:oddVBand="0" w:evenVBand="0" w:oddHBand="1" w:evenHBand="0" w:firstRowFirstColumn="0" w:firstRowLastColumn="0" w:lastRowFirstColumn="0" w:lastRowLastColumn="0"/>
              <w:rPr>
                <w:b/>
                <w:sz w:val="12"/>
                <w:szCs w:val="12"/>
              </w:rPr>
            </w:pPr>
            <w:r w:rsidRPr="00332C4C">
              <w:rPr>
                <w:b/>
                <w:sz w:val="12"/>
                <w:szCs w:val="12"/>
              </w:rPr>
              <w:t>Reservado</w:t>
            </w:r>
          </w:p>
        </w:tc>
        <w:tc>
          <w:tcPr>
            <w:tcW w:w="3446" w:type="dxa"/>
          </w:tcPr>
          <w:p w14:paraId="0ADC3A4A" w14:textId="77777777" w:rsidR="00024216" w:rsidRPr="00332C4C" w:rsidRDefault="00024216" w:rsidP="00332C4C">
            <w:pPr>
              <w:jc w:val="both"/>
              <w:cnfStyle w:val="000000100000" w:firstRow="0" w:lastRow="0" w:firstColumn="0" w:lastColumn="0" w:oddVBand="0" w:evenVBand="0" w:oddHBand="1" w:evenHBand="0" w:firstRowFirstColumn="0" w:firstRowLastColumn="0" w:lastRowFirstColumn="0" w:lastRowLastColumn="0"/>
              <w:rPr>
                <w:sz w:val="12"/>
                <w:szCs w:val="12"/>
              </w:rPr>
            </w:pPr>
            <w:r w:rsidRPr="00332C4C">
              <w:rPr>
                <w:sz w:val="12"/>
                <w:szCs w:val="12"/>
              </w:rPr>
              <w:t>Leyenda de información RESERVADA.</w:t>
            </w:r>
          </w:p>
        </w:tc>
      </w:tr>
      <w:tr w:rsidR="00024216" w:rsidRPr="00332C4C" w14:paraId="4626233E" w14:textId="77777777" w:rsidTr="005E54FC">
        <w:tc>
          <w:tcPr>
            <w:cnfStyle w:val="001000000000" w:firstRow="0" w:lastRow="0" w:firstColumn="1" w:lastColumn="0" w:oddVBand="0" w:evenVBand="0" w:oddHBand="0" w:evenHBand="0" w:firstRowFirstColumn="0" w:firstRowLastColumn="0" w:lastRowFirstColumn="0" w:lastRowLastColumn="0"/>
            <w:tcW w:w="993" w:type="dxa"/>
          </w:tcPr>
          <w:p w14:paraId="5E9345CD" w14:textId="77777777" w:rsidR="00024216" w:rsidRPr="00332C4C" w:rsidRDefault="00024216" w:rsidP="00332C4C">
            <w:pPr>
              <w:jc w:val="both"/>
              <w:rPr>
                <w:sz w:val="12"/>
                <w:szCs w:val="12"/>
              </w:rPr>
            </w:pPr>
            <w:r w:rsidRPr="00332C4C">
              <w:rPr>
                <w:sz w:val="12"/>
                <w:szCs w:val="12"/>
              </w:rPr>
              <w:t>Fundamento legal</w:t>
            </w:r>
          </w:p>
        </w:tc>
        <w:tc>
          <w:tcPr>
            <w:tcW w:w="3421" w:type="dxa"/>
          </w:tcPr>
          <w:p w14:paraId="52E9A004" w14:textId="77777777" w:rsidR="00024216" w:rsidRPr="00332C4C" w:rsidRDefault="00024216" w:rsidP="00332C4C">
            <w:pPr>
              <w:jc w:val="both"/>
              <w:cnfStyle w:val="000000000000" w:firstRow="0" w:lastRow="0" w:firstColumn="0" w:lastColumn="0" w:oddVBand="0" w:evenVBand="0" w:oddHBand="0" w:evenHBand="0" w:firstRowFirstColumn="0" w:firstRowLastColumn="0" w:lastRowFirstColumn="0" w:lastRowLastColumn="0"/>
              <w:rPr>
                <w:sz w:val="12"/>
                <w:szCs w:val="12"/>
              </w:rPr>
            </w:pPr>
            <w:r w:rsidRPr="00332C4C">
              <w:rPr>
                <w:sz w:val="12"/>
                <w:szCs w:val="12"/>
              </w:rPr>
              <w:t>Se señalará el nombre del ordenamiento, el o los artículos, fracción(es), párrafo(s) con base en los cuales se sustente la reserva.</w:t>
            </w:r>
          </w:p>
        </w:tc>
        <w:tc>
          <w:tcPr>
            <w:tcW w:w="968" w:type="dxa"/>
          </w:tcPr>
          <w:p w14:paraId="67AC8B6C" w14:textId="77777777" w:rsidR="00024216" w:rsidRPr="00332C4C" w:rsidRDefault="00024216" w:rsidP="00332C4C">
            <w:pPr>
              <w:jc w:val="both"/>
              <w:cnfStyle w:val="000000000000" w:firstRow="0" w:lastRow="0" w:firstColumn="0" w:lastColumn="0" w:oddVBand="0" w:evenVBand="0" w:oddHBand="0" w:evenHBand="0" w:firstRowFirstColumn="0" w:firstRowLastColumn="0" w:lastRowFirstColumn="0" w:lastRowLastColumn="0"/>
              <w:rPr>
                <w:b/>
                <w:sz w:val="12"/>
                <w:szCs w:val="12"/>
              </w:rPr>
            </w:pPr>
            <w:r w:rsidRPr="00332C4C">
              <w:rPr>
                <w:b/>
                <w:sz w:val="12"/>
                <w:szCs w:val="12"/>
              </w:rPr>
              <w:t>Periodo de reserva</w:t>
            </w:r>
          </w:p>
        </w:tc>
        <w:tc>
          <w:tcPr>
            <w:tcW w:w="3446" w:type="dxa"/>
          </w:tcPr>
          <w:p w14:paraId="616DA37F" w14:textId="77777777" w:rsidR="00024216" w:rsidRPr="00332C4C" w:rsidRDefault="00024216" w:rsidP="00332C4C">
            <w:pPr>
              <w:jc w:val="both"/>
              <w:cnfStyle w:val="000000000000" w:firstRow="0" w:lastRow="0" w:firstColumn="0" w:lastColumn="0" w:oddVBand="0" w:evenVBand="0" w:oddHBand="0" w:evenHBand="0" w:firstRowFirstColumn="0" w:firstRowLastColumn="0" w:lastRowFirstColumn="0" w:lastRowLastColumn="0"/>
              <w:rPr>
                <w:sz w:val="12"/>
                <w:szCs w:val="12"/>
              </w:rPr>
            </w:pPr>
            <w:r w:rsidRPr="00332C4C">
              <w:rPr>
                <w:sz w:val="12"/>
                <w:szCs w:val="12"/>
              </w:rPr>
              <w:t>Se anotará el número de años o meses por los que se mantendrá el documento o las partes del mismo como reservado. Si el expediente no es reservado, sino confidencial, deberá tacharse este apartado.</w:t>
            </w:r>
          </w:p>
        </w:tc>
      </w:tr>
      <w:tr w:rsidR="00024216" w:rsidRPr="00332C4C" w14:paraId="7B9E7AA1" w14:textId="77777777" w:rsidTr="005E54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4022CEC6" w14:textId="77777777" w:rsidR="00024216" w:rsidRPr="00332C4C" w:rsidRDefault="00024216" w:rsidP="00332C4C">
            <w:pPr>
              <w:jc w:val="both"/>
              <w:rPr>
                <w:sz w:val="12"/>
                <w:szCs w:val="12"/>
              </w:rPr>
            </w:pPr>
            <w:r w:rsidRPr="00332C4C">
              <w:rPr>
                <w:sz w:val="12"/>
                <w:szCs w:val="12"/>
              </w:rPr>
              <w:t>Ampliación del periodo de reserva</w:t>
            </w:r>
          </w:p>
        </w:tc>
        <w:tc>
          <w:tcPr>
            <w:tcW w:w="3421" w:type="dxa"/>
          </w:tcPr>
          <w:p w14:paraId="12636630" w14:textId="77777777" w:rsidR="00024216" w:rsidRPr="00332C4C" w:rsidRDefault="00024216" w:rsidP="00332C4C">
            <w:pPr>
              <w:jc w:val="both"/>
              <w:cnfStyle w:val="000000100000" w:firstRow="0" w:lastRow="0" w:firstColumn="0" w:lastColumn="0" w:oddVBand="0" w:evenVBand="0" w:oddHBand="1" w:evenHBand="0" w:firstRowFirstColumn="0" w:firstRowLastColumn="0" w:lastRowFirstColumn="0" w:lastRowLastColumn="0"/>
              <w:rPr>
                <w:sz w:val="12"/>
                <w:szCs w:val="12"/>
              </w:rPr>
            </w:pPr>
            <w:r w:rsidRPr="00332C4C">
              <w:rPr>
                <w:sz w:val="12"/>
                <w:szCs w:val="12"/>
              </w:rPr>
              <w:t>En caso de haber solicitado la ampliación del periodo de reserva originalmente establecido, se deberá anotar el número de años o meses por los que se amplía la reserva.</w:t>
            </w:r>
          </w:p>
        </w:tc>
        <w:tc>
          <w:tcPr>
            <w:tcW w:w="968" w:type="dxa"/>
          </w:tcPr>
          <w:p w14:paraId="0A53F444" w14:textId="77777777" w:rsidR="00024216" w:rsidRPr="00332C4C" w:rsidRDefault="00024216" w:rsidP="00332C4C">
            <w:pPr>
              <w:jc w:val="both"/>
              <w:cnfStyle w:val="000000100000" w:firstRow="0" w:lastRow="0" w:firstColumn="0" w:lastColumn="0" w:oddVBand="0" w:evenVBand="0" w:oddHBand="1" w:evenHBand="0" w:firstRowFirstColumn="0" w:firstRowLastColumn="0" w:lastRowFirstColumn="0" w:lastRowLastColumn="0"/>
              <w:rPr>
                <w:b/>
                <w:sz w:val="12"/>
                <w:szCs w:val="12"/>
              </w:rPr>
            </w:pPr>
            <w:r w:rsidRPr="00332C4C">
              <w:rPr>
                <w:b/>
                <w:sz w:val="12"/>
                <w:szCs w:val="12"/>
              </w:rPr>
              <w:t>Fundamento legal</w:t>
            </w:r>
          </w:p>
        </w:tc>
        <w:tc>
          <w:tcPr>
            <w:tcW w:w="3446" w:type="dxa"/>
          </w:tcPr>
          <w:p w14:paraId="51CE8A5A" w14:textId="77777777" w:rsidR="00024216" w:rsidRPr="00332C4C" w:rsidRDefault="00024216" w:rsidP="00332C4C">
            <w:pPr>
              <w:jc w:val="both"/>
              <w:cnfStyle w:val="000000100000" w:firstRow="0" w:lastRow="0" w:firstColumn="0" w:lastColumn="0" w:oddVBand="0" w:evenVBand="0" w:oddHBand="1" w:evenHBand="0" w:firstRowFirstColumn="0" w:firstRowLastColumn="0" w:lastRowFirstColumn="0" w:lastRowLastColumn="0"/>
              <w:rPr>
                <w:sz w:val="12"/>
                <w:szCs w:val="12"/>
              </w:rPr>
            </w:pPr>
            <w:r w:rsidRPr="00332C4C">
              <w:rPr>
                <w:sz w:val="12"/>
                <w:szCs w:val="12"/>
              </w:rPr>
              <w:t>Se señalará el nombre del o de los ordenamientos jurídicos, el o los artículos, fracción(es), párrafo(s) con base en los cuales se sustenta la reserva.</w:t>
            </w:r>
          </w:p>
        </w:tc>
      </w:tr>
      <w:tr w:rsidR="00024216" w:rsidRPr="00332C4C" w14:paraId="577C199F" w14:textId="77777777" w:rsidTr="005E54FC">
        <w:tc>
          <w:tcPr>
            <w:cnfStyle w:val="001000000000" w:firstRow="0" w:lastRow="0" w:firstColumn="1" w:lastColumn="0" w:oddVBand="0" w:evenVBand="0" w:oddHBand="0" w:evenHBand="0" w:firstRowFirstColumn="0" w:firstRowLastColumn="0" w:lastRowFirstColumn="0" w:lastRowLastColumn="0"/>
            <w:tcW w:w="993" w:type="dxa"/>
          </w:tcPr>
          <w:p w14:paraId="09D36DD3" w14:textId="77777777" w:rsidR="00024216" w:rsidRPr="00332C4C" w:rsidRDefault="00024216" w:rsidP="00332C4C">
            <w:pPr>
              <w:jc w:val="both"/>
              <w:rPr>
                <w:sz w:val="12"/>
                <w:szCs w:val="12"/>
              </w:rPr>
            </w:pPr>
            <w:r w:rsidRPr="00332C4C">
              <w:rPr>
                <w:sz w:val="12"/>
                <w:szCs w:val="12"/>
              </w:rPr>
              <w:t>Confidencial</w:t>
            </w:r>
          </w:p>
        </w:tc>
        <w:tc>
          <w:tcPr>
            <w:tcW w:w="3421" w:type="dxa"/>
          </w:tcPr>
          <w:p w14:paraId="0F28EA88" w14:textId="77777777" w:rsidR="00024216" w:rsidRPr="00332C4C" w:rsidRDefault="00024216" w:rsidP="00332C4C">
            <w:pPr>
              <w:jc w:val="both"/>
              <w:cnfStyle w:val="000000000000" w:firstRow="0" w:lastRow="0" w:firstColumn="0" w:lastColumn="0" w:oddVBand="0" w:evenVBand="0" w:oddHBand="0" w:evenHBand="0" w:firstRowFirstColumn="0" w:firstRowLastColumn="0" w:lastRowFirstColumn="0" w:lastRowLastColumn="0"/>
              <w:rPr>
                <w:sz w:val="12"/>
                <w:szCs w:val="12"/>
              </w:rPr>
            </w:pPr>
            <w:r w:rsidRPr="00332C4C">
              <w:rPr>
                <w:sz w:val="12"/>
                <w:szCs w:val="12"/>
              </w:rPr>
              <w:t>Se indicarán, en su caso, las partes o páginas del documento que se clasifica como confidencial. Si el documento fuera confidencial en su totalidad, se anotarán todas las páginas que lo conforman. Si el documento no contiene información confidencial, se tachará este apartado.</w:t>
            </w:r>
          </w:p>
        </w:tc>
        <w:tc>
          <w:tcPr>
            <w:tcW w:w="968" w:type="dxa"/>
          </w:tcPr>
          <w:p w14:paraId="2FBA23B2" w14:textId="77777777" w:rsidR="00024216" w:rsidRPr="00332C4C" w:rsidRDefault="00024216" w:rsidP="00332C4C">
            <w:pPr>
              <w:jc w:val="both"/>
              <w:cnfStyle w:val="000000000000" w:firstRow="0" w:lastRow="0" w:firstColumn="0" w:lastColumn="0" w:oddVBand="0" w:evenVBand="0" w:oddHBand="0" w:evenHBand="0" w:firstRowFirstColumn="0" w:firstRowLastColumn="0" w:lastRowFirstColumn="0" w:lastRowLastColumn="0"/>
              <w:rPr>
                <w:b/>
                <w:sz w:val="12"/>
                <w:szCs w:val="12"/>
              </w:rPr>
            </w:pPr>
            <w:r w:rsidRPr="00332C4C">
              <w:rPr>
                <w:b/>
                <w:sz w:val="12"/>
                <w:szCs w:val="12"/>
              </w:rPr>
              <w:t>Ampliación del periodo de reserva</w:t>
            </w:r>
          </w:p>
        </w:tc>
        <w:tc>
          <w:tcPr>
            <w:tcW w:w="3446" w:type="dxa"/>
          </w:tcPr>
          <w:p w14:paraId="12F837A9" w14:textId="77777777" w:rsidR="00024216" w:rsidRPr="00332C4C" w:rsidRDefault="00024216" w:rsidP="00332C4C">
            <w:pPr>
              <w:jc w:val="both"/>
              <w:cnfStyle w:val="000000000000" w:firstRow="0" w:lastRow="0" w:firstColumn="0" w:lastColumn="0" w:oddVBand="0" w:evenVBand="0" w:oddHBand="0" w:evenHBand="0" w:firstRowFirstColumn="0" w:firstRowLastColumn="0" w:lastRowFirstColumn="0" w:lastRowLastColumn="0"/>
              <w:rPr>
                <w:sz w:val="12"/>
                <w:szCs w:val="12"/>
              </w:rPr>
            </w:pPr>
            <w:r w:rsidRPr="00332C4C">
              <w:rPr>
                <w:sz w:val="12"/>
                <w:szCs w:val="12"/>
              </w:rPr>
              <w:t>En caso de haber solicitado la ampliación del periodo de reserva originalmente establecido, se deberá anotar el número de años o meses por los que se amplía la reserva.</w:t>
            </w:r>
          </w:p>
        </w:tc>
      </w:tr>
      <w:tr w:rsidR="00024216" w:rsidRPr="00332C4C" w14:paraId="77BC4DCB" w14:textId="77777777" w:rsidTr="005E54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4EEFD0B0" w14:textId="77777777" w:rsidR="00024216" w:rsidRPr="00332C4C" w:rsidRDefault="00024216" w:rsidP="00332C4C">
            <w:pPr>
              <w:jc w:val="both"/>
              <w:rPr>
                <w:sz w:val="12"/>
                <w:szCs w:val="12"/>
              </w:rPr>
            </w:pPr>
            <w:r w:rsidRPr="00332C4C">
              <w:rPr>
                <w:sz w:val="12"/>
                <w:szCs w:val="12"/>
              </w:rPr>
              <w:t>Fundamento legal</w:t>
            </w:r>
          </w:p>
        </w:tc>
        <w:tc>
          <w:tcPr>
            <w:tcW w:w="3421" w:type="dxa"/>
          </w:tcPr>
          <w:p w14:paraId="6125C74D" w14:textId="77777777" w:rsidR="00024216" w:rsidRPr="00332C4C" w:rsidRDefault="00024216" w:rsidP="00332C4C">
            <w:pPr>
              <w:jc w:val="both"/>
              <w:cnfStyle w:val="000000100000" w:firstRow="0" w:lastRow="0" w:firstColumn="0" w:lastColumn="0" w:oddVBand="0" w:evenVBand="0" w:oddHBand="1" w:evenHBand="0" w:firstRowFirstColumn="0" w:firstRowLastColumn="0" w:lastRowFirstColumn="0" w:lastRowLastColumn="0"/>
              <w:rPr>
                <w:sz w:val="12"/>
                <w:szCs w:val="12"/>
              </w:rPr>
            </w:pPr>
            <w:r w:rsidRPr="00332C4C">
              <w:rPr>
                <w:sz w:val="12"/>
                <w:szCs w:val="12"/>
              </w:rPr>
              <w:t>Se señalará el nombre del ordenamiento, el o los artículos, fracción(es), párrafo(s) con base en los cuales se sustente la confidencialidad.</w:t>
            </w:r>
          </w:p>
        </w:tc>
        <w:tc>
          <w:tcPr>
            <w:tcW w:w="968" w:type="dxa"/>
          </w:tcPr>
          <w:p w14:paraId="015BCD3D" w14:textId="77777777" w:rsidR="00024216" w:rsidRPr="00332C4C" w:rsidRDefault="00024216" w:rsidP="00332C4C">
            <w:pPr>
              <w:jc w:val="both"/>
              <w:cnfStyle w:val="000000100000" w:firstRow="0" w:lastRow="0" w:firstColumn="0" w:lastColumn="0" w:oddVBand="0" w:evenVBand="0" w:oddHBand="1" w:evenHBand="0" w:firstRowFirstColumn="0" w:firstRowLastColumn="0" w:lastRowFirstColumn="0" w:lastRowLastColumn="0"/>
              <w:rPr>
                <w:b/>
                <w:sz w:val="12"/>
                <w:szCs w:val="12"/>
              </w:rPr>
            </w:pPr>
            <w:r w:rsidRPr="00332C4C">
              <w:rPr>
                <w:b/>
                <w:sz w:val="12"/>
                <w:szCs w:val="12"/>
              </w:rPr>
              <w:t>Confidencial</w:t>
            </w:r>
          </w:p>
        </w:tc>
        <w:tc>
          <w:tcPr>
            <w:tcW w:w="3446" w:type="dxa"/>
          </w:tcPr>
          <w:p w14:paraId="39DD3EBB" w14:textId="77777777" w:rsidR="00024216" w:rsidRPr="00332C4C" w:rsidRDefault="00024216" w:rsidP="00332C4C">
            <w:pPr>
              <w:jc w:val="both"/>
              <w:cnfStyle w:val="000000100000" w:firstRow="0" w:lastRow="0" w:firstColumn="0" w:lastColumn="0" w:oddVBand="0" w:evenVBand="0" w:oddHBand="1" w:evenHBand="0" w:firstRowFirstColumn="0" w:firstRowLastColumn="0" w:lastRowFirstColumn="0" w:lastRowLastColumn="0"/>
              <w:rPr>
                <w:sz w:val="12"/>
                <w:szCs w:val="12"/>
              </w:rPr>
            </w:pPr>
            <w:r w:rsidRPr="00332C4C">
              <w:rPr>
                <w:sz w:val="12"/>
                <w:szCs w:val="12"/>
              </w:rPr>
              <w:t>Leyenda de información CONFIDENCIAL.</w:t>
            </w:r>
          </w:p>
        </w:tc>
      </w:tr>
      <w:tr w:rsidR="00024216" w:rsidRPr="00332C4C" w14:paraId="7DB0FAE7" w14:textId="77777777" w:rsidTr="005E54FC">
        <w:tc>
          <w:tcPr>
            <w:cnfStyle w:val="001000000000" w:firstRow="0" w:lastRow="0" w:firstColumn="1" w:lastColumn="0" w:oddVBand="0" w:evenVBand="0" w:oddHBand="0" w:evenHBand="0" w:firstRowFirstColumn="0" w:firstRowLastColumn="0" w:lastRowFirstColumn="0" w:lastRowLastColumn="0"/>
            <w:tcW w:w="993" w:type="dxa"/>
          </w:tcPr>
          <w:p w14:paraId="0E016374" w14:textId="77777777" w:rsidR="00024216" w:rsidRPr="00332C4C" w:rsidRDefault="00024216" w:rsidP="00332C4C">
            <w:pPr>
              <w:jc w:val="both"/>
              <w:rPr>
                <w:sz w:val="12"/>
                <w:szCs w:val="12"/>
              </w:rPr>
            </w:pPr>
            <w:r w:rsidRPr="00332C4C">
              <w:rPr>
                <w:sz w:val="12"/>
                <w:szCs w:val="12"/>
              </w:rPr>
              <w:t>Rúbrica del titular del área</w:t>
            </w:r>
          </w:p>
        </w:tc>
        <w:tc>
          <w:tcPr>
            <w:tcW w:w="3421" w:type="dxa"/>
          </w:tcPr>
          <w:p w14:paraId="6651129C" w14:textId="77777777" w:rsidR="00024216" w:rsidRPr="00332C4C" w:rsidRDefault="00024216" w:rsidP="00332C4C">
            <w:pPr>
              <w:jc w:val="both"/>
              <w:cnfStyle w:val="000000000000" w:firstRow="0" w:lastRow="0" w:firstColumn="0" w:lastColumn="0" w:oddVBand="0" w:evenVBand="0" w:oddHBand="0" w:evenHBand="0" w:firstRowFirstColumn="0" w:firstRowLastColumn="0" w:lastRowFirstColumn="0" w:lastRowLastColumn="0"/>
              <w:rPr>
                <w:sz w:val="12"/>
                <w:szCs w:val="12"/>
              </w:rPr>
            </w:pPr>
            <w:r w:rsidRPr="00332C4C">
              <w:rPr>
                <w:sz w:val="12"/>
                <w:szCs w:val="12"/>
              </w:rPr>
              <w:t>Rúbrica autógrafa de quien clasifica.</w:t>
            </w:r>
          </w:p>
        </w:tc>
        <w:tc>
          <w:tcPr>
            <w:tcW w:w="968" w:type="dxa"/>
          </w:tcPr>
          <w:p w14:paraId="4F43D0B9" w14:textId="77777777" w:rsidR="00024216" w:rsidRPr="00332C4C" w:rsidRDefault="00024216" w:rsidP="00332C4C">
            <w:pPr>
              <w:jc w:val="both"/>
              <w:cnfStyle w:val="000000000000" w:firstRow="0" w:lastRow="0" w:firstColumn="0" w:lastColumn="0" w:oddVBand="0" w:evenVBand="0" w:oddHBand="0" w:evenHBand="0" w:firstRowFirstColumn="0" w:firstRowLastColumn="0" w:lastRowFirstColumn="0" w:lastRowLastColumn="0"/>
              <w:rPr>
                <w:b/>
                <w:sz w:val="12"/>
                <w:szCs w:val="12"/>
              </w:rPr>
            </w:pPr>
            <w:r w:rsidRPr="00332C4C">
              <w:rPr>
                <w:b/>
                <w:sz w:val="12"/>
                <w:szCs w:val="12"/>
              </w:rPr>
              <w:t>Fundamento legal</w:t>
            </w:r>
          </w:p>
        </w:tc>
        <w:tc>
          <w:tcPr>
            <w:tcW w:w="3446" w:type="dxa"/>
          </w:tcPr>
          <w:p w14:paraId="77AB322E" w14:textId="77777777" w:rsidR="00024216" w:rsidRPr="00332C4C" w:rsidRDefault="00024216" w:rsidP="00332C4C">
            <w:pPr>
              <w:jc w:val="both"/>
              <w:cnfStyle w:val="000000000000" w:firstRow="0" w:lastRow="0" w:firstColumn="0" w:lastColumn="0" w:oddVBand="0" w:evenVBand="0" w:oddHBand="0" w:evenHBand="0" w:firstRowFirstColumn="0" w:firstRowLastColumn="0" w:lastRowFirstColumn="0" w:lastRowLastColumn="0"/>
              <w:rPr>
                <w:sz w:val="12"/>
                <w:szCs w:val="12"/>
              </w:rPr>
            </w:pPr>
            <w:r w:rsidRPr="00332C4C">
              <w:rPr>
                <w:sz w:val="12"/>
                <w:szCs w:val="12"/>
              </w:rPr>
              <w:t>Se señalará el nombre del o de los ordenamientos jurídicos, el o los artículos, fracción(es), párrafo(s) con base en los cuales se sustente la confidencialidad.</w:t>
            </w:r>
          </w:p>
        </w:tc>
      </w:tr>
      <w:tr w:rsidR="00024216" w:rsidRPr="00332C4C" w14:paraId="4EF0E3A3" w14:textId="77777777" w:rsidTr="005E54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09967B37" w14:textId="77777777" w:rsidR="00024216" w:rsidRPr="00332C4C" w:rsidRDefault="00024216" w:rsidP="00332C4C">
            <w:pPr>
              <w:jc w:val="both"/>
              <w:rPr>
                <w:sz w:val="12"/>
                <w:szCs w:val="12"/>
              </w:rPr>
            </w:pPr>
            <w:r w:rsidRPr="00332C4C">
              <w:rPr>
                <w:sz w:val="12"/>
                <w:szCs w:val="12"/>
              </w:rPr>
              <w:t>Fecha de desclasificación</w:t>
            </w:r>
          </w:p>
        </w:tc>
        <w:tc>
          <w:tcPr>
            <w:tcW w:w="3421" w:type="dxa"/>
          </w:tcPr>
          <w:p w14:paraId="6D0193DE" w14:textId="77777777" w:rsidR="00024216" w:rsidRPr="00332C4C" w:rsidRDefault="00024216" w:rsidP="00332C4C">
            <w:pPr>
              <w:jc w:val="both"/>
              <w:cnfStyle w:val="000000100000" w:firstRow="0" w:lastRow="0" w:firstColumn="0" w:lastColumn="0" w:oddVBand="0" w:evenVBand="0" w:oddHBand="1" w:evenHBand="0" w:firstRowFirstColumn="0" w:firstRowLastColumn="0" w:lastRowFirstColumn="0" w:lastRowLastColumn="0"/>
              <w:rPr>
                <w:sz w:val="12"/>
                <w:szCs w:val="12"/>
              </w:rPr>
            </w:pPr>
            <w:r w:rsidRPr="00332C4C">
              <w:rPr>
                <w:sz w:val="12"/>
                <w:szCs w:val="12"/>
              </w:rPr>
              <w:t>Se anotará la fecha en que se desclasifica el documento.</w:t>
            </w:r>
          </w:p>
        </w:tc>
        <w:tc>
          <w:tcPr>
            <w:tcW w:w="968" w:type="dxa"/>
          </w:tcPr>
          <w:p w14:paraId="70928FE6" w14:textId="77777777" w:rsidR="00024216" w:rsidRPr="00332C4C" w:rsidRDefault="00024216" w:rsidP="00332C4C">
            <w:pPr>
              <w:jc w:val="both"/>
              <w:cnfStyle w:val="000000100000" w:firstRow="0" w:lastRow="0" w:firstColumn="0" w:lastColumn="0" w:oddVBand="0" w:evenVBand="0" w:oddHBand="1" w:evenHBand="0" w:firstRowFirstColumn="0" w:firstRowLastColumn="0" w:lastRowFirstColumn="0" w:lastRowLastColumn="0"/>
              <w:rPr>
                <w:b/>
                <w:sz w:val="12"/>
                <w:szCs w:val="12"/>
              </w:rPr>
            </w:pPr>
            <w:r w:rsidRPr="00332C4C">
              <w:rPr>
                <w:b/>
                <w:sz w:val="12"/>
                <w:szCs w:val="12"/>
              </w:rPr>
              <w:t>Rúbrica del titular del área</w:t>
            </w:r>
          </w:p>
        </w:tc>
        <w:tc>
          <w:tcPr>
            <w:tcW w:w="3446" w:type="dxa"/>
          </w:tcPr>
          <w:p w14:paraId="41A76C41" w14:textId="77777777" w:rsidR="00024216" w:rsidRPr="00332C4C" w:rsidRDefault="00024216" w:rsidP="00332C4C">
            <w:pPr>
              <w:jc w:val="both"/>
              <w:cnfStyle w:val="000000100000" w:firstRow="0" w:lastRow="0" w:firstColumn="0" w:lastColumn="0" w:oddVBand="0" w:evenVBand="0" w:oddHBand="1" w:evenHBand="0" w:firstRowFirstColumn="0" w:firstRowLastColumn="0" w:lastRowFirstColumn="0" w:lastRowLastColumn="0"/>
              <w:rPr>
                <w:sz w:val="12"/>
                <w:szCs w:val="12"/>
              </w:rPr>
            </w:pPr>
            <w:r w:rsidRPr="00332C4C">
              <w:rPr>
                <w:sz w:val="12"/>
                <w:szCs w:val="12"/>
              </w:rPr>
              <w:t>Rúbrica autógrafa de quien clasifica.</w:t>
            </w:r>
          </w:p>
        </w:tc>
      </w:tr>
      <w:tr w:rsidR="00024216" w:rsidRPr="00332C4C" w14:paraId="10B95B31" w14:textId="77777777" w:rsidTr="005E54FC">
        <w:tc>
          <w:tcPr>
            <w:cnfStyle w:val="001000000000" w:firstRow="0" w:lastRow="0" w:firstColumn="1" w:lastColumn="0" w:oddVBand="0" w:evenVBand="0" w:oddHBand="0" w:evenHBand="0" w:firstRowFirstColumn="0" w:firstRowLastColumn="0" w:lastRowFirstColumn="0" w:lastRowLastColumn="0"/>
            <w:tcW w:w="993" w:type="dxa"/>
          </w:tcPr>
          <w:p w14:paraId="0A59BEE2" w14:textId="77777777" w:rsidR="00024216" w:rsidRPr="00332C4C" w:rsidRDefault="00024216" w:rsidP="00332C4C">
            <w:pPr>
              <w:jc w:val="both"/>
              <w:rPr>
                <w:sz w:val="12"/>
                <w:szCs w:val="12"/>
              </w:rPr>
            </w:pPr>
            <w:r w:rsidRPr="00332C4C">
              <w:rPr>
                <w:sz w:val="12"/>
                <w:szCs w:val="12"/>
              </w:rPr>
              <w:t>Rúbrica y cargo del servidor público</w:t>
            </w:r>
          </w:p>
        </w:tc>
        <w:tc>
          <w:tcPr>
            <w:tcW w:w="3421" w:type="dxa"/>
          </w:tcPr>
          <w:p w14:paraId="2FFC8F56" w14:textId="77777777" w:rsidR="00024216" w:rsidRPr="00332C4C" w:rsidRDefault="00024216" w:rsidP="00332C4C">
            <w:pPr>
              <w:jc w:val="both"/>
              <w:cnfStyle w:val="000000000000" w:firstRow="0" w:lastRow="0" w:firstColumn="0" w:lastColumn="0" w:oddVBand="0" w:evenVBand="0" w:oddHBand="0" w:evenHBand="0" w:firstRowFirstColumn="0" w:firstRowLastColumn="0" w:lastRowFirstColumn="0" w:lastRowLastColumn="0"/>
              <w:rPr>
                <w:sz w:val="12"/>
                <w:szCs w:val="12"/>
              </w:rPr>
            </w:pPr>
            <w:r w:rsidRPr="00332C4C">
              <w:rPr>
                <w:sz w:val="12"/>
                <w:szCs w:val="12"/>
              </w:rPr>
              <w:t>Rúbrica autógrafa de quien desclasifica.</w:t>
            </w:r>
          </w:p>
        </w:tc>
        <w:tc>
          <w:tcPr>
            <w:tcW w:w="968" w:type="dxa"/>
          </w:tcPr>
          <w:p w14:paraId="0713A8AB" w14:textId="77777777" w:rsidR="00024216" w:rsidRPr="00332C4C" w:rsidRDefault="00024216" w:rsidP="00332C4C">
            <w:pPr>
              <w:jc w:val="both"/>
              <w:cnfStyle w:val="000000000000" w:firstRow="0" w:lastRow="0" w:firstColumn="0" w:lastColumn="0" w:oddVBand="0" w:evenVBand="0" w:oddHBand="0" w:evenHBand="0" w:firstRowFirstColumn="0" w:firstRowLastColumn="0" w:lastRowFirstColumn="0" w:lastRowLastColumn="0"/>
              <w:rPr>
                <w:b/>
                <w:sz w:val="12"/>
                <w:szCs w:val="12"/>
              </w:rPr>
            </w:pPr>
            <w:r w:rsidRPr="00332C4C">
              <w:rPr>
                <w:b/>
                <w:sz w:val="12"/>
                <w:szCs w:val="12"/>
              </w:rPr>
              <w:t>Fecha de desclasificación</w:t>
            </w:r>
          </w:p>
        </w:tc>
        <w:tc>
          <w:tcPr>
            <w:tcW w:w="3446" w:type="dxa"/>
          </w:tcPr>
          <w:p w14:paraId="183A541B" w14:textId="77777777" w:rsidR="00024216" w:rsidRPr="00332C4C" w:rsidRDefault="00024216" w:rsidP="00332C4C">
            <w:pPr>
              <w:jc w:val="both"/>
              <w:cnfStyle w:val="000000000000" w:firstRow="0" w:lastRow="0" w:firstColumn="0" w:lastColumn="0" w:oddVBand="0" w:evenVBand="0" w:oddHBand="0" w:evenHBand="0" w:firstRowFirstColumn="0" w:firstRowLastColumn="0" w:lastRowFirstColumn="0" w:lastRowLastColumn="0"/>
              <w:rPr>
                <w:sz w:val="12"/>
                <w:szCs w:val="12"/>
              </w:rPr>
            </w:pPr>
            <w:r w:rsidRPr="00332C4C">
              <w:rPr>
                <w:sz w:val="12"/>
                <w:szCs w:val="12"/>
              </w:rPr>
              <w:t>Se anotará la fecha en que se desclasifica.</w:t>
            </w:r>
          </w:p>
        </w:tc>
      </w:tr>
      <w:tr w:rsidR="00024216" w:rsidRPr="00332C4C" w14:paraId="62543ABD" w14:textId="77777777" w:rsidTr="005E54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31EC0FF0" w14:textId="77777777" w:rsidR="00024216" w:rsidRPr="00332C4C" w:rsidRDefault="00024216" w:rsidP="00332C4C">
            <w:pPr>
              <w:jc w:val="both"/>
              <w:rPr>
                <w:sz w:val="12"/>
                <w:szCs w:val="12"/>
              </w:rPr>
            </w:pPr>
          </w:p>
        </w:tc>
        <w:tc>
          <w:tcPr>
            <w:tcW w:w="3421" w:type="dxa"/>
          </w:tcPr>
          <w:p w14:paraId="482C3950" w14:textId="77777777" w:rsidR="00024216" w:rsidRPr="00332C4C" w:rsidRDefault="00024216" w:rsidP="00332C4C">
            <w:pPr>
              <w:jc w:val="both"/>
              <w:cnfStyle w:val="000000100000" w:firstRow="0" w:lastRow="0" w:firstColumn="0" w:lastColumn="0" w:oddVBand="0" w:evenVBand="0" w:oddHBand="1" w:evenHBand="0" w:firstRowFirstColumn="0" w:firstRowLastColumn="0" w:lastRowFirstColumn="0" w:lastRowLastColumn="0"/>
              <w:rPr>
                <w:sz w:val="12"/>
                <w:szCs w:val="12"/>
              </w:rPr>
            </w:pPr>
          </w:p>
        </w:tc>
        <w:tc>
          <w:tcPr>
            <w:tcW w:w="968" w:type="dxa"/>
          </w:tcPr>
          <w:p w14:paraId="639F84B5" w14:textId="77777777" w:rsidR="00024216" w:rsidRPr="00332C4C" w:rsidRDefault="00024216" w:rsidP="00332C4C">
            <w:pPr>
              <w:jc w:val="both"/>
              <w:cnfStyle w:val="000000100000" w:firstRow="0" w:lastRow="0" w:firstColumn="0" w:lastColumn="0" w:oddVBand="0" w:evenVBand="0" w:oddHBand="1" w:evenHBand="0" w:firstRowFirstColumn="0" w:firstRowLastColumn="0" w:lastRowFirstColumn="0" w:lastRowLastColumn="0"/>
              <w:rPr>
                <w:b/>
                <w:sz w:val="12"/>
                <w:szCs w:val="12"/>
              </w:rPr>
            </w:pPr>
            <w:r w:rsidRPr="00332C4C">
              <w:rPr>
                <w:b/>
                <w:sz w:val="12"/>
                <w:szCs w:val="12"/>
              </w:rPr>
              <w:t>Partes o secciones reservadas o confidenciales</w:t>
            </w:r>
          </w:p>
        </w:tc>
        <w:tc>
          <w:tcPr>
            <w:tcW w:w="3446" w:type="dxa"/>
          </w:tcPr>
          <w:p w14:paraId="79B2FB00" w14:textId="77777777" w:rsidR="00024216" w:rsidRPr="00332C4C" w:rsidRDefault="00024216" w:rsidP="00332C4C">
            <w:pPr>
              <w:jc w:val="both"/>
              <w:cnfStyle w:val="000000100000" w:firstRow="0" w:lastRow="0" w:firstColumn="0" w:lastColumn="0" w:oddVBand="0" w:evenVBand="0" w:oddHBand="1" w:evenHBand="0" w:firstRowFirstColumn="0" w:firstRowLastColumn="0" w:lastRowFirstColumn="0" w:lastRowLastColumn="0"/>
              <w:rPr>
                <w:sz w:val="12"/>
                <w:szCs w:val="12"/>
              </w:rPr>
            </w:pPr>
            <w:r w:rsidRPr="00332C4C">
              <w:rPr>
                <w:sz w:val="12"/>
                <w:szCs w:val="12"/>
              </w:rPr>
              <w:t xml:space="preserve">En caso que una vez desclasificado el expediente, </w:t>
            </w:r>
            <w:proofErr w:type="spellStart"/>
            <w:r w:rsidRPr="00332C4C">
              <w:rPr>
                <w:sz w:val="12"/>
                <w:szCs w:val="12"/>
              </w:rPr>
              <w:t>subsistanpartes</w:t>
            </w:r>
            <w:proofErr w:type="spellEnd"/>
            <w:r w:rsidRPr="00332C4C">
              <w:rPr>
                <w:sz w:val="12"/>
                <w:szCs w:val="12"/>
              </w:rPr>
              <w:t xml:space="preserve"> o secciones del mismo reservadas o confidenciales, se señalará este hecho.</w:t>
            </w:r>
          </w:p>
        </w:tc>
      </w:tr>
      <w:tr w:rsidR="00024216" w:rsidRPr="00332C4C" w14:paraId="1572EF1C" w14:textId="77777777" w:rsidTr="005E54FC">
        <w:tc>
          <w:tcPr>
            <w:cnfStyle w:val="001000000000" w:firstRow="0" w:lastRow="0" w:firstColumn="1" w:lastColumn="0" w:oddVBand="0" w:evenVBand="0" w:oddHBand="0" w:evenHBand="0" w:firstRowFirstColumn="0" w:firstRowLastColumn="0" w:lastRowFirstColumn="0" w:lastRowLastColumn="0"/>
            <w:tcW w:w="993" w:type="dxa"/>
          </w:tcPr>
          <w:p w14:paraId="545E5BB8" w14:textId="77777777" w:rsidR="00024216" w:rsidRPr="00332C4C" w:rsidRDefault="00024216" w:rsidP="00332C4C">
            <w:pPr>
              <w:jc w:val="both"/>
              <w:rPr>
                <w:sz w:val="12"/>
                <w:szCs w:val="12"/>
              </w:rPr>
            </w:pPr>
          </w:p>
        </w:tc>
        <w:tc>
          <w:tcPr>
            <w:tcW w:w="3421" w:type="dxa"/>
          </w:tcPr>
          <w:p w14:paraId="42F193BC" w14:textId="77777777" w:rsidR="00024216" w:rsidRPr="00332C4C" w:rsidRDefault="00024216" w:rsidP="00332C4C">
            <w:pPr>
              <w:jc w:val="both"/>
              <w:cnfStyle w:val="000000000000" w:firstRow="0" w:lastRow="0" w:firstColumn="0" w:lastColumn="0" w:oddVBand="0" w:evenVBand="0" w:oddHBand="0" w:evenHBand="0" w:firstRowFirstColumn="0" w:firstRowLastColumn="0" w:lastRowFirstColumn="0" w:lastRowLastColumn="0"/>
              <w:rPr>
                <w:sz w:val="12"/>
                <w:szCs w:val="12"/>
              </w:rPr>
            </w:pPr>
          </w:p>
        </w:tc>
        <w:tc>
          <w:tcPr>
            <w:tcW w:w="968" w:type="dxa"/>
          </w:tcPr>
          <w:p w14:paraId="48BD70BB" w14:textId="77777777" w:rsidR="00024216" w:rsidRPr="00332C4C" w:rsidRDefault="00024216" w:rsidP="00332C4C">
            <w:pPr>
              <w:jc w:val="both"/>
              <w:cnfStyle w:val="000000000000" w:firstRow="0" w:lastRow="0" w:firstColumn="0" w:lastColumn="0" w:oddVBand="0" w:evenVBand="0" w:oddHBand="0" w:evenHBand="0" w:firstRowFirstColumn="0" w:firstRowLastColumn="0" w:lastRowFirstColumn="0" w:lastRowLastColumn="0"/>
              <w:rPr>
                <w:b/>
                <w:sz w:val="12"/>
                <w:szCs w:val="12"/>
              </w:rPr>
            </w:pPr>
            <w:r w:rsidRPr="00332C4C">
              <w:rPr>
                <w:b/>
                <w:sz w:val="12"/>
                <w:szCs w:val="12"/>
              </w:rPr>
              <w:t>Rúbrica y cargo del servidor público</w:t>
            </w:r>
          </w:p>
        </w:tc>
        <w:tc>
          <w:tcPr>
            <w:tcW w:w="3446" w:type="dxa"/>
          </w:tcPr>
          <w:p w14:paraId="269AA32E" w14:textId="77777777" w:rsidR="00024216" w:rsidRPr="00332C4C" w:rsidRDefault="00024216" w:rsidP="00332C4C">
            <w:pPr>
              <w:jc w:val="both"/>
              <w:cnfStyle w:val="000000000000" w:firstRow="0" w:lastRow="0" w:firstColumn="0" w:lastColumn="0" w:oddVBand="0" w:evenVBand="0" w:oddHBand="0" w:evenHBand="0" w:firstRowFirstColumn="0" w:firstRowLastColumn="0" w:lastRowFirstColumn="0" w:lastRowLastColumn="0"/>
              <w:rPr>
                <w:sz w:val="12"/>
                <w:szCs w:val="12"/>
              </w:rPr>
            </w:pPr>
            <w:r w:rsidRPr="00332C4C">
              <w:rPr>
                <w:sz w:val="12"/>
                <w:szCs w:val="12"/>
              </w:rPr>
              <w:t>Rúbrica autógrafa de quien desclasifica.</w:t>
            </w:r>
          </w:p>
        </w:tc>
      </w:tr>
    </w:tbl>
    <w:p w14:paraId="0C82CC33" w14:textId="4A7F61DB" w:rsidR="009B616B" w:rsidRPr="00332C4C" w:rsidRDefault="005A212F" w:rsidP="00332C4C">
      <w:pPr>
        <w:spacing w:before="240" w:after="240" w:line="360" w:lineRule="auto"/>
        <w:jc w:val="both"/>
        <w:rPr>
          <w:rFonts w:eastAsia="Palatino Linotype" w:cs="Palatino Linotype"/>
          <w:lang w:val="es-MX"/>
        </w:rPr>
      </w:pPr>
      <w:r w:rsidRPr="00332C4C">
        <w:rPr>
          <w:rFonts w:eastAsia="Palatino Linotype" w:cs="Palatino Linotype"/>
          <w:lang w:val="es-MX"/>
        </w:rPr>
        <w:t>Así, con fundamento en lo prescrito en los</w:t>
      </w:r>
      <w:r w:rsidRPr="00332C4C">
        <w:rPr>
          <w:lang w:val="es-MX"/>
        </w:rPr>
        <w:t xml:space="preserve"> </w:t>
      </w:r>
      <w:r w:rsidRPr="00332C4C">
        <w:rPr>
          <w:rFonts w:eastAsia="Palatino Linotype" w:cs="Palatino Linotype"/>
          <w:lang w:val="es-MX"/>
        </w:rPr>
        <w:t>artículos 5 párrafos trigésimo, trigésimo primero y trigésimo segundo fracciones IV y V de la Constitución Política del Estado Libre y Soberano de México; 2, fracción II; 29, 36 fracciones I y II; 176, 178, 181, 185, fracción I, 186 y 188 de la Ley de Transparencia y Acceso a la Información Pública del Estado de México y Municipios, este Pleno:</w:t>
      </w:r>
    </w:p>
    <w:p w14:paraId="10E0862D" w14:textId="77777777" w:rsidR="009B616B" w:rsidRPr="00332C4C" w:rsidRDefault="005A212F" w:rsidP="00332C4C">
      <w:pPr>
        <w:numPr>
          <w:ilvl w:val="0"/>
          <w:numId w:val="3"/>
        </w:numPr>
        <w:pBdr>
          <w:top w:val="nil"/>
          <w:left w:val="nil"/>
          <w:bottom w:val="nil"/>
          <w:right w:val="nil"/>
          <w:between w:val="nil"/>
        </w:pBdr>
        <w:spacing w:before="240" w:after="240" w:line="360" w:lineRule="auto"/>
        <w:jc w:val="center"/>
        <w:rPr>
          <w:rFonts w:eastAsia="Palatino Linotype" w:cs="Palatino Linotype"/>
          <w:b/>
          <w:lang w:val="es-MX"/>
        </w:rPr>
      </w:pPr>
      <w:r w:rsidRPr="00332C4C">
        <w:rPr>
          <w:rFonts w:eastAsia="Palatino Linotype" w:cs="Palatino Linotype"/>
          <w:b/>
          <w:lang w:val="es-MX"/>
        </w:rPr>
        <w:t>R E S U E L V E:</w:t>
      </w:r>
    </w:p>
    <w:p w14:paraId="10882CAD" w14:textId="0D150EA8" w:rsidR="009B616B" w:rsidRPr="00332C4C" w:rsidRDefault="005A212F" w:rsidP="00332C4C">
      <w:pPr>
        <w:spacing w:before="240" w:after="240" w:line="360" w:lineRule="auto"/>
        <w:jc w:val="both"/>
        <w:rPr>
          <w:rFonts w:eastAsia="Palatino Linotype" w:cs="Palatino Linotype"/>
          <w:b/>
          <w:lang w:val="es-MX"/>
        </w:rPr>
      </w:pPr>
      <w:bookmarkStart w:id="16" w:name="_heading=h.3dy6vkm" w:colFirst="0" w:colLast="0"/>
      <w:bookmarkEnd w:id="16"/>
      <w:r w:rsidRPr="00332C4C">
        <w:rPr>
          <w:rFonts w:eastAsia="Palatino Linotype" w:cs="Palatino Linotype"/>
          <w:b/>
          <w:lang w:val="es-MX"/>
        </w:rPr>
        <w:t xml:space="preserve">Primero. </w:t>
      </w:r>
      <w:r w:rsidRPr="00332C4C">
        <w:rPr>
          <w:rFonts w:eastAsia="Palatino Linotype" w:cs="Palatino Linotype"/>
          <w:lang w:val="es-MX"/>
        </w:rPr>
        <w:t>Resultan</w:t>
      </w:r>
      <w:r w:rsidRPr="00332C4C">
        <w:rPr>
          <w:rFonts w:eastAsia="Palatino Linotype" w:cs="Palatino Linotype"/>
          <w:b/>
          <w:lang w:val="es-MX"/>
        </w:rPr>
        <w:t xml:space="preserve"> </w:t>
      </w:r>
      <w:r w:rsidR="00767FC9" w:rsidRPr="00332C4C">
        <w:rPr>
          <w:rFonts w:eastAsia="Palatino Linotype" w:cs="Palatino Linotype"/>
          <w:b/>
          <w:lang w:val="es-MX"/>
        </w:rPr>
        <w:t xml:space="preserve">parcialmente </w:t>
      </w:r>
      <w:r w:rsidRPr="00332C4C">
        <w:rPr>
          <w:rFonts w:eastAsia="Palatino Linotype" w:cs="Palatino Linotype"/>
          <w:b/>
          <w:lang w:val="es-MX"/>
        </w:rPr>
        <w:t>fundados</w:t>
      </w:r>
      <w:r w:rsidRPr="00332C4C">
        <w:rPr>
          <w:rFonts w:eastAsia="Palatino Linotype" w:cs="Palatino Linotype"/>
          <w:lang w:val="es-MX"/>
        </w:rPr>
        <w:t xml:space="preserve"> los motivos de inconformidad hechos valer por la parte </w:t>
      </w:r>
      <w:r w:rsidRPr="00332C4C">
        <w:rPr>
          <w:rFonts w:eastAsia="Palatino Linotype" w:cs="Palatino Linotype"/>
          <w:b/>
          <w:lang w:val="es-MX"/>
        </w:rPr>
        <w:t xml:space="preserve">Recurrente </w:t>
      </w:r>
      <w:r w:rsidRPr="00332C4C">
        <w:rPr>
          <w:rFonts w:eastAsia="Palatino Linotype" w:cs="Palatino Linotype"/>
          <w:lang w:val="es-MX"/>
        </w:rPr>
        <w:t xml:space="preserve">en el recurso de revisión </w:t>
      </w:r>
      <w:r w:rsidRPr="00332C4C">
        <w:rPr>
          <w:rFonts w:eastAsia="Palatino Linotype" w:cs="Palatino Linotype"/>
          <w:b/>
          <w:lang w:val="es-MX"/>
        </w:rPr>
        <w:t>0</w:t>
      </w:r>
      <w:r w:rsidR="006A2B93" w:rsidRPr="00332C4C">
        <w:rPr>
          <w:rFonts w:eastAsia="Palatino Linotype" w:cs="Palatino Linotype"/>
          <w:b/>
          <w:lang w:val="es-MX"/>
        </w:rPr>
        <w:t>0</w:t>
      </w:r>
      <w:r w:rsidR="00767FC9" w:rsidRPr="00332C4C">
        <w:rPr>
          <w:rFonts w:eastAsia="Palatino Linotype" w:cs="Palatino Linotype"/>
          <w:b/>
          <w:lang w:val="es-MX"/>
        </w:rPr>
        <w:t>5334</w:t>
      </w:r>
      <w:r w:rsidRPr="00332C4C">
        <w:rPr>
          <w:rFonts w:eastAsia="Palatino Linotype" w:cs="Palatino Linotype"/>
          <w:b/>
          <w:lang w:val="es-MX"/>
        </w:rPr>
        <w:t>/INFOEM/IP/RR/202</w:t>
      </w:r>
      <w:r w:rsidR="00767FC9" w:rsidRPr="00332C4C">
        <w:rPr>
          <w:rFonts w:eastAsia="Palatino Linotype" w:cs="Palatino Linotype"/>
          <w:b/>
          <w:lang w:val="es-MX"/>
        </w:rPr>
        <w:t>1</w:t>
      </w:r>
      <w:r w:rsidRPr="00332C4C">
        <w:rPr>
          <w:rFonts w:eastAsia="Palatino Linotype" w:cs="Palatino Linotype"/>
          <w:b/>
          <w:lang w:val="es-MX"/>
        </w:rPr>
        <w:t xml:space="preserve">, </w:t>
      </w:r>
      <w:r w:rsidRPr="00332C4C">
        <w:rPr>
          <w:rFonts w:eastAsia="Palatino Linotype" w:cs="Palatino Linotype"/>
          <w:lang w:val="es-MX"/>
        </w:rPr>
        <w:t xml:space="preserve">por lo que, en términos del Considerando </w:t>
      </w:r>
      <w:r w:rsidRPr="00332C4C">
        <w:rPr>
          <w:rFonts w:eastAsia="Palatino Linotype" w:cs="Palatino Linotype"/>
          <w:b/>
          <w:lang w:val="es-MX"/>
        </w:rPr>
        <w:t>Cuarto</w:t>
      </w:r>
      <w:r w:rsidRPr="00332C4C">
        <w:rPr>
          <w:rFonts w:eastAsia="Palatino Linotype" w:cs="Palatino Linotype"/>
          <w:lang w:val="es-MX"/>
        </w:rPr>
        <w:t xml:space="preserve"> de la presente resolución, se</w:t>
      </w:r>
      <w:r w:rsidRPr="00332C4C">
        <w:rPr>
          <w:rFonts w:eastAsia="Palatino Linotype" w:cs="Palatino Linotype"/>
          <w:b/>
          <w:lang w:val="es-MX"/>
        </w:rPr>
        <w:t xml:space="preserve"> Modifica </w:t>
      </w:r>
      <w:r w:rsidRPr="00332C4C">
        <w:rPr>
          <w:rFonts w:eastAsia="Palatino Linotype" w:cs="Palatino Linotype"/>
          <w:lang w:val="es-MX"/>
        </w:rPr>
        <w:t>la respuesta</w:t>
      </w:r>
      <w:r w:rsidRPr="00332C4C">
        <w:rPr>
          <w:rFonts w:eastAsia="Palatino Linotype" w:cs="Palatino Linotype"/>
          <w:b/>
          <w:lang w:val="es-MX"/>
        </w:rPr>
        <w:t xml:space="preserve"> </w:t>
      </w:r>
      <w:r w:rsidRPr="00332C4C">
        <w:rPr>
          <w:rFonts w:eastAsia="Palatino Linotype" w:cs="Palatino Linotype"/>
          <w:lang w:val="es-MX"/>
        </w:rPr>
        <w:t xml:space="preserve">del </w:t>
      </w:r>
      <w:r w:rsidRPr="00332C4C">
        <w:rPr>
          <w:rFonts w:eastAsia="Palatino Linotype" w:cs="Palatino Linotype"/>
          <w:b/>
          <w:lang w:val="es-MX"/>
        </w:rPr>
        <w:t>Sujeto Obligado.</w:t>
      </w:r>
    </w:p>
    <w:p w14:paraId="63A67420" w14:textId="7C5F1A34" w:rsidR="00767FC9" w:rsidRPr="00332C4C" w:rsidRDefault="005A212F" w:rsidP="00332C4C">
      <w:pPr>
        <w:spacing w:before="240" w:after="240" w:line="360" w:lineRule="auto"/>
        <w:jc w:val="both"/>
        <w:rPr>
          <w:rFonts w:eastAsia="Palatino Linotype" w:cs="Palatino Linotype"/>
          <w:lang w:val="es-MX"/>
        </w:rPr>
      </w:pPr>
      <w:bookmarkStart w:id="17" w:name="_heading=h.1t3h5sf" w:colFirst="0" w:colLast="0"/>
      <w:bookmarkEnd w:id="17"/>
      <w:r w:rsidRPr="00332C4C">
        <w:rPr>
          <w:rFonts w:eastAsia="Palatino Linotype" w:cs="Palatino Linotype"/>
          <w:b/>
          <w:lang w:val="es-MX"/>
        </w:rPr>
        <w:lastRenderedPageBreak/>
        <w:t xml:space="preserve">Segundo. </w:t>
      </w:r>
      <w:r w:rsidRPr="00332C4C">
        <w:rPr>
          <w:rFonts w:eastAsia="Palatino Linotype" w:cs="Palatino Linotype"/>
          <w:lang w:val="es-MX"/>
        </w:rPr>
        <w:t xml:space="preserve">Se </w:t>
      </w:r>
      <w:r w:rsidRPr="00332C4C">
        <w:rPr>
          <w:rFonts w:eastAsia="Palatino Linotype" w:cs="Palatino Linotype"/>
          <w:b/>
          <w:lang w:val="es-MX"/>
        </w:rPr>
        <w:t>Ordena</w:t>
      </w:r>
      <w:r w:rsidRPr="00332C4C">
        <w:rPr>
          <w:rFonts w:eastAsia="Palatino Linotype" w:cs="Palatino Linotype"/>
          <w:lang w:val="es-MX"/>
        </w:rPr>
        <w:t xml:space="preserve"> al </w:t>
      </w:r>
      <w:r w:rsidRPr="00332C4C">
        <w:rPr>
          <w:rFonts w:eastAsia="Palatino Linotype" w:cs="Palatino Linotype"/>
          <w:b/>
          <w:lang w:val="es-MX"/>
        </w:rPr>
        <w:t>Sujeto Obligado</w:t>
      </w:r>
      <w:r w:rsidRPr="00332C4C">
        <w:rPr>
          <w:rFonts w:eastAsia="Palatino Linotype" w:cs="Palatino Linotype"/>
          <w:lang w:val="es-MX"/>
        </w:rPr>
        <w:t>, en términos de</w:t>
      </w:r>
      <w:r w:rsidR="009A2B4E" w:rsidRPr="00332C4C">
        <w:rPr>
          <w:rFonts w:eastAsia="Palatino Linotype" w:cs="Palatino Linotype"/>
          <w:lang w:val="es-MX"/>
        </w:rPr>
        <w:t xml:space="preserve"> </w:t>
      </w:r>
      <w:r w:rsidR="006A2B93" w:rsidRPr="00332C4C">
        <w:rPr>
          <w:rFonts w:eastAsia="Palatino Linotype" w:cs="Palatino Linotype"/>
          <w:lang w:val="es-MX"/>
        </w:rPr>
        <w:t>l</w:t>
      </w:r>
      <w:r w:rsidR="009A2B4E" w:rsidRPr="00332C4C">
        <w:rPr>
          <w:rFonts w:eastAsia="Palatino Linotype" w:cs="Palatino Linotype"/>
          <w:lang w:val="es-MX"/>
        </w:rPr>
        <w:t>os</w:t>
      </w:r>
      <w:r w:rsidR="006A2B93" w:rsidRPr="00332C4C">
        <w:rPr>
          <w:rFonts w:eastAsia="Palatino Linotype" w:cs="Palatino Linotype"/>
          <w:lang w:val="es-MX"/>
        </w:rPr>
        <w:t xml:space="preserve"> </w:t>
      </w:r>
      <w:r w:rsidRPr="00332C4C">
        <w:rPr>
          <w:rFonts w:eastAsia="Palatino Linotype" w:cs="Palatino Linotype"/>
          <w:lang w:val="es-MX"/>
        </w:rPr>
        <w:t>Considerando</w:t>
      </w:r>
      <w:r w:rsidR="009A2B4E" w:rsidRPr="00332C4C">
        <w:rPr>
          <w:rFonts w:eastAsia="Palatino Linotype" w:cs="Palatino Linotype"/>
          <w:lang w:val="es-MX"/>
        </w:rPr>
        <w:t>s</w:t>
      </w:r>
      <w:r w:rsidRPr="00332C4C">
        <w:rPr>
          <w:rFonts w:eastAsia="Palatino Linotype" w:cs="Palatino Linotype"/>
          <w:lang w:val="es-MX"/>
        </w:rPr>
        <w:t xml:space="preserve"> </w:t>
      </w:r>
      <w:r w:rsidRPr="00332C4C">
        <w:rPr>
          <w:rFonts w:eastAsia="Palatino Linotype" w:cs="Palatino Linotype"/>
          <w:b/>
          <w:lang w:val="es-MX"/>
        </w:rPr>
        <w:t>Cuarto</w:t>
      </w:r>
      <w:r w:rsidR="009A2B4E" w:rsidRPr="00332C4C">
        <w:rPr>
          <w:rFonts w:eastAsia="Palatino Linotype" w:cs="Palatino Linotype"/>
          <w:b/>
          <w:lang w:val="es-MX"/>
        </w:rPr>
        <w:t xml:space="preserve"> </w:t>
      </w:r>
      <w:r w:rsidR="009A2B4E" w:rsidRPr="00332C4C">
        <w:rPr>
          <w:rFonts w:eastAsia="Palatino Linotype" w:cs="Palatino Linotype"/>
          <w:bCs/>
          <w:lang w:val="es-MX"/>
        </w:rPr>
        <w:t>y</w:t>
      </w:r>
      <w:r w:rsidR="009A2B4E" w:rsidRPr="00332C4C">
        <w:rPr>
          <w:rFonts w:eastAsia="Palatino Linotype" w:cs="Palatino Linotype"/>
          <w:b/>
          <w:lang w:val="es-MX"/>
        </w:rPr>
        <w:t xml:space="preserve"> Quinto</w:t>
      </w:r>
      <w:r w:rsidRPr="00332C4C">
        <w:rPr>
          <w:rFonts w:eastAsia="Palatino Linotype" w:cs="Palatino Linotype"/>
          <w:b/>
          <w:lang w:val="es-MX"/>
        </w:rPr>
        <w:t xml:space="preserve"> </w:t>
      </w:r>
      <w:r w:rsidRPr="00332C4C">
        <w:rPr>
          <w:rFonts w:eastAsia="Palatino Linotype" w:cs="Palatino Linotype"/>
          <w:lang w:val="es-MX"/>
        </w:rPr>
        <w:t xml:space="preserve">de esta resolución, haga entrega, </w:t>
      </w:r>
      <w:r w:rsidR="00964539" w:rsidRPr="00332C4C">
        <w:rPr>
          <w:rFonts w:eastAsia="Palatino Linotype" w:cs="Palatino Linotype"/>
          <w:lang w:val="es-MX"/>
        </w:rPr>
        <w:t>vía SAIMEX</w:t>
      </w:r>
      <w:r w:rsidR="00332C4C">
        <w:rPr>
          <w:rFonts w:eastAsia="Palatino Linotype" w:cs="Palatino Linotype"/>
          <w:lang w:val="es-MX"/>
        </w:rPr>
        <w:t xml:space="preserve"> y mediante correo electrónico</w:t>
      </w:r>
      <w:r w:rsidR="00964539" w:rsidRPr="00332C4C">
        <w:rPr>
          <w:rFonts w:eastAsia="Palatino Linotype" w:cs="Palatino Linotype"/>
          <w:lang w:val="es-MX"/>
        </w:rPr>
        <w:t xml:space="preserve">, </w:t>
      </w:r>
      <w:r w:rsidR="009A2B4E" w:rsidRPr="00332C4C">
        <w:rPr>
          <w:rFonts w:eastAsia="Palatino Linotype" w:cs="Palatino Linotype"/>
          <w:lang w:val="es-MX"/>
        </w:rPr>
        <w:t>en versión pública</w:t>
      </w:r>
      <w:r w:rsidR="00396C49" w:rsidRPr="00332C4C">
        <w:rPr>
          <w:rFonts w:eastAsia="Palatino Linotype" w:cs="Palatino Linotype"/>
          <w:lang w:val="es-MX"/>
        </w:rPr>
        <w:t>,</w:t>
      </w:r>
      <w:r w:rsidR="009A2B4E" w:rsidRPr="00332C4C">
        <w:rPr>
          <w:rFonts w:eastAsia="Palatino Linotype" w:cs="Palatino Linotype"/>
          <w:lang w:val="es-MX"/>
        </w:rPr>
        <w:t xml:space="preserve"> </w:t>
      </w:r>
      <w:r w:rsidR="006A2B93" w:rsidRPr="00332C4C">
        <w:rPr>
          <w:rFonts w:eastAsia="Palatino Linotype" w:cs="Palatino Linotype"/>
          <w:lang w:val="es-MX"/>
        </w:rPr>
        <w:t>de</w:t>
      </w:r>
      <w:r w:rsidR="00E26191" w:rsidRPr="00332C4C">
        <w:rPr>
          <w:rFonts w:eastAsia="Palatino Linotype" w:cs="Palatino Linotype"/>
          <w:lang w:val="es-MX"/>
        </w:rPr>
        <w:t xml:space="preserve">l soporte documental en el que conste lo </w:t>
      </w:r>
      <w:r w:rsidRPr="00332C4C">
        <w:rPr>
          <w:rFonts w:eastAsia="Palatino Linotype" w:cs="Palatino Linotype"/>
          <w:lang w:val="es-MX"/>
        </w:rPr>
        <w:t>siguiente</w:t>
      </w:r>
      <w:r w:rsidR="00767FC9" w:rsidRPr="00332C4C">
        <w:rPr>
          <w:rFonts w:eastAsia="Palatino Linotype" w:cs="Palatino Linotype"/>
          <w:lang w:val="es-MX"/>
        </w:rPr>
        <w:t>:</w:t>
      </w:r>
    </w:p>
    <w:p w14:paraId="21973FEA" w14:textId="77777777" w:rsidR="00AD581E" w:rsidRPr="00332C4C" w:rsidRDefault="00AD581E" w:rsidP="00332C4C">
      <w:pPr>
        <w:autoSpaceDE w:val="0"/>
        <w:autoSpaceDN w:val="0"/>
        <w:adjustRightInd w:val="0"/>
        <w:spacing w:before="120" w:after="120" w:line="360" w:lineRule="auto"/>
        <w:ind w:left="142" w:right="51"/>
        <w:jc w:val="both"/>
        <w:rPr>
          <w:iCs/>
          <w:szCs w:val="20"/>
        </w:rPr>
      </w:pPr>
      <w:r w:rsidRPr="00332C4C">
        <w:rPr>
          <w:iCs/>
          <w:szCs w:val="20"/>
        </w:rPr>
        <w:t>De la empresa concesionaria de la ruta 18 que corre de Jesús del Monte al Metro Cuatro Caminos:</w:t>
      </w:r>
    </w:p>
    <w:p w14:paraId="427BC036" w14:textId="77777777" w:rsidR="00AD581E" w:rsidRPr="00332C4C" w:rsidRDefault="00AD581E" w:rsidP="00332C4C">
      <w:pPr>
        <w:pStyle w:val="Prrafodelista"/>
        <w:numPr>
          <w:ilvl w:val="0"/>
          <w:numId w:val="21"/>
        </w:numPr>
        <w:autoSpaceDE w:val="0"/>
        <w:autoSpaceDN w:val="0"/>
        <w:adjustRightInd w:val="0"/>
        <w:spacing w:before="120" w:after="120" w:line="360" w:lineRule="auto"/>
        <w:ind w:right="51"/>
        <w:jc w:val="both"/>
        <w:rPr>
          <w:iCs/>
          <w:szCs w:val="20"/>
        </w:rPr>
      </w:pPr>
      <w:r w:rsidRPr="00332C4C">
        <w:rPr>
          <w:iCs/>
          <w:szCs w:val="20"/>
        </w:rPr>
        <w:t>Documento mediante el cual se formalizo el otorgamiento de la concesión.</w:t>
      </w:r>
    </w:p>
    <w:p w14:paraId="7E374745" w14:textId="77777777" w:rsidR="00AD581E" w:rsidRPr="00332C4C" w:rsidRDefault="00AD581E" w:rsidP="00332C4C">
      <w:pPr>
        <w:pStyle w:val="Prrafodelista"/>
        <w:numPr>
          <w:ilvl w:val="0"/>
          <w:numId w:val="21"/>
        </w:numPr>
        <w:autoSpaceDE w:val="0"/>
        <w:autoSpaceDN w:val="0"/>
        <w:adjustRightInd w:val="0"/>
        <w:spacing w:before="120" w:after="120" w:line="360" w:lineRule="auto"/>
        <w:ind w:right="51"/>
        <w:jc w:val="both"/>
        <w:rPr>
          <w:iCs/>
          <w:szCs w:val="20"/>
        </w:rPr>
      </w:pPr>
      <w:r w:rsidRPr="00332C4C">
        <w:rPr>
          <w:iCs/>
          <w:szCs w:val="20"/>
        </w:rPr>
        <w:t xml:space="preserve">Publicación en el </w:t>
      </w:r>
      <w:r w:rsidRPr="00332C4C">
        <w:rPr>
          <w:rFonts w:eastAsia="Calibri" w:cs="Arial"/>
        </w:rPr>
        <w:t>Periódico Oficial “Gaceta del Gobierno”, del Estado de México o acuerdo de asignación directa</w:t>
      </w:r>
      <w:r w:rsidRPr="00332C4C">
        <w:rPr>
          <w:iCs/>
          <w:szCs w:val="20"/>
        </w:rPr>
        <w:t xml:space="preserve"> mediante la cual se otorgó la concesión.</w:t>
      </w:r>
    </w:p>
    <w:p w14:paraId="5BDA1927" w14:textId="77777777" w:rsidR="00AD581E" w:rsidRPr="00332C4C" w:rsidRDefault="00AD581E" w:rsidP="00332C4C">
      <w:pPr>
        <w:pStyle w:val="Prrafodelista"/>
        <w:numPr>
          <w:ilvl w:val="0"/>
          <w:numId w:val="21"/>
        </w:numPr>
        <w:autoSpaceDE w:val="0"/>
        <w:autoSpaceDN w:val="0"/>
        <w:adjustRightInd w:val="0"/>
        <w:spacing w:before="120" w:after="120" w:line="360" w:lineRule="auto"/>
        <w:ind w:right="51"/>
        <w:jc w:val="both"/>
        <w:rPr>
          <w:iCs/>
          <w:szCs w:val="20"/>
        </w:rPr>
      </w:pPr>
      <w:r w:rsidRPr="00332C4C">
        <w:rPr>
          <w:iCs/>
          <w:szCs w:val="20"/>
        </w:rPr>
        <w:t>Inscripción o registro de la concesión en el Registro Estatal del Transporte.</w:t>
      </w:r>
    </w:p>
    <w:p w14:paraId="5903C3EF" w14:textId="77777777" w:rsidR="00AD581E" w:rsidRPr="00332C4C" w:rsidRDefault="00AD581E" w:rsidP="00332C4C">
      <w:pPr>
        <w:tabs>
          <w:tab w:val="left" w:pos="284"/>
        </w:tabs>
        <w:autoSpaceDE w:val="0"/>
        <w:autoSpaceDN w:val="0"/>
        <w:adjustRightInd w:val="0"/>
        <w:spacing w:before="120" w:after="120" w:line="360" w:lineRule="auto"/>
        <w:ind w:left="284" w:right="51" w:hanging="142"/>
        <w:jc w:val="both"/>
        <w:rPr>
          <w:iCs/>
          <w:szCs w:val="20"/>
        </w:rPr>
      </w:pPr>
      <w:r w:rsidRPr="00332C4C">
        <w:rPr>
          <w:iCs/>
          <w:szCs w:val="20"/>
        </w:rPr>
        <w:t>De la ruta 18 que corre de Jesús del Monte al Metro Cuatro Caminos:</w:t>
      </w:r>
    </w:p>
    <w:p w14:paraId="00808EB4" w14:textId="5DEDC83C" w:rsidR="00AD581E" w:rsidRPr="00332C4C" w:rsidRDefault="00AD581E" w:rsidP="00332C4C">
      <w:pPr>
        <w:autoSpaceDE w:val="0"/>
        <w:autoSpaceDN w:val="0"/>
        <w:adjustRightInd w:val="0"/>
        <w:spacing w:before="120" w:after="120" w:line="360" w:lineRule="auto"/>
        <w:ind w:left="284" w:right="51"/>
        <w:jc w:val="both"/>
        <w:rPr>
          <w:iCs/>
          <w:szCs w:val="20"/>
        </w:rPr>
      </w:pPr>
      <w:r w:rsidRPr="00332C4C">
        <w:rPr>
          <w:iCs/>
          <w:szCs w:val="20"/>
        </w:rPr>
        <w:t>4. Estudio técnico que determino la factibilidad de la ruta.</w:t>
      </w:r>
    </w:p>
    <w:p w14:paraId="5EEF51ED" w14:textId="4770C963" w:rsidR="00AD581E" w:rsidRDefault="00AD581E" w:rsidP="00332C4C">
      <w:pPr>
        <w:autoSpaceDE w:val="0"/>
        <w:autoSpaceDN w:val="0"/>
        <w:adjustRightInd w:val="0"/>
        <w:spacing w:before="120" w:after="120" w:line="360" w:lineRule="auto"/>
        <w:ind w:left="284" w:right="51"/>
        <w:jc w:val="both"/>
        <w:rPr>
          <w:iCs/>
          <w:szCs w:val="20"/>
        </w:rPr>
      </w:pPr>
      <w:r w:rsidRPr="00332C4C">
        <w:rPr>
          <w:iCs/>
          <w:szCs w:val="20"/>
        </w:rPr>
        <w:t>5. Autorizaciones emitidas para la operación y recorrido de la ruta.</w:t>
      </w:r>
    </w:p>
    <w:p w14:paraId="4F3CC1CF" w14:textId="77777777" w:rsidR="00332C4C" w:rsidRPr="00767FC9" w:rsidRDefault="00332C4C" w:rsidP="00332C4C">
      <w:pPr>
        <w:autoSpaceDE w:val="0"/>
        <w:autoSpaceDN w:val="0"/>
        <w:adjustRightInd w:val="0"/>
        <w:spacing w:before="120" w:after="120" w:line="360" w:lineRule="auto"/>
        <w:ind w:left="284" w:right="51"/>
        <w:jc w:val="both"/>
        <w:rPr>
          <w:iCs/>
          <w:szCs w:val="20"/>
        </w:rPr>
      </w:pPr>
      <w:r>
        <w:rPr>
          <w:iCs/>
          <w:szCs w:val="20"/>
        </w:rPr>
        <w:t>6. Inscripción de la autorización de la lanzadera o lanzaderas de la ruta.</w:t>
      </w:r>
    </w:p>
    <w:p w14:paraId="1E26D654" w14:textId="73761B36" w:rsidR="00AD581E" w:rsidRPr="00332C4C" w:rsidRDefault="00332C4C" w:rsidP="00332C4C">
      <w:pPr>
        <w:autoSpaceDE w:val="0"/>
        <w:autoSpaceDN w:val="0"/>
        <w:adjustRightInd w:val="0"/>
        <w:spacing w:before="120" w:after="120" w:line="360" w:lineRule="auto"/>
        <w:ind w:left="284" w:right="51"/>
        <w:jc w:val="both"/>
        <w:rPr>
          <w:iCs/>
          <w:szCs w:val="20"/>
        </w:rPr>
      </w:pPr>
      <w:r>
        <w:rPr>
          <w:iCs/>
          <w:szCs w:val="20"/>
        </w:rPr>
        <w:t>7</w:t>
      </w:r>
      <w:r w:rsidR="00AD581E" w:rsidRPr="00332C4C">
        <w:rPr>
          <w:iCs/>
          <w:szCs w:val="20"/>
        </w:rPr>
        <w:t xml:space="preserve">. Plano autorizado </w:t>
      </w:r>
      <w:r w:rsidR="00EB2CD0">
        <w:rPr>
          <w:iCs/>
          <w:szCs w:val="20"/>
        </w:rPr>
        <w:t xml:space="preserve">o mapeo </w:t>
      </w:r>
      <w:r w:rsidR="00AD581E" w:rsidRPr="00332C4C">
        <w:rPr>
          <w:iCs/>
          <w:szCs w:val="20"/>
        </w:rPr>
        <w:t>del recorrido que tiene el corredor del transporte público autorizado para la ruta.</w:t>
      </w:r>
    </w:p>
    <w:p w14:paraId="6DC98F02" w14:textId="05863DDC" w:rsidR="00E26191" w:rsidRPr="00332C4C" w:rsidRDefault="00E26191" w:rsidP="00332C4C">
      <w:pPr>
        <w:autoSpaceDE w:val="0"/>
        <w:autoSpaceDN w:val="0"/>
        <w:adjustRightInd w:val="0"/>
        <w:spacing w:before="120" w:after="120"/>
        <w:ind w:left="284" w:right="51"/>
        <w:jc w:val="both"/>
        <w:rPr>
          <w:i/>
          <w:iCs/>
          <w:sz w:val="20"/>
          <w:szCs w:val="20"/>
        </w:rPr>
      </w:pPr>
      <w:r w:rsidRPr="00332C4C">
        <w:rPr>
          <w:i/>
          <w:iCs/>
          <w:sz w:val="20"/>
          <w:szCs w:val="20"/>
        </w:rPr>
        <w:t>Debiendo emitir el Acuerdo del Comité de Transparencia de conformidad a la Ley de Transparencia y Acceso a la Información Pública del Estado de México y Municipios, en el que funde y motive las razones sobre los datos que se supriman o eliminen de los soportes documentales objeto de las versiones públicas que se formulen y se pongan a disposición de la recurrente, mismo que igualmente hará de su conocimiento.</w:t>
      </w:r>
    </w:p>
    <w:p w14:paraId="40827A93" w14:textId="4D1D6502" w:rsidR="009B616B" w:rsidRPr="00332C4C" w:rsidRDefault="005A212F" w:rsidP="00332C4C">
      <w:pPr>
        <w:spacing w:before="240" w:after="240" w:line="360" w:lineRule="auto"/>
        <w:jc w:val="both"/>
        <w:rPr>
          <w:rFonts w:eastAsia="Palatino Linotype" w:cs="Palatino Linotype"/>
          <w:b/>
          <w:lang w:val="es-MX"/>
        </w:rPr>
      </w:pPr>
      <w:r w:rsidRPr="00332C4C">
        <w:rPr>
          <w:rFonts w:eastAsia="Palatino Linotype" w:cs="Palatino Linotype"/>
          <w:b/>
          <w:lang w:val="es-MX"/>
        </w:rPr>
        <w:t xml:space="preserve">Tercero. Notifíquese, </w:t>
      </w:r>
      <w:r w:rsidRPr="00332C4C">
        <w:rPr>
          <w:rFonts w:eastAsia="Palatino Linotype" w:cs="Palatino Linotype"/>
          <w:lang w:val="es-MX"/>
        </w:rPr>
        <w:t>vía</w:t>
      </w:r>
      <w:r w:rsidRPr="00332C4C">
        <w:rPr>
          <w:rFonts w:eastAsia="Palatino Linotype" w:cs="Palatino Linotype"/>
          <w:b/>
          <w:lang w:val="es-MX"/>
        </w:rPr>
        <w:t xml:space="preserve"> SAIMEX, </w:t>
      </w:r>
      <w:r w:rsidRPr="00332C4C">
        <w:rPr>
          <w:rFonts w:eastAsia="Palatino Linotype" w:cs="Palatino Linotype"/>
          <w:lang w:val="es-MX"/>
        </w:rPr>
        <w:t xml:space="preserve">al Responsable de la Unidad de Transparencia del </w:t>
      </w:r>
      <w:r w:rsidRPr="00332C4C">
        <w:rPr>
          <w:rFonts w:eastAsia="Palatino Linotype" w:cs="Palatino Linotype"/>
          <w:b/>
          <w:lang w:val="es-MX"/>
        </w:rPr>
        <w:t>Sujeto Obligado</w:t>
      </w:r>
      <w:r w:rsidRPr="00332C4C">
        <w:rPr>
          <w:rFonts w:eastAsia="Palatino Linotype" w:cs="Palatino Linotype"/>
          <w:lang w:val="es-MX"/>
        </w:rPr>
        <w:t xml:space="preserve"> la presente resolución, para que conforme a los artículo 186, último párrafo y 189, párrafo segundo de la Ley de Transparencia y Acceso a la Información Pública del Estado de México y Municipios dé cumplimiento a lo </w:t>
      </w:r>
      <w:r w:rsidRPr="00332C4C">
        <w:rPr>
          <w:rFonts w:eastAsia="Palatino Linotype" w:cs="Palatino Linotype"/>
          <w:lang w:val="es-MX"/>
        </w:rPr>
        <w:lastRenderedPageBreak/>
        <w:t>ordenado dentro del plazo de diez días hábiles, debiendo informar a este Instituto en un plazo de tres días hábiles siguientes sobre el cumplimiento dado a la misma</w:t>
      </w:r>
      <w:r w:rsidRPr="00332C4C">
        <w:rPr>
          <w:rFonts w:eastAsia="Palatino Linotype" w:cs="Palatino Linotype"/>
          <w:b/>
          <w:lang w:val="es-MX"/>
        </w:rPr>
        <w:t>.</w:t>
      </w:r>
    </w:p>
    <w:p w14:paraId="68A52DD8" w14:textId="77777777" w:rsidR="009B616B" w:rsidRPr="00332C4C" w:rsidRDefault="005A212F" w:rsidP="00332C4C">
      <w:pPr>
        <w:spacing w:before="240" w:after="240" w:line="360" w:lineRule="auto"/>
        <w:jc w:val="both"/>
        <w:rPr>
          <w:rFonts w:eastAsia="Palatino Linotype" w:cs="Palatino Linotype"/>
          <w:lang w:val="es-MX"/>
        </w:rPr>
      </w:pPr>
      <w:r w:rsidRPr="00332C4C">
        <w:rPr>
          <w:rFonts w:eastAsia="Palatino Linotype" w:cs="Palatino Linotype"/>
          <w:lang w:val="es-MX"/>
        </w:rPr>
        <w:t xml:space="preserve">De conformidad con el artículo 198 de la Ley de Transparencia y Acceso a la Información Pública del Estado de México y Municipios, de considerarlo procedente, el </w:t>
      </w:r>
      <w:r w:rsidRPr="00332C4C">
        <w:rPr>
          <w:rFonts w:eastAsia="Palatino Linotype" w:cs="Palatino Linotype"/>
          <w:b/>
          <w:lang w:val="es-MX"/>
        </w:rPr>
        <w:t>Sujeto Obligado</w:t>
      </w:r>
      <w:r w:rsidRPr="00332C4C">
        <w:rPr>
          <w:rFonts w:eastAsia="Palatino Linotype" w:cs="Palatino Linotype"/>
          <w:lang w:val="es-MX"/>
        </w:rPr>
        <w:t xml:space="preserve"> de manera fundada y motivada, podrá solicitar una ampliación de plazo para el cumplimiento de la presente resolución.</w:t>
      </w:r>
    </w:p>
    <w:p w14:paraId="23DCAC82" w14:textId="544A8470" w:rsidR="009B616B" w:rsidRPr="00332C4C" w:rsidRDefault="005A212F" w:rsidP="00332C4C">
      <w:pPr>
        <w:spacing w:before="240" w:after="240" w:line="360" w:lineRule="auto"/>
        <w:jc w:val="both"/>
        <w:rPr>
          <w:rFonts w:eastAsia="Palatino Linotype" w:cs="Palatino Linotype"/>
          <w:lang w:val="es-MX"/>
        </w:rPr>
      </w:pPr>
      <w:bookmarkStart w:id="18" w:name="_heading=h.4d34og8" w:colFirst="0" w:colLast="0"/>
      <w:bookmarkEnd w:id="18"/>
      <w:r w:rsidRPr="00332C4C">
        <w:rPr>
          <w:rFonts w:eastAsia="Palatino Linotype" w:cs="Palatino Linotype"/>
          <w:b/>
          <w:lang w:val="es-MX"/>
        </w:rPr>
        <w:t xml:space="preserve">Cuarto.  Notifíquese, </w:t>
      </w:r>
      <w:r w:rsidRPr="00332C4C">
        <w:rPr>
          <w:rFonts w:eastAsia="Palatino Linotype" w:cs="Palatino Linotype"/>
          <w:lang w:val="es-MX"/>
        </w:rPr>
        <w:t xml:space="preserve">vía </w:t>
      </w:r>
      <w:r w:rsidRPr="00332C4C">
        <w:rPr>
          <w:rFonts w:eastAsia="Palatino Linotype" w:cs="Palatino Linotype"/>
          <w:b/>
          <w:lang w:val="es-MX"/>
        </w:rPr>
        <w:t>SAIMEX</w:t>
      </w:r>
      <w:r w:rsidR="00332C4C">
        <w:rPr>
          <w:rFonts w:eastAsia="Palatino Linotype" w:cs="Palatino Linotype"/>
          <w:lang w:val="es-MX"/>
        </w:rPr>
        <w:t xml:space="preserve"> </w:t>
      </w:r>
      <w:r w:rsidR="00332C4C" w:rsidRPr="009D71BB">
        <w:rPr>
          <w:rFonts w:eastAsia="Calibri" w:cs="Arial"/>
          <w:bCs/>
          <w:lang w:val="es-MX" w:eastAsia="en-US"/>
        </w:rPr>
        <w:t xml:space="preserve">y mediante </w:t>
      </w:r>
      <w:r w:rsidR="00332C4C" w:rsidRPr="009D71BB">
        <w:rPr>
          <w:rFonts w:eastAsia="Calibri" w:cs="Arial"/>
          <w:b/>
          <w:bCs/>
          <w:lang w:val="es-MX" w:eastAsia="en-US"/>
        </w:rPr>
        <w:t>correo electrónico</w:t>
      </w:r>
      <w:r w:rsidR="00332C4C" w:rsidRPr="009D71BB">
        <w:rPr>
          <w:rFonts w:eastAsia="Calibri" w:cs="Arial"/>
          <w:bCs/>
          <w:lang w:val="es-MX" w:eastAsia="en-US"/>
        </w:rPr>
        <w:t>,</w:t>
      </w:r>
      <w:r w:rsidRPr="00332C4C">
        <w:rPr>
          <w:rFonts w:eastAsia="Palatino Linotype" w:cs="Palatino Linotype"/>
          <w:lang w:val="es-MX"/>
        </w:rPr>
        <w:t xml:space="preserve"> a la parte </w:t>
      </w:r>
      <w:r w:rsidR="00DC44AD" w:rsidRPr="00332C4C">
        <w:rPr>
          <w:rFonts w:eastAsia="Palatino Linotype" w:cs="Palatino Linotype"/>
          <w:b/>
          <w:bCs/>
          <w:lang w:val="es-MX"/>
        </w:rPr>
        <w:t>R</w:t>
      </w:r>
      <w:r w:rsidRPr="00332C4C">
        <w:rPr>
          <w:rFonts w:eastAsia="Palatino Linotype" w:cs="Palatino Linotype"/>
          <w:b/>
          <w:bCs/>
          <w:lang w:val="es-MX"/>
        </w:rPr>
        <w:t>ecurrente</w:t>
      </w:r>
      <w:r w:rsidRPr="00332C4C">
        <w:rPr>
          <w:rFonts w:eastAsia="Palatino Linotype" w:cs="Palatino Linotype"/>
          <w:lang w:val="es-MX"/>
        </w:rPr>
        <w:t xml:space="preserve"> la presente resolución, así como, que de conformidad con lo establecido en el artículo 196 de la Ley de Transparencia y Acceso a la Información Pública del Estado de México y Municipios, en caso de que considere que le causa algún perjuicio podrá impugnarla vía Juicio de Amparo en los términos de las leyes aplicables.</w:t>
      </w:r>
    </w:p>
    <w:p w14:paraId="63D2C66D" w14:textId="730E6BE6" w:rsidR="009B616B" w:rsidRPr="00332C4C" w:rsidRDefault="005A212F" w:rsidP="00332C4C">
      <w:pPr>
        <w:spacing w:before="240" w:after="240" w:line="360" w:lineRule="auto"/>
        <w:jc w:val="both"/>
        <w:rPr>
          <w:rFonts w:eastAsia="Palatino Linotype" w:cs="Palatino Linotype"/>
          <w:lang w:val="es-MX"/>
        </w:rPr>
      </w:pPr>
      <w:r w:rsidRPr="00332C4C">
        <w:rPr>
          <w:rFonts w:eastAsia="Palatino Linotype" w:cs="Palatino Linotype"/>
          <w:lang w:val="es-MX"/>
        </w:rPr>
        <w:t xml:space="preserve">ASÍ LO RESUELVE, POR UNANIMIDAD DE VOTOS, EL PLENO DEL INSTITUTO DE TRANSPARENCIA, ACCESO A LA INFORMACIÓN PÚBLICA Y PROTECCIÓN DE DATOS PERSONALES DEL ESTADO DE MÉXICO Y MUNICIPIOS, CONFORMADO POR LOS COMISIONADOS JOSÉ MARTÍNEZ VILCHIS; SHARON CRISTINA MORALES MARTÍNEZ; MARÍA DEL ROSARIO MEJÍA AYALA; GUADALUPE RAMÍREZ PEÑA Y LUIS GUSTAVO PARRA NORIEGA; EN LA </w:t>
      </w:r>
      <w:r w:rsidR="00B017BC" w:rsidRPr="00332C4C">
        <w:rPr>
          <w:rFonts w:eastAsia="Palatino Linotype" w:cs="Palatino Linotype"/>
          <w:lang w:val="es-MX"/>
        </w:rPr>
        <w:t>NOVENA</w:t>
      </w:r>
      <w:r w:rsidR="003D296E" w:rsidRPr="00332C4C">
        <w:rPr>
          <w:rFonts w:eastAsia="Palatino Linotype" w:cs="Palatino Linotype"/>
          <w:lang w:val="es-MX"/>
        </w:rPr>
        <w:t xml:space="preserve"> </w:t>
      </w:r>
      <w:r w:rsidRPr="00332C4C">
        <w:rPr>
          <w:rFonts w:eastAsia="Palatino Linotype" w:cs="Palatino Linotype"/>
          <w:lang w:val="es-MX"/>
        </w:rPr>
        <w:t>SESIÓN ORDINARIA CELEBRADA EL</w:t>
      </w:r>
      <w:r w:rsidR="002F3EE8" w:rsidRPr="00332C4C">
        <w:rPr>
          <w:rFonts w:eastAsia="Palatino Linotype" w:cs="Palatino Linotype"/>
          <w:lang w:val="es-MX"/>
        </w:rPr>
        <w:t xml:space="preserve"> </w:t>
      </w:r>
      <w:r w:rsidR="00B017BC" w:rsidRPr="00332C4C">
        <w:rPr>
          <w:rFonts w:eastAsia="Palatino Linotype" w:cs="Palatino Linotype"/>
          <w:lang w:val="es-MX"/>
        </w:rPr>
        <w:t>NUEVE</w:t>
      </w:r>
      <w:r w:rsidR="002F3EE8" w:rsidRPr="00332C4C">
        <w:rPr>
          <w:rFonts w:eastAsia="Palatino Linotype" w:cs="Palatino Linotype"/>
          <w:lang w:val="es-MX"/>
        </w:rPr>
        <w:t xml:space="preserve"> </w:t>
      </w:r>
      <w:r w:rsidR="003D296E" w:rsidRPr="00332C4C">
        <w:rPr>
          <w:rFonts w:eastAsia="Palatino Linotype" w:cs="Palatino Linotype"/>
          <w:lang w:val="es-MX"/>
        </w:rPr>
        <w:t xml:space="preserve">DE </w:t>
      </w:r>
      <w:r w:rsidR="00AD2FEB" w:rsidRPr="00332C4C">
        <w:rPr>
          <w:rFonts w:eastAsia="Palatino Linotype" w:cs="Palatino Linotype"/>
          <w:lang w:val="es-MX"/>
        </w:rPr>
        <w:t>MARZO</w:t>
      </w:r>
      <w:r w:rsidR="003D296E" w:rsidRPr="00332C4C">
        <w:rPr>
          <w:rFonts w:eastAsia="Palatino Linotype" w:cs="Palatino Linotype"/>
          <w:lang w:val="es-MX"/>
        </w:rPr>
        <w:t xml:space="preserve"> </w:t>
      </w:r>
      <w:r w:rsidRPr="00332C4C">
        <w:rPr>
          <w:rFonts w:eastAsia="Palatino Linotype" w:cs="Palatino Linotype"/>
          <w:lang w:val="es-MX"/>
        </w:rPr>
        <w:t>DE DOS MIL VEINTI</w:t>
      </w:r>
      <w:r w:rsidR="003D296E" w:rsidRPr="00332C4C">
        <w:rPr>
          <w:rFonts w:eastAsia="Palatino Linotype" w:cs="Palatino Linotype"/>
          <w:lang w:val="es-MX"/>
        </w:rPr>
        <w:t>DÓS</w:t>
      </w:r>
      <w:r w:rsidRPr="00332C4C">
        <w:rPr>
          <w:rFonts w:eastAsia="Palatino Linotype" w:cs="Palatino Linotype"/>
          <w:lang w:val="es-MX"/>
        </w:rPr>
        <w:t>, ANTE EL SECRETARIO TÉCNICO DEL PLENO, ALEXIS TAPIA RAMÍREZ.</w:t>
      </w:r>
    </w:p>
    <w:p w14:paraId="28131D37" w14:textId="162F54FB" w:rsidR="005A212F" w:rsidRPr="00332C4C" w:rsidRDefault="005A212F" w:rsidP="00332C4C">
      <w:pPr>
        <w:spacing w:before="240" w:after="240" w:line="360" w:lineRule="auto"/>
        <w:jc w:val="both"/>
        <w:rPr>
          <w:rFonts w:eastAsia="Palatino Linotype" w:cs="Palatino Linotype"/>
          <w:lang w:val="es-MX"/>
        </w:rPr>
      </w:pPr>
    </w:p>
    <w:p w14:paraId="005483C0" w14:textId="77777777" w:rsidR="009B616B" w:rsidRPr="00332C4C" w:rsidRDefault="009B616B" w:rsidP="00332C4C">
      <w:pPr>
        <w:spacing w:before="240" w:after="240"/>
        <w:jc w:val="both"/>
        <w:rPr>
          <w:rFonts w:eastAsia="Palatino Linotype" w:cs="Palatino Linotype"/>
          <w:sz w:val="20"/>
          <w:szCs w:val="20"/>
          <w:lang w:val="es-MX"/>
        </w:rPr>
      </w:pPr>
    </w:p>
    <w:p w14:paraId="454F1C24" w14:textId="77777777" w:rsidR="009B616B" w:rsidRPr="00332C4C" w:rsidRDefault="009B616B" w:rsidP="00332C4C">
      <w:pPr>
        <w:spacing w:before="240" w:after="240"/>
        <w:jc w:val="both"/>
        <w:rPr>
          <w:rFonts w:eastAsia="Palatino Linotype" w:cs="Palatino Linotype"/>
          <w:sz w:val="20"/>
          <w:szCs w:val="20"/>
          <w:lang w:val="es-MX"/>
        </w:rPr>
      </w:pPr>
    </w:p>
    <w:p w14:paraId="06F75E2F" w14:textId="77777777" w:rsidR="009B616B" w:rsidRPr="00332C4C" w:rsidRDefault="009B616B" w:rsidP="00332C4C">
      <w:pPr>
        <w:spacing w:before="240" w:after="240"/>
        <w:jc w:val="both"/>
        <w:rPr>
          <w:rFonts w:eastAsia="Palatino Linotype" w:cs="Palatino Linotype"/>
          <w:sz w:val="20"/>
          <w:szCs w:val="20"/>
          <w:lang w:val="es-MX"/>
        </w:rPr>
      </w:pPr>
    </w:p>
    <w:p w14:paraId="5AE4EF6A" w14:textId="77777777" w:rsidR="009B616B" w:rsidRPr="00332C4C" w:rsidRDefault="009B616B" w:rsidP="00332C4C">
      <w:pPr>
        <w:spacing w:before="240" w:after="240"/>
        <w:jc w:val="both"/>
        <w:rPr>
          <w:rFonts w:eastAsia="Palatino Linotype" w:cs="Palatino Linotype"/>
          <w:sz w:val="20"/>
          <w:szCs w:val="20"/>
          <w:lang w:val="es-MX"/>
        </w:rPr>
      </w:pPr>
    </w:p>
    <w:p w14:paraId="1BC19425" w14:textId="77777777" w:rsidR="009B616B" w:rsidRPr="00332C4C" w:rsidRDefault="009B616B" w:rsidP="00332C4C">
      <w:pPr>
        <w:spacing w:before="240" w:after="240"/>
        <w:jc w:val="both"/>
        <w:rPr>
          <w:rFonts w:eastAsia="Palatino Linotype" w:cs="Palatino Linotype"/>
          <w:sz w:val="20"/>
          <w:szCs w:val="20"/>
          <w:lang w:val="es-MX"/>
        </w:rPr>
      </w:pPr>
    </w:p>
    <w:p w14:paraId="6C5D12BA" w14:textId="77777777" w:rsidR="009B616B" w:rsidRPr="00332C4C" w:rsidRDefault="009B616B" w:rsidP="00332C4C">
      <w:pPr>
        <w:spacing w:before="240" w:after="240"/>
        <w:jc w:val="both"/>
        <w:rPr>
          <w:rFonts w:eastAsia="Palatino Linotype" w:cs="Palatino Linotype"/>
          <w:sz w:val="20"/>
          <w:szCs w:val="20"/>
          <w:lang w:val="es-MX"/>
        </w:rPr>
      </w:pPr>
    </w:p>
    <w:p w14:paraId="49A447C1" w14:textId="77777777" w:rsidR="009B616B" w:rsidRPr="00332C4C" w:rsidRDefault="009B616B" w:rsidP="00332C4C">
      <w:pPr>
        <w:spacing w:before="240" w:after="240"/>
        <w:jc w:val="both"/>
        <w:rPr>
          <w:rFonts w:eastAsia="Palatino Linotype" w:cs="Palatino Linotype"/>
          <w:sz w:val="20"/>
          <w:szCs w:val="20"/>
          <w:lang w:val="es-MX"/>
        </w:rPr>
      </w:pPr>
    </w:p>
    <w:p w14:paraId="3E619D64" w14:textId="77777777" w:rsidR="009B616B" w:rsidRPr="00332C4C" w:rsidRDefault="009B616B" w:rsidP="00332C4C">
      <w:pPr>
        <w:spacing w:before="240" w:after="240"/>
        <w:jc w:val="both"/>
        <w:rPr>
          <w:rFonts w:eastAsia="Palatino Linotype" w:cs="Palatino Linotype"/>
          <w:sz w:val="20"/>
          <w:szCs w:val="20"/>
          <w:lang w:val="es-MX"/>
        </w:rPr>
      </w:pPr>
    </w:p>
    <w:p w14:paraId="41DFDCD8" w14:textId="77777777" w:rsidR="009B616B" w:rsidRPr="00332C4C" w:rsidRDefault="009B616B" w:rsidP="00332C4C">
      <w:pPr>
        <w:spacing w:before="240" w:after="240"/>
        <w:jc w:val="both"/>
        <w:rPr>
          <w:rFonts w:eastAsia="Palatino Linotype" w:cs="Palatino Linotype"/>
          <w:sz w:val="20"/>
          <w:szCs w:val="20"/>
          <w:lang w:val="es-MX"/>
        </w:rPr>
      </w:pPr>
    </w:p>
    <w:p w14:paraId="44282A4D" w14:textId="77777777" w:rsidR="009B616B" w:rsidRPr="00332C4C" w:rsidRDefault="009B616B" w:rsidP="00332C4C">
      <w:pPr>
        <w:spacing w:before="240" w:after="240"/>
        <w:jc w:val="both"/>
        <w:rPr>
          <w:rFonts w:eastAsia="Palatino Linotype" w:cs="Palatino Linotype"/>
          <w:sz w:val="20"/>
          <w:szCs w:val="20"/>
          <w:lang w:val="es-MX"/>
        </w:rPr>
      </w:pPr>
    </w:p>
    <w:p w14:paraId="53EBB206" w14:textId="77777777" w:rsidR="009B616B" w:rsidRPr="00332C4C" w:rsidRDefault="009B616B" w:rsidP="00332C4C">
      <w:pPr>
        <w:spacing w:before="240" w:after="240"/>
        <w:jc w:val="both"/>
        <w:rPr>
          <w:rFonts w:eastAsia="Palatino Linotype" w:cs="Palatino Linotype"/>
          <w:sz w:val="20"/>
          <w:szCs w:val="20"/>
          <w:lang w:val="es-MX"/>
        </w:rPr>
      </w:pPr>
    </w:p>
    <w:p w14:paraId="14197928" w14:textId="77777777" w:rsidR="009B616B" w:rsidRPr="00332C4C" w:rsidRDefault="009B616B" w:rsidP="00332C4C">
      <w:pPr>
        <w:spacing w:before="240" w:after="240"/>
        <w:jc w:val="both"/>
        <w:rPr>
          <w:rFonts w:eastAsia="Palatino Linotype" w:cs="Palatino Linotype"/>
          <w:sz w:val="20"/>
          <w:szCs w:val="20"/>
          <w:lang w:val="es-MX"/>
        </w:rPr>
      </w:pPr>
    </w:p>
    <w:p w14:paraId="3049B95E" w14:textId="77777777" w:rsidR="009B616B" w:rsidRPr="00332C4C" w:rsidRDefault="009B616B" w:rsidP="00332C4C">
      <w:pPr>
        <w:spacing w:before="240" w:after="240"/>
        <w:jc w:val="both"/>
        <w:rPr>
          <w:rFonts w:eastAsia="Palatino Linotype" w:cs="Palatino Linotype"/>
          <w:sz w:val="20"/>
          <w:szCs w:val="20"/>
          <w:lang w:val="es-MX"/>
        </w:rPr>
      </w:pPr>
    </w:p>
    <w:p w14:paraId="175909B7" w14:textId="77777777" w:rsidR="009B616B" w:rsidRPr="00332C4C" w:rsidRDefault="009B616B" w:rsidP="00332C4C">
      <w:pPr>
        <w:spacing w:before="240" w:after="240"/>
        <w:jc w:val="both"/>
        <w:rPr>
          <w:rFonts w:eastAsia="Palatino Linotype" w:cs="Palatino Linotype"/>
          <w:sz w:val="20"/>
          <w:szCs w:val="20"/>
          <w:lang w:val="es-MX"/>
        </w:rPr>
      </w:pPr>
    </w:p>
    <w:p w14:paraId="4DD67EA8" w14:textId="77777777" w:rsidR="009B616B" w:rsidRPr="00332C4C" w:rsidRDefault="009B616B" w:rsidP="00332C4C">
      <w:pPr>
        <w:spacing w:before="240" w:after="240"/>
        <w:jc w:val="both"/>
        <w:rPr>
          <w:rFonts w:eastAsia="Palatino Linotype" w:cs="Palatino Linotype"/>
          <w:sz w:val="20"/>
          <w:szCs w:val="20"/>
          <w:lang w:val="es-MX"/>
        </w:rPr>
      </w:pPr>
    </w:p>
    <w:p w14:paraId="38C5D051" w14:textId="77777777" w:rsidR="009B616B" w:rsidRPr="00332C4C" w:rsidRDefault="009B616B" w:rsidP="00332C4C">
      <w:pPr>
        <w:spacing w:before="240" w:after="240"/>
        <w:jc w:val="both"/>
        <w:rPr>
          <w:rFonts w:eastAsia="Palatino Linotype" w:cs="Palatino Linotype"/>
          <w:sz w:val="20"/>
          <w:szCs w:val="20"/>
          <w:lang w:val="es-MX"/>
        </w:rPr>
      </w:pPr>
    </w:p>
    <w:p w14:paraId="17D592BD" w14:textId="77777777" w:rsidR="009B616B" w:rsidRPr="00332C4C" w:rsidRDefault="009B616B" w:rsidP="00332C4C">
      <w:pPr>
        <w:spacing w:before="240" w:after="240"/>
        <w:jc w:val="both"/>
        <w:rPr>
          <w:rFonts w:eastAsia="Palatino Linotype" w:cs="Palatino Linotype"/>
          <w:sz w:val="20"/>
          <w:szCs w:val="20"/>
          <w:lang w:val="es-MX"/>
        </w:rPr>
      </w:pPr>
    </w:p>
    <w:p w14:paraId="776B11EE" w14:textId="77777777" w:rsidR="009B616B" w:rsidRPr="00332C4C" w:rsidRDefault="009B616B" w:rsidP="00332C4C">
      <w:pPr>
        <w:spacing w:before="240" w:after="240"/>
        <w:jc w:val="both"/>
        <w:rPr>
          <w:rFonts w:eastAsia="Palatino Linotype" w:cs="Palatino Linotype"/>
          <w:sz w:val="20"/>
          <w:szCs w:val="20"/>
          <w:lang w:val="es-MX"/>
        </w:rPr>
      </w:pPr>
    </w:p>
    <w:p w14:paraId="619BDD48" w14:textId="77777777" w:rsidR="009B616B" w:rsidRPr="00332C4C" w:rsidRDefault="009B616B" w:rsidP="00332C4C">
      <w:pPr>
        <w:spacing w:before="240" w:after="240"/>
        <w:jc w:val="both"/>
        <w:rPr>
          <w:rFonts w:eastAsia="Palatino Linotype" w:cs="Palatino Linotype"/>
          <w:sz w:val="20"/>
          <w:szCs w:val="20"/>
          <w:lang w:val="es-MX"/>
        </w:rPr>
      </w:pPr>
    </w:p>
    <w:p w14:paraId="3384FCE2" w14:textId="77777777" w:rsidR="009B616B" w:rsidRPr="00332C4C" w:rsidRDefault="009B616B" w:rsidP="00332C4C">
      <w:pPr>
        <w:spacing w:before="240" w:after="240"/>
        <w:jc w:val="both"/>
        <w:rPr>
          <w:rFonts w:eastAsia="Palatino Linotype" w:cs="Palatino Linotype"/>
          <w:sz w:val="20"/>
          <w:szCs w:val="20"/>
          <w:lang w:val="es-MX"/>
        </w:rPr>
      </w:pPr>
    </w:p>
    <w:p w14:paraId="0FE628E5" w14:textId="77777777" w:rsidR="009B616B" w:rsidRPr="00332C4C" w:rsidRDefault="009B616B" w:rsidP="00332C4C">
      <w:pPr>
        <w:spacing w:before="240" w:after="240"/>
        <w:jc w:val="both"/>
        <w:rPr>
          <w:rFonts w:eastAsia="Palatino Linotype" w:cs="Palatino Linotype"/>
          <w:sz w:val="20"/>
          <w:szCs w:val="20"/>
          <w:lang w:val="es-MX"/>
        </w:rPr>
      </w:pPr>
    </w:p>
    <w:p w14:paraId="2FC6BE1C" w14:textId="77777777" w:rsidR="009B616B" w:rsidRPr="00332C4C" w:rsidRDefault="009B616B" w:rsidP="00332C4C">
      <w:pPr>
        <w:spacing w:before="240" w:after="240"/>
        <w:jc w:val="both"/>
        <w:rPr>
          <w:rFonts w:eastAsia="Palatino Linotype" w:cs="Palatino Linotype"/>
          <w:sz w:val="20"/>
          <w:szCs w:val="20"/>
          <w:lang w:val="es-MX"/>
        </w:rPr>
      </w:pPr>
    </w:p>
    <w:sectPr w:rsidR="009B616B" w:rsidRPr="00332C4C">
      <w:headerReference w:type="default" r:id="rId29"/>
      <w:footerReference w:type="default" r:id="rId30"/>
      <w:headerReference w:type="first" r:id="rId31"/>
      <w:footerReference w:type="first" r:id="rId32"/>
      <w:pgSz w:w="12240" w:h="15840"/>
      <w:pgMar w:top="1985" w:right="1701" w:bottom="1701" w:left="1701" w:header="709" w:footer="709"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EF9401" w14:textId="77777777" w:rsidR="006C6605" w:rsidRDefault="006C6605">
      <w:r>
        <w:separator/>
      </w:r>
    </w:p>
  </w:endnote>
  <w:endnote w:type="continuationSeparator" w:id="0">
    <w:p w14:paraId="03195F83" w14:textId="77777777" w:rsidR="006C6605" w:rsidRDefault="006C66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Liberation Serif">
    <w:panose1 w:val="00000000000000000000"/>
    <w:charset w:val="00"/>
    <w:family w:val="roman"/>
    <w:notTrueType/>
    <w:pitch w:val="default"/>
  </w:font>
  <w:font w:name="DejaVu Sans">
    <w:panose1 w:val="00000000000000000000"/>
    <w:charset w:val="00"/>
    <w:family w:val="roman"/>
    <w:notTrueType/>
    <w:pitch w:val="default"/>
  </w:font>
  <w:font w:name="Lohit Hindi">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Myriad Pro">
    <w:panose1 w:val="00000000000000000000"/>
    <w:charset w:val="00"/>
    <w:family w:val="swiss"/>
    <w:notTrueType/>
    <w:pitch w:val="default"/>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B2816B" w14:textId="77777777" w:rsidR="006C6605" w:rsidRDefault="006C6605">
    <w:pPr>
      <w:pBdr>
        <w:top w:val="nil"/>
        <w:left w:val="nil"/>
        <w:bottom w:val="nil"/>
        <w:right w:val="nil"/>
        <w:between w:val="nil"/>
      </w:pBdr>
      <w:tabs>
        <w:tab w:val="center" w:pos="4252"/>
        <w:tab w:val="right" w:pos="8504"/>
      </w:tabs>
      <w:jc w:val="right"/>
      <w:rPr>
        <w:rFonts w:eastAsia="Palatino Linotype" w:cs="Palatino Linotype"/>
        <w:color w:val="000000"/>
        <w:sz w:val="20"/>
        <w:szCs w:val="20"/>
      </w:rPr>
    </w:pPr>
    <w:r>
      <w:rPr>
        <w:rFonts w:eastAsia="Palatino Linotype" w:cs="Palatino Linotype"/>
        <w:b/>
        <w:color w:val="000000"/>
        <w:sz w:val="20"/>
        <w:szCs w:val="20"/>
      </w:rPr>
      <w:t xml:space="preserve">Página </w:t>
    </w:r>
    <w:r>
      <w:rPr>
        <w:rFonts w:eastAsia="Palatino Linotype" w:cs="Palatino Linotype"/>
        <w:b/>
        <w:color w:val="000000"/>
        <w:sz w:val="20"/>
        <w:szCs w:val="20"/>
      </w:rPr>
      <w:fldChar w:fldCharType="begin"/>
    </w:r>
    <w:r>
      <w:rPr>
        <w:rFonts w:eastAsia="Palatino Linotype" w:cs="Palatino Linotype"/>
        <w:b/>
        <w:color w:val="000000"/>
        <w:sz w:val="20"/>
        <w:szCs w:val="20"/>
      </w:rPr>
      <w:instrText>PAGE</w:instrText>
    </w:r>
    <w:r>
      <w:rPr>
        <w:rFonts w:eastAsia="Palatino Linotype" w:cs="Palatino Linotype"/>
        <w:b/>
        <w:color w:val="000000"/>
        <w:sz w:val="20"/>
        <w:szCs w:val="20"/>
      </w:rPr>
      <w:fldChar w:fldCharType="separate"/>
    </w:r>
    <w:r w:rsidR="001B141F">
      <w:rPr>
        <w:rFonts w:eastAsia="Palatino Linotype" w:cs="Palatino Linotype"/>
        <w:b/>
        <w:noProof/>
        <w:color w:val="000000"/>
        <w:sz w:val="20"/>
        <w:szCs w:val="20"/>
      </w:rPr>
      <w:t>69</w:t>
    </w:r>
    <w:r>
      <w:rPr>
        <w:rFonts w:eastAsia="Palatino Linotype" w:cs="Palatino Linotype"/>
        <w:b/>
        <w:color w:val="000000"/>
        <w:sz w:val="20"/>
        <w:szCs w:val="20"/>
      </w:rPr>
      <w:fldChar w:fldCharType="end"/>
    </w:r>
    <w:r>
      <w:rPr>
        <w:rFonts w:eastAsia="Palatino Linotype" w:cs="Palatino Linotype"/>
        <w:color w:val="000000"/>
        <w:sz w:val="20"/>
        <w:szCs w:val="20"/>
      </w:rPr>
      <w:t xml:space="preserve"> de </w:t>
    </w:r>
    <w:r>
      <w:rPr>
        <w:rFonts w:eastAsia="Palatino Linotype" w:cs="Palatino Linotype"/>
        <w:b/>
        <w:color w:val="000000"/>
        <w:sz w:val="20"/>
        <w:szCs w:val="20"/>
      </w:rPr>
      <w:fldChar w:fldCharType="begin"/>
    </w:r>
    <w:r>
      <w:rPr>
        <w:rFonts w:eastAsia="Palatino Linotype" w:cs="Palatino Linotype"/>
        <w:b/>
        <w:color w:val="000000"/>
        <w:sz w:val="20"/>
        <w:szCs w:val="20"/>
      </w:rPr>
      <w:instrText>NUMPAGES</w:instrText>
    </w:r>
    <w:r>
      <w:rPr>
        <w:rFonts w:eastAsia="Palatino Linotype" w:cs="Palatino Linotype"/>
        <w:b/>
        <w:color w:val="000000"/>
        <w:sz w:val="20"/>
        <w:szCs w:val="20"/>
      </w:rPr>
      <w:fldChar w:fldCharType="separate"/>
    </w:r>
    <w:r w:rsidR="001B141F">
      <w:rPr>
        <w:rFonts w:eastAsia="Palatino Linotype" w:cs="Palatino Linotype"/>
        <w:b/>
        <w:noProof/>
        <w:color w:val="000000"/>
        <w:sz w:val="20"/>
        <w:szCs w:val="20"/>
      </w:rPr>
      <w:t>70</w:t>
    </w:r>
    <w:r>
      <w:rPr>
        <w:rFonts w:eastAsia="Palatino Linotype" w:cs="Palatino Linotype"/>
        <w:b/>
        <w:color w:val="000000"/>
        <w:sz w:val="20"/>
        <w:szCs w:val="20"/>
      </w:rPr>
      <w:fldChar w:fldCharType="end"/>
    </w:r>
  </w:p>
  <w:p w14:paraId="091B8D23" w14:textId="4CDACA0D" w:rsidR="006C6605" w:rsidRDefault="006C6605">
    <w:pPr>
      <w:pBdr>
        <w:top w:val="nil"/>
        <w:left w:val="nil"/>
        <w:bottom w:val="nil"/>
        <w:right w:val="nil"/>
        <w:between w:val="nil"/>
      </w:pBdr>
      <w:tabs>
        <w:tab w:val="center" w:pos="4252"/>
        <w:tab w:val="right" w:pos="8504"/>
      </w:tabs>
      <w:ind w:firstLine="708"/>
      <w:rPr>
        <w:rFonts w:ascii="Cambria" w:eastAsia="Cambria" w:hAnsi="Cambria" w:cs="Cambria"/>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087315" w14:textId="77777777" w:rsidR="006C6605" w:rsidRDefault="006C6605">
    <w:pPr>
      <w:pBdr>
        <w:top w:val="nil"/>
        <w:left w:val="nil"/>
        <w:bottom w:val="nil"/>
        <w:right w:val="nil"/>
        <w:between w:val="nil"/>
      </w:pBdr>
      <w:tabs>
        <w:tab w:val="center" w:pos="4252"/>
        <w:tab w:val="right" w:pos="8504"/>
      </w:tabs>
      <w:jc w:val="right"/>
      <w:rPr>
        <w:rFonts w:eastAsia="Palatino Linotype" w:cs="Palatino Linotype"/>
        <w:color w:val="000000"/>
        <w:sz w:val="20"/>
        <w:szCs w:val="20"/>
      </w:rPr>
    </w:pPr>
    <w:r>
      <w:rPr>
        <w:rFonts w:eastAsia="Palatino Linotype" w:cs="Palatino Linotype"/>
        <w:b/>
        <w:color w:val="000000"/>
        <w:sz w:val="20"/>
        <w:szCs w:val="20"/>
      </w:rPr>
      <w:t xml:space="preserve">Página </w:t>
    </w:r>
    <w:r>
      <w:rPr>
        <w:rFonts w:eastAsia="Palatino Linotype" w:cs="Palatino Linotype"/>
        <w:b/>
        <w:color w:val="000000"/>
        <w:sz w:val="20"/>
        <w:szCs w:val="20"/>
      </w:rPr>
      <w:fldChar w:fldCharType="begin"/>
    </w:r>
    <w:r>
      <w:rPr>
        <w:rFonts w:eastAsia="Palatino Linotype" w:cs="Palatino Linotype"/>
        <w:b/>
        <w:color w:val="000000"/>
        <w:sz w:val="20"/>
        <w:szCs w:val="20"/>
      </w:rPr>
      <w:instrText>PAGE</w:instrText>
    </w:r>
    <w:r>
      <w:rPr>
        <w:rFonts w:eastAsia="Palatino Linotype" w:cs="Palatino Linotype"/>
        <w:b/>
        <w:color w:val="000000"/>
        <w:sz w:val="20"/>
        <w:szCs w:val="20"/>
      </w:rPr>
      <w:fldChar w:fldCharType="separate"/>
    </w:r>
    <w:r w:rsidR="001B141F">
      <w:rPr>
        <w:rFonts w:eastAsia="Palatino Linotype" w:cs="Palatino Linotype"/>
        <w:b/>
        <w:noProof/>
        <w:color w:val="000000"/>
        <w:sz w:val="20"/>
        <w:szCs w:val="20"/>
      </w:rPr>
      <w:t>1</w:t>
    </w:r>
    <w:r>
      <w:rPr>
        <w:rFonts w:eastAsia="Palatino Linotype" w:cs="Palatino Linotype"/>
        <w:b/>
        <w:color w:val="000000"/>
        <w:sz w:val="20"/>
        <w:szCs w:val="20"/>
      </w:rPr>
      <w:fldChar w:fldCharType="end"/>
    </w:r>
    <w:r>
      <w:rPr>
        <w:rFonts w:eastAsia="Palatino Linotype" w:cs="Palatino Linotype"/>
        <w:color w:val="000000"/>
        <w:sz w:val="20"/>
        <w:szCs w:val="20"/>
      </w:rPr>
      <w:t xml:space="preserve"> de </w:t>
    </w:r>
    <w:r>
      <w:rPr>
        <w:rFonts w:eastAsia="Palatino Linotype" w:cs="Palatino Linotype"/>
        <w:b/>
        <w:color w:val="000000"/>
        <w:sz w:val="20"/>
        <w:szCs w:val="20"/>
      </w:rPr>
      <w:fldChar w:fldCharType="begin"/>
    </w:r>
    <w:r>
      <w:rPr>
        <w:rFonts w:eastAsia="Palatino Linotype" w:cs="Palatino Linotype"/>
        <w:b/>
        <w:color w:val="000000"/>
        <w:sz w:val="20"/>
        <w:szCs w:val="20"/>
      </w:rPr>
      <w:instrText>NUMPAGES</w:instrText>
    </w:r>
    <w:r>
      <w:rPr>
        <w:rFonts w:eastAsia="Palatino Linotype" w:cs="Palatino Linotype"/>
        <w:b/>
        <w:color w:val="000000"/>
        <w:sz w:val="20"/>
        <w:szCs w:val="20"/>
      </w:rPr>
      <w:fldChar w:fldCharType="separate"/>
    </w:r>
    <w:r w:rsidR="001B141F">
      <w:rPr>
        <w:rFonts w:eastAsia="Palatino Linotype" w:cs="Palatino Linotype"/>
        <w:b/>
        <w:noProof/>
        <w:color w:val="000000"/>
        <w:sz w:val="20"/>
        <w:szCs w:val="20"/>
      </w:rPr>
      <w:t>70</w:t>
    </w:r>
    <w:r>
      <w:rPr>
        <w:rFonts w:eastAsia="Palatino Linotype" w:cs="Palatino Linotype"/>
        <w:b/>
        <w:color w:val="000000"/>
        <w:sz w:val="20"/>
        <w:szCs w:val="20"/>
      </w:rPr>
      <w:fldChar w:fldCharType="end"/>
    </w:r>
  </w:p>
  <w:p w14:paraId="4733AF77" w14:textId="11BE1444" w:rsidR="006C6605" w:rsidRDefault="006C6605">
    <w:pPr>
      <w:pBdr>
        <w:top w:val="nil"/>
        <w:left w:val="nil"/>
        <w:bottom w:val="nil"/>
        <w:right w:val="nil"/>
        <w:between w:val="nil"/>
      </w:pBdr>
      <w:tabs>
        <w:tab w:val="center" w:pos="4252"/>
        <w:tab w:val="right" w:pos="8504"/>
      </w:tabs>
      <w:rPr>
        <w:rFonts w:ascii="Cambria" w:eastAsia="Cambria" w:hAnsi="Cambria" w:cs="Cambria"/>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E1E8D5" w14:textId="77777777" w:rsidR="006C6605" w:rsidRDefault="006C6605">
      <w:r>
        <w:separator/>
      </w:r>
    </w:p>
  </w:footnote>
  <w:footnote w:type="continuationSeparator" w:id="0">
    <w:p w14:paraId="5BCFDA87" w14:textId="77777777" w:rsidR="006C6605" w:rsidRDefault="006C6605">
      <w:r>
        <w:continuationSeparator/>
      </w:r>
    </w:p>
  </w:footnote>
  <w:footnote w:id="1">
    <w:p w14:paraId="4CAA5CBD" w14:textId="77777777" w:rsidR="006C6605" w:rsidRPr="00CE0488" w:rsidRDefault="006C6605" w:rsidP="00CE0488">
      <w:pPr>
        <w:pStyle w:val="Textonotapie"/>
        <w:jc w:val="both"/>
        <w:rPr>
          <w:rFonts w:ascii="Palatino Linotype" w:hAnsi="Palatino Linotype"/>
          <w:sz w:val="16"/>
          <w:szCs w:val="16"/>
        </w:rPr>
      </w:pPr>
      <w:r w:rsidRPr="00CE0488">
        <w:rPr>
          <w:rStyle w:val="Refdenotaalpie"/>
          <w:rFonts w:ascii="Palatino Linotype" w:hAnsi="Palatino Linotype"/>
          <w:sz w:val="16"/>
          <w:szCs w:val="16"/>
        </w:rPr>
        <w:footnoteRef/>
      </w:r>
      <w:r w:rsidRPr="00CE0488">
        <w:rPr>
          <w:rFonts w:ascii="Palatino Linotype" w:hAnsi="Palatino Linotype"/>
          <w:sz w:val="16"/>
          <w:szCs w:val="16"/>
        </w:rPr>
        <w:t xml:space="preserve"> “</w:t>
      </w:r>
      <w:r w:rsidRPr="00CE0488">
        <w:rPr>
          <w:rFonts w:ascii="Palatino Linotype" w:hAnsi="Palatino Linotype"/>
          <w:b/>
          <w:sz w:val="16"/>
          <w:szCs w:val="16"/>
        </w:rPr>
        <w:t>Artículo 185.</w:t>
      </w:r>
      <w:r w:rsidRPr="00CE0488">
        <w:rPr>
          <w:rFonts w:ascii="Palatino Linotype" w:hAnsi="Palatino Linotype"/>
          <w:sz w:val="16"/>
          <w:szCs w:val="16"/>
        </w:rPr>
        <w:t xml:space="preserve"> El Instituto resolverá el recurso de revisión conforme a lo siguiente: (…)</w:t>
      </w:r>
    </w:p>
    <w:p w14:paraId="3EB4A5B0" w14:textId="77777777" w:rsidR="006C6605" w:rsidRPr="00CE0488" w:rsidRDefault="006C6605" w:rsidP="00CE0488">
      <w:pPr>
        <w:pStyle w:val="Textonotapie"/>
        <w:jc w:val="both"/>
        <w:rPr>
          <w:rFonts w:ascii="Palatino Linotype" w:hAnsi="Palatino Linotype"/>
          <w:sz w:val="16"/>
          <w:szCs w:val="16"/>
        </w:rPr>
      </w:pPr>
      <w:r w:rsidRPr="00CE0488">
        <w:rPr>
          <w:rFonts w:ascii="Palatino Linotype" w:hAnsi="Palatino Linotype"/>
          <w:sz w:val="16"/>
          <w:szCs w:val="16"/>
        </w:rPr>
        <w:t>II. Admitido el recurso de revisión, la o el Comisionado ponente deberá integrar un expediente y ponerlo a disposición de las partes, para que, en un plazo máximo de siete días hábiles, manifiesten lo que a su derecho convenga;”</w:t>
      </w:r>
    </w:p>
  </w:footnote>
  <w:footnote w:id="2">
    <w:p w14:paraId="142AE2F0" w14:textId="77777777" w:rsidR="006C6605" w:rsidRPr="00CE0488" w:rsidRDefault="006C6605" w:rsidP="00CE0488">
      <w:pPr>
        <w:pStyle w:val="Textonotapie"/>
        <w:jc w:val="both"/>
        <w:rPr>
          <w:rFonts w:ascii="Palatino Linotype" w:hAnsi="Palatino Linotype"/>
          <w:sz w:val="16"/>
          <w:szCs w:val="16"/>
        </w:rPr>
      </w:pPr>
      <w:r w:rsidRPr="00CE0488">
        <w:rPr>
          <w:rStyle w:val="Refdenotaalpie"/>
          <w:rFonts w:ascii="Palatino Linotype" w:hAnsi="Palatino Linotype"/>
          <w:sz w:val="16"/>
          <w:szCs w:val="16"/>
        </w:rPr>
        <w:footnoteRef/>
      </w:r>
      <w:r w:rsidRPr="00CE0488">
        <w:rPr>
          <w:rFonts w:ascii="Palatino Linotype" w:hAnsi="Palatino Linotype"/>
          <w:sz w:val="16"/>
          <w:szCs w:val="16"/>
        </w:rPr>
        <w:t xml:space="preserve"> </w:t>
      </w:r>
      <w:r w:rsidRPr="00CE0488">
        <w:rPr>
          <w:rFonts w:ascii="Palatino Linotype" w:hAnsi="Palatino Linotype"/>
          <w:b/>
          <w:sz w:val="16"/>
          <w:szCs w:val="16"/>
        </w:rPr>
        <w:t>Artículo 185</w:t>
      </w:r>
      <w:r w:rsidRPr="00CE0488">
        <w:rPr>
          <w:rFonts w:ascii="Palatino Linotype" w:hAnsi="Palatino Linotype"/>
          <w:sz w:val="16"/>
          <w:szCs w:val="16"/>
        </w:rPr>
        <w:t>. El Instituto resolverá el recurso de revisión conforme a lo siguiente:</w:t>
      </w:r>
    </w:p>
    <w:p w14:paraId="4C50BED2" w14:textId="77777777" w:rsidR="006C6605" w:rsidRPr="00CE0488" w:rsidRDefault="006C6605" w:rsidP="00CE0488">
      <w:pPr>
        <w:pStyle w:val="Textonotapie"/>
        <w:jc w:val="both"/>
        <w:rPr>
          <w:rFonts w:ascii="Palatino Linotype" w:hAnsi="Palatino Linotype"/>
          <w:sz w:val="16"/>
          <w:szCs w:val="16"/>
        </w:rPr>
      </w:pPr>
      <w:r w:rsidRPr="00CE0488">
        <w:rPr>
          <w:rFonts w:ascii="Palatino Linotype" w:hAnsi="Palatino Linotype"/>
          <w:sz w:val="16"/>
          <w:szCs w:val="16"/>
        </w:rPr>
        <w:t>(…)</w:t>
      </w:r>
    </w:p>
    <w:p w14:paraId="50B54984" w14:textId="77777777" w:rsidR="006C6605" w:rsidRPr="00CE0488" w:rsidRDefault="006C6605" w:rsidP="00CE0488">
      <w:pPr>
        <w:pStyle w:val="Textonotapie"/>
        <w:jc w:val="both"/>
        <w:rPr>
          <w:rFonts w:ascii="Palatino Linotype" w:hAnsi="Palatino Linotype"/>
          <w:sz w:val="16"/>
          <w:szCs w:val="16"/>
        </w:rPr>
      </w:pPr>
      <w:r w:rsidRPr="00CE0488">
        <w:rPr>
          <w:rFonts w:ascii="Palatino Linotype" w:hAnsi="Palatino Linotype"/>
          <w:sz w:val="16"/>
          <w:szCs w:val="16"/>
        </w:rPr>
        <w:t>III. Recibido el informe justificado, cuando se modifique la respuesta, este se pondrá a disposición del recurrente para que en un plazo de tres días hábiles, manifieste lo que a su derecho convenga;</w:t>
      </w:r>
    </w:p>
  </w:footnote>
  <w:footnote w:id="3">
    <w:p w14:paraId="5123F306" w14:textId="77777777" w:rsidR="006C6605" w:rsidRPr="00CE0488" w:rsidRDefault="006C6605" w:rsidP="00CE0488">
      <w:pPr>
        <w:ind w:right="49"/>
        <w:jc w:val="both"/>
        <w:rPr>
          <w:sz w:val="16"/>
          <w:szCs w:val="16"/>
        </w:rPr>
      </w:pPr>
      <w:r w:rsidRPr="00CE0488">
        <w:rPr>
          <w:rStyle w:val="Refdenotaalpie"/>
          <w:sz w:val="16"/>
          <w:szCs w:val="16"/>
        </w:rPr>
        <w:footnoteRef/>
      </w:r>
      <w:r w:rsidRPr="00CE0488">
        <w:rPr>
          <w:sz w:val="16"/>
          <w:szCs w:val="16"/>
        </w:rPr>
        <w:t xml:space="preserve"> </w:t>
      </w:r>
      <w:r w:rsidRPr="00CE0488">
        <w:rPr>
          <w:b/>
          <w:sz w:val="16"/>
          <w:szCs w:val="16"/>
        </w:rPr>
        <w:t>Artículo 53.</w:t>
      </w:r>
      <w:r w:rsidRPr="00CE0488">
        <w:rPr>
          <w:sz w:val="16"/>
          <w:szCs w:val="16"/>
        </w:rPr>
        <w:t xml:space="preserve"> Las </w:t>
      </w:r>
      <w:r w:rsidRPr="00CE0488">
        <w:rPr>
          <w:b/>
          <w:sz w:val="16"/>
          <w:szCs w:val="16"/>
        </w:rPr>
        <w:t>Unidades de Transparencia</w:t>
      </w:r>
      <w:r w:rsidRPr="00CE0488">
        <w:rPr>
          <w:sz w:val="16"/>
          <w:szCs w:val="16"/>
        </w:rPr>
        <w:t xml:space="preserve"> tendrán las siguientes funciones:</w:t>
      </w:r>
    </w:p>
    <w:p w14:paraId="6B2F1926" w14:textId="77777777" w:rsidR="006C6605" w:rsidRPr="00CE0488" w:rsidRDefault="006C6605" w:rsidP="00CE0488">
      <w:pPr>
        <w:pStyle w:val="Textonotapie"/>
        <w:jc w:val="both"/>
        <w:rPr>
          <w:rFonts w:ascii="Palatino Linotype" w:hAnsi="Palatino Linotype"/>
          <w:sz w:val="16"/>
          <w:szCs w:val="16"/>
        </w:rPr>
      </w:pPr>
      <w:r w:rsidRPr="00CE0488">
        <w:rPr>
          <w:rFonts w:ascii="Palatino Linotype" w:hAnsi="Palatino Linotype"/>
          <w:sz w:val="16"/>
          <w:szCs w:val="16"/>
        </w:rPr>
        <w:t>…</w:t>
      </w:r>
    </w:p>
    <w:p w14:paraId="08E4BD32" w14:textId="77777777" w:rsidR="006C6605" w:rsidRPr="00CE0488" w:rsidRDefault="006C6605" w:rsidP="00CE0488">
      <w:pPr>
        <w:ind w:right="49"/>
        <w:jc w:val="both"/>
        <w:rPr>
          <w:sz w:val="16"/>
          <w:szCs w:val="16"/>
        </w:rPr>
      </w:pPr>
      <w:r w:rsidRPr="00CE0488">
        <w:rPr>
          <w:b/>
          <w:sz w:val="16"/>
          <w:szCs w:val="16"/>
        </w:rPr>
        <w:t>II.</w:t>
      </w:r>
      <w:r w:rsidRPr="00CE0488">
        <w:rPr>
          <w:sz w:val="16"/>
          <w:szCs w:val="16"/>
        </w:rPr>
        <w:t xml:space="preserve"> Recibir, tramitar y dar respuesta a las solicitudes de acceso a la información;</w:t>
      </w:r>
    </w:p>
    <w:p w14:paraId="4A3ADA57" w14:textId="77777777" w:rsidR="006C6605" w:rsidRPr="00CE0488" w:rsidRDefault="006C6605" w:rsidP="00CE0488">
      <w:pPr>
        <w:pStyle w:val="Textonotapie"/>
        <w:jc w:val="both"/>
        <w:rPr>
          <w:rFonts w:ascii="Palatino Linotype" w:hAnsi="Palatino Linotype"/>
          <w:sz w:val="16"/>
          <w:szCs w:val="16"/>
        </w:rPr>
      </w:pPr>
      <w:r w:rsidRPr="00CE0488">
        <w:rPr>
          <w:rFonts w:ascii="Palatino Linotype" w:hAnsi="Palatino Linotype"/>
          <w:b/>
          <w:sz w:val="16"/>
          <w:szCs w:val="16"/>
        </w:rPr>
        <w:t>IV.</w:t>
      </w:r>
      <w:r w:rsidRPr="00CE0488">
        <w:rPr>
          <w:rFonts w:ascii="Palatino Linotype" w:hAnsi="Palatino Linotype"/>
          <w:sz w:val="16"/>
          <w:szCs w:val="16"/>
        </w:rPr>
        <w:t xml:space="preserve"> Realizar, con efectividad, los trámites internos necesarios para la atención de las solicitudes de acceso a la información;</w:t>
      </w:r>
    </w:p>
  </w:footnote>
  <w:footnote w:id="4">
    <w:p w14:paraId="4ED717C4" w14:textId="77777777" w:rsidR="006C6605" w:rsidRPr="00CE0488" w:rsidRDefault="006C6605" w:rsidP="00CE0488">
      <w:pPr>
        <w:pStyle w:val="Textonotapie"/>
        <w:ind w:right="49"/>
        <w:jc w:val="both"/>
        <w:rPr>
          <w:rFonts w:ascii="Palatino Linotype" w:hAnsi="Palatino Linotype"/>
          <w:sz w:val="16"/>
          <w:szCs w:val="16"/>
        </w:rPr>
      </w:pPr>
      <w:r w:rsidRPr="00CE0488">
        <w:rPr>
          <w:rStyle w:val="Refdenotaalpie"/>
          <w:rFonts w:ascii="Palatino Linotype" w:hAnsi="Palatino Linotype"/>
          <w:sz w:val="16"/>
          <w:szCs w:val="16"/>
        </w:rPr>
        <w:footnoteRef/>
      </w:r>
      <w:r w:rsidRPr="00CE0488">
        <w:rPr>
          <w:rFonts w:ascii="Palatino Linotype" w:hAnsi="Palatino Linotype"/>
          <w:sz w:val="16"/>
          <w:szCs w:val="16"/>
        </w:rPr>
        <w:t xml:space="preserve"> </w:t>
      </w:r>
      <w:r w:rsidRPr="00CE0488">
        <w:rPr>
          <w:rFonts w:ascii="Palatino Linotype" w:hAnsi="Palatino Linotype"/>
          <w:b/>
          <w:sz w:val="16"/>
          <w:szCs w:val="16"/>
        </w:rPr>
        <w:t>Artículo 162.</w:t>
      </w:r>
      <w:r w:rsidRPr="00CE0488">
        <w:rPr>
          <w:rFonts w:ascii="Palatino Linotype" w:hAnsi="Palatino Linotype"/>
          <w:sz w:val="16"/>
          <w:szCs w:val="16"/>
        </w:rPr>
        <w:t xml:space="preserve"> Las </w:t>
      </w:r>
      <w:r w:rsidRPr="00CE0488">
        <w:rPr>
          <w:rFonts w:ascii="Palatino Linotype" w:hAnsi="Palatino Linotype"/>
          <w:b/>
          <w:sz w:val="16"/>
          <w:szCs w:val="16"/>
        </w:rPr>
        <w:t>unidades de transparencia</w:t>
      </w:r>
      <w:r w:rsidRPr="00CE0488">
        <w:rPr>
          <w:rFonts w:ascii="Palatino Linotype" w:hAnsi="Palatino Linotype"/>
          <w:sz w:val="16"/>
          <w:szCs w:val="16"/>
        </w:rPr>
        <w:t xml:space="preserve"> deberán </w:t>
      </w:r>
      <w:r w:rsidRPr="00CE0488">
        <w:rPr>
          <w:rFonts w:ascii="Palatino Linotype" w:hAnsi="Palatino Linotype"/>
          <w:b/>
          <w:sz w:val="16"/>
          <w:szCs w:val="16"/>
        </w:rPr>
        <w:t>garantizar que las solicitudes se turnen a todas las Áreas competentes</w:t>
      </w:r>
      <w:r w:rsidRPr="00CE0488">
        <w:rPr>
          <w:rFonts w:ascii="Palatino Linotype" w:hAnsi="Palatino Linotype"/>
          <w:sz w:val="16"/>
          <w:szCs w:val="16"/>
        </w:rPr>
        <w:t xml:space="preserve"> que </w:t>
      </w:r>
      <w:r w:rsidRPr="00CE0488">
        <w:rPr>
          <w:rFonts w:ascii="Palatino Linotype" w:hAnsi="Palatino Linotype"/>
          <w:b/>
          <w:sz w:val="16"/>
          <w:szCs w:val="16"/>
        </w:rPr>
        <w:t>cuenten con la información o deban tenerla de acuerdo a sus facultades, competencias y funciones,</w:t>
      </w:r>
      <w:r w:rsidRPr="00CE0488">
        <w:rPr>
          <w:rFonts w:ascii="Palatino Linotype" w:hAnsi="Palatino Linotype"/>
          <w:sz w:val="16"/>
          <w:szCs w:val="16"/>
        </w:rPr>
        <w:t xml:space="preserve"> con el objeto de que realicen una </w:t>
      </w:r>
      <w:r w:rsidRPr="00CE0488">
        <w:rPr>
          <w:rFonts w:ascii="Palatino Linotype" w:hAnsi="Palatino Linotype"/>
          <w:b/>
          <w:sz w:val="16"/>
          <w:szCs w:val="16"/>
        </w:rPr>
        <w:t>búsqueda exhaustiva y razonable</w:t>
      </w:r>
      <w:r w:rsidRPr="00CE0488">
        <w:rPr>
          <w:rFonts w:ascii="Palatino Linotype" w:hAnsi="Palatino Linotype"/>
          <w:sz w:val="16"/>
          <w:szCs w:val="16"/>
        </w:rPr>
        <w:t xml:space="preserve"> de la información solicitada</w:t>
      </w:r>
    </w:p>
  </w:footnote>
  <w:footnote w:id="5">
    <w:p w14:paraId="248BD15E" w14:textId="77777777" w:rsidR="006C6605" w:rsidRPr="00CE0488" w:rsidRDefault="006C6605" w:rsidP="00CE0488">
      <w:pPr>
        <w:jc w:val="both"/>
        <w:rPr>
          <w:rFonts w:eastAsia="Palatino Linotype" w:cs="Palatino Linotype"/>
          <w:sz w:val="16"/>
          <w:szCs w:val="16"/>
        </w:rPr>
      </w:pPr>
      <w:r w:rsidRPr="00CE0488">
        <w:rPr>
          <w:sz w:val="16"/>
          <w:szCs w:val="16"/>
          <w:vertAlign w:val="superscript"/>
        </w:rPr>
        <w:footnoteRef/>
      </w:r>
      <w:r w:rsidRPr="00CE0488">
        <w:rPr>
          <w:rFonts w:eastAsia="Palatino Linotype" w:cs="Palatino Linotype"/>
          <w:sz w:val="16"/>
          <w:szCs w:val="16"/>
        </w:rPr>
        <w:t xml:space="preserve"> </w:t>
      </w:r>
      <w:r w:rsidRPr="00CE0488">
        <w:rPr>
          <w:rFonts w:eastAsia="Palatino Linotype" w:cs="Palatino Linotype"/>
          <w:b/>
          <w:sz w:val="16"/>
          <w:szCs w:val="16"/>
        </w:rPr>
        <w:t xml:space="preserve">Artículo 13. </w:t>
      </w:r>
      <w:r w:rsidRPr="00CE0488">
        <w:rPr>
          <w:rFonts w:eastAsia="Palatino Linotype" w:cs="Palatino Linotype"/>
          <w:sz w:val="16"/>
          <w:szCs w:val="16"/>
        </w:rPr>
        <w:t>El Instituto, en el ámbito de sus atribuciones, deberá suplir cualquier deficiencia para garantizar el ejercicio del derecho de acceso a la información.</w:t>
      </w:r>
    </w:p>
  </w:footnote>
  <w:footnote w:id="6">
    <w:p w14:paraId="22EBD293" w14:textId="77777777" w:rsidR="006C6605" w:rsidRPr="00CE0488" w:rsidRDefault="006C6605" w:rsidP="00CE0488">
      <w:pPr>
        <w:jc w:val="both"/>
        <w:rPr>
          <w:rFonts w:eastAsia="Palatino Linotype" w:cs="Palatino Linotype"/>
          <w:b/>
          <w:sz w:val="16"/>
          <w:szCs w:val="16"/>
        </w:rPr>
      </w:pPr>
      <w:r w:rsidRPr="00CE0488">
        <w:rPr>
          <w:sz w:val="16"/>
          <w:szCs w:val="16"/>
          <w:vertAlign w:val="superscript"/>
        </w:rPr>
        <w:footnoteRef/>
      </w:r>
      <w:r w:rsidRPr="00CE0488">
        <w:rPr>
          <w:rFonts w:eastAsia="Palatino Linotype" w:cs="Palatino Linotype"/>
          <w:sz w:val="16"/>
          <w:szCs w:val="16"/>
        </w:rPr>
        <w:t xml:space="preserve"> </w:t>
      </w:r>
      <w:r w:rsidRPr="00CE0488">
        <w:rPr>
          <w:rFonts w:eastAsia="Palatino Linotype" w:cs="Palatino Linotype"/>
          <w:b/>
          <w:sz w:val="16"/>
          <w:szCs w:val="16"/>
        </w:rPr>
        <w:t xml:space="preserve">Artículo 181. </w:t>
      </w:r>
      <w:r w:rsidRPr="00CE0488">
        <w:rPr>
          <w:rFonts w:eastAsia="Palatino Linotype" w:cs="Palatino Linotype"/>
          <w:sz w:val="16"/>
          <w:szCs w:val="16"/>
        </w:rPr>
        <w:t>(…)</w:t>
      </w:r>
    </w:p>
    <w:p w14:paraId="4BFA198F" w14:textId="77777777" w:rsidR="006C6605" w:rsidRPr="00CE0488" w:rsidRDefault="006C6605" w:rsidP="00CE0488">
      <w:pPr>
        <w:jc w:val="both"/>
        <w:rPr>
          <w:rFonts w:eastAsia="Palatino Linotype" w:cs="Palatino Linotype"/>
          <w:sz w:val="16"/>
          <w:szCs w:val="16"/>
        </w:rPr>
      </w:pPr>
      <w:r w:rsidRPr="00CE0488">
        <w:rPr>
          <w:rFonts w:eastAsia="Palatino Linotype" w:cs="Palatino Linotype"/>
          <w:sz w:val="16"/>
          <w:szCs w:val="16"/>
        </w:rPr>
        <w:t>Durante el procedimiento deberá aplicarse la suplencia de la queja a favor del recurrente, sin cambiar los hechos expuestos, asegurándose de que las partes puedan presentar, de manera oral o escrita, los argumentos que funden y motiven sus pretensiones.</w:t>
      </w:r>
    </w:p>
  </w:footnote>
  <w:footnote w:id="7">
    <w:p w14:paraId="456F04A6" w14:textId="71204F53" w:rsidR="006C6605" w:rsidRPr="00CE0488" w:rsidRDefault="006C6605" w:rsidP="00CE0488">
      <w:pPr>
        <w:pStyle w:val="Textonotapie"/>
        <w:jc w:val="both"/>
        <w:rPr>
          <w:rFonts w:ascii="Palatino Linotype" w:hAnsi="Palatino Linotype"/>
          <w:sz w:val="16"/>
          <w:szCs w:val="16"/>
        </w:rPr>
      </w:pPr>
      <w:r w:rsidRPr="00CE0488">
        <w:rPr>
          <w:rStyle w:val="Refdenotaalpie"/>
          <w:rFonts w:ascii="Palatino Linotype" w:hAnsi="Palatino Linotype"/>
          <w:sz w:val="16"/>
          <w:szCs w:val="16"/>
        </w:rPr>
        <w:footnoteRef/>
      </w:r>
      <w:r w:rsidRPr="00CE0488">
        <w:rPr>
          <w:rFonts w:ascii="Palatino Linotype" w:hAnsi="Palatino Linotype"/>
          <w:sz w:val="16"/>
          <w:szCs w:val="16"/>
        </w:rPr>
        <w:t xml:space="preserve"> ARTICULO 50.- Las autorizaciones serán complementarias de las concesiones y permisos, formarán</w:t>
      </w:r>
      <w:r>
        <w:rPr>
          <w:rFonts w:ascii="Palatino Linotype" w:hAnsi="Palatino Linotype"/>
          <w:sz w:val="16"/>
          <w:szCs w:val="16"/>
        </w:rPr>
        <w:t xml:space="preserve"> </w:t>
      </w:r>
      <w:r w:rsidRPr="00CE0488">
        <w:rPr>
          <w:rFonts w:ascii="Palatino Linotype" w:hAnsi="Palatino Linotype"/>
          <w:sz w:val="16"/>
          <w:szCs w:val="16"/>
        </w:rPr>
        <w:t>parte de los mismos, sólo se expedirán por la misma autoridad que los hubiere otorgado y se</w:t>
      </w:r>
      <w:r>
        <w:rPr>
          <w:rFonts w:ascii="Palatino Linotype" w:hAnsi="Palatino Linotype"/>
          <w:sz w:val="16"/>
          <w:szCs w:val="16"/>
        </w:rPr>
        <w:t xml:space="preserve"> </w:t>
      </w:r>
      <w:r w:rsidRPr="00CE0488">
        <w:rPr>
          <w:rFonts w:ascii="Palatino Linotype" w:hAnsi="Palatino Linotype"/>
          <w:sz w:val="16"/>
          <w:szCs w:val="16"/>
        </w:rPr>
        <w:t>inscribirán o anotarán en el Registro relacionándolas con la concesión o permiso que complementen.</w:t>
      </w:r>
    </w:p>
  </w:footnote>
  <w:footnote w:id="8">
    <w:p w14:paraId="0D593045" w14:textId="69F31533" w:rsidR="006C6605" w:rsidRPr="00CE0488" w:rsidRDefault="006C6605" w:rsidP="00CE0488">
      <w:pPr>
        <w:pStyle w:val="Textonotapie"/>
        <w:jc w:val="both"/>
        <w:rPr>
          <w:rFonts w:ascii="Palatino Linotype" w:hAnsi="Palatino Linotype"/>
          <w:sz w:val="16"/>
          <w:szCs w:val="16"/>
        </w:rPr>
      </w:pPr>
      <w:r w:rsidRPr="00CE0488">
        <w:rPr>
          <w:rStyle w:val="Refdenotaalpie"/>
          <w:rFonts w:ascii="Palatino Linotype" w:hAnsi="Palatino Linotype"/>
          <w:sz w:val="16"/>
          <w:szCs w:val="16"/>
        </w:rPr>
        <w:footnoteRef/>
      </w:r>
      <w:r w:rsidRPr="00CE0488">
        <w:rPr>
          <w:rFonts w:ascii="Palatino Linotype" w:hAnsi="Palatino Linotype"/>
          <w:sz w:val="16"/>
          <w:szCs w:val="16"/>
        </w:rPr>
        <w:t xml:space="preserve"> </w:t>
      </w:r>
      <w:hyperlink r:id="rId1" w:history="1">
        <w:r w:rsidRPr="00CE0488">
          <w:rPr>
            <w:rStyle w:val="Hipervnculo"/>
            <w:rFonts w:ascii="Palatino Linotype" w:hAnsi="Palatino Linotype"/>
            <w:sz w:val="16"/>
            <w:szCs w:val="16"/>
          </w:rPr>
          <w:t>https://smovilidad.edomex.gob.mx/colectivo_pasajeros</w:t>
        </w:r>
      </w:hyperlink>
      <w:r w:rsidRPr="00CE0488">
        <w:rPr>
          <w:rFonts w:ascii="Palatino Linotype" w:hAnsi="Palatino Linotype"/>
          <w:sz w:val="16"/>
          <w:szCs w:val="16"/>
        </w:rPr>
        <w:t xml:space="preserve"> Consultado el 03 de febrero de 2022.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7A4E7A" w14:textId="008640B3" w:rsidR="006C6605" w:rsidRDefault="006C6605">
    <w:pPr>
      <w:pBdr>
        <w:top w:val="nil"/>
        <w:left w:val="nil"/>
        <w:bottom w:val="nil"/>
        <w:right w:val="nil"/>
        <w:between w:val="nil"/>
      </w:pBdr>
      <w:tabs>
        <w:tab w:val="center" w:pos="4252"/>
        <w:tab w:val="right" w:pos="8504"/>
        <w:tab w:val="left" w:pos="2326"/>
      </w:tabs>
      <w:rPr>
        <w:rFonts w:ascii="Cambria" w:eastAsia="Cambria" w:hAnsi="Cambria" w:cs="Cambria"/>
        <w:color w:val="000000"/>
      </w:rPr>
    </w:pPr>
    <w:r>
      <w:rPr>
        <w:noProof/>
        <w:lang w:val="es-MX"/>
      </w:rPr>
      <w:drawing>
        <wp:anchor distT="0" distB="0" distL="0" distR="0" simplePos="0" relativeHeight="251658240" behindDoc="1" locked="0" layoutInCell="1" hidden="0" allowOverlap="1" wp14:anchorId="6DA1ADB1" wp14:editId="201F6064">
          <wp:simplePos x="0" y="0"/>
          <wp:positionH relativeFrom="column">
            <wp:posOffset>-1099820</wp:posOffset>
          </wp:positionH>
          <wp:positionV relativeFrom="paragraph">
            <wp:posOffset>-370002</wp:posOffset>
          </wp:positionV>
          <wp:extent cx="7809865" cy="10165715"/>
          <wp:effectExtent l="0" t="0" r="635" b="6985"/>
          <wp:wrapNone/>
          <wp:docPr id="3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7809865" cy="10165715"/>
                  </a:xfrm>
                  <a:prstGeom prst="rect">
                    <a:avLst/>
                  </a:prstGeom>
                  <a:ln/>
                </pic:spPr>
              </pic:pic>
            </a:graphicData>
          </a:graphic>
          <wp14:sizeRelH relativeFrom="margin">
            <wp14:pctWidth>0</wp14:pctWidth>
          </wp14:sizeRelH>
          <wp14:sizeRelV relativeFrom="margin">
            <wp14:pctHeight>0</wp14:pctHeight>
          </wp14:sizeRelV>
        </wp:anchor>
      </w:drawing>
    </w:r>
  </w:p>
  <w:tbl>
    <w:tblPr>
      <w:tblStyle w:val="a2"/>
      <w:tblW w:w="5953" w:type="dxa"/>
      <w:tblInd w:w="3261" w:type="dxa"/>
      <w:tblLayout w:type="fixed"/>
      <w:tblLook w:val="0400" w:firstRow="0" w:lastRow="0" w:firstColumn="0" w:lastColumn="0" w:noHBand="0" w:noVBand="1"/>
    </w:tblPr>
    <w:tblGrid>
      <w:gridCol w:w="2409"/>
      <w:gridCol w:w="3544"/>
    </w:tblGrid>
    <w:tr w:rsidR="006C6605" w14:paraId="58B96683" w14:textId="77777777" w:rsidTr="006C6605">
      <w:tc>
        <w:tcPr>
          <w:tcW w:w="2409" w:type="dxa"/>
          <w:shd w:val="clear" w:color="auto" w:fill="auto"/>
        </w:tcPr>
        <w:p w14:paraId="22218B0B" w14:textId="77777777" w:rsidR="006C6605" w:rsidRDefault="006C6605">
          <w:pPr>
            <w:rPr>
              <w:rFonts w:eastAsia="Palatino Linotype" w:cs="Palatino Linotype"/>
              <w:b/>
              <w:sz w:val="22"/>
              <w:szCs w:val="22"/>
            </w:rPr>
          </w:pPr>
          <w:r>
            <w:rPr>
              <w:rFonts w:eastAsia="Palatino Linotype" w:cs="Palatino Linotype"/>
              <w:b/>
              <w:sz w:val="22"/>
              <w:szCs w:val="22"/>
            </w:rPr>
            <w:t>Recurso de Revisión:</w:t>
          </w:r>
        </w:p>
      </w:tc>
      <w:tc>
        <w:tcPr>
          <w:tcW w:w="3544" w:type="dxa"/>
          <w:shd w:val="clear" w:color="auto" w:fill="auto"/>
          <w:vAlign w:val="center"/>
        </w:tcPr>
        <w:p w14:paraId="7BDFEDF9" w14:textId="21D1339D" w:rsidR="006C6605" w:rsidRDefault="006C6605">
          <w:pPr>
            <w:ind w:right="175"/>
            <w:jc w:val="both"/>
            <w:rPr>
              <w:rFonts w:eastAsia="Palatino Linotype" w:cs="Palatino Linotype"/>
              <w:b/>
              <w:sz w:val="22"/>
              <w:szCs w:val="22"/>
            </w:rPr>
          </w:pPr>
          <w:r>
            <w:rPr>
              <w:rFonts w:eastAsia="Palatino Linotype" w:cs="Palatino Linotype"/>
              <w:b/>
              <w:sz w:val="22"/>
              <w:szCs w:val="22"/>
            </w:rPr>
            <w:t>05334/INFOEM/IP/RR/2021</w:t>
          </w:r>
        </w:p>
      </w:tc>
    </w:tr>
    <w:tr w:rsidR="006C6605" w14:paraId="52649546" w14:textId="77777777" w:rsidTr="006C6605">
      <w:trPr>
        <w:trHeight w:val="228"/>
      </w:trPr>
      <w:tc>
        <w:tcPr>
          <w:tcW w:w="2409" w:type="dxa"/>
          <w:shd w:val="clear" w:color="auto" w:fill="auto"/>
          <w:vAlign w:val="center"/>
        </w:tcPr>
        <w:p w14:paraId="5B9E8F92" w14:textId="77777777" w:rsidR="006C6605" w:rsidRDefault="006C6605">
          <w:pPr>
            <w:rPr>
              <w:rFonts w:eastAsia="Palatino Linotype" w:cs="Palatino Linotype"/>
              <w:b/>
              <w:sz w:val="22"/>
              <w:szCs w:val="22"/>
            </w:rPr>
          </w:pPr>
          <w:r>
            <w:rPr>
              <w:rFonts w:eastAsia="Palatino Linotype" w:cs="Palatino Linotype"/>
              <w:b/>
              <w:sz w:val="22"/>
              <w:szCs w:val="22"/>
            </w:rPr>
            <w:t>Sujeto Obligado:</w:t>
          </w:r>
        </w:p>
      </w:tc>
      <w:tc>
        <w:tcPr>
          <w:tcW w:w="3544" w:type="dxa"/>
          <w:shd w:val="clear" w:color="auto" w:fill="auto"/>
          <w:vAlign w:val="center"/>
        </w:tcPr>
        <w:p w14:paraId="6CF6C807" w14:textId="6ACDB901" w:rsidR="006C6605" w:rsidRDefault="006C6605">
          <w:pPr>
            <w:ind w:left="-45" w:right="176"/>
            <w:jc w:val="both"/>
            <w:rPr>
              <w:rFonts w:eastAsia="Palatino Linotype" w:cs="Palatino Linotype"/>
              <w:b/>
              <w:sz w:val="22"/>
              <w:szCs w:val="22"/>
            </w:rPr>
          </w:pPr>
          <w:r w:rsidRPr="00AD2FEB">
            <w:rPr>
              <w:rFonts w:eastAsia="Palatino Linotype" w:cs="Palatino Linotype"/>
              <w:b/>
              <w:sz w:val="22"/>
              <w:szCs w:val="22"/>
            </w:rPr>
            <w:t>Secretaría de Movilidad</w:t>
          </w:r>
        </w:p>
      </w:tc>
    </w:tr>
    <w:tr w:rsidR="006C6605" w14:paraId="11D9D036" w14:textId="77777777" w:rsidTr="006C6605">
      <w:tc>
        <w:tcPr>
          <w:tcW w:w="2409" w:type="dxa"/>
          <w:shd w:val="clear" w:color="auto" w:fill="auto"/>
          <w:vAlign w:val="center"/>
        </w:tcPr>
        <w:p w14:paraId="77BF8B73" w14:textId="77777777" w:rsidR="006C6605" w:rsidRDefault="006C6605">
          <w:pPr>
            <w:ind w:right="-108"/>
            <w:rPr>
              <w:rFonts w:eastAsia="Palatino Linotype" w:cs="Palatino Linotype"/>
              <w:b/>
              <w:sz w:val="22"/>
              <w:szCs w:val="22"/>
            </w:rPr>
          </w:pPr>
          <w:r>
            <w:rPr>
              <w:rFonts w:eastAsia="Palatino Linotype" w:cs="Palatino Linotype"/>
              <w:b/>
              <w:sz w:val="22"/>
              <w:szCs w:val="22"/>
            </w:rPr>
            <w:t>Comisionada ponente:</w:t>
          </w:r>
        </w:p>
      </w:tc>
      <w:tc>
        <w:tcPr>
          <w:tcW w:w="3544" w:type="dxa"/>
          <w:shd w:val="clear" w:color="auto" w:fill="auto"/>
          <w:vAlign w:val="center"/>
        </w:tcPr>
        <w:p w14:paraId="0A559FA2" w14:textId="77777777" w:rsidR="006C6605" w:rsidRDefault="006C6605">
          <w:pPr>
            <w:ind w:right="175"/>
            <w:jc w:val="both"/>
            <w:rPr>
              <w:rFonts w:eastAsia="Palatino Linotype" w:cs="Palatino Linotype"/>
              <w:b/>
              <w:sz w:val="22"/>
              <w:szCs w:val="22"/>
            </w:rPr>
          </w:pPr>
          <w:r>
            <w:rPr>
              <w:rFonts w:eastAsia="Palatino Linotype" w:cs="Palatino Linotype"/>
              <w:b/>
              <w:sz w:val="22"/>
              <w:szCs w:val="22"/>
            </w:rPr>
            <w:t>Guadalupe Ramírez Peña</w:t>
          </w:r>
        </w:p>
      </w:tc>
    </w:tr>
  </w:tbl>
  <w:p w14:paraId="6C157098" w14:textId="77777777" w:rsidR="006C6605" w:rsidRDefault="006C6605">
    <w:pPr>
      <w:pBdr>
        <w:top w:val="nil"/>
        <w:left w:val="nil"/>
        <w:bottom w:val="nil"/>
        <w:right w:val="nil"/>
        <w:between w:val="nil"/>
      </w:pBdr>
      <w:tabs>
        <w:tab w:val="center" w:pos="4252"/>
        <w:tab w:val="right" w:pos="8504"/>
        <w:tab w:val="left" w:pos="2326"/>
      </w:tabs>
      <w:rPr>
        <w:rFonts w:ascii="Cambria" w:eastAsia="Cambria" w:hAnsi="Cambria" w:cs="Cambria"/>
        <w:color w:val="000000"/>
      </w:rPr>
    </w:pPr>
    <w:r>
      <w:rPr>
        <w:rFonts w:ascii="Cambria" w:eastAsia="Cambria" w:hAnsi="Cambria" w:cs="Cambria"/>
        <w:color w:val="000000"/>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483C93" w14:textId="279A71AC" w:rsidR="006C6605" w:rsidRDefault="006C6605">
    <w:pPr>
      <w:widowControl w:val="0"/>
      <w:pBdr>
        <w:top w:val="nil"/>
        <w:left w:val="nil"/>
        <w:bottom w:val="nil"/>
        <w:right w:val="nil"/>
        <w:between w:val="nil"/>
      </w:pBdr>
      <w:spacing w:line="276" w:lineRule="auto"/>
      <w:rPr>
        <w:rFonts w:eastAsia="Palatino Linotype" w:cs="Palatino Linotype"/>
        <w:color w:val="000000"/>
        <w:sz w:val="16"/>
        <w:szCs w:val="16"/>
      </w:rPr>
    </w:pPr>
    <w:r>
      <w:rPr>
        <w:noProof/>
        <w:lang w:val="es-MX"/>
      </w:rPr>
      <w:drawing>
        <wp:anchor distT="0" distB="0" distL="0" distR="0" simplePos="0" relativeHeight="251659264" behindDoc="1" locked="0" layoutInCell="1" hidden="0" allowOverlap="1" wp14:anchorId="58F895D2" wp14:editId="1F7EFA8D">
          <wp:simplePos x="0" y="0"/>
          <wp:positionH relativeFrom="page">
            <wp:align>left</wp:align>
          </wp:positionH>
          <wp:positionV relativeFrom="paragraph">
            <wp:posOffset>-225425</wp:posOffset>
          </wp:positionV>
          <wp:extent cx="7809865" cy="10165715"/>
          <wp:effectExtent l="0" t="0" r="635" b="6985"/>
          <wp:wrapNone/>
          <wp:docPr id="2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7809865" cy="10165715"/>
                  </a:xfrm>
                  <a:prstGeom prst="rect">
                    <a:avLst/>
                  </a:prstGeom>
                  <a:ln/>
                </pic:spPr>
              </pic:pic>
            </a:graphicData>
          </a:graphic>
          <wp14:sizeRelH relativeFrom="margin">
            <wp14:pctWidth>0</wp14:pctWidth>
          </wp14:sizeRelH>
          <wp14:sizeRelV relativeFrom="margin">
            <wp14:pctHeight>0</wp14:pctHeight>
          </wp14:sizeRelV>
        </wp:anchor>
      </w:drawing>
    </w:r>
  </w:p>
  <w:tbl>
    <w:tblPr>
      <w:tblStyle w:val="a0"/>
      <w:tblW w:w="5670" w:type="dxa"/>
      <w:tblInd w:w="3261" w:type="dxa"/>
      <w:tblLayout w:type="fixed"/>
      <w:tblLook w:val="0400" w:firstRow="0" w:lastRow="0" w:firstColumn="0" w:lastColumn="0" w:noHBand="0" w:noVBand="1"/>
    </w:tblPr>
    <w:tblGrid>
      <w:gridCol w:w="2551"/>
      <w:gridCol w:w="3119"/>
    </w:tblGrid>
    <w:tr w:rsidR="006C6605" w14:paraId="4C9F7ADD" w14:textId="77777777">
      <w:tc>
        <w:tcPr>
          <w:tcW w:w="2551" w:type="dxa"/>
          <w:shd w:val="clear" w:color="auto" w:fill="auto"/>
          <w:vAlign w:val="center"/>
        </w:tcPr>
        <w:p w14:paraId="0A48B14B" w14:textId="77777777" w:rsidR="006C6605" w:rsidRDefault="006C6605">
          <w:pPr>
            <w:rPr>
              <w:rFonts w:eastAsia="Palatino Linotype" w:cs="Palatino Linotype"/>
              <w:b/>
              <w:sz w:val="22"/>
              <w:szCs w:val="22"/>
            </w:rPr>
          </w:pPr>
          <w:r>
            <w:rPr>
              <w:rFonts w:eastAsia="Palatino Linotype" w:cs="Palatino Linotype"/>
              <w:b/>
              <w:sz w:val="22"/>
              <w:szCs w:val="22"/>
            </w:rPr>
            <w:t>Recurso de Revisión:</w:t>
          </w:r>
        </w:p>
      </w:tc>
      <w:tc>
        <w:tcPr>
          <w:tcW w:w="3119" w:type="dxa"/>
          <w:shd w:val="clear" w:color="auto" w:fill="auto"/>
          <w:vAlign w:val="center"/>
        </w:tcPr>
        <w:p w14:paraId="21C639AE" w14:textId="38057634" w:rsidR="006C6605" w:rsidRDefault="006C6605">
          <w:pPr>
            <w:tabs>
              <w:tab w:val="left" w:pos="3153"/>
            </w:tabs>
            <w:ind w:left="-45"/>
            <w:jc w:val="both"/>
            <w:rPr>
              <w:rFonts w:eastAsia="Palatino Linotype" w:cs="Palatino Linotype"/>
              <w:b/>
              <w:sz w:val="22"/>
              <w:szCs w:val="22"/>
            </w:rPr>
          </w:pPr>
          <w:r>
            <w:rPr>
              <w:rFonts w:eastAsia="Palatino Linotype" w:cs="Palatino Linotype"/>
              <w:b/>
              <w:sz w:val="22"/>
              <w:szCs w:val="22"/>
            </w:rPr>
            <w:t>05334/INFOEM/IP/RR/2021</w:t>
          </w:r>
        </w:p>
      </w:tc>
    </w:tr>
    <w:tr w:rsidR="006C6605" w14:paraId="7BB4B3CE" w14:textId="77777777">
      <w:trPr>
        <w:trHeight w:val="130"/>
      </w:trPr>
      <w:tc>
        <w:tcPr>
          <w:tcW w:w="2551" w:type="dxa"/>
          <w:shd w:val="clear" w:color="auto" w:fill="auto"/>
          <w:vAlign w:val="center"/>
        </w:tcPr>
        <w:p w14:paraId="1D394209" w14:textId="012C065A" w:rsidR="006C6605" w:rsidRDefault="006C6605">
          <w:pPr>
            <w:rPr>
              <w:rFonts w:eastAsia="Palatino Linotype" w:cs="Palatino Linotype"/>
              <w:b/>
              <w:sz w:val="22"/>
              <w:szCs w:val="22"/>
            </w:rPr>
          </w:pPr>
          <w:r>
            <w:rPr>
              <w:rFonts w:eastAsia="Palatino Linotype" w:cs="Palatino Linotype"/>
              <w:b/>
              <w:sz w:val="22"/>
              <w:szCs w:val="22"/>
            </w:rPr>
            <w:t>Recurrente:</w:t>
          </w:r>
        </w:p>
      </w:tc>
      <w:tc>
        <w:tcPr>
          <w:tcW w:w="3119" w:type="dxa"/>
          <w:shd w:val="clear" w:color="auto" w:fill="auto"/>
          <w:vAlign w:val="center"/>
        </w:tcPr>
        <w:p w14:paraId="38A70D44" w14:textId="152C3CA1" w:rsidR="006C6605" w:rsidRDefault="001B141F" w:rsidP="001B141F">
          <w:pPr>
            <w:ind w:left="-45"/>
            <w:jc w:val="both"/>
            <w:rPr>
              <w:rFonts w:eastAsia="Palatino Linotype" w:cs="Palatino Linotype"/>
              <w:b/>
              <w:sz w:val="22"/>
              <w:szCs w:val="22"/>
            </w:rPr>
          </w:pPr>
          <w:proofErr w:type="spellStart"/>
          <w:r>
            <w:rPr>
              <w:rFonts w:eastAsia="Palatino Linotype" w:cs="Palatino Linotype"/>
              <w:b/>
              <w:sz w:val="22"/>
              <w:szCs w:val="22"/>
            </w:rPr>
            <w:t>Xxxxx</w:t>
          </w:r>
          <w:proofErr w:type="spellEnd"/>
          <w:r w:rsidR="006C6605" w:rsidRPr="00AD2FEB">
            <w:rPr>
              <w:rFonts w:eastAsia="Palatino Linotype" w:cs="Palatino Linotype"/>
              <w:b/>
              <w:sz w:val="22"/>
              <w:szCs w:val="22"/>
            </w:rPr>
            <w:t xml:space="preserve"> </w:t>
          </w:r>
          <w:proofErr w:type="spellStart"/>
          <w:r>
            <w:rPr>
              <w:rFonts w:eastAsia="Palatino Linotype" w:cs="Palatino Linotype"/>
              <w:b/>
              <w:sz w:val="22"/>
              <w:szCs w:val="22"/>
            </w:rPr>
            <w:t>Xxxxxxx</w:t>
          </w:r>
          <w:proofErr w:type="spellEnd"/>
          <w:r w:rsidR="006C6605">
            <w:rPr>
              <w:rFonts w:eastAsia="Palatino Linotype" w:cs="Palatino Linotype"/>
              <w:b/>
              <w:sz w:val="22"/>
              <w:szCs w:val="22"/>
            </w:rPr>
            <w:t xml:space="preserve"> </w:t>
          </w:r>
          <w:proofErr w:type="spellStart"/>
          <w:r>
            <w:rPr>
              <w:rFonts w:eastAsia="Palatino Linotype" w:cs="Palatino Linotype"/>
              <w:b/>
              <w:sz w:val="22"/>
              <w:szCs w:val="22"/>
            </w:rPr>
            <w:t>Xxxx</w:t>
          </w:r>
          <w:proofErr w:type="spellEnd"/>
          <w:r w:rsidR="006C6605" w:rsidRPr="00AD2FEB">
            <w:rPr>
              <w:rFonts w:eastAsia="Palatino Linotype" w:cs="Palatino Linotype"/>
              <w:b/>
              <w:sz w:val="22"/>
              <w:szCs w:val="22"/>
            </w:rPr>
            <w:tab/>
          </w:r>
          <w:proofErr w:type="spellStart"/>
          <w:r>
            <w:rPr>
              <w:rFonts w:eastAsia="Palatino Linotype" w:cs="Palatino Linotype"/>
              <w:b/>
              <w:sz w:val="22"/>
              <w:szCs w:val="22"/>
            </w:rPr>
            <w:t>Xxxxxxx</w:t>
          </w:r>
          <w:proofErr w:type="spellEnd"/>
        </w:p>
      </w:tc>
    </w:tr>
    <w:tr w:rsidR="006C6605" w14:paraId="7470DABB" w14:textId="77777777">
      <w:trPr>
        <w:trHeight w:val="228"/>
      </w:trPr>
      <w:tc>
        <w:tcPr>
          <w:tcW w:w="2551" w:type="dxa"/>
          <w:shd w:val="clear" w:color="auto" w:fill="auto"/>
          <w:vAlign w:val="center"/>
        </w:tcPr>
        <w:p w14:paraId="5E62D853" w14:textId="77777777" w:rsidR="006C6605" w:rsidRDefault="006C6605">
          <w:pPr>
            <w:rPr>
              <w:rFonts w:eastAsia="Palatino Linotype" w:cs="Palatino Linotype"/>
              <w:b/>
              <w:sz w:val="22"/>
              <w:szCs w:val="22"/>
            </w:rPr>
          </w:pPr>
          <w:r>
            <w:rPr>
              <w:rFonts w:eastAsia="Palatino Linotype" w:cs="Palatino Linotype"/>
              <w:b/>
              <w:sz w:val="22"/>
              <w:szCs w:val="22"/>
            </w:rPr>
            <w:t>Sujeto obligado:</w:t>
          </w:r>
        </w:p>
      </w:tc>
      <w:tc>
        <w:tcPr>
          <w:tcW w:w="3119" w:type="dxa"/>
          <w:shd w:val="clear" w:color="auto" w:fill="auto"/>
          <w:vAlign w:val="center"/>
        </w:tcPr>
        <w:p w14:paraId="1111D6F9" w14:textId="7ABC5F21" w:rsidR="006C6605" w:rsidRDefault="006C6605">
          <w:pPr>
            <w:ind w:left="-45" w:right="176"/>
            <w:jc w:val="both"/>
            <w:rPr>
              <w:rFonts w:eastAsia="Palatino Linotype" w:cs="Palatino Linotype"/>
              <w:b/>
              <w:sz w:val="22"/>
              <w:szCs w:val="22"/>
            </w:rPr>
          </w:pPr>
          <w:r w:rsidRPr="00AD2FEB">
            <w:rPr>
              <w:rFonts w:eastAsia="Palatino Linotype" w:cs="Palatino Linotype"/>
              <w:b/>
              <w:sz w:val="22"/>
              <w:szCs w:val="22"/>
            </w:rPr>
            <w:t>Secretaría de Movilidad</w:t>
          </w:r>
        </w:p>
      </w:tc>
    </w:tr>
    <w:tr w:rsidR="006C6605" w14:paraId="038F5042" w14:textId="77777777">
      <w:tc>
        <w:tcPr>
          <w:tcW w:w="2551" w:type="dxa"/>
          <w:shd w:val="clear" w:color="auto" w:fill="auto"/>
          <w:vAlign w:val="center"/>
        </w:tcPr>
        <w:p w14:paraId="288434B1" w14:textId="77777777" w:rsidR="006C6605" w:rsidRDefault="006C6605">
          <w:pPr>
            <w:rPr>
              <w:rFonts w:eastAsia="Palatino Linotype" w:cs="Palatino Linotype"/>
              <w:b/>
              <w:sz w:val="22"/>
              <w:szCs w:val="22"/>
            </w:rPr>
          </w:pPr>
          <w:r>
            <w:rPr>
              <w:rFonts w:eastAsia="Palatino Linotype" w:cs="Palatino Linotype"/>
              <w:b/>
              <w:sz w:val="22"/>
              <w:szCs w:val="22"/>
            </w:rPr>
            <w:t>Comisionada ponente:</w:t>
          </w:r>
        </w:p>
      </w:tc>
      <w:tc>
        <w:tcPr>
          <w:tcW w:w="3119" w:type="dxa"/>
          <w:shd w:val="clear" w:color="auto" w:fill="auto"/>
          <w:vAlign w:val="center"/>
        </w:tcPr>
        <w:p w14:paraId="72E62E68" w14:textId="77777777" w:rsidR="006C6605" w:rsidRDefault="006C6605">
          <w:pPr>
            <w:ind w:left="-45" w:right="-533"/>
            <w:jc w:val="both"/>
            <w:rPr>
              <w:rFonts w:eastAsia="Palatino Linotype" w:cs="Palatino Linotype"/>
              <w:b/>
              <w:sz w:val="22"/>
              <w:szCs w:val="22"/>
            </w:rPr>
          </w:pPr>
          <w:r>
            <w:rPr>
              <w:rFonts w:eastAsia="Palatino Linotype" w:cs="Palatino Linotype"/>
              <w:b/>
              <w:sz w:val="22"/>
              <w:szCs w:val="22"/>
            </w:rPr>
            <w:t>Guadalupe Ramírez Peña</w:t>
          </w:r>
        </w:p>
      </w:tc>
    </w:tr>
  </w:tbl>
  <w:p w14:paraId="2C06ACD9" w14:textId="47D669E3" w:rsidR="006C6605" w:rsidRDefault="006C6605">
    <w:pPr>
      <w:pBdr>
        <w:top w:val="nil"/>
        <w:left w:val="nil"/>
        <w:bottom w:val="nil"/>
        <w:right w:val="nil"/>
        <w:between w:val="nil"/>
      </w:pBdr>
      <w:tabs>
        <w:tab w:val="center" w:pos="4252"/>
        <w:tab w:val="right" w:pos="8504"/>
      </w:tabs>
      <w:rPr>
        <w:rFonts w:ascii="Cambria" w:eastAsia="Cambria" w:hAnsi="Cambria" w:cs="Cambria"/>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B02C25E8"/>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5CD34E7"/>
    <w:multiLevelType w:val="hybridMultilevel"/>
    <w:tmpl w:val="778228A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704583B"/>
    <w:multiLevelType w:val="hybridMultilevel"/>
    <w:tmpl w:val="56989BFC"/>
    <w:lvl w:ilvl="0" w:tplc="066E2BF2">
      <w:start w:val="1"/>
      <w:numFmt w:val="decimal"/>
      <w:lvlText w:val="%1."/>
      <w:lvlJc w:val="left"/>
      <w:pPr>
        <w:ind w:left="420" w:hanging="360"/>
      </w:pPr>
      <w:rPr>
        <w:rFonts w:hint="default"/>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3" w15:restartNumberingAfterBreak="0">
    <w:nsid w:val="0A214E90"/>
    <w:multiLevelType w:val="hybridMultilevel"/>
    <w:tmpl w:val="3CE818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D466C52"/>
    <w:multiLevelType w:val="hybridMultilevel"/>
    <w:tmpl w:val="3CA26334"/>
    <w:lvl w:ilvl="0" w:tplc="080A000F">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F60793A"/>
    <w:multiLevelType w:val="hybridMultilevel"/>
    <w:tmpl w:val="C0168D9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C5A6767"/>
    <w:multiLevelType w:val="hybridMultilevel"/>
    <w:tmpl w:val="56989BFC"/>
    <w:lvl w:ilvl="0" w:tplc="066E2BF2">
      <w:start w:val="1"/>
      <w:numFmt w:val="decimal"/>
      <w:lvlText w:val="%1."/>
      <w:lvlJc w:val="left"/>
      <w:pPr>
        <w:ind w:left="420" w:hanging="360"/>
      </w:pPr>
      <w:rPr>
        <w:rFonts w:hint="default"/>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7" w15:restartNumberingAfterBreak="0">
    <w:nsid w:val="2A3E3B87"/>
    <w:multiLevelType w:val="hybridMultilevel"/>
    <w:tmpl w:val="148E0B98"/>
    <w:lvl w:ilvl="0" w:tplc="77EE719E">
      <w:start w:val="1"/>
      <w:numFmt w:val="decimal"/>
      <w:lvlText w:val="%1."/>
      <w:lvlJc w:val="left"/>
      <w:pPr>
        <w:ind w:left="720" w:hanging="360"/>
      </w:pPr>
      <w:rPr>
        <w:rFonts w:ascii="Palatino Linotype" w:hAnsi="Palatino Linotype"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91C1707"/>
    <w:multiLevelType w:val="hybridMultilevel"/>
    <w:tmpl w:val="8A462328"/>
    <w:lvl w:ilvl="0" w:tplc="FFFFFFFF">
      <w:start w:val="1"/>
      <w:numFmt w:val="lowerLetter"/>
      <w:lvlText w:val="%1."/>
      <w:lvlJc w:val="left"/>
      <w:pPr>
        <w:ind w:left="1080" w:hanging="360"/>
      </w:pPr>
      <w:rPr>
        <w:rFonts w:ascii="Palatino Linotype" w:eastAsia="Palatino Linotype" w:hAnsi="Palatino Linotype" w:cs="Palatino Linotype"/>
        <w:b w:val="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 w15:restartNumberingAfterBreak="0">
    <w:nsid w:val="3D0D4A39"/>
    <w:multiLevelType w:val="hybridMultilevel"/>
    <w:tmpl w:val="8A462328"/>
    <w:lvl w:ilvl="0" w:tplc="0994CB5C">
      <w:start w:val="1"/>
      <w:numFmt w:val="lowerLetter"/>
      <w:lvlText w:val="%1."/>
      <w:lvlJc w:val="left"/>
      <w:pPr>
        <w:ind w:left="1080" w:hanging="360"/>
      </w:pPr>
      <w:rPr>
        <w:rFonts w:ascii="Palatino Linotype" w:eastAsia="Palatino Linotype" w:hAnsi="Palatino Linotype" w:cs="Palatino Linotype"/>
        <w:b w:val="0"/>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0" w15:restartNumberingAfterBreak="0">
    <w:nsid w:val="3F265FBF"/>
    <w:multiLevelType w:val="hybridMultilevel"/>
    <w:tmpl w:val="EE14108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41EF1F55"/>
    <w:multiLevelType w:val="hybridMultilevel"/>
    <w:tmpl w:val="906ACA9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42062D92"/>
    <w:multiLevelType w:val="hybridMultilevel"/>
    <w:tmpl w:val="5130FB4E"/>
    <w:lvl w:ilvl="0" w:tplc="7F6E2866">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3" w15:restartNumberingAfterBreak="0">
    <w:nsid w:val="42740DF1"/>
    <w:multiLevelType w:val="hybridMultilevel"/>
    <w:tmpl w:val="3CA26334"/>
    <w:lvl w:ilvl="0" w:tplc="FFFFFFFF">
      <w:start w:val="1"/>
      <w:numFmt w:val="decimal"/>
      <w:lvlText w:val="%1."/>
      <w:lvlJc w:val="left"/>
      <w:pPr>
        <w:ind w:left="72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45D6643C"/>
    <w:multiLevelType w:val="hybridMultilevel"/>
    <w:tmpl w:val="C2C486B8"/>
    <w:lvl w:ilvl="0" w:tplc="080A0017">
      <w:start w:val="1"/>
      <w:numFmt w:val="lowerLetter"/>
      <w:lvlText w:val="%1)"/>
      <w:lvlJc w:val="left"/>
      <w:pPr>
        <w:ind w:left="1800" w:hanging="360"/>
      </w:pPr>
      <w:rPr>
        <w:rFonts w:ascii="Times New Roman" w:hAnsi="Times New Roman" w:cs="Times New Roman" w:hint="default"/>
      </w:rPr>
    </w:lvl>
    <w:lvl w:ilvl="1" w:tplc="080A0019">
      <w:start w:val="1"/>
      <w:numFmt w:val="lowerLetter"/>
      <w:lvlText w:val="%2."/>
      <w:lvlJc w:val="left"/>
      <w:pPr>
        <w:ind w:left="2520" w:hanging="360"/>
      </w:pPr>
    </w:lvl>
    <w:lvl w:ilvl="2" w:tplc="080A001B">
      <w:start w:val="1"/>
      <w:numFmt w:val="lowerRoman"/>
      <w:lvlText w:val="%3."/>
      <w:lvlJc w:val="right"/>
      <w:pPr>
        <w:ind w:left="3240" w:hanging="180"/>
      </w:pPr>
    </w:lvl>
    <w:lvl w:ilvl="3" w:tplc="080A000F">
      <w:start w:val="1"/>
      <w:numFmt w:val="decimal"/>
      <w:lvlText w:val="%4."/>
      <w:lvlJc w:val="left"/>
      <w:pPr>
        <w:ind w:left="3960" w:hanging="360"/>
      </w:pPr>
    </w:lvl>
    <w:lvl w:ilvl="4" w:tplc="080A0019">
      <w:start w:val="1"/>
      <w:numFmt w:val="lowerLetter"/>
      <w:lvlText w:val="%5."/>
      <w:lvlJc w:val="left"/>
      <w:pPr>
        <w:ind w:left="4680" w:hanging="360"/>
      </w:pPr>
    </w:lvl>
    <w:lvl w:ilvl="5" w:tplc="080A001B">
      <w:start w:val="1"/>
      <w:numFmt w:val="lowerRoman"/>
      <w:lvlText w:val="%6."/>
      <w:lvlJc w:val="right"/>
      <w:pPr>
        <w:ind w:left="5400" w:hanging="180"/>
      </w:pPr>
    </w:lvl>
    <w:lvl w:ilvl="6" w:tplc="080A000F">
      <w:start w:val="1"/>
      <w:numFmt w:val="decimal"/>
      <w:lvlText w:val="%7."/>
      <w:lvlJc w:val="left"/>
      <w:pPr>
        <w:ind w:left="6120" w:hanging="360"/>
      </w:pPr>
    </w:lvl>
    <w:lvl w:ilvl="7" w:tplc="080A0019">
      <w:start w:val="1"/>
      <w:numFmt w:val="lowerLetter"/>
      <w:lvlText w:val="%8."/>
      <w:lvlJc w:val="left"/>
      <w:pPr>
        <w:ind w:left="6840" w:hanging="360"/>
      </w:pPr>
    </w:lvl>
    <w:lvl w:ilvl="8" w:tplc="080A001B">
      <w:start w:val="1"/>
      <w:numFmt w:val="lowerRoman"/>
      <w:lvlText w:val="%9."/>
      <w:lvlJc w:val="right"/>
      <w:pPr>
        <w:ind w:left="7560" w:hanging="180"/>
      </w:pPr>
    </w:lvl>
  </w:abstractNum>
  <w:abstractNum w:abstractNumId="15" w15:restartNumberingAfterBreak="0">
    <w:nsid w:val="4B360930"/>
    <w:multiLevelType w:val="hybridMultilevel"/>
    <w:tmpl w:val="8CA4F9C2"/>
    <w:lvl w:ilvl="0" w:tplc="E5A2F9D8">
      <w:start w:val="1"/>
      <w:numFmt w:val="decimal"/>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6" w15:restartNumberingAfterBreak="0">
    <w:nsid w:val="50BA2311"/>
    <w:multiLevelType w:val="multilevel"/>
    <w:tmpl w:val="F66C125C"/>
    <w:lvl w:ilvl="0">
      <w:start w:val="3"/>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59986DCE"/>
    <w:multiLevelType w:val="hybridMultilevel"/>
    <w:tmpl w:val="B10A64F4"/>
    <w:lvl w:ilvl="0" w:tplc="6A0840A0">
      <w:start w:val="1"/>
      <w:numFmt w:val="decimal"/>
      <w:lvlText w:val="%1."/>
      <w:lvlJc w:val="left"/>
      <w:pPr>
        <w:ind w:left="927" w:hanging="360"/>
      </w:pPr>
      <w:rPr>
        <w:rFonts w:ascii="Palatino Linotype" w:eastAsia="Times New Roman" w:hAnsi="Palatino Linotype" w:cs="Times New Roman"/>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8" w15:restartNumberingAfterBreak="0">
    <w:nsid w:val="5AD01C39"/>
    <w:multiLevelType w:val="multilevel"/>
    <w:tmpl w:val="F18AE8D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5D67723C"/>
    <w:multiLevelType w:val="multilevel"/>
    <w:tmpl w:val="7A349094"/>
    <w:lvl w:ilvl="0">
      <w:start w:val="1"/>
      <w:numFmt w:val="decimal"/>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20" w15:restartNumberingAfterBreak="0">
    <w:nsid w:val="66173E90"/>
    <w:multiLevelType w:val="hybridMultilevel"/>
    <w:tmpl w:val="6CF6B648"/>
    <w:lvl w:ilvl="0" w:tplc="7122AD4A">
      <w:start w:val="10"/>
      <w:numFmt w:val="bullet"/>
      <w:lvlText w:val="-"/>
      <w:lvlJc w:val="left"/>
      <w:pPr>
        <w:ind w:left="720" w:hanging="360"/>
      </w:pPr>
      <w:rPr>
        <w:rFonts w:ascii="Palatino Linotype" w:eastAsia="Times New Roman" w:hAnsi="Palatino Linotype"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70291EA1"/>
    <w:multiLevelType w:val="hybridMultilevel"/>
    <w:tmpl w:val="59B85A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711D22FB"/>
    <w:multiLevelType w:val="hybridMultilevel"/>
    <w:tmpl w:val="B6B84F2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79EE79E2"/>
    <w:multiLevelType w:val="multilevel"/>
    <w:tmpl w:val="3CE46F8A"/>
    <w:lvl w:ilvl="0">
      <w:start w:val="1"/>
      <w:numFmt w:val="upperRoman"/>
      <w:pStyle w:val="Listaconvietas3"/>
      <w:lvlText w:val="%1."/>
      <w:lvlJc w:val="left"/>
      <w:pPr>
        <w:ind w:left="1080" w:hanging="720"/>
      </w:pPr>
    </w:lvl>
    <w:lvl w:ilvl="1">
      <w:start w:val="2"/>
      <w:numFmt w:val="bullet"/>
      <w:lvlText w:val="•"/>
      <w:lvlJc w:val="left"/>
      <w:pPr>
        <w:ind w:left="1440" w:hanging="360"/>
      </w:pPr>
      <w:rPr>
        <w:rFonts w:ascii="Palatino Linotype" w:eastAsia="Palatino Linotype" w:hAnsi="Palatino Linotype" w:cs="Palatino Linotype"/>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9"/>
  </w:num>
  <w:num w:numId="2">
    <w:abstractNumId w:val="23"/>
  </w:num>
  <w:num w:numId="3">
    <w:abstractNumId w:val="16"/>
  </w:num>
  <w:num w:numId="4">
    <w:abstractNumId w:val="18"/>
  </w:num>
  <w:num w:numId="5">
    <w:abstractNumId w:val="4"/>
  </w:num>
  <w:num w:numId="6">
    <w:abstractNumId w:val="9"/>
  </w:num>
  <w:num w:numId="7">
    <w:abstractNumId w:val="13"/>
  </w:num>
  <w:num w:numId="8">
    <w:abstractNumId w:val="8"/>
  </w:num>
  <w:num w:numId="9">
    <w:abstractNumId w:val="22"/>
  </w:num>
  <w:num w:numId="10">
    <w:abstractNumId w:val="1"/>
  </w:num>
  <w:num w:numId="11">
    <w:abstractNumId w:val="12"/>
  </w:num>
  <w:num w:numId="12">
    <w:abstractNumId w:val="11"/>
  </w:num>
  <w:num w:numId="13">
    <w:abstractNumId w:val="7"/>
  </w:num>
  <w:num w:numId="14">
    <w:abstractNumId w:val="21"/>
  </w:num>
  <w:num w:numId="15">
    <w:abstractNumId w:val="17"/>
  </w:num>
  <w:num w:numId="1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0"/>
  </w:num>
  <w:num w:numId="18">
    <w:abstractNumId w:val="10"/>
  </w:num>
  <w:num w:numId="19">
    <w:abstractNumId w:val="3"/>
  </w:num>
  <w:num w:numId="20">
    <w:abstractNumId w:val="0"/>
  </w:num>
  <w:num w:numId="21">
    <w:abstractNumId w:val="15"/>
  </w:num>
  <w:num w:numId="22">
    <w:abstractNumId w:val="5"/>
  </w:num>
  <w:num w:numId="23">
    <w:abstractNumId w:val="6"/>
  </w:num>
  <w:num w:numId="24">
    <w:abstractNumId w:val="14"/>
  </w:num>
  <w:num w:numId="2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616B"/>
    <w:rsid w:val="000003AE"/>
    <w:rsid w:val="00000C34"/>
    <w:rsid w:val="00003D14"/>
    <w:rsid w:val="00007487"/>
    <w:rsid w:val="000102A6"/>
    <w:rsid w:val="00016070"/>
    <w:rsid w:val="0002110B"/>
    <w:rsid w:val="000220A6"/>
    <w:rsid w:val="00023525"/>
    <w:rsid w:val="00023939"/>
    <w:rsid w:val="00023D12"/>
    <w:rsid w:val="00024216"/>
    <w:rsid w:val="00025FD7"/>
    <w:rsid w:val="00027CC1"/>
    <w:rsid w:val="00032A5C"/>
    <w:rsid w:val="00034B62"/>
    <w:rsid w:val="000363C7"/>
    <w:rsid w:val="00036C97"/>
    <w:rsid w:val="000424FA"/>
    <w:rsid w:val="000444D6"/>
    <w:rsid w:val="00045A37"/>
    <w:rsid w:val="00046633"/>
    <w:rsid w:val="00047860"/>
    <w:rsid w:val="0005644B"/>
    <w:rsid w:val="00056F8B"/>
    <w:rsid w:val="00060BE1"/>
    <w:rsid w:val="00061C7E"/>
    <w:rsid w:val="00063B02"/>
    <w:rsid w:val="000644B8"/>
    <w:rsid w:val="000669F4"/>
    <w:rsid w:val="000723A2"/>
    <w:rsid w:val="00074D15"/>
    <w:rsid w:val="0007509E"/>
    <w:rsid w:val="000776B6"/>
    <w:rsid w:val="00077DB2"/>
    <w:rsid w:val="000806A8"/>
    <w:rsid w:val="00082494"/>
    <w:rsid w:val="00083671"/>
    <w:rsid w:val="000851A7"/>
    <w:rsid w:val="00085680"/>
    <w:rsid w:val="000865EF"/>
    <w:rsid w:val="00092C10"/>
    <w:rsid w:val="00094463"/>
    <w:rsid w:val="00095C85"/>
    <w:rsid w:val="000970CB"/>
    <w:rsid w:val="00097AE4"/>
    <w:rsid w:val="000A0F42"/>
    <w:rsid w:val="000A4B72"/>
    <w:rsid w:val="000B073E"/>
    <w:rsid w:val="000B1889"/>
    <w:rsid w:val="000B24EB"/>
    <w:rsid w:val="000B39D5"/>
    <w:rsid w:val="000B44E0"/>
    <w:rsid w:val="000B46E0"/>
    <w:rsid w:val="000B48E8"/>
    <w:rsid w:val="000B522C"/>
    <w:rsid w:val="000B6312"/>
    <w:rsid w:val="000B70D1"/>
    <w:rsid w:val="000B7CB6"/>
    <w:rsid w:val="000B7DFB"/>
    <w:rsid w:val="000C0064"/>
    <w:rsid w:val="000C199F"/>
    <w:rsid w:val="000C54BE"/>
    <w:rsid w:val="000C6ED2"/>
    <w:rsid w:val="000D13EE"/>
    <w:rsid w:val="000D2CBC"/>
    <w:rsid w:val="000D3A56"/>
    <w:rsid w:val="000D514C"/>
    <w:rsid w:val="000D52A9"/>
    <w:rsid w:val="000D5A79"/>
    <w:rsid w:val="000E0A57"/>
    <w:rsid w:val="000E1175"/>
    <w:rsid w:val="000E5AF8"/>
    <w:rsid w:val="000E7115"/>
    <w:rsid w:val="000F0BE4"/>
    <w:rsid w:val="000F0FCA"/>
    <w:rsid w:val="000F3F42"/>
    <w:rsid w:val="000F41CF"/>
    <w:rsid w:val="000F48F0"/>
    <w:rsid w:val="000F66FC"/>
    <w:rsid w:val="000F68AE"/>
    <w:rsid w:val="000F7377"/>
    <w:rsid w:val="000F73A4"/>
    <w:rsid w:val="00100C87"/>
    <w:rsid w:val="00100DEF"/>
    <w:rsid w:val="00101963"/>
    <w:rsid w:val="00102356"/>
    <w:rsid w:val="00103906"/>
    <w:rsid w:val="00103F25"/>
    <w:rsid w:val="00104B52"/>
    <w:rsid w:val="00105A56"/>
    <w:rsid w:val="001078CB"/>
    <w:rsid w:val="00111705"/>
    <w:rsid w:val="00112B16"/>
    <w:rsid w:val="00113A13"/>
    <w:rsid w:val="00113B6D"/>
    <w:rsid w:val="001178AD"/>
    <w:rsid w:val="00120700"/>
    <w:rsid w:val="00120E28"/>
    <w:rsid w:val="00121568"/>
    <w:rsid w:val="00125AF3"/>
    <w:rsid w:val="00127CE5"/>
    <w:rsid w:val="00130BF6"/>
    <w:rsid w:val="0013167F"/>
    <w:rsid w:val="00132507"/>
    <w:rsid w:val="001328BA"/>
    <w:rsid w:val="00132F9D"/>
    <w:rsid w:val="0013448A"/>
    <w:rsid w:val="00140C23"/>
    <w:rsid w:val="00141A45"/>
    <w:rsid w:val="00146841"/>
    <w:rsid w:val="001506F9"/>
    <w:rsid w:val="00151536"/>
    <w:rsid w:val="00152912"/>
    <w:rsid w:val="00152B40"/>
    <w:rsid w:val="00152D4E"/>
    <w:rsid w:val="00153025"/>
    <w:rsid w:val="00154924"/>
    <w:rsid w:val="00156883"/>
    <w:rsid w:val="00156FAB"/>
    <w:rsid w:val="00157F80"/>
    <w:rsid w:val="001603A1"/>
    <w:rsid w:val="001604C8"/>
    <w:rsid w:val="00162492"/>
    <w:rsid w:val="00164747"/>
    <w:rsid w:val="00170354"/>
    <w:rsid w:val="00172D0D"/>
    <w:rsid w:val="0018223E"/>
    <w:rsid w:val="00182884"/>
    <w:rsid w:val="00183B0B"/>
    <w:rsid w:val="00184370"/>
    <w:rsid w:val="001913AD"/>
    <w:rsid w:val="001944CB"/>
    <w:rsid w:val="001948CA"/>
    <w:rsid w:val="00194F58"/>
    <w:rsid w:val="001A1108"/>
    <w:rsid w:val="001A2579"/>
    <w:rsid w:val="001A4150"/>
    <w:rsid w:val="001A4D15"/>
    <w:rsid w:val="001A6C29"/>
    <w:rsid w:val="001B0B36"/>
    <w:rsid w:val="001B0F00"/>
    <w:rsid w:val="001B141F"/>
    <w:rsid w:val="001B2D10"/>
    <w:rsid w:val="001B3BB1"/>
    <w:rsid w:val="001B4641"/>
    <w:rsid w:val="001B6020"/>
    <w:rsid w:val="001B69D7"/>
    <w:rsid w:val="001B73AC"/>
    <w:rsid w:val="001C2965"/>
    <w:rsid w:val="001C3A8E"/>
    <w:rsid w:val="001C3E62"/>
    <w:rsid w:val="001C528B"/>
    <w:rsid w:val="001C551D"/>
    <w:rsid w:val="001D0C88"/>
    <w:rsid w:val="001D17BB"/>
    <w:rsid w:val="001D26F6"/>
    <w:rsid w:val="001D2927"/>
    <w:rsid w:val="001D36C2"/>
    <w:rsid w:val="001D4FCF"/>
    <w:rsid w:val="001D5CC2"/>
    <w:rsid w:val="001D6BEE"/>
    <w:rsid w:val="001D78EB"/>
    <w:rsid w:val="001E0B4F"/>
    <w:rsid w:val="001E29AC"/>
    <w:rsid w:val="001E703D"/>
    <w:rsid w:val="001F50F8"/>
    <w:rsid w:val="001F7626"/>
    <w:rsid w:val="00200F44"/>
    <w:rsid w:val="002022B3"/>
    <w:rsid w:val="00205692"/>
    <w:rsid w:val="00207CF2"/>
    <w:rsid w:val="00210249"/>
    <w:rsid w:val="00212E79"/>
    <w:rsid w:val="00212F58"/>
    <w:rsid w:val="00213A40"/>
    <w:rsid w:val="0021415E"/>
    <w:rsid w:val="00214332"/>
    <w:rsid w:val="0021496D"/>
    <w:rsid w:val="00215008"/>
    <w:rsid w:val="00220430"/>
    <w:rsid w:val="00220862"/>
    <w:rsid w:val="00222051"/>
    <w:rsid w:val="0022578A"/>
    <w:rsid w:val="00226105"/>
    <w:rsid w:val="0022634C"/>
    <w:rsid w:val="00227D4C"/>
    <w:rsid w:val="00232A67"/>
    <w:rsid w:val="0023368F"/>
    <w:rsid w:val="00233A97"/>
    <w:rsid w:val="00234179"/>
    <w:rsid w:val="0023602B"/>
    <w:rsid w:val="00240586"/>
    <w:rsid w:val="0024155D"/>
    <w:rsid w:val="00241D59"/>
    <w:rsid w:val="00244F63"/>
    <w:rsid w:val="00244FA0"/>
    <w:rsid w:val="00247854"/>
    <w:rsid w:val="00247EBF"/>
    <w:rsid w:val="002509CB"/>
    <w:rsid w:val="002516F4"/>
    <w:rsid w:val="00254878"/>
    <w:rsid w:val="00254CB6"/>
    <w:rsid w:val="00255267"/>
    <w:rsid w:val="0025568A"/>
    <w:rsid w:val="002613CF"/>
    <w:rsid w:val="00262581"/>
    <w:rsid w:val="00271028"/>
    <w:rsid w:val="00271817"/>
    <w:rsid w:val="002718D9"/>
    <w:rsid w:val="002731F9"/>
    <w:rsid w:val="0027354F"/>
    <w:rsid w:val="0027355E"/>
    <w:rsid w:val="00274683"/>
    <w:rsid w:val="002757E8"/>
    <w:rsid w:val="002772D5"/>
    <w:rsid w:val="002774F9"/>
    <w:rsid w:val="00277753"/>
    <w:rsid w:val="00280880"/>
    <w:rsid w:val="00281691"/>
    <w:rsid w:val="002832AA"/>
    <w:rsid w:val="002917FD"/>
    <w:rsid w:val="00291D50"/>
    <w:rsid w:val="00293180"/>
    <w:rsid w:val="00293506"/>
    <w:rsid w:val="00293560"/>
    <w:rsid w:val="002945A7"/>
    <w:rsid w:val="002968FA"/>
    <w:rsid w:val="00297DB5"/>
    <w:rsid w:val="002A025E"/>
    <w:rsid w:val="002A0C5A"/>
    <w:rsid w:val="002A1E00"/>
    <w:rsid w:val="002A2B11"/>
    <w:rsid w:val="002A731B"/>
    <w:rsid w:val="002B1930"/>
    <w:rsid w:val="002B319A"/>
    <w:rsid w:val="002B31AA"/>
    <w:rsid w:val="002B3A4B"/>
    <w:rsid w:val="002B4986"/>
    <w:rsid w:val="002C3058"/>
    <w:rsid w:val="002C3412"/>
    <w:rsid w:val="002D181C"/>
    <w:rsid w:val="002D197F"/>
    <w:rsid w:val="002D5EAA"/>
    <w:rsid w:val="002E0D92"/>
    <w:rsid w:val="002E1B5F"/>
    <w:rsid w:val="002E275B"/>
    <w:rsid w:val="002E2891"/>
    <w:rsid w:val="002E4DD2"/>
    <w:rsid w:val="002E6E38"/>
    <w:rsid w:val="002E7548"/>
    <w:rsid w:val="002E7E2B"/>
    <w:rsid w:val="002F11BA"/>
    <w:rsid w:val="002F124B"/>
    <w:rsid w:val="002F1E3B"/>
    <w:rsid w:val="002F312A"/>
    <w:rsid w:val="002F33C3"/>
    <w:rsid w:val="002F3EE8"/>
    <w:rsid w:val="002F5510"/>
    <w:rsid w:val="002F60C7"/>
    <w:rsid w:val="003030BF"/>
    <w:rsid w:val="003040C0"/>
    <w:rsid w:val="00305CB6"/>
    <w:rsid w:val="00306103"/>
    <w:rsid w:val="003067BB"/>
    <w:rsid w:val="00310311"/>
    <w:rsid w:val="00310BB3"/>
    <w:rsid w:val="0031129B"/>
    <w:rsid w:val="0031256B"/>
    <w:rsid w:val="00313DD8"/>
    <w:rsid w:val="00313E1D"/>
    <w:rsid w:val="00314E69"/>
    <w:rsid w:val="0031579A"/>
    <w:rsid w:val="0031585B"/>
    <w:rsid w:val="00315CAD"/>
    <w:rsid w:val="00316F3B"/>
    <w:rsid w:val="003227D2"/>
    <w:rsid w:val="00323D77"/>
    <w:rsid w:val="0033037E"/>
    <w:rsid w:val="003323AA"/>
    <w:rsid w:val="00332C4C"/>
    <w:rsid w:val="00333F89"/>
    <w:rsid w:val="003340F0"/>
    <w:rsid w:val="003342AF"/>
    <w:rsid w:val="003352C8"/>
    <w:rsid w:val="003377B8"/>
    <w:rsid w:val="00344AF6"/>
    <w:rsid w:val="00347797"/>
    <w:rsid w:val="00351F65"/>
    <w:rsid w:val="003525B4"/>
    <w:rsid w:val="00353E22"/>
    <w:rsid w:val="00355686"/>
    <w:rsid w:val="003616D9"/>
    <w:rsid w:val="00363387"/>
    <w:rsid w:val="00365A30"/>
    <w:rsid w:val="003660A8"/>
    <w:rsid w:val="00366417"/>
    <w:rsid w:val="00372745"/>
    <w:rsid w:val="003737DF"/>
    <w:rsid w:val="0037516C"/>
    <w:rsid w:val="003762A9"/>
    <w:rsid w:val="00391D91"/>
    <w:rsid w:val="00393DBA"/>
    <w:rsid w:val="0039525D"/>
    <w:rsid w:val="00396C49"/>
    <w:rsid w:val="003A1E5C"/>
    <w:rsid w:val="003A31C4"/>
    <w:rsid w:val="003B041D"/>
    <w:rsid w:val="003B114C"/>
    <w:rsid w:val="003B1E4D"/>
    <w:rsid w:val="003B3C29"/>
    <w:rsid w:val="003B3DDC"/>
    <w:rsid w:val="003B4386"/>
    <w:rsid w:val="003B5211"/>
    <w:rsid w:val="003C2569"/>
    <w:rsid w:val="003C4F86"/>
    <w:rsid w:val="003C5096"/>
    <w:rsid w:val="003C576C"/>
    <w:rsid w:val="003C6051"/>
    <w:rsid w:val="003C6D43"/>
    <w:rsid w:val="003C7A5B"/>
    <w:rsid w:val="003D175F"/>
    <w:rsid w:val="003D2889"/>
    <w:rsid w:val="003D296E"/>
    <w:rsid w:val="003D37C3"/>
    <w:rsid w:val="003D5721"/>
    <w:rsid w:val="003D6AA0"/>
    <w:rsid w:val="003D6BE0"/>
    <w:rsid w:val="003D7878"/>
    <w:rsid w:val="003D7A96"/>
    <w:rsid w:val="003E07A7"/>
    <w:rsid w:val="003E0B56"/>
    <w:rsid w:val="003E3C68"/>
    <w:rsid w:val="003F1D55"/>
    <w:rsid w:val="003F2E5C"/>
    <w:rsid w:val="00400A99"/>
    <w:rsid w:val="0040266A"/>
    <w:rsid w:val="00402DC8"/>
    <w:rsid w:val="00403376"/>
    <w:rsid w:val="004044F4"/>
    <w:rsid w:val="00405871"/>
    <w:rsid w:val="00405B01"/>
    <w:rsid w:val="004125D9"/>
    <w:rsid w:val="00413A02"/>
    <w:rsid w:val="0041629A"/>
    <w:rsid w:val="0042188D"/>
    <w:rsid w:val="00422368"/>
    <w:rsid w:val="00422F85"/>
    <w:rsid w:val="00423262"/>
    <w:rsid w:val="004237E1"/>
    <w:rsid w:val="004318E8"/>
    <w:rsid w:val="00431A15"/>
    <w:rsid w:val="00432132"/>
    <w:rsid w:val="00432182"/>
    <w:rsid w:val="00432D3D"/>
    <w:rsid w:val="00432F56"/>
    <w:rsid w:val="004405F4"/>
    <w:rsid w:val="00440614"/>
    <w:rsid w:val="00442098"/>
    <w:rsid w:val="0044294D"/>
    <w:rsid w:val="00442D7B"/>
    <w:rsid w:val="00444B42"/>
    <w:rsid w:val="00445A8F"/>
    <w:rsid w:val="00445B0E"/>
    <w:rsid w:val="00445FE4"/>
    <w:rsid w:val="0044722A"/>
    <w:rsid w:val="00447533"/>
    <w:rsid w:val="00450029"/>
    <w:rsid w:val="004503A2"/>
    <w:rsid w:val="00450B79"/>
    <w:rsid w:val="0045157E"/>
    <w:rsid w:val="00454BE1"/>
    <w:rsid w:val="00455FD1"/>
    <w:rsid w:val="004560CF"/>
    <w:rsid w:val="00456E3A"/>
    <w:rsid w:val="00456E62"/>
    <w:rsid w:val="00460C7B"/>
    <w:rsid w:val="00461812"/>
    <w:rsid w:val="00463F76"/>
    <w:rsid w:val="00464E28"/>
    <w:rsid w:val="00464EED"/>
    <w:rsid w:val="0046550D"/>
    <w:rsid w:val="00467C92"/>
    <w:rsid w:val="004713BA"/>
    <w:rsid w:val="00474F34"/>
    <w:rsid w:val="0047547D"/>
    <w:rsid w:val="0047611D"/>
    <w:rsid w:val="00477FD8"/>
    <w:rsid w:val="004819CE"/>
    <w:rsid w:val="0048293A"/>
    <w:rsid w:val="00484E61"/>
    <w:rsid w:val="004857BD"/>
    <w:rsid w:val="00485F51"/>
    <w:rsid w:val="00486299"/>
    <w:rsid w:val="00486339"/>
    <w:rsid w:val="004877BC"/>
    <w:rsid w:val="0049412A"/>
    <w:rsid w:val="0049498C"/>
    <w:rsid w:val="0049789B"/>
    <w:rsid w:val="004A0EED"/>
    <w:rsid w:val="004A2D14"/>
    <w:rsid w:val="004A3340"/>
    <w:rsid w:val="004A484A"/>
    <w:rsid w:val="004A4B29"/>
    <w:rsid w:val="004A4F90"/>
    <w:rsid w:val="004A74AE"/>
    <w:rsid w:val="004B4933"/>
    <w:rsid w:val="004B526B"/>
    <w:rsid w:val="004B5906"/>
    <w:rsid w:val="004B6115"/>
    <w:rsid w:val="004B7A6F"/>
    <w:rsid w:val="004C1DCA"/>
    <w:rsid w:val="004C1E3C"/>
    <w:rsid w:val="004C345A"/>
    <w:rsid w:val="004C42D2"/>
    <w:rsid w:val="004C4C07"/>
    <w:rsid w:val="004C52EE"/>
    <w:rsid w:val="004C705C"/>
    <w:rsid w:val="004D3F0A"/>
    <w:rsid w:val="004D6441"/>
    <w:rsid w:val="004E3FB1"/>
    <w:rsid w:val="004E4BAA"/>
    <w:rsid w:val="004E641E"/>
    <w:rsid w:val="004F211E"/>
    <w:rsid w:val="004F3634"/>
    <w:rsid w:val="004F3E09"/>
    <w:rsid w:val="004F420E"/>
    <w:rsid w:val="004F52F3"/>
    <w:rsid w:val="004F571D"/>
    <w:rsid w:val="004F5A5E"/>
    <w:rsid w:val="004F6B12"/>
    <w:rsid w:val="00500FC6"/>
    <w:rsid w:val="0050246C"/>
    <w:rsid w:val="005030C1"/>
    <w:rsid w:val="00503E50"/>
    <w:rsid w:val="0050441C"/>
    <w:rsid w:val="00504A65"/>
    <w:rsid w:val="00504B0E"/>
    <w:rsid w:val="00505DC1"/>
    <w:rsid w:val="00506C2B"/>
    <w:rsid w:val="00506D7C"/>
    <w:rsid w:val="0050742D"/>
    <w:rsid w:val="00510185"/>
    <w:rsid w:val="005121AF"/>
    <w:rsid w:val="005124FA"/>
    <w:rsid w:val="00513281"/>
    <w:rsid w:val="00515686"/>
    <w:rsid w:val="00517272"/>
    <w:rsid w:val="00521D8E"/>
    <w:rsid w:val="00524E9F"/>
    <w:rsid w:val="00524F3F"/>
    <w:rsid w:val="005264A0"/>
    <w:rsid w:val="00526658"/>
    <w:rsid w:val="00527CA9"/>
    <w:rsid w:val="00534D06"/>
    <w:rsid w:val="00535375"/>
    <w:rsid w:val="00540E2A"/>
    <w:rsid w:val="0054132E"/>
    <w:rsid w:val="005417B2"/>
    <w:rsid w:val="005426A9"/>
    <w:rsid w:val="00544086"/>
    <w:rsid w:val="005463ED"/>
    <w:rsid w:val="005473DE"/>
    <w:rsid w:val="00550246"/>
    <w:rsid w:val="00552A4C"/>
    <w:rsid w:val="00554285"/>
    <w:rsid w:val="00554825"/>
    <w:rsid w:val="00555C7E"/>
    <w:rsid w:val="00555E31"/>
    <w:rsid w:val="005570C8"/>
    <w:rsid w:val="00557D0E"/>
    <w:rsid w:val="0056008C"/>
    <w:rsid w:val="00562426"/>
    <w:rsid w:val="0056429C"/>
    <w:rsid w:val="005677AE"/>
    <w:rsid w:val="0057140D"/>
    <w:rsid w:val="005743EF"/>
    <w:rsid w:val="00580459"/>
    <w:rsid w:val="00581913"/>
    <w:rsid w:val="005822D6"/>
    <w:rsid w:val="0058250E"/>
    <w:rsid w:val="0058286E"/>
    <w:rsid w:val="00595795"/>
    <w:rsid w:val="00597B85"/>
    <w:rsid w:val="005A0787"/>
    <w:rsid w:val="005A08A4"/>
    <w:rsid w:val="005A0E97"/>
    <w:rsid w:val="005A11BD"/>
    <w:rsid w:val="005A121C"/>
    <w:rsid w:val="005A1A08"/>
    <w:rsid w:val="005A212F"/>
    <w:rsid w:val="005A4142"/>
    <w:rsid w:val="005A4361"/>
    <w:rsid w:val="005A60A7"/>
    <w:rsid w:val="005A7D04"/>
    <w:rsid w:val="005B3247"/>
    <w:rsid w:val="005B4F02"/>
    <w:rsid w:val="005B589A"/>
    <w:rsid w:val="005B6052"/>
    <w:rsid w:val="005B6CE2"/>
    <w:rsid w:val="005B7F27"/>
    <w:rsid w:val="005C6747"/>
    <w:rsid w:val="005D1D5E"/>
    <w:rsid w:val="005D2142"/>
    <w:rsid w:val="005D2609"/>
    <w:rsid w:val="005D2880"/>
    <w:rsid w:val="005D7600"/>
    <w:rsid w:val="005E031C"/>
    <w:rsid w:val="005E0907"/>
    <w:rsid w:val="005E2781"/>
    <w:rsid w:val="005E2892"/>
    <w:rsid w:val="005E3C97"/>
    <w:rsid w:val="005E4606"/>
    <w:rsid w:val="005E54FC"/>
    <w:rsid w:val="005E5D7E"/>
    <w:rsid w:val="005E720D"/>
    <w:rsid w:val="005E730F"/>
    <w:rsid w:val="005E73B7"/>
    <w:rsid w:val="005F057D"/>
    <w:rsid w:val="005F1E39"/>
    <w:rsid w:val="005F348F"/>
    <w:rsid w:val="005F3CD5"/>
    <w:rsid w:val="005F6F77"/>
    <w:rsid w:val="00601ADE"/>
    <w:rsid w:val="00601C90"/>
    <w:rsid w:val="006031E5"/>
    <w:rsid w:val="006038D4"/>
    <w:rsid w:val="006048E3"/>
    <w:rsid w:val="006050C8"/>
    <w:rsid w:val="006066AC"/>
    <w:rsid w:val="00606C16"/>
    <w:rsid w:val="00607341"/>
    <w:rsid w:val="00607A60"/>
    <w:rsid w:val="00607E83"/>
    <w:rsid w:val="006119FB"/>
    <w:rsid w:val="00611E90"/>
    <w:rsid w:val="00612979"/>
    <w:rsid w:val="00613C9D"/>
    <w:rsid w:val="0061495B"/>
    <w:rsid w:val="00620833"/>
    <w:rsid w:val="00621BE4"/>
    <w:rsid w:val="00621C11"/>
    <w:rsid w:val="0062484E"/>
    <w:rsid w:val="00624C14"/>
    <w:rsid w:val="00625164"/>
    <w:rsid w:val="006255E3"/>
    <w:rsid w:val="0062616D"/>
    <w:rsid w:val="00626644"/>
    <w:rsid w:val="006276AD"/>
    <w:rsid w:val="00630907"/>
    <w:rsid w:val="006309A0"/>
    <w:rsid w:val="00631325"/>
    <w:rsid w:val="00633B3E"/>
    <w:rsid w:val="006345E1"/>
    <w:rsid w:val="00641158"/>
    <w:rsid w:val="00641C3B"/>
    <w:rsid w:val="00641FEB"/>
    <w:rsid w:val="0064345D"/>
    <w:rsid w:val="00646026"/>
    <w:rsid w:val="00647E14"/>
    <w:rsid w:val="006504ED"/>
    <w:rsid w:val="00653CE8"/>
    <w:rsid w:val="00653E79"/>
    <w:rsid w:val="00654409"/>
    <w:rsid w:val="00654C87"/>
    <w:rsid w:val="0065617B"/>
    <w:rsid w:val="00656469"/>
    <w:rsid w:val="00660680"/>
    <w:rsid w:val="00661298"/>
    <w:rsid w:val="00664A69"/>
    <w:rsid w:val="006677EC"/>
    <w:rsid w:val="00672137"/>
    <w:rsid w:val="0067535F"/>
    <w:rsid w:val="006756E2"/>
    <w:rsid w:val="00677002"/>
    <w:rsid w:val="00677D2F"/>
    <w:rsid w:val="00681E4C"/>
    <w:rsid w:val="00681F92"/>
    <w:rsid w:val="00682059"/>
    <w:rsid w:val="00682358"/>
    <w:rsid w:val="006833F5"/>
    <w:rsid w:val="00684638"/>
    <w:rsid w:val="0068533D"/>
    <w:rsid w:val="006854DA"/>
    <w:rsid w:val="00685B44"/>
    <w:rsid w:val="006908C1"/>
    <w:rsid w:val="006940D8"/>
    <w:rsid w:val="006946BC"/>
    <w:rsid w:val="0069553C"/>
    <w:rsid w:val="006A02F7"/>
    <w:rsid w:val="006A1F5D"/>
    <w:rsid w:val="006A28D6"/>
    <w:rsid w:val="006A2B93"/>
    <w:rsid w:val="006A36B2"/>
    <w:rsid w:val="006A390F"/>
    <w:rsid w:val="006A47F9"/>
    <w:rsid w:val="006A5E4C"/>
    <w:rsid w:val="006A7427"/>
    <w:rsid w:val="006B0148"/>
    <w:rsid w:val="006B1411"/>
    <w:rsid w:val="006B14E4"/>
    <w:rsid w:val="006B16CA"/>
    <w:rsid w:val="006B472E"/>
    <w:rsid w:val="006C0418"/>
    <w:rsid w:val="006C08C0"/>
    <w:rsid w:val="006C0B7D"/>
    <w:rsid w:val="006C1023"/>
    <w:rsid w:val="006C3F3B"/>
    <w:rsid w:val="006C6605"/>
    <w:rsid w:val="006C6F6E"/>
    <w:rsid w:val="006D23E1"/>
    <w:rsid w:val="006D3AF4"/>
    <w:rsid w:val="006D3EED"/>
    <w:rsid w:val="006D4B05"/>
    <w:rsid w:val="006D7CB5"/>
    <w:rsid w:val="006E157D"/>
    <w:rsid w:val="006E1654"/>
    <w:rsid w:val="006E2438"/>
    <w:rsid w:val="006E3698"/>
    <w:rsid w:val="006E42B0"/>
    <w:rsid w:val="006E5779"/>
    <w:rsid w:val="006E680D"/>
    <w:rsid w:val="006F0145"/>
    <w:rsid w:val="006F1B9C"/>
    <w:rsid w:val="006F41D9"/>
    <w:rsid w:val="006F4232"/>
    <w:rsid w:val="006F62F3"/>
    <w:rsid w:val="006F6501"/>
    <w:rsid w:val="00702726"/>
    <w:rsid w:val="0070346B"/>
    <w:rsid w:val="007043B0"/>
    <w:rsid w:val="007047BC"/>
    <w:rsid w:val="00704E7A"/>
    <w:rsid w:val="007053BF"/>
    <w:rsid w:val="0071539F"/>
    <w:rsid w:val="007166BF"/>
    <w:rsid w:val="00716B59"/>
    <w:rsid w:val="00720EBC"/>
    <w:rsid w:val="0072273B"/>
    <w:rsid w:val="00725AE6"/>
    <w:rsid w:val="00726880"/>
    <w:rsid w:val="007309FD"/>
    <w:rsid w:val="007325C8"/>
    <w:rsid w:val="007325ED"/>
    <w:rsid w:val="00732E08"/>
    <w:rsid w:val="00740396"/>
    <w:rsid w:val="00743685"/>
    <w:rsid w:val="007443AD"/>
    <w:rsid w:val="007460DF"/>
    <w:rsid w:val="007465DE"/>
    <w:rsid w:val="007471AD"/>
    <w:rsid w:val="00752421"/>
    <w:rsid w:val="00754695"/>
    <w:rsid w:val="007547E2"/>
    <w:rsid w:val="00754E17"/>
    <w:rsid w:val="007552A1"/>
    <w:rsid w:val="0075614F"/>
    <w:rsid w:val="00756959"/>
    <w:rsid w:val="00756D28"/>
    <w:rsid w:val="00756EF6"/>
    <w:rsid w:val="00757FA5"/>
    <w:rsid w:val="007638F6"/>
    <w:rsid w:val="00767FC9"/>
    <w:rsid w:val="007704C1"/>
    <w:rsid w:val="00771AF1"/>
    <w:rsid w:val="00771CEB"/>
    <w:rsid w:val="0077348E"/>
    <w:rsid w:val="007749E7"/>
    <w:rsid w:val="007750AC"/>
    <w:rsid w:val="007755EE"/>
    <w:rsid w:val="00776851"/>
    <w:rsid w:val="0078525F"/>
    <w:rsid w:val="00785A71"/>
    <w:rsid w:val="00785B4E"/>
    <w:rsid w:val="00787434"/>
    <w:rsid w:val="00787CAD"/>
    <w:rsid w:val="00792443"/>
    <w:rsid w:val="007926B7"/>
    <w:rsid w:val="007945CB"/>
    <w:rsid w:val="00795A4F"/>
    <w:rsid w:val="007961F4"/>
    <w:rsid w:val="007974C0"/>
    <w:rsid w:val="007A0670"/>
    <w:rsid w:val="007A2373"/>
    <w:rsid w:val="007A5B09"/>
    <w:rsid w:val="007A6008"/>
    <w:rsid w:val="007B048E"/>
    <w:rsid w:val="007B0D5C"/>
    <w:rsid w:val="007B49FD"/>
    <w:rsid w:val="007B4D84"/>
    <w:rsid w:val="007B5BB3"/>
    <w:rsid w:val="007B5DB7"/>
    <w:rsid w:val="007B7738"/>
    <w:rsid w:val="007C1847"/>
    <w:rsid w:val="007C3A86"/>
    <w:rsid w:val="007C407D"/>
    <w:rsid w:val="007C4BF4"/>
    <w:rsid w:val="007C5E9B"/>
    <w:rsid w:val="007C66BF"/>
    <w:rsid w:val="007D2A09"/>
    <w:rsid w:val="007D6B3E"/>
    <w:rsid w:val="007D7B58"/>
    <w:rsid w:val="007E23B2"/>
    <w:rsid w:val="007E2659"/>
    <w:rsid w:val="007E2F87"/>
    <w:rsid w:val="007E3BCE"/>
    <w:rsid w:val="007E5164"/>
    <w:rsid w:val="007E6761"/>
    <w:rsid w:val="007F1913"/>
    <w:rsid w:val="007F2C83"/>
    <w:rsid w:val="007F50E1"/>
    <w:rsid w:val="007F5427"/>
    <w:rsid w:val="007F58F1"/>
    <w:rsid w:val="007F5B19"/>
    <w:rsid w:val="007F5F97"/>
    <w:rsid w:val="007F641E"/>
    <w:rsid w:val="00800A13"/>
    <w:rsid w:val="00802CEA"/>
    <w:rsid w:val="00806896"/>
    <w:rsid w:val="00806C72"/>
    <w:rsid w:val="00812955"/>
    <w:rsid w:val="00813421"/>
    <w:rsid w:val="008201AF"/>
    <w:rsid w:val="00827564"/>
    <w:rsid w:val="00830865"/>
    <w:rsid w:val="00830EE6"/>
    <w:rsid w:val="00831CCF"/>
    <w:rsid w:val="008332E7"/>
    <w:rsid w:val="00833338"/>
    <w:rsid w:val="008348D5"/>
    <w:rsid w:val="008426CC"/>
    <w:rsid w:val="008430B9"/>
    <w:rsid w:val="0084389F"/>
    <w:rsid w:val="008458BA"/>
    <w:rsid w:val="00846EA6"/>
    <w:rsid w:val="00851403"/>
    <w:rsid w:val="00852C75"/>
    <w:rsid w:val="00853ECE"/>
    <w:rsid w:val="008555D3"/>
    <w:rsid w:val="00855B02"/>
    <w:rsid w:val="00856700"/>
    <w:rsid w:val="0086200F"/>
    <w:rsid w:val="00862A55"/>
    <w:rsid w:val="008648AE"/>
    <w:rsid w:val="0087060A"/>
    <w:rsid w:val="00870BA9"/>
    <w:rsid w:val="008715ED"/>
    <w:rsid w:val="00871C86"/>
    <w:rsid w:val="008724BA"/>
    <w:rsid w:val="00877B26"/>
    <w:rsid w:val="008806A1"/>
    <w:rsid w:val="00880E98"/>
    <w:rsid w:val="008812E5"/>
    <w:rsid w:val="00881843"/>
    <w:rsid w:val="00883115"/>
    <w:rsid w:val="008871E6"/>
    <w:rsid w:val="00890E5E"/>
    <w:rsid w:val="00890F34"/>
    <w:rsid w:val="0089271A"/>
    <w:rsid w:val="008927AF"/>
    <w:rsid w:val="00892CBB"/>
    <w:rsid w:val="008939FF"/>
    <w:rsid w:val="00893C30"/>
    <w:rsid w:val="0089635B"/>
    <w:rsid w:val="00896586"/>
    <w:rsid w:val="00896846"/>
    <w:rsid w:val="008A0B8A"/>
    <w:rsid w:val="008A2503"/>
    <w:rsid w:val="008A5D32"/>
    <w:rsid w:val="008A6485"/>
    <w:rsid w:val="008A754B"/>
    <w:rsid w:val="008B203A"/>
    <w:rsid w:val="008B3BBB"/>
    <w:rsid w:val="008B49F9"/>
    <w:rsid w:val="008B5DB7"/>
    <w:rsid w:val="008C014F"/>
    <w:rsid w:val="008C15F0"/>
    <w:rsid w:val="008C304D"/>
    <w:rsid w:val="008C403E"/>
    <w:rsid w:val="008C4149"/>
    <w:rsid w:val="008C6693"/>
    <w:rsid w:val="008D08BF"/>
    <w:rsid w:val="008D08D9"/>
    <w:rsid w:val="008D0CD1"/>
    <w:rsid w:val="008D3D8A"/>
    <w:rsid w:val="008D58A6"/>
    <w:rsid w:val="008D5BD7"/>
    <w:rsid w:val="008D7DC8"/>
    <w:rsid w:val="008E08E2"/>
    <w:rsid w:val="008E0AC4"/>
    <w:rsid w:val="008E2CC8"/>
    <w:rsid w:val="008E4264"/>
    <w:rsid w:val="008E5A64"/>
    <w:rsid w:val="008E726F"/>
    <w:rsid w:val="008E7544"/>
    <w:rsid w:val="008F1EF6"/>
    <w:rsid w:val="008F20F5"/>
    <w:rsid w:val="008F2962"/>
    <w:rsid w:val="008F39FD"/>
    <w:rsid w:val="008F41FD"/>
    <w:rsid w:val="008F7BBA"/>
    <w:rsid w:val="008F7D43"/>
    <w:rsid w:val="00900F9E"/>
    <w:rsid w:val="009018C5"/>
    <w:rsid w:val="0090299D"/>
    <w:rsid w:val="00902E29"/>
    <w:rsid w:val="00902FFB"/>
    <w:rsid w:val="009032D0"/>
    <w:rsid w:val="00903D95"/>
    <w:rsid w:val="00904CFF"/>
    <w:rsid w:val="00912183"/>
    <w:rsid w:val="00913CBE"/>
    <w:rsid w:val="00913DD9"/>
    <w:rsid w:val="00914FB3"/>
    <w:rsid w:val="00915BF4"/>
    <w:rsid w:val="00916124"/>
    <w:rsid w:val="00920CBC"/>
    <w:rsid w:val="009213D3"/>
    <w:rsid w:val="00921CED"/>
    <w:rsid w:val="00922D30"/>
    <w:rsid w:val="00924A06"/>
    <w:rsid w:val="00924C24"/>
    <w:rsid w:val="009260B0"/>
    <w:rsid w:val="00927035"/>
    <w:rsid w:val="00931114"/>
    <w:rsid w:val="00936121"/>
    <w:rsid w:val="00936FC7"/>
    <w:rsid w:val="00942322"/>
    <w:rsid w:val="00943F4B"/>
    <w:rsid w:val="009476A5"/>
    <w:rsid w:val="009507CB"/>
    <w:rsid w:val="00955010"/>
    <w:rsid w:val="009561AF"/>
    <w:rsid w:val="00960B85"/>
    <w:rsid w:val="0096189C"/>
    <w:rsid w:val="00964539"/>
    <w:rsid w:val="00965396"/>
    <w:rsid w:val="009706C1"/>
    <w:rsid w:val="009707C7"/>
    <w:rsid w:val="00971466"/>
    <w:rsid w:val="00973D7E"/>
    <w:rsid w:val="00974409"/>
    <w:rsid w:val="00975EEB"/>
    <w:rsid w:val="0097609F"/>
    <w:rsid w:val="00976B1C"/>
    <w:rsid w:val="00982BDE"/>
    <w:rsid w:val="0098493A"/>
    <w:rsid w:val="00984EAC"/>
    <w:rsid w:val="00987C32"/>
    <w:rsid w:val="00992960"/>
    <w:rsid w:val="00996829"/>
    <w:rsid w:val="00996A01"/>
    <w:rsid w:val="009978BA"/>
    <w:rsid w:val="009A104E"/>
    <w:rsid w:val="009A2B4E"/>
    <w:rsid w:val="009A3926"/>
    <w:rsid w:val="009A3C7F"/>
    <w:rsid w:val="009A4226"/>
    <w:rsid w:val="009A45BC"/>
    <w:rsid w:val="009A6053"/>
    <w:rsid w:val="009A6A31"/>
    <w:rsid w:val="009A7A1E"/>
    <w:rsid w:val="009B27D4"/>
    <w:rsid w:val="009B2BF3"/>
    <w:rsid w:val="009B495C"/>
    <w:rsid w:val="009B616B"/>
    <w:rsid w:val="009B647E"/>
    <w:rsid w:val="009C0694"/>
    <w:rsid w:val="009C08D5"/>
    <w:rsid w:val="009C0971"/>
    <w:rsid w:val="009C0EFC"/>
    <w:rsid w:val="009C3A9A"/>
    <w:rsid w:val="009C3F41"/>
    <w:rsid w:val="009C4C49"/>
    <w:rsid w:val="009C6D55"/>
    <w:rsid w:val="009C7212"/>
    <w:rsid w:val="009D1444"/>
    <w:rsid w:val="009D4BDA"/>
    <w:rsid w:val="009D4FD2"/>
    <w:rsid w:val="009E08D5"/>
    <w:rsid w:val="009E2142"/>
    <w:rsid w:val="009E359D"/>
    <w:rsid w:val="009E36BA"/>
    <w:rsid w:val="009E3DD3"/>
    <w:rsid w:val="009E5A6C"/>
    <w:rsid w:val="009E5E70"/>
    <w:rsid w:val="009E68DC"/>
    <w:rsid w:val="009E72C4"/>
    <w:rsid w:val="009E7E3D"/>
    <w:rsid w:val="009F0F36"/>
    <w:rsid w:val="009F1881"/>
    <w:rsid w:val="009F2165"/>
    <w:rsid w:val="009F2761"/>
    <w:rsid w:val="009F2EB1"/>
    <w:rsid w:val="009F38C2"/>
    <w:rsid w:val="009F59B3"/>
    <w:rsid w:val="009F6FB6"/>
    <w:rsid w:val="009F7699"/>
    <w:rsid w:val="00A038BA"/>
    <w:rsid w:val="00A038D0"/>
    <w:rsid w:val="00A04D39"/>
    <w:rsid w:val="00A051A2"/>
    <w:rsid w:val="00A15E7E"/>
    <w:rsid w:val="00A17571"/>
    <w:rsid w:val="00A20F06"/>
    <w:rsid w:val="00A20F41"/>
    <w:rsid w:val="00A213BF"/>
    <w:rsid w:val="00A218DD"/>
    <w:rsid w:val="00A23F50"/>
    <w:rsid w:val="00A249D5"/>
    <w:rsid w:val="00A30535"/>
    <w:rsid w:val="00A324F1"/>
    <w:rsid w:val="00A32760"/>
    <w:rsid w:val="00A34540"/>
    <w:rsid w:val="00A3634D"/>
    <w:rsid w:val="00A36443"/>
    <w:rsid w:val="00A36A3E"/>
    <w:rsid w:val="00A4045E"/>
    <w:rsid w:val="00A40A20"/>
    <w:rsid w:val="00A45003"/>
    <w:rsid w:val="00A466FF"/>
    <w:rsid w:val="00A476BC"/>
    <w:rsid w:val="00A47F6E"/>
    <w:rsid w:val="00A539D7"/>
    <w:rsid w:val="00A54977"/>
    <w:rsid w:val="00A557B8"/>
    <w:rsid w:val="00A56C1A"/>
    <w:rsid w:val="00A56DA8"/>
    <w:rsid w:val="00A63698"/>
    <w:rsid w:val="00A66DDF"/>
    <w:rsid w:val="00A7033B"/>
    <w:rsid w:val="00A7137C"/>
    <w:rsid w:val="00A73A23"/>
    <w:rsid w:val="00A73F1C"/>
    <w:rsid w:val="00A74236"/>
    <w:rsid w:val="00A7650D"/>
    <w:rsid w:val="00A76F53"/>
    <w:rsid w:val="00A803E2"/>
    <w:rsid w:val="00A81B98"/>
    <w:rsid w:val="00A839AA"/>
    <w:rsid w:val="00A83B0F"/>
    <w:rsid w:val="00A84874"/>
    <w:rsid w:val="00A9488A"/>
    <w:rsid w:val="00AA0362"/>
    <w:rsid w:val="00AA11E2"/>
    <w:rsid w:val="00AA2476"/>
    <w:rsid w:val="00AA3D5F"/>
    <w:rsid w:val="00AA5553"/>
    <w:rsid w:val="00AA6FA3"/>
    <w:rsid w:val="00AA7BA7"/>
    <w:rsid w:val="00AB0039"/>
    <w:rsid w:val="00AB1E22"/>
    <w:rsid w:val="00AB42B7"/>
    <w:rsid w:val="00AB4CED"/>
    <w:rsid w:val="00AB6A1D"/>
    <w:rsid w:val="00AC126F"/>
    <w:rsid w:val="00AC1E6D"/>
    <w:rsid w:val="00AC2047"/>
    <w:rsid w:val="00AC37A6"/>
    <w:rsid w:val="00AC47A5"/>
    <w:rsid w:val="00AC4B31"/>
    <w:rsid w:val="00AC529C"/>
    <w:rsid w:val="00AD0076"/>
    <w:rsid w:val="00AD00E7"/>
    <w:rsid w:val="00AD026D"/>
    <w:rsid w:val="00AD2FEB"/>
    <w:rsid w:val="00AD5193"/>
    <w:rsid w:val="00AD581E"/>
    <w:rsid w:val="00AD6125"/>
    <w:rsid w:val="00AD6AC7"/>
    <w:rsid w:val="00AD7E85"/>
    <w:rsid w:val="00AE16EF"/>
    <w:rsid w:val="00AE1C97"/>
    <w:rsid w:val="00AE22CF"/>
    <w:rsid w:val="00AE5A93"/>
    <w:rsid w:val="00AE7C57"/>
    <w:rsid w:val="00AF0559"/>
    <w:rsid w:val="00AF07D5"/>
    <w:rsid w:val="00AF1038"/>
    <w:rsid w:val="00AF11ED"/>
    <w:rsid w:val="00AF1AE0"/>
    <w:rsid w:val="00AF1CE3"/>
    <w:rsid w:val="00AF21CF"/>
    <w:rsid w:val="00AF3907"/>
    <w:rsid w:val="00AF4997"/>
    <w:rsid w:val="00AF4C7F"/>
    <w:rsid w:val="00AF4ED4"/>
    <w:rsid w:val="00AF5EDD"/>
    <w:rsid w:val="00AF68FF"/>
    <w:rsid w:val="00AF7BC9"/>
    <w:rsid w:val="00AF7E9C"/>
    <w:rsid w:val="00B003AA"/>
    <w:rsid w:val="00B0119F"/>
    <w:rsid w:val="00B017BC"/>
    <w:rsid w:val="00B01810"/>
    <w:rsid w:val="00B023FB"/>
    <w:rsid w:val="00B030B0"/>
    <w:rsid w:val="00B055CD"/>
    <w:rsid w:val="00B06510"/>
    <w:rsid w:val="00B067C8"/>
    <w:rsid w:val="00B06B98"/>
    <w:rsid w:val="00B0717A"/>
    <w:rsid w:val="00B07F8E"/>
    <w:rsid w:val="00B104C7"/>
    <w:rsid w:val="00B11830"/>
    <w:rsid w:val="00B15334"/>
    <w:rsid w:val="00B155D1"/>
    <w:rsid w:val="00B17B7B"/>
    <w:rsid w:val="00B2296E"/>
    <w:rsid w:val="00B2439A"/>
    <w:rsid w:val="00B24BEC"/>
    <w:rsid w:val="00B308A2"/>
    <w:rsid w:val="00B30AE9"/>
    <w:rsid w:val="00B330BF"/>
    <w:rsid w:val="00B334FE"/>
    <w:rsid w:val="00B34E4C"/>
    <w:rsid w:val="00B35D15"/>
    <w:rsid w:val="00B36816"/>
    <w:rsid w:val="00B42480"/>
    <w:rsid w:val="00B43418"/>
    <w:rsid w:val="00B443FC"/>
    <w:rsid w:val="00B44DCC"/>
    <w:rsid w:val="00B4661B"/>
    <w:rsid w:val="00B47005"/>
    <w:rsid w:val="00B510E7"/>
    <w:rsid w:val="00B52A5B"/>
    <w:rsid w:val="00B535A4"/>
    <w:rsid w:val="00B57B38"/>
    <w:rsid w:val="00B618E2"/>
    <w:rsid w:val="00B61B6F"/>
    <w:rsid w:val="00B64B58"/>
    <w:rsid w:val="00B668DF"/>
    <w:rsid w:val="00B668E0"/>
    <w:rsid w:val="00B67B17"/>
    <w:rsid w:val="00B67CEE"/>
    <w:rsid w:val="00B72ED9"/>
    <w:rsid w:val="00B73444"/>
    <w:rsid w:val="00B80A45"/>
    <w:rsid w:val="00B80C2E"/>
    <w:rsid w:val="00B816F3"/>
    <w:rsid w:val="00B903EE"/>
    <w:rsid w:val="00B924D9"/>
    <w:rsid w:val="00B92743"/>
    <w:rsid w:val="00BA1064"/>
    <w:rsid w:val="00BA176A"/>
    <w:rsid w:val="00BA2199"/>
    <w:rsid w:val="00BA2B3A"/>
    <w:rsid w:val="00BA3C85"/>
    <w:rsid w:val="00BA3D9E"/>
    <w:rsid w:val="00BA6652"/>
    <w:rsid w:val="00BA6EFE"/>
    <w:rsid w:val="00BA7F95"/>
    <w:rsid w:val="00BB0156"/>
    <w:rsid w:val="00BB093C"/>
    <w:rsid w:val="00BB4153"/>
    <w:rsid w:val="00BC0395"/>
    <w:rsid w:val="00BC3689"/>
    <w:rsid w:val="00BC6A9C"/>
    <w:rsid w:val="00BD012C"/>
    <w:rsid w:val="00BD4727"/>
    <w:rsid w:val="00BD5267"/>
    <w:rsid w:val="00BD5719"/>
    <w:rsid w:val="00BE03E0"/>
    <w:rsid w:val="00BE18EB"/>
    <w:rsid w:val="00BE1A5A"/>
    <w:rsid w:val="00BE236E"/>
    <w:rsid w:val="00BE294C"/>
    <w:rsid w:val="00BF1B11"/>
    <w:rsid w:val="00BF3559"/>
    <w:rsid w:val="00BF3AC3"/>
    <w:rsid w:val="00BF51D0"/>
    <w:rsid w:val="00C01AAB"/>
    <w:rsid w:val="00C03B83"/>
    <w:rsid w:val="00C052AC"/>
    <w:rsid w:val="00C05E08"/>
    <w:rsid w:val="00C05FFA"/>
    <w:rsid w:val="00C1262B"/>
    <w:rsid w:val="00C129F6"/>
    <w:rsid w:val="00C14178"/>
    <w:rsid w:val="00C14F52"/>
    <w:rsid w:val="00C15301"/>
    <w:rsid w:val="00C15F0E"/>
    <w:rsid w:val="00C17279"/>
    <w:rsid w:val="00C17316"/>
    <w:rsid w:val="00C22423"/>
    <w:rsid w:val="00C2329A"/>
    <w:rsid w:val="00C24DA4"/>
    <w:rsid w:val="00C26A33"/>
    <w:rsid w:val="00C27CE2"/>
    <w:rsid w:val="00C27D1D"/>
    <w:rsid w:val="00C3186E"/>
    <w:rsid w:val="00C3659D"/>
    <w:rsid w:val="00C37D91"/>
    <w:rsid w:val="00C40935"/>
    <w:rsid w:val="00C421D8"/>
    <w:rsid w:val="00C4375B"/>
    <w:rsid w:val="00C50F09"/>
    <w:rsid w:val="00C52148"/>
    <w:rsid w:val="00C53416"/>
    <w:rsid w:val="00C554A4"/>
    <w:rsid w:val="00C56327"/>
    <w:rsid w:val="00C5788F"/>
    <w:rsid w:val="00C60136"/>
    <w:rsid w:val="00C62017"/>
    <w:rsid w:val="00C6351C"/>
    <w:rsid w:val="00C64006"/>
    <w:rsid w:val="00C641CB"/>
    <w:rsid w:val="00C653D1"/>
    <w:rsid w:val="00C66B50"/>
    <w:rsid w:val="00C67199"/>
    <w:rsid w:val="00C715D5"/>
    <w:rsid w:val="00C73410"/>
    <w:rsid w:val="00C73B65"/>
    <w:rsid w:val="00C764D4"/>
    <w:rsid w:val="00C76632"/>
    <w:rsid w:val="00C76A4A"/>
    <w:rsid w:val="00C81401"/>
    <w:rsid w:val="00C84030"/>
    <w:rsid w:val="00C849D2"/>
    <w:rsid w:val="00C86920"/>
    <w:rsid w:val="00C87D1B"/>
    <w:rsid w:val="00C87D80"/>
    <w:rsid w:val="00C87F56"/>
    <w:rsid w:val="00C916B3"/>
    <w:rsid w:val="00C918A9"/>
    <w:rsid w:val="00C91997"/>
    <w:rsid w:val="00C9391B"/>
    <w:rsid w:val="00C948EF"/>
    <w:rsid w:val="00C9557D"/>
    <w:rsid w:val="00C959C5"/>
    <w:rsid w:val="00CA02BF"/>
    <w:rsid w:val="00CA08AA"/>
    <w:rsid w:val="00CA458B"/>
    <w:rsid w:val="00CB6705"/>
    <w:rsid w:val="00CC2866"/>
    <w:rsid w:val="00CC380D"/>
    <w:rsid w:val="00CC43AA"/>
    <w:rsid w:val="00CC7BD9"/>
    <w:rsid w:val="00CD3E03"/>
    <w:rsid w:val="00CD493A"/>
    <w:rsid w:val="00CD587C"/>
    <w:rsid w:val="00CD5C78"/>
    <w:rsid w:val="00CE0488"/>
    <w:rsid w:val="00CE053D"/>
    <w:rsid w:val="00CE240B"/>
    <w:rsid w:val="00CE418F"/>
    <w:rsid w:val="00CE4386"/>
    <w:rsid w:val="00CE4CD8"/>
    <w:rsid w:val="00CE4FE2"/>
    <w:rsid w:val="00CE512E"/>
    <w:rsid w:val="00CE555B"/>
    <w:rsid w:val="00CE6728"/>
    <w:rsid w:val="00CE6A1C"/>
    <w:rsid w:val="00CE742F"/>
    <w:rsid w:val="00CF34DE"/>
    <w:rsid w:val="00CF3D68"/>
    <w:rsid w:val="00CF6B7A"/>
    <w:rsid w:val="00CF7995"/>
    <w:rsid w:val="00D00271"/>
    <w:rsid w:val="00D0046F"/>
    <w:rsid w:val="00D00B70"/>
    <w:rsid w:val="00D01CEA"/>
    <w:rsid w:val="00D0338D"/>
    <w:rsid w:val="00D060ED"/>
    <w:rsid w:val="00D103B3"/>
    <w:rsid w:val="00D10AEC"/>
    <w:rsid w:val="00D1253D"/>
    <w:rsid w:val="00D1276E"/>
    <w:rsid w:val="00D13873"/>
    <w:rsid w:val="00D13B86"/>
    <w:rsid w:val="00D160B0"/>
    <w:rsid w:val="00D1665D"/>
    <w:rsid w:val="00D20F9C"/>
    <w:rsid w:val="00D213A7"/>
    <w:rsid w:val="00D215B0"/>
    <w:rsid w:val="00D21A4B"/>
    <w:rsid w:val="00D233BD"/>
    <w:rsid w:val="00D23EEA"/>
    <w:rsid w:val="00D25C52"/>
    <w:rsid w:val="00D3292A"/>
    <w:rsid w:val="00D36934"/>
    <w:rsid w:val="00D369A1"/>
    <w:rsid w:val="00D40917"/>
    <w:rsid w:val="00D41C0E"/>
    <w:rsid w:val="00D4485B"/>
    <w:rsid w:val="00D45A00"/>
    <w:rsid w:val="00D45D35"/>
    <w:rsid w:val="00D467CD"/>
    <w:rsid w:val="00D506E7"/>
    <w:rsid w:val="00D51563"/>
    <w:rsid w:val="00D537B5"/>
    <w:rsid w:val="00D54146"/>
    <w:rsid w:val="00D56400"/>
    <w:rsid w:val="00D57E56"/>
    <w:rsid w:val="00D62A53"/>
    <w:rsid w:val="00D65C6D"/>
    <w:rsid w:val="00D663EB"/>
    <w:rsid w:val="00D679DB"/>
    <w:rsid w:val="00D67A40"/>
    <w:rsid w:val="00D67AA6"/>
    <w:rsid w:val="00D7278F"/>
    <w:rsid w:val="00D72B10"/>
    <w:rsid w:val="00D75BB7"/>
    <w:rsid w:val="00D760A3"/>
    <w:rsid w:val="00D769FF"/>
    <w:rsid w:val="00D81ED0"/>
    <w:rsid w:val="00D82F6E"/>
    <w:rsid w:val="00D86916"/>
    <w:rsid w:val="00D86D3B"/>
    <w:rsid w:val="00D87E89"/>
    <w:rsid w:val="00D9062B"/>
    <w:rsid w:val="00D90C31"/>
    <w:rsid w:val="00D926C8"/>
    <w:rsid w:val="00D93422"/>
    <w:rsid w:val="00D97271"/>
    <w:rsid w:val="00DA0B15"/>
    <w:rsid w:val="00DA1005"/>
    <w:rsid w:val="00DA3F43"/>
    <w:rsid w:val="00DA4C12"/>
    <w:rsid w:val="00DA511D"/>
    <w:rsid w:val="00DB0D87"/>
    <w:rsid w:val="00DB0EDF"/>
    <w:rsid w:val="00DB11E3"/>
    <w:rsid w:val="00DB16F3"/>
    <w:rsid w:val="00DB70D2"/>
    <w:rsid w:val="00DC02AE"/>
    <w:rsid w:val="00DC397D"/>
    <w:rsid w:val="00DC44AD"/>
    <w:rsid w:val="00DC46AC"/>
    <w:rsid w:val="00DC6244"/>
    <w:rsid w:val="00DC789A"/>
    <w:rsid w:val="00DD1509"/>
    <w:rsid w:val="00DD1844"/>
    <w:rsid w:val="00DD2D28"/>
    <w:rsid w:val="00DD3600"/>
    <w:rsid w:val="00DD7CA8"/>
    <w:rsid w:val="00DE15B3"/>
    <w:rsid w:val="00DE43E1"/>
    <w:rsid w:val="00DE515F"/>
    <w:rsid w:val="00DE562A"/>
    <w:rsid w:val="00DE672B"/>
    <w:rsid w:val="00DE70FE"/>
    <w:rsid w:val="00DE7CAD"/>
    <w:rsid w:val="00DE7D82"/>
    <w:rsid w:val="00DF30FF"/>
    <w:rsid w:val="00DF6361"/>
    <w:rsid w:val="00E00341"/>
    <w:rsid w:val="00E01C04"/>
    <w:rsid w:val="00E01FA9"/>
    <w:rsid w:val="00E02B52"/>
    <w:rsid w:val="00E02C97"/>
    <w:rsid w:val="00E063C5"/>
    <w:rsid w:val="00E1369C"/>
    <w:rsid w:val="00E13DE7"/>
    <w:rsid w:val="00E17F90"/>
    <w:rsid w:val="00E22CB9"/>
    <w:rsid w:val="00E26191"/>
    <w:rsid w:val="00E2665C"/>
    <w:rsid w:val="00E27AFA"/>
    <w:rsid w:val="00E30F0D"/>
    <w:rsid w:val="00E31975"/>
    <w:rsid w:val="00E319B8"/>
    <w:rsid w:val="00E32DED"/>
    <w:rsid w:val="00E3324A"/>
    <w:rsid w:val="00E33BC5"/>
    <w:rsid w:val="00E3487F"/>
    <w:rsid w:val="00E36698"/>
    <w:rsid w:val="00E36749"/>
    <w:rsid w:val="00E41341"/>
    <w:rsid w:val="00E4515C"/>
    <w:rsid w:val="00E45F90"/>
    <w:rsid w:val="00E46B00"/>
    <w:rsid w:val="00E50250"/>
    <w:rsid w:val="00E5161A"/>
    <w:rsid w:val="00E5332F"/>
    <w:rsid w:val="00E53EE0"/>
    <w:rsid w:val="00E54E39"/>
    <w:rsid w:val="00E60B49"/>
    <w:rsid w:val="00E60D05"/>
    <w:rsid w:val="00E64496"/>
    <w:rsid w:val="00E64E62"/>
    <w:rsid w:val="00E65117"/>
    <w:rsid w:val="00E65D14"/>
    <w:rsid w:val="00E70AB1"/>
    <w:rsid w:val="00E72B76"/>
    <w:rsid w:val="00E73A27"/>
    <w:rsid w:val="00E770E0"/>
    <w:rsid w:val="00E816AB"/>
    <w:rsid w:val="00E8300A"/>
    <w:rsid w:val="00E852D7"/>
    <w:rsid w:val="00E86D9F"/>
    <w:rsid w:val="00E86DAC"/>
    <w:rsid w:val="00E86DFF"/>
    <w:rsid w:val="00E87070"/>
    <w:rsid w:val="00E871C1"/>
    <w:rsid w:val="00E87E20"/>
    <w:rsid w:val="00E90AD5"/>
    <w:rsid w:val="00E91183"/>
    <w:rsid w:val="00E922D6"/>
    <w:rsid w:val="00E968E7"/>
    <w:rsid w:val="00E9698C"/>
    <w:rsid w:val="00E97417"/>
    <w:rsid w:val="00E975DE"/>
    <w:rsid w:val="00E97787"/>
    <w:rsid w:val="00E97D73"/>
    <w:rsid w:val="00EA0AD6"/>
    <w:rsid w:val="00EA1394"/>
    <w:rsid w:val="00EA19F8"/>
    <w:rsid w:val="00EA4A1B"/>
    <w:rsid w:val="00EA62C3"/>
    <w:rsid w:val="00EA79FD"/>
    <w:rsid w:val="00EB0B0C"/>
    <w:rsid w:val="00EB186E"/>
    <w:rsid w:val="00EB2403"/>
    <w:rsid w:val="00EB2CD0"/>
    <w:rsid w:val="00EB6419"/>
    <w:rsid w:val="00EB680B"/>
    <w:rsid w:val="00EB6CBB"/>
    <w:rsid w:val="00EC0994"/>
    <w:rsid w:val="00EC3854"/>
    <w:rsid w:val="00EC3956"/>
    <w:rsid w:val="00EC3DA9"/>
    <w:rsid w:val="00EC610A"/>
    <w:rsid w:val="00EC62F7"/>
    <w:rsid w:val="00EC721F"/>
    <w:rsid w:val="00ED0514"/>
    <w:rsid w:val="00ED36D5"/>
    <w:rsid w:val="00ED3DFD"/>
    <w:rsid w:val="00ED51F0"/>
    <w:rsid w:val="00ED5CFC"/>
    <w:rsid w:val="00ED631C"/>
    <w:rsid w:val="00ED7201"/>
    <w:rsid w:val="00EE053A"/>
    <w:rsid w:val="00EE0F6C"/>
    <w:rsid w:val="00EE1222"/>
    <w:rsid w:val="00EE1C02"/>
    <w:rsid w:val="00EE2CB0"/>
    <w:rsid w:val="00EE3242"/>
    <w:rsid w:val="00EE43C5"/>
    <w:rsid w:val="00EE5773"/>
    <w:rsid w:val="00EE68C6"/>
    <w:rsid w:val="00EE6E18"/>
    <w:rsid w:val="00EF0246"/>
    <w:rsid w:val="00EF0AE4"/>
    <w:rsid w:val="00EF21FA"/>
    <w:rsid w:val="00EF2A45"/>
    <w:rsid w:val="00EF4315"/>
    <w:rsid w:val="00EF4A87"/>
    <w:rsid w:val="00EF4C9F"/>
    <w:rsid w:val="00EF4FF6"/>
    <w:rsid w:val="00EF5C09"/>
    <w:rsid w:val="00F025F7"/>
    <w:rsid w:val="00F036DC"/>
    <w:rsid w:val="00F10613"/>
    <w:rsid w:val="00F12345"/>
    <w:rsid w:val="00F154ED"/>
    <w:rsid w:val="00F16326"/>
    <w:rsid w:val="00F16CD5"/>
    <w:rsid w:val="00F214F2"/>
    <w:rsid w:val="00F22574"/>
    <w:rsid w:val="00F23F25"/>
    <w:rsid w:val="00F264BF"/>
    <w:rsid w:val="00F27C28"/>
    <w:rsid w:val="00F30A92"/>
    <w:rsid w:val="00F34FA8"/>
    <w:rsid w:val="00F35D1F"/>
    <w:rsid w:val="00F36323"/>
    <w:rsid w:val="00F3659D"/>
    <w:rsid w:val="00F36859"/>
    <w:rsid w:val="00F409CC"/>
    <w:rsid w:val="00F414C6"/>
    <w:rsid w:val="00F418A9"/>
    <w:rsid w:val="00F4224F"/>
    <w:rsid w:val="00F431C1"/>
    <w:rsid w:val="00F436EB"/>
    <w:rsid w:val="00F4527E"/>
    <w:rsid w:val="00F470A6"/>
    <w:rsid w:val="00F51ECD"/>
    <w:rsid w:val="00F52473"/>
    <w:rsid w:val="00F528FC"/>
    <w:rsid w:val="00F6005D"/>
    <w:rsid w:val="00F6024C"/>
    <w:rsid w:val="00F6079D"/>
    <w:rsid w:val="00F60F71"/>
    <w:rsid w:val="00F60F7B"/>
    <w:rsid w:val="00F61628"/>
    <w:rsid w:val="00F639CC"/>
    <w:rsid w:val="00F66A42"/>
    <w:rsid w:val="00F717E6"/>
    <w:rsid w:val="00F77913"/>
    <w:rsid w:val="00F80411"/>
    <w:rsid w:val="00F81C1F"/>
    <w:rsid w:val="00F84D9D"/>
    <w:rsid w:val="00F856A3"/>
    <w:rsid w:val="00F86A73"/>
    <w:rsid w:val="00F87D1A"/>
    <w:rsid w:val="00F9287B"/>
    <w:rsid w:val="00F92C6A"/>
    <w:rsid w:val="00F9367D"/>
    <w:rsid w:val="00F968FA"/>
    <w:rsid w:val="00F97058"/>
    <w:rsid w:val="00FA00F6"/>
    <w:rsid w:val="00FA0797"/>
    <w:rsid w:val="00FA1917"/>
    <w:rsid w:val="00FA6B58"/>
    <w:rsid w:val="00FB0FCD"/>
    <w:rsid w:val="00FB1195"/>
    <w:rsid w:val="00FB24FF"/>
    <w:rsid w:val="00FB3BBC"/>
    <w:rsid w:val="00FB48C1"/>
    <w:rsid w:val="00FB57F2"/>
    <w:rsid w:val="00FC1D50"/>
    <w:rsid w:val="00FC62EA"/>
    <w:rsid w:val="00FC67ED"/>
    <w:rsid w:val="00FD2778"/>
    <w:rsid w:val="00FD38E0"/>
    <w:rsid w:val="00FE0026"/>
    <w:rsid w:val="00FE48AF"/>
    <w:rsid w:val="00FE72D9"/>
    <w:rsid w:val="00FF159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5AC78831"/>
  <w15:docId w15:val="{1917DB79-A0AC-474C-8099-0CAF05ADA5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Palatino Linotype" w:eastAsia="Times New Roman" w:hAnsi="Palatino Linotype" w:cs="Times New Roman"/>
        <w:sz w:val="24"/>
        <w:szCs w:val="24"/>
        <w:lang w:val="es-ES"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2902"/>
  </w:style>
  <w:style w:type="paragraph" w:styleId="Ttulo1">
    <w:name w:val="heading 1"/>
    <w:basedOn w:val="Normal"/>
    <w:next w:val="Normal"/>
    <w:link w:val="Ttulo1Car"/>
    <w:uiPriority w:val="9"/>
    <w:qFormat/>
    <w:rsid w:val="00603D72"/>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603D7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3B73CD"/>
    <w:pPr>
      <w:keepNext/>
      <w:tabs>
        <w:tab w:val="num" w:pos="2160"/>
      </w:tabs>
      <w:spacing w:before="240" w:after="60"/>
      <w:ind w:left="2160" w:hanging="720"/>
      <w:outlineLvl w:val="2"/>
    </w:pPr>
    <w:rPr>
      <w:rFonts w:asciiTheme="majorHAnsi" w:eastAsiaTheme="majorEastAsia" w:hAnsiTheme="majorHAnsi" w:cstheme="majorBidi"/>
      <w:b/>
      <w:bCs/>
      <w:sz w:val="26"/>
      <w:szCs w:val="26"/>
      <w:lang w:val="en-US" w:eastAsia="en-US"/>
    </w:rPr>
  </w:style>
  <w:style w:type="paragraph" w:styleId="Ttulo4">
    <w:name w:val="heading 4"/>
    <w:basedOn w:val="Normal"/>
    <w:next w:val="Normal"/>
    <w:link w:val="Ttulo4Car"/>
    <w:uiPriority w:val="9"/>
    <w:semiHidden/>
    <w:unhideWhenUsed/>
    <w:qFormat/>
    <w:rsid w:val="003B73CD"/>
    <w:pPr>
      <w:keepNext/>
      <w:tabs>
        <w:tab w:val="num" w:pos="2880"/>
      </w:tabs>
      <w:spacing w:before="240" w:after="60"/>
      <w:ind w:left="2880" w:hanging="720"/>
      <w:outlineLvl w:val="3"/>
    </w:pPr>
    <w:rPr>
      <w:rFonts w:asciiTheme="minorHAnsi" w:eastAsiaTheme="minorEastAsia" w:hAnsiTheme="minorHAnsi" w:cstheme="minorBidi"/>
      <w:b/>
      <w:bCs/>
      <w:sz w:val="28"/>
      <w:szCs w:val="28"/>
      <w:lang w:val="en-US" w:eastAsia="en-US"/>
    </w:rPr>
  </w:style>
  <w:style w:type="paragraph" w:styleId="Ttulo5">
    <w:name w:val="heading 5"/>
    <w:basedOn w:val="Normal"/>
    <w:next w:val="Normal"/>
    <w:link w:val="Ttulo5Car"/>
    <w:uiPriority w:val="9"/>
    <w:semiHidden/>
    <w:unhideWhenUsed/>
    <w:qFormat/>
    <w:rsid w:val="003B73CD"/>
    <w:pPr>
      <w:tabs>
        <w:tab w:val="num" w:pos="3600"/>
      </w:tabs>
      <w:spacing w:before="240" w:after="60"/>
      <w:ind w:left="3600" w:hanging="720"/>
      <w:outlineLvl w:val="4"/>
    </w:pPr>
    <w:rPr>
      <w:rFonts w:asciiTheme="minorHAnsi" w:eastAsiaTheme="minorEastAsia" w:hAnsiTheme="minorHAnsi" w:cstheme="minorBidi"/>
      <w:b/>
      <w:bCs/>
      <w:i/>
      <w:iCs/>
      <w:sz w:val="26"/>
      <w:szCs w:val="26"/>
      <w:lang w:val="en-US" w:eastAsia="en-US"/>
    </w:rPr>
  </w:style>
  <w:style w:type="paragraph" w:styleId="Ttulo6">
    <w:name w:val="heading 6"/>
    <w:basedOn w:val="Normal"/>
    <w:next w:val="Normal"/>
    <w:link w:val="Ttulo6Car"/>
    <w:semiHidden/>
    <w:unhideWhenUsed/>
    <w:qFormat/>
    <w:rsid w:val="003B73CD"/>
    <w:pPr>
      <w:tabs>
        <w:tab w:val="num" w:pos="4320"/>
      </w:tabs>
      <w:spacing w:before="240" w:after="60"/>
      <w:ind w:left="4320" w:hanging="720"/>
      <w:outlineLvl w:val="5"/>
    </w:pPr>
    <w:rPr>
      <w:b/>
      <w:bCs/>
      <w:sz w:val="22"/>
      <w:szCs w:val="22"/>
      <w:lang w:val="en-US" w:eastAsia="en-US"/>
    </w:rPr>
  </w:style>
  <w:style w:type="paragraph" w:styleId="Ttulo7">
    <w:name w:val="heading 7"/>
    <w:basedOn w:val="Normal"/>
    <w:next w:val="Normal"/>
    <w:link w:val="Ttulo7Car"/>
    <w:uiPriority w:val="9"/>
    <w:semiHidden/>
    <w:unhideWhenUsed/>
    <w:qFormat/>
    <w:rsid w:val="003B73CD"/>
    <w:pPr>
      <w:tabs>
        <w:tab w:val="num" w:pos="5040"/>
      </w:tabs>
      <w:spacing w:before="240" w:after="60"/>
      <w:ind w:left="5040" w:hanging="720"/>
      <w:outlineLvl w:val="6"/>
    </w:pPr>
    <w:rPr>
      <w:rFonts w:asciiTheme="minorHAnsi" w:eastAsiaTheme="minorEastAsia" w:hAnsiTheme="minorHAnsi" w:cstheme="minorBidi"/>
      <w:lang w:val="en-US" w:eastAsia="en-US"/>
    </w:rPr>
  </w:style>
  <w:style w:type="paragraph" w:styleId="Ttulo8">
    <w:name w:val="heading 8"/>
    <w:basedOn w:val="Normal"/>
    <w:next w:val="Normal"/>
    <w:link w:val="Ttulo8Car"/>
    <w:uiPriority w:val="9"/>
    <w:semiHidden/>
    <w:unhideWhenUsed/>
    <w:qFormat/>
    <w:rsid w:val="003B73CD"/>
    <w:pPr>
      <w:tabs>
        <w:tab w:val="num" w:pos="5760"/>
      </w:tabs>
      <w:spacing w:before="240" w:after="60"/>
      <w:ind w:left="5760" w:hanging="720"/>
      <w:outlineLvl w:val="7"/>
    </w:pPr>
    <w:rPr>
      <w:rFonts w:asciiTheme="minorHAnsi" w:eastAsiaTheme="minorEastAsia" w:hAnsiTheme="minorHAnsi" w:cstheme="minorBidi"/>
      <w:i/>
      <w:iCs/>
      <w:lang w:val="en-US" w:eastAsia="en-US"/>
    </w:rPr>
  </w:style>
  <w:style w:type="paragraph" w:styleId="Ttulo9">
    <w:name w:val="heading 9"/>
    <w:basedOn w:val="Normal"/>
    <w:next w:val="Normal"/>
    <w:link w:val="Ttulo9Car"/>
    <w:uiPriority w:val="9"/>
    <w:semiHidden/>
    <w:unhideWhenUsed/>
    <w:qFormat/>
    <w:rsid w:val="003B73CD"/>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70703E"/>
    <w:pPr>
      <w:ind w:left="720"/>
      <w:contextualSpacing/>
    </w:pPr>
  </w:style>
  <w:style w:type="character" w:styleId="Hipervnculo">
    <w:name w:val="Hyperlink"/>
    <w:basedOn w:val="Fuentedeprrafopredeter"/>
    <w:uiPriority w:val="99"/>
    <w:unhideWhenUsed/>
    <w:rsid w:val="00FD7589"/>
    <w:rPr>
      <w:color w:val="0000FF"/>
      <w:u w:val="single"/>
    </w:rPr>
  </w:style>
  <w:style w:type="character" w:customStyle="1" w:styleId="apple-converted-space">
    <w:name w:val="apple-converted-space"/>
    <w:basedOn w:val="Fuentedeprrafopredeter"/>
    <w:rsid w:val="00FD7589"/>
  </w:style>
  <w:style w:type="paragraph" w:customStyle="1" w:styleId="Listavistosa-nfasis11">
    <w:name w:val="Lista vistosa - Énfasis 11"/>
    <w:basedOn w:val="Normal"/>
    <w:link w:val="Listavistosa-nfasis1Car"/>
    <w:uiPriority w:val="34"/>
    <w:qFormat/>
    <w:rsid w:val="000D2D89"/>
    <w:pPr>
      <w:ind w:left="708"/>
    </w:pPr>
  </w:style>
  <w:style w:type="character" w:customStyle="1" w:styleId="Listavistosa-nfasis1Car">
    <w:name w:val="Lista vistosa - Énfasis 1 Car"/>
    <w:link w:val="Listavistosa-nfasis11"/>
    <w:uiPriority w:val="34"/>
    <w:locked/>
    <w:rsid w:val="000D2D89"/>
    <w:rPr>
      <w:rFonts w:ascii="Times New Roman" w:eastAsia="Times New Roman" w:hAnsi="Times New Roman" w:cs="Times New Roman"/>
      <w:lang w:val="es-ES"/>
    </w:rPr>
  </w:style>
  <w:style w:type="paragraph" w:customStyle="1" w:styleId="Texto">
    <w:name w:val="Texto"/>
    <w:basedOn w:val="Normal"/>
    <w:link w:val="TextoCar"/>
    <w:rsid w:val="000470FE"/>
    <w:pPr>
      <w:spacing w:after="101" w:line="216" w:lineRule="exact"/>
      <w:ind w:firstLine="288"/>
      <w:jc w:val="both"/>
    </w:pPr>
    <w:rPr>
      <w:rFonts w:ascii="Arial" w:hAnsi="Arial" w:cs="Arial"/>
      <w:sz w:val="18"/>
      <w:szCs w:val="18"/>
      <w:lang w:val="es-MX"/>
    </w:rPr>
  </w:style>
  <w:style w:type="paragraph" w:styleId="NormalWeb">
    <w:name w:val="Normal (Web)"/>
    <w:basedOn w:val="Normal"/>
    <w:uiPriority w:val="99"/>
    <w:rsid w:val="000470FE"/>
    <w:pPr>
      <w:spacing w:before="100" w:beforeAutospacing="1" w:after="100" w:afterAutospacing="1"/>
    </w:pPr>
  </w:style>
  <w:style w:type="character" w:customStyle="1" w:styleId="apple-style-span">
    <w:name w:val="apple-style-span"/>
    <w:rsid w:val="008846E7"/>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7E1FF4"/>
    <w:rPr>
      <w:rFonts w:ascii="Times New Roman" w:eastAsia="Times New Roman" w:hAnsi="Times New Roman" w:cs="Times New Roman"/>
      <w:lang w:val="es-ES"/>
    </w:rPr>
  </w:style>
  <w:style w:type="character" w:styleId="Textoennegrita">
    <w:name w:val="Strong"/>
    <w:uiPriority w:val="22"/>
    <w:qFormat/>
    <w:rsid w:val="003D1B5F"/>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nhideWhenUsed/>
    <w:qFormat/>
    <w:rsid w:val="002944C8"/>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rsid w:val="002944C8"/>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iPriority w:val="99"/>
    <w:unhideWhenUsed/>
    <w:qFormat/>
    <w:rsid w:val="002944C8"/>
    <w:rPr>
      <w:vertAlign w:val="superscript"/>
    </w:rPr>
  </w:style>
  <w:style w:type="paragraph" w:styleId="Sinespaciado">
    <w:name w:val="No Spacing"/>
    <w:aliases w:val="Francesa"/>
    <w:link w:val="SinespaciadoCar"/>
    <w:uiPriority w:val="1"/>
    <w:qFormat/>
    <w:rsid w:val="002944C8"/>
    <w:rPr>
      <w:lang w:val="es-MX"/>
    </w:rPr>
  </w:style>
  <w:style w:type="paragraph" w:styleId="Textoindependiente2">
    <w:name w:val="Body Text 2"/>
    <w:basedOn w:val="Normal"/>
    <w:link w:val="Textoindependiente2Car"/>
    <w:uiPriority w:val="99"/>
    <w:unhideWhenUsed/>
    <w:rsid w:val="002944C8"/>
    <w:pPr>
      <w:spacing w:after="120" w:line="480" w:lineRule="auto"/>
    </w:pPr>
  </w:style>
  <w:style w:type="character" w:customStyle="1" w:styleId="Textoindependiente2Car">
    <w:name w:val="Texto independiente 2 Car"/>
    <w:basedOn w:val="Fuentedeprrafopredeter"/>
    <w:link w:val="Textoindependiente2"/>
    <w:uiPriority w:val="99"/>
    <w:rsid w:val="002944C8"/>
    <w:rPr>
      <w:rFonts w:ascii="Times New Roman" w:eastAsia="Times New Roman" w:hAnsi="Times New Roman" w:cs="Times New Roman"/>
      <w:lang w:val="es-ES"/>
    </w:rPr>
  </w:style>
  <w:style w:type="paragraph" w:styleId="Textosinformato">
    <w:name w:val="Plain Text"/>
    <w:basedOn w:val="Normal"/>
    <w:link w:val="TextosinformatoCar"/>
    <w:rsid w:val="002944C8"/>
    <w:rPr>
      <w:rFonts w:ascii="Courier New" w:hAnsi="Courier New"/>
      <w:sz w:val="20"/>
      <w:szCs w:val="20"/>
    </w:rPr>
  </w:style>
  <w:style w:type="character" w:customStyle="1" w:styleId="TextosinformatoCar">
    <w:name w:val="Texto sin formato Car"/>
    <w:basedOn w:val="Fuentedeprrafopredeter"/>
    <w:link w:val="Textosinformato"/>
    <w:rsid w:val="002944C8"/>
    <w:rPr>
      <w:rFonts w:ascii="Courier New" w:eastAsia="Times New Roman" w:hAnsi="Courier New" w:cs="Times New Roman"/>
      <w:sz w:val="20"/>
      <w:szCs w:val="20"/>
      <w:lang w:val="es-ES"/>
    </w:rPr>
  </w:style>
  <w:style w:type="paragraph" w:customStyle="1" w:styleId="Standard">
    <w:name w:val="Standard"/>
    <w:rsid w:val="002944C8"/>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2944C8"/>
    <w:rPr>
      <w:rFonts w:ascii="Arial" w:hAnsi="Arial" w:cs="Arial" w:hint="default"/>
      <w:b/>
      <w:bCs/>
      <w:sz w:val="18"/>
      <w:szCs w:val="18"/>
    </w:rPr>
  </w:style>
  <w:style w:type="paragraph" w:customStyle="1" w:styleId="Pa2">
    <w:name w:val="Pa2"/>
    <w:basedOn w:val="Normal"/>
    <w:next w:val="Normal"/>
    <w:uiPriority w:val="99"/>
    <w:rsid w:val="002944C8"/>
    <w:pPr>
      <w:autoSpaceDE w:val="0"/>
      <w:autoSpaceDN w:val="0"/>
      <w:adjustRightInd w:val="0"/>
      <w:spacing w:line="240" w:lineRule="atLeast"/>
    </w:pPr>
    <w:rPr>
      <w:rFonts w:ascii="Helvetica" w:hAnsi="Helvetica"/>
      <w:lang w:val="es-ES_tradnl" w:eastAsia="es-ES_tradnl"/>
    </w:rPr>
  </w:style>
  <w:style w:type="paragraph" w:customStyle="1" w:styleId="Default">
    <w:name w:val="Default"/>
    <w:rsid w:val="002944C8"/>
    <w:pPr>
      <w:autoSpaceDE w:val="0"/>
      <w:autoSpaceDN w:val="0"/>
      <w:adjustRightInd w:val="0"/>
    </w:pPr>
    <w:rPr>
      <w:rFonts w:ascii="Arial" w:eastAsiaTheme="minorHAnsi" w:hAnsi="Arial" w:cs="Arial"/>
      <w:color w:val="000000"/>
      <w:lang w:val="es-MX" w:eastAsia="en-US"/>
    </w:rPr>
  </w:style>
  <w:style w:type="character" w:customStyle="1" w:styleId="f">
    <w:name w:val="f"/>
    <w:basedOn w:val="Fuentedeprrafopredeter"/>
    <w:rsid w:val="002944C8"/>
  </w:style>
  <w:style w:type="paragraph" w:customStyle="1" w:styleId="q">
    <w:name w:val="q"/>
    <w:basedOn w:val="Normal"/>
    <w:rsid w:val="002944C8"/>
    <w:pPr>
      <w:spacing w:before="100" w:beforeAutospacing="1" w:after="100" w:afterAutospacing="1"/>
    </w:pPr>
    <w:rPr>
      <w:lang w:val="es-MX"/>
    </w:rPr>
  </w:style>
  <w:style w:type="character" w:customStyle="1" w:styleId="d">
    <w:name w:val="d"/>
    <w:basedOn w:val="Fuentedeprrafopredeter"/>
    <w:rsid w:val="002944C8"/>
  </w:style>
  <w:style w:type="character" w:customStyle="1" w:styleId="b">
    <w:name w:val="b"/>
    <w:basedOn w:val="Fuentedeprrafopredeter"/>
    <w:rsid w:val="002944C8"/>
  </w:style>
  <w:style w:type="character" w:customStyle="1" w:styleId="k">
    <w:name w:val="k"/>
    <w:basedOn w:val="Fuentedeprrafopredeter"/>
    <w:rsid w:val="002944C8"/>
  </w:style>
  <w:style w:type="character" w:customStyle="1" w:styleId="h">
    <w:name w:val="h"/>
    <w:basedOn w:val="Fuentedeprrafopredeter"/>
    <w:rsid w:val="002944C8"/>
  </w:style>
  <w:style w:type="character" w:styleId="Hipervnculovisitado">
    <w:name w:val="FollowedHyperlink"/>
    <w:basedOn w:val="Fuentedeprrafopredeter"/>
    <w:uiPriority w:val="99"/>
    <w:semiHidden/>
    <w:unhideWhenUsed/>
    <w:rsid w:val="002944C8"/>
    <w:rPr>
      <w:color w:val="800080" w:themeColor="followedHyperlink"/>
      <w:u w:val="single"/>
    </w:rPr>
  </w:style>
  <w:style w:type="character" w:styleId="CitaHTML">
    <w:name w:val="HTML Cite"/>
    <w:uiPriority w:val="99"/>
    <w:semiHidden/>
    <w:unhideWhenUsed/>
    <w:rsid w:val="00B85C7C"/>
    <w:rPr>
      <w:i/>
      <w:iCs/>
    </w:rPr>
  </w:style>
  <w:style w:type="character" w:customStyle="1" w:styleId="SinespaciadoCar">
    <w:name w:val="Sin espaciado Car"/>
    <w:aliases w:val="Francesa Car"/>
    <w:link w:val="Sinespaciado"/>
    <w:uiPriority w:val="1"/>
    <w:locked/>
    <w:rsid w:val="00270539"/>
    <w:rPr>
      <w:rFonts w:ascii="Times New Roman" w:eastAsia="Times New Roman" w:hAnsi="Times New Roman" w:cs="Times New Roman"/>
      <w:lang w:val="es-MX"/>
    </w:rPr>
  </w:style>
  <w:style w:type="character" w:customStyle="1" w:styleId="medium">
    <w:name w:val="medium"/>
    <w:basedOn w:val="Fuentedeprrafopredeter"/>
    <w:rsid w:val="00354DB7"/>
  </w:style>
  <w:style w:type="table" w:styleId="Tablaconcuadrcula">
    <w:name w:val="Table Grid"/>
    <w:basedOn w:val="Tablanormal"/>
    <w:uiPriority w:val="59"/>
    <w:rsid w:val="00BB3A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meroconsecutivo">
    <w:name w:val="numeroconsecutivo"/>
    <w:basedOn w:val="Fuentedeprrafopredeter"/>
    <w:rsid w:val="00615060"/>
  </w:style>
  <w:style w:type="character" w:customStyle="1" w:styleId="titulorubrolgt">
    <w:name w:val="titulorubrolgt"/>
    <w:basedOn w:val="Fuentedeprrafopredeter"/>
    <w:rsid w:val="00615060"/>
  </w:style>
  <w:style w:type="character" w:customStyle="1" w:styleId="ctr">
    <w:name w:val="ctr"/>
    <w:basedOn w:val="Fuentedeprrafopredeter"/>
    <w:rsid w:val="00615060"/>
  </w:style>
  <w:style w:type="paragraph" w:styleId="Textonotaalfinal">
    <w:name w:val="endnote text"/>
    <w:basedOn w:val="Normal"/>
    <w:link w:val="TextonotaalfinalCar"/>
    <w:uiPriority w:val="99"/>
    <w:semiHidden/>
    <w:unhideWhenUsed/>
    <w:rsid w:val="00D25E88"/>
    <w:rPr>
      <w:sz w:val="20"/>
      <w:szCs w:val="20"/>
    </w:rPr>
  </w:style>
  <w:style w:type="character" w:customStyle="1" w:styleId="TextonotaalfinalCar">
    <w:name w:val="Texto nota al final Car"/>
    <w:basedOn w:val="Fuentedeprrafopredeter"/>
    <w:link w:val="Textonotaalfinal"/>
    <w:uiPriority w:val="99"/>
    <w:semiHidden/>
    <w:rsid w:val="00D25E88"/>
    <w:rPr>
      <w:rFonts w:ascii="Times New Roman" w:eastAsia="Times New Roman" w:hAnsi="Times New Roman" w:cs="Times New Roman"/>
      <w:sz w:val="20"/>
      <w:szCs w:val="20"/>
      <w:lang w:val="es-ES"/>
    </w:rPr>
  </w:style>
  <w:style w:type="character" w:styleId="Refdenotaalfinal">
    <w:name w:val="endnote reference"/>
    <w:basedOn w:val="Fuentedeprrafopredeter"/>
    <w:uiPriority w:val="99"/>
    <w:semiHidden/>
    <w:unhideWhenUsed/>
    <w:rsid w:val="00D25E88"/>
    <w:rPr>
      <w:vertAlign w:val="superscript"/>
    </w:rPr>
  </w:style>
  <w:style w:type="character" w:customStyle="1" w:styleId="A1">
    <w:name w:val="A1"/>
    <w:uiPriority w:val="99"/>
    <w:rsid w:val="00EC4ECD"/>
    <w:rPr>
      <w:rFonts w:ascii="Myriad Pro" w:hAnsi="Myriad Pro" w:cs="Myriad Pro" w:hint="default"/>
      <w:color w:val="000000"/>
      <w:sz w:val="22"/>
      <w:szCs w:val="22"/>
    </w:rPr>
  </w:style>
  <w:style w:type="paragraph" w:customStyle="1" w:styleId="Pa9">
    <w:name w:val="Pa9"/>
    <w:basedOn w:val="Normal"/>
    <w:next w:val="Normal"/>
    <w:uiPriority w:val="99"/>
    <w:rsid w:val="00EC4ECD"/>
    <w:pPr>
      <w:autoSpaceDE w:val="0"/>
      <w:autoSpaceDN w:val="0"/>
      <w:adjustRightInd w:val="0"/>
      <w:spacing w:line="241" w:lineRule="atLeast"/>
    </w:pPr>
    <w:rPr>
      <w:rFonts w:ascii="Myriad Pro" w:eastAsiaTheme="minorHAnsi" w:hAnsi="Myriad Pro" w:cstheme="minorBidi"/>
      <w:lang w:val="es-MX" w:eastAsia="en-US"/>
    </w:rPr>
  </w:style>
  <w:style w:type="paragraph" w:customStyle="1" w:styleId="Pa5">
    <w:name w:val="Pa5"/>
    <w:basedOn w:val="Normal"/>
    <w:next w:val="Normal"/>
    <w:uiPriority w:val="99"/>
    <w:rsid w:val="00EC4ECD"/>
    <w:pPr>
      <w:autoSpaceDE w:val="0"/>
      <w:autoSpaceDN w:val="0"/>
      <w:adjustRightInd w:val="0"/>
      <w:spacing w:line="201" w:lineRule="atLeast"/>
    </w:pPr>
    <w:rPr>
      <w:rFonts w:ascii="Myriad Pro" w:eastAsiaTheme="minorHAnsi" w:hAnsi="Myriad Pro" w:cstheme="minorBidi"/>
      <w:lang w:val="es-MX" w:eastAsia="en-US"/>
    </w:rPr>
  </w:style>
  <w:style w:type="paragraph" w:customStyle="1" w:styleId="m5127500252372250437gmail-paragraph">
    <w:name w:val="m_5127500252372250437gmail-paragraph"/>
    <w:basedOn w:val="Normal"/>
    <w:rsid w:val="00980B7E"/>
    <w:pPr>
      <w:spacing w:before="100" w:beforeAutospacing="1" w:after="100" w:afterAutospacing="1"/>
    </w:pPr>
    <w:rPr>
      <w:lang w:val="es-MX"/>
    </w:rPr>
  </w:style>
  <w:style w:type="character" w:customStyle="1" w:styleId="nombrefraccder">
    <w:name w:val="nombrefraccder"/>
    <w:basedOn w:val="Fuentedeprrafopredeter"/>
    <w:rsid w:val="009B4A68"/>
  </w:style>
  <w:style w:type="character" w:customStyle="1" w:styleId="numberfraccder">
    <w:name w:val="numberfraccder"/>
    <w:basedOn w:val="Fuentedeprrafopredeter"/>
    <w:rsid w:val="009B4A68"/>
  </w:style>
  <w:style w:type="character" w:customStyle="1" w:styleId="TextoCar">
    <w:name w:val="Texto Car"/>
    <w:link w:val="Texto"/>
    <w:locked/>
    <w:rsid w:val="002B0963"/>
    <w:rPr>
      <w:rFonts w:ascii="Arial" w:eastAsia="Times New Roman" w:hAnsi="Arial" w:cs="Arial"/>
      <w:sz w:val="18"/>
      <w:szCs w:val="18"/>
      <w:lang w:val="es-MX"/>
    </w:rPr>
  </w:style>
  <w:style w:type="character" w:styleId="nfasis">
    <w:name w:val="Emphasis"/>
    <w:basedOn w:val="Fuentedeprrafopredeter"/>
    <w:uiPriority w:val="20"/>
    <w:qFormat/>
    <w:rsid w:val="00C536F2"/>
    <w:rPr>
      <w:i/>
      <w:iCs/>
    </w:rPr>
  </w:style>
  <w:style w:type="character" w:customStyle="1" w:styleId="normaltextrun">
    <w:name w:val="normaltextrun"/>
    <w:basedOn w:val="Fuentedeprrafopredeter"/>
    <w:rsid w:val="0011437B"/>
  </w:style>
  <w:style w:type="character" w:customStyle="1" w:styleId="m5127500252372250437gmail-normaltextrun">
    <w:name w:val="m_5127500252372250437gmail-normaltextrun"/>
    <w:basedOn w:val="Fuentedeprrafopredeter"/>
    <w:rsid w:val="0011437B"/>
  </w:style>
  <w:style w:type="paragraph" w:customStyle="1" w:styleId="m-60081275284358516gmail-msolistparagraph">
    <w:name w:val="m_-60081275284358516gmail-msolistparagraph"/>
    <w:basedOn w:val="Normal"/>
    <w:rsid w:val="00207C90"/>
    <w:pPr>
      <w:spacing w:before="100" w:beforeAutospacing="1" w:after="100" w:afterAutospacing="1"/>
    </w:pPr>
    <w:rPr>
      <w:lang w:val="es-MX"/>
    </w:rPr>
  </w:style>
  <w:style w:type="paragraph" w:customStyle="1" w:styleId="ANOTACION">
    <w:name w:val="ANOTACION"/>
    <w:basedOn w:val="Normal"/>
    <w:link w:val="ANOTACIONCar"/>
    <w:rsid w:val="001B5A73"/>
    <w:pPr>
      <w:spacing w:before="101" w:after="101" w:line="216" w:lineRule="atLeast"/>
      <w:jc w:val="center"/>
    </w:pPr>
    <w:rPr>
      <w:b/>
      <w:sz w:val="18"/>
      <w:szCs w:val="20"/>
      <w:lang w:val="es-ES_tradnl"/>
    </w:rPr>
  </w:style>
  <w:style w:type="character" w:customStyle="1" w:styleId="ANOTACIONCar">
    <w:name w:val="ANOTACION Car"/>
    <w:link w:val="ANOTACION"/>
    <w:locked/>
    <w:rsid w:val="001B5A73"/>
    <w:rPr>
      <w:rFonts w:ascii="Times New Roman" w:eastAsia="Times New Roman" w:hAnsi="Times New Roman" w:cs="Times New Roman"/>
      <w:b/>
      <w:sz w:val="18"/>
      <w:szCs w:val="20"/>
    </w:rPr>
  </w:style>
  <w:style w:type="paragraph" w:customStyle="1" w:styleId="j">
    <w:name w:val="j"/>
    <w:basedOn w:val="Normal"/>
    <w:rsid w:val="007B00BD"/>
    <w:pPr>
      <w:spacing w:before="100" w:beforeAutospacing="1" w:after="100" w:afterAutospacing="1"/>
    </w:pPr>
    <w:rPr>
      <w:lang w:val="es-MX"/>
    </w:rPr>
  </w:style>
  <w:style w:type="character" w:customStyle="1" w:styleId="nacep">
    <w:name w:val="n_acep"/>
    <w:basedOn w:val="Fuentedeprrafopredeter"/>
    <w:rsid w:val="007B00BD"/>
  </w:style>
  <w:style w:type="paragraph" w:customStyle="1" w:styleId="k5">
    <w:name w:val="k5"/>
    <w:basedOn w:val="Normal"/>
    <w:rsid w:val="007B00BD"/>
    <w:pPr>
      <w:spacing w:before="100" w:beforeAutospacing="1" w:after="100" w:afterAutospacing="1"/>
    </w:pPr>
    <w:rPr>
      <w:lang w:val="es-MX"/>
    </w:rPr>
  </w:style>
  <w:style w:type="paragraph" w:customStyle="1" w:styleId="m">
    <w:name w:val="m"/>
    <w:basedOn w:val="Normal"/>
    <w:rsid w:val="007B00BD"/>
    <w:pPr>
      <w:spacing w:before="100" w:beforeAutospacing="1" w:after="100" w:afterAutospacing="1"/>
    </w:pPr>
    <w:rPr>
      <w:lang w:val="es-MX"/>
    </w:rPr>
  </w:style>
  <w:style w:type="character" w:styleId="Refdecomentario">
    <w:name w:val="annotation reference"/>
    <w:basedOn w:val="Fuentedeprrafopredeter"/>
    <w:uiPriority w:val="99"/>
    <w:semiHidden/>
    <w:unhideWhenUsed/>
    <w:rsid w:val="003219FE"/>
    <w:rPr>
      <w:sz w:val="16"/>
      <w:szCs w:val="16"/>
    </w:rPr>
  </w:style>
  <w:style w:type="paragraph" w:styleId="Textocomentario">
    <w:name w:val="annotation text"/>
    <w:basedOn w:val="Normal"/>
    <w:link w:val="TextocomentarioCar"/>
    <w:uiPriority w:val="99"/>
    <w:semiHidden/>
    <w:unhideWhenUsed/>
    <w:rsid w:val="003219FE"/>
    <w:rPr>
      <w:sz w:val="20"/>
      <w:szCs w:val="20"/>
    </w:rPr>
  </w:style>
  <w:style w:type="character" w:customStyle="1" w:styleId="TextocomentarioCar">
    <w:name w:val="Texto comentario Car"/>
    <w:basedOn w:val="Fuentedeprrafopredeter"/>
    <w:link w:val="Textocomentario"/>
    <w:uiPriority w:val="99"/>
    <w:semiHidden/>
    <w:rsid w:val="003219FE"/>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3219FE"/>
    <w:rPr>
      <w:b/>
      <w:bCs/>
    </w:rPr>
  </w:style>
  <w:style w:type="character" w:customStyle="1" w:styleId="AsuntodelcomentarioCar">
    <w:name w:val="Asunto del comentario Car"/>
    <w:basedOn w:val="TextocomentarioCar"/>
    <w:link w:val="Asuntodelcomentario"/>
    <w:uiPriority w:val="99"/>
    <w:semiHidden/>
    <w:rsid w:val="003219FE"/>
    <w:rPr>
      <w:rFonts w:ascii="Times New Roman" w:eastAsia="Times New Roman" w:hAnsi="Times New Roman" w:cs="Times New Roman"/>
      <w:b/>
      <w:bCs/>
      <w:sz w:val="20"/>
      <w:szCs w:val="20"/>
      <w:lang w:val="es-ES"/>
    </w:rPr>
  </w:style>
  <w:style w:type="paragraph" w:customStyle="1" w:styleId="FAFunotente1">
    <w:name w:val="FA Fu?notente1"/>
    <w:basedOn w:val="Normal"/>
    <w:next w:val="Textonotapie"/>
    <w:uiPriority w:val="99"/>
    <w:unhideWhenUsed/>
    <w:rsid w:val="00A403D3"/>
    <w:rPr>
      <w:rFonts w:asciiTheme="minorHAnsi" w:eastAsia="Cambria" w:hAnsiTheme="minorHAnsi" w:cstheme="minorBidi"/>
      <w:sz w:val="20"/>
      <w:szCs w:val="20"/>
      <w:lang w:val="es-MX" w:eastAsia="en-US"/>
    </w:rPr>
  </w:style>
  <w:style w:type="character" w:customStyle="1" w:styleId="Ttulo1Car">
    <w:name w:val="Título 1 Car"/>
    <w:basedOn w:val="Fuentedeprrafopredeter"/>
    <w:link w:val="Ttulo1"/>
    <w:uiPriority w:val="9"/>
    <w:rsid w:val="00603D72"/>
    <w:rPr>
      <w:rFonts w:asciiTheme="majorHAnsi" w:eastAsiaTheme="majorEastAsia" w:hAnsiTheme="majorHAnsi" w:cstheme="majorBidi"/>
      <w:color w:val="365F91" w:themeColor="accent1" w:themeShade="BF"/>
      <w:sz w:val="32"/>
      <w:szCs w:val="32"/>
      <w:lang w:val="es-ES"/>
    </w:rPr>
  </w:style>
  <w:style w:type="character" w:customStyle="1" w:styleId="Ttulo2Car">
    <w:name w:val="Título 2 Car"/>
    <w:basedOn w:val="Fuentedeprrafopredeter"/>
    <w:link w:val="Ttulo2"/>
    <w:uiPriority w:val="9"/>
    <w:rsid w:val="00603D72"/>
    <w:rPr>
      <w:rFonts w:asciiTheme="majorHAnsi" w:eastAsiaTheme="majorEastAsia" w:hAnsiTheme="majorHAnsi" w:cstheme="majorBidi"/>
      <w:color w:val="365F91" w:themeColor="accent1" w:themeShade="BF"/>
      <w:sz w:val="26"/>
      <w:szCs w:val="26"/>
      <w:lang w:val="es-ES"/>
    </w:rPr>
  </w:style>
  <w:style w:type="paragraph" w:styleId="Lista">
    <w:name w:val="List"/>
    <w:basedOn w:val="Normal"/>
    <w:uiPriority w:val="99"/>
    <w:unhideWhenUsed/>
    <w:rsid w:val="00603D72"/>
    <w:pPr>
      <w:ind w:left="283" w:hanging="283"/>
      <w:contextualSpacing/>
    </w:pPr>
  </w:style>
  <w:style w:type="paragraph" w:styleId="Lista2">
    <w:name w:val="List 2"/>
    <w:basedOn w:val="Normal"/>
    <w:uiPriority w:val="99"/>
    <w:unhideWhenUsed/>
    <w:rsid w:val="00603D72"/>
    <w:pPr>
      <w:ind w:left="566" w:hanging="283"/>
      <w:contextualSpacing/>
    </w:pPr>
  </w:style>
  <w:style w:type="paragraph" w:styleId="Lista3">
    <w:name w:val="List 3"/>
    <w:basedOn w:val="Normal"/>
    <w:uiPriority w:val="99"/>
    <w:unhideWhenUsed/>
    <w:rsid w:val="00603D72"/>
    <w:pPr>
      <w:ind w:left="849" w:hanging="283"/>
      <w:contextualSpacing/>
    </w:pPr>
  </w:style>
  <w:style w:type="paragraph" w:styleId="Listaconvietas3">
    <w:name w:val="List Bullet 3"/>
    <w:basedOn w:val="Normal"/>
    <w:uiPriority w:val="99"/>
    <w:unhideWhenUsed/>
    <w:rsid w:val="00603D72"/>
    <w:pPr>
      <w:numPr>
        <w:numId w:val="2"/>
      </w:numPr>
      <w:contextualSpacing/>
    </w:pPr>
  </w:style>
  <w:style w:type="paragraph" w:styleId="Continuarlista">
    <w:name w:val="List Continue"/>
    <w:basedOn w:val="Normal"/>
    <w:uiPriority w:val="99"/>
    <w:unhideWhenUsed/>
    <w:rsid w:val="00603D72"/>
    <w:pPr>
      <w:spacing w:after="120"/>
      <w:ind w:left="283"/>
      <w:contextualSpacing/>
    </w:pPr>
  </w:style>
  <w:style w:type="paragraph" w:styleId="Continuarlista2">
    <w:name w:val="List Continue 2"/>
    <w:basedOn w:val="Normal"/>
    <w:uiPriority w:val="99"/>
    <w:unhideWhenUsed/>
    <w:rsid w:val="00603D72"/>
    <w:pPr>
      <w:spacing w:after="120"/>
      <w:ind w:left="566"/>
      <w:contextualSpacing/>
    </w:pPr>
  </w:style>
  <w:style w:type="paragraph" w:styleId="Textoindependiente">
    <w:name w:val="Body Text"/>
    <w:basedOn w:val="Normal"/>
    <w:link w:val="TextoindependienteCar"/>
    <w:uiPriority w:val="99"/>
    <w:unhideWhenUsed/>
    <w:rsid w:val="00603D72"/>
    <w:pPr>
      <w:spacing w:after="120"/>
    </w:pPr>
  </w:style>
  <w:style w:type="character" w:customStyle="1" w:styleId="TextoindependienteCar">
    <w:name w:val="Texto independiente Car"/>
    <w:basedOn w:val="Fuentedeprrafopredeter"/>
    <w:link w:val="Textoindependiente"/>
    <w:uiPriority w:val="99"/>
    <w:rsid w:val="00603D72"/>
    <w:rPr>
      <w:rFonts w:ascii="Times New Roman" w:eastAsia="Times New Roman" w:hAnsi="Times New Roman" w:cs="Times New Roman"/>
      <w:lang w:val="es-ES"/>
    </w:rPr>
  </w:style>
  <w:style w:type="paragraph" w:styleId="Sangradetextonormal">
    <w:name w:val="Body Text Indent"/>
    <w:basedOn w:val="Normal"/>
    <w:link w:val="SangradetextonormalCar"/>
    <w:uiPriority w:val="99"/>
    <w:unhideWhenUsed/>
    <w:rsid w:val="00603D72"/>
    <w:pPr>
      <w:spacing w:after="120"/>
      <w:ind w:left="283"/>
    </w:pPr>
  </w:style>
  <w:style w:type="character" w:customStyle="1" w:styleId="SangradetextonormalCar">
    <w:name w:val="Sangría de texto normal Car"/>
    <w:basedOn w:val="Fuentedeprrafopredeter"/>
    <w:link w:val="Sangradetextonormal"/>
    <w:uiPriority w:val="99"/>
    <w:rsid w:val="00603D72"/>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603D72"/>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603D72"/>
    <w:rPr>
      <w:rFonts w:ascii="Times New Roman" w:eastAsia="Times New Roman" w:hAnsi="Times New Roman" w:cs="Times New Roman"/>
      <w:lang w:val="es-ES"/>
    </w:rPr>
  </w:style>
  <w:style w:type="paragraph" w:customStyle="1" w:styleId="paragraph">
    <w:name w:val="paragraph"/>
    <w:basedOn w:val="Normal"/>
    <w:rsid w:val="00E34821"/>
    <w:pPr>
      <w:spacing w:before="100" w:beforeAutospacing="1" w:after="100" w:afterAutospacing="1"/>
    </w:pPr>
    <w:rPr>
      <w:lang w:val="es-MX"/>
    </w:rPr>
  </w:style>
  <w:style w:type="paragraph" w:customStyle="1" w:styleId="n2">
    <w:name w:val="n2"/>
    <w:basedOn w:val="Normal"/>
    <w:rsid w:val="009D307C"/>
    <w:pPr>
      <w:spacing w:before="100" w:beforeAutospacing="1" w:after="100" w:afterAutospacing="1"/>
    </w:pPr>
    <w:rPr>
      <w:lang w:val="es-MX"/>
    </w:rPr>
  </w:style>
  <w:style w:type="character" w:customStyle="1" w:styleId="u">
    <w:name w:val="u"/>
    <w:basedOn w:val="Fuentedeprrafopredeter"/>
    <w:rsid w:val="009D307C"/>
  </w:style>
  <w:style w:type="paragraph" w:customStyle="1" w:styleId="j1">
    <w:name w:val="j1"/>
    <w:basedOn w:val="Normal"/>
    <w:rsid w:val="009D307C"/>
    <w:pPr>
      <w:spacing w:before="100" w:beforeAutospacing="1" w:after="100" w:afterAutospacing="1"/>
    </w:pPr>
    <w:rPr>
      <w:lang w:val="es-MX"/>
    </w:rPr>
  </w:style>
  <w:style w:type="paragraph" w:customStyle="1" w:styleId="j2">
    <w:name w:val="j2"/>
    <w:basedOn w:val="Normal"/>
    <w:rsid w:val="009D307C"/>
    <w:pPr>
      <w:spacing w:before="100" w:beforeAutospacing="1" w:after="100" w:afterAutospacing="1"/>
    </w:pPr>
    <w:rPr>
      <w:lang w:val="es-MX"/>
    </w:rPr>
  </w:style>
  <w:style w:type="table" w:styleId="Tabladelista1clara-nfasis1">
    <w:name w:val="List Table 1 Light Accent 1"/>
    <w:basedOn w:val="Tablanormal"/>
    <w:uiPriority w:val="46"/>
    <w:rsid w:val="00A01B91"/>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Mencinsinresolver1">
    <w:name w:val="Mención sin resolver1"/>
    <w:basedOn w:val="Fuentedeprrafopredeter"/>
    <w:uiPriority w:val="99"/>
    <w:semiHidden/>
    <w:unhideWhenUsed/>
    <w:rsid w:val="00457753"/>
    <w:rPr>
      <w:color w:val="605E5C"/>
      <w:shd w:val="clear" w:color="auto" w:fill="E1DFDD"/>
    </w:rPr>
  </w:style>
  <w:style w:type="character" w:customStyle="1" w:styleId="Mencinsinresolver2">
    <w:name w:val="Mención sin resolver2"/>
    <w:basedOn w:val="Fuentedeprrafopredeter"/>
    <w:uiPriority w:val="99"/>
    <w:semiHidden/>
    <w:unhideWhenUsed/>
    <w:rsid w:val="00CE48D4"/>
    <w:rPr>
      <w:color w:val="605E5C"/>
      <w:shd w:val="clear" w:color="auto" w:fill="E1DFDD"/>
    </w:rPr>
  </w:style>
  <w:style w:type="table" w:customStyle="1" w:styleId="Tabladelista1clara-nfasis11">
    <w:name w:val="Tabla de lista 1 clara - Énfasis 11"/>
    <w:basedOn w:val="Tablanormal"/>
    <w:uiPriority w:val="46"/>
    <w:rsid w:val="008F79FD"/>
    <w:rPr>
      <w:rFonts w:eastAsia="MS Mincho"/>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Ttulo3Car">
    <w:name w:val="Título 3 Car"/>
    <w:basedOn w:val="Fuentedeprrafopredeter"/>
    <w:link w:val="Ttulo3"/>
    <w:uiPriority w:val="9"/>
    <w:rsid w:val="003B73CD"/>
    <w:rPr>
      <w:rFonts w:asciiTheme="majorHAnsi" w:eastAsiaTheme="majorEastAsia" w:hAnsiTheme="majorHAnsi" w:cstheme="majorBidi"/>
      <w:b/>
      <w:bCs/>
      <w:sz w:val="26"/>
      <w:szCs w:val="26"/>
      <w:lang w:val="en-US" w:eastAsia="en-US"/>
    </w:rPr>
  </w:style>
  <w:style w:type="character" w:customStyle="1" w:styleId="Ttulo4Car">
    <w:name w:val="Título 4 Car"/>
    <w:basedOn w:val="Fuentedeprrafopredeter"/>
    <w:link w:val="Ttulo4"/>
    <w:uiPriority w:val="9"/>
    <w:semiHidden/>
    <w:rsid w:val="003B73CD"/>
    <w:rPr>
      <w:b/>
      <w:bCs/>
      <w:sz w:val="28"/>
      <w:szCs w:val="28"/>
      <w:lang w:val="en-US" w:eastAsia="en-US"/>
    </w:rPr>
  </w:style>
  <w:style w:type="character" w:customStyle="1" w:styleId="Ttulo5Car">
    <w:name w:val="Título 5 Car"/>
    <w:basedOn w:val="Fuentedeprrafopredeter"/>
    <w:link w:val="Ttulo5"/>
    <w:uiPriority w:val="9"/>
    <w:semiHidden/>
    <w:rsid w:val="003B73CD"/>
    <w:rPr>
      <w:b/>
      <w:bCs/>
      <w:i/>
      <w:iCs/>
      <w:sz w:val="26"/>
      <w:szCs w:val="26"/>
      <w:lang w:val="en-US" w:eastAsia="en-US"/>
    </w:rPr>
  </w:style>
  <w:style w:type="character" w:customStyle="1" w:styleId="Ttulo6Car">
    <w:name w:val="Título 6 Car"/>
    <w:basedOn w:val="Fuentedeprrafopredeter"/>
    <w:link w:val="Ttulo6"/>
    <w:semiHidden/>
    <w:rsid w:val="003B73CD"/>
    <w:rPr>
      <w:rFonts w:ascii="Times New Roman" w:eastAsia="Times New Roman" w:hAnsi="Times New Roman" w:cs="Times New Roman"/>
      <w:b/>
      <w:bCs/>
      <w:sz w:val="22"/>
      <w:szCs w:val="22"/>
      <w:lang w:val="en-US" w:eastAsia="en-US"/>
    </w:rPr>
  </w:style>
  <w:style w:type="character" w:customStyle="1" w:styleId="Ttulo7Car">
    <w:name w:val="Título 7 Car"/>
    <w:basedOn w:val="Fuentedeprrafopredeter"/>
    <w:link w:val="Ttulo7"/>
    <w:uiPriority w:val="9"/>
    <w:semiHidden/>
    <w:rsid w:val="003B73CD"/>
    <w:rPr>
      <w:lang w:val="en-US" w:eastAsia="en-US"/>
    </w:rPr>
  </w:style>
  <w:style w:type="character" w:customStyle="1" w:styleId="Ttulo8Car">
    <w:name w:val="Título 8 Car"/>
    <w:basedOn w:val="Fuentedeprrafopredeter"/>
    <w:link w:val="Ttulo8"/>
    <w:uiPriority w:val="9"/>
    <w:semiHidden/>
    <w:rsid w:val="003B73CD"/>
    <w:rPr>
      <w:i/>
      <w:iCs/>
      <w:lang w:val="en-US" w:eastAsia="en-US"/>
    </w:rPr>
  </w:style>
  <w:style w:type="character" w:customStyle="1" w:styleId="Ttulo9Car">
    <w:name w:val="Título 9 Car"/>
    <w:basedOn w:val="Fuentedeprrafopredeter"/>
    <w:link w:val="Ttulo9"/>
    <w:uiPriority w:val="9"/>
    <w:semiHidden/>
    <w:rsid w:val="003B73CD"/>
    <w:rPr>
      <w:rFonts w:asciiTheme="majorHAnsi" w:eastAsiaTheme="majorEastAsia" w:hAnsiTheme="majorHAnsi" w:cstheme="majorBidi"/>
      <w:sz w:val="22"/>
      <w:szCs w:val="22"/>
      <w:lang w:val="en-US" w:eastAsia="en-US"/>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08" w:type="dxa"/>
        <w:right w:w="108"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0">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character" w:customStyle="1" w:styleId="Mencinsinresolver3">
    <w:name w:val="Mención sin resolver3"/>
    <w:basedOn w:val="Fuentedeprrafopredeter"/>
    <w:uiPriority w:val="99"/>
    <w:semiHidden/>
    <w:unhideWhenUsed/>
    <w:rsid w:val="005417B2"/>
    <w:rPr>
      <w:color w:val="605E5C"/>
      <w:shd w:val="clear" w:color="auto" w:fill="E1DFDD"/>
    </w:rPr>
  </w:style>
  <w:style w:type="paragraph" w:styleId="Saludo">
    <w:name w:val="Salutation"/>
    <w:basedOn w:val="Normal"/>
    <w:next w:val="Normal"/>
    <w:link w:val="SaludoCar"/>
    <w:uiPriority w:val="99"/>
    <w:unhideWhenUsed/>
    <w:rsid w:val="00FD2778"/>
  </w:style>
  <w:style w:type="character" w:customStyle="1" w:styleId="SaludoCar">
    <w:name w:val="Saludo Car"/>
    <w:basedOn w:val="Fuentedeprrafopredeter"/>
    <w:link w:val="Saludo"/>
    <w:uiPriority w:val="99"/>
    <w:rsid w:val="00FD2778"/>
  </w:style>
  <w:style w:type="paragraph" w:styleId="Listaconvietas2">
    <w:name w:val="List Bullet 2"/>
    <w:basedOn w:val="Normal"/>
    <w:uiPriority w:val="99"/>
    <w:unhideWhenUsed/>
    <w:rsid w:val="00461812"/>
    <w:pPr>
      <w:numPr>
        <w:numId w:val="20"/>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0906100">
      <w:bodyDiv w:val="1"/>
      <w:marLeft w:val="0"/>
      <w:marRight w:val="0"/>
      <w:marTop w:val="0"/>
      <w:marBottom w:val="0"/>
      <w:divBdr>
        <w:top w:val="none" w:sz="0" w:space="0" w:color="auto"/>
        <w:left w:val="none" w:sz="0" w:space="0" w:color="auto"/>
        <w:bottom w:val="none" w:sz="0" w:space="0" w:color="auto"/>
        <w:right w:val="none" w:sz="0" w:space="0" w:color="auto"/>
      </w:divBdr>
    </w:div>
    <w:div w:id="301203590">
      <w:bodyDiv w:val="1"/>
      <w:marLeft w:val="0"/>
      <w:marRight w:val="0"/>
      <w:marTop w:val="0"/>
      <w:marBottom w:val="0"/>
      <w:divBdr>
        <w:top w:val="none" w:sz="0" w:space="0" w:color="auto"/>
        <w:left w:val="none" w:sz="0" w:space="0" w:color="auto"/>
        <w:bottom w:val="none" w:sz="0" w:space="0" w:color="auto"/>
        <w:right w:val="none" w:sz="0" w:space="0" w:color="auto"/>
      </w:divBdr>
    </w:div>
    <w:div w:id="384762164">
      <w:bodyDiv w:val="1"/>
      <w:marLeft w:val="0"/>
      <w:marRight w:val="0"/>
      <w:marTop w:val="0"/>
      <w:marBottom w:val="0"/>
      <w:divBdr>
        <w:top w:val="none" w:sz="0" w:space="0" w:color="auto"/>
        <w:left w:val="none" w:sz="0" w:space="0" w:color="auto"/>
        <w:bottom w:val="none" w:sz="0" w:space="0" w:color="auto"/>
        <w:right w:val="none" w:sz="0" w:space="0" w:color="auto"/>
      </w:divBdr>
    </w:div>
    <w:div w:id="469787506">
      <w:bodyDiv w:val="1"/>
      <w:marLeft w:val="0"/>
      <w:marRight w:val="0"/>
      <w:marTop w:val="0"/>
      <w:marBottom w:val="0"/>
      <w:divBdr>
        <w:top w:val="none" w:sz="0" w:space="0" w:color="auto"/>
        <w:left w:val="none" w:sz="0" w:space="0" w:color="auto"/>
        <w:bottom w:val="none" w:sz="0" w:space="0" w:color="auto"/>
        <w:right w:val="none" w:sz="0" w:space="0" w:color="auto"/>
      </w:divBdr>
    </w:div>
    <w:div w:id="472911651">
      <w:bodyDiv w:val="1"/>
      <w:marLeft w:val="0"/>
      <w:marRight w:val="0"/>
      <w:marTop w:val="0"/>
      <w:marBottom w:val="0"/>
      <w:divBdr>
        <w:top w:val="none" w:sz="0" w:space="0" w:color="auto"/>
        <w:left w:val="none" w:sz="0" w:space="0" w:color="auto"/>
        <w:bottom w:val="none" w:sz="0" w:space="0" w:color="auto"/>
        <w:right w:val="none" w:sz="0" w:space="0" w:color="auto"/>
      </w:divBdr>
    </w:div>
    <w:div w:id="483741735">
      <w:bodyDiv w:val="1"/>
      <w:marLeft w:val="0"/>
      <w:marRight w:val="0"/>
      <w:marTop w:val="0"/>
      <w:marBottom w:val="0"/>
      <w:divBdr>
        <w:top w:val="none" w:sz="0" w:space="0" w:color="auto"/>
        <w:left w:val="none" w:sz="0" w:space="0" w:color="auto"/>
        <w:bottom w:val="none" w:sz="0" w:space="0" w:color="auto"/>
        <w:right w:val="none" w:sz="0" w:space="0" w:color="auto"/>
      </w:divBdr>
    </w:div>
    <w:div w:id="523707905">
      <w:bodyDiv w:val="1"/>
      <w:marLeft w:val="0"/>
      <w:marRight w:val="0"/>
      <w:marTop w:val="0"/>
      <w:marBottom w:val="0"/>
      <w:divBdr>
        <w:top w:val="none" w:sz="0" w:space="0" w:color="auto"/>
        <w:left w:val="none" w:sz="0" w:space="0" w:color="auto"/>
        <w:bottom w:val="none" w:sz="0" w:space="0" w:color="auto"/>
        <w:right w:val="none" w:sz="0" w:space="0" w:color="auto"/>
      </w:divBdr>
    </w:div>
    <w:div w:id="525950340">
      <w:bodyDiv w:val="1"/>
      <w:marLeft w:val="0"/>
      <w:marRight w:val="0"/>
      <w:marTop w:val="0"/>
      <w:marBottom w:val="0"/>
      <w:divBdr>
        <w:top w:val="none" w:sz="0" w:space="0" w:color="auto"/>
        <w:left w:val="none" w:sz="0" w:space="0" w:color="auto"/>
        <w:bottom w:val="none" w:sz="0" w:space="0" w:color="auto"/>
        <w:right w:val="none" w:sz="0" w:space="0" w:color="auto"/>
      </w:divBdr>
    </w:div>
    <w:div w:id="540942597">
      <w:bodyDiv w:val="1"/>
      <w:marLeft w:val="0"/>
      <w:marRight w:val="0"/>
      <w:marTop w:val="0"/>
      <w:marBottom w:val="0"/>
      <w:divBdr>
        <w:top w:val="none" w:sz="0" w:space="0" w:color="auto"/>
        <w:left w:val="none" w:sz="0" w:space="0" w:color="auto"/>
        <w:bottom w:val="none" w:sz="0" w:space="0" w:color="auto"/>
        <w:right w:val="none" w:sz="0" w:space="0" w:color="auto"/>
      </w:divBdr>
    </w:div>
    <w:div w:id="577784322">
      <w:bodyDiv w:val="1"/>
      <w:marLeft w:val="0"/>
      <w:marRight w:val="0"/>
      <w:marTop w:val="0"/>
      <w:marBottom w:val="0"/>
      <w:divBdr>
        <w:top w:val="none" w:sz="0" w:space="0" w:color="auto"/>
        <w:left w:val="none" w:sz="0" w:space="0" w:color="auto"/>
        <w:bottom w:val="none" w:sz="0" w:space="0" w:color="auto"/>
        <w:right w:val="none" w:sz="0" w:space="0" w:color="auto"/>
      </w:divBdr>
    </w:div>
    <w:div w:id="588542728">
      <w:bodyDiv w:val="1"/>
      <w:marLeft w:val="0"/>
      <w:marRight w:val="0"/>
      <w:marTop w:val="0"/>
      <w:marBottom w:val="0"/>
      <w:divBdr>
        <w:top w:val="none" w:sz="0" w:space="0" w:color="auto"/>
        <w:left w:val="none" w:sz="0" w:space="0" w:color="auto"/>
        <w:bottom w:val="none" w:sz="0" w:space="0" w:color="auto"/>
        <w:right w:val="none" w:sz="0" w:space="0" w:color="auto"/>
      </w:divBdr>
    </w:div>
    <w:div w:id="639573066">
      <w:bodyDiv w:val="1"/>
      <w:marLeft w:val="0"/>
      <w:marRight w:val="0"/>
      <w:marTop w:val="0"/>
      <w:marBottom w:val="0"/>
      <w:divBdr>
        <w:top w:val="none" w:sz="0" w:space="0" w:color="auto"/>
        <w:left w:val="none" w:sz="0" w:space="0" w:color="auto"/>
        <w:bottom w:val="none" w:sz="0" w:space="0" w:color="auto"/>
        <w:right w:val="none" w:sz="0" w:space="0" w:color="auto"/>
      </w:divBdr>
    </w:div>
    <w:div w:id="651561503">
      <w:bodyDiv w:val="1"/>
      <w:marLeft w:val="0"/>
      <w:marRight w:val="0"/>
      <w:marTop w:val="0"/>
      <w:marBottom w:val="0"/>
      <w:divBdr>
        <w:top w:val="none" w:sz="0" w:space="0" w:color="auto"/>
        <w:left w:val="none" w:sz="0" w:space="0" w:color="auto"/>
        <w:bottom w:val="none" w:sz="0" w:space="0" w:color="auto"/>
        <w:right w:val="none" w:sz="0" w:space="0" w:color="auto"/>
      </w:divBdr>
    </w:div>
    <w:div w:id="680208302">
      <w:bodyDiv w:val="1"/>
      <w:marLeft w:val="0"/>
      <w:marRight w:val="0"/>
      <w:marTop w:val="0"/>
      <w:marBottom w:val="0"/>
      <w:divBdr>
        <w:top w:val="none" w:sz="0" w:space="0" w:color="auto"/>
        <w:left w:val="none" w:sz="0" w:space="0" w:color="auto"/>
        <w:bottom w:val="none" w:sz="0" w:space="0" w:color="auto"/>
        <w:right w:val="none" w:sz="0" w:space="0" w:color="auto"/>
      </w:divBdr>
    </w:div>
    <w:div w:id="766116726">
      <w:bodyDiv w:val="1"/>
      <w:marLeft w:val="0"/>
      <w:marRight w:val="0"/>
      <w:marTop w:val="0"/>
      <w:marBottom w:val="0"/>
      <w:divBdr>
        <w:top w:val="none" w:sz="0" w:space="0" w:color="auto"/>
        <w:left w:val="none" w:sz="0" w:space="0" w:color="auto"/>
        <w:bottom w:val="none" w:sz="0" w:space="0" w:color="auto"/>
        <w:right w:val="none" w:sz="0" w:space="0" w:color="auto"/>
      </w:divBdr>
    </w:div>
    <w:div w:id="766345092">
      <w:bodyDiv w:val="1"/>
      <w:marLeft w:val="0"/>
      <w:marRight w:val="0"/>
      <w:marTop w:val="0"/>
      <w:marBottom w:val="0"/>
      <w:divBdr>
        <w:top w:val="none" w:sz="0" w:space="0" w:color="auto"/>
        <w:left w:val="none" w:sz="0" w:space="0" w:color="auto"/>
        <w:bottom w:val="none" w:sz="0" w:space="0" w:color="auto"/>
        <w:right w:val="none" w:sz="0" w:space="0" w:color="auto"/>
      </w:divBdr>
    </w:div>
    <w:div w:id="804010821">
      <w:bodyDiv w:val="1"/>
      <w:marLeft w:val="0"/>
      <w:marRight w:val="0"/>
      <w:marTop w:val="0"/>
      <w:marBottom w:val="0"/>
      <w:divBdr>
        <w:top w:val="none" w:sz="0" w:space="0" w:color="auto"/>
        <w:left w:val="none" w:sz="0" w:space="0" w:color="auto"/>
        <w:bottom w:val="none" w:sz="0" w:space="0" w:color="auto"/>
        <w:right w:val="none" w:sz="0" w:space="0" w:color="auto"/>
      </w:divBdr>
    </w:div>
    <w:div w:id="875580208">
      <w:bodyDiv w:val="1"/>
      <w:marLeft w:val="0"/>
      <w:marRight w:val="0"/>
      <w:marTop w:val="0"/>
      <w:marBottom w:val="0"/>
      <w:divBdr>
        <w:top w:val="none" w:sz="0" w:space="0" w:color="auto"/>
        <w:left w:val="none" w:sz="0" w:space="0" w:color="auto"/>
        <w:bottom w:val="none" w:sz="0" w:space="0" w:color="auto"/>
        <w:right w:val="none" w:sz="0" w:space="0" w:color="auto"/>
      </w:divBdr>
    </w:div>
    <w:div w:id="977883274">
      <w:bodyDiv w:val="1"/>
      <w:marLeft w:val="0"/>
      <w:marRight w:val="0"/>
      <w:marTop w:val="0"/>
      <w:marBottom w:val="0"/>
      <w:divBdr>
        <w:top w:val="none" w:sz="0" w:space="0" w:color="auto"/>
        <w:left w:val="none" w:sz="0" w:space="0" w:color="auto"/>
        <w:bottom w:val="none" w:sz="0" w:space="0" w:color="auto"/>
        <w:right w:val="none" w:sz="0" w:space="0" w:color="auto"/>
      </w:divBdr>
    </w:div>
    <w:div w:id="1136682096">
      <w:bodyDiv w:val="1"/>
      <w:marLeft w:val="0"/>
      <w:marRight w:val="0"/>
      <w:marTop w:val="0"/>
      <w:marBottom w:val="0"/>
      <w:divBdr>
        <w:top w:val="none" w:sz="0" w:space="0" w:color="auto"/>
        <w:left w:val="none" w:sz="0" w:space="0" w:color="auto"/>
        <w:bottom w:val="none" w:sz="0" w:space="0" w:color="auto"/>
        <w:right w:val="none" w:sz="0" w:space="0" w:color="auto"/>
      </w:divBdr>
    </w:div>
    <w:div w:id="1205218841">
      <w:bodyDiv w:val="1"/>
      <w:marLeft w:val="0"/>
      <w:marRight w:val="0"/>
      <w:marTop w:val="0"/>
      <w:marBottom w:val="0"/>
      <w:divBdr>
        <w:top w:val="none" w:sz="0" w:space="0" w:color="auto"/>
        <w:left w:val="none" w:sz="0" w:space="0" w:color="auto"/>
        <w:bottom w:val="none" w:sz="0" w:space="0" w:color="auto"/>
        <w:right w:val="none" w:sz="0" w:space="0" w:color="auto"/>
      </w:divBdr>
    </w:div>
    <w:div w:id="1300455691">
      <w:bodyDiv w:val="1"/>
      <w:marLeft w:val="0"/>
      <w:marRight w:val="0"/>
      <w:marTop w:val="0"/>
      <w:marBottom w:val="0"/>
      <w:divBdr>
        <w:top w:val="none" w:sz="0" w:space="0" w:color="auto"/>
        <w:left w:val="none" w:sz="0" w:space="0" w:color="auto"/>
        <w:bottom w:val="none" w:sz="0" w:space="0" w:color="auto"/>
        <w:right w:val="none" w:sz="0" w:space="0" w:color="auto"/>
      </w:divBdr>
    </w:div>
    <w:div w:id="1421834209">
      <w:bodyDiv w:val="1"/>
      <w:marLeft w:val="0"/>
      <w:marRight w:val="0"/>
      <w:marTop w:val="0"/>
      <w:marBottom w:val="0"/>
      <w:divBdr>
        <w:top w:val="none" w:sz="0" w:space="0" w:color="auto"/>
        <w:left w:val="none" w:sz="0" w:space="0" w:color="auto"/>
        <w:bottom w:val="none" w:sz="0" w:space="0" w:color="auto"/>
        <w:right w:val="none" w:sz="0" w:space="0" w:color="auto"/>
      </w:divBdr>
    </w:div>
    <w:div w:id="1425610709">
      <w:bodyDiv w:val="1"/>
      <w:marLeft w:val="0"/>
      <w:marRight w:val="0"/>
      <w:marTop w:val="0"/>
      <w:marBottom w:val="0"/>
      <w:divBdr>
        <w:top w:val="none" w:sz="0" w:space="0" w:color="auto"/>
        <w:left w:val="none" w:sz="0" w:space="0" w:color="auto"/>
        <w:bottom w:val="none" w:sz="0" w:space="0" w:color="auto"/>
        <w:right w:val="none" w:sz="0" w:space="0" w:color="auto"/>
      </w:divBdr>
    </w:div>
    <w:div w:id="1569029888">
      <w:bodyDiv w:val="1"/>
      <w:marLeft w:val="0"/>
      <w:marRight w:val="0"/>
      <w:marTop w:val="0"/>
      <w:marBottom w:val="0"/>
      <w:divBdr>
        <w:top w:val="none" w:sz="0" w:space="0" w:color="auto"/>
        <w:left w:val="none" w:sz="0" w:space="0" w:color="auto"/>
        <w:bottom w:val="none" w:sz="0" w:space="0" w:color="auto"/>
        <w:right w:val="none" w:sz="0" w:space="0" w:color="auto"/>
      </w:divBdr>
    </w:div>
    <w:div w:id="1576891224">
      <w:bodyDiv w:val="1"/>
      <w:marLeft w:val="0"/>
      <w:marRight w:val="0"/>
      <w:marTop w:val="0"/>
      <w:marBottom w:val="0"/>
      <w:divBdr>
        <w:top w:val="none" w:sz="0" w:space="0" w:color="auto"/>
        <w:left w:val="none" w:sz="0" w:space="0" w:color="auto"/>
        <w:bottom w:val="none" w:sz="0" w:space="0" w:color="auto"/>
        <w:right w:val="none" w:sz="0" w:space="0" w:color="auto"/>
      </w:divBdr>
    </w:div>
    <w:div w:id="1631589969">
      <w:bodyDiv w:val="1"/>
      <w:marLeft w:val="0"/>
      <w:marRight w:val="0"/>
      <w:marTop w:val="0"/>
      <w:marBottom w:val="0"/>
      <w:divBdr>
        <w:top w:val="none" w:sz="0" w:space="0" w:color="auto"/>
        <w:left w:val="none" w:sz="0" w:space="0" w:color="auto"/>
        <w:bottom w:val="none" w:sz="0" w:space="0" w:color="auto"/>
        <w:right w:val="none" w:sz="0" w:space="0" w:color="auto"/>
      </w:divBdr>
    </w:div>
    <w:div w:id="1686131630">
      <w:bodyDiv w:val="1"/>
      <w:marLeft w:val="0"/>
      <w:marRight w:val="0"/>
      <w:marTop w:val="0"/>
      <w:marBottom w:val="0"/>
      <w:divBdr>
        <w:top w:val="none" w:sz="0" w:space="0" w:color="auto"/>
        <w:left w:val="none" w:sz="0" w:space="0" w:color="auto"/>
        <w:bottom w:val="none" w:sz="0" w:space="0" w:color="auto"/>
        <w:right w:val="none" w:sz="0" w:space="0" w:color="auto"/>
      </w:divBdr>
    </w:div>
    <w:div w:id="1761020934">
      <w:bodyDiv w:val="1"/>
      <w:marLeft w:val="0"/>
      <w:marRight w:val="0"/>
      <w:marTop w:val="0"/>
      <w:marBottom w:val="0"/>
      <w:divBdr>
        <w:top w:val="none" w:sz="0" w:space="0" w:color="auto"/>
        <w:left w:val="none" w:sz="0" w:space="0" w:color="auto"/>
        <w:bottom w:val="none" w:sz="0" w:space="0" w:color="auto"/>
        <w:right w:val="none" w:sz="0" w:space="0" w:color="auto"/>
      </w:divBdr>
    </w:div>
    <w:div w:id="1762793529">
      <w:bodyDiv w:val="1"/>
      <w:marLeft w:val="0"/>
      <w:marRight w:val="0"/>
      <w:marTop w:val="0"/>
      <w:marBottom w:val="0"/>
      <w:divBdr>
        <w:top w:val="none" w:sz="0" w:space="0" w:color="auto"/>
        <w:left w:val="none" w:sz="0" w:space="0" w:color="auto"/>
        <w:bottom w:val="none" w:sz="0" w:space="0" w:color="auto"/>
        <w:right w:val="none" w:sz="0" w:space="0" w:color="auto"/>
      </w:divBdr>
    </w:div>
    <w:div w:id="1831019430">
      <w:bodyDiv w:val="1"/>
      <w:marLeft w:val="0"/>
      <w:marRight w:val="0"/>
      <w:marTop w:val="0"/>
      <w:marBottom w:val="0"/>
      <w:divBdr>
        <w:top w:val="none" w:sz="0" w:space="0" w:color="auto"/>
        <w:left w:val="none" w:sz="0" w:space="0" w:color="auto"/>
        <w:bottom w:val="none" w:sz="0" w:space="0" w:color="auto"/>
        <w:right w:val="none" w:sz="0" w:space="0" w:color="auto"/>
      </w:divBdr>
    </w:div>
    <w:div w:id="1862207145">
      <w:bodyDiv w:val="1"/>
      <w:marLeft w:val="0"/>
      <w:marRight w:val="0"/>
      <w:marTop w:val="0"/>
      <w:marBottom w:val="0"/>
      <w:divBdr>
        <w:top w:val="none" w:sz="0" w:space="0" w:color="auto"/>
        <w:left w:val="none" w:sz="0" w:space="0" w:color="auto"/>
        <w:bottom w:val="none" w:sz="0" w:space="0" w:color="auto"/>
        <w:right w:val="none" w:sz="0" w:space="0" w:color="auto"/>
      </w:divBdr>
    </w:div>
    <w:div w:id="1907453297">
      <w:bodyDiv w:val="1"/>
      <w:marLeft w:val="0"/>
      <w:marRight w:val="0"/>
      <w:marTop w:val="0"/>
      <w:marBottom w:val="0"/>
      <w:divBdr>
        <w:top w:val="none" w:sz="0" w:space="0" w:color="auto"/>
        <w:left w:val="none" w:sz="0" w:space="0" w:color="auto"/>
        <w:bottom w:val="none" w:sz="0" w:space="0" w:color="auto"/>
        <w:right w:val="none" w:sz="0" w:space="0" w:color="auto"/>
      </w:divBdr>
    </w:div>
    <w:div w:id="1922375878">
      <w:bodyDiv w:val="1"/>
      <w:marLeft w:val="0"/>
      <w:marRight w:val="0"/>
      <w:marTop w:val="0"/>
      <w:marBottom w:val="0"/>
      <w:divBdr>
        <w:top w:val="none" w:sz="0" w:space="0" w:color="auto"/>
        <w:left w:val="none" w:sz="0" w:space="0" w:color="auto"/>
        <w:bottom w:val="none" w:sz="0" w:space="0" w:color="auto"/>
        <w:right w:val="none" w:sz="0" w:space="0" w:color="auto"/>
      </w:divBdr>
    </w:div>
    <w:div w:id="2012446474">
      <w:bodyDiv w:val="1"/>
      <w:marLeft w:val="0"/>
      <w:marRight w:val="0"/>
      <w:marTop w:val="0"/>
      <w:marBottom w:val="0"/>
      <w:divBdr>
        <w:top w:val="none" w:sz="0" w:space="0" w:color="auto"/>
        <w:left w:val="none" w:sz="0" w:space="0" w:color="auto"/>
        <w:bottom w:val="none" w:sz="0" w:space="0" w:color="auto"/>
        <w:right w:val="none" w:sz="0" w:space="0" w:color="auto"/>
      </w:divBdr>
    </w:div>
    <w:div w:id="2027824746">
      <w:bodyDiv w:val="1"/>
      <w:marLeft w:val="0"/>
      <w:marRight w:val="0"/>
      <w:marTop w:val="0"/>
      <w:marBottom w:val="0"/>
      <w:divBdr>
        <w:top w:val="none" w:sz="0" w:space="0" w:color="auto"/>
        <w:left w:val="none" w:sz="0" w:space="0" w:color="auto"/>
        <w:bottom w:val="none" w:sz="0" w:space="0" w:color="auto"/>
        <w:right w:val="none" w:sz="0" w:space="0" w:color="auto"/>
      </w:divBdr>
    </w:div>
    <w:div w:id="2114546504">
      <w:bodyDiv w:val="1"/>
      <w:marLeft w:val="0"/>
      <w:marRight w:val="0"/>
      <w:marTop w:val="0"/>
      <w:marBottom w:val="0"/>
      <w:divBdr>
        <w:top w:val="none" w:sz="0" w:space="0" w:color="auto"/>
        <w:left w:val="none" w:sz="0" w:space="0" w:color="auto"/>
        <w:bottom w:val="none" w:sz="0" w:space="0" w:color="auto"/>
        <w:right w:val="none" w:sz="0" w:space="0" w:color="auto"/>
      </w:divBdr>
    </w:div>
    <w:div w:id="21473080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oleObject" Target="embeddings/oleObject5.bin"/><Relationship Id="rId26" Type="http://schemas.openxmlformats.org/officeDocument/2006/relationships/oleObject" Target="embeddings/oleObject9.bin"/><Relationship Id="rId3" Type="http://schemas.openxmlformats.org/officeDocument/2006/relationships/numbering" Target="numbering.xml"/><Relationship Id="rId21" Type="http://schemas.openxmlformats.org/officeDocument/2006/relationships/image" Target="media/image7.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oleObject" Target="embeddings/oleObject1.bin"/><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oleObject" Target="embeddings/oleObject8.bin"/><Relationship Id="rId32"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oleObject" Target="embeddings/oleObject3.bin"/><Relationship Id="rId23" Type="http://schemas.openxmlformats.org/officeDocument/2006/relationships/image" Target="media/image8.png"/><Relationship Id="rId28" Type="http://schemas.openxmlformats.org/officeDocument/2006/relationships/oleObject" Target="embeddings/oleObject11.bin"/><Relationship Id="rId10" Type="http://schemas.openxmlformats.org/officeDocument/2006/relationships/image" Target="media/image2.png"/><Relationship Id="rId19" Type="http://schemas.openxmlformats.org/officeDocument/2006/relationships/image" Target="media/image6.png"/><Relationship Id="rId31" Type="http://schemas.openxmlformats.org/officeDocument/2006/relationships/header" Target="header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oleObject" Target="embeddings/oleObject7.bin"/><Relationship Id="rId27" Type="http://schemas.openxmlformats.org/officeDocument/2006/relationships/oleObject" Target="embeddings/oleObject10.bin"/><Relationship Id="rId30" Type="http://schemas.openxmlformats.org/officeDocument/2006/relationships/footer" Target="footer1.xml"/><Relationship Id="rId8" Type="http://schemas.openxmlformats.org/officeDocument/2006/relationships/endnotes" Target="endnotes.xml"/></Relationships>
</file>

<file path=word/_rels/footnotes.xml.rels><?xml version="1.0" encoding="UTF-8" standalone="yes"?>
<Relationships xmlns="http://schemas.openxmlformats.org/package/2006/relationships"><Relationship Id="rId1" Type="http://schemas.openxmlformats.org/officeDocument/2006/relationships/hyperlink" Target="https://smovilidad.edomex.gob.mx/colectivo_pasajero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dLhwzGQXI1C4WDD6gsp5T5inEdw==">AMUW2mXiwcRJxzeR5WGznyEV8o9tM3Xa3yLW4xG8Dzxgradfk4/yTUX+gySpbv6dLJINx92hjU1cxHzkCyj5WOLeJnMVHM9Bm1ZS44/P6QSUrAzrtFUmpiRuAi9PbmjF3vdaWvGV3pdNSEjvRnfPiMtvrMhTeFSRnzVW9YZ+E1wwPw7tuA+Wct7KqQKmW70ke8ZVMHR92GK+ndm8WP6ar9ny355XP7VidILch7zBVvL/seZlMwBo6Zs=</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CA0C51B-F5DA-4DB4-85A0-6BAF04CBC2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341</TotalTime>
  <Pages>70</Pages>
  <Words>18145</Words>
  <Characters>99800</Characters>
  <Application>Microsoft Office Word</Application>
  <DocSecurity>0</DocSecurity>
  <Lines>831</Lines>
  <Paragraphs>235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117710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iMac</dc:creator>
  <cp:lastModifiedBy>USUARIO</cp:lastModifiedBy>
  <cp:revision>136</cp:revision>
  <cp:lastPrinted>2022-03-03T18:08:00Z</cp:lastPrinted>
  <dcterms:created xsi:type="dcterms:W3CDTF">2022-03-03T18:17:00Z</dcterms:created>
  <dcterms:modified xsi:type="dcterms:W3CDTF">2022-04-04T16:55:00Z</dcterms:modified>
</cp:coreProperties>
</file>