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72758"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diecinueve de enero de dos mil veintidós. </w:t>
      </w:r>
    </w:p>
    <w:p w14:paraId="4B3D1AE2" w14:textId="77777777" w:rsidR="004517FE" w:rsidRDefault="00F6601E" w:rsidP="007145D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04994/INFOEM/IP/RR/2021,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w:t>
      </w:r>
      <w:r w:rsidR="007145DD">
        <w:rPr>
          <w:rFonts w:ascii="Palatino Linotype" w:eastAsia="Palatino Linotype" w:hAnsi="Palatino Linotype" w:cs="Palatino Linotype"/>
          <w:b/>
          <w:sz w:val="22"/>
          <w:szCs w:val="22"/>
        </w:rPr>
        <w:t>XXXXXXX XXXXXX XXXX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Chimalhuacán, </w:t>
      </w:r>
      <w:r>
        <w:rPr>
          <w:rFonts w:ascii="Palatino Linotype" w:eastAsia="Palatino Linotype" w:hAnsi="Palatino Linotype" w:cs="Palatino Linotype"/>
        </w:rPr>
        <w:t>en lo suces</w:t>
      </w:r>
      <w:r>
        <w:rPr>
          <w:rFonts w:ascii="Palatino Linotype" w:eastAsia="Palatino Linotype" w:hAnsi="Palatino Linotype" w:cs="Palatino Linotype"/>
        </w:rPr>
        <w:t xml:space="preserve">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los siguientes: </w:t>
      </w:r>
    </w:p>
    <w:p w14:paraId="023D279F" w14:textId="77777777" w:rsidR="004517FE" w:rsidRPr="007145DD" w:rsidRDefault="00F6601E">
      <w:pPr>
        <w:spacing w:before="240" w:after="240" w:line="360" w:lineRule="auto"/>
        <w:jc w:val="center"/>
        <w:rPr>
          <w:rFonts w:ascii="Palatino Linotype" w:eastAsia="Palatino Linotype" w:hAnsi="Palatino Linotype" w:cs="Palatino Linotype"/>
          <w:b/>
          <w:sz w:val="28"/>
          <w:szCs w:val="28"/>
          <w:lang w:val="pt-BR"/>
        </w:rPr>
      </w:pPr>
      <w:r w:rsidRPr="007145DD">
        <w:rPr>
          <w:rFonts w:ascii="Palatino Linotype" w:eastAsia="Palatino Linotype" w:hAnsi="Palatino Linotype" w:cs="Palatino Linotype"/>
          <w:b/>
          <w:lang w:val="pt-BR"/>
        </w:rPr>
        <w:t xml:space="preserve">I. </w:t>
      </w:r>
      <w:r w:rsidRPr="007145DD">
        <w:rPr>
          <w:rFonts w:ascii="Palatino Linotype" w:eastAsia="Palatino Linotype" w:hAnsi="Palatino Linotype" w:cs="Palatino Linotype"/>
          <w:b/>
          <w:lang w:val="pt-BR"/>
        </w:rPr>
        <w:tab/>
        <w:t>A N T E C E D E N T E S</w:t>
      </w:r>
    </w:p>
    <w:p w14:paraId="7F25B83A"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veinte de septiembre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presentó, través del Sis</w:t>
      </w:r>
      <w:r>
        <w:rPr>
          <w:rFonts w:ascii="Palatino Linotype" w:eastAsia="Palatino Linotype" w:hAnsi="Palatino Linotype" w:cs="Palatino Linotype"/>
        </w:rPr>
        <w:t xml:space="preserve">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w:t>
      </w:r>
      <w:proofErr w:type="gramStart"/>
      <w:r>
        <w:rPr>
          <w:rFonts w:ascii="Palatino Linotype" w:eastAsia="Palatino Linotype" w:hAnsi="Palatino Linotype" w:cs="Palatino Linotype"/>
        </w:rPr>
        <w:t>asignó  el</w:t>
      </w:r>
      <w:proofErr w:type="gramEnd"/>
      <w:r>
        <w:rPr>
          <w:rFonts w:ascii="Palatino Linotype" w:eastAsia="Palatino Linotype" w:hAnsi="Palatino Linotype" w:cs="Palatino Linotype"/>
        </w:rPr>
        <w:t xml:space="preserve"> número </w:t>
      </w:r>
      <w:r>
        <w:rPr>
          <w:rFonts w:ascii="Palatino Linotype" w:eastAsia="Palatino Linotype" w:hAnsi="Palatino Linotype" w:cs="Palatino Linotype"/>
          <w:b/>
        </w:rPr>
        <w:t xml:space="preserve">00210/CHIMALHU/IP/2021, </w:t>
      </w:r>
      <w:r>
        <w:rPr>
          <w:rFonts w:ascii="Palatino Linotype" w:eastAsia="Palatino Linotype" w:hAnsi="Palatino Linotype" w:cs="Palatino Linotype"/>
        </w:rPr>
        <w:t>mediante la cual requirió la información siguiente:</w:t>
      </w:r>
    </w:p>
    <w:p w14:paraId="6519957D" w14:textId="77777777" w:rsidR="004517FE" w:rsidRDefault="00F6601E">
      <w:pPr>
        <w:spacing w:before="240" w:after="240" w:line="360" w:lineRule="auto"/>
        <w:ind w:left="709" w:right="900"/>
        <w:jc w:val="both"/>
        <w:rPr>
          <w:rFonts w:ascii="Palatino Linotype" w:eastAsia="Palatino Linotype" w:hAnsi="Palatino Linotype" w:cs="Palatino Linotype"/>
        </w:rPr>
      </w:pPr>
      <w:bookmarkStart w:id="0" w:name="_heading=h.gjdgxs" w:colFirst="0" w:colLast="0"/>
      <w:bookmarkEnd w:id="0"/>
      <w:r>
        <w:t>“</w:t>
      </w:r>
      <w:r>
        <w:rPr>
          <w:rFonts w:ascii="Palatino Linotype" w:eastAsia="Palatino Linotype" w:hAnsi="Palatino Linotype" w:cs="Palatino Linotype"/>
          <w:i/>
        </w:rPr>
        <w:t xml:space="preserve">Solicito me informen cuánto se </w:t>
      </w:r>
      <w:proofErr w:type="gramStart"/>
      <w:r>
        <w:rPr>
          <w:rFonts w:ascii="Palatino Linotype" w:eastAsia="Palatino Linotype" w:hAnsi="Palatino Linotype" w:cs="Palatino Linotype"/>
          <w:i/>
        </w:rPr>
        <w:t>le</w:t>
      </w:r>
      <w:proofErr w:type="gramEnd"/>
      <w:r>
        <w:rPr>
          <w:rFonts w:ascii="Palatino Linotype" w:eastAsia="Palatino Linotype" w:hAnsi="Palatino Linotype" w:cs="Palatino Linotype"/>
          <w:i/>
        </w:rPr>
        <w:t xml:space="preserve"> adeuda a todos y cada uno de los proveedores del Ayuntamiento</w:t>
      </w:r>
      <w:r>
        <w:rPr>
          <w:rFonts w:ascii="Palatino Linotype" w:eastAsia="Palatino Linotype" w:hAnsi="Palatino Linotype" w:cs="Palatino Linotype"/>
        </w:rPr>
        <w:t>.” (sic)</w:t>
      </w:r>
    </w:p>
    <w:p w14:paraId="2188B61A" w14:textId="77777777" w:rsidR="004517FE" w:rsidRDefault="00F6601E">
      <w:pPr>
        <w:spacing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no adjuntó archivos a su solicitud.</w:t>
      </w:r>
    </w:p>
    <w:p w14:paraId="14BEC72F"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75EC1157"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 xml:space="preserve">ocho de octubre de </w:t>
      </w:r>
      <w:proofErr w:type="gramStart"/>
      <w:r>
        <w:rPr>
          <w:rFonts w:ascii="Palatino Linotype" w:eastAsia="Palatino Linotype" w:hAnsi="Palatino Linotype" w:cs="Palatino Linotype"/>
          <w:b/>
        </w:rPr>
        <w:t>dos mil veintiun</w:t>
      </w:r>
      <w:r>
        <w:rPr>
          <w:rFonts w:ascii="Palatino Linotype" w:eastAsia="Palatino Linotype" w:hAnsi="Palatino Linotype" w:cs="Palatino Linotype"/>
          <w:b/>
        </w:rPr>
        <w:t>o</w:t>
      </w:r>
      <w:proofErr w:type="gramEnd"/>
      <w:r>
        <w:rPr>
          <w:rFonts w:ascii="Palatino Linotype" w:eastAsia="Palatino Linotype" w:hAnsi="Palatino Linotype" w:cs="Palatino Linotype"/>
          <w:b/>
        </w:rPr>
        <w:t>, EL SUJETO OBLIGADO</w:t>
      </w:r>
      <w:r>
        <w:rPr>
          <w:rFonts w:ascii="Palatino Linotype" w:eastAsia="Palatino Linotype" w:hAnsi="Palatino Linotype" w:cs="Palatino Linotype"/>
        </w:rPr>
        <w:t xml:space="preserve"> envió respuesta a la solicitud de acceso a la información a través de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w:t>
      </w:r>
    </w:p>
    <w:p w14:paraId="7C622A71" w14:textId="77777777" w:rsidR="004517FE" w:rsidRDefault="00F6601E">
      <w:pPr>
        <w:spacing w:before="240" w:after="240" w:line="360" w:lineRule="auto"/>
        <w:jc w:val="both"/>
        <w:rPr>
          <w:rFonts w:ascii="Palatino Linotype" w:eastAsia="Palatino Linotype" w:hAnsi="Palatino Linotype" w:cs="Palatino Linotype"/>
        </w:rPr>
      </w:pPr>
      <w:r>
        <w:rPr>
          <w:noProof/>
        </w:rPr>
        <w:drawing>
          <wp:inline distT="0" distB="0" distL="0" distR="0" wp14:anchorId="7C1681DA" wp14:editId="06806FD3">
            <wp:extent cx="5737247" cy="2335697"/>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5771" t="45725" r="53496" b="31503"/>
                    <a:stretch>
                      <a:fillRect/>
                    </a:stretch>
                  </pic:blipFill>
                  <pic:spPr>
                    <a:xfrm>
                      <a:off x="0" y="0"/>
                      <a:ext cx="5737247" cy="2335697"/>
                    </a:xfrm>
                    <a:prstGeom prst="rect">
                      <a:avLst/>
                    </a:prstGeom>
                    <a:ln/>
                  </pic:spPr>
                </pic:pic>
              </a:graphicData>
            </a:graphic>
          </wp:inline>
        </w:drawing>
      </w:r>
    </w:p>
    <w:p w14:paraId="5D032A5C" w14:textId="77777777" w:rsidR="004517FE" w:rsidRDefault="00F660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Sin adjuntar algún documento.</w:t>
      </w:r>
    </w:p>
    <w:p w14:paraId="5D7CE842" w14:textId="77777777" w:rsidR="004517FE" w:rsidRDefault="00F6601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Inconforme con los términos de la resp</w:t>
      </w:r>
      <w:r>
        <w:rPr>
          <w:rFonts w:ascii="Palatino Linotype" w:eastAsia="Palatino Linotype" w:hAnsi="Palatino Linotype" w:cs="Palatino Linotype"/>
        </w:rPr>
        <w:t xml:space="preserve">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ocho de octubre de </w:t>
      </w:r>
      <w:proofErr w:type="gramStart"/>
      <w:r>
        <w:rPr>
          <w:rFonts w:ascii="Palatino Linotype" w:eastAsia="Palatino Linotype" w:hAnsi="Palatino Linotype" w:cs="Palatino Linotype"/>
          <w:b/>
        </w:rPr>
        <w:t>dos mil veintiuno</w:t>
      </w:r>
      <w:proofErr w:type="gramEnd"/>
      <w:r>
        <w:rPr>
          <w:rFonts w:ascii="Palatino Linotype" w:eastAsia="Palatino Linotype" w:hAnsi="Palatino Linotype" w:cs="Palatino Linotype"/>
          <w:b/>
        </w:rPr>
        <w:t>,</w:t>
      </w:r>
      <w:r>
        <w:rPr>
          <w:rFonts w:ascii="Palatino Linotype" w:eastAsia="Palatino Linotype" w:hAnsi="Palatino Linotype" w:cs="Palatino Linotype"/>
        </w:rPr>
        <w:t xml:space="preserve"> E</w:t>
      </w:r>
      <w:r>
        <w:rPr>
          <w:rFonts w:ascii="Palatino Linotype" w:eastAsia="Palatino Linotype" w:hAnsi="Palatino Linotype" w:cs="Palatino Linotype"/>
          <w:b/>
        </w:rPr>
        <w:t>L RECURRENTE</w:t>
      </w:r>
      <w:r>
        <w:rPr>
          <w:rFonts w:ascii="Palatino Linotype" w:eastAsia="Palatino Linotype" w:hAnsi="Palatino Linotype" w:cs="Palatino Linotype"/>
        </w:rPr>
        <w:t xml:space="preserve"> interpuso el recurso de revisión a través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expuso lo siguiente:</w:t>
      </w:r>
    </w:p>
    <w:p w14:paraId="1BE707D7" w14:textId="77777777" w:rsidR="004517FE" w:rsidRDefault="00F6601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p w14:paraId="0924911C" w14:textId="77777777" w:rsidR="004517FE" w:rsidRDefault="00F6601E">
      <w:pPr>
        <w:spacing w:line="360" w:lineRule="auto"/>
        <w:ind w:left="709"/>
        <w:jc w:val="both"/>
        <w:rPr>
          <w:rFonts w:ascii="Palatino Linotype" w:eastAsia="Palatino Linotype" w:hAnsi="Palatino Linotype" w:cs="Palatino Linotype"/>
          <w:i/>
        </w:rPr>
      </w:pPr>
      <w:r>
        <w:rPr>
          <w:rFonts w:ascii="Palatino Linotype" w:eastAsia="Palatino Linotype" w:hAnsi="Palatino Linotype" w:cs="Palatino Linotype"/>
          <w:i/>
        </w:rPr>
        <w:t>“La respuesta del sujeto obligado” (sic)</w:t>
      </w:r>
    </w:p>
    <w:p w14:paraId="5ADF9605" w14:textId="77777777" w:rsidR="004517FE" w:rsidRDefault="004517FE">
      <w:pPr>
        <w:spacing w:line="360" w:lineRule="auto"/>
        <w:jc w:val="both"/>
        <w:rPr>
          <w:rFonts w:ascii="Palatino Linotype" w:eastAsia="Palatino Linotype" w:hAnsi="Palatino Linotype" w:cs="Palatino Linotype"/>
          <w:b/>
        </w:rPr>
      </w:pPr>
    </w:p>
    <w:p w14:paraId="4E8B1628" w14:textId="77777777" w:rsidR="004517FE" w:rsidRDefault="004517FE">
      <w:pPr>
        <w:spacing w:line="360" w:lineRule="auto"/>
        <w:jc w:val="both"/>
        <w:rPr>
          <w:rFonts w:ascii="Palatino Linotype" w:eastAsia="Palatino Linotype" w:hAnsi="Palatino Linotype" w:cs="Palatino Linotype"/>
          <w:b/>
        </w:rPr>
      </w:pPr>
    </w:p>
    <w:p w14:paraId="48DDDC4A" w14:textId="77777777" w:rsidR="004517FE" w:rsidRDefault="004517FE">
      <w:pPr>
        <w:spacing w:line="360" w:lineRule="auto"/>
        <w:jc w:val="both"/>
        <w:rPr>
          <w:rFonts w:ascii="Palatino Linotype" w:eastAsia="Palatino Linotype" w:hAnsi="Palatino Linotype" w:cs="Palatino Linotype"/>
          <w:b/>
        </w:rPr>
      </w:pPr>
    </w:p>
    <w:p w14:paraId="0258E1F9" w14:textId="77777777" w:rsidR="004517FE" w:rsidRDefault="00F6601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Razones o motivos de inconformidad: </w:t>
      </w:r>
    </w:p>
    <w:p w14:paraId="26E1ADD4" w14:textId="77777777" w:rsidR="004517FE" w:rsidRDefault="00F6601E">
      <w:pPr>
        <w:spacing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“Me entregaron el total de lo que el Ayuntamiento </w:t>
      </w:r>
      <w:proofErr w:type="gramStart"/>
      <w:r>
        <w:rPr>
          <w:rFonts w:ascii="Palatino Linotype" w:eastAsia="Palatino Linotype" w:hAnsi="Palatino Linotype" w:cs="Palatino Linotype"/>
          <w:i/>
        </w:rPr>
        <w:t>le</w:t>
      </w:r>
      <w:proofErr w:type="gramEnd"/>
      <w:r>
        <w:rPr>
          <w:rFonts w:ascii="Palatino Linotype" w:eastAsia="Palatino Linotype" w:hAnsi="Palatino Linotype" w:cs="Palatino Linotype"/>
          <w:i/>
        </w:rPr>
        <w:t xml:space="preserve"> debe a sus proveedores, pero no lo que se le deba "a todos y cada uno"</w:t>
      </w:r>
      <w:r>
        <w:rPr>
          <w:rFonts w:ascii="Palatino Linotype" w:eastAsia="Palatino Linotype" w:hAnsi="Palatino Linotype" w:cs="Palatino Linotype"/>
          <w:i/>
        </w:rPr>
        <w:t xml:space="preserve"> de ellos. Lo que pedí debe estar en su Balanza de Comprobación Detallada al mes de junio de 2021. Aunque es probable que tengan lista la correspondiente al mes de septiembre de 2021 ya que es trimestral.” (Sic)</w:t>
      </w:r>
    </w:p>
    <w:p w14:paraId="3AD6637A" w14:textId="77777777" w:rsidR="004517FE" w:rsidRDefault="004517FE">
      <w:pPr>
        <w:spacing w:line="360" w:lineRule="auto"/>
        <w:jc w:val="both"/>
        <w:rPr>
          <w:rFonts w:ascii="Palatino Linotype" w:eastAsia="Palatino Linotype" w:hAnsi="Palatino Linotype" w:cs="Palatino Linotype"/>
          <w:sz w:val="2"/>
          <w:szCs w:val="2"/>
        </w:rPr>
      </w:pPr>
    </w:p>
    <w:p w14:paraId="4DB31869"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18</w:t>
      </w:r>
      <w:r>
        <w:rPr>
          <w:rFonts w:ascii="Palatino Linotype" w:eastAsia="Palatino Linotype" w:hAnsi="Palatino Linotype" w:cs="Palatino Linotype"/>
        </w:rPr>
        <w:t xml:space="preserve">5 fracción I de la Ley de Transparencia y Acceso a la Información Pública del Estado de México y Municipios vigente, fecha </w:t>
      </w:r>
      <w:r>
        <w:rPr>
          <w:rFonts w:ascii="Palatino Linotype" w:eastAsia="Palatino Linotype" w:hAnsi="Palatino Linotype" w:cs="Palatino Linotype"/>
          <w:b/>
        </w:rPr>
        <w:t xml:space="preserve">ocho de octubre de </w:t>
      </w:r>
      <w:proofErr w:type="gramStart"/>
      <w:r>
        <w:rPr>
          <w:rFonts w:ascii="Palatino Linotype" w:eastAsia="Palatino Linotype" w:hAnsi="Palatino Linotype" w:cs="Palatino Linotype"/>
          <w:b/>
        </w:rPr>
        <w:t>dos mil veintiuno</w:t>
      </w:r>
      <w:proofErr w:type="gramEnd"/>
      <w:r>
        <w:rPr>
          <w:rFonts w:ascii="Palatino Linotype" w:eastAsia="Palatino Linotype" w:hAnsi="Palatino Linotype" w:cs="Palatino Linotype"/>
          <w:b/>
        </w:rPr>
        <w:t>,</w:t>
      </w:r>
      <w:r>
        <w:rPr>
          <w:rFonts w:ascii="Palatino Linotype" w:eastAsia="Palatino Linotype" w:hAnsi="Palatino Linotype" w:cs="Palatino Linotype"/>
        </w:rPr>
        <w:t xml:space="preserve"> el presente recurso de revisión se turnó por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Comisionada</w:t>
      </w:r>
      <w:r>
        <w:rPr>
          <w:rFonts w:ascii="Palatino Linotype" w:eastAsia="Palatino Linotype" w:hAnsi="Palatino Linotype" w:cs="Palatino Linotype"/>
          <w:b/>
        </w:rPr>
        <w:t xml:space="preserve"> Guadalupe Ramírez Peña</w:t>
      </w:r>
      <w:r>
        <w:rPr>
          <w:rFonts w:ascii="Palatino Linotype" w:eastAsia="Palatino Linotype" w:hAnsi="Palatino Linotype" w:cs="Palatino Linotype"/>
          <w:b/>
        </w:rPr>
        <w:t xml:space="preserve">, </w:t>
      </w:r>
      <w:r>
        <w:rPr>
          <w:rFonts w:ascii="Palatino Linotype" w:eastAsia="Palatino Linotype" w:hAnsi="Palatino Linotype" w:cs="Palatino Linotype"/>
        </w:rPr>
        <w:t>a efecto de que analice sobre su admisión o su desechamiento.</w:t>
      </w:r>
    </w:p>
    <w:p w14:paraId="6ABC4CDB" w14:textId="77777777" w:rsidR="004517FE" w:rsidRDefault="00F6601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trece de octubre de </w:t>
      </w:r>
      <w:proofErr w:type="gramStart"/>
      <w:r>
        <w:rPr>
          <w:rFonts w:ascii="Palatino Linotype" w:eastAsia="Palatino Linotype" w:hAnsi="Palatino Linotype" w:cs="Palatino Linotype"/>
          <w:b/>
        </w:rPr>
        <w:t>dos mil veintiuno</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rPr>
        <w:t>este Instituto de Transparencia, Acceso a la Información Pública y Protección de Datos Personales del Esta</w:t>
      </w:r>
      <w:r>
        <w:rPr>
          <w:rFonts w:ascii="Palatino Linotype" w:eastAsia="Palatino Linotype" w:hAnsi="Palatino Linotype" w:cs="Palatino Linotype"/>
        </w:rPr>
        <w:t xml:space="preserve">do de México y Municipios,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54DD7028" w14:textId="77777777" w:rsidR="004517FE" w:rsidRDefault="00F6601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en el expediente electrónico que nos ocupa, se advierte que el </w:t>
      </w:r>
      <w:r>
        <w:rPr>
          <w:rFonts w:ascii="Palatino Linotype" w:eastAsia="Palatino Linotype" w:hAnsi="Palatino Linotype" w:cs="Palatino Linotype"/>
          <w:b/>
        </w:rPr>
        <w:t xml:space="preserve">trece de octubre de </w:t>
      </w:r>
      <w:proofErr w:type="gramStart"/>
      <w:r>
        <w:rPr>
          <w:rFonts w:ascii="Palatino Linotype" w:eastAsia="Palatino Linotype" w:hAnsi="Palatino Linotype" w:cs="Palatino Linotype"/>
          <w:b/>
        </w:rPr>
        <w:t>dos mil veintiuno</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informe justificado, como s</w:t>
      </w:r>
      <w:r>
        <w:rPr>
          <w:rFonts w:ascii="Palatino Linotype" w:eastAsia="Palatino Linotype" w:hAnsi="Palatino Linotype" w:cs="Palatino Linotype"/>
        </w:rPr>
        <w:t>e muestra en la siguiente captura de pantalla:</w:t>
      </w:r>
    </w:p>
    <w:p w14:paraId="4E249F5F" w14:textId="77777777" w:rsidR="004517FE" w:rsidRDefault="00F6601E">
      <w:pPr>
        <w:widowControl w:val="0"/>
        <w:spacing w:before="240" w:after="240" w:line="360" w:lineRule="auto"/>
        <w:jc w:val="center"/>
        <w:rPr>
          <w:rFonts w:ascii="Palatino Linotype" w:eastAsia="Palatino Linotype" w:hAnsi="Palatino Linotype" w:cs="Palatino Linotype"/>
          <w:b/>
        </w:rPr>
      </w:pPr>
      <w:r>
        <w:rPr>
          <w:noProof/>
        </w:rPr>
        <w:lastRenderedPageBreak/>
        <w:drawing>
          <wp:inline distT="0" distB="0" distL="0" distR="0" wp14:anchorId="084EAD39" wp14:editId="4D5826B1">
            <wp:extent cx="5877947" cy="368712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3252" t="31882" r="49344" b="32967"/>
                    <a:stretch>
                      <a:fillRect/>
                    </a:stretch>
                  </pic:blipFill>
                  <pic:spPr>
                    <a:xfrm>
                      <a:off x="0" y="0"/>
                      <a:ext cx="5877947" cy="3687120"/>
                    </a:xfrm>
                    <a:prstGeom prst="rect">
                      <a:avLst/>
                    </a:prstGeom>
                    <a:ln/>
                  </pic:spPr>
                </pic:pic>
              </a:graphicData>
            </a:graphic>
          </wp:inline>
        </w:drawing>
      </w:r>
    </w:p>
    <w:p w14:paraId="6E02EE7A" w14:textId="77777777" w:rsidR="004517FE" w:rsidRDefault="00F6601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expresar alegato alguno y ofrecer pruebas en el plazo establecido para tal efecto.</w:t>
      </w:r>
    </w:p>
    <w:p w14:paraId="0183BEE7" w14:textId="77777777" w:rsidR="004517FE" w:rsidRDefault="00F6601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Una vez transcurrido el periodo otorgado a las partes par</w:t>
      </w:r>
      <w:r>
        <w:rPr>
          <w:rFonts w:ascii="Palatino Linotype" w:eastAsia="Palatino Linotype" w:hAnsi="Palatino Linotype" w:cs="Palatino Linotype"/>
        </w:rPr>
        <w:t xml:space="preserve">a realizar sus manifestaciones y no habiendo documentos que integrar al expediente, con fecha </w:t>
      </w:r>
      <w:r>
        <w:rPr>
          <w:rFonts w:ascii="Palatino Linotype" w:eastAsia="Palatino Linotype" w:hAnsi="Palatino Linotype" w:cs="Palatino Linotype"/>
          <w:b/>
        </w:rPr>
        <w:t xml:space="preserve">veintiuno de diciembre de </w:t>
      </w:r>
      <w:proofErr w:type="gramStart"/>
      <w:r>
        <w:rPr>
          <w:rFonts w:ascii="Palatino Linotype" w:eastAsia="Palatino Linotype" w:hAnsi="Palatino Linotype" w:cs="Palatino Linotype"/>
          <w:b/>
        </w:rPr>
        <w:t>dos mil veintiuno</w:t>
      </w:r>
      <w:proofErr w:type="gramEnd"/>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63F4BB5" w14:textId="77777777" w:rsidR="004517FE" w:rsidRDefault="00F6601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veintiuno de diciem</w:t>
      </w:r>
      <w:r>
        <w:rPr>
          <w:rFonts w:ascii="Palatino Linotype" w:eastAsia="Palatino Linotype" w:hAnsi="Palatino Linotype" w:cs="Palatino Linotype"/>
          <w:b/>
        </w:rPr>
        <w:t xml:space="preserve">bre de </w:t>
      </w:r>
      <w:proofErr w:type="gramStart"/>
      <w:r>
        <w:rPr>
          <w:rFonts w:ascii="Palatino Linotype" w:eastAsia="Palatino Linotype" w:hAnsi="Palatino Linotype" w:cs="Palatino Linotype"/>
          <w:b/>
        </w:rPr>
        <w:t>dos mil veintiuno</w:t>
      </w:r>
      <w:proofErr w:type="gramEnd"/>
      <w:r>
        <w:rPr>
          <w:rFonts w:ascii="Palatino Linotype" w:eastAsia="Palatino Linotype" w:hAnsi="Palatino Linotype" w:cs="Palatino Linotype"/>
          <w:b/>
        </w:rPr>
        <w:t>,</w:t>
      </w:r>
      <w:r>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la resolución del presente recurso de revisi</w:t>
      </w:r>
      <w:r>
        <w:rPr>
          <w:rFonts w:ascii="Palatino Linotype" w:eastAsia="Palatino Linotype" w:hAnsi="Palatino Linotype" w:cs="Palatino Linotype"/>
        </w:rPr>
        <w:t xml:space="preserve">ón. </w:t>
      </w:r>
    </w:p>
    <w:p w14:paraId="3548238A" w14:textId="77777777" w:rsidR="004517FE" w:rsidRDefault="00F6601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B8840B2" w14:textId="77777777" w:rsidR="004517FE" w:rsidRPr="007145DD" w:rsidRDefault="00F6601E">
      <w:pPr>
        <w:widowControl w:val="0"/>
        <w:spacing w:before="240" w:after="240" w:line="360" w:lineRule="auto"/>
        <w:jc w:val="center"/>
        <w:rPr>
          <w:rFonts w:ascii="Palatino Linotype" w:eastAsia="Palatino Linotype" w:hAnsi="Palatino Linotype" w:cs="Palatino Linotype"/>
          <w:b/>
          <w:lang w:val="pt-BR"/>
        </w:rPr>
      </w:pPr>
      <w:r w:rsidRPr="007145DD">
        <w:rPr>
          <w:rFonts w:ascii="Palatino Linotype" w:eastAsia="Palatino Linotype" w:hAnsi="Palatino Linotype" w:cs="Palatino Linotype"/>
          <w:b/>
          <w:lang w:val="pt-BR"/>
        </w:rPr>
        <w:t xml:space="preserve">II. </w:t>
      </w:r>
      <w:r w:rsidRPr="007145DD">
        <w:rPr>
          <w:rFonts w:ascii="Palatino Linotype" w:eastAsia="Palatino Linotype" w:hAnsi="Palatino Linotype" w:cs="Palatino Linotype"/>
          <w:b/>
          <w:lang w:val="pt-BR"/>
        </w:rPr>
        <w:tab/>
        <w:t>C O N S I D E R A N D O S</w:t>
      </w:r>
    </w:p>
    <w:p w14:paraId="2526C528"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w:t>
      </w:r>
      <w:r>
        <w:rPr>
          <w:rFonts w:ascii="Palatino Linotype" w:eastAsia="Palatino Linotype" w:hAnsi="Palatino Linotype" w:cs="Palatino Linotype"/>
          <w:b/>
        </w:rPr>
        <w:t>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EL RECURRENTE</w:t>
      </w:r>
      <w:r>
        <w:rPr>
          <w:rFonts w:ascii="Palatino Linotype" w:eastAsia="Palatino Linotype" w:hAnsi="Palatino Linotype" w:cs="Palatino Linotype"/>
        </w:rPr>
        <w:t>, conforme a lo dispu</w:t>
      </w:r>
      <w:r>
        <w:rPr>
          <w:rFonts w:ascii="Palatino Linotype" w:eastAsia="Palatino Linotype" w:hAnsi="Palatino Linotype" w:cs="Palatino Linotype"/>
        </w:rPr>
        <w:t>esto en los artículos 6, apartado A de la Constitución Política de los Estados Unidos Mexicanos; 5 párrafos trigésimo, trigésimo primero y trigésimo segundo fracciones IV y V de la Constitución Política del Estado Libre y Soberano de México; 2, fracción II</w:t>
      </w:r>
      <w:r>
        <w:rPr>
          <w:rFonts w:ascii="Palatino Linotype" w:eastAsia="Palatino Linotype" w:hAnsi="Palatino Linotype" w:cs="Palatino Linotype"/>
        </w:rPr>
        <w:t xml:space="preserve">; 29, 36 fracciones I y II; 176, 178, 181, 185, fracción I, 186 y 188 de la Ley Transparencia y Acceso a la Información Pública del Estado de México y Municipios; 9, fracciones I y XXIV y 11 del Reglamento Interior del Instituto de Transparencia, Acceso a </w:t>
      </w:r>
      <w:r>
        <w:rPr>
          <w:rFonts w:ascii="Palatino Linotype" w:eastAsia="Palatino Linotype" w:hAnsi="Palatino Linotype" w:cs="Palatino Linotype"/>
        </w:rPr>
        <w:t>la Información Pública y Protección de Datos Personales del Estado de México y Municipios.</w:t>
      </w:r>
    </w:p>
    <w:p w14:paraId="5B6656DD" w14:textId="77777777" w:rsidR="004517FE" w:rsidRDefault="00F6601E">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w:t>
      </w:r>
      <w:r>
        <w:rPr>
          <w:rFonts w:ascii="Palatino Linotype" w:eastAsia="Palatino Linotype" w:hAnsi="Palatino Linotype" w:cs="Palatino Linotype"/>
        </w:rPr>
        <w:lastRenderedPageBreak/>
        <w:t>procedib</w:t>
      </w:r>
      <w:r>
        <w:rPr>
          <w:rFonts w:ascii="Palatino Linotype" w:eastAsia="Palatino Linotype" w:hAnsi="Palatino Linotype" w:cs="Palatino Linotype"/>
        </w:rPr>
        <w:t>ilidad que debe reunir el recurso de revisión interpuesto, previstos en los artículos 178 y 180 de la Ley de Transparencia y Acceso a la Información Pública del Estado de México y Municipios.</w:t>
      </w:r>
    </w:p>
    <w:p w14:paraId="001F3322" w14:textId="77777777" w:rsidR="004517FE" w:rsidRDefault="00F6601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El recurso de revisión fue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xml:space="preserve"> dentro </w:t>
      </w:r>
      <w:r>
        <w:rPr>
          <w:rFonts w:ascii="Palatino Linotype" w:eastAsia="Palatino Linotype" w:hAnsi="Palatino Linotype" w:cs="Palatino Linotype"/>
        </w:rPr>
        <w:t xml:space="preserve">del plazo de quince días hábiles, previsto en el artículo 178 de la Ley de Transparencia y Acceso a la Información Pública del Estado de México y Municipios, toda vez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la respuesta a la solicitud de información en fecha </w:t>
      </w:r>
      <w:r>
        <w:rPr>
          <w:rFonts w:ascii="Palatino Linotype" w:eastAsia="Palatino Linotype" w:hAnsi="Palatino Linotype" w:cs="Palatino Linotype"/>
          <w:b/>
        </w:rPr>
        <w:t>ocho d</w:t>
      </w:r>
      <w:r>
        <w:rPr>
          <w:rFonts w:ascii="Palatino Linotype" w:eastAsia="Palatino Linotype" w:hAnsi="Palatino Linotype" w:cs="Palatino Linotype"/>
          <w:b/>
        </w:rPr>
        <w:t xml:space="preserve">e octubre de dos mil veintiuno, </w:t>
      </w:r>
      <w:r>
        <w:rPr>
          <w:rFonts w:ascii="Palatino Linotype" w:eastAsia="Palatino Linotype" w:hAnsi="Palatino Linotype" w:cs="Palatino Linotype"/>
        </w:rPr>
        <w:t>mientras que el recurso de revisión interpuesto por</w:t>
      </w:r>
      <w:r>
        <w:rPr>
          <w:rFonts w:ascii="Palatino Linotype" w:eastAsia="Palatino Linotype" w:hAnsi="Palatino Linotype" w:cs="Palatino Linotype"/>
          <w:b/>
        </w:rPr>
        <w:t xml:space="preserve"> EL RECURRENTE</w:t>
      </w:r>
      <w:r>
        <w:rPr>
          <w:rFonts w:ascii="Palatino Linotype" w:eastAsia="Palatino Linotype" w:hAnsi="Palatino Linotype" w:cs="Palatino Linotype"/>
        </w:rPr>
        <w:t>, se tuvo por presentado el mismo día, en que tuvo conocimiento de la respuesta de la solicitud de información.</w:t>
      </w:r>
    </w:p>
    <w:p w14:paraId="47F94078" w14:textId="77777777" w:rsidR="004517FE" w:rsidRDefault="00F6601E">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rPr>
        <w:t xml:space="preserve">En este sentido, al considerar la fecha en que </w:t>
      </w:r>
      <w:r>
        <w:rPr>
          <w:rFonts w:ascii="Palatino Linotype" w:eastAsia="Palatino Linotype" w:hAnsi="Palatino Linotype" w:cs="Palatino Linotype"/>
        </w:rPr>
        <w:t xml:space="preserve">se formuló la solicitud y la fecha en que respondió a ésta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así como la fecha en que </w:t>
      </w:r>
      <w:proofErr w:type="gramStart"/>
      <w:r>
        <w:rPr>
          <w:rFonts w:ascii="Palatino Linotype" w:eastAsia="Palatino Linotype" w:hAnsi="Palatino Linotype" w:cs="Palatino Linotype"/>
        </w:rPr>
        <w:t>se  interpuso</w:t>
      </w:r>
      <w:proofErr w:type="gramEnd"/>
      <w:r>
        <w:rPr>
          <w:rFonts w:ascii="Palatino Linotype" w:eastAsia="Palatino Linotype" w:hAnsi="Palatino Linotype" w:cs="Palatino Linotype"/>
        </w:rPr>
        <w:t xml:space="preserve"> el recurso de revisión, se concluye que se encuentra dentro de los márgenes temporales previstos las disposiciones legales referidas.</w:t>
      </w:r>
    </w:p>
    <w:p w14:paraId="402B2060"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w:t>
      </w:r>
      <w:r>
        <w:rPr>
          <w:rFonts w:ascii="Palatino Linotype" w:eastAsia="Palatino Linotype" w:hAnsi="Palatino Linotype" w:cs="Palatino Linotype"/>
        </w:rPr>
        <w:t>que contraríe a lo anterior, el artículo 178 en análisis, refiere que el plazo de quince días hábiles se contará a partir del día siguiente de la fecha en que el afectado tuvo conocimiento de la resolución materia de impugnación, ya que ello debe entenders</w:t>
      </w:r>
      <w:r>
        <w:rPr>
          <w:rFonts w:ascii="Palatino Linotype" w:eastAsia="Palatino Linotype" w:hAnsi="Palatino Linotype" w:cs="Palatino Linotype"/>
        </w:rPr>
        <w:t>e para el efecto de que transcurrido dicho plazo ya no podrá presentarse el medio de impugnación o si es que se presenta, el mismo se considerará extemporáneo, no así cuando el medio de defensa se interponga antes de que comience a correr el plazo legal; t</w:t>
      </w:r>
      <w:r>
        <w:rPr>
          <w:rFonts w:ascii="Palatino Linotype" w:eastAsia="Palatino Linotype" w:hAnsi="Palatino Linotype" w:cs="Palatino Linotype"/>
        </w:rPr>
        <w:t xml:space="preserve">iene aplicación por analogía, la jurisprudencia 1ª. /J.41/2015, publicada en el Semanario Judicial de la Federación y su Gaceta, Libro 19, </w:t>
      </w:r>
      <w:r>
        <w:rPr>
          <w:rFonts w:ascii="Palatino Linotype" w:eastAsia="Palatino Linotype" w:hAnsi="Palatino Linotype" w:cs="Palatino Linotype"/>
        </w:rPr>
        <w:lastRenderedPageBreak/>
        <w:t>Junio de 2015, Tomo I, página 569 de la Décima época que lleva por rubro y texto los siguientes:</w:t>
      </w:r>
    </w:p>
    <w:p w14:paraId="5185D080" w14:textId="77777777" w:rsidR="004517FE" w:rsidRDefault="00F6601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w:t>
      </w:r>
      <w:r>
        <w:rPr>
          <w:rFonts w:ascii="Palatino Linotype" w:eastAsia="Palatino Linotype" w:hAnsi="Palatino Linotype" w:cs="Palatino Linotype"/>
          <w:b/>
          <w:i/>
          <w:sz w:val="22"/>
          <w:szCs w:val="22"/>
        </w:rPr>
        <w:t>IÓN. SU INTERPOSICIÓN NO ES EXTEMPORÁNEA SI SE REALIZA ANTES DE QUE INICIE EL PLAZO PARA HACERLO</w:t>
      </w:r>
      <w:r>
        <w:rPr>
          <w:rFonts w:ascii="Palatino Linotype" w:eastAsia="Palatino Linotype" w:hAnsi="Palatino Linotype" w:cs="Palatino Linotype"/>
          <w:i/>
          <w:sz w:val="22"/>
          <w:szCs w:val="22"/>
        </w:rPr>
        <w:t>.</w:t>
      </w:r>
    </w:p>
    <w:p w14:paraId="159C9F3C" w14:textId="77777777" w:rsidR="004517FE" w:rsidRDefault="00F6601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w:t>
      </w:r>
      <w:r>
        <w:rPr>
          <w:rFonts w:ascii="Palatino Linotype" w:eastAsia="Palatino Linotype" w:hAnsi="Palatino Linotype" w:cs="Palatino Linotype"/>
          <w:i/>
          <w:sz w:val="22"/>
          <w:szCs w:val="22"/>
        </w:rPr>
        <w:t>o del término de tres días siguientes al en que surta efectos la notificación de la resolución impugnada. Ahora bien, dicho numeral sólo refiere que el aludido medio de defensa no puede hacerse valer después de tres días, por tanto, no impide que el escrit</w:t>
      </w:r>
      <w:r>
        <w:rPr>
          <w:rFonts w:ascii="Palatino Linotype" w:eastAsia="Palatino Linotype" w:hAnsi="Palatino Linotype" w:cs="Palatino Linotype"/>
          <w:i/>
          <w:sz w:val="22"/>
          <w:szCs w:val="22"/>
        </w:rPr>
        <w:t xml:space="preserve">o correspondiente se presente antes de iniciado ese término. De ahí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34958761" w14:textId="77777777" w:rsidR="004517FE" w:rsidRDefault="004517FE">
      <w:pPr>
        <w:spacing w:before="120" w:after="120"/>
        <w:ind w:left="851" w:right="902"/>
        <w:jc w:val="both"/>
        <w:rPr>
          <w:rFonts w:ascii="Palatino Linotype" w:eastAsia="Palatino Linotype" w:hAnsi="Palatino Linotype" w:cs="Palatino Linotype"/>
          <w:i/>
          <w:sz w:val="22"/>
          <w:szCs w:val="22"/>
        </w:rPr>
      </w:pPr>
    </w:p>
    <w:p w14:paraId="6777721F"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mismo, se concluye la acreditación plena de los elementos formales precisados por el artículo 180 de la Ley de Transpar</w:t>
      </w:r>
      <w:r>
        <w:rPr>
          <w:rFonts w:ascii="Palatino Linotype" w:eastAsia="Palatino Linotype" w:hAnsi="Palatino Linotype" w:cs="Palatino Linotype"/>
        </w:rPr>
        <w:t xml:space="preserve">encia y Acceso a la Información Pública del Estado de México y Municipios, en atención a que fue presentado mediante el formato visible en el </w:t>
      </w:r>
      <w:r>
        <w:rPr>
          <w:rFonts w:ascii="Palatino Linotype" w:eastAsia="Palatino Linotype" w:hAnsi="Palatino Linotype" w:cs="Palatino Linotype"/>
          <w:b/>
        </w:rPr>
        <w:t>SAIMEX.</w:t>
      </w:r>
    </w:p>
    <w:p w14:paraId="6C61FFF4"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presente recurso, según lo manifestado</w:t>
      </w:r>
      <w:r>
        <w:rPr>
          <w:rFonts w:ascii="Palatino Linotype" w:eastAsia="Palatino Linotype" w:hAnsi="Palatino Linotype" w:cs="Palatino Linotype"/>
        </w:rPr>
        <w:t xml:space="preserve">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sus motivos de inconformidad, de acuerdo al artículo 179 fracciones V y VI del ordenamiento legal citado, que a la letra dice: </w:t>
      </w:r>
    </w:p>
    <w:p w14:paraId="06A514AD" w14:textId="77777777" w:rsidR="004517FE" w:rsidRDefault="00F6601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w:t>
      </w:r>
      <w:r>
        <w:rPr>
          <w:rFonts w:ascii="Palatino Linotype" w:eastAsia="Palatino Linotype" w:hAnsi="Palatino Linotype" w:cs="Palatino Linotype"/>
          <w:i/>
          <w:sz w:val="22"/>
          <w:szCs w:val="22"/>
        </w:rPr>
        <w:t xml:space="preserve"> hacer valer su derecho de acceso a la información pública, y procederá en contra de las siguientes causas:</w:t>
      </w:r>
    </w:p>
    <w:p w14:paraId="0616ED05" w14:textId="77777777" w:rsidR="004517FE" w:rsidRDefault="00F6601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388F86D3" w14:textId="77777777" w:rsidR="004517FE" w:rsidRDefault="00F6601E">
      <w:pPr>
        <w:ind w:left="273" w:firstLine="720"/>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
    <w:p w14:paraId="7534145B" w14:textId="77777777" w:rsidR="004517FE" w:rsidRDefault="00F6601E">
      <w:pPr>
        <w:ind w:left="273" w:firstLine="720"/>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VI. La entrega de información que no corresponda con lo solicitado;”</w:t>
      </w:r>
    </w:p>
    <w:p w14:paraId="69FDE0BD" w14:textId="77777777" w:rsidR="004517FE" w:rsidRDefault="00F6601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verificar si la</w:t>
      </w:r>
      <w:r>
        <w:rPr>
          <w:rFonts w:ascii="Palatino Linotype" w:eastAsia="Palatino Linotype" w:hAnsi="Palatino Linotype" w:cs="Palatino Linotype"/>
          <w:b/>
        </w:rPr>
        <w:t xml:space="preserve">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EL RECURRENTE</w:t>
      </w:r>
      <w:r>
        <w:rPr>
          <w:rFonts w:ascii="Palatino Linotype" w:eastAsia="Palatino Linotype" w:hAnsi="Palatino Linotype" w:cs="Palatino Linotype"/>
        </w:rPr>
        <w:t>, o en su defecto, en caso de ser procedente, ordenar la entrega de información oportuna.</w:t>
      </w:r>
    </w:p>
    <w:p w14:paraId="4BA3B243" w14:textId="77777777" w:rsidR="004517FE" w:rsidRDefault="00F6601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00"/>
        </w:rPr>
        <w:t xml:space="preserve">Cuarto. Estudio del </w:t>
      </w:r>
      <w:r>
        <w:rPr>
          <w:rFonts w:ascii="Palatino Linotype" w:eastAsia="Palatino Linotype" w:hAnsi="Palatino Linotype" w:cs="Palatino Linotype"/>
          <w:b/>
          <w:color w:val="000000"/>
        </w:rPr>
        <w:t>asunto.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w:t>
      </w:r>
      <w:r>
        <w:rPr>
          <w:rFonts w:ascii="Palatino Linotype" w:eastAsia="Palatino Linotype" w:hAnsi="Palatino Linotype" w:cs="Palatino Linotype"/>
        </w:rPr>
        <w:t xml:space="preserve"> se ha adherido, sin oponer reserva alguna sobre lo que nos interesa, adoptando dichas disposiciones al Derecho Interno, específicamente a nivel Constitucional, tal y como lo prevén los arábigos 1 párrafos primero, segundo y tercero y 6 apartado A fraccion</w:t>
      </w:r>
      <w:r>
        <w:rPr>
          <w:rFonts w:ascii="Palatino Linotype" w:eastAsia="Palatino Linotype" w:hAnsi="Palatino Linotype" w:cs="Palatino Linotype"/>
        </w:rPr>
        <w:t>es I, II, III, IV, V, VI y VII que a la letra señalan:</w:t>
      </w:r>
    </w:p>
    <w:p w14:paraId="61FA9AFD" w14:textId="77777777" w:rsidR="004517FE" w:rsidRDefault="00F6601E">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Artículo 1o. En los Estados Unidos Mexicanos todas las personas gozarán de los derechos humanos reconocidos en esta Constitución y en los tratados internacionales de los que el Estado Mexicano sea part</w:t>
      </w:r>
      <w:r>
        <w:rPr>
          <w:rFonts w:ascii="Palatino Linotype" w:eastAsia="Palatino Linotype" w:hAnsi="Palatino Linotype" w:cs="Palatino Linotype"/>
          <w:b/>
          <w:i/>
          <w:sz w:val="21"/>
          <w:szCs w:val="21"/>
          <w:u w:val="single"/>
        </w:rPr>
        <w:t>e</w:t>
      </w:r>
      <w:r>
        <w:rPr>
          <w:rFonts w:ascii="Palatino Linotype" w:eastAsia="Palatino Linotype" w:hAnsi="Palatino Linotype" w:cs="Palatino Linotype"/>
          <w:i/>
          <w:sz w:val="21"/>
          <w:szCs w:val="21"/>
        </w:rPr>
        <w:t xml:space="preserve">, así como de las </w:t>
      </w:r>
      <w:r>
        <w:rPr>
          <w:rFonts w:ascii="Palatino Linotype" w:eastAsia="Palatino Linotype" w:hAnsi="Palatino Linotype" w:cs="Palatino Linotype"/>
          <w:i/>
          <w:sz w:val="21"/>
          <w:szCs w:val="21"/>
        </w:rPr>
        <w:lastRenderedPageBreak/>
        <w:t>garantías para su protección, cuyo ejercicio no podrá restringirse ni suspenderse, salvo en los casos y bajo las condiciones que esta Constitución establece.</w:t>
      </w:r>
    </w:p>
    <w:p w14:paraId="6618D644" w14:textId="77777777" w:rsidR="004517FE" w:rsidRDefault="00F6601E">
      <w:pPr>
        <w:tabs>
          <w:tab w:val="left" w:pos="709"/>
        </w:tabs>
        <w:ind w:left="851" w:right="850"/>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Las normas relativas a los derechos humanos se interpretarán de conformidad con</w:t>
      </w:r>
      <w:r>
        <w:rPr>
          <w:rFonts w:ascii="Palatino Linotype" w:eastAsia="Palatino Linotype" w:hAnsi="Palatino Linotype" w:cs="Palatino Linotype"/>
          <w:b/>
          <w:i/>
          <w:sz w:val="21"/>
          <w:szCs w:val="21"/>
        </w:rPr>
        <w:t xml:space="preserve"> esta Constitución y con los tratados internacionales de la materia favoreciendo en todo tiempo a las personas la protección más amplia.</w:t>
      </w:r>
    </w:p>
    <w:p w14:paraId="61E0E04B" w14:textId="77777777" w:rsidR="004517FE" w:rsidRDefault="00F6601E">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1"/>
          <w:szCs w:val="21"/>
        </w:rPr>
        <w:t xml:space="preserve"> En consec</w:t>
      </w:r>
      <w:r>
        <w:rPr>
          <w:rFonts w:ascii="Palatino Linotype" w:eastAsia="Palatino Linotype" w:hAnsi="Palatino Linotype" w:cs="Palatino Linotype"/>
          <w:i/>
          <w:sz w:val="21"/>
          <w:szCs w:val="21"/>
        </w:rPr>
        <w:t>uencia, el Estado deberá prevenir, investigar, sancionar y reparar las violaciones a los derechos humanos, en los términos que establezca la ley</w:t>
      </w:r>
    </w:p>
    <w:p w14:paraId="0B09852D" w14:textId="77777777" w:rsidR="004517FE" w:rsidRDefault="00F6601E">
      <w:pPr>
        <w:tabs>
          <w:tab w:val="left" w:pos="709"/>
        </w:tabs>
        <w:ind w:left="851" w:right="850"/>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0746C05B" w14:textId="77777777" w:rsidR="004517FE" w:rsidRDefault="00F6601E">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“Artículo 6o.</w:t>
      </w:r>
    </w:p>
    <w:p w14:paraId="404E0E98" w14:textId="77777777" w:rsidR="004517FE" w:rsidRDefault="00F6601E">
      <w:pPr>
        <w:ind w:left="851" w:right="90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w:t>
      </w:r>
    </w:p>
    <w:p w14:paraId="0D92A527"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A. Para el ejercicio del derecho de acceso a la información, la Federación y </w:t>
      </w:r>
      <w:r>
        <w:rPr>
          <w:rFonts w:ascii="Palatino Linotype" w:eastAsia="Palatino Linotype" w:hAnsi="Palatino Linotype" w:cs="Palatino Linotype"/>
          <w:b/>
          <w:i/>
          <w:sz w:val="21"/>
          <w:szCs w:val="21"/>
          <w:u w:val="single"/>
        </w:rPr>
        <w:t>las entida</w:t>
      </w:r>
      <w:r>
        <w:rPr>
          <w:rFonts w:ascii="Palatino Linotype" w:eastAsia="Palatino Linotype" w:hAnsi="Palatino Linotype" w:cs="Palatino Linotype"/>
          <w:b/>
          <w:i/>
          <w:sz w:val="21"/>
          <w:szCs w:val="21"/>
          <w:u w:val="single"/>
        </w:rPr>
        <w:t>des federativas</w:t>
      </w:r>
      <w:r>
        <w:rPr>
          <w:rFonts w:ascii="Palatino Linotype" w:eastAsia="Palatino Linotype" w:hAnsi="Palatino Linotype" w:cs="Palatino Linotype"/>
          <w:b/>
          <w:i/>
          <w:sz w:val="21"/>
          <w:szCs w:val="21"/>
        </w:rPr>
        <w:t>,</w:t>
      </w:r>
      <w:r>
        <w:rPr>
          <w:rFonts w:ascii="Palatino Linotype" w:eastAsia="Palatino Linotype" w:hAnsi="Palatino Linotype" w:cs="Palatino Linotype"/>
          <w:i/>
          <w:sz w:val="21"/>
          <w:szCs w:val="21"/>
        </w:rPr>
        <w:t xml:space="preserve"> en el ámbito de sus respectivas competencias, se regirán por los siguientes principios y bases:</w:t>
      </w:r>
    </w:p>
    <w:p w14:paraId="4DD68B08"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3AA07EC9"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 </w:t>
      </w:r>
      <w:r>
        <w:rPr>
          <w:rFonts w:ascii="Palatino Linotype" w:eastAsia="Palatino Linotype" w:hAnsi="Palatino Linotype" w:cs="Palatino Linotype"/>
          <w:b/>
          <w:i/>
          <w:sz w:val="21"/>
          <w:szCs w:val="21"/>
          <w:u w:val="single"/>
        </w:rPr>
        <w:t>Toda la información en posesión de cualquier autoridad, entidad, órgano y organismo de los Poderes</w:t>
      </w:r>
      <w:r>
        <w:rPr>
          <w:rFonts w:ascii="Palatino Linotype" w:eastAsia="Palatino Linotype" w:hAnsi="Palatino Linotype" w:cs="Palatino Linotype"/>
          <w:i/>
          <w:sz w:val="21"/>
          <w:szCs w:val="21"/>
        </w:rPr>
        <w:t xml:space="preserve"> Ejecutivo, Legislativo </w:t>
      </w:r>
      <w:r>
        <w:rPr>
          <w:rFonts w:ascii="Palatino Linotype" w:eastAsia="Palatino Linotype" w:hAnsi="Palatino Linotype" w:cs="Palatino Linotype"/>
          <w:b/>
          <w:i/>
          <w:sz w:val="21"/>
          <w:szCs w:val="21"/>
          <w:u w:val="single"/>
        </w:rPr>
        <w:t>y Judicial</w:t>
      </w:r>
      <w:r>
        <w:rPr>
          <w:rFonts w:ascii="Palatino Linotype" w:eastAsia="Palatino Linotype" w:hAnsi="Palatino Linotype" w:cs="Palatino Linotype"/>
          <w:i/>
          <w:sz w:val="21"/>
          <w:szCs w:val="21"/>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1"/>
          <w:szCs w:val="21"/>
        </w:rPr>
        <w:t>es pública y sólo</w:t>
      </w:r>
      <w:r>
        <w:rPr>
          <w:rFonts w:ascii="Palatino Linotype" w:eastAsia="Palatino Linotype" w:hAnsi="Palatino Linotype" w:cs="Palatino Linotype"/>
          <w:b/>
          <w:i/>
          <w:sz w:val="21"/>
          <w:szCs w:val="21"/>
        </w:rPr>
        <w:t xml:space="preserve"> podrá ser reservada temporalmente por razones de interés público y seguridad nacional,</w:t>
      </w:r>
      <w:r>
        <w:rPr>
          <w:rFonts w:ascii="Palatino Linotype" w:eastAsia="Palatino Linotype" w:hAnsi="Palatino Linotype" w:cs="Palatino Linotype"/>
          <w:i/>
          <w:sz w:val="21"/>
          <w:szCs w:val="21"/>
        </w:rPr>
        <w:t xml:space="preserve"> en los términos que fijen las leyes. En la interpretación de este derecho deberá prevalecer el principio de máxima publicidad. Los sujetos obligados deberán documentar </w:t>
      </w:r>
      <w:r>
        <w:rPr>
          <w:rFonts w:ascii="Palatino Linotype" w:eastAsia="Palatino Linotype" w:hAnsi="Palatino Linotype" w:cs="Palatino Linotype"/>
          <w:i/>
          <w:sz w:val="21"/>
          <w:szCs w:val="21"/>
        </w:rPr>
        <w:t>todo acto que derive del ejercicio de sus facultades, competencias o funciones, la ley determinará los supuestos específicos bajo los cuales procederá la declaración de inexistencia de la información.</w:t>
      </w:r>
    </w:p>
    <w:p w14:paraId="3A2CA66F"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5DF9B9C1" w14:textId="77777777" w:rsidR="004517FE" w:rsidRDefault="00F6601E">
      <w:pPr>
        <w:ind w:left="851" w:right="851"/>
        <w:jc w:val="both"/>
        <w:rPr>
          <w:rFonts w:ascii="Palatino Linotype" w:eastAsia="Palatino Linotype" w:hAnsi="Palatino Linotype" w:cs="Palatino Linotype"/>
          <w:b/>
          <w:i/>
          <w:sz w:val="21"/>
          <w:szCs w:val="21"/>
        </w:rPr>
      </w:pPr>
      <w:r>
        <w:rPr>
          <w:rFonts w:ascii="Palatino Linotype" w:eastAsia="Palatino Linotype" w:hAnsi="Palatino Linotype" w:cs="Palatino Linotype"/>
          <w:b/>
          <w:i/>
          <w:sz w:val="21"/>
          <w:szCs w:val="21"/>
        </w:rPr>
        <w:t>II. La información que se refiere a la vida privada y</w:t>
      </w:r>
      <w:r>
        <w:rPr>
          <w:rFonts w:ascii="Palatino Linotype" w:eastAsia="Palatino Linotype" w:hAnsi="Palatino Linotype" w:cs="Palatino Linotype"/>
          <w:b/>
          <w:i/>
          <w:sz w:val="21"/>
          <w:szCs w:val="21"/>
        </w:rPr>
        <w:t xml:space="preserve"> los datos personales será protegida en los términos y con las excepciones que fijen las leyes.</w:t>
      </w:r>
    </w:p>
    <w:p w14:paraId="5057FB40"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5A4EB3CB"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III. </w:t>
      </w:r>
      <w:r>
        <w:rPr>
          <w:rFonts w:ascii="Palatino Linotype" w:eastAsia="Palatino Linotype" w:hAnsi="Palatino Linotype" w:cs="Palatino Linotype"/>
          <w:b/>
          <w:i/>
          <w:sz w:val="21"/>
          <w:szCs w:val="21"/>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1"/>
          <w:szCs w:val="21"/>
        </w:rPr>
        <w:t xml:space="preserve"> a sus datos persona</w:t>
      </w:r>
      <w:r>
        <w:rPr>
          <w:rFonts w:ascii="Palatino Linotype" w:eastAsia="Palatino Linotype" w:hAnsi="Palatino Linotype" w:cs="Palatino Linotype"/>
          <w:i/>
          <w:sz w:val="21"/>
          <w:szCs w:val="21"/>
        </w:rPr>
        <w:t>les o a la rectificación de éstos.</w:t>
      </w:r>
    </w:p>
    <w:p w14:paraId="18546204"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7841032C"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lastRenderedPageBreak/>
        <w:t xml:space="preserve">IV. </w:t>
      </w:r>
      <w:r>
        <w:rPr>
          <w:rFonts w:ascii="Palatino Linotype" w:eastAsia="Palatino Linotype" w:hAnsi="Palatino Linotype" w:cs="Palatino Linotype"/>
          <w:i/>
          <w:sz w:val="21"/>
          <w:szCs w:val="21"/>
        </w:rPr>
        <w:t>Se establecerán mecanismos de acceso a la información y procedimientos de revisión expeditos que se sustanciarán ante los organismos autónomos especializados e imparciales que establece esta Constitución.</w:t>
      </w:r>
    </w:p>
    <w:p w14:paraId="7123B960" w14:textId="77777777" w:rsidR="004517FE" w:rsidRDefault="004517FE">
      <w:pPr>
        <w:ind w:left="851" w:right="851"/>
        <w:jc w:val="both"/>
        <w:rPr>
          <w:rFonts w:ascii="Palatino Linotype" w:eastAsia="Palatino Linotype" w:hAnsi="Palatino Linotype" w:cs="Palatino Linotype"/>
          <w:i/>
          <w:sz w:val="21"/>
          <w:szCs w:val="21"/>
        </w:rPr>
      </w:pPr>
    </w:p>
    <w:p w14:paraId="028B849A"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 </w:t>
      </w:r>
      <w:r>
        <w:rPr>
          <w:rFonts w:ascii="Palatino Linotype" w:eastAsia="Palatino Linotype" w:hAnsi="Palatino Linotype" w:cs="Palatino Linotype"/>
          <w:i/>
          <w:sz w:val="21"/>
          <w:szCs w:val="21"/>
        </w:rPr>
        <w:t>Los su</w:t>
      </w:r>
      <w:r>
        <w:rPr>
          <w:rFonts w:ascii="Palatino Linotype" w:eastAsia="Palatino Linotype" w:hAnsi="Palatino Linotype" w:cs="Palatino Linotype"/>
          <w:i/>
          <w:sz w:val="21"/>
          <w:szCs w:val="21"/>
        </w:rPr>
        <w:t>jetos obligados deberán preservar sus documentos en archivos administrativos actualizados y publicarán, a través de los medios electrónicos disponibles, la información completa y actualizada sobre el ejercicio de los recursos públicos y los indicadores que</w:t>
      </w:r>
      <w:r>
        <w:rPr>
          <w:rFonts w:ascii="Palatino Linotype" w:eastAsia="Palatino Linotype" w:hAnsi="Palatino Linotype" w:cs="Palatino Linotype"/>
          <w:i/>
          <w:sz w:val="21"/>
          <w:szCs w:val="21"/>
        </w:rPr>
        <w:t xml:space="preserve"> permitan rendir cuenta del cumplimiento de sus objetivos y de los resultados obtenidos.</w:t>
      </w:r>
    </w:p>
    <w:p w14:paraId="3D6AAAA3"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40210CE1"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 </w:t>
      </w:r>
      <w:r>
        <w:rPr>
          <w:rFonts w:ascii="Palatino Linotype" w:eastAsia="Palatino Linotype" w:hAnsi="Palatino Linotype" w:cs="Palatino Linotype"/>
          <w:i/>
          <w:sz w:val="21"/>
          <w:szCs w:val="21"/>
        </w:rPr>
        <w:t>Las leyes determinarán la manera en que los sujetos obligados deberán hacer pública la información relativa a los recursos públicos que entreguen a personas físi</w:t>
      </w:r>
      <w:r>
        <w:rPr>
          <w:rFonts w:ascii="Palatino Linotype" w:eastAsia="Palatino Linotype" w:hAnsi="Palatino Linotype" w:cs="Palatino Linotype"/>
          <w:i/>
          <w:sz w:val="21"/>
          <w:szCs w:val="21"/>
        </w:rPr>
        <w:t>cas o morales.</w:t>
      </w:r>
    </w:p>
    <w:p w14:paraId="4EF7E02A"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i/>
          <w:sz w:val="21"/>
          <w:szCs w:val="21"/>
        </w:rPr>
        <w:t> </w:t>
      </w:r>
    </w:p>
    <w:p w14:paraId="165F8F97" w14:textId="77777777" w:rsidR="004517FE" w:rsidRDefault="00F6601E">
      <w:pPr>
        <w:ind w:left="851" w:right="851"/>
        <w:jc w:val="both"/>
        <w:rPr>
          <w:rFonts w:ascii="Palatino Linotype" w:eastAsia="Palatino Linotype" w:hAnsi="Palatino Linotype" w:cs="Palatino Linotype"/>
          <w:i/>
          <w:sz w:val="21"/>
          <w:szCs w:val="21"/>
        </w:rPr>
      </w:pPr>
      <w:r>
        <w:rPr>
          <w:rFonts w:ascii="Palatino Linotype" w:eastAsia="Palatino Linotype" w:hAnsi="Palatino Linotype" w:cs="Palatino Linotype"/>
          <w:b/>
          <w:i/>
          <w:sz w:val="21"/>
          <w:szCs w:val="21"/>
        </w:rPr>
        <w:t xml:space="preserve">VII. </w:t>
      </w:r>
      <w:r>
        <w:rPr>
          <w:rFonts w:ascii="Palatino Linotype" w:eastAsia="Palatino Linotype" w:hAnsi="Palatino Linotype" w:cs="Palatino Linotype"/>
          <w:i/>
          <w:sz w:val="21"/>
          <w:szCs w:val="21"/>
        </w:rPr>
        <w:t>La inobservancia a las disposiciones en materia de acceso a la información pública será sancionada en los términos que dispongan las leyes. [...]</w:t>
      </w:r>
    </w:p>
    <w:p w14:paraId="6B144FA5" w14:textId="77777777" w:rsidR="004517FE" w:rsidRDefault="004517FE">
      <w:pPr>
        <w:ind w:right="851"/>
        <w:jc w:val="both"/>
        <w:rPr>
          <w:rFonts w:ascii="Palatino Linotype" w:eastAsia="Palatino Linotype" w:hAnsi="Palatino Linotype" w:cs="Palatino Linotype"/>
          <w:i/>
          <w:sz w:val="21"/>
          <w:szCs w:val="21"/>
        </w:rPr>
      </w:pPr>
    </w:p>
    <w:p w14:paraId="05406B33"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w:t>
      </w:r>
      <w:r>
        <w:rPr>
          <w:rFonts w:ascii="Palatino Linotype" w:eastAsia="Palatino Linotype" w:hAnsi="Palatino Linotype" w:cs="Palatino Linotype"/>
        </w:rPr>
        <w:t>formación que consiste en aquella que sea generada, obtenida, adquirida, transformada, administrada o en posesión de los Sujetos Obligados, como así también lo señala la Ley de Transparencia y Acceso a la Información Pública del Estado de México y Municipi</w:t>
      </w:r>
      <w:r>
        <w:rPr>
          <w:rFonts w:ascii="Palatino Linotype" w:eastAsia="Palatino Linotype" w:hAnsi="Palatino Linotype" w:cs="Palatino Linotype"/>
        </w:rPr>
        <w:t>os en su artículo 4, que toda la información generada, obtenida, adquirida, transformada, administrada o en posesión de los sujetos obligados, es pública y accesible, de manera permanente a cualquier persona, privilegiando el principio de máxima publicidad</w:t>
      </w:r>
      <w:r>
        <w:rPr>
          <w:rFonts w:ascii="Palatino Linotype" w:eastAsia="Palatino Linotype" w:hAnsi="Palatino Linotype" w:cs="Palatino Linotype"/>
        </w:rPr>
        <w:t>, como así lo establece dicha determinación, que a continuación se trascribe para un mejor entendimiento:</w:t>
      </w:r>
    </w:p>
    <w:p w14:paraId="135D398E" w14:textId="77777777" w:rsidR="004517FE" w:rsidRDefault="00F6601E">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A75AEA3" w14:textId="77777777" w:rsidR="004517FE" w:rsidRDefault="00F6601E">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w:t>
      </w:r>
      <w:r>
        <w:rPr>
          <w:rFonts w:ascii="Palatino Linotype" w:eastAsia="Palatino Linotype" w:hAnsi="Palatino Linotype" w:cs="Palatino Linotype"/>
          <w:b/>
          <w:i/>
          <w:sz w:val="22"/>
          <w:szCs w:val="22"/>
        </w:rPr>
        <w:t xml:space="preserve"> generada, obtenida, adquirida, transformada, administrada o en posesión de los sujetos obligados es pública y accesible </w:t>
      </w:r>
      <w:r>
        <w:rPr>
          <w:rFonts w:ascii="Palatino Linotype" w:eastAsia="Palatino Linotype" w:hAnsi="Palatino Linotype" w:cs="Palatino Linotype"/>
          <w:b/>
          <w:i/>
          <w:sz w:val="22"/>
          <w:szCs w:val="22"/>
        </w:rPr>
        <w:lastRenderedPageBreak/>
        <w:t>de manera permanente a cualquier persona, en los términos y condiciones que se establezcan en los tratados internacionales de los que e</w:t>
      </w:r>
      <w:r>
        <w:rPr>
          <w:rFonts w:ascii="Palatino Linotype" w:eastAsia="Palatino Linotype" w:hAnsi="Palatino Linotype" w:cs="Palatino Linotype"/>
          <w:b/>
          <w:i/>
          <w:sz w:val="22"/>
          <w:szCs w:val="22"/>
        </w:rPr>
        <w:t>l Estado mexicano sea parte, en la Ley General, la presente Ley y demás disposiciones de la materia, privilegiando el principio de máxima publicidad de la información. Solo podrá ser clasificada excepcionalmente Ley de Transparencia y Acceso a la Informaci</w:t>
      </w:r>
      <w:r>
        <w:rPr>
          <w:rFonts w:ascii="Palatino Linotype" w:eastAsia="Palatino Linotype" w:hAnsi="Palatino Linotype" w:cs="Palatino Linotype"/>
          <w:b/>
          <w:i/>
          <w:sz w:val="22"/>
          <w:szCs w:val="22"/>
        </w:rPr>
        <w:t>ón Pública del Estado de México y Municipios 29 como reservada temporalmente por razones de interés público, en los términos de las causas legítimas y estrictamente necesarias previstas por esta Ley.</w:t>
      </w:r>
    </w:p>
    <w:p w14:paraId="0FB989F2" w14:textId="77777777" w:rsidR="004517FE" w:rsidRDefault="00F6601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w:t>
      </w:r>
      <w:r>
        <w:rPr>
          <w:rFonts w:ascii="Palatino Linotype" w:eastAsia="Palatino Linotype" w:hAnsi="Palatino Linotype" w:cs="Palatino Linotype"/>
          <w:i/>
          <w:sz w:val="22"/>
          <w:szCs w:val="22"/>
        </w:rPr>
        <w:t xml:space="preserve">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5BEDBD96" w14:textId="77777777" w:rsidR="004517FE" w:rsidRDefault="004517FE">
      <w:pPr>
        <w:jc w:val="both"/>
        <w:rPr>
          <w:rFonts w:ascii="Palatino Linotype" w:eastAsia="Palatino Linotype" w:hAnsi="Palatino Linotype" w:cs="Palatino Linotype"/>
        </w:rPr>
      </w:pPr>
    </w:p>
    <w:p w14:paraId="4A8F17EE"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w:t>
      </w:r>
      <w:r>
        <w:rPr>
          <w:rFonts w:ascii="Palatino Linotype" w:eastAsia="Palatino Linotype" w:hAnsi="Palatino Linotype" w:cs="Palatino Linotype"/>
        </w:rPr>
        <w:t xml:space="preserve">de atender las solicitudes de acceso a la información pública que se les hagan de su conocimiento y proporcionar la información pública que obren en su poder como así lo establece el artículo 12 de la Ley de Transparencia y Acceso a la Información Pública </w:t>
      </w:r>
      <w:r>
        <w:rPr>
          <w:rFonts w:ascii="Palatino Linotype" w:eastAsia="Palatino Linotype" w:hAnsi="Palatino Linotype" w:cs="Palatino Linotype"/>
        </w:rPr>
        <w:t>del Estado de México y Municipios, el cual a la letra dice:</w:t>
      </w:r>
    </w:p>
    <w:p w14:paraId="6E95E9A3" w14:textId="77777777" w:rsidR="004517FE" w:rsidRDefault="004517FE">
      <w:pPr>
        <w:jc w:val="both"/>
        <w:rPr>
          <w:rFonts w:ascii="Palatino Linotype" w:eastAsia="Palatino Linotype" w:hAnsi="Palatino Linotype" w:cs="Palatino Linotype"/>
        </w:rPr>
      </w:pPr>
    </w:p>
    <w:p w14:paraId="08310CCD" w14:textId="77777777" w:rsidR="004517FE" w:rsidRDefault="00F6601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CC4CE3E" w14:textId="77777777" w:rsidR="004517FE" w:rsidRDefault="004517FE">
      <w:pPr>
        <w:ind w:left="567" w:right="758"/>
        <w:jc w:val="both"/>
        <w:rPr>
          <w:rFonts w:ascii="Palatino Linotype" w:eastAsia="Palatino Linotype" w:hAnsi="Palatino Linotype" w:cs="Palatino Linotype"/>
          <w:i/>
          <w:sz w:val="22"/>
          <w:szCs w:val="22"/>
        </w:rPr>
      </w:pPr>
    </w:p>
    <w:p w14:paraId="0528FC17" w14:textId="77777777" w:rsidR="004517FE" w:rsidRDefault="00F6601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w:t>
      </w:r>
      <w:r>
        <w:rPr>
          <w:rFonts w:ascii="Palatino Linotype" w:eastAsia="Palatino Linotype" w:hAnsi="Palatino Linotype" w:cs="Palatino Linotype"/>
          <w:i/>
          <w:sz w:val="22"/>
          <w:szCs w:val="22"/>
        </w:rPr>
        <w:t>ica que se les requiera y que obre en sus archivos y en el estado en que ésta se encuentre. La obligación de proporcionar información no comprende el procesamiento de la misma, ni el presentarla conforme al interés del solicitante; no estarán obligados a g</w:t>
      </w:r>
      <w:r>
        <w:rPr>
          <w:rFonts w:ascii="Palatino Linotype" w:eastAsia="Palatino Linotype" w:hAnsi="Palatino Linotype" w:cs="Palatino Linotype"/>
          <w:i/>
          <w:sz w:val="22"/>
          <w:szCs w:val="22"/>
        </w:rPr>
        <w:t>enerarla, resumirla, efectuar cálculos o practicar investigaciones.” (Sic)</w:t>
      </w:r>
    </w:p>
    <w:p w14:paraId="105BB07C" w14:textId="77777777" w:rsidR="004517FE" w:rsidRDefault="004517FE">
      <w:pPr>
        <w:spacing w:line="360" w:lineRule="auto"/>
        <w:jc w:val="both"/>
        <w:rPr>
          <w:rFonts w:ascii="Palatino Linotype" w:eastAsia="Palatino Linotype" w:hAnsi="Palatino Linotype" w:cs="Palatino Linotype"/>
        </w:rPr>
      </w:pPr>
    </w:p>
    <w:p w14:paraId="288E4C61" w14:textId="77777777" w:rsidR="004517FE" w:rsidRDefault="00F660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w:t>
      </w:r>
      <w:r>
        <w:rPr>
          <w:rFonts w:ascii="Palatino Linotype" w:eastAsia="Palatino Linotype" w:hAnsi="Palatino Linotype" w:cs="Palatino Linotype"/>
          <w:color w:val="000000"/>
        </w:rPr>
        <w:t>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w:t>
      </w:r>
      <w:r>
        <w:rPr>
          <w:rFonts w:ascii="Palatino Linotype" w:eastAsia="Palatino Linotype" w:hAnsi="Palatino Linotype" w:cs="Palatino Linotype"/>
          <w:color w:val="000000"/>
        </w:rPr>
        <w:lastRenderedPageBreak/>
        <w:t xml:space="preserve">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w:t>
      </w:r>
      <w:r>
        <w:rPr>
          <w:rFonts w:ascii="Palatino Linotype" w:eastAsia="Palatino Linotype" w:hAnsi="Palatino Linotype" w:cs="Palatino Linotype"/>
        </w:rPr>
        <w:t>mo así lo establece los criterios 09/10 y 03/17 emitidos por el Instituto Nacional de Transparencia, Acceso a la Información Pública y Protección de Datos Personales, los cuales señalan lo siguiente:</w:t>
      </w:r>
    </w:p>
    <w:p w14:paraId="7614FC14" w14:textId="77777777" w:rsidR="004517FE" w:rsidRDefault="00F6601E">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09/10</w:t>
      </w:r>
    </w:p>
    <w:p w14:paraId="1E17791D" w14:textId="77777777" w:rsidR="004517FE" w:rsidRDefault="00F6601E">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w:t>
      </w:r>
      <w:r>
        <w:rPr>
          <w:rFonts w:ascii="Palatino Linotype" w:eastAsia="Palatino Linotype" w:hAnsi="Palatino Linotype" w:cs="Palatino Linotype"/>
          <w:b/>
          <w:i/>
          <w:sz w:val="20"/>
          <w:szCs w:val="20"/>
        </w:rPr>
        <w:t>LAS DEPENDENCIAS Y ENTIDADES NO ESTÁN OBLIGADAS A GENERAR DOCUMENTOS AD HOC PARA RESPONDER UNA SOLICITUD DE ACC ESO A LA INFORMACIÓN.</w:t>
      </w:r>
    </w:p>
    <w:p w14:paraId="058E0C1B" w14:textId="77777777" w:rsidR="004517FE" w:rsidRDefault="00F6601E">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Tomando en consideración lo establecido por el artículo 42 de la Ley Federal de Transparencia y Acceso a la Información Pú</w:t>
      </w:r>
      <w:r>
        <w:rPr>
          <w:rFonts w:ascii="Palatino Linotype" w:eastAsia="Palatino Linotype" w:hAnsi="Palatino Linotype" w:cs="Palatino Linotype"/>
          <w:i/>
          <w:sz w:val="20"/>
          <w:szCs w:val="20"/>
        </w:rPr>
        <w:t>blica Gubernamental, que establece que las dependencias y entidades sólo estarán obligadas a entregar documentos que se encuentren en sus archivos, las dependencias y entidades no están obligadas a elaborar documentos ad hoc para atender las solicitudes de</w:t>
      </w:r>
      <w:r>
        <w:rPr>
          <w:rFonts w:ascii="Palatino Linotype" w:eastAsia="Palatino Linotype" w:hAnsi="Palatino Linotype" w:cs="Palatino Linotype"/>
          <w:i/>
          <w:sz w:val="20"/>
          <w:szCs w:val="20"/>
        </w:rPr>
        <w:t xml:space="preserve"> información, sino que deben garantizar el acceso a la información con la que cuentan en el formato que la misma así lo permita o se encuentre, en aras de dar satisfacción a la solicitud presentada.”</w:t>
      </w:r>
    </w:p>
    <w:p w14:paraId="35730E9F" w14:textId="77777777" w:rsidR="004517FE" w:rsidRDefault="00F6601E">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03/17</w:t>
      </w:r>
    </w:p>
    <w:p w14:paraId="1A04C70D" w14:textId="77777777" w:rsidR="004517FE" w:rsidRDefault="00F6601E">
      <w:pPr>
        <w:spacing w:before="120" w:after="24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EXISTE OBLIGACIÓN DE ELABORAR DOCUM ENTOS AD H</w:t>
      </w:r>
      <w:r>
        <w:rPr>
          <w:rFonts w:ascii="Palatino Linotype" w:eastAsia="Palatino Linotype" w:hAnsi="Palatino Linotype" w:cs="Palatino Linotype"/>
          <w:b/>
          <w:i/>
          <w:sz w:val="20"/>
          <w:szCs w:val="20"/>
        </w:rPr>
        <w:t>OC PARA ATENDER LAS SOLICITUDES DE ACCESO A LA INFORM ACIÓN.</w:t>
      </w:r>
    </w:p>
    <w:p w14:paraId="4454F6AB" w14:textId="77777777" w:rsidR="004517FE" w:rsidRDefault="00F6601E">
      <w:pPr>
        <w:spacing w:before="120" w:after="24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Los artículos 129 de la Ley General de Transparencia y Acceso a la Información Pública y 130, párrafo cuarto, de la Ley Federal de Transparencia y Acceso a la Información Pública, señalan que los</w:t>
      </w:r>
      <w:r>
        <w:rPr>
          <w:rFonts w:ascii="Palatino Linotype" w:eastAsia="Palatino Linotype" w:hAnsi="Palatino Linotype" w:cs="Palatino Linotype"/>
          <w:i/>
          <w:sz w:val="20"/>
          <w:szCs w:val="20"/>
        </w:rPr>
        <w:t xml:space="preserve"> sujetos obligados deberán otorgar acceso a los documentos que se encuentren en sus archivos o que estén obligados a documentar, de acuerdo con sus facultades, competencias o funciones, conforme a Las características físicas de la información o del lugar d</w:t>
      </w:r>
      <w:r>
        <w:rPr>
          <w:rFonts w:ascii="Palatino Linotype" w:eastAsia="Palatino Linotype" w:hAnsi="Palatino Linotype" w:cs="Palatino Linotype"/>
          <w:i/>
          <w:sz w:val="20"/>
          <w:szCs w:val="20"/>
        </w:rPr>
        <w:t xml:space="preserve">onde se encuentre. Por lo anterior, los sujetos obligados deben garantizar el derecho de acceso a la información del particular, proporcionando la información con la que cuentan en el formato en que la misma obre en sus archivos; sin necesidad de elaborar </w:t>
      </w:r>
      <w:r>
        <w:rPr>
          <w:rFonts w:ascii="Palatino Linotype" w:eastAsia="Palatino Linotype" w:hAnsi="Palatino Linotype" w:cs="Palatino Linotype"/>
          <w:i/>
          <w:sz w:val="20"/>
          <w:szCs w:val="20"/>
        </w:rPr>
        <w:t>documentos ad hoc para atender las solicitudes de información."(Sic)</w:t>
      </w:r>
    </w:p>
    <w:p w14:paraId="0A87D9C3" w14:textId="77777777" w:rsidR="004517FE" w:rsidRDefault="004517FE">
      <w:pPr>
        <w:spacing w:line="360" w:lineRule="auto"/>
        <w:jc w:val="both"/>
        <w:rPr>
          <w:rFonts w:ascii="Palatino Linotype" w:eastAsia="Palatino Linotype" w:hAnsi="Palatino Linotype" w:cs="Palatino Linotype"/>
          <w:color w:val="000000"/>
        </w:rPr>
      </w:pPr>
    </w:p>
    <w:p w14:paraId="18B9C6F0" w14:textId="77777777" w:rsidR="004517FE" w:rsidRDefault="00F660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w:t>
      </w:r>
      <w:r>
        <w:rPr>
          <w:rFonts w:ascii="Palatino Linotype" w:eastAsia="Palatino Linotype" w:hAnsi="Palatino Linotype" w:cs="Palatino Linotype"/>
        </w:rPr>
        <w:t>ren</w:t>
      </w:r>
      <w:r>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w:t>
      </w:r>
      <w:r>
        <w:rPr>
          <w:rFonts w:ascii="Palatino Linotype" w:eastAsia="Palatino Linotype" w:hAnsi="Palatino Linotype" w:cs="Palatino Linotype"/>
          <w:color w:val="000000"/>
        </w:rPr>
        <w:t>Pública.</w:t>
      </w:r>
    </w:p>
    <w:p w14:paraId="2A11A866" w14:textId="77777777" w:rsidR="004517FE" w:rsidRDefault="004517FE">
      <w:pPr>
        <w:spacing w:line="360" w:lineRule="auto"/>
        <w:jc w:val="both"/>
        <w:rPr>
          <w:rFonts w:ascii="Palatino Linotype" w:eastAsia="Palatino Linotype" w:hAnsi="Palatino Linotype" w:cs="Palatino Linotype"/>
          <w:color w:val="000000"/>
        </w:rPr>
      </w:pPr>
    </w:p>
    <w:p w14:paraId="02762846" w14:textId="77777777" w:rsidR="004517FE" w:rsidRDefault="00F6601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w:t>
      </w:r>
      <w:r>
        <w:rPr>
          <w:rFonts w:ascii="Palatino Linotype" w:eastAsia="Palatino Linotype" w:hAnsi="Palatino Linotype" w:cs="Palatino Linotype"/>
        </w:rPr>
        <w:t xml:space="preserve"> del acuerdo clasificatorio del comité de transparencia y la versión pública que emita el servidor público habilitado de cada Sujeto Obligado; como así se establece en la Ley de Transparencia y Acceso a la Información Pública del Estado de México y Municip</w:t>
      </w:r>
      <w:r>
        <w:rPr>
          <w:rFonts w:ascii="Palatino Linotype" w:eastAsia="Palatino Linotype" w:hAnsi="Palatino Linotype" w:cs="Palatino Linotype"/>
        </w:rPr>
        <w:t>ios.</w:t>
      </w:r>
    </w:p>
    <w:p w14:paraId="09F3C965" w14:textId="77777777" w:rsidR="004517FE" w:rsidRDefault="004517FE">
      <w:pPr>
        <w:jc w:val="both"/>
        <w:rPr>
          <w:rFonts w:ascii="Palatino Linotype" w:eastAsia="Palatino Linotype" w:hAnsi="Palatino Linotype" w:cs="Palatino Linotype"/>
          <w:color w:val="000000"/>
        </w:rPr>
      </w:pPr>
    </w:p>
    <w:p w14:paraId="6881D180"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w:t>
      </w:r>
      <w:r>
        <w:rPr>
          <w:rFonts w:ascii="Palatino Linotype" w:eastAsia="Palatino Linotype" w:hAnsi="Palatino Linotype" w:cs="Palatino Linotype"/>
        </w:rPr>
        <w:t>dos, directivas, directrices, circulares, contratos, convenios, instructivos, notas, memorandos, estadísticas o bien, cualquier otro registro que documente el ejercicio de las facultades, funciones y competencias de los Sujetos Obligados; los que, podrán e</w:t>
      </w:r>
      <w:r>
        <w:rPr>
          <w:rFonts w:ascii="Palatino Linotype" w:eastAsia="Palatino Linotype" w:hAnsi="Palatino Linotype" w:cs="Palatino Linotype"/>
        </w:rPr>
        <w:t xml:space="preserve">star en cualquier medio, sea escrito, impreso, sonoro, visual, electrónico, informático u holográfico de conformidad con el artículo 3, fracción XI de la Ley de la materia, el cual señala lo siguiente: </w:t>
      </w:r>
    </w:p>
    <w:p w14:paraId="574F19F8" w14:textId="77777777" w:rsidR="004517FE" w:rsidRDefault="004517FE">
      <w:pPr>
        <w:ind w:left="1134" w:right="899"/>
        <w:jc w:val="both"/>
        <w:rPr>
          <w:rFonts w:ascii="Palatino Linotype" w:eastAsia="Palatino Linotype" w:hAnsi="Palatino Linotype" w:cs="Palatino Linotype"/>
          <w:i/>
          <w:sz w:val="22"/>
          <w:szCs w:val="22"/>
        </w:rPr>
      </w:pPr>
    </w:p>
    <w:p w14:paraId="10A42107" w14:textId="77777777" w:rsidR="004517FE" w:rsidRDefault="00F6601E">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Para los efectos de la presente Ley se </w:t>
      </w:r>
      <w:r>
        <w:rPr>
          <w:rFonts w:ascii="Palatino Linotype" w:eastAsia="Palatino Linotype" w:hAnsi="Palatino Linotype" w:cs="Palatino Linotype"/>
          <w:i/>
          <w:sz w:val="22"/>
          <w:szCs w:val="22"/>
        </w:rPr>
        <w:t>entenderá por:</w:t>
      </w:r>
    </w:p>
    <w:p w14:paraId="0393CC88" w14:textId="77777777" w:rsidR="004517FE" w:rsidRDefault="00F6601E">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81A3FB7" w14:textId="77777777" w:rsidR="004517FE" w:rsidRDefault="00F6601E">
      <w:pPr>
        <w:ind w:left="1134"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color w:val="000000"/>
          <w:sz w:val="22"/>
          <w:szCs w:val="22"/>
        </w:rPr>
        <w:t>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020B462C" w14:textId="77777777" w:rsidR="004517FE" w:rsidRDefault="004517FE">
      <w:pPr>
        <w:ind w:left="851" w:right="899"/>
        <w:jc w:val="both"/>
        <w:rPr>
          <w:rFonts w:ascii="Palatino Linotype" w:eastAsia="Palatino Linotype" w:hAnsi="Palatino Linotype" w:cs="Palatino Linotype"/>
          <w:i/>
          <w:color w:val="000000"/>
          <w:sz w:val="22"/>
          <w:szCs w:val="22"/>
        </w:rPr>
      </w:pPr>
    </w:p>
    <w:p w14:paraId="058FAEAD"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w:t>
      </w:r>
      <w:r>
        <w:rPr>
          <w:rFonts w:ascii="Palatino Linotype" w:eastAsia="Palatino Linotype" w:hAnsi="Palatino Linotype" w:cs="Palatino Linotype"/>
        </w:rPr>
        <w:t>aplicable, el Criterio de interpretación en el orden administrativo número 0002-11, emitido por Acuerdo del Pleno del Instituto de Transparencia y Acceso a la Información Pública del Estado de México y Municipios; publicado en el Periódico Oficial del Gobi</w:t>
      </w:r>
      <w:r>
        <w:rPr>
          <w:rFonts w:ascii="Palatino Linotype" w:eastAsia="Palatino Linotype" w:hAnsi="Palatino Linotype" w:cs="Palatino Linotype"/>
        </w:rPr>
        <w:t>erno del Estado Libre y Soberano de México “Gaceta del Gobierno”, el diecinueve de octubre de dos mil once, cuyo rubro y texto refieren lo siguiente:</w:t>
      </w:r>
    </w:p>
    <w:p w14:paraId="742CC829" w14:textId="77777777" w:rsidR="004517FE" w:rsidRDefault="004517FE">
      <w:pPr>
        <w:ind w:left="851" w:right="899"/>
        <w:jc w:val="both"/>
        <w:rPr>
          <w:rFonts w:ascii="Palatino Linotype" w:eastAsia="Palatino Linotype" w:hAnsi="Palatino Linotype" w:cs="Palatino Linotype"/>
        </w:rPr>
      </w:pPr>
    </w:p>
    <w:p w14:paraId="7507CF42" w14:textId="77777777" w:rsidR="004517FE" w:rsidRDefault="00F6601E">
      <w:pPr>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47A70A24" w14:textId="77777777" w:rsidR="004517FE" w:rsidRDefault="00F6601E">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w:t>
      </w:r>
      <w:r>
        <w:rPr>
          <w:rFonts w:ascii="Palatino Linotype" w:eastAsia="Palatino Linotype" w:hAnsi="Palatino Linotype" w:cs="Palatino Linotype"/>
          <w:b/>
          <w:i/>
          <w:sz w:val="22"/>
          <w:szCs w:val="22"/>
        </w:rPr>
        <w:t>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w:t>
      </w:r>
      <w:r>
        <w:rPr>
          <w:rFonts w:ascii="Palatino Linotype" w:eastAsia="Palatino Linotype" w:hAnsi="Palatino Linotype" w:cs="Palatino Linotype"/>
          <w:i/>
          <w:sz w:val="22"/>
          <w:szCs w:val="22"/>
        </w:rPr>
        <w:t>cumentos públicos, administrados, generados o en posesión de los órganos u organismos públicos, en virtud del ejercicio de sus funciones de derecho público, sin importar su fuente, soporte o fecha de elaboración.</w:t>
      </w:r>
    </w:p>
    <w:p w14:paraId="6E3CE7F5" w14:textId="77777777" w:rsidR="004517FE" w:rsidRDefault="00F6601E">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w:t>
      </w:r>
      <w:r>
        <w:rPr>
          <w:rFonts w:ascii="Palatino Linotype" w:eastAsia="Palatino Linotype" w:hAnsi="Palatino Linotype" w:cs="Palatino Linotype"/>
          <w:i/>
          <w:sz w:val="22"/>
          <w:szCs w:val="22"/>
        </w:rPr>
        <w:t>se refiere a que se cumplan cualquiera de los siguientes tres supuestos:</w:t>
      </w:r>
    </w:p>
    <w:p w14:paraId="319B9CE3" w14:textId="77777777" w:rsidR="004517FE" w:rsidRDefault="00F6601E">
      <w:pPr>
        <w:ind w:left="1134"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1)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generada por los Sujetos Obligados;</w:t>
      </w:r>
    </w:p>
    <w:p w14:paraId="39DE861C" w14:textId="77777777" w:rsidR="004517FE" w:rsidRDefault="00F6601E">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2) Que se trate de </w:t>
      </w:r>
      <w:r>
        <w:rPr>
          <w:rFonts w:ascii="Palatino Linotype" w:eastAsia="Palatino Linotype" w:hAnsi="Palatino Linotype" w:cs="Palatino Linotype"/>
          <w:i/>
          <w:sz w:val="22"/>
          <w:szCs w:val="22"/>
        </w:rPr>
        <w:t xml:space="preserve">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28CBAB40" w14:textId="77777777" w:rsidR="004517FE" w:rsidRDefault="00F6601E">
      <w:pPr>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w:t>
      </w:r>
      <w:r>
        <w:rPr>
          <w:rFonts w:ascii="Palatino Linotype" w:eastAsia="Palatino Linotype" w:hAnsi="Palatino Linotype" w:cs="Palatino Linotype"/>
          <w:i/>
          <w:sz w:val="22"/>
          <w:szCs w:val="22"/>
        </w:rPr>
        <w:t>ciones conferidas, se encuentre en posesión de los Sujetos Obligados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875903E" w14:textId="77777777" w:rsidR="004517FE" w:rsidRDefault="004517FE">
      <w:pPr>
        <w:ind w:left="1134" w:right="1041"/>
        <w:jc w:val="both"/>
        <w:rPr>
          <w:rFonts w:ascii="Palatino Linotype" w:eastAsia="Palatino Linotype" w:hAnsi="Palatino Linotype" w:cs="Palatino Linotype"/>
          <w:sz w:val="22"/>
          <w:szCs w:val="22"/>
        </w:rPr>
      </w:pPr>
    </w:p>
    <w:p w14:paraId="412B53C5" w14:textId="77777777" w:rsidR="004517FE" w:rsidRDefault="00F6601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w:t>
      </w:r>
      <w:r>
        <w:rPr>
          <w:rFonts w:ascii="Palatino Linotype" w:eastAsia="Palatino Linotype" w:hAnsi="Palatino Linotype" w:cs="Palatino Linotype"/>
        </w:rPr>
        <w:t>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w:t>
      </w:r>
      <w:r>
        <w:rPr>
          <w:rFonts w:ascii="Palatino Linotype" w:eastAsia="Palatino Linotype" w:hAnsi="Palatino Linotype" w:cs="Palatino Linotype"/>
        </w:rPr>
        <w:t>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 deuda pública.</w:t>
      </w:r>
    </w:p>
    <w:p w14:paraId="36397DB7" w14:textId="77777777" w:rsidR="004517FE" w:rsidRDefault="00F6601E">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que, con la finalidad de ilustrar el asunto que se resuelve en la presente resoluci</w:t>
      </w:r>
      <w:r>
        <w:rPr>
          <w:rFonts w:ascii="Palatino Linotype" w:eastAsia="Palatino Linotype" w:hAnsi="Palatino Linotype" w:cs="Palatino Linotype"/>
          <w:color w:val="000000"/>
        </w:rPr>
        <w:t xml:space="preserve">ón, resulta conveniente precisar la solicitud de información, la respuesta y el recurso de revisión, para verificar la procedencia o improcedencia de las razones o motivos de inconformidad expuestos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w:t>
      </w:r>
    </w:p>
    <w:p w14:paraId="5698A474" w14:textId="77777777" w:rsidR="004517FE" w:rsidRDefault="004517FE">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sz w:val="2"/>
          <w:szCs w:val="2"/>
        </w:rPr>
      </w:pPr>
    </w:p>
    <w:tbl>
      <w:tblPr>
        <w:tblStyle w:val="a7"/>
        <w:tblW w:w="90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509"/>
      </w:tblGrid>
      <w:tr w:rsidR="004517FE" w14:paraId="43AB7237" w14:textId="77777777">
        <w:tc>
          <w:tcPr>
            <w:tcW w:w="1555" w:type="dxa"/>
          </w:tcPr>
          <w:p w14:paraId="38E9E137" w14:textId="77777777" w:rsidR="004517FE" w:rsidRDefault="00F6601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Solicitud:</w:t>
            </w:r>
          </w:p>
          <w:p w14:paraId="7F71C41B" w14:textId="77777777" w:rsidR="004517FE" w:rsidRDefault="004517FE">
            <w:pPr>
              <w:tabs>
                <w:tab w:val="left" w:pos="426"/>
              </w:tabs>
              <w:spacing w:line="360" w:lineRule="auto"/>
              <w:jc w:val="both"/>
              <w:rPr>
                <w:rFonts w:ascii="Palatino Linotype" w:eastAsia="Palatino Linotype" w:hAnsi="Palatino Linotype" w:cs="Palatino Linotype"/>
                <w:b/>
                <w:color w:val="000000"/>
              </w:rPr>
            </w:pPr>
          </w:p>
        </w:tc>
        <w:tc>
          <w:tcPr>
            <w:tcW w:w="7509" w:type="dxa"/>
          </w:tcPr>
          <w:p w14:paraId="4A7D4ACD" w14:textId="77777777" w:rsidR="004517FE" w:rsidRDefault="00F6601E">
            <w:pPr>
              <w:spacing w:line="360" w:lineRule="auto"/>
              <w:ind w:left="243" w:right="220"/>
              <w:jc w:val="both"/>
              <w:rPr>
                <w:rFonts w:ascii="Palatino Linotype" w:eastAsia="Palatino Linotype" w:hAnsi="Palatino Linotype" w:cs="Palatino Linotype"/>
              </w:rPr>
            </w:pPr>
            <w:r>
              <w:t>“</w:t>
            </w:r>
            <w:r>
              <w:rPr>
                <w:rFonts w:ascii="Palatino Linotype" w:eastAsia="Palatino Linotype" w:hAnsi="Palatino Linotype" w:cs="Palatino Linotype"/>
                <w:i/>
              </w:rPr>
              <w:t xml:space="preserve">Solicito me informen cuánto se </w:t>
            </w:r>
            <w:proofErr w:type="gramStart"/>
            <w:r>
              <w:rPr>
                <w:rFonts w:ascii="Palatino Linotype" w:eastAsia="Palatino Linotype" w:hAnsi="Palatino Linotype" w:cs="Palatino Linotype"/>
                <w:i/>
              </w:rPr>
              <w:t>le</w:t>
            </w:r>
            <w:proofErr w:type="gramEnd"/>
            <w:r>
              <w:rPr>
                <w:rFonts w:ascii="Palatino Linotype" w:eastAsia="Palatino Linotype" w:hAnsi="Palatino Linotype" w:cs="Palatino Linotype"/>
                <w:i/>
              </w:rPr>
              <w:t xml:space="preserve"> adeuda a todos y cada uno de los proveedores del Ayuntamiento</w:t>
            </w:r>
            <w:r>
              <w:rPr>
                <w:rFonts w:ascii="Palatino Linotype" w:eastAsia="Palatino Linotype" w:hAnsi="Palatino Linotype" w:cs="Palatino Linotype"/>
              </w:rPr>
              <w:t>.” (sic)</w:t>
            </w:r>
          </w:p>
        </w:tc>
      </w:tr>
      <w:tr w:rsidR="004517FE" w14:paraId="5FB211AF" w14:textId="77777777">
        <w:tc>
          <w:tcPr>
            <w:tcW w:w="1555" w:type="dxa"/>
          </w:tcPr>
          <w:p w14:paraId="2349765C" w14:textId="77777777" w:rsidR="004517FE" w:rsidRDefault="00F6601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Respuesta:</w:t>
            </w:r>
          </w:p>
          <w:p w14:paraId="544E5ABF" w14:textId="77777777" w:rsidR="004517FE" w:rsidRDefault="004517FE">
            <w:pPr>
              <w:tabs>
                <w:tab w:val="left" w:pos="426"/>
              </w:tabs>
              <w:spacing w:line="360" w:lineRule="auto"/>
              <w:jc w:val="both"/>
              <w:rPr>
                <w:rFonts w:ascii="Palatino Linotype" w:eastAsia="Palatino Linotype" w:hAnsi="Palatino Linotype" w:cs="Palatino Linotype"/>
                <w:b/>
                <w:color w:val="000000"/>
              </w:rPr>
            </w:pPr>
          </w:p>
        </w:tc>
        <w:tc>
          <w:tcPr>
            <w:tcW w:w="7509" w:type="dxa"/>
          </w:tcPr>
          <w:p w14:paraId="5CFC3B7C" w14:textId="77777777" w:rsidR="004517FE" w:rsidRDefault="00F6601E">
            <w:pPr>
              <w:pBdr>
                <w:top w:val="nil"/>
                <w:left w:val="nil"/>
                <w:bottom w:val="nil"/>
                <w:right w:val="nil"/>
                <w:between w:val="nil"/>
              </w:pBdr>
              <w:tabs>
                <w:tab w:val="left" w:pos="426"/>
              </w:tabs>
              <w:spacing w:line="360" w:lineRule="auto"/>
              <w:ind w:left="243"/>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w:t>
            </w:r>
            <w:r>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82E5AD" w14:textId="77777777" w:rsidR="004517FE" w:rsidRDefault="00F6601E">
            <w:pPr>
              <w:pBdr>
                <w:top w:val="nil"/>
                <w:left w:val="nil"/>
                <w:bottom w:val="nil"/>
                <w:right w:val="nil"/>
                <w:between w:val="nil"/>
              </w:pBdr>
              <w:tabs>
                <w:tab w:val="left" w:pos="426"/>
              </w:tabs>
              <w:spacing w:line="360" w:lineRule="auto"/>
              <w:ind w:left="243"/>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rPr>
              <w:t>el adeudo es de $ 54´476,495.00 atentamente la tesorera municipal”</w:t>
            </w:r>
            <w:r>
              <w:rPr>
                <w:rFonts w:ascii="Palatino Linotype" w:eastAsia="Palatino Linotype" w:hAnsi="Palatino Linotype" w:cs="Palatino Linotype"/>
              </w:rPr>
              <w:t xml:space="preserve"> (sic)</w:t>
            </w:r>
          </w:p>
        </w:tc>
      </w:tr>
      <w:tr w:rsidR="004517FE" w14:paraId="1CA94866" w14:textId="77777777">
        <w:tc>
          <w:tcPr>
            <w:tcW w:w="1555" w:type="dxa"/>
          </w:tcPr>
          <w:p w14:paraId="4D5D5FBC" w14:textId="77777777" w:rsidR="004517FE" w:rsidRDefault="00F6601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Acto impugnado:</w:t>
            </w:r>
          </w:p>
        </w:tc>
        <w:tc>
          <w:tcPr>
            <w:tcW w:w="7509" w:type="dxa"/>
          </w:tcPr>
          <w:p w14:paraId="122E7E20" w14:textId="77777777" w:rsidR="004517FE" w:rsidRDefault="00F6601E">
            <w:pPr>
              <w:spacing w:line="360" w:lineRule="auto"/>
              <w:ind w:left="709" w:hanging="466"/>
              <w:jc w:val="both"/>
              <w:rPr>
                <w:rFonts w:ascii="Palatino Linotype" w:eastAsia="Palatino Linotype" w:hAnsi="Palatino Linotype" w:cs="Palatino Linotype"/>
                <w:i/>
              </w:rPr>
            </w:pPr>
            <w:r>
              <w:rPr>
                <w:rFonts w:ascii="Palatino Linotype" w:eastAsia="Palatino Linotype" w:hAnsi="Palatino Linotype" w:cs="Palatino Linotype"/>
                <w:i/>
              </w:rPr>
              <w:t>“La respuesta del sujeto obligado” (sic)</w:t>
            </w:r>
          </w:p>
        </w:tc>
      </w:tr>
      <w:tr w:rsidR="004517FE" w14:paraId="380F85F6" w14:textId="77777777">
        <w:trPr>
          <w:trHeight w:val="2701"/>
        </w:trPr>
        <w:tc>
          <w:tcPr>
            <w:tcW w:w="1555" w:type="dxa"/>
          </w:tcPr>
          <w:p w14:paraId="254B426E" w14:textId="77777777" w:rsidR="004517FE" w:rsidRDefault="004517FE">
            <w:pPr>
              <w:spacing w:line="360" w:lineRule="auto"/>
              <w:jc w:val="both"/>
              <w:rPr>
                <w:rFonts w:ascii="Palatino Linotype" w:eastAsia="Palatino Linotype" w:hAnsi="Palatino Linotype" w:cs="Palatino Linotype"/>
                <w:b/>
              </w:rPr>
            </w:pPr>
          </w:p>
          <w:p w14:paraId="5340337A" w14:textId="77777777" w:rsidR="004517FE" w:rsidRDefault="00F6601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Razones o motivos de inconformidad: </w:t>
            </w:r>
          </w:p>
          <w:p w14:paraId="6103AE07" w14:textId="77777777" w:rsidR="004517FE" w:rsidRDefault="004517FE">
            <w:pPr>
              <w:tabs>
                <w:tab w:val="left" w:pos="426"/>
              </w:tabs>
              <w:spacing w:line="360" w:lineRule="auto"/>
              <w:jc w:val="both"/>
              <w:rPr>
                <w:rFonts w:ascii="Palatino Linotype" w:eastAsia="Palatino Linotype" w:hAnsi="Palatino Linotype" w:cs="Palatino Linotype"/>
                <w:b/>
                <w:color w:val="000000"/>
              </w:rPr>
            </w:pPr>
          </w:p>
        </w:tc>
        <w:tc>
          <w:tcPr>
            <w:tcW w:w="7509" w:type="dxa"/>
          </w:tcPr>
          <w:p w14:paraId="65383329" w14:textId="77777777" w:rsidR="004517FE" w:rsidRDefault="00F6601E">
            <w:pPr>
              <w:spacing w:line="360" w:lineRule="auto"/>
              <w:ind w:left="385" w:right="78"/>
              <w:jc w:val="both"/>
              <w:rPr>
                <w:rFonts w:ascii="Palatino Linotype" w:eastAsia="Palatino Linotype" w:hAnsi="Palatino Linotype" w:cs="Palatino Linotype"/>
                <w:i/>
              </w:rPr>
            </w:pPr>
            <w:r>
              <w:rPr>
                <w:rFonts w:ascii="Palatino Linotype" w:eastAsia="Palatino Linotype" w:hAnsi="Palatino Linotype" w:cs="Palatino Linotype"/>
                <w:i/>
              </w:rPr>
              <w:t xml:space="preserve">“Me entregaron el total de lo que el Ayuntamiento </w:t>
            </w:r>
            <w:proofErr w:type="gramStart"/>
            <w:r>
              <w:rPr>
                <w:rFonts w:ascii="Palatino Linotype" w:eastAsia="Palatino Linotype" w:hAnsi="Palatino Linotype" w:cs="Palatino Linotype"/>
                <w:i/>
              </w:rPr>
              <w:t>le</w:t>
            </w:r>
            <w:proofErr w:type="gramEnd"/>
            <w:r>
              <w:rPr>
                <w:rFonts w:ascii="Palatino Linotype" w:eastAsia="Palatino Linotype" w:hAnsi="Palatino Linotype" w:cs="Palatino Linotype"/>
                <w:i/>
              </w:rPr>
              <w:t xml:space="preserve"> debe a sus proveedores, pero no lo que se le deba "a todos y cada uno" de ellos. Lo que pedí debe estar en su Balanza de Comprobación Detallada al mes de junio de 2021. Aunque es probable que tengan list</w:t>
            </w:r>
            <w:r>
              <w:rPr>
                <w:rFonts w:ascii="Palatino Linotype" w:eastAsia="Palatino Linotype" w:hAnsi="Palatino Linotype" w:cs="Palatino Linotype"/>
                <w:i/>
              </w:rPr>
              <w:t>a la correspondiente al mes de septiembre de 2021 ya que es trimestral.” (sic)</w:t>
            </w:r>
          </w:p>
        </w:tc>
      </w:tr>
    </w:tbl>
    <w:p w14:paraId="4692EE95" w14:textId="77777777" w:rsidR="004517FE" w:rsidRDefault="004517FE">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sz w:val="16"/>
          <w:szCs w:val="16"/>
        </w:rPr>
      </w:pPr>
    </w:p>
    <w:p w14:paraId="0DD79729" w14:textId="77777777" w:rsidR="004517FE" w:rsidRDefault="00F6601E">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se advierte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entregó</w:t>
      </w:r>
      <w:r>
        <w:rPr>
          <w:rFonts w:ascii="Palatino Linotype" w:eastAsia="Palatino Linotype" w:hAnsi="Palatino Linotype" w:cs="Palatino Linotype"/>
          <w:color w:val="000000"/>
        </w:rPr>
        <w:t xml:space="preserve"> una cifra global, más </w:t>
      </w:r>
      <w:proofErr w:type="gramStart"/>
      <w:r>
        <w:rPr>
          <w:rFonts w:ascii="Palatino Linotype" w:eastAsia="Palatino Linotype" w:hAnsi="Palatino Linotype" w:cs="Palatino Linotype"/>
          <w:color w:val="000000"/>
        </w:rPr>
        <w:t>no</w:t>
      </w:r>
      <w:proofErr w:type="gramEnd"/>
      <w:r>
        <w:rPr>
          <w:rFonts w:ascii="Palatino Linotype" w:eastAsia="Palatino Linotype" w:hAnsi="Palatino Linotype" w:cs="Palatino Linotype"/>
          <w:color w:val="000000"/>
        </w:rPr>
        <w:t xml:space="preserve"> así como lo solicitó el particular, esto es el adeudo que corresponde a cada uno de los proveedores, en es</w:t>
      </w:r>
      <w:r>
        <w:rPr>
          <w:rFonts w:ascii="Palatino Linotype" w:eastAsia="Palatino Linotype" w:hAnsi="Palatino Linotype" w:cs="Palatino Linotype"/>
          <w:color w:val="000000"/>
        </w:rPr>
        <w:t xml:space="preserve">te sentido, este Instituto procede a analizar el ámbito competencial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generar, administrar y poseer la información, tal como fue solicitada por el particular. </w:t>
      </w:r>
    </w:p>
    <w:p w14:paraId="22CEA8E2" w14:textId="77777777" w:rsidR="004517FE" w:rsidRDefault="00F6601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Previo lo anterior, es importante aclarar que el particular en su solicitud de acceso a la información pública no estableció la temporalidad de la información requerida; por consiguiente en aras del principio de máxima publicidad que consagra la Ley de Tra</w:t>
      </w:r>
      <w:r>
        <w:rPr>
          <w:rFonts w:ascii="Palatino Linotype" w:eastAsia="Palatino Linotype" w:hAnsi="Palatino Linotype" w:cs="Palatino Linotype"/>
        </w:rPr>
        <w:t>nsparencia que nos ocupa para el efecto de garantizar el ejercicio del derecho de acceso a la información del recurrente, es por lo que, se aplica la suplencia de la queja señalada en los artículos 13</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y 181, párrafo cuarto</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de la Ley de Transparencia y Ac</w:t>
      </w:r>
      <w:r>
        <w:rPr>
          <w:rFonts w:ascii="Palatino Linotype" w:eastAsia="Palatino Linotype" w:hAnsi="Palatino Linotype" w:cs="Palatino Linotype"/>
        </w:rPr>
        <w:t>ceso a la Información Pública de la entidad, a favor del particular; de ahí que, la información requerida por el particular es la vigente a la fecha de la solicitud; esto es al veinte de septiembre del año dos mil veintiuno.</w:t>
      </w:r>
    </w:p>
    <w:p w14:paraId="6D31A749" w14:textId="77777777" w:rsidR="004517FE" w:rsidRDefault="004517FE">
      <w:pPr>
        <w:spacing w:line="360" w:lineRule="auto"/>
        <w:ind w:right="51"/>
        <w:jc w:val="both"/>
        <w:rPr>
          <w:rFonts w:ascii="Palatino Linotype" w:eastAsia="Palatino Linotype" w:hAnsi="Palatino Linotype" w:cs="Palatino Linotype"/>
        </w:rPr>
      </w:pPr>
    </w:p>
    <w:p w14:paraId="24EB9CC6" w14:textId="77777777" w:rsidR="004517FE" w:rsidRDefault="00F6601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Regresando al análisis de la s</w:t>
      </w:r>
      <w:r>
        <w:rPr>
          <w:rFonts w:ascii="Palatino Linotype" w:eastAsia="Palatino Linotype" w:hAnsi="Palatino Linotype" w:cs="Palatino Linotype"/>
        </w:rPr>
        <w:t xml:space="preserve">olicitud que requiere conocer cuánto se le adeuda a todos y cada uno de los proveedores del Ayuntamiento, se procede al análisis del ambito competencial del SUJETO OBLIGADO para generar, poseer o administrar la información solicitada, en este sentido debe </w:t>
      </w:r>
      <w:r>
        <w:rPr>
          <w:rFonts w:ascii="Palatino Linotype" w:eastAsia="Palatino Linotype" w:hAnsi="Palatino Linotype" w:cs="Palatino Linotype"/>
        </w:rPr>
        <w:t xml:space="preserve">destacarse que, de manera enunciativa más no limitativa dicha información pudiera obrar  en </w:t>
      </w:r>
      <w:r>
        <w:rPr>
          <w:rFonts w:ascii="Palatino Linotype" w:eastAsia="Palatino Linotype" w:hAnsi="Palatino Linotype" w:cs="Palatino Linotype"/>
          <w:b/>
        </w:rPr>
        <w:t>balanza de comprobación detallada</w:t>
      </w:r>
      <w:r>
        <w:rPr>
          <w:rFonts w:ascii="Palatino Linotype" w:eastAsia="Palatino Linotype" w:hAnsi="Palatino Linotype" w:cs="Palatino Linotype"/>
        </w:rPr>
        <w:t xml:space="preserve">, que en observancia a lo dispuesto por el </w:t>
      </w:r>
      <w:r>
        <w:rPr>
          <w:rFonts w:ascii="Palatino Linotype" w:eastAsia="Palatino Linotype" w:hAnsi="Palatino Linotype" w:cs="Palatino Linotype"/>
          <w:i/>
        </w:rPr>
        <w:t>“Acuerdo 008/2021 por el que se emiten las políticas, fechas de capacitación y calendari</w:t>
      </w:r>
      <w:r>
        <w:rPr>
          <w:rFonts w:ascii="Palatino Linotype" w:eastAsia="Palatino Linotype" w:hAnsi="Palatino Linotype" w:cs="Palatino Linotype"/>
          <w:i/>
        </w:rPr>
        <w:t>zación de entrega de los informes trimestrales de los Sujetos de Fiscalización del Estado de México, del ejercicio fiscal 2021”</w:t>
      </w:r>
      <w:r>
        <w:rPr>
          <w:rFonts w:ascii="Palatino Linotype" w:eastAsia="Palatino Linotype" w:hAnsi="Palatino Linotype" w:cs="Palatino Linotype"/>
        </w:rPr>
        <w:t xml:space="preserve">, publicado en Periódico Oficial Gaceta del Gobierno del Estado </w:t>
      </w:r>
      <w:r>
        <w:rPr>
          <w:rFonts w:ascii="Palatino Linotype" w:eastAsia="Palatino Linotype" w:hAnsi="Palatino Linotype" w:cs="Palatino Linotype"/>
        </w:rPr>
        <w:lastRenderedPageBreak/>
        <w:t>Libre y Soberano de México, el día doce de marzo de dos mil veint</w:t>
      </w:r>
      <w:r>
        <w:rPr>
          <w:rFonts w:ascii="Palatino Linotype" w:eastAsia="Palatino Linotype" w:hAnsi="Palatino Linotype" w:cs="Palatino Linotype"/>
        </w:rPr>
        <w:t>iuno, debe ser remitida a través del informe trimestral municipal al Órgano Superior de Fiscalización del Estado de México, y la cual forma parte del módulo 1, correspondiente a la información contable y financiera; conforme a las siguientes imágenes que s</w:t>
      </w:r>
      <w:r>
        <w:rPr>
          <w:rFonts w:ascii="Palatino Linotype" w:eastAsia="Palatino Linotype" w:hAnsi="Palatino Linotype" w:cs="Palatino Linotype"/>
        </w:rPr>
        <w:t>e insertan a continuación:</w:t>
      </w:r>
    </w:p>
    <w:p w14:paraId="7DEA1824" w14:textId="77777777" w:rsidR="004517FE" w:rsidRDefault="00F6601E" w:rsidP="007145DD">
      <w:pPr>
        <w:spacing w:line="360" w:lineRule="auto"/>
        <w:ind w:right="51"/>
        <w:jc w:val="center"/>
        <w:rPr>
          <w:rFonts w:ascii="Palatino Linotype" w:eastAsia="Palatino Linotype" w:hAnsi="Palatino Linotype" w:cs="Palatino Linotype"/>
        </w:rPr>
      </w:pPr>
      <w:bookmarkStart w:id="3" w:name="_GoBack"/>
      <w:r>
        <w:rPr>
          <w:rFonts w:ascii="Palatino Linotype" w:eastAsia="Palatino Linotype" w:hAnsi="Palatino Linotype" w:cs="Palatino Linotype"/>
          <w:noProof/>
        </w:rPr>
        <w:drawing>
          <wp:inline distT="0" distB="0" distL="0" distR="0" wp14:anchorId="1F025F1C" wp14:editId="39078A4B">
            <wp:extent cx="4433895" cy="5232440"/>
            <wp:effectExtent l="0" t="0" r="1143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437563" cy="5236769"/>
                    </a:xfrm>
                    <a:prstGeom prst="rect">
                      <a:avLst/>
                    </a:prstGeom>
                    <a:ln/>
                  </pic:spPr>
                </pic:pic>
              </a:graphicData>
            </a:graphic>
          </wp:inline>
        </w:drawing>
      </w:r>
      <w:bookmarkEnd w:id="3"/>
    </w:p>
    <w:p w14:paraId="18AD1078" w14:textId="77777777" w:rsidR="004517FE" w:rsidRDefault="004517FE">
      <w:pPr>
        <w:spacing w:line="360" w:lineRule="auto"/>
        <w:jc w:val="both"/>
        <w:rPr>
          <w:rFonts w:ascii="Palatino Linotype" w:eastAsia="Palatino Linotype" w:hAnsi="Palatino Linotype" w:cs="Palatino Linotype"/>
        </w:rPr>
      </w:pPr>
    </w:p>
    <w:p w14:paraId="425D9AF1" w14:textId="77777777" w:rsidR="004517FE" w:rsidRDefault="00F6601E">
      <w:pPr>
        <w:spacing w:line="360" w:lineRule="auto"/>
        <w:jc w:val="both"/>
        <w:rPr>
          <w:rFonts w:ascii="Palatino Linotype" w:eastAsia="Palatino Linotype" w:hAnsi="Palatino Linotype" w:cs="Palatino Linotype"/>
        </w:rPr>
      </w:pPr>
      <w:r>
        <w:rPr>
          <w:noProof/>
        </w:rPr>
        <w:lastRenderedPageBreak/>
        <w:drawing>
          <wp:inline distT="0" distB="0" distL="0" distR="0" wp14:anchorId="2574417E" wp14:editId="78014A86">
            <wp:extent cx="5578866" cy="5688402"/>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6631" t="9782" r="2053" b="33035"/>
                    <a:stretch>
                      <a:fillRect/>
                    </a:stretch>
                  </pic:blipFill>
                  <pic:spPr>
                    <a:xfrm>
                      <a:off x="0" y="0"/>
                      <a:ext cx="5578866" cy="5688402"/>
                    </a:xfrm>
                    <a:prstGeom prst="rect">
                      <a:avLst/>
                    </a:prstGeom>
                    <a:ln/>
                  </pic:spPr>
                </pic:pic>
              </a:graphicData>
            </a:graphic>
          </wp:inline>
        </w:drawing>
      </w:r>
      <w:r>
        <w:t xml:space="preserve"> </w:t>
      </w:r>
    </w:p>
    <w:p w14:paraId="1C0DF71B" w14:textId="77777777" w:rsidR="004517FE" w:rsidRDefault="00F6601E">
      <w:pPr>
        <w:spacing w:line="360" w:lineRule="auto"/>
        <w:jc w:val="both"/>
      </w:pPr>
      <w:r>
        <w:rPr>
          <w:rFonts w:ascii="Palatino Linotype" w:eastAsia="Palatino Linotype" w:hAnsi="Palatino Linotype" w:cs="Palatino Linotype"/>
        </w:rPr>
        <w:t>En razón de que la balanza de comprobación, contienen los datos de la cuenta; nombre de la cuenta; saldo inicial que registra cuáles son los saldos iniciales de dichas cuentas, según sean saldos deudores o saldos acreedores; movimientos, que reflejan los m</w:t>
      </w:r>
      <w:r>
        <w:rPr>
          <w:rFonts w:ascii="Palatino Linotype" w:eastAsia="Palatino Linotype" w:hAnsi="Palatino Linotype" w:cs="Palatino Linotype"/>
        </w:rPr>
        <w:t xml:space="preserve">ovimientos Debe o Haber que se han realizado a las cuentas cada mes; </w:t>
      </w:r>
      <w:r>
        <w:rPr>
          <w:rFonts w:ascii="Palatino Linotype" w:eastAsia="Palatino Linotype" w:hAnsi="Palatino Linotype" w:cs="Palatino Linotype"/>
        </w:rPr>
        <w:lastRenderedPageBreak/>
        <w:t>saldo, que presenta el saldo de cada cuenta tras los movimientos contables; saldo final, que registra los saldos finales de dichas cuentas, según sean saldos deudores o saldos acreedores;</w:t>
      </w:r>
      <w:r>
        <w:rPr>
          <w:rFonts w:ascii="Palatino Linotype" w:eastAsia="Palatino Linotype" w:hAnsi="Palatino Linotype" w:cs="Palatino Linotype"/>
        </w:rPr>
        <w:t xml:space="preserve"> y total que presenta el saldo de cada cuenta tras los movimientos contables.</w:t>
      </w:r>
    </w:p>
    <w:p w14:paraId="5ECD7B55" w14:textId="77777777" w:rsidR="004517FE" w:rsidRDefault="004517FE">
      <w:pPr>
        <w:spacing w:line="360" w:lineRule="auto"/>
        <w:jc w:val="both"/>
        <w:rPr>
          <w:rFonts w:ascii="Palatino Linotype" w:eastAsia="Palatino Linotype" w:hAnsi="Palatino Linotype" w:cs="Palatino Linotype"/>
        </w:rPr>
      </w:pPr>
    </w:p>
    <w:p w14:paraId="0C015262"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 importante referir que la </w:t>
      </w:r>
      <w:r>
        <w:rPr>
          <w:rFonts w:ascii="Palatino Linotype" w:eastAsia="Palatino Linotype" w:hAnsi="Palatino Linotype" w:cs="Palatino Linotype"/>
          <w:b/>
        </w:rPr>
        <w:t xml:space="preserve">balanza de comprobación detallada </w:t>
      </w:r>
      <w:r>
        <w:rPr>
          <w:rFonts w:ascii="Palatino Linotype" w:eastAsia="Palatino Linotype" w:hAnsi="Palatino Linotype" w:cs="Palatino Linotype"/>
        </w:rPr>
        <w:t>es parte integrante también de la Cuenta Pública la cual, conforme al artículo 352 del Códig</w:t>
      </w:r>
      <w:r>
        <w:rPr>
          <w:rFonts w:ascii="Palatino Linotype" w:eastAsia="Palatino Linotype" w:hAnsi="Palatino Linotype" w:cs="Palatino Linotype"/>
        </w:rPr>
        <w:t xml:space="preserve">o Financiero del Estado de México, se encuentra integrada de la siguiente manera: </w:t>
      </w:r>
    </w:p>
    <w:p w14:paraId="29C23FA9" w14:textId="77777777" w:rsidR="004517FE" w:rsidRDefault="004517FE">
      <w:pPr>
        <w:spacing w:line="360" w:lineRule="auto"/>
        <w:jc w:val="both"/>
        <w:rPr>
          <w:rFonts w:ascii="Palatino Linotype" w:eastAsia="Palatino Linotype" w:hAnsi="Palatino Linotype" w:cs="Palatino Linotype"/>
        </w:rPr>
      </w:pPr>
    </w:p>
    <w:p w14:paraId="1C1109DE"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352.-</w:t>
      </w:r>
      <w:r>
        <w:rPr>
          <w:rFonts w:ascii="Palatino Linotype" w:eastAsia="Palatino Linotype" w:hAnsi="Palatino Linotype" w:cs="Palatino Linotype"/>
          <w:i/>
          <w:sz w:val="22"/>
          <w:szCs w:val="22"/>
        </w:rPr>
        <w:t xml:space="preserve"> La cuenta pública se constituye por la información económica, patrimonial, presupuestal, programática, cualitativa y cuantitativa que muestre los resultados</w:t>
      </w:r>
      <w:r>
        <w:rPr>
          <w:rFonts w:ascii="Palatino Linotype" w:eastAsia="Palatino Linotype" w:hAnsi="Palatino Linotype" w:cs="Palatino Linotype"/>
          <w:i/>
          <w:sz w:val="22"/>
          <w:szCs w:val="22"/>
        </w:rPr>
        <w:t xml:space="preserve"> de la ejecución de la Ley de Ingresos y del Presupuesto de Egresos. </w:t>
      </w:r>
    </w:p>
    <w:p w14:paraId="54B44A76"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Secretaría y las Tesorerías, proporcionarán la información complementaria requerida por los Órganos de Fiscalización locales y federales, según corresponda, para el análisis y evaluac</w:t>
      </w:r>
      <w:r>
        <w:rPr>
          <w:rFonts w:ascii="Palatino Linotype" w:eastAsia="Palatino Linotype" w:hAnsi="Palatino Linotype" w:cs="Palatino Linotype"/>
          <w:i/>
          <w:sz w:val="22"/>
          <w:szCs w:val="22"/>
        </w:rPr>
        <w:t xml:space="preserve">ión de la cuenta pública correspondiente. </w:t>
      </w:r>
    </w:p>
    <w:p w14:paraId="23996F47"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formato de entrega de las Cuentas Públicas del Estado y de los Municipios, deberá ser congruente, contener el mismo nivel de desglose y mantener la debida correlación con respecto a los formatos del Presupuesto</w:t>
      </w:r>
      <w:r>
        <w:rPr>
          <w:rFonts w:ascii="Palatino Linotype" w:eastAsia="Palatino Linotype" w:hAnsi="Palatino Linotype" w:cs="Palatino Linotype"/>
          <w:i/>
          <w:sz w:val="22"/>
          <w:szCs w:val="22"/>
        </w:rPr>
        <w:t xml:space="preserve"> de Egresos del Estado y de los Municipios respectivamente, para lograr una mejor claridad, comprensión y transparencia en la revisión y fiscalización por parte del Órgano Superior de Fiscalización del Estado de México</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504ECB89" w14:textId="77777777" w:rsidR="004517FE" w:rsidRDefault="004517FE">
      <w:pPr>
        <w:spacing w:line="360" w:lineRule="auto"/>
        <w:jc w:val="both"/>
        <w:rPr>
          <w:rFonts w:ascii="Palatino Linotype" w:eastAsia="Palatino Linotype" w:hAnsi="Palatino Linotype" w:cs="Palatino Linotype"/>
        </w:rPr>
      </w:pPr>
    </w:p>
    <w:p w14:paraId="79E33150"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la Ley de Fisca</w:t>
      </w:r>
      <w:r>
        <w:rPr>
          <w:rFonts w:ascii="Palatino Linotype" w:eastAsia="Palatino Linotype" w:hAnsi="Palatino Linotype" w:cs="Palatino Linotype"/>
        </w:rPr>
        <w:t>lización Superior del Estado de México en su artículo 32, párrafos segundo y tercero señala:</w:t>
      </w:r>
    </w:p>
    <w:p w14:paraId="1BE7D582" w14:textId="77777777" w:rsidR="004517FE" w:rsidRDefault="004517FE">
      <w:pPr>
        <w:ind w:left="851" w:right="850"/>
        <w:jc w:val="both"/>
        <w:rPr>
          <w:rFonts w:ascii="Palatino Linotype" w:eastAsia="Palatino Linotype" w:hAnsi="Palatino Linotype" w:cs="Palatino Linotype"/>
          <w:i/>
          <w:sz w:val="22"/>
          <w:szCs w:val="22"/>
        </w:rPr>
      </w:pPr>
    </w:p>
    <w:p w14:paraId="27F6910E" w14:textId="77777777" w:rsidR="004517FE" w:rsidRDefault="00F6601E">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Presidentes Municipales presentarán a la Legislatura las cuentas públicas anuales de sus respectivos municipios, del ejercicio fiscal inmediato anterior, </w:t>
      </w:r>
      <w:r>
        <w:rPr>
          <w:rFonts w:ascii="Palatino Linotype" w:eastAsia="Palatino Linotype" w:hAnsi="Palatino Linotype" w:cs="Palatino Linotype"/>
          <w:i/>
          <w:sz w:val="22"/>
          <w:szCs w:val="22"/>
        </w:rPr>
        <w:lastRenderedPageBreak/>
        <w:t>de</w:t>
      </w:r>
      <w:r>
        <w:rPr>
          <w:rFonts w:ascii="Palatino Linotype" w:eastAsia="Palatino Linotype" w:hAnsi="Palatino Linotype" w:cs="Palatino Linotype"/>
          <w:i/>
          <w:sz w:val="22"/>
          <w:szCs w:val="22"/>
        </w:rPr>
        <w:t>ntro de los quince primeros días del mes de marzo de cada año; asimismo…" (Sic)</w:t>
      </w:r>
    </w:p>
    <w:p w14:paraId="39277BBC" w14:textId="77777777" w:rsidR="004517FE" w:rsidRDefault="00F6601E">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cuentas públicas deberán presentarse conforme a lo establecido en la Ley General de Contabilidad Gubernamental, Ley de Disciplina Financiera delas Entidades Federativas y l</w:t>
      </w:r>
      <w:r>
        <w:rPr>
          <w:rFonts w:ascii="Palatino Linotype" w:eastAsia="Palatino Linotype" w:hAnsi="Palatino Linotype" w:cs="Palatino Linotype"/>
          <w:i/>
          <w:sz w:val="22"/>
          <w:szCs w:val="22"/>
        </w:rPr>
        <w:t>os Municipios y demás disposiciones aplicables…” (Sic)</w:t>
      </w:r>
    </w:p>
    <w:p w14:paraId="3AC2B73C"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robustece con el concepto emitido por el Servicio de Administración Tributaria de la Secretaría de Hacienda y Crédito Público del Gobierno Federal, en su página oficial, así como para que sir</w:t>
      </w:r>
      <w:r>
        <w:rPr>
          <w:rFonts w:ascii="Palatino Linotype" w:eastAsia="Palatino Linotype" w:hAnsi="Palatino Linotype" w:cs="Palatino Linotype"/>
        </w:rPr>
        <w:t>ve, como se observa en la siguiente imagen:</w:t>
      </w:r>
    </w:p>
    <w:p w14:paraId="5AFC4DC4" w14:textId="77777777" w:rsidR="004517FE" w:rsidRDefault="00F6601E">
      <w:pPr>
        <w:spacing w:before="240" w:after="240" w:line="360" w:lineRule="auto"/>
        <w:jc w:val="both"/>
        <w:rPr>
          <w:rFonts w:ascii="Palatino Linotype" w:eastAsia="Palatino Linotype" w:hAnsi="Palatino Linotype" w:cs="Palatino Linotype"/>
        </w:rPr>
      </w:pPr>
      <w:r>
        <w:rPr>
          <w:noProof/>
        </w:rPr>
        <w:drawing>
          <wp:inline distT="0" distB="0" distL="0" distR="0" wp14:anchorId="6494E905" wp14:editId="3FBC45D9">
            <wp:extent cx="5530850" cy="3803650"/>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8319" t="7282" r="17965" b="22733"/>
                    <a:stretch>
                      <a:fillRect/>
                    </a:stretch>
                  </pic:blipFill>
                  <pic:spPr>
                    <a:xfrm>
                      <a:off x="0" y="0"/>
                      <a:ext cx="5530850" cy="380365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34D0784A" wp14:editId="3CA37C49">
                <wp:simplePos x="0" y="0"/>
                <wp:positionH relativeFrom="column">
                  <wp:posOffset>520700</wp:posOffset>
                </wp:positionH>
                <wp:positionV relativeFrom="paragraph">
                  <wp:posOffset>3517900</wp:posOffset>
                </wp:positionV>
                <wp:extent cx="4505325" cy="269875"/>
                <wp:effectExtent l="0" t="0" r="0" b="0"/>
                <wp:wrapNone/>
                <wp:docPr id="22" name="Rectángulo 22"/>
                <wp:cNvGraphicFramePr/>
                <a:graphic xmlns:a="http://schemas.openxmlformats.org/drawingml/2006/main">
                  <a:graphicData uri="http://schemas.microsoft.com/office/word/2010/wordprocessingShape">
                    <wps:wsp>
                      <wps:cNvSpPr/>
                      <wps:spPr>
                        <a:xfrm>
                          <a:off x="3107625" y="3659350"/>
                          <a:ext cx="4476750" cy="241300"/>
                        </a:xfrm>
                        <a:prstGeom prst="rect">
                          <a:avLst/>
                        </a:prstGeom>
                        <a:noFill/>
                        <a:ln w="28575" cap="flat" cmpd="sng">
                          <a:solidFill>
                            <a:srgbClr val="395E89"/>
                          </a:solidFill>
                          <a:prstDash val="solid"/>
                          <a:round/>
                          <a:headEnd type="none" w="sm" len="sm"/>
                          <a:tailEnd type="none" w="sm" len="sm"/>
                        </a:ln>
                      </wps:spPr>
                      <wps:txbx>
                        <w:txbxContent>
                          <w:p w14:paraId="44B77596" w14:textId="77777777" w:rsidR="004517FE" w:rsidRDefault="004517F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3517900</wp:posOffset>
                </wp:positionV>
                <wp:extent cx="4505325" cy="269875"/>
                <wp:effectExtent b="0" l="0" r="0" t="0"/>
                <wp:wrapNone/>
                <wp:docPr id="22"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505325" cy="269875"/>
                        </a:xfrm>
                        <a:prstGeom prst="rect"/>
                        <a:ln/>
                      </pic:spPr>
                    </pic:pic>
                  </a:graphicData>
                </a:graphic>
              </wp:anchor>
            </w:drawing>
          </mc:Fallback>
        </mc:AlternateContent>
      </w:r>
    </w:p>
    <w:p w14:paraId="1C40314C"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cuenta con un documento en el que consta el adeudo que tiene el Ayuntamiento con diversos proveedores por el cual puede colmar el derecho de acceso a la información ejercido por el particular.</w:t>
      </w:r>
    </w:p>
    <w:p w14:paraId="65AFE2F6" w14:textId="77777777" w:rsidR="004517FE" w:rsidRDefault="00F6601E">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Conforme a lo anterior, se logra vislumbrar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debió proporcionar la información que obra en sus archivos y dar cuenta del monto que se les debía a cada uno de los proveedores del Ayuntamiento, dicha situación toma sustento en el artículo 12 de la Ley de Transparencia y Acceso a la I</w:t>
      </w:r>
      <w:r>
        <w:rPr>
          <w:rFonts w:ascii="Palatino Linotype" w:eastAsia="Palatino Linotype" w:hAnsi="Palatino Linotype" w:cs="Palatino Linotype"/>
          <w:color w:val="000000"/>
        </w:rPr>
        <w:t xml:space="preserve">nformación Pública del Estado de México y Municipios antes citado, que establece que los sujetos obligados sólo están constreñidos a proporcionar la información pública que obre en sus archivos, en el estado en que esta se encuentre. </w:t>
      </w:r>
    </w:p>
    <w:p w14:paraId="27A2D39B" w14:textId="77777777" w:rsidR="004517FE" w:rsidRDefault="00F660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Derivado de lo anteri</w:t>
      </w:r>
      <w:r>
        <w:rPr>
          <w:rFonts w:ascii="Palatino Linotype" w:eastAsia="Palatino Linotype" w:hAnsi="Palatino Linotype" w:cs="Palatino Linotype"/>
          <w:color w:val="000000"/>
        </w:rPr>
        <w:t xml:space="preserve">or, se puede advertir que existe fuente obligacional que constriñe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generar la información requerida por el particular; pues como ya se mencionó la balanza de comprobación detallada es el documento idóneo que de manera enunciativa más n</w:t>
      </w:r>
      <w:r>
        <w:rPr>
          <w:rFonts w:ascii="Palatino Linotype" w:eastAsia="Palatino Linotype" w:hAnsi="Palatino Linotype" w:cs="Palatino Linotype"/>
          <w:color w:val="000000"/>
        </w:rPr>
        <w:t>o limitativa pudiera colmar el</w:t>
      </w:r>
    </w:p>
    <w:p w14:paraId="2C9CABCA" w14:textId="77777777" w:rsidR="004517FE" w:rsidRDefault="00F660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requerimiento del particular; pues éste es entregado de manera trimestral al Órgano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Superior de Fiscalización del Estado de México, mismo que debe ser elaborado de manera mensual y que también es parte para la integración de </w:t>
      </w:r>
      <w:r>
        <w:rPr>
          <w:rFonts w:ascii="Palatino Linotype" w:eastAsia="Palatino Linotype" w:hAnsi="Palatino Linotype" w:cs="Palatino Linotype"/>
          <w:color w:val="000000"/>
        </w:rPr>
        <w:t>la cuenta pública.</w:t>
      </w:r>
    </w:p>
    <w:p w14:paraId="11772CFE" w14:textId="77777777" w:rsidR="004517FE" w:rsidRDefault="004517FE">
      <w:pPr>
        <w:spacing w:line="360" w:lineRule="auto"/>
        <w:jc w:val="both"/>
        <w:rPr>
          <w:rFonts w:ascii="Palatino Linotype" w:eastAsia="Palatino Linotype" w:hAnsi="Palatino Linotype" w:cs="Palatino Linotype"/>
          <w:color w:val="000000"/>
        </w:rPr>
      </w:pPr>
    </w:p>
    <w:p w14:paraId="2405C020" w14:textId="77777777" w:rsidR="004517FE" w:rsidRDefault="00F6601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este Órgano Garante determina ordenar de ser procedente en versión pública el o los documentos donde conste el monto adeudado a cada uno de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los proveedores al veinte de septiembre de dos mil veintiuno, fecha en que fue </w:t>
      </w:r>
      <w:r>
        <w:rPr>
          <w:rFonts w:ascii="Palatino Linotype" w:eastAsia="Palatino Linotype" w:hAnsi="Palatino Linotype" w:cs="Palatino Linotype"/>
          <w:color w:val="000000"/>
        </w:rPr>
        <w:t xml:space="preserve">presentada la solicitud por el </w:t>
      </w:r>
      <w:proofErr w:type="gramStart"/>
      <w:r>
        <w:rPr>
          <w:rFonts w:ascii="Palatino Linotype" w:eastAsia="Palatino Linotype" w:hAnsi="Palatino Linotype" w:cs="Palatino Linotype"/>
          <w:color w:val="000000"/>
        </w:rPr>
        <w:t xml:space="preserve">hoy  </w:t>
      </w:r>
      <w:r>
        <w:rPr>
          <w:rFonts w:ascii="Palatino Linotype" w:eastAsia="Palatino Linotype" w:hAnsi="Palatino Linotype" w:cs="Palatino Linotype"/>
          <w:b/>
          <w:color w:val="000000"/>
        </w:rPr>
        <w:t>RECURRENTE</w:t>
      </w:r>
      <w:proofErr w:type="gramEnd"/>
      <w:r>
        <w:rPr>
          <w:rFonts w:ascii="Palatino Linotype" w:eastAsia="Palatino Linotype" w:hAnsi="Palatino Linotype" w:cs="Palatino Linotype"/>
          <w:b/>
          <w:color w:val="000000"/>
        </w:rPr>
        <w:t>.</w:t>
      </w:r>
    </w:p>
    <w:p w14:paraId="0BA859C7" w14:textId="77777777" w:rsidR="004517FE" w:rsidRDefault="004517FE">
      <w:pPr>
        <w:spacing w:line="360" w:lineRule="auto"/>
        <w:jc w:val="both"/>
        <w:rPr>
          <w:rFonts w:ascii="Palatino Linotype" w:eastAsia="Palatino Linotype" w:hAnsi="Palatino Linotype" w:cs="Palatino Linotype"/>
        </w:rPr>
      </w:pPr>
    </w:p>
    <w:p w14:paraId="5488EC14" w14:textId="77777777" w:rsidR="004517FE" w:rsidRDefault="00F6601E">
      <w:pPr>
        <w:spacing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rPr>
        <w:t>Agotado lo previo, cabe precisar que en la información que puede dar cuenta de lo solicitado puede obrar algún dato personal de carácter confidencial, por lo que deberá hacer entrega de la información en ver</w:t>
      </w:r>
      <w:r>
        <w:rPr>
          <w:rFonts w:ascii="Palatino Linotype" w:eastAsia="Palatino Linotype" w:hAnsi="Palatino Linotype" w:cs="Palatino Linotype"/>
        </w:rPr>
        <w:t xml:space="preserve">sión pública acompañada del acuerdo </w:t>
      </w:r>
      <w:r>
        <w:rPr>
          <w:rFonts w:ascii="Palatino Linotype" w:eastAsia="Palatino Linotype" w:hAnsi="Palatino Linotype" w:cs="Palatino Linotype"/>
        </w:rPr>
        <w:lastRenderedPageBreak/>
        <w:t>que para tales efectos emita su Comité de Transparencia de conformidad con los artículos 49, fracciones II y VIII, 143, fracción I y 149 de la Ley de Transparencia y Acceso a la Información Pública del Estado de México y</w:t>
      </w:r>
      <w:r>
        <w:rPr>
          <w:rFonts w:ascii="Palatino Linotype" w:eastAsia="Palatino Linotype" w:hAnsi="Palatino Linotype" w:cs="Palatino Linotype"/>
        </w:rPr>
        <w:t xml:space="preserve"> Municipios, que será analizado a continuación.</w:t>
      </w:r>
    </w:p>
    <w:p w14:paraId="23D58B5E" w14:textId="77777777" w:rsidR="004517FE" w:rsidRDefault="004517FE">
      <w:pPr>
        <w:spacing w:line="360" w:lineRule="auto"/>
        <w:jc w:val="both"/>
        <w:rPr>
          <w:rFonts w:ascii="Palatino Linotype" w:eastAsia="Palatino Linotype" w:hAnsi="Palatino Linotype" w:cs="Palatino Linotype"/>
        </w:rPr>
      </w:pPr>
    </w:p>
    <w:p w14:paraId="52504F4B" w14:textId="77777777" w:rsidR="004517FE" w:rsidRDefault="00F6601E">
      <w:pPr>
        <w:spacing w:line="360" w:lineRule="auto"/>
        <w:jc w:val="both"/>
        <w:rPr>
          <w:rFonts w:ascii="Palatino Linotype" w:eastAsia="Palatino Linotype" w:hAnsi="Palatino Linotype" w:cs="Palatino Linotype"/>
        </w:rPr>
      </w:pPr>
      <w:bookmarkStart w:id="5" w:name="_heading=h.3dy6vkm" w:colFirst="0" w:colLast="0"/>
      <w:bookmarkEnd w:id="5"/>
      <w:r>
        <w:rPr>
          <w:rFonts w:ascii="Palatino Linotype" w:eastAsia="Palatino Linotype" w:hAnsi="Palatino Linotype" w:cs="Palatino Linotype"/>
          <w:b/>
        </w:rPr>
        <w:t>Quinto. Versión Pública.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Para el caso de que el o los documentos de los cuales se ordena su entrega, contienen datos personales susceptibles de ser testados, deberán ser entregados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pues, </w:t>
      </w:r>
      <w:r>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w:t>
      </w:r>
      <w:r>
        <w:rPr>
          <w:rFonts w:ascii="Palatino Linotype" w:eastAsia="Palatino Linotype" w:hAnsi="Palatino Linotype" w:cs="Palatino Linotype"/>
        </w:rPr>
        <w:t>s y únicamente se den a conocer aquéllos que abonen a la rendición de cuentas y a la transparencia en el ejercicio de las atribuciones que tienen conferidas. De este modo, en armonía entre los principios constitucionales de máxima publicidad y de protecció</w:t>
      </w:r>
      <w:r>
        <w:rPr>
          <w:rFonts w:ascii="Palatino Linotype" w:eastAsia="Palatino Linotype" w:hAnsi="Palatino Linotype" w:cs="Palatino Linotype"/>
        </w:rPr>
        <w:t>n de datos personales, la ley permite la elaboración de versiones públicas en las que se suprima aquella información relacionada con la vida privada de los particulares.</w:t>
      </w:r>
    </w:p>
    <w:p w14:paraId="6DFEC849" w14:textId="77777777" w:rsidR="004517FE" w:rsidRDefault="004517FE">
      <w:pPr>
        <w:spacing w:line="360" w:lineRule="auto"/>
        <w:jc w:val="both"/>
        <w:rPr>
          <w:rFonts w:ascii="Palatino Linotype" w:eastAsia="Palatino Linotype" w:hAnsi="Palatino Linotype" w:cs="Palatino Linotype"/>
        </w:rPr>
      </w:pPr>
    </w:p>
    <w:p w14:paraId="625682C4"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este respecto, los artículos 3, fracciones IX, XX, XXI y XLV; 51 y 52 de la Ley de </w:t>
      </w:r>
      <w:r>
        <w:rPr>
          <w:rFonts w:ascii="Palatino Linotype" w:eastAsia="Palatino Linotype" w:hAnsi="Palatino Linotype" w:cs="Palatino Linotype"/>
        </w:rPr>
        <w:t>Transparencia y Acceso a la Información Pública del Estado de México y Municipios establecen:</w:t>
      </w:r>
    </w:p>
    <w:p w14:paraId="2BE388EC" w14:textId="77777777" w:rsidR="004517FE" w:rsidRDefault="004517FE">
      <w:pPr>
        <w:ind w:right="899"/>
        <w:jc w:val="both"/>
        <w:rPr>
          <w:rFonts w:ascii="Palatino Linotype" w:eastAsia="Palatino Linotype" w:hAnsi="Palatino Linotype" w:cs="Palatino Linotype"/>
        </w:rPr>
      </w:pPr>
    </w:p>
    <w:p w14:paraId="530898E7" w14:textId="77777777" w:rsidR="004517FE" w:rsidRDefault="00F6601E">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 xml:space="preserve">Para los efectos de la presente Ley se entenderá por: </w:t>
      </w:r>
    </w:p>
    <w:p w14:paraId="0BDEC796"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Datos personales: </w:t>
      </w:r>
      <w:r>
        <w:rPr>
          <w:rFonts w:ascii="Palatino Linotype" w:eastAsia="Palatino Linotype" w:hAnsi="Palatino Linotype" w:cs="Palatino Linotype"/>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 </w:t>
      </w:r>
    </w:p>
    <w:p w14:paraId="7C9B8E05"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clasificada:</w:t>
      </w:r>
      <w:r>
        <w:rPr>
          <w:rFonts w:ascii="Palatino Linotype" w:eastAsia="Palatino Linotype" w:hAnsi="Palatino Linotype" w:cs="Palatino Linotype"/>
          <w:i/>
          <w:sz w:val="22"/>
          <w:szCs w:val="22"/>
        </w:rPr>
        <w:t xml:space="preserve"> Aquella considerada por la presente Ley como reservada o confidencial; </w:t>
      </w:r>
    </w:p>
    <w:p w14:paraId="76A44F6C"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Información confidencial</w:t>
      </w:r>
      <w:r>
        <w:rPr>
          <w:rFonts w:ascii="Palatino Linotype" w:eastAsia="Palatino Linotype" w:hAnsi="Palatino Linotype" w:cs="Palatino Linotype"/>
          <w:i/>
          <w:sz w:val="22"/>
          <w:szCs w:val="22"/>
        </w:rPr>
        <w:t xml:space="preserve">: Se considera como información confidencial los </w:t>
      </w:r>
      <w:proofErr w:type="gramStart"/>
      <w:r>
        <w:rPr>
          <w:rFonts w:ascii="Palatino Linotype" w:eastAsia="Palatino Linotype" w:hAnsi="Palatino Linotype" w:cs="Palatino Linotype"/>
          <w:i/>
          <w:sz w:val="22"/>
          <w:szCs w:val="22"/>
        </w:rPr>
        <w:t>secretos bancario</w:t>
      </w:r>
      <w:proofErr w:type="gramEnd"/>
      <w:r>
        <w:rPr>
          <w:rFonts w:ascii="Palatino Linotype" w:eastAsia="Palatino Linotype" w:hAnsi="Palatino Linotype" w:cs="Palatino Linotype"/>
          <w:i/>
          <w:sz w:val="22"/>
          <w:szCs w:val="22"/>
        </w:rPr>
        <w:t>, fiduciario, industrial, comercial, fiscal, bursátil y postal, cuya titularidad corresponda a particulares, sujetos de derecho internacional o a sujetos obligados cuando no involucren el ej</w:t>
      </w:r>
      <w:r>
        <w:rPr>
          <w:rFonts w:ascii="Palatino Linotype" w:eastAsia="Palatino Linotype" w:hAnsi="Palatino Linotype" w:cs="Palatino Linotype"/>
          <w:i/>
          <w:sz w:val="22"/>
          <w:szCs w:val="22"/>
        </w:rPr>
        <w:t xml:space="preserve">ercicio de recursos públicos; </w:t>
      </w:r>
    </w:p>
    <w:p w14:paraId="1887DAF2"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2EE7415E"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Los sujetos obligados designaran a un responsable para aten</w:t>
      </w:r>
      <w:r>
        <w:rPr>
          <w:rFonts w:ascii="Palatino Linotype" w:eastAsia="Palatino Linotype" w:hAnsi="Palatino Linotype" w:cs="Palatino Linotype"/>
          <w:i/>
          <w:sz w:val="22"/>
          <w:szCs w:val="22"/>
        </w:rPr>
        <w:t xml:space="preserve">der la Unidad de Transparencia, quien fungirá como enlace entre éstos y los solicitantes. Dicha Unidad será la encargada de tramitar internamente la solicitud de información </w:t>
      </w:r>
      <w:r>
        <w:rPr>
          <w:rFonts w:ascii="Palatino Linotype" w:eastAsia="Palatino Linotype" w:hAnsi="Palatino Linotype" w:cs="Palatino Linotype"/>
          <w:b/>
          <w:i/>
          <w:sz w:val="22"/>
          <w:szCs w:val="22"/>
        </w:rPr>
        <w:t>y tendrá la responsabilidad de verificar en cada caso que la misma no sea confiden</w:t>
      </w:r>
      <w:r>
        <w:rPr>
          <w:rFonts w:ascii="Palatino Linotype" w:eastAsia="Palatino Linotype" w:hAnsi="Palatino Linotype" w:cs="Palatino Linotype"/>
          <w:b/>
          <w:i/>
          <w:sz w:val="22"/>
          <w:szCs w:val="22"/>
        </w:rPr>
        <w:t xml:space="preserve">cial o reservada. </w:t>
      </w:r>
      <w:r>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78C3899D" w14:textId="77777777" w:rsidR="004517FE" w:rsidRDefault="00F6601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52.</w:t>
      </w:r>
      <w:r>
        <w:rPr>
          <w:rFonts w:ascii="Palatino Linotype" w:eastAsia="Palatino Linotype" w:hAnsi="Palatino Linotype" w:cs="Palatino Linotype"/>
          <w:i/>
          <w:sz w:val="22"/>
          <w:szCs w:val="22"/>
        </w:rPr>
        <w:t xml:space="preserve"> Las solicitudes de acceso a la información y las respuestas que se les dé, incluyendo, en su caso, </w:t>
      </w:r>
      <w:r>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w:t>
      </w:r>
      <w:r>
        <w:rPr>
          <w:rFonts w:ascii="Palatino Linotype" w:eastAsia="Palatino Linotype" w:hAnsi="Palatino Linotype" w:cs="Palatino Linotype"/>
          <w:i/>
          <w:sz w:val="22"/>
          <w:szCs w:val="22"/>
          <w:u w:val="single"/>
        </w:rPr>
        <w:t>s que deban ser protegidos se podrá dar su acceso en su versión pública</w:t>
      </w:r>
      <w:r>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00833D68" w14:textId="77777777" w:rsidR="004517FE" w:rsidRDefault="00F6601E">
      <w:pPr>
        <w:ind w:right="899" w:firstLine="70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5D76B83" w14:textId="77777777" w:rsidR="004517FE" w:rsidRDefault="004517FE">
      <w:pPr>
        <w:ind w:right="899" w:firstLine="708"/>
        <w:jc w:val="both"/>
        <w:rPr>
          <w:rFonts w:ascii="Palatino Linotype" w:eastAsia="Palatino Linotype" w:hAnsi="Palatino Linotype" w:cs="Palatino Linotype"/>
        </w:rPr>
      </w:pPr>
    </w:p>
    <w:p w14:paraId="74446B49"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los </w:t>
      </w:r>
      <w:r>
        <w:rPr>
          <w:rFonts w:ascii="Palatino Linotype" w:eastAsia="Palatino Linotype" w:hAnsi="Palatino Linotype" w:cs="Palatino Linotype"/>
        </w:rPr>
        <w:t>datos personales que obren en poder de los Sujetos Obligados deben estar protegidos, adoptando las medidas de seguridad administrativas, físicas y técnicas necesarias para garantizar la integridad, confidencialidad y disponibilidad de los datos personales,</w:t>
      </w:r>
      <w:r>
        <w:rPr>
          <w:rFonts w:ascii="Palatino Linotype" w:eastAsia="Palatino Linotype" w:hAnsi="Palatino Linotype" w:cs="Palatino Linotype"/>
        </w:rPr>
        <w:t xml:space="preserve"> considerando además, que conforme al principio de finalidad, todo tratamiento de datos personales que efectúen, deberá estar justificado en la Ley, lo anterior en términos de lo dispuesto por el artículo 22, párrafo primero con relación con el 38 de la Le</w:t>
      </w:r>
      <w:r>
        <w:rPr>
          <w:rFonts w:ascii="Palatino Linotype" w:eastAsia="Palatino Linotype" w:hAnsi="Palatino Linotype" w:cs="Palatino Linotype"/>
        </w:rPr>
        <w:t xml:space="preserve">y de Protección de Datos Personales en Posesión de Sujetos </w:t>
      </w:r>
      <w:r>
        <w:rPr>
          <w:rFonts w:ascii="Palatino Linotype" w:eastAsia="Palatino Linotype" w:hAnsi="Palatino Linotype" w:cs="Palatino Linotype"/>
        </w:rPr>
        <w:lastRenderedPageBreak/>
        <w:t xml:space="preserve">Obligados del Estado de México y Municipios, los cuales se transcriben para mayor referencia: </w:t>
      </w:r>
    </w:p>
    <w:p w14:paraId="7FD4CDFF" w14:textId="77777777" w:rsidR="004517FE" w:rsidRDefault="004517FE">
      <w:pPr>
        <w:jc w:val="both"/>
        <w:rPr>
          <w:rFonts w:ascii="Palatino Linotype" w:eastAsia="Palatino Linotype" w:hAnsi="Palatino Linotype" w:cs="Palatino Linotype"/>
        </w:rPr>
      </w:pPr>
    </w:p>
    <w:p w14:paraId="21EFA0DB"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w:t>
      </w:r>
      <w:r>
        <w:rPr>
          <w:rFonts w:ascii="Palatino Linotype" w:eastAsia="Palatino Linotype" w:hAnsi="Palatino Linotype" w:cs="Palatino Linotype"/>
          <w:i/>
          <w:sz w:val="22"/>
          <w:szCs w:val="22"/>
        </w:rPr>
        <w:t xml:space="preserve"> Todo tratamiento de datos personales que efectúe el responsable deberá estar justificad</w:t>
      </w:r>
      <w:r>
        <w:rPr>
          <w:rFonts w:ascii="Palatino Linotype" w:eastAsia="Palatino Linotype" w:hAnsi="Palatino Linotype" w:cs="Palatino Linotype"/>
          <w:i/>
          <w:sz w:val="22"/>
          <w:szCs w:val="22"/>
        </w:rPr>
        <w:t xml:space="preserve">o por finalidades concretas, lícitas, explícitas y legítimas, relacionadas con las atribuciones que la normatividad aplicable les confiera.  </w:t>
      </w:r>
    </w:p>
    <w:p w14:paraId="00FAB6B9"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38.</w:t>
      </w:r>
      <w:r>
        <w:rPr>
          <w:rFonts w:ascii="Palatino Linotype" w:eastAsia="Palatino Linotype" w:hAnsi="Palatino Linotype" w:cs="Palatino Linotype"/>
          <w:i/>
          <w:sz w:val="22"/>
          <w:szCs w:val="22"/>
        </w:rPr>
        <w:t xml:space="preserve"> Con independencia del tipo de sistema y base de datos en el que se encuentren los datos personales o </w:t>
      </w:r>
      <w:r>
        <w:rPr>
          <w:rFonts w:ascii="Palatino Linotype" w:eastAsia="Palatino Linotype" w:hAnsi="Palatino Linotype" w:cs="Palatino Linotype"/>
          <w:i/>
          <w:sz w:val="22"/>
          <w:szCs w:val="22"/>
        </w:rPr>
        <w:t>el tipo de tratamiento que se efectúe, el responsable adoptará, establecerá, mantendrá y documentará las medidas de seguridad administrativas, físicas y técnicas para garantizar la integridad, confidencialidad y disponibilidad de los datos personales, a tr</w:t>
      </w:r>
      <w:r>
        <w:rPr>
          <w:rFonts w:ascii="Palatino Linotype" w:eastAsia="Palatino Linotype" w:hAnsi="Palatino Linotype" w:cs="Palatino Linotype"/>
          <w:i/>
          <w:sz w:val="22"/>
          <w:szCs w:val="22"/>
        </w:rPr>
        <w:t>avés de controles y acciones que eviten su daño, alteración, pérdida, destrucción, o el uso, transferencia, acceso o cualquier tratamiento no autorizado o ilícito, de conformidad con lo dispuesto en los lineamientos que al efecto se expidan.</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w:t>
      </w:r>
    </w:p>
    <w:p w14:paraId="2D407D6C" w14:textId="77777777" w:rsidR="004517FE" w:rsidRDefault="004517FE">
      <w:pPr>
        <w:ind w:left="851" w:right="850"/>
        <w:jc w:val="both"/>
        <w:rPr>
          <w:rFonts w:ascii="Palatino Linotype" w:eastAsia="Palatino Linotype" w:hAnsi="Palatino Linotype" w:cs="Palatino Linotype"/>
          <w:i/>
          <w:sz w:val="22"/>
          <w:szCs w:val="22"/>
        </w:rPr>
      </w:pPr>
    </w:p>
    <w:p w14:paraId="1E186424"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w:t>
      </w:r>
      <w:r>
        <w:rPr>
          <w:rFonts w:ascii="Palatino Linotype" w:eastAsia="Palatino Linotype" w:hAnsi="Palatino Linotype" w:cs="Palatino Linotype"/>
        </w:rPr>
        <w:t>o, en armonía entre los principios constitucionales de máxima publicidad y de protección de datos personales, la Ley de la materia permite la elaboración de versiones públicas en las que se suprima aquella información relacionada con la vida privada de los</w:t>
      </w:r>
      <w:r>
        <w:rPr>
          <w:rFonts w:ascii="Palatino Linotype" w:eastAsia="Palatino Linotype" w:hAnsi="Palatino Linotype" w:cs="Palatino Linotype"/>
        </w:rPr>
        <w:t xml:space="preserve"> particulares toda vez que ésta tiene por objeto proteger datos personales, entendiéndose por tales, aquéllos que hacen identificable a una persona. </w:t>
      </w:r>
    </w:p>
    <w:p w14:paraId="28C67822" w14:textId="77777777" w:rsidR="004517FE" w:rsidRDefault="004517FE">
      <w:pPr>
        <w:spacing w:line="360" w:lineRule="auto"/>
        <w:jc w:val="both"/>
        <w:rPr>
          <w:rFonts w:ascii="Palatino Linotype" w:eastAsia="Palatino Linotype" w:hAnsi="Palatino Linotype" w:cs="Palatino Linotype"/>
        </w:rPr>
      </w:pPr>
    </w:p>
    <w:p w14:paraId="60FB7146"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en virtud de que toda la información relativa a una persona física o jurídico colecti</w:t>
      </w:r>
      <w:r>
        <w:rPr>
          <w:rFonts w:ascii="Palatino Linotype" w:eastAsia="Palatino Linotype" w:hAnsi="Palatino Linotype" w:cs="Palatino Linotype"/>
        </w:rPr>
        <w:t>va que le pueda hacer identificada o identificable constituye un dato personal en términos del artículo 4, fracción XI de la Ley de Protección de Datos Personales en Posesión de Sujetos Obligados del Estado de México y Municipios; por consiguiente, se trat</w:t>
      </w:r>
      <w:r>
        <w:rPr>
          <w:rFonts w:ascii="Palatino Linotype" w:eastAsia="Palatino Linotype" w:hAnsi="Palatino Linotype" w:cs="Palatino Linotype"/>
        </w:rPr>
        <w:t xml:space="preserve">a de información confidencial que debe ser protegida por </w:t>
      </w:r>
      <w:r>
        <w:rPr>
          <w:rFonts w:ascii="Palatino Linotype" w:eastAsia="Palatino Linotype" w:hAnsi="Palatino Linotype" w:cs="Palatino Linotype"/>
          <w:b/>
        </w:rPr>
        <w:lastRenderedPageBreak/>
        <w:t>EL SUJETO OBLIGADO,</w:t>
      </w:r>
      <w:r>
        <w:rPr>
          <w:rFonts w:ascii="Palatino Linotype" w:eastAsia="Palatino Linotype" w:hAnsi="Palatino Linotype" w:cs="Palatino Linotype"/>
        </w:rPr>
        <w:t xml:space="preserve"> por lo que, todo dato personal susceptible de clasificación debe ser protegido.</w:t>
      </w:r>
    </w:p>
    <w:p w14:paraId="2935867A" w14:textId="77777777" w:rsidR="004517FE" w:rsidRDefault="004517FE">
      <w:pPr>
        <w:spacing w:line="360" w:lineRule="auto"/>
        <w:jc w:val="both"/>
        <w:rPr>
          <w:rFonts w:ascii="Palatino Linotype" w:eastAsia="Palatino Linotype" w:hAnsi="Palatino Linotype" w:cs="Palatino Linotype"/>
        </w:rPr>
      </w:pPr>
    </w:p>
    <w:p w14:paraId="0574B1AB"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 finalidad de la versión pública de la información, es salvaguardar la vida, integridad, segurid</w:t>
      </w:r>
      <w:r>
        <w:rPr>
          <w:rFonts w:ascii="Palatino Linotype" w:eastAsia="Palatino Linotype" w:hAnsi="Palatino Linotype" w:cs="Palatino Linotype"/>
        </w:rPr>
        <w:t>ad, patrimonio y privacidad de las personas; de tal manera que todo aquello que no tenga por objeto proteger lo anterior, es susceptible de ser entregado; en otras palabras, la protección de datos personales, entre ellos el del patrimonio y su confidencial</w:t>
      </w:r>
      <w:r>
        <w:rPr>
          <w:rFonts w:ascii="Palatino Linotype" w:eastAsia="Palatino Linotype" w:hAnsi="Palatino Linotype" w:cs="Palatino Linotype"/>
        </w:rPr>
        <w:t>idad, es una derivación del derecho a la intimidad.</w:t>
      </w:r>
    </w:p>
    <w:p w14:paraId="68D09B33" w14:textId="77777777" w:rsidR="004517FE" w:rsidRDefault="004517FE">
      <w:pPr>
        <w:spacing w:line="360" w:lineRule="auto"/>
        <w:jc w:val="both"/>
        <w:rPr>
          <w:rFonts w:ascii="Palatino Linotype" w:eastAsia="Palatino Linotype" w:hAnsi="Palatino Linotype" w:cs="Palatino Linotype"/>
        </w:rPr>
      </w:pPr>
    </w:p>
    <w:p w14:paraId="25DEE891"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importante señalar que dicha clasificación se tiene que efectuar mediante la forma y formalidades que la ley de la materia impone; es decir, mediante acuerdo debidamente fundado y motivado, </w:t>
      </w:r>
      <w:r>
        <w:rPr>
          <w:rFonts w:ascii="Palatino Linotype" w:eastAsia="Palatino Linotype" w:hAnsi="Palatino Linotype" w:cs="Palatino Linotype"/>
        </w:rPr>
        <w:t xml:space="preserve">de su Comité de Transparencia, en términos de los artículos 49, fracción VIII y 132, fracciones II y III de la Ley de Transparencia y Acceso a la Información Pública del Estado de México y Municipios, así como los numerales Segundo, fracción XVIII,  y del </w:t>
      </w:r>
      <w:r>
        <w:rPr>
          <w:rFonts w:ascii="Palatino Linotype" w:eastAsia="Palatino Linotype" w:hAnsi="Palatino Linotype" w:cs="Palatino Linotype"/>
        </w:rPr>
        <w:t>Cuarto al Décimo Primero de los Lineamientos Generales en materia de Clasificación y Desclasificación de la Información, así como para la elaboración de Versiones Públicas, que literalmente expresan:</w:t>
      </w:r>
    </w:p>
    <w:p w14:paraId="738CD1DF" w14:textId="77777777" w:rsidR="004517FE" w:rsidRDefault="004517FE">
      <w:pPr>
        <w:jc w:val="both"/>
        <w:rPr>
          <w:rFonts w:ascii="Palatino Linotype" w:eastAsia="Palatino Linotype" w:hAnsi="Palatino Linotype" w:cs="Palatino Linotype"/>
        </w:rPr>
      </w:pPr>
    </w:p>
    <w:p w14:paraId="7C5C57FC"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7DA86809"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40AC2D76"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2858DC03"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w:t>
      </w:r>
      <w:r>
        <w:rPr>
          <w:rFonts w:ascii="Palatino Linotype" w:eastAsia="Palatino Linotype" w:hAnsi="Palatino Linotype" w:cs="Palatino Linotype"/>
          <w:i/>
          <w:sz w:val="22"/>
          <w:szCs w:val="22"/>
        </w:rPr>
        <w:t>acceso a la información;</w:t>
      </w:r>
    </w:p>
    <w:p w14:paraId="73FD3840"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5463F54C" w14:textId="77777777" w:rsidR="004517FE" w:rsidRDefault="00F6601E">
      <w:pPr>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III. Se generen versiones públicas para dar cumplimiento a las obligaciones de transparencia previstas en esta Ley.</w:t>
      </w:r>
      <w:r>
        <w:rPr>
          <w:rFonts w:ascii="Palatino Linotype" w:eastAsia="Palatino Linotype" w:hAnsi="Palatino Linotype" w:cs="Palatino Linotype"/>
          <w:b/>
          <w:i/>
          <w:sz w:val="22"/>
          <w:szCs w:val="22"/>
        </w:rPr>
        <w:t>”</w:t>
      </w:r>
    </w:p>
    <w:p w14:paraId="19C63CCD" w14:textId="77777777" w:rsidR="004517FE" w:rsidRDefault="004517FE">
      <w:pPr>
        <w:ind w:left="851" w:right="902"/>
        <w:jc w:val="both"/>
        <w:rPr>
          <w:rFonts w:ascii="Palatino Linotype" w:eastAsia="Palatino Linotype" w:hAnsi="Palatino Linotype" w:cs="Palatino Linotype"/>
          <w:b/>
          <w:i/>
          <w:sz w:val="22"/>
          <w:szCs w:val="22"/>
        </w:rPr>
      </w:pPr>
    </w:p>
    <w:p w14:paraId="6517564B"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roofErr w:type="gramStart"/>
      <w:r>
        <w:rPr>
          <w:rFonts w:ascii="Palatino Linotype" w:eastAsia="Palatino Linotype" w:hAnsi="Palatino Linotype" w:cs="Palatino Linotype"/>
          <w:b/>
          <w:i/>
          <w:sz w:val="22"/>
          <w:szCs w:val="22"/>
        </w:rPr>
        <w:t>Segundo.-</w:t>
      </w:r>
      <w:proofErr w:type="gramEnd"/>
      <w:r>
        <w:rPr>
          <w:rFonts w:ascii="Palatino Linotype" w:eastAsia="Palatino Linotype" w:hAnsi="Palatino Linotype" w:cs="Palatino Linotype"/>
          <w:i/>
          <w:sz w:val="22"/>
          <w:szCs w:val="22"/>
        </w:rPr>
        <w:t xml:space="preserve"> Para efectos de los presentes Lineamientos Generales, se entenderá por:</w:t>
      </w:r>
    </w:p>
    <w:p w14:paraId="4B566292"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w:t>
      </w:r>
      <w:r>
        <w:rPr>
          <w:rFonts w:ascii="Palatino Linotype" w:eastAsia="Palatino Linotype" w:hAnsi="Palatino Linotype" w:cs="Palatino Linotype"/>
          <w:i/>
          <w:sz w:val="22"/>
          <w:szCs w:val="22"/>
        </w:rPr>
        <w:t>a genérica, fundando y motivando la reserva o confidencialidad, a través de la resolución que para tal efecto emita el Comité de Transparencia.</w:t>
      </w:r>
    </w:p>
    <w:p w14:paraId="4C106763"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w:t>
      </w:r>
      <w:r>
        <w:rPr>
          <w:rFonts w:ascii="Palatino Linotype" w:eastAsia="Palatino Linotype" w:hAnsi="Palatino Linotype" w:cs="Palatino Linotype"/>
          <w:i/>
          <w:sz w:val="22"/>
          <w:szCs w:val="22"/>
        </w:rPr>
        <w:t>área del sujeto obligado deberá atender lo dispuesto por el Título Sexto de la Ley General, en relación con las disposiciones contenidas en los presentes lineamientos, así como en aquellas disposiciones legales aplicables a la materia en el ámbito de sus r</w:t>
      </w:r>
      <w:r>
        <w:rPr>
          <w:rFonts w:ascii="Palatino Linotype" w:eastAsia="Palatino Linotype" w:hAnsi="Palatino Linotype" w:cs="Palatino Linotype"/>
          <w:i/>
          <w:sz w:val="22"/>
          <w:szCs w:val="22"/>
        </w:rPr>
        <w:t>espectivas competencias, en tanto estas últimas no contravengan lo dispuesto en la Ley General.</w:t>
      </w:r>
    </w:p>
    <w:p w14:paraId="2C5B0D78"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w:t>
      </w:r>
      <w:r>
        <w:rPr>
          <w:rFonts w:ascii="Palatino Linotype" w:eastAsia="Palatino Linotype" w:hAnsi="Palatino Linotype" w:cs="Palatino Linotype"/>
          <w:i/>
          <w:sz w:val="22"/>
          <w:szCs w:val="22"/>
        </w:rPr>
        <w:t>ocedencia.</w:t>
      </w:r>
    </w:p>
    <w:p w14:paraId="3C207987"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w:t>
      </w:r>
      <w:r>
        <w:rPr>
          <w:rFonts w:ascii="Palatino Linotype" w:eastAsia="Palatino Linotype" w:hAnsi="Palatino Linotype" w:cs="Palatino Linotype"/>
          <w:i/>
          <w:sz w:val="22"/>
          <w:szCs w:val="22"/>
        </w:rPr>
        <w:t>gados, por lo que deberán fundar y motivar debidamente la clasificación de la información ante una solicitud de acceso o al momento en que generen versiones públicas para dar cumplimiento a las obligaciones de transparencia, observando lo dispuesto en la L</w:t>
      </w:r>
      <w:r>
        <w:rPr>
          <w:rFonts w:ascii="Palatino Linotype" w:eastAsia="Palatino Linotype" w:hAnsi="Palatino Linotype" w:cs="Palatino Linotype"/>
          <w:i/>
          <w:sz w:val="22"/>
          <w:szCs w:val="22"/>
        </w:rPr>
        <w:t>ey General y las demás disposiciones aplicables en la materia.</w:t>
      </w:r>
    </w:p>
    <w:p w14:paraId="44E30E14"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w:t>
      </w:r>
      <w:r>
        <w:rPr>
          <w:rFonts w:ascii="Palatino Linotype" w:eastAsia="Palatino Linotype" w:hAnsi="Palatino Linotype" w:cs="Palatino Linotype"/>
          <w:i/>
          <w:sz w:val="22"/>
          <w:szCs w:val="22"/>
        </w:rPr>
        <w:t>e la información o cuando éstos no obren en sus archivos.</w:t>
      </w:r>
    </w:p>
    <w:p w14:paraId="559FED88"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3685332"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w:t>
      </w:r>
      <w:r>
        <w:rPr>
          <w:rFonts w:ascii="Palatino Linotype" w:eastAsia="Palatino Linotype" w:hAnsi="Palatino Linotype" w:cs="Palatino Linotype"/>
          <w:i/>
          <w:sz w:val="22"/>
          <w:szCs w:val="22"/>
        </w:rPr>
        <w:t>evará a cabo en el momento en que:</w:t>
      </w:r>
    </w:p>
    <w:p w14:paraId="044C8860"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07186AE0"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4EC8B5FE"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 generen versiones públicas para dar cumplimiento a las obligaciones de trans</w:t>
      </w:r>
      <w:r>
        <w:rPr>
          <w:rFonts w:ascii="Palatino Linotype" w:eastAsia="Palatino Linotype" w:hAnsi="Palatino Linotype" w:cs="Palatino Linotype"/>
          <w:i/>
          <w:sz w:val="22"/>
          <w:szCs w:val="22"/>
        </w:rPr>
        <w:t>parencia previstas en la Ley General, la Ley Federal y las correspondientes de las entidades federativas.</w:t>
      </w:r>
    </w:p>
    <w:p w14:paraId="04FAA7F8"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titulares de las áreas deberán revisar la clasificación al momento de la recepción de una solicitud de acceso a la información, para verificar si </w:t>
      </w:r>
      <w:r>
        <w:rPr>
          <w:rFonts w:ascii="Palatino Linotype" w:eastAsia="Palatino Linotype" w:hAnsi="Palatino Linotype" w:cs="Palatino Linotype"/>
          <w:i/>
          <w:sz w:val="22"/>
          <w:szCs w:val="22"/>
        </w:rPr>
        <w:t>encuadra en una causal de reserva o de confidencialidad.</w:t>
      </w:r>
    </w:p>
    <w:p w14:paraId="1F0A8EA4"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w:t>
      </w:r>
      <w:r>
        <w:rPr>
          <w:rFonts w:ascii="Palatino Linotype" w:eastAsia="Palatino Linotype" w:hAnsi="Palatino Linotype" w:cs="Palatino Linotype"/>
          <w:i/>
          <w:sz w:val="22"/>
          <w:szCs w:val="22"/>
        </w:rPr>
        <w:t>nte le otorga el carácter de reservada o confidencial.</w:t>
      </w:r>
    </w:p>
    <w:p w14:paraId="730EF03C"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w:t>
      </w:r>
      <w:r>
        <w:rPr>
          <w:rFonts w:ascii="Palatino Linotype" w:eastAsia="Palatino Linotype" w:hAnsi="Palatino Linotype" w:cs="Palatino Linotype"/>
          <w:i/>
          <w:sz w:val="22"/>
          <w:szCs w:val="22"/>
        </w:rPr>
        <w:t>o fundamento.</w:t>
      </w:r>
    </w:p>
    <w:p w14:paraId="1F2312A7"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1F8F5707"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w:t>
      </w:r>
      <w:r>
        <w:rPr>
          <w:rFonts w:ascii="Palatino Linotype" w:eastAsia="Palatino Linotype" w:hAnsi="Palatino Linotype" w:cs="Palatino Linotype"/>
          <w:i/>
          <w:sz w:val="22"/>
          <w:szCs w:val="22"/>
        </w:rPr>
        <w:t>ncial respecto de la cual se haya determinado su conservación permanente por tener valor histórico, ésta conservará tal carácter de conformidad con la normativa aplicable en materia de archivos.</w:t>
      </w:r>
    </w:p>
    <w:p w14:paraId="590A7086"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w:t>
      </w:r>
      <w:r>
        <w:rPr>
          <w:rFonts w:ascii="Palatino Linotype" w:eastAsia="Palatino Linotype" w:hAnsi="Palatino Linotype" w:cs="Palatino Linotype"/>
          <w:i/>
          <w:sz w:val="22"/>
          <w:szCs w:val="22"/>
        </w:rPr>
        <w:t>entificados como históricos confidenciales no serán susceptibles de clasificación como reservados.</w:t>
      </w:r>
    </w:p>
    <w:p w14:paraId="008B9B60"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w:t>
      </w:r>
      <w:r>
        <w:rPr>
          <w:rFonts w:ascii="Palatino Linotype" w:eastAsia="Palatino Linotype" w:hAnsi="Palatino Linotype" w:cs="Palatino Linotype"/>
          <w:i/>
          <w:sz w:val="22"/>
          <w:szCs w:val="22"/>
        </w:rPr>
        <w:t>na versión pública fundando y motivando la clasificación de las partes o secciones que se testen, siguiendo los procedimientos establecidos en el Capítulo IX de los presentes lineamientos.</w:t>
      </w:r>
    </w:p>
    <w:p w14:paraId="06D46B6C"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w:t>
      </w:r>
      <w:r>
        <w:rPr>
          <w:rFonts w:ascii="Palatino Linotype" w:eastAsia="Palatino Linotype" w:hAnsi="Palatino Linotype" w:cs="Palatino Linotype"/>
          <w:i/>
          <w:sz w:val="22"/>
          <w:szCs w:val="22"/>
        </w:rPr>
        <w:t>evar un registro del personal que, por la naturaleza de sus atribuciones, tenga acceso a los documentos clasificados. Asimismo, deberán asegurarse de que dicho personal cuente con los conocimientos técnicos y legales que le permitan manejar adecuadamente l</w:t>
      </w:r>
      <w:r>
        <w:rPr>
          <w:rFonts w:ascii="Palatino Linotype" w:eastAsia="Palatino Linotype" w:hAnsi="Palatino Linotype" w:cs="Palatino Linotype"/>
          <w:i/>
          <w:sz w:val="22"/>
          <w:szCs w:val="22"/>
        </w:rPr>
        <w:t>a información clasificada, en los términos de los Lineamientos para la Organización y Conservación de Archivos.</w:t>
      </w:r>
    </w:p>
    <w:p w14:paraId="1E29D4E5" w14:textId="77777777" w:rsidR="004517FE" w:rsidRDefault="00F6601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w:t>
      </w:r>
      <w:r>
        <w:rPr>
          <w:rFonts w:ascii="Palatino Linotype" w:eastAsia="Palatino Linotype" w:hAnsi="Palatino Linotype" w:cs="Palatino Linotype"/>
          <w:i/>
          <w:sz w:val="22"/>
          <w:szCs w:val="22"/>
        </w:rPr>
        <w:t>tiva que rija la actuación del sujeto obligado.</w:t>
      </w:r>
    </w:p>
    <w:p w14:paraId="45D91F2F" w14:textId="77777777" w:rsidR="004517FE" w:rsidRDefault="00F6601E">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w:t>
      </w:r>
      <w:r>
        <w:rPr>
          <w:rFonts w:ascii="Palatino Linotype" w:eastAsia="Palatino Linotype" w:hAnsi="Palatino Linotype" w:cs="Palatino Linotype"/>
          <w:i/>
          <w:sz w:val="22"/>
          <w:szCs w:val="22"/>
        </w:rPr>
        <w:lastRenderedPageBreak/>
        <w:t>deberán llevar la leyenda correspondiente de conformidad con lo dispuesto en el Capítulo VIII de los presentes li</w:t>
      </w:r>
      <w:r>
        <w:rPr>
          <w:rFonts w:ascii="Palatino Linotype" w:eastAsia="Palatino Linotype" w:hAnsi="Palatino Linotype" w:cs="Palatino Linotype"/>
          <w:i/>
          <w:sz w:val="22"/>
          <w:szCs w:val="22"/>
        </w:rPr>
        <w:t>neamientos.</w:t>
      </w:r>
      <w:r>
        <w:rPr>
          <w:rFonts w:ascii="Palatino Linotype" w:eastAsia="Palatino Linotype" w:hAnsi="Palatino Linotype" w:cs="Palatino Linotype"/>
          <w:b/>
          <w:i/>
          <w:sz w:val="22"/>
          <w:szCs w:val="22"/>
        </w:rPr>
        <w:t>”</w:t>
      </w:r>
    </w:p>
    <w:p w14:paraId="358E22EE" w14:textId="77777777" w:rsidR="004517FE" w:rsidRDefault="004517FE">
      <w:pPr>
        <w:ind w:left="851" w:right="899"/>
        <w:jc w:val="both"/>
        <w:rPr>
          <w:rFonts w:ascii="Palatino Linotype" w:eastAsia="Palatino Linotype" w:hAnsi="Palatino Linotype" w:cs="Palatino Linotype"/>
          <w:b/>
          <w:i/>
        </w:rPr>
      </w:pPr>
    </w:p>
    <w:p w14:paraId="28DEE652"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w:t>
      </w:r>
      <w:r>
        <w:rPr>
          <w:rFonts w:ascii="Palatino Linotype" w:eastAsia="Palatino Linotype" w:hAnsi="Palatino Linotype" w:cs="Palatino Linotype"/>
        </w:rPr>
        <w:t>vada de los particulares.</w:t>
      </w:r>
    </w:p>
    <w:p w14:paraId="0A3693CF" w14:textId="77777777" w:rsidR="004517FE" w:rsidRDefault="004517FE">
      <w:pPr>
        <w:spacing w:line="360" w:lineRule="auto"/>
        <w:ind w:right="-93"/>
        <w:jc w:val="both"/>
        <w:rPr>
          <w:rFonts w:ascii="Palatino Linotype" w:eastAsia="Palatino Linotype" w:hAnsi="Palatino Linotype" w:cs="Palatino Linotype"/>
        </w:rPr>
      </w:pPr>
    </w:p>
    <w:p w14:paraId="6AD132A1" w14:textId="77777777" w:rsidR="004517FE" w:rsidRDefault="00F6601E">
      <w:pPr>
        <w:spacing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Cabe hacer mención que la versión pública que elabore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cumplir con las formalidades exigidas en la Ley, por lo que para tal efecto emitirá el </w:t>
      </w:r>
      <w:r>
        <w:rPr>
          <w:rFonts w:ascii="Palatino Linotype" w:eastAsia="Palatino Linotype" w:hAnsi="Palatino Linotype" w:cs="Palatino Linotype"/>
          <w:b/>
        </w:rPr>
        <w:t>Acuerdo del Comité de Transparencia</w:t>
      </w:r>
      <w:r>
        <w:rPr>
          <w:rFonts w:ascii="Palatino Linotype" w:eastAsia="Palatino Linotype" w:hAnsi="Palatino Linotype" w:cs="Palatino Linotype"/>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w:t>
      </w:r>
      <w:r>
        <w:rPr>
          <w:rFonts w:ascii="Palatino Linotype" w:eastAsia="Palatino Linotype" w:hAnsi="Palatino Linotype" w:cs="Palatino Linotype"/>
        </w:rPr>
        <w:t>ud, ya que no hacerlo implica que lo entregado no es legal ni formalmente una versión pública, sino más bien una documentación ilegible, incompleta o tachada; pues no señalar las razones por las que no se aprecian determinados datos -ya sea porque se testa</w:t>
      </w:r>
      <w:r>
        <w:rPr>
          <w:rFonts w:ascii="Palatino Linotype" w:eastAsia="Palatino Linotype" w:hAnsi="Palatino Linotype" w:cs="Palatino Linotype"/>
        </w:rPr>
        <w:t>n o suprimen- deja al solicitante en estado de incertidumbre, al no conocer o comprender porque no aparecen en la documentación respectiva, es decir, si no se exponen de manera puntual las razones de ello se estaría violentando desde un inicio el derecho d</w:t>
      </w:r>
      <w:r>
        <w:rPr>
          <w:rFonts w:ascii="Palatino Linotype" w:eastAsia="Palatino Linotype" w:hAnsi="Palatino Linotype" w:cs="Palatino Linotype"/>
        </w:rPr>
        <w:t>e acceso a la información del solicitante.</w:t>
      </w:r>
    </w:p>
    <w:p w14:paraId="769040CC" w14:textId="77777777" w:rsidR="004517FE" w:rsidRDefault="004517FE">
      <w:pPr>
        <w:spacing w:line="360" w:lineRule="auto"/>
        <w:jc w:val="both"/>
        <w:rPr>
          <w:rFonts w:ascii="Palatino Linotype" w:eastAsia="Palatino Linotype" w:hAnsi="Palatino Linotype" w:cs="Palatino Linotype"/>
        </w:rPr>
      </w:pPr>
    </w:p>
    <w:p w14:paraId="1712CB1F"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y en mérito de lo expuesto en líneas anteriores, resultan fundadas las razones o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dentro </w:t>
      </w:r>
      <w:r>
        <w:rPr>
          <w:rFonts w:ascii="Palatino Linotype" w:eastAsia="Palatino Linotype" w:hAnsi="Palatino Linotype" w:cs="Palatino Linotype"/>
        </w:rPr>
        <w:lastRenderedPageBreak/>
        <w:t xml:space="preserve">del recurso de revisión 4994/INFOEM/IP/RR/2021; por </w:t>
      </w:r>
      <w:r>
        <w:rPr>
          <w:rFonts w:ascii="Palatino Linotype" w:eastAsia="Palatino Linotype" w:hAnsi="Palatino Linotype" w:cs="Palatino Linotype"/>
        </w:rPr>
        <w:t xml:space="preserve">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a la solicitud de información número 00210/CHIMALHU/IP/2021.</w:t>
      </w:r>
    </w:p>
    <w:p w14:paraId="47072539" w14:textId="77777777" w:rsidR="004517FE" w:rsidRDefault="004517FE">
      <w:pPr>
        <w:spacing w:line="360" w:lineRule="auto"/>
        <w:jc w:val="both"/>
        <w:rPr>
          <w:rFonts w:ascii="Palatino Linotype" w:eastAsia="Palatino Linotype" w:hAnsi="Palatino Linotype" w:cs="Palatino Linotype"/>
        </w:rPr>
      </w:pPr>
    </w:p>
    <w:p w14:paraId="782BE80D" w14:textId="77777777" w:rsidR="004517FE" w:rsidRDefault="00F6601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w:t>
      </w:r>
      <w:r>
        <w:rPr>
          <w:rFonts w:ascii="Palatino Linotype" w:eastAsia="Palatino Linotype" w:hAnsi="Palatino Linotype" w:cs="Palatino Linotype"/>
        </w:rPr>
        <w:t>to en lo prescrito en los artículos 5 párrafos trigésimo, trigésimo primero y trigésimo segundo fracciones IV y V de la Constitución Política del Estado Libre y Soberano de México; 2, fracción II; 29, 36 fracciones I y II; 176, 178, 181, 185, fracción I, 1</w:t>
      </w:r>
      <w:r>
        <w:rPr>
          <w:rFonts w:ascii="Palatino Linotype" w:eastAsia="Palatino Linotype" w:hAnsi="Palatino Linotype" w:cs="Palatino Linotype"/>
        </w:rPr>
        <w:t>86 y 188 de la Ley de Transparencia y Acceso a la Información Pública del Estado de México y Municipios, este Pleno:</w:t>
      </w:r>
    </w:p>
    <w:p w14:paraId="47722D96" w14:textId="77777777" w:rsidR="004517FE" w:rsidRDefault="00F6601E">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024BBEDE"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 xml:space="preserve">la respuesta entregada por </w:t>
      </w:r>
      <w:r>
        <w:rPr>
          <w:rFonts w:ascii="Palatino Linotype" w:eastAsia="Palatino Linotype" w:hAnsi="Palatino Linotype" w:cs="Palatino Linotype"/>
          <w:b/>
        </w:rPr>
        <w:t xml:space="preserve">EL SUJETO </w:t>
      </w:r>
      <w:proofErr w:type="gramStart"/>
      <w:r>
        <w:rPr>
          <w:rFonts w:ascii="Palatino Linotype" w:eastAsia="Palatino Linotype" w:hAnsi="Palatino Linotype" w:cs="Palatino Linotype"/>
          <w:b/>
        </w:rPr>
        <w:t xml:space="preserve">OBLIGADO </w:t>
      </w:r>
      <w:r>
        <w:rPr>
          <w:rFonts w:ascii="Palatino Linotype" w:eastAsia="Palatino Linotype" w:hAnsi="Palatino Linotype" w:cs="Palatino Linotype"/>
        </w:rPr>
        <w:t xml:space="preserve"> a</w:t>
      </w:r>
      <w:proofErr w:type="gramEnd"/>
      <w:r>
        <w:rPr>
          <w:rFonts w:ascii="Palatino Linotype" w:eastAsia="Palatino Linotype" w:hAnsi="Palatino Linotype" w:cs="Palatino Linotype"/>
        </w:rPr>
        <w:t xml:space="preserve"> la solicitud de información 00210/CHIMALHU/IP/2021 p</w:t>
      </w:r>
      <w:r>
        <w:rPr>
          <w:rFonts w:ascii="Palatino Linotype" w:eastAsia="Palatino Linotype" w:hAnsi="Palatino Linotype" w:cs="Palatino Linotype"/>
        </w:rPr>
        <w:t xml:space="preserve">or resultar fundadas las razones o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en el recurso de revisión 04994/INFOEM/IP/RR/2021</w:t>
      </w:r>
      <w:r>
        <w:rPr>
          <w:rFonts w:ascii="Palatino Linotype" w:eastAsia="Palatino Linotype" w:hAnsi="Palatino Linotype" w:cs="Palatino Linotype"/>
          <w:b/>
        </w:rPr>
        <w:t>,</w:t>
      </w:r>
      <w:r>
        <w:rPr>
          <w:rFonts w:ascii="Palatino Linotype" w:eastAsia="Palatino Linotype" w:hAnsi="Palatino Linotype" w:cs="Palatino Linotype"/>
        </w:rPr>
        <w:t xml:space="preserve"> en términos del considerando Cuarto de la presente Resolución.</w:t>
      </w:r>
    </w:p>
    <w:p w14:paraId="2EE6094A" w14:textId="77777777" w:rsidR="004517FE" w:rsidRDefault="00F6601E">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t>S</w:t>
      </w:r>
      <w:r>
        <w:rPr>
          <w:rFonts w:ascii="Palatino Linotype" w:eastAsia="Palatino Linotype" w:hAnsi="Palatino Linotype" w:cs="Palatino Linotype"/>
        </w:rPr>
        <w:t xml:space="preserve">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efecto de</w:t>
      </w:r>
      <w:r>
        <w:rPr>
          <w:rFonts w:ascii="Palatino Linotype" w:eastAsia="Palatino Linotype" w:hAnsi="Palatino Linotype" w:cs="Palatino Linotype"/>
        </w:rPr>
        <w:t xml:space="preserve"> que haga entrega vía SAIMEX, y en su caso en versión pública, los documentos donde conste:</w:t>
      </w:r>
    </w:p>
    <w:p w14:paraId="49FF3008" w14:textId="77777777" w:rsidR="004517FE" w:rsidRDefault="004517FE">
      <w:pPr>
        <w:spacing w:line="360" w:lineRule="auto"/>
        <w:ind w:right="-93"/>
        <w:jc w:val="both"/>
        <w:rPr>
          <w:rFonts w:ascii="Palatino Linotype" w:eastAsia="Palatino Linotype" w:hAnsi="Palatino Linotype" w:cs="Palatino Linotype"/>
        </w:rPr>
      </w:pPr>
    </w:p>
    <w:p w14:paraId="5DE26CB6" w14:textId="77777777" w:rsidR="004517FE" w:rsidRDefault="00F6601E">
      <w:pPr>
        <w:numPr>
          <w:ilvl w:val="0"/>
          <w:numId w:val="2"/>
        </w:numPr>
        <w:pBdr>
          <w:top w:val="nil"/>
          <w:left w:val="nil"/>
          <w:bottom w:val="nil"/>
          <w:right w:val="nil"/>
          <w:between w:val="nil"/>
        </w:pBd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monto que se les adeudaba a cada uno de los proveedores del Ayuntamiento de Chimalhuacán al 20 de septiembre de 2021.</w:t>
      </w:r>
    </w:p>
    <w:p w14:paraId="527158BC" w14:textId="77777777" w:rsidR="004517FE" w:rsidRDefault="004517FE">
      <w:pPr>
        <w:pBdr>
          <w:top w:val="nil"/>
          <w:left w:val="nil"/>
          <w:bottom w:val="nil"/>
          <w:right w:val="nil"/>
          <w:between w:val="nil"/>
        </w:pBdr>
        <w:spacing w:line="360" w:lineRule="auto"/>
        <w:ind w:left="787" w:right="-93"/>
        <w:jc w:val="both"/>
        <w:rPr>
          <w:rFonts w:ascii="Palatino Linotype" w:eastAsia="Palatino Linotype" w:hAnsi="Palatino Linotype" w:cs="Palatino Linotype"/>
          <w:color w:val="000000"/>
        </w:rPr>
      </w:pPr>
    </w:p>
    <w:p w14:paraId="6165FD3C" w14:textId="77777777" w:rsidR="004517FE" w:rsidRDefault="00F6601E">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de ser necesario, deberá proporcionar junto con la documentación, el Acuerdo de Clasificación que emita el Comité de Transparencia respecto de la versión pública. </w:t>
      </w:r>
    </w:p>
    <w:p w14:paraId="20B0D7F1"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 xml:space="preserve">TERCERO. Notifíquese </w:t>
      </w:r>
      <w:r>
        <w:rPr>
          <w:rFonts w:ascii="Palatino Linotype" w:eastAsia="Palatino Linotype" w:hAnsi="Palatino Linotype" w:cs="Palatino Linotype"/>
          <w:highlight w:val="white"/>
        </w:rPr>
        <w:t>vía SAIMEX,</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al Titular de la Unidad de Transparencia del</w:t>
      </w:r>
      <w:r>
        <w:rPr>
          <w:rFonts w:ascii="Palatino Linotype" w:eastAsia="Palatino Linotype" w:hAnsi="Palatino Linotype" w:cs="Palatino Linotype"/>
          <w:b/>
          <w:highlight w:val="white"/>
        </w:rPr>
        <w:t xml:space="preserve"> SUJETO</w:t>
      </w:r>
      <w:r>
        <w:rPr>
          <w:rFonts w:ascii="Palatino Linotype" w:eastAsia="Palatino Linotype" w:hAnsi="Palatino Linotype" w:cs="Palatino Linotype"/>
          <w:b/>
          <w:highlight w:val="white"/>
        </w:rPr>
        <w:t xml:space="preserve"> OBLIGADO</w:t>
      </w:r>
      <w:r>
        <w:rPr>
          <w:rFonts w:ascii="Palatino Linotype" w:eastAsia="Palatino Linotype" w:hAnsi="Palatino Linotype" w:cs="Palatino Linotype"/>
          <w:highlight w:val="white"/>
        </w:rPr>
        <w:t>, la presente resolución para que conforme a los artículos 186 último párrafo y 189 párrafo segundo de la Ley de Transparencia y Acceso a la Información Pública del Estado de México y Municipios, dé cumplimiento a lo ordenado dentro del plazo de d</w:t>
      </w:r>
      <w:r>
        <w:rPr>
          <w:rFonts w:ascii="Palatino Linotype" w:eastAsia="Palatino Linotype" w:hAnsi="Palatino Linotype" w:cs="Palatino Linotype"/>
          <w:highlight w:val="white"/>
        </w:rPr>
        <w:t>iez hábiles, debiendo informar a este Instituto en un plazo de tres días hábiles siguientes sobre el cumplimiento dado a la presente resolución.</w:t>
      </w:r>
    </w:p>
    <w:p w14:paraId="3B58F6AB" w14:textId="77777777" w:rsidR="004517FE" w:rsidRDefault="00F6601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w:t>
      </w:r>
      <w:r>
        <w:rPr>
          <w:rFonts w:ascii="Palatino Linotype" w:eastAsia="Palatino Linotype" w:hAnsi="Palatino Linotype" w:cs="Palatino Linotype"/>
        </w:rPr>
        <w:t xml:space="preserve">ado de México y Municipios, de considerarlo 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5EFBC7D9" w14:textId="77777777" w:rsidR="004517FE" w:rsidRDefault="00F6601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highlight w:val="white"/>
        </w:rPr>
        <w:t xml:space="preserve">vía </w:t>
      </w:r>
      <w:proofErr w:type="gramStart"/>
      <w:r>
        <w:rPr>
          <w:rFonts w:ascii="Palatino Linotype" w:eastAsia="Palatino Linotype" w:hAnsi="Palatino Linotype" w:cs="Palatino Linotype"/>
          <w:highlight w:val="white"/>
        </w:rPr>
        <w:t>SAIMEX,</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rPr>
        <w:t xml:space="preserve"> al</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w:t>
      </w:r>
      <w:r>
        <w:rPr>
          <w:rFonts w:ascii="Palatino Linotype" w:eastAsia="Palatino Linotype" w:hAnsi="Palatino Linotype" w:cs="Palatino Linotype"/>
        </w:rPr>
        <w:t>solución, así como, que de conformidad con lo establecido en el artículo 196 de la Ley de Transparencia y Acceso a la Información Pública del Estado de México y Municipios, podrá impugnarla vía Juicio de Amparo en los términos de las leyes aplicables.</w:t>
      </w:r>
    </w:p>
    <w:p w14:paraId="7C2EC5D7" w14:textId="77777777" w:rsidR="004517FE" w:rsidRDefault="00F660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w:t>
      </w:r>
      <w:r>
        <w:rPr>
          <w:rFonts w:ascii="Palatino Linotype" w:eastAsia="Palatino Linotype" w:hAnsi="Palatino Linotype" w:cs="Palatino Linotype"/>
        </w:rPr>
        <w:t xml:space="preserve">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MUNICIPIOS, CONFORMADO POR LOS COMISIONADOS JOSÉ MARTÍNEZ VILCHIS; SHARON CRISTINA MORALE</w:t>
      </w:r>
      <w:r>
        <w:rPr>
          <w:rFonts w:ascii="Palatino Linotype" w:eastAsia="Palatino Linotype" w:hAnsi="Palatino Linotype" w:cs="Palatino Linotype"/>
        </w:rPr>
        <w:t xml:space="preserve">S MARTÍNEZ (AUSENCIA JUSTIFICADA); MARÍA DEL ROSARIO MEJÍA AYALA; LUIS GUSTAVO PARRA NORIEGA Y GUADALUPE RAMÍREZ PEÑA, EN LA SEGUNDA SESIÓN ORDINARIA CELEBRADA EL DIECINUEVE DE ENERO DE DOS MIL VEINTIDÓS, ANTE EL SECRETARIO TÉCNICO DEL PLENO, ALEXIS TAPIA </w:t>
      </w:r>
      <w:r>
        <w:rPr>
          <w:rFonts w:ascii="Palatino Linotype" w:eastAsia="Palatino Linotype" w:hAnsi="Palatino Linotype" w:cs="Palatino Linotype"/>
        </w:rPr>
        <w:t>RAMÍREZ.</w:t>
      </w:r>
    </w:p>
    <w:p w14:paraId="2968CC88" w14:textId="77777777" w:rsidR="004517FE" w:rsidRDefault="004517FE">
      <w:pPr>
        <w:spacing w:before="240" w:after="240" w:line="360" w:lineRule="auto"/>
        <w:jc w:val="both"/>
        <w:rPr>
          <w:rFonts w:ascii="Palatino Linotype" w:eastAsia="Palatino Linotype" w:hAnsi="Palatino Linotype" w:cs="Palatino Linotype"/>
        </w:rPr>
      </w:pPr>
    </w:p>
    <w:p w14:paraId="347B47F6" w14:textId="77777777" w:rsidR="004517FE" w:rsidRDefault="004517FE">
      <w:pPr>
        <w:spacing w:before="240" w:after="240" w:line="360" w:lineRule="auto"/>
        <w:jc w:val="both"/>
        <w:rPr>
          <w:rFonts w:ascii="Palatino Linotype" w:eastAsia="Palatino Linotype" w:hAnsi="Palatino Linotype" w:cs="Palatino Linotype"/>
        </w:rPr>
      </w:pPr>
    </w:p>
    <w:p w14:paraId="788477F0" w14:textId="77777777" w:rsidR="004517FE" w:rsidRDefault="004517FE">
      <w:pPr>
        <w:spacing w:before="240" w:after="240" w:line="360" w:lineRule="auto"/>
        <w:jc w:val="both"/>
        <w:rPr>
          <w:rFonts w:ascii="Palatino Linotype" w:eastAsia="Palatino Linotype" w:hAnsi="Palatino Linotype" w:cs="Palatino Linotype"/>
        </w:rPr>
      </w:pPr>
    </w:p>
    <w:p w14:paraId="0CFA2EA6" w14:textId="77777777" w:rsidR="004517FE" w:rsidRDefault="004517FE">
      <w:pPr>
        <w:spacing w:before="240" w:after="240" w:line="360" w:lineRule="auto"/>
        <w:jc w:val="both"/>
        <w:rPr>
          <w:rFonts w:ascii="Palatino Linotype" w:eastAsia="Palatino Linotype" w:hAnsi="Palatino Linotype" w:cs="Palatino Linotype"/>
        </w:rPr>
      </w:pPr>
    </w:p>
    <w:p w14:paraId="74DC3E8A" w14:textId="77777777" w:rsidR="004517FE" w:rsidRDefault="004517FE">
      <w:pPr>
        <w:spacing w:before="240" w:after="240" w:line="360" w:lineRule="auto"/>
        <w:jc w:val="both"/>
        <w:rPr>
          <w:rFonts w:ascii="Palatino Linotype" w:eastAsia="Palatino Linotype" w:hAnsi="Palatino Linotype" w:cs="Palatino Linotype"/>
        </w:rPr>
      </w:pPr>
    </w:p>
    <w:p w14:paraId="405822BA" w14:textId="77777777" w:rsidR="004517FE" w:rsidRDefault="004517FE">
      <w:pPr>
        <w:spacing w:before="240" w:after="240" w:line="360" w:lineRule="auto"/>
        <w:jc w:val="both"/>
        <w:rPr>
          <w:rFonts w:ascii="Palatino Linotype" w:eastAsia="Palatino Linotype" w:hAnsi="Palatino Linotype" w:cs="Palatino Linotype"/>
        </w:rPr>
      </w:pPr>
    </w:p>
    <w:p w14:paraId="1039174F" w14:textId="77777777" w:rsidR="004517FE" w:rsidRDefault="004517FE">
      <w:pPr>
        <w:spacing w:before="240" w:after="240" w:line="360" w:lineRule="auto"/>
        <w:jc w:val="both"/>
        <w:rPr>
          <w:rFonts w:ascii="Palatino Linotype" w:eastAsia="Palatino Linotype" w:hAnsi="Palatino Linotype" w:cs="Palatino Linotype"/>
        </w:rPr>
      </w:pPr>
    </w:p>
    <w:p w14:paraId="793FEE17" w14:textId="77777777" w:rsidR="004517FE" w:rsidRDefault="004517FE">
      <w:pPr>
        <w:spacing w:before="240" w:after="240"/>
        <w:jc w:val="both"/>
        <w:rPr>
          <w:rFonts w:ascii="Palatino Linotype" w:eastAsia="Palatino Linotype" w:hAnsi="Palatino Linotype" w:cs="Palatino Linotype"/>
          <w:sz w:val="20"/>
          <w:szCs w:val="20"/>
        </w:rPr>
      </w:pPr>
    </w:p>
    <w:p w14:paraId="249DD1A2" w14:textId="77777777" w:rsidR="004517FE" w:rsidRDefault="004517FE">
      <w:pPr>
        <w:spacing w:before="240" w:after="240"/>
        <w:jc w:val="both"/>
        <w:rPr>
          <w:rFonts w:ascii="Palatino Linotype" w:eastAsia="Palatino Linotype" w:hAnsi="Palatino Linotype" w:cs="Palatino Linotype"/>
          <w:sz w:val="20"/>
          <w:szCs w:val="20"/>
        </w:rPr>
      </w:pPr>
    </w:p>
    <w:p w14:paraId="557FEF45" w14:textId="77777777" w:rsidR="004517FE" w:rsidRDefault="004517FE">
      <w:pPr>
        <w:spacing w:before="240" w:after="240"/>
        <w:jc w:val="both"/>
        <w:rPr>
          <w:rFonts w:ascii="Palatino Linotype" w:eastAsia="Palatino Linotype" w:hAnsi="Palatino Linotype" w:cs="Palatino Linotype"/>
          <w:sz w:val="20"/>
          <w:szCs w:val="20"/>
        </w:rPr>
      </w:pPr>
    </w:p>
    <w:p w14:paraId="280B057B" w14:textId="77777777" w:rsidR="004517FE" w:rsidRDefault="004517FE">
      <w:pPr>
        <w:spacing w:before="240" w:after="240"/>
        <w:jc w:val="both"/>
        <w:rPr>
          <w:rFonts w:ascii="Palatino Linotype" w:eastAsia="Palatino Linotype" w:hAnsi="Palatino Linotype" w:cs="Palatino Linotype"/>
          <w:sz w:val="20"/>
          <w:szCs w:val="20"/>
        </w:rPr>
      </w:pPr>
    </w:p>
    <w:p w14:paraId="49DE0A3D" w14:textId="77777777" w:rsidR="004517FE" w:rsidRDefault="004517FE">
      <w:pPr>
        <w:spacing w:before="240" w:after="240"/>
        <w:jc w:val="both"/>
        <w:rPr>
          <w:rFonts w:ascii="Palatino Linotype" w:eastAsia="Palatino Linotype" w:hAnsi="Palatino Linotype" w:cs="Palatino Linotype"/>
          <w:sz w:val="20"/>
          <w:szCs w:val="20"/>
        </w:rPr>
      </w:pPr>
    </w:p>
    <w:p w14:paraId="663B95BB" w14:textId="77777777" w:rsidR="004517FE" w:rsidRDefault="004517FE">
      <w:pPr>
        <w:spacing w:before="240" w:after="240"/>
        <w:jc w:val="both"/>
        <w:rPr>
          <w:rFonts w:ascii="Palatino Linotype" w:eastAsia="Palatino Linotype" w:hAnsi="Palatino Linotype" w:cs="Palatino Linotype"/>
          <w:sz w:val="20"/>
          <w:szCs w:val="20"/>
        </w:rPr>
      </w:pPr>
    </w:p>
    <w:p w14:paraId="16EC2364" w14:textId="77777777" w:rsidR="004517FE" w:rsidRDefault="004517FE">
      <w:pPr>
        <w:spacing w:before="240" w:after="240"/>
        <w:jc w:val="both"/>
        <w:rPr>
          <w:rFonts w:ascii="Palatino Linotype" w:eastAsia="Palatino Linotype" w:hAnsi="Palatino Linotype" w:cs="Palatino Linotype"/>
          <w:sz w:val="20"/>
          <w:szCs w:val="20"/>
        </w:rPr>
      </w:pPr>
    </w:p>
    <w:sectPr w:rsidR="004517FE">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FC330" w14:textId="77777777" w:rsidR="00F6601E" w:rsidRDefault="00F6601E">
      <w:r>
        <w:separator/>
      </w:r>
    </w:p>
  </w:endnote>
  <w:endnote w:type="continuationSeparator" w:id="0">
    <w:p w14:paraId="7534705E" w14:textId="77777777" w:rsidR="00F6601E" w:rsidRDefault="00F66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swiss"/>
    <w:pitch w:val="variable"/>
    <w:sig w:usb0="E00002FF" w:usb1="5000785B" w:usb2="00000000"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97A7" w14:textId="77777777" w:rsidR="004517FE" w:rsidRDefault="004517FE">
    <w:pPr>
      <w:tabs>
        <w:tab w:val="center" w:pos="4252"/>
        <w:tab w:val="right" w:pos="8504"/>
      </w:tabs>
      <w:spacing w:line="360" w:lineRule="auto"/>
      <w:ind w:right="51"/>
      <w:jc w:val="both"/>
      <w:rPr>
        <w:rFonts w:ascii="Palatino Linotype" w:eastAsia="Palatino Linotype" w:hAnsi="Palatino Linotype" w:cs="Palatino Linotype"/>
      </w:rPr>
    </w:pPr>
  </w:p>
  <w:p w14:paraId="1163961F" w14:textId="77777777" w:rsidR="004517FE" w:rsidRDefault="00F6601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7145DD">
      <w:rPr>
        <w:rFonts w:ascii="Palatino Linotype" w:eastAsia="Palatino Linotype" w:hAnsi="Palatino Linotype" w:cs="Palatino Linotype"/>
        <w:b/>
        <w:color w:val="000000"/>
        <w:sz w:val="20"/>
        <w:szCs w:val="20"/>
      </w:rPr>
      <w:fldChar w:fldCharType="separate"/>
    </w:r>
    <w:r w:rsidR="007145DD">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7145DD">
      <w:rPr>
        <w:rFonts w:ascii="Palatino Linotype" w:eastAsia="Palatino Linotype" w:hAnsi="Palatino Linotype" w:cs="Palatino Linotype"/>
        <w:b/>
        <w:color w:val="000000"/>
        <w:sz w:val="20"/>
        <w:szCs w:val="20"/>
      </w:rPr>
      <w:fldChar w:fldCharType="separate"/>
    </w:r>
    <w:r w:rsidR="007145DD">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3482DC6F" w14:textId="77777777" w:rsidR="004517FE" w:rsidRDefault="00F6601E">
    <w:pPr>
      <w:pBdr>
        <w:top w:val="nil"/>
        <w:left w:val="nil"/>
        <w:bottom w:val="nil"/>
        <w:right w:val="nil"/>
        <w:between w:val="nil"/>
      </w:pBdr>
      <w:tabs>
        <w:tab w:val="center" w:pos="4252"/>
        <w:tab w:val="right" w:pos="8504"/>
      </w:tabs>
      <w:ind w:firstLine="708"/>
      <w:rPr>
        <w:rFonts w:ascii="Cambria" w:eastAsia="Cambria" w:hAnsi="Cambria" w:cs="Cambria"/>
        <w:color w:val="000000"/>
      </w:rPr>
    </w:pPr>
    <w:r>
      <w:rPr>
        <w:noProof/>
      </w:rPr>
      <mc:AlternateContent>
        <mc:Choice Requires="wpg">
          <w:drawing>
            <wp:anchor distT="0" distB="0" distL="114300" distR="114300" simplePos="0" relativeHeight="251660288" behindDoc="0" locked="0" layoutInCell="1" hidden="0" allowOverlap="1" wp14:anchorId="0490B09C" wp14:editId="3DD3F1A4">
              <wp:simplePos x="0" y="0"/>
              <wp:positionH relativeFrom="column">
                <wp:posOffset>1266825</wp:posOffset>
              </wp:positionH>
              <wp:positionV relativeFrom="paragraph">
                <wp:posOffset>8263255</wp:posOffset>
              </wp:positionV>
              <wp:extent cx="4545605" cy="308354"/>
              <wp:effectExtent l="0" t="0" r="0" b="0"/>
              <wp:wrapNone/>
              <wp:docPr id="21" name="Rectángulo redondeado 21"/>
              <wp:cNvGraphicFramePr/>
              <a:graphic xmlns:a="http://schemas.openxmlformats.org/drawingml/2006/main">
                <a:graphicData uri="http://schemas.microsoft.com/office/word/2010/wordprocessingShape">
                  <wps:wsp>
                    <wps:cNvSpPr/>
                    <wps:spPr>
                      <a:xfrm>
                        <a:off x="3087485" y="3640111"/>
                        <a:ext cx="4517030" cy="279779"/>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0BCF16F1" w14:textId="77777777" w:rsidR="004517FE" w:rsidRDefault="004517F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1266825</wp:posOffset>
              </wp:positionH>
              <wp:positionV relativeFrom="paragraph">
                <wp:posOffset>8263255</wp:posOffset>
              </wp:positionV>
              <wp:extent cx="4545605" cy="308354"/>
              <wp:effectExtent b="0" l="0" r="0" t="0"/>
              <wp:wrapNone/>
              <wp:docPr id="2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545605" cy="308354"/>
                      </a:xfrm>
                      <a:prstGeom prst="rect"/>
                      <a:ln/>
                    </pic:spPr>
                  </pic:pic>
                </a:graphicData>
              </a:graphic>
            </wp:anchor>
          </w:drawing>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995AC" w14:textId="77777777" w:rsidR="004517FE" w:rsidRDefault="00F6601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sidR="007145DD">
      <w:rPr>
        <w:rFonts w:ascii="Palatino Linotype" w:eastAsia="Palatino Linotype" w:hAnsi="Palatino Linotype" w:cs="Palatino Linotype"/>
        <w:b/>
        <w:color w:val="000000"/>
        <w:sz w:val="20"/>
        <w:szCs w:val="20"/>
      </w:rPr>
      <w:fldChar w:fldCharType="separate"/>
    </w:r>
    <w:r w:rsidR="007145D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sidR="007145DD">
      <w:rPr>
        <w:rFonts w:ascii="Palatino Linotype" w:eastAsia="Palatino Linotype" w:hAnsi="Palatino Linotype" w:cs="Palatino Linotype"/>
        <w:b/>
        <w:color w:val="000000"/>
        <w:sz w:val="20"/>
        <w:szCs w:val="20"/>
      </w:rPr>
      <w:fldChar w:fldCharType="separate"/>
    </w:r>
    <w:r w:rsidR="007145DD">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1BDFA634" w14:textId="77777777" w:rsidR="004517FE" w:rsidRDefault="004517F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E0027" w14:textId="77777777" w:rsidR="00F6601E" w:rsidRDefault="00F6601E">
      <w:r>
        <w:separator/>
      </w:r>
    </w:p>
  </w:footnote>
  <w:footnote w:type="continuationSeparator" w:id="0">
    <w:p w14:paraId="44AC342B" w14:textId="77777777" w:rsidR="00F6601E" w:rsidRDefault="00F6601E">
      <w:r>
        <w:continuationSeparator/>
      </w:r>
    </w:p>
  </w:footnote>
  <w:footnote w:id="1">
    <w:p w14:paraId="333F9E43" w14:textId="77777777" w:rsidR="004517FE" w:rsidRDefault="00F6601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w:t>
      </w:r>
      <w:r>
        <w:rPr>
          <w:rFonts w:ascii="Palatino Linotype" w:eastAsia="Palatino Linotype" w:hAnsi="Palatino Linotype" w:cs="Palatino Linotype"/>
          <w:color w:val="000000"/>
          <w:sz w:val="16"/>
          <w:szCs w:val="16"/>
        </w:rPr>
        <w:t>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AA72F95" w14:textId="77777777" w:rsidR="004517FE" w:rsidRDefault="00F6601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w:t>
      </w:r>
      <w:r>
        <w:rPr>
          <w:rFonts w:ascii="Palatino Linotype" w:eastAsia="Palatino Linotype" w:hAnsi="Palatino Linotype" w:cs="Palatino Linotype"/>
          <w:color w:val="000000"/>
          <w:sz w:val="16"/>
          <w:szCs w:val="16"/>
        </w:rPr>
        <w:t>til para que el público comprenda las actividades que llevan a cabo los sujetos obligados…”</w:t>
      </w:r>
    </w:p>
  </w:footnote>
  <w:footnote w:id="3">
    <w:p w14:paraId="6AD9264B" w14:textId="77777777" w:rsidR="004517FE" w:rsidRDefault="00F6601E">
      <w:pP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w:t>
      </w:r>
      <w:r>
        <w:rPr>
          <w:rFonts w:ascii="Palatino Linotype" w:eastAsia="Palatino Linotype" w:hAnsi="Palatino Linotype" w:cs="Palatino Linotype"/>
          <w:color w:val="000000"/>
          <w:sz w:val="16"/>
          <w:szCs w:val="16"/>
        </w:rPr>
        <w:t>ión</w:t>
      </w:r>
      <w:proofErr w:type="gramStart"/>
      <w:r>
        <w:rPr>
          <w:rFonts w:ascii="Palatino Linotype" w:eastAsia="Palatino Linotype" w:hAnsi="Palatino Linotype" w:cs="Palatino Linotype"/>
          <w:color w:val="000000"/>
          <w:sz w:val="16"/>
          <w:szCs w:val="16"/>
        </w:rPr>
        <w:t>.”(</w:t>
      </w:r>
      <w:proofErr w:type="gramEnd"/>
      <w:r>
        <w:rPr>
          <w:rFonts w:ascii="Palatino Linotype" w:eastAsia="Palatino Linotype" w:hAnsi="Palatino Linotype" w:cs="Palatino Linotype"/>
          <w:color w:val="000000"/>
          <w:sz w:val="16"/>
          <w:szCs w:val="16"/>
        </w:rPr>
        <w:t>Sic)</w:t>
      </w:r>
    </w:p>
  </w:footnote>
  <w:footnote w:id="4">
    <w:p w14:paraId="279EE9CF" w14:textId="77777777" w:rsidR="004517FE" w:rsidRDefault="00F6601E">
      <w:pP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14:paraId="167C66AB" w14:textId="77777777" w:rsidR="004517FE" w:rsidRDefault="00F6601E">
      <w:pP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del recurrente, sin cambiar los hechos expuestos, asegurándose de que las partes puedan presentar, de manera oral o escrita, los argumento</w:t>
      </w:r>
      <w:r>
        <w:rPr>
          <w:rFonts w:ascii="Palatino Linotype" w:eastAsia="Palatino Linotype" w:hAnsi="Palatino Linotype" w:cs="Palatino Linotype"/>
          <w:color w:val="000000"/>
          <w:sz w:val="16"/>
          <w:szCs w:val="16"/>
        </w:rPr>
        <w:t>s que funden y motiven sus pretensiones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C1FA6" w14:textId="77777777" w:rsidR="004517FE" w:rsidRDefault="004517FE">
    <w:pPr>
      <w:pBdr>
        <w:top w:val="nil"/>
        <w:left w:val="nil"/>
        <w:bottom w:val="nil"/>
        <w:right w:val="nil"/>
        <w:between w:val="nil"/>
      </w:pBdr>
      <w:tabs>
        <w:tab w:val="center" w:pos="4252"/>
        <w:tab w:val="right" w:pos="8504"/>
        <w:tab w:val="left" w:pos="2326"/>
      </w:tabs>
      <w:rPr>
        <w:rFonts w:ascii="Cambria" w:eastAsia="Cambria" w:hAnsi="Cambria" w:cs="Cambria"/>
        <w:color w:val="000000"/>
      </w:rPr>
    </w:pPr>
  </w:p>
  <w:p w14:paraId="6CC6FE44" w14:textId="77777777" w:rsidR="004517FE" w:rsidRDefault="00F6601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421470E5" wp14:editId="253BDCC1">
          <wp:simplePos x="0" y="0"/>
          <wp:positionH relativeFrom="column">
            <wp:posOffset>-1080133</wp:posOffset>
          </wp:positionH>
          <wp:positionV relativeFrom="paragraph">
            <wp:posOffset>-450213</wp:posOffset>
          </wp:positionV>
          <wp:extent cx="7809865" cy="10165715"/>
          <wp:effectExtent l="0" t="0" r="0" b="0"/>
          <wp:wrapNone/>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4517FE" w14:paraId="7ECFA83B" w14:textId="77777777">
      <w:tc>
        <w:tcPr>
          <w:tcW w:w="2489" w:type="dxa"/>
          <w:shd w:val="clear" w:color="auto" w:fill="auto"/>
        </w:tcPr>
        <w:p w14:paraId="2915642D" w14:textId="77777777" w:rsidR="004517FE" w:rsidRDefault="00F66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4B0D45C" w14:textId="77777777" w:rsidR="004517FE" w:rsidRDefault="00F6601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04994/INFOEM/IP/RR/2021 </w:t>
          </w:r>
        </w:p>
      </w:tc>
    </w:tr>
    <w:tr w:rsidR="004517FE" w14:paraId="3603CA7E" w14:textId="77777777">
      <w:trPr>
        <w:trHeight w:val="228"/>
      </w:trPr>
      <w:tc>
        <w:tcPr>
          <w:tcW w:w="2489" w:type="dxa"/>
          <w:shd w:val="clear" w:color="auto" w:fill="auto"/>
          <w:vAlign w:val="center"/>
        </w:tcPr>
        <w:p w14:paraId="7F75E554" w14:textId="77777777" w:rsidR="004517FE" w:rsidRDefault="00F66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8EBB821" w14:textId="77777777" w:rsidR="004517FE" w:rsidRDefault="00F6601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4517FE" w14:paraId="59CAB75E" w14:textId="77777777">
      <w:tc>
        <w:tcPr>
          <w:tcW w:w="2489" w:type="dxa"/>
          <w:shd w:val="clear" w:color="auto" w:fill="auto"/>
          <w:vAlign w:val="center"/>
        </w:tcPr>
        <w:p w14:paraId="4A7C0AF4" w14:textId="77777777" w:rsidR="004517FE" w:rsidRDefault="00F6601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3BD21EA" w14:textId="77777777" w:rsidR="004517FE" w:rsidRDefault="00F6601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E9752D" w14:textId="77777777" w:rsidR="004517FE" w:rsidRDefault="00F6601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31FF5" w14:textId="77777777" w:rsidR="004517FE" w:rsidRDefault="004517FE">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8"/>
      <w:tblW w:w="5812" w:type="dxa"/>
      <w:tblInd w:w="2977" w:type="dxa"/>
      <w:tblLayout w:type="fixed"/>
      <w:tblLook w:val="0400" w:firstRow="0" w:lastRow="0" w:firstColumn="0" w:lastColumn="0" w:noHBand="0" w:noVBand="1"/>
    </w:tblPr>
    <w:tblGrid>
      <w:gridCol w:w="2551"/>
      <w:gridCol w:w="3261"/>
    </w:tblGrid>
    <w:tr w:rsidR="004517FE" w14:paraId="00016ADF" w14:textId="77777777">
      <w:tc>
        <w:tcPr>
          <w:tcW w:w="2551" w:type="dxa"/>
          <w:shd w:val="clear" w:color="auto" w:fill="auto"/>
          <w:vAlign w:val="center"/>
        </w:tcPr>
        <w:p w14:paraId="68EDE4B3" w14:textId="77777777" w:rsidR="004517FE" w:rsidRDefault="00F66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shd w:val="clear" w:color="auto" w:fill="auto"/>
          <w:vAlign w:val="center"/>
        </w:tcPr>
        <w:p w14:paraId="096B9A0C" w14:textId="77777777" w:rsidR="004517FE" w:rsidRDefault="00F6601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04994/INFOEM/IP/RR/2021 </w:t>
          </w:r>
        </w:p>
      </w:tc>
    </w:tr>
    <w:tr w:rsidR="004517FE" w14:paraId="1FCC8FC9" w14:textId="77777777">
      <w:trPr>
        <w:trHeight w:val="130"/>
      </w:trPr>
      <w:tc>
        <w:tcPr>
          <w:tcW w:w="2551" w:type="dxa"/>
          <w:shd w:val="clear" w:color="auto" w:fill="auto"/>
          <w:vAlign w:val="center"/>
        </w:tcPr>
        <w:p w14:paraId="516D9C71" w14:textId="77777777" w:rsidR="004517FE" w:rsidRDefault="00F66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shd w:val="clear" w:color="auto" w:fill="auto"/>
          <w:vAlign w:val="center"/>
        </w:tcPr>
        <w:p w14:paraId="75177410" w14:textId="77777777" w:rsidR="004517FE" w:rsidRDefault="007145DD">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w:t>
          </w:r>
        </w:p>
      </w:tc>
    </w:tr>
    <w:tr w:rsidR="004517FE" w14:paraId="303F2D4B" w14:textId="77777777">
      <w:trPr>
        <w:trHeight w:val="228"/>
      </w:trPr>
      <w:tc>
        <w:tcPr>
          <w:tcW w:w="2551" w:type="dxa"/>
          <w:shd w:val="clear" w:color="auto" w:fill="auto"/>
          <w:vAlign w:val="center"/>
        </w:tcPr>
        <w:p w14:paraId="05B4E32C" w14:textId="77777777" w:rsidR="004517FE" w:rsidRDefault="00F66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shd w:val="clear" w:color="auto" w:fill="auto"/>
          <w:vAlign w:val="center"/>
        </w:tcPr>
        <w:p w14:paraId="077BB799" w14:textId="77777777" w:rsidR="004517FE" w:rsidRDefault="00F6601E">
          <w:pPr>
            <w:ind w:right="17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4517FE" w14:paraId="60418E88" w14:textId="77777777">
      <w:tc>
        <w:tcPr>
          <w:tcW w:w="2551" w:type="dxa"/>
          <w:shd w:val="clear" w:color="auto" w:fill="auto"/>
          <w:vAlign w:val="center"/>
        </w:tcPr>
        <w:p w14:paraId="02B95F61" w14:textId="77777777" w:rsidR="004517FE" w:rsidRDefault="00F6601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shd w:val="clear" w:color="auto" w:fill="auto"/>
          <w:vAlign w:val="center"/>
        </w:tcPr>
        <w:p w14:paraId="1C8CCA82" w14:textId="77777777" w:rsidR="004517FE" w:rsidRDefault="00F6601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E05D5D1" w14:textId="77777777" w:rsidR="004517FE" w:rsidRDefault="00F6601E">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06E9F76C" wp14:editId="58C5B1B7">
          <wp:simplePos x="0" y="0"/>
          <wp:positionH relativeFrom="column">
            <wp:posOffset>-1090928</wp:posOffset>
          </wp:positionH>
          <wp:positionV relativeFrom="paragraph">
            <wp:posOffset>-1154428</wp:posOffset>
          </wp:positionV>
          <wp:extent cx="7809865" cy="10165715"/>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B6B35"/>
    <w:multiLevelType w:val="multilevel"/>
    <w:tmpl w:val="46164C1A"/>
    <w:lvl w:ilvl="0">
      <w:start w:val="1"/>
      <w:numFmt w:val="bullet"/>
      <w:pStyle w:val="Listaconvietas3"/>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1">
    <w:nsid w:val="4A9B6FAB"/>
    <w:multiLevelType w:val="multilevel"/>
    <w:tmpl w:val="7EA02A5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7FE"/>
    <w:rsid w:val="004517FE"/>
    <w:rsid w:val="007145DD"/>
    <w:rsid w:val="00F6601E"/>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CADA3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122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MX"/>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MX"/>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eastAsia="es-MX"/>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eastAsia="es-MX"/>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eastAsia="es-MX"/>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eastAsia="es-MX"/>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eastAsia="es-MX"/>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MX"/>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eastAsia="es-MX"/>
    </w:rPr>
  </w:style>
  <w:style w:type="paragraph" w:styleId="NormalWeb">
    <w:name w:val="Normal (Web)"/>
    <w:basedOn w:val="Normal"/>
    <w:uiPriority w:val="99"/>
    <w:rsid w:val="000470FE"/>
    <w:pPr>
      <w:spacing w:before="100" w:beforeAutospacing="1" w:after="100" w:afterAutospacing="1"/>
    </w:pPr>
    <w:rPr>
      <w:lang w:val="es-ES" w:eastAsia="es-MX"/>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MX"/>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MX"/>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eastAsia="es-MX"/>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eastAsia="es-MX"/>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eastAsia="es-MX"/>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MX"/>
    </w:rPr>
  </w:style>
  <w:style w:type="paragraph" w:styleId="Lista2">
    <w:name w:val="List 2"/>
    <w:basedOn w:val="Normal"/>
    <w:uiPriority w:val="99"/>
    <w:unhideWhenUsed/>
    <w:rsid w:val="00603D72"/>
    <w:pPr>
      <w:ind w:left="566" w:hanging="283"/>
      <w:contextualSpacing/>
    </w:pPr>
    <w:rPr>
      <w:lang w:val="es-ES" w:eastAsia="es-MX"/>
    </w:rPr>
  </w:style>
  <w:style w:type="paragraph" w:styleId="Lista3">
    <w:name w:val="List 3"/>
    <w:basedOn w:val="Normal"/>
    <w:uiPriority w:val="99"/>
    <w:unhideWhenUsed/>
    <w:rsid w:val="00603D72"/>
    <w:pPr>
      <w:ind w:left="849" w:hanging="283"/>
      <w:contextualSpacing/>
    </w:pPr>
    <w:rPr>
      <w:lang w:val="es-ES" w:eastAsia="es-MX"/>
    </w:rPr>
  </w:style>
  <w:style w:type="paragraph" w:styleId="Listaconvietas3">
    <w:name w:val="List Bullet 3"/>
    <w:basedOn w:val="Normal"/>
    <w:uiPriority w:val="99"/>
    <w:unhideWhenUsed/>
    <w:rsid w:val="00603D72"/>
    <w:pPr>
      <w:numPr>
        <w:numId w:val="2"/>
      </w:numPr>
      <w:contextualSpacing/>
    </w:pPr>
    <w:rPr>
      <w:lang w:val="es-ES" w:eastAsia="es-MX"/>
    </w:rPr>
  </w:style>
  <w:style w:type="paragraph" w:styleId="Continuarlista">
    <w:name w:val="List Continue"/>
    <w:basedOn w:val="Normal"/>
    <w:uiPriority w:val="99"/>
    <w:unhideWhenUsed/>
    <w:rsid w:val="00603D72"/>
    <w:pPr>
      <w:spacing w:after="120"/>
      <w:ind w:left="283"/>
      <w:contextualSpacing/>
    </w:pPr>
    <w:rPr>
      <w:lang w:val="es-ES" w:eastAsia="es-MX"/>
    </w:rPr>
  </w:style>
  <w:style w:type="paragraph" w:styleId="Continuarlista2">
    <w:name w:val="List Continue 2"/>
    <w:basedOn w:val="Normal"/>
    <w:uiPriority w:val="99"/>
    <w:unhideWhenUsed/>
    <w:rsid w:val="00603D72"/>
    <w:pPr>
      <w:spacing w:after="120"/>
      <w:ind w:left="566"/>
      <w:contextualSpacing/>
    </w:pPr>
    <w:rPr>
      <w:lang w:val="es-ES" w:eastAsia="es-MX"/>
    </w:rPr>
  </w:style>
  <w:style w:type="paragraph" w:styleId="Textoindependiente">
    <w:name w:val="Body Text"/>
    <w:basedOn w:val="Normal"/>
    <w:link w:val="TextoindependienteCar"/>
    <w:uiPriority w:val="99"/>
    <w:unhideWhenUsed/>
    <w:rsid w:val="00603D72"/>
    <w:pPr>
      <w:spacing w:after="120"/>
    </w:pPr>
    <w:rPr>
      <w:lang w:val="es-ES" w:eastAsia="es-MX"/>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MX"/>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7.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Ib+ouBjiGnlSZ3Zs8y+ECPNUzQ==">AMUW2mX4VLv8TEIipkdexMtf0WH8uYT2c8c9R5YPo+dSFb9y+MiOONALADMmAt1cDUTFmY7KKUSUZUnVb8E+SrU8WxPhXKTBYA8Urm8aiX3x+mTYsdCPGUkfHa5SciwZS9RYnSvhmLegYX/pOXWIsY7b2Ki8DFzU1yKXjhXSmVawVW06EpgGQRE=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7326</Words>
  <Characters>40293</Characters>
  <Application>Microsoft Macintosh Word</Application>
  <DocSecurity>0</DocSecurity>
  <Lines>335</Lines>
  <Paragraphs>95</Paragraphs>
  <ScaleCrop>false</ScaleCrop>
  <LinksUpToDate>false</LinksUpToDate>
  <CharactersWithSpaces>47524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juan Jesus Portilla Villavicencio</cp:lastModifiedBy>
  <cp:revision>2</cp:revision>
  <dcterms:created xsi:type="dcterms:W3CDTF">2021-11-03T22:27:00Z</dcterms:created>
  <dcterms:modified xsi:type="dcterms:W3CDTF">2022-01-18T18:53:00Z</dcterms:modified>
</cp:coreProperties>
</file>