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CC9" w:rsidP="009245F5" w:rsidRDefault="002A4CC9" w14:paraId="7273D5B0" w14:textId="77777777">
      <w:pPr>
        <w:spacing w:line="360" w:lineRule="auto"/>
        <w:ind w:right="-28"/>
        <w:jc w:val="both"/>
        <w:rPr>
          <w:rFonts w:ascii="Palatino Linotype" w:hAnsi="Palatino Linotype" w:cs="Tahoma"/>
          <w:bCs/>
          <w:sz w:val="22"/>
          <w:szCs w:val="22"/>
        </w:rPr>
      </w:pPr>
    </w:p>
    <w:p w:rsidRPr="003121BB" w:rsidR="009245F5" w:rsidP="009245F5" w:rsidRDefault="009245F5" w14:paraId="63D14729" w14:textId="259B7AA0">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221B2B">
        <w:rPr>
          <w:rFonts w:ascii="Palatino Linotype" w:hAnsi="Palatino Linotype" w:cs="Tahoma"/>
          <w:bCs/>
          <w:sz w:val="22"/>
          <w:szCs w:val="22"/>
        </w:rPr>
        <w:t>s</w:t>
      </w:r>
      <w:r w:rsidR="002A796E">
        <w:rPr>
          <w:rFonts w:ascii="Palatino Linotype" w:hAnsi="Palatino Linotype" w:cs="Tahoma"/>
          <w:bCs/>
          <w:sz w:val="22"/>
          <w:szCs w:val="22"/>
        </w:rPr>
        <w:t xml:space="preserve">iete </w:t>
      </w:r>
      <w:r w:rsidR="00221B2B">
        <w:rPr>
          <w:rFonts w:ascii="Palatino Linotype" w:hAnsi="Palatino Linotype" w:cs="Tahoma"/>
          <w:bCs/>
          <w:sz w:val="22"/>
          <w:szCs w:val="22"/>
        </w:rPr>
        <w:t xml:space="preserve">de abril </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rsidRPr="003121BB"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009245F5" w:rsidP="4F57FE12" w:rsidRDefault="009245F5" w14:paraId="1F508283" w14:textId="04129D81">
      <w:pPr>
        <w:spacing w:line="360" w:lineRule="auto"/>
        <w:ind w:right="-28"/>
        <w:jc w:val="both"/>
        <w:rPr>
          <w:rFonts w:ascii="Palatino Linotype" w:hAnsi="Palatino Linotype" w:cs="Tahoma"/>
          <w:sz w:val="22"/>
          <w:szCs w:val="22"/>
        </w:rPr>
      </w:pPr>
      <w:r w:rsidRPr="4F57FE12" w:rsidR="4F57FE12">
        <w:rPr>
          <w:rFonts w:ascii="Palatino Linotype" w:hAnsi="Palatino Linotype" w:cs="Tahoma"/>
          <w:b w:val="1"/>
          <w:bCs w:val="1"/>
          <w:sz w:val="22"/>
          <w:szCs w:val="22"/>
        </w:rPr>
        <w:t xml:space="preserve">VISTO </w:t>
      </w:r>
      <w:r w:rsidRPr="4F57FE12" w:rsidR="4F57FE12">
        <w:rPr>
          <w:rFonts w:ascii="Palatino Linotype" w:hAnsi="Palatino Linotype" w:cs="Tahoma"/>
          <w:sz w:val="22"/>
          <w:szCs w:val="22"/>
        </w:rPr>
        <w:t xml:space="preserve">el expediente conformado con motivo del Recurso de Revisión </w:t>
      </w:r>
      <w:r w:rsidRPr="4F57FE12" w:rsidR="4F57FE12">
        <w:rPr>
          <w:rFonts w:ascii="Palatino Linotype" w:hAnsi="Palatino Linotype" w:cs="Tahoma"/>
          <w:color w:val="0D0D0D" w:themeColor="text1" w:themeTint="F2" w:themeShade="FF"/>
          <w:sz w:val="22"/>
          <w:szCs w:val="22"/>
        </w:rPr>
        <w:t>00696/INFOEM/IP/RR/2022</w:t>
      </w:r>
      <w:r w:rsidRPr="4F57FE12" w:rsidR="4F57FE12">
        <w:rPr>
          <w:rFonts w:ascii="Palatino Linotype" w:hAnsi="Palatino Linotype" w:cs="Tahoma"/>
          <w:sz w:val="22"/>
          <w:szCs w:val="22"/>
        </w:rPr>
        <w:t xml:space="preserve">, interpuesto por </w:t>
      </w:r>
      <w:r w:rsidRPr="4F57FE12" w:rsidR="4F57FE12">
        <w:rPr>
          <w:rFonts w:ascii="Palatino Linotype" w:hAnsi="Palatino Linotype" w:cs="Tahoma"/>
          <w:sz w:val="22"/>
          <w:szCs w:val="22"/>
          <w:highlight w:val="black"/>
        </w:rPr>
        <w:t>XXXXXXXXXXXXXXXXXXX</w:t>
      </w:r>
      <w:r w:rsidRPr="4F57FE12" w:rsidR="4F57FE12">
        <w:rPr>
          <w:rFonts w:ascii="Palatino Linotype" w:hAnsi="Palatino Linotype" w:cs="Tahoma"/>
          <w:sz w:val="22"/>
          <w:szCs w:val="22"/>
        </w:rPr>
        <w:t>, en lo sucesivo Recurrente o Particular, en contra de la respuesta del Sujeto Obligado, Ayuntamiento de Donato Guerra, a la solicitud de acceso a la información pública con número de folio 00009/DONAGUER/IP/2022, se emite la presente Resolución, con base en los Antecedentes y Considerandos que se exponen a continuación:</w:t>
      </w:r>
    </w:p>
    <w:p w:rsidRPr="00A06F31"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3121BB"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3121BB"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6B54FE" w:rsidR="00A021B4" w:rsidP="009245F5" w:rsidRDefault="009245F5" w14:paraId="3F22F683" w14:textId="080A5137">
      <w:pPr>
        <w:autoSpaceDE w:val="0"/>
        <w:autoSpaceDN w:val="0"/>
        <w:adjustRightInd w:val="0"/>
        <w:spacing w:line="360" w:lineRule="auto"/>
        <w:jc w:val="both"/>
        <w:rPr>
          <w:rFonts w:ascii="Palatino Linotype" w:hAnsi="Palatino Linotype" w:cs="Tahoma"/>
          <w:bCs/>
          <w:sz w:val="22"/>
          <w:szCs w:val="22"/>
          <w:lang w:val="es-ES"/>
        </w:rPr>
      </w:pPr>
      <w:r>
        <w:rPr>
          <w:rFonts w:ascii="Palatino Linotype" w:hAnsi="Palatino Linotype" w:cs="Tahoma"/>
          <w:sz w:val="22"/>
          <w:szCs w:val="22"/>
        </w:rPr>
        <w:t xml:space="preserve">Con fecha </w:t>
      </w:r>
      <w:r w:rsidR="00221B2B">
        <w:rPr>
          <w:rFonts w:ascii="Palatino Linotype" w:hAnsi="Palatino Linotype" w:cs="Tahoma"/>
          <w:sz w:val="22"/>
          <w:szCs w:val="22"/>
        </w:rPr>
        <w:t>diecinueve de enero de dos mil veintidós</w:t>
      </w:r>
      <w:r w:rsidR="007139BF">
        <w:rPr>
          <w:rFonts w:ascii="Palatino Linotype" w:hAnsi="Palatino Linotype" w:cs="Tahoma"/>
          <w:sz w:val="22"/>
          <w:szCs w:val="22"/>
        </w:rPr>
        <w:t xml:space="preserve">, </w:t>
      </w:r>
      <w:r>
        <w:rPr>
          <w:rFonts w:ascii="Palatino Linotype" w:hAnsi="Palatino Linotype" w:cs="Tahoma"/>
          <w:sz w:val="22"/>
          <w:szCs w:val="22"/>
        </w:rPr>
        <w:t xml:space="preserve">el Particular presentó una solicitud de acceso a la información pública, a través del Sistema de Acceso a la Información Mexiquense (SAIMEX), ante </w:t>
      </w:r>
      <w:r w:rsidR="007139BF">
        <w:rPr>
          <w:rFonts w:ascii="Palatino Linotype" w:hAnsi="Palatino Linotype" w:cs="Tahoma"/>
          <w:sz w:val="22"/>
          <w:szCs w:val="22"/>
        </w:rPr>
        <w:t xml:space="preserve">la </w:t>
      </w:r>
      <w:r w:rsidRPr="007139BF" w:rsidR="007139BF">
        <w:rPr>
          <w:rFonts w:ascii="Palatino Linotype" w:hAnsi="Palatino Linotype" w:cs="Tahoma"/>
          <w:sz w:val="22"/>
          <w:szCs w:val="22"/>
        </w:rPr>
        <w:t>Comisión de Conciliación y Arbitraje Médico del Estado de México</w:t>
      </w:r>
      <w:r>
        <w:rPr>
          <w:rFonts w:ascii="Palatino Linotype" w:hAnsi="Palatino Linotype" w:cs="Tahoma"/>
          <w:b/>
          <w:bCs/>
          <w:sz w:val="22"/>
          <w:szCs w:val="22"/>
          <w:lang w:val="es-ES"/>
        </w:rPr>
        <w:t>,</w:t>
      </w:r>
      <w:r w:rsidRPr="00A021B4" w:rsidR="00A021B4">
        <w:rPr>
          <w:rFonts w:cs="Tahoma"/>
          <w:b/>
        </w:rPr>
        <w:t xml:space="preserve"> </w:t>
      </w:r>
      <w:r w:rsidRPr="006B54FE" w:rsidR="00A021B4">
        <w:rPr>
          <w:rFonts w:ascii="Palatino Linotype" w:hAnsi="Palatino Linotype" w:cs="Tahoma"/>
          <w:bCs/>
          <w:sz w:val="22"/>
          <w:szCs w:val="22"/>
          <w:lang w:val="es-ES"/>
        </w:rPr>
        <w:t>mediante la cual requirió lo siguiente:</w:t>
      </w:r>
    </w:p>
    <w:p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rsidR="009245F5" w:rsidP="009245F5" w:rsidRDefault="00221B2B" w14:paraId="5DC2D3D0" w14:textId="0CFFEC10">
      <w:pPr>
        <w:tabs>
          <w:tab w:val="left" w:pos="4667"/>
        </w:tabs>
        <w:spacing w:line="360" w:lineRule="auto"/>
        <w:ind w:left="567" w:right="567"/>
        <w:jc w:val="both"/>
        <w:rPr>
          <w:rFonts w:ascii="Palatino Linotype" w:hAnsi="Palatino Linotype" w:cs="Tahoma"/>
          <w:bCs/>
          <w:i/>
        </w:rPr>
      </w:pPr>
      <w:r w:rsidRPr="00221B2B">
        <w:rPr>
          <w:rFonts w:ascii="Palatino Linotype" w:hAnsi="Palatino Linotype"/>
          <w:i/>
          <w:color w:val="000000"/>
        </w:rPr>
        <w:t>requiero la cuenta anual de los ejercicios 2017,2018,2019,2020 y 2021 del ayuntamiento de Donato Guerra.</w:t>
      </w:r>
      <w:r w:rsidRPr="007139BF" w:rsidR="007139BF">
        <w:rPr>
          <w:rFonts w:ascii="Palatino Linotype" w:hAnsi="Palatino Linotype"/>
          <w:i/>
          <w:color w:val="000000"/>
        </w:rPr>
        <w:t>.</w:t>
      </w:r>
      <w:r w:rsidR="009245F5">
        <w:rPr>
          <w:rFonts w:ascii="Palatino Linotype" w:hAnsi="Palatino Linotype" w:cs="Tahoma"/>
          <w:bCs/>
          <w:i/>
        </w:rPr>
        <w:t xml:space="preserve">” </w:t>
      </w:r>
    </w:p>
    <w:p w:rsidR="00B24B9B" w:rsidP="009245F5" w:rsidRDefault="00B24B9B" w14:paraId="32D1BF46" w14:textId="77777777">
      <w:pPr>
        <w:tabs>
          <w:tab w:val="left" w:pos="4667"/>
        </w:tabs>
        <w:spacing w:line="360" w:lineRule="auto"/>
        <w:ind w:left="567" w:right="567"/>
        <w:jc w:val="both"/>
        <w:rPr>
          <w:rFonts w:ascii="Palatino Linotype" w:hAnsi="Palatino Linotype" w:cs="Tahoma"/>
          <w:bCs/>
          <w:i/>
        </w:rPr>
      </w:pPr>
    </w:p>
    <w:p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9245F5" w:rsidP="009245F5" w:rsidRDefault="009245F5" w14:paraId="267D9C41" w14:textId="77777777">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rsidRPr="00C94337" w:rsidR="009245F5" w:rsidP="009245F5" w:rsidRDefault="009245F5" w14:paraId="3BE03F08" w14:textId="77777777">
      <w:pPr>
        <w:tabs>
          <w:tab w:val="left" w:pos="567"/>
        </w:tabs>
        <w:spacing w:line="360" w:lineRule="auto"/>
        <w:ind w:left="567" w:right="-28"/>
        <w:jc w:val="both"/>
        <w:rPr>
          <w:rFonts w:ascii="Palatino Linotype" w:hAnsi="Palatino Linotype" w:cs="Tahoma"/>
          <w:i/>
        </w:rPr>
      </w:pPr>
    </w:p>
    <w:p w:rsidR="009245F5" w:rsidP="009245F5" w:rsidRDefault="009245F5" w14:paraId="24DEF272"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0"/>
      <w:r w:rsidRPr="0044324B">
        <w:rPr>
          <w:rFonts w:ascii="Palatino Linotype" w:hAnsi="Palatino Linotype" w:cs="Tahoma"/>
          <w:b/>
          <w:sz w:val="22"/>
          <w:szCs w:val="22"/>
        </w:rPr>
        <w:lastRenderedPageBreak/>
        <w:t>II. Respuesta del Sujeto Obligado.</w:t>
      </w:r>
      <w:bookmarkEnd w:id="0"/>
    </w:p>
    <w:p w:rsidR="009245F5" w:rsidP="009245F5"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FC6890" w:rsidR="009245F5" w:rsidP="009245F5" w:rsidRDefault="009245F5" w14:paraId="7C46B0E6" w14:textId="51E8764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 xml:space="preserve">El </w:t>
      </w:r>
      <w:r w:rsidR="00221B2B">
        <w:rPr>
          <w:rFonts w:ascii="Palatino Linotype" w:hAnsi="Palatino Linotype" w:cs="Tahoma"/>
          <w:bCs/>
          <w:sz w:val="22"/>
          <w:szCs w:val="22"/>
        </w:rPr>
        <w:t xml:space="preserve">diez de febrero </w:t>
      </w:r>
      <w:r>
        <w:rPr>
          <w:rFonts w:ascii="Palatino Linotype" w:hAnsi="Palatino Linotype" w:cs="Tahoma"/>
          <w:bCs/>
          <w:sz w:val="22"/>
          <w:szCs w:val="22"/>
        </w:rPr>
        <w:t xml:space="preserve"> de dos mil veintidós, el</w:t>
      </w:r>
      <w:r>
        <w:rPr>
          <w:rFonts w:ascii="Palatino Linotype" w:hAnsi="Palatino Linotype" w:cs="Tahoma"/>
          <w:b/>
          <w:sz w:val="22"/>
          <w:szCs w:val="22"/>
        </w:rPr>
        <w:t xml:space="preserve"> </w:t>
      </w:r>
      <w:r>
        <w:rPr>
          <w:rFonts w:ascii="Palatino Linotype" w:hAnsi="Palatino Linotype" w:cs="Tahoma"/>
          <w:sz w:val="22"/>
          <w:szCs w:val="22"/>
        </w:rPr>
        <w:t xml:space="preserve">Sujeto Obligado dio respuesta a la solicitud de acceso a la información a través del Sistema de Acceso a la Información Mexiquense (SAIMEX),  </w:t>
      </w:r>
      <w:r w:rsidRPr="00FC6890">
        <w:rPr>
          <w:rFonts w:ascii="Palatino Linotype" w:hAnsi="Palatino Linotype" w:cs="Tahoma"/>
          <w:sz w:val="22"/>
          <w:szCs w:val="22"/>
        </w:rPr>
        <w:t>en los siguientes términos:</w:t>
      </w:r>
    </w:p>
    <w:p w:rsidR="009245F5" w:rsidP="009245F5" w:rsidRDefault="009245F5" w14:paraId="3EFD69A1" w14:textId="77777777">
      <w:pPr>
        <w:tabs>
          <w:tab w:val="left" w:pos="4667"/>
        </w:tabs>
        <w:spacing w:line="360" w:lineRule="auto"/>
        <w:ind w:left="567"/>
        <w:jc w:val="both"/>
        <w:rPr>
          <w:rFonts w:ascii="Palatino Linotype" w:hAnsi="Palatino Linotype" w:cs="Tahoma"/>
          <w:bCs/>
          <w:i/>
        </w:rPr>
      </w:pPr>
    </w:p>
    <w:p w:rsidRPr="001207E3" w:rsidR="009245F5" w:rsidP="009245F5" w:rsidRDefault="009245F5" w14:paraId="59039576" w14:textId="07890F29">
      <w:pPr>
        <w:tabs>
          <w:tab w:val="left" w:pos="4667"/>
        </w:tabs>
        <w:spacing w:line="360" w:lineRule="auto"/>
        <w:ind w:left="567"/>
        <w:jc w:val="both"/>
        <w:rPr>
          <w:rFonts w:ascii="Palatino Linotype" w:hAnsi="Palatino Linotype" w:cs="Tahoma"/>
          <w:bCs/>
          <w:i/>
        </w:rPr>
      </w:pPr>
      <w:r>
        <w:rPr>
          <w:rFonts w:ascii="Palatino Linotype" w:hAnsi="Palatino Linotype" w:cs="Tahoma"/>
          <w:bCs/>
          <w:i/>
        </w:rPr>
        <w:t>“</w:t>
      </w:r>
      <w:r>
        <w:rPr>
          <w:rFonts w:ascii="Palatino Linotype" w:hAnsi="Palatino Linotype" w:cs="Tahoma"/>
          <w:bCs/>
          <w:i/>
          <w:lang w:val="es-ES"/>
        </w:rPr>
        <w:t>…</w:t>
      </w:r>
      <w:r w:rsidRPr="00221B2B" w:rsidR="00221B2B">
        <w:rPr>
          <w:rFonts w:ascii="Palatino Linotype" w:hAnsi="Palatino Linotype" w:cs="Tahoma"/>
          <w:bCs/>
          <w:i/>
          <w:lang w:val="es-ES"/>
        </w:rPr>
        <w:t>SE PONE A SU DISPOSICION INFORMACION SOLICITADA PARA SU CONSULTA DIRECTA EN TESORERIA”</w:t>
      </w:r>
      <w:r>
        <w:rPr>
          <w:rFonts w:ascii="Palatino Linotype" w:hAnsi="Palatino Linotype" w:cs="Tahoma"/>
          <w:i/>
          <w:szCs w:val="22"/>
          <w:lang w:val="es-ES"/>
        </w:rPr>
        <w:t xml:space="preserve"> (sic.)</w:t>
      </w:r>
    </w:p>
    <w:p w:rsidRPr="001207E3" w:rsidR="009245F5" w:rsidP="009245F5" w:rsidRDefault="009245F5" w14:paraId="7989A775"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474FBB" w:rsidR="009245F5" w:rsidP="009245F5" w:rsidRDefault="009245F5" w14:paraId="3BB08E0E" w14:textId="0A17BD27">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221B2B">
        <w:rPr>
          <w:rFonts w:ascii="Palatino Linotype" w:hAnsi="Palatino Linotype" w:cs="Tahoma"/>
          <w:bCs/>
          <w:sz w:val="22"/>
          <w:szCs w:val="22"/>
          <w:lang w:val="es-ES"/>
        </w:rPr>
        <w:t xml:space="preserve">diez de febrero </w:t>
      </w:r>
      <w:r w:rsidR="007139BF">
        <w:rPr>
          <w:rFonts w:ascii="Palatino Linotype" w:hAnsi="Palatino Linotype" w:cs="Tahoma"/>
          <w:bCs/>
          <w:sz w:val="22"/>
          <w:szCs w:val="22"/>
          <w:lang w:val="es-ES"/>
        </w:rPr>
        <w:t xml:space="preserve"> </w:t>
      </w:r>
      <w:r w:rsidRPr="00474FBB">
        <w:rPr>
          <w:rFonts w:ascii="Palatino Linotype" w:hAnsi="Palatino Linotype" w:cs="Tahoma"/>
          <w:bCs/>
          <w:sz w:val="22"/>
          <w:szCs w:val="22"/>
          <w:lang w:val="es-ES"/>
        </w:rPr>
        <w:t>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Pr="001207E3"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rsidR="009245F5" w:rsidP="007139BF" w:rsidRDefault="00221B2B" w14:paraId="5EC22649" w14:textId="66452D4D">
      <w:pPr>
        <w:tabs>
          <w:tab w:val="left" w:pos="4667"/>
        </w:tabs>
        <w:spacing w:line="360" w:lineRule="auto"/>
        <w:ind w:left="567" w:right="567"/>
        <w:jc w:val="both"/>
        <w:rPr>
          <w:rFonts w:ascii="Palatino Linotype" w:hAnsi="Palatino Linotype" w:cs="Tahoma"/>
          <w:bCs/>
          <w:i/>
        </w:rPr>
      </w:pPr>
      <w:r w:rsidRPr="00221B2B">
        <w:rPr>
          <w:rFonts w:ascii="Palatino Linotype" w:hAnsi="Palatino Linotype" w:cs="Tahoma"/>
          <w:bCs/>
          <w:i/>
        </w:rPr>
        <w:t>requieri claramente la cuenta anual de los ejercicios 2017,2018,2019,2020 y 2021 del ayuntamiento de Donato Guerra.</w:t>
      </w:r>
      <w:r w:rsidRPr="007139BF" w:rsidR="007139BF">
        <w:rPr>
          <w:rFonts w:ascii="Palatino Linotype" w:hAnsi="Palatino Linotype" w:cs="Tahoma"/>
          <w:bCs/>
          <w:i/>
        </w:rPr>
        <w:t>.</w:t>
      </w:r>
      <w:r w:rsidR="009245F5">
        <w:rPr>
          <w:rFonts w:ascii="Palatino Linotype" w:hAnsi="Palatino Linotype" w:cs="Tahoma"/>
          <w:bCs/>
          <w:i/>
        </w:rPr>
        <w:t>” (Sic.)</w:t>
      </w:r>
    </w:p>
    <w:p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rsidR="009245F5" w:rsidP="009245F5" w:rsidRDefault="00221B2B" w14:paraId="6EDEB3CA" w14:textId="11B6496F">
      <w:pPr>
        <w:tabs>
          <w:tab w:val="left" w:pos="4667"/>
        </w:tabs>
        <w:spacing w:line="360" w:lineRule="auto"/>
        <w:ind w:left="567" w:right="567"/>
        <w:jc w:val="both"/>
        <w:rPr>
          <w:rFonts w:ascii="Palatino Linotype" w:hAnsi="Palatino Linotype" w:cs="Tahoma"/>
          <w:i/>
        </w:rPr>
      </w:pPr>
      <w:r>
        <w:rPr>
          <w:rFonts w:ascii="Palatino Linotype" w:hAnsi="Palatino Linotype" w:cs="Tahoma"/>
          <w:i/>
        </w:rPr>
        <w:t>N</w:t>
      </w:r>
      <w:r w:rsidRPr="00221B2B">
        <w:rPr>
          <w:rFonts w:ascii="Palatino Linotype" w:hAnsi="Palatino Linotype" w:cs="Tahoma"/>
          <w:i/>
        </w:rPr>
        <w:t>o se me entrego información alguna, lo cual va en contra del derecho a la información. Piden que asista a Tesorería, cuando claramente la solicitud explica que se entregue la información A TRAVÉS DEL SAIMEX. Por ello interpongo en siguiente Recurso de Revisión.</w:t>
      </w:r>
      <w:r w:rsidR="009245F5">
        <w:rPr>
          <w:rFonts w:ascii="Palatino Linotype" w:hAnsi="Palatino Linotype" w:cs="Tahoma"/>
          <w:i/>
        </w:rPr>
        <w:t>” (Sic.)</w:t>
      </w:r>
    </w:p>
    <w:p w:rsidR="009245F5" w:rsidP="009245F5" w:rsidRDefault="009245F5" w14:paraId="70A446E3" w14:textId="77777777">
      <w:pPr>
        <w:autoSpaceDE w:val="0"/>
        <w:autoSpaceDN w:val="0"/>
        <w:adjustRightInd w:val="0"/>
        <w:spacing w:line="360" w:lineRule="auto"/>
        <w:ind w:right="-28"/>
        <w:jc w:val="both"/>
        <w:rPr>
          <w:rFonts w:ascii="Palatino Linotype" w:hAnsi="Palatino Linotype" w:cs="Tahoma"/>
          <w:sz w:val="22"/>
          <w:szCs w:val="22"/>
        </w:rPr>
      </w:pPr>
    </w:p>
    <w:p w:rsidRPr="00D47A95"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FC6890" w:rsidR="009245F5" w:rsidP="009245F5" w:rsidRDefault="009245F5" w14:paraId="007B64E3" w14:textId="66AE22DE">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sidR="00221B2B">
        <w:rPr>
          <w:rFonts w:ascii="Palatino Linotype" w:hAnsi="Palatino Linotype" w:cs="Tahoma"/>
          <w:sz w:val="22"/>
          <w:szCs w:val="22"/>
        </w:rPr>
        <w:t xml:space="preserve">diez de febrero </w:t>
      </w:r>
      <w:r w:rsidRPr="007139BF" w:rsidR="007139BF">
        <w:rPr>
          <w:rFonts w:ascii="Palatino Linotype" w:hAnsi="Palatino Linotype" w:cs="Tahoma"/>
          <w:sz w:val="22"/>
          <w:szCs w:val="22"/>
        </w:rPr>
        <w:t xml:space="preserve"> de dos mil veintidós</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sidRPr="00221B2B" w:rsidR="00221B2B">
        <w:rPr>
          <w:rFonts w:ascii="Palatino Linotype" w:hAnsi="Palatino Linotype" w:eastAsia="Calibri" w:cs="Tahoma"/>
          <w:b/>
          <w:bCs/>
          <w:sz w:val="22"/>
          <w:szCs w:val="22"/>
          <w:lang w:eastAsia="en-US"/>
        </w:rPr>
        <w:lastRenderedPageBreak/>
        <w:t>00696/INFOEM/IP/RR/2022</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009245F5" w:rsidP="009245F5" w:rsidRDefault="009245F5" w14:paraId="7D3A4E8D" w14:textId="4565CA76">
      <w:pPr>
        <w:spacing w:line="360" w:lineRule="auto"/>
        <w:jc w:val="both"/>
        <w:rPr>
          <w:rFonts w:ascii="Palatino Linotype" w:hAnsi="Palatino Linotype" w:cs="Tahoma"/>
          <w:bCs/>
          <w:sz w:val="22"/>
          <w:szCs w:val="22"/>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221B2B">
        <w:rPr>
          <w:rFonts w:ascii="Palatino Linotype" w:hAnsi="Palatino Linotype" w:eastAsia="Batang" w:cs="Tahoma"/>
          <w:bCs/>
          <w:sz w:val="22"/>
          <w:szCs w:val="22"/>
          <w:lang w:val="es-ES_tradnl"/>
        </w:rPr>
        <w:t>dieciséis  de febrero</w:t>
      </w:r>
      <w:r w:rsidR="007139BF">
        <w:rPr>
          <w:rFonts w:ascii="Palatino Linotype" w:hAnsi="Palatino Linotype" w:eastAsia="Batang" w:cs="Tahoma"/>
          <w:bCs/>
          <w:sz w:val="22"/>
          <w:szCs w:val="22"/>
          <w:lang w:val="es-ES_tradnl"/>
        </w:rPr>
        <w:t xml:space="preserve"> </w:t>
      </w:r>
      <w:r>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9245F5" w:rsidP="009245F5" w:rsidRDefault="009245F5" w14:paraId="40E47CEF" w14:textId="77777777">
      <w:pPr>
        <w:spacing w:line="360" w:lineRule="auto"/>
        <w:ind w:right="-28"/>
        <w:jc w:val="both"/>
        <w:rPr>
          <w:rFonts w:ascii="Palatino Linotype" w:hAnsi="Palatino Linotype" w:cs="Tahoma"/>
          <w:b/>
          <w:sz w:val="22"/>
          <w:szCs w:val="22"/>
        </w:rPr>
      </w:pPr>
    </w:p>
    <w:p w:rsidR="009245F5" w:rsidP="009245F5" w:rsidRDefault="009245F5" w14:paraId="7A9A5E77" w14:textId="60680862">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Pr="00A021B4" w:rsid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rsidR="00AD5D89" w:rsidP="009245F5" w:rsidRDefault="00AD5D89" w14:paraId="3BE0B809" w14:textId="77777777">
      <w:pPr>
        <w:spacing w:line="360" w:lineRule="auto"/>
        <w:ind w:right="-28"/>
        <w:jc w:val="both"/>
        <w:rPr>
          <w:rFonts w:ascii="Palatino Linotype" w:hAnsi="Palatino Linotype" w:cs="Tahoma"/>
          <w:sz w:val="22"/>
          <w:szCs w:val="22"/>
        </w:rPr>
      </w:pPr>
    </w:p>
    <w:p w:rsidRPr="00D47A95" w:rsidR="00AD5D89" w:rsidP="00AD5D89" w:rsidRDefault="00AD5D89" w14:paraId="3B42834E" w14:textId="291FED4F">
      <w:pPr>
        <w:spacing w:line="360" w:lineRule="auto"/>
        <w:ind w:right="-28"/>
        <w:jc w:val="both"/>
        <w:rPr>
          <w:rFonts w:ascii="Palatino Linotype" w:hAnsi="Palatino Linotype" w:cs="Tahoma"/>
          <w:sz w:val="22"/>
          <w:szCs w:val="22"/>
        </w:rPr>
      </w:pPr>
      <w:r>
        <w:rPr>
          <w:rFonts w:ascii="Palatino Linotype" w:hAnsi="Palatino Linotype" w:cs="Tahoma"/>
          <w:b/>
          <w:sz w:val="22"/>
          <w:szCs w:val="22"/>
        </w:rPr>
        <w:t>d</w:t>
      </w:r>
      <w:r w:rsidRPr="00C07406">
        <w:rPr>
          <w:rFonts w:ascii="Palatino Linotype" w:hAnsi="Palatino Linotype" w:cs="Tahoma"/>
          <w:b/>
          <w:sz w:val="22"/>
          <w:szCs w:val="22"/>
        </w:rPr>
        <w:t>) Cierre de instrucción.</w:t>
      </w:r>
      <w:r w:rsidRPr="00D47A95">
        <w:rPr>
          <w:rFonts w:ascii="Palatino Linotype" w:hAnsi="Palatino Linotype" w:cs="Tahoma"/>
          <w:b/>
          <w:sz w:val="22"/>
          <w:szCs w:val="22"/>
        </w:rPr>
        <w:t xml:space="preserve"> </w:t>
      </w:r>
      <w:r w:rsidRPr="00532FC1">
        <w:rPr>
          <w:rFonts w:ascii="Palatino Linotype" w:hAnsi="Palatino Linotype" w:cs="Tahoma"/>
          <w:sz w:val="22"/>
          <w:szCs w:val="22"/>
        </w:rPr>
        <w:t xml:space="preserve">Con fecha </w:t>
      </w:r>
      <w:r>
        <w:rPr>
          <w:rFonts w:ascii="Palatino Linotype" w:hAnsi="Palatino Linotype" w:cs="Tahoma"/>
          <w:sz w:val="22"/>
          <w:szCs w:val="22"/>
        </w:rPr>
        <w:t>veintidós de marzo  de dos mil veintidós</w:t>
      </w:r>
      <w:r w:rsidRPr="00532FC1">
        <w:rPr>
          <w:rFonts w:ascii="Palatino Linotype" w:hAnsi="Palatino Linotype" w:cs="Tahoma"/>
          <w:sz w:val="22"/>
          <w:szCs w:val="22"/>
        </w:rPr>
        <w:t>, al</w:t>
      </w:r>
      <w:r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w:t>
      </w:r>
      <w:r>
        <w:rPr>
          <w:rFonts w:ascii="Palatino Linotype" w:hAnsi="Palatino Linotype" w:cs="Tahoma"/>
          <w:sz w:val="22"/>
          <w:szCs w:val="22"/>
        </w:rPr>
        <w:t>ficado a las partes el  veintinueve de marzo de dos mil veintidós</w:t>
      </w:r>
      <w:r w:rsidRPr="00D47A95">
        <w:rPr>
          <w:rFonts w:ascii="Palatino Linotype" w:hAnsi="Palatino Linotype" w:cs="Tahoma"/>
          <w:sz w:val="22"/>
          <w:szCs w:val="22"/>
        </w:rPr>
        <w:t xml:space="preserve">, a través del </w:t>
      </w:r>
      <w:r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w:t>
      </w:r>
    </w:p>
    <w:p w:rsidR="00AD5D89" w:rsidP="009245F5" w:rsidRDefault="00AD5D89" w14:paraId="3700F84D" w14:textId="77777777">
      <w:pPr>
        <w:spacing w:line="360" w:lineRule="auto"/>
        <w:ind w:right="-28"/>
        <w:jc w:val="both"/>
        <w:rPr>
          <w:rFonts w:ascii="Palatino Linotype" w:hAnsi="Palatino Linotype" w:cs="Tahoma"/>
          <w:sz w:val="22"/>
          <w:szCs w:val="22"/>
        </w:rPr>
      </w:pPr>
    </w:p>
    <w:p w:rsidRPr="00F21E7E" w:rsidR="00670B9E" w:rsidP="009245F5" w:rsidRDefault="00AD5D89" w14:paraId="722EAE63" w14:textId="05737AF2">
      <w:pPr>
        <w:spacing w:line="360" w:lineRule="auto"/>
        <w:ind w:right="-28"/>
        <w:jc w:val="both"/>
        <w:rPr>
          <w:rFonts w:ascii="Palatino Linotype" w:hAnsi="Palatino Linotype" w:cs="Tahoma"/>
          <w:sz w:val="22"/>
          <w:szCs w:val="22"/>
        </w:rPr>
      </w:pPr>
      <w:r>
        <w:rPr>
          <w:rFonts w:ascii="Palatino Linotype" w:hAnsi="Palatino Linotype" w:cs="Tahoma"/>
          <w:b/>
          <w:sz w:val="22"/>
          <w:szCs w:val="22"/>
        </w:rPr>
        <w:t>e</w:t>
      </w:r>
      <w:r w:rsidRPr="00670B9E" w:rsidR="00670B9E">
        <w:rPr>
          <w:rFonts w:ascii="Palatino Linotype" w:hAnsi="Palatino Linotype" w:cs="Tahoma"/>
          <w:b/>
          <w:sz w:val="22"/>
          <w:szCs w:val="22"/>
        </w:rPr>
        <w:t>) Ampliación de plazo para resolver</w:t>
      </w:r>
      <w:r w:rsidR="00B10F5F">
        <w:rPr>
          <w:rFonts w:ascii="Palatino Linotype" w:hAnsi="Palatino Linotype" w:cs="Tahoma"/>
          <w:sz w:val="22"/>
          <w:szCs w:val="22"/>
        </w:rPr>
        <w:t xml:space="preserve">. El </w:t>
      </w:r>
      <w:r>
        <w:rPr>
          <w:rFonts w:ascii="Palatino Linotype" w:hAnsi="Palatino Linotype" w:cs="Tahoma"/>
          <w:sz w:val="22"/>
          <w:szCs w:val="22"/>
        </w:rPr>
        <w:t xml:space="preserve">cuatro de abril </w:t>
      </w:r>
      <w:r w:rsidRPr="00670B9E" w:rsidR="00670B9E">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sidRPr="00670B9E" w:rsidR="00670B9E">
        <w:rPr>
          <w:rFonts w:ascii="Palatino Linotype" w:hAnsi="Palatino Linotype" w:cs="Tahoma"/>
          <w:sz w:val="22"/>
          <w:szCs w:val="22"/>
        </w:rPr>
        <w:lastRenderedPageBreak/>
        <w:t>que nos ocupa; acto que fue notificado a las partes, mediante el Sistema de Acceso a la Información Mexiquense (SAIMEX), el mismo día.</w:t>
      </w:r>
    </w:p>
    <w:p w:rsidRPr="00542EC9" w:rsidR="009245F5" w:rsidP="009245F5" w:rsidRDefault="009245F5" w14:paraId="0F26F79D" w14:textId="77777777">
      <w:pPr>
        <w:spacing w:line="360" w:lineRule="auto"/>
        <w:ind w:right="-28"/>
        <w:jc w:val="both"/>
        <w:rPr>
          <w:rFonts w:ascii="Palatino Linotype" w:hAnsi="Palatino Linotype" w:cs="Tahoma"/>
          <w:sz w:val="22"/>
        </w:rPr>
      </w:pPr>
    </w:p>
    <w:p w:rsidRPr="00D47A95"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D47A95" w:rsidR="009245F5" w:rsidP="009245F5" w:rsidRDefault="009245F5" w14:paraId="69A6557F" w14:textId="77777777">
      <w:pPr>
        <w:spacing w:line="360" w:lineRule="auto"/>
        <w:ind w:right="-28"/>
        <w:rPr>
          <w:rFonts w:ascii="Palatino Linotype" w:hAnsi="Palatino Linotype" w:cs="Tahoma"/>
          <w:b/>
          <w:sz w:val="22"/>
          <w:szCs w:val="22"/>
        </w:rPr>
      </w:pPr>
    </w:p>
    <w:p w:rsidRPr="00D47A95"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AD5D89">
        <w:rPr>
          <w:rFonts w:ascii="Palatino Linotype" w:hAnsi="Palatino Linotype" w:cs="Tahoma"/>
          <w:b/>
          <w:sz w:val="22"/>
          <w:szCs w:val="22"/>
          <w:lang w:val="es-ES"/>
        </w:rPr>
        <w:t>C O N S I D E R A N D O S</w:t>
      </w:r>
    </w:p>
    <w:p w:rsidRPr="00D47A95"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D47A95"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021B4"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009245F5" w:rsidP="009245F5"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rsidR="009245F5" w:rsidP="009245F5"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009245F5" w:rsidP="009245F5"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47A95" w:rsidR="009245F5" w:rsidP="009245F5"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D47A95"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FB6698" w:rsidP="00FB6698" w:rsidRDefault="00FB6698" w14:paraId="4CFB692B" w14:textId="4CC05701">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w:t>
      </w:r>
      <w:r w:rsidR="00670B9E">
        <w:rPr>
          <w:rFonts w:ascii="Palatino Linotype" w:hAnsi="Palatino Linotype" w:cs="Tahoma"/>
          <w:sz w:val="22"/>
          <w:szCs w:val="22"/>
        </w:rPr>
        <w:t xml:space="preserve">en el artículo 179, fracción </w:t>
      </w:r>
      <w:r w:rsidR="00B24B9B">
        <w:rPr>
          <w:rFonts w:ascii="Palatino Linotype" w:hAnsi="Palatino Linotype" w:cs="Tahoma"/>
          <w:sz w:val="22"/>
          <w:szCs w:val="22"/>
        </w:rPr>
        <w:t>VII</w:t>
      </w:r>
      <w:r>
        <w:rPr>
          <w:rFonts w:ascii="Palatino Linotype" w:hAnsi="Palatino Linotype" w:cs="Tahoma"/>
          <w:sz w:val="22"/>
          <w:szCs w:val="22"/>
        </w:rPr>
        <w:t xml:space="preserve">I, de la Ley en cita, </w:t>
      </w:r>
      <w:r>
        <w:rPr>
          <w:rFonts w:ascii="Palatino Linotype" w:hAnsi="Palatino Linotype" w:eastAsia="Calibri" w:cs="Tahoma"/>
          <w:color w:val="000000"/>
          <w:sz w:val="22"/>
          <w:szCs w:val="22"/>
          <w:lang w:eastAsia="es-MX"/>
        </w:rPr>
        <w:t xml:space="preserve">pues la Recurrente se inconformó </w:t>
      </w:r>
      <w:r w:rsidR="002157B7">
        <w:rPr>
          <w:rFonts w:ascii="Palatino Linotype" w:hAnsi="Palatino Linotype" w:eastAsia="Calibri" w:cs="Tahoma"/>
          <w:color w:val="000000"/>
          <w:sz w:val="22"/>
          <w:szCs w:val="22"/>
          <w:lang w:eastAsia="es-MX"/>
        </w:rPr>
        <w:t>con la puesta a disposición de la información en una modalidad distinta a la requerida.</w:t>
      </w:r>
    </w:p>
    <w:p w:rsidRPr="006D2718"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6D2718">
        <w:rPr>
          <w:rFonts w:ascii="Palatino Linotype" w:hAnsi="Palatino Linotype" w:eastAsia="Calibri" w:cs="Tahoma"/>
          <w:b/>
          <w:sz w:val="22"/>
          <w:szCs w:val="22"/>
          <w:lang w:val="es-ES" w:eastAsia="es-ES_tradnl"/>
        </w:rPr>
        <w:lastRenderedPageBreak/>
        <w:t>Causales de sobreseimiento.</w:t>
      </w:r>
    </w:p>
    <w:p w:rsidRPr="006D2718"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A021B4" w:rsidR="00A021B4" w:rsidP="00A021B4" w:rsidRDefault="00A021B4" w14:paraId="0E49B04B"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A021B4" w:rsidP="00A021B4" w:rsidRDefault="00A021B4" w14:paraId="3BFCD782" w14:textId="77777777">
      <w:pPr>
        <w:spacing w:line="360" w:lineRule="auto"/>
        <w:jc w:val="both"/>
        <w:rPr>
          <w:rFonts w:ascii="Palatino Linotype" w:hAnsi="Palatino Linotype" w:cs="Tahoma"/>
          <w:sz w:val="22"/>
          <w:szCs w:val="24"/>
        </w:rPr>
      </w:pPr>
    </w:p>
    <w:p w:rsidRPr="00A021B4" w:rsidR="00A021B4" w:rsidP="00A021B4" w:rsidRDefault="00A021B4" w14:paraId="6DE45AC9"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021B4" w:rsidR="00A021B4" w:rsidP="00A021B4" w:rsidRDefault="00A021B4" w14:paraId="6C7BB293" w14:textId="77777777">
      <w:pPr>
        <w:spacing w:line="360" w:lineRule="auto"/>
        <w:jc w:val="both"/>
        <w:rPr>
          <w:rFonts w:ascii="Palatino Linotype" w:hAnsi="Palatino Linotype" w:cs="Tahoma"/>
          <w:sz w:val="22"/>
          <w:szCs w:val="24"/>
        </w:rPr>
      </w:pPr>
    </w:p>
    <w:p w:rsidRPr="00A021B4" w:rsidR="00A021B4" w:rsidP="00A021B4" w:rsidRDefault="00A021B4" w14:paraId="607E9E6C" w14:textId="77777777">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670B9E" w:rsidP="009245F5" w:rsidRDefault="009245F5" w14:paraId="630CDB17" w14:textId="34EDEAC3">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Pr>
          <w:rFonts w:ascii="Palatino Linotype" w:hAnsi="Palatino Linotype" w:eastAsia="Calibri" w:cs="Tahoma"/>
          <w:bCs/>
          <w:sz w:val="22"/>
          <w:szCs w:val="22"/>
          <w:lang w:eastAsia="en-US"/>
        </w:rPr>
        <w:t xml:space="preserve">el Particular </w:t>
      </w:r>
      <w:r>
        <w:rPr>
          <w:rFonts w:ascii="Palatino Linotype" w:hAnsi="Palatino Linotype" w:eastAsia="Calibri" w:cs="Tahoma"/>
          <w:iCs/>
          <w:sz w:val="22"/>
          <w:szCs w:val="22"/>
          <w:lang w:val="es-ES" w:eastAsia="es-ES_tradnl"/>
        </w:rPr>
        <w:t>solicitó</w:t>
      </w:r>
      <w:r w:rsidRPr="00AD5D89" w:rsidR="00AD5D89">
        <w:rPr>
          <w:rFonts w:ascii="Palatino Linotype" w:hAnsi="Palatino Linotype" w:eastAsia="Calibri" w:cs="Tahoma"/>
          <w:iCs/>
          <w:sz w:val="22"/>
          <w:szCs w:val="22"/>
          <w:lang w:val="es-ES" w:eastAsia="es-ES_tradnl"/>
        </w:rPr>
        <w:t xml:space="preserve"> la cuenta</w:t>
      </w:r>
      <w:r w:rsidR="00AD5864">
        <w:rPr>
          <w:rFonts w:ascii="Palatino Linotype" w:hAnsi="Palatino Linotype" w:eastAsia="Calibri" w:cs="Tahoma"/>
          <w:iCs/>
          <w:sz w:val="22"/>
          <w:szCs w:val="22"/>
          <w:lang w:val="es-ES" w:eastAsia="es-ES_tradnl"/>
        </w:rPr>
        <w:t xml:space="preserve"> pública</w:t>
      </w:r>
      <w:r w:rsidRPr="00AD5D89" w:rsidR="00AD5D89">
        <w:rPr>
          <w:rFonts w:ascii="Palatino Linotype" w:hAnsi="Palatino Linotype" w:eastAsia="Calibri" w:cs="Tahoma"/>
          <w:iCs/>
          <w:sz w:val="22"/>
          <w:szCs w:val="22"/>
          <w:lang w:val="es-ES" w:eastAsia="es-ES_tradnl"/>
        </w:rPr>
        <w:t xml:space="preserve"> anual</w:t>
      </w:r>
      <w:r w:rsidRPr="00AD5864" w:rsidR="00AD5864">
        <w:rPr>
          <w:rFonts w:ascii="Palatino Linotype" w:hAnsi="Palatino Linotype" w:eastAsia="Calibri" w:cs="Tahoma"/>
          <w:iCs/>
          <w:sz w:val="22"/>
          <w:szCs w:val="22"/>
          <w:lang w:val="es-ES" w:eastAsia="es-ES_tradnl"/>
        </w:rPr>
        <w:t xml:space="preserve"> </w:t>
      </w:r>
      <w:r w:rsidRPr="00AD5D89" w:rsidR="00AD5864">
        <w:rPr>
          <w:rFonts w:ascii="Palatino Linotype" w:hAnsi="Palatino Linotype" w:eastAsia="Calibri" w:cs="Tahoma"/>
          <w:iCs/>
          <w:sz w:val="22"/>
          <w:szCs w:val="22"/>
          <w:lang w:val="es-ES" w:eastAsia="es-ES_tradnl"/>
        </w:rPr>
        <w:t>de</w:t>
      </w:r>
      <w:r w:rsidR="00AD5864">
        <w:rPr>
          <w:rFonts w:ascii="Palatino Linotype" w:hAnsi="Palatino Linotype" w:eastAsia="Calibri" w:cs="Tahoma"/>
          <w:iCs/>
          <w:sz w:val="22"/>
          <w:szCs w:val="22"/>
          <w:lang w:val="es-ES" w:eastAsia="es-ES_tradnl"/>
        </w:rPr>
        <w:t>l Ayuntamiento de Donato Guerra,</w:t>
      </w:r>
      <w:r w:rsidRPr="00AD5D89" w:rsidR="00AD5D89">
        <w:rPr>
          <w:rFonts w:ascii="Palatino Linotype" w:hAnsi="Palatino Linotype" w:eastAsia="Calibri" w:cs="Tahoma"/>
          <w:iCs/>
          <w:sz w:val="22"/>
          <w:szCs w:val="22"/>
          <w:lang w:val="es-ES" w:eastAsia="es-ES_tradnl"/>
        </w:rPr>
        <w:t xml:space="preserve"> de los ejercicios </w:t>
      </w:r>
      <w:r w:rsidR="00C85FE0">
        <w:rPr>
          <w:rFonts w:ascii="Palatino Linotype" w:hAnsi="Palatino Linotype" w:eastAsia="Calibri" w:cs="Tahoma"/>
          <w:iCs/>
          <w:sz w:val="22"/>
          <w:szCs w:val="22"/>
          <w:lang w:val="es-ES" w:eastAsia="es-ES_tradnl"/>
        </w:rPr>
        <w:t xml:space="preserve">dos mil diecisiete a dos mil </w:t>
      </w:r>
      <w:r w:rsidR="00AD5864">
        <w:rPr>
          <w:rFonts w:ascii="Palatino Linotype" w:hAnsi="Palatino Linotype" w:eastAsia="Calibri" w:cs="Tahoma"/>
          <w:iCs/>
          <w:sz w:val="22"/>
          <w:szCs w:val="22"/>
          <w:lang w:val="es-ES" w:eastAsia="es-ES_tradnl"/>
        </w:rPr>
        <w:t>veintiuno</w:t>
      </w:r>
      <w:r w:rsidR="00AD5D89">
        <w:rPr>
          <w:rFonts w:ascii="Palatino Linotype" w:hAnsi="Palatino Linotype" w:eastAsia="Calibri" w:cs="Tahoma"/>
          <w:iCs/>
          <w:sz w:val="22"/>
          <w:szCs w:val="22"/>
          <w:lang w:val="es-ES" w:eastAsia="es-ES_tradnl"/>
        </w:rPr>
        <w:t>.</w:t>
      </w:r>
    </w:p>
    <w:p w:rsidR="002157B7" w:rsidP="009245F5" w:rsidRDefault="002157B7" w14:paraId="0BBECC87"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009245F5" w:rsidP="009245F5" w:rsidRDefault="009245F5" w14:paraId="63D4393C" w14:textId="03C9CDED">
      <w:pPr>
        <w:pStyle w:val="Prrafodelista"/>
        <w:tabs>
          <w:tab w:val="left" w:pos="4962"/>
        </w:tabs>
        <w:spacing w:line="360" w:lineRule="auto"/>
        <w:ind w:left="0" w:right="-28"/>
        <w:jc w:val="both"/>
        <w:rPr>
          <w:rFonts w:ascii="Palatino Linotype" w:hAnsi="Palatino Linotype" w:cs="Tahoma"/>
          <w:iCs/>
          <w:szCs w:val="22"/>
          <w:lang w:val="es-ES"/>
        </w:rPr>
      </w:pPr>
      <w:r>
        <w:rPr>
          <w:rFonts w:ascii="Palatino Linotype" w:hAnsi="Palatino Linotype" w:eastAsia="Calibri" w:cs="Tahoma"/>
          <w:iCs/>
          <w:szCs w:val="22"/>
          <w:lang w:val="es-ES" w:eastAsia="es-ES_tradnl"/>
        </w:rPr>
        <w:t>En respuesta, el Sujeto Obligado</w:t>
      </w:r>
      <w:r w:rsidR="00AD5864">
        <w:rPr>
          <w:rFonts w:ascii="Palatino Linotype" w:hAnsi="Palatino Linotype" w:eastAsia="Calibri" w:cs="Tahoma"/>
          <w:iCs/>
          <w:szCs w:val="22"/>
          <w:lang w:val="es-ES" w:eastAsia="es-ES_tradnl"/>
        </w:rPr>
        <w:t xml:space="preserve"> </w:t>
      </w:r>
      <w:r>
        <w:rPr>
          <w:rFonts w:ascii="Palatino Linotype" w:hAnsi="Palatino Linotype" w:eastAsia="Calibri" w:cs="Tahoma"/>
          <w:iCs/>
          <w:szCs w:val="22"/>
          <w:lang w:val="es-ES" w:eastAsia="es-ES_tradnl"/>
        </w:rPr>
        <w:t>señaló que ponía a disposición la información para su consulta</w:t>
      </w:r>
      <w:r w:rsidR="00AD5864">
        <w:rPr>
          <w:rFonts w:ascii="Palatino Linotype" w:hAnsi="Palatino Linotype" w:eastAsia="Calibri" w:cs="Tahoma"/>
          <w:iCs/>
          <w:szCs w:val="22"/>
          <w:lang w:val="es-ES" w:eastAsia="es-ES_tradnl"/>
        </w:rPr>
        <w:t xml:space="preserve"> directa</w:t>
      </w:r>
      <w:r>
        <w:rPr>
          <w:rFonts w:ascii="Palatino Linotype" w:hAnsi="Palatino Linotype" w:eastAsia="Calibri" w:cs="Tahoma"/>
          <w:iCs/>
          <w:szCs w:val="22"/>
          <w:lang w:val="es-ES" w:eastAsia="es-ES_tradnl"/>
        </w:rPr>
        <w:t xml:space="preserve"> en la </w:t>
      </w:r>
      <w:r w:rsidRPr="00670B9E" w:rsidR="00670B9E">
        <w:rPr>
          <w:rFonts w:ascii="Palatino Linotype" w:hAnsi="Palatino Linotype" w:eastAsia="Calibri" w:cs="Tahoma"/>
          <w:iCs/>
          <w:szCs w:val="22"/>
          <w:lang w:val="es-ES" w:eastAsia="es-ES_tradnl"/>
        </w:rPr>
        <w:t xml:space="preserve">en la </w:t>
      </w:r>
      <w:r w:rsidR="00AD5D89">
        <w:rPr>
          <w:rFonts w:ascii="Palatino Linotype" w:hAnsi="Palatino Linotype" w:eastAsia="Calibri" w:cs="Tahoma"/>
          <w:iCs/>
          <w:szCs w:val="22"/>
          <w:lang w:val="es-ES" w:eastAsia="es-ES_tradnl"/>
        </w:rPr>
        <w:t>Tesorería</w:t>
      </w:r>
      <w:r w:rsidR="00AD5864">
        <w:rPr>
          <w:rFonts w:ascii="Palatino Linotype" w:hAnsi="Palatino Linotype" w:eastAsia="Calibri" w:cs="Tahoma"/>
          <w:iCs/>
          <w:szCs w:val="22"/>
          <w:lang w:val="es-ES" w:eastAsia="es-ES_tradnl"/>
        </w:rPr>
        <w:t xml:space="preserve"> Municipal</w:t>
      </w:r>
      <w:r>
        <w:rPr>
          <w:rFonts w:ascii="Palatino Linotype" w:hAnsi="Palatino Linotype" w:eastAsia="Calibri" w:cs="Tahoma"/>
          <w:iCs/>
          <w:szCs w:val="22"/>
          <w:lang w:val="es-ES" w:eastAsia="es-ES_tradnl"/>
        </w:rPr>
        <w:t xml:space="preserve">; ante tal circunstancia, el Solicitante se inconformó </w:t>
      </w:r>
      <w:r w:rsidR="002157B7">
        <w:rPr>
          <w:rFonts w:ascii="Palatino Linotype" w:hAnsi="Palatino Linotype" w:eastAsia="Calibri" w:cs="Tahoma"/>
          <w:iCs/>
          <w:szCs w:val="22"/>
          <w:lang w:val="es-ES" w:eastAsia="es-ES_tradnl"/>
        </w:rPr>
        <w:t>con la puesta a disposición la información en una modalidad distinta a la requerida, al señalar que no se le había entregado a través del Sistema de Acceso a la Información Mexiquense</w:t>
      </w:r>
      <w:r>
        <w:rPr>
          <w:rFonts w:ascii="Palatino Linotype" w:hAnsi="Palatino Linotype" w:eastAsia="Calibri" w:cs="Tahoma"/>
          <w:iCs/>
          <w:szCs w:val="22"/>
          <w:lang w:val="es-ES" w:eastAsia="es-ES_tradnl"/>
        </w:rPr>
        <w:t xml:space="preserve">, lo cual actualiza la causal de procedencia, establecida </w:t>
      </w:r>
      <w:r w:rsidR="00D00BB3">
        <w:rPr>
          <w:rFonts w:ascii="Palatino Linotype" w:hAnsi="Palatino Linotype" w:eastAsia="Calibri" w:cs="Tahoma"/>
          <w:iCs/>
          <w:szCs w:val="22"/>
          <w:lang w:val="es-ES" w:eastAsia="es-ES_tradnl"/>
        </w:rPr>
        <w:t xml:space="preserve">en el artículo 179, fracción </w:t>
      </w:r>
      <w:r w:rsidR="002157B7">
        <w:rPr>
          <w:rFonts w:ascii="Palatino Linotype" w:hAnsi="Palatino Linotype" w:eastAsia="Calibri" w:cs="Tahoma"/>
          <w:iCs/>
          <w:szCs w:val="22"/>
          <w:lang w:val="es-ES" w:eastAsia="es-ES_tradnl"/>
        </w:rPr>
        <w:t>VII</w:t>
      </w:r>
      <w:r>
        <w:rPr>
          <w:rFonts w:ascii="Palatino Linotype" w:hAnsi="Palatino Linotype" w:eastAsia="Calibri" w:cs="Tahoma"/>
          <w:iCs/>
          <w:szCs w:val="22"/>
          <w:lang w:val="es-ES" w:eastAsia="es-ES_tradnl"/>
        </w:rPr>
        <w:t xml:space="preserve">I, de la Ley de Transparencia y Acceso a la Información Pública del Estado de </w:t>
      </w:r>
      <w:r>
        <w:rPr>
          <w:rFonts w:ascii="Palatino Linotype" w:hAnsi="Palatino Linotype" w:eastAsia="Calibri" w:cs="Tahoma"/>
          <w:iCs/>
          <w:szCs w:val="22"/>
          <w:lang w:val="es-ES" w:eastAsia="es-ES_tradnl"/>
        </w:rPr>
        <w:lastRenderedPageBreak/>
        <w:t xml:space="preserve">México y Municipios. </w:t>
      </w:r>
      <w:r>
        <w:rPr>
          <w:rFonts w:ascii="Palatino Linotype" w:hAnsi="Palatino Linotype" w:cs="Tahoma"/>
          <w:iCs/>
          <w:szCs w:val="22"/>
          <w:lang w:val="es-ES"/>
        </w:rPr>
        <w:t>Así las cosas, una vez admitido y notificado el Recurso de Revisión a las partes, estas fueron omisas a emitir manifestaciones y alegatos.</w:t>
      </w:r>
    </w:p>
    <w:p w:rsidRPr="00F670F0" w:rsidR="003E66FE" w:rsidP="009245F5" w:rsidRDefault="003E66FE" w14:paraId="3EDE7BFE"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009245F5" w:rsidP="009245F5" w:rsidRDefault="009245F5" w14:paraId="5FA4A510" w14:textId="77777777">
      <w:pPr>
        <w:spacing w:line="360" w:lineRule="auto"/>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recursal;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9245F5" w:rsidP="009245F5" w:rsidRDefault="009245F5" w14:paraId="74232835"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9245F5" w:rsidP="009245F5" w:rsidRDefault="009245F5" w14:paraId="03CA74E4" w14:textId="77777777">
      <w:pPr>
        <w:spacing w:line="360" w:lineRule="auto"/>
        <w:ind w:right="-28"/>
        <w:jc w:val="both"/>
        <w:rPr>
          <w:rFonts w:ascii="Palatino Linotype" w:hAnsi="Palatino Linotype" w:cs="Tahoma"/>
          <w:b/>
          <w:sz w:val="22"/>
          <w:szCs w:val="22"/>
        </w:rPr>
      </w:pPr>
    </w:p>
    <w:p w:rsidRPr="003E66FE"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3E66FE"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3E66FE"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245F5" w:rsidP="009245F5" w:rsidRDefault="009245F5" w14:paraId="0F39A69B" w14:textId="1B627EFE">
      <w:pPr>
        <w:spacing w:line="360" w:lineRule="auto"/>
        <w:ind w:right="-28"/>
        <w:jc w:val="both"/>
        <w:rPr>
          <w:rFonts w:ascii="Palatino Linotype" w:hAnsi="Palatino Linotype" w:cs="Tahoma"/>
          <w:b/>
          <w:sz w:val="22"/>
          <w:szCs w:val="22"/>
          <w:lang w:val="es-ES"/>
        </w:rPr>
      </w:pPr>
    </w:p>
    <w:p w:rsidRPr="00AD50F9" w:rsidR="0096159B" w:rsidP="0096159B" w:rsidRDefault="0096159B" w14:paraId="7F45FA27" w14:textId="77777777">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El artículo 92, detalla la información que corresponde a las Obligaciones Comunes de Transparencia, de las que destaca la contenida en la fracción </w:t>
      </w:r>
      <w:r>
        <w:rPr>
          <w:rFonts w:ascii="Palatino Linotype" w:hAnsi="Palatino Linotype" w:cs="Tahoma"/>
          <w:sz w:val="22"/>
          <w:szCs w:val="22"/>
        </w:rPr>
        <w:t>XXV</w:t>
      </w:r>
      <w:r w:rsidRPr="00912331">
        <w:rPr>
          <w:rFonts w:ascii="Palatino Linotype" w:hAnsi="Palatino Linotype" w:cs="Tahoma"/>
          <w:sz w:val="22"/>
          <w:szCs w:val="22"/>
        </w:rPr>
        <w:t xml:space="preserve"> concerniente </w:t>
      </w:r>
      <w:r>
        <w:rPr>
          <w:rFonts w:ascii="Palatino Linotype" w:hAnsi="Palatino Linotype" w:cs="Tahoma"/>
          <w:sz w:val="22"/>
          <w:szCs w:val="22"/>
        </w:rPr>
        <w:t>a la información financiera sobre el presupuesto asignado, así como los informes del ejercicio trimestral del gasto, en términos de la Ley General de Contabilidad Gubernamental y demás disposiciones jurídicas aplicables.</w:t>
      </w:r>
    </w:p>
    <w:p w:rsidR="0096159B" w:rsidP="009245F5" w:rsidRDefault="0096159B" w14:paraId="1F40428E" w14:textId="77777777">
      <w:pPr>
        <w:spacing w:line="360" w:lineRule="auto"/>
        <w:ind w:right="-28"/>
        <w:jc w:val="both"/>
        <w:rPr>
          <w:rFonts w:ascii="Palatino Linotype" w:hAnsi="Palatino Linotype" w:cs="Tahoma"/>
          <w:b/>
          <w:sz w:val="22"/>
          <w:szCs w:val="22"/>
          <w:lang w:val="es-ES"/>
        </w:rPr>
      </w:pPr>
    </w:p>
    <w:p w:rsidRPr="00931AB4"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F73089" w:rsidR="0096159B" w:rsidP="0096159B" w:rsidRDefault="003E66FE" w14:paraId="0C2770BB" w14:textId="2C256B0F">
      <w:pPr>
        <w:spacing w:line="360" w:lineRule="auto"/>
        <w:ind w:right="-93"/>
        <w:jc w:val="both"/>
        <w:rPr>
          <w:rFonts w:ascii="Palatino Linotype" w:hAnsi="Palatino Linotype" w:eastAsia="Calibri" w:cs="Tahoma"/>
          <w:b/>
          <w:bCs/>
          <w:iCs/>
          <w:sz w:val="22"/>
          <w:szCs w:val="22"/>
          <w:u w:val="single"/>
          <w:lang w:val="es-ES" w:eastAsia="en-US"/>
        </w:rPr>
      </w:pPr>
      <w:r w:rsidRPr="00C85FE0">
        <w:rPr>
          <w:rFonts w:ascii="Palatino Linotype" w:hAnsi="Palatino Linotype" w:cs="Tahoma"/>
          <w:bCs/>
          <w:iCs/>
          <w:sz w:val="22"/>
          <w:szCs w:val="22"/>
        </w:rPr>
        <w:t>Expuestas las posturas de las partes</w:t>
      </w:r>
      <w:r w:rsidRPr="00C85FE0" w:rsidR="009245F5">
        <w:rPr>
          <w:rFonts w:ascii="Palatino Linotype" w:hAnsi="Palatino Linotype" w:cs="Tahoma"/>
          <w:sz w:val="22"/>
          <w:szCs w:val="22"/>
        </w:rPr>
        <w:t>,</w:t>
      </w:r>
      <w:r w:rsidRPr="00C85FE0">
        <w:rPr>
          <w:rFonts w:ascii="Palatino Linotype" w:hAnsi="Palatino Linotype" w:cs="Tahoma"/>
          <w:bCs/>
          <w:iCs/>
          <w:sz w:val="22"/>
          <w:szCs w:val="22"/>
        </w:rPr>
        <w:t xml:space="preserve"> resulta necesario contextualizar la solici</w:t>
      </w:r>
      <w:r w:rsidRPr="00C85FE0" w:rsidR="00602CAF">
        <w:rPr>
          <w:rFonts w:ascii="Palatino Linotype" w:hAnsi="Palatino Linotype" w:cs="Tahoma"/>
          <w:bCs/>
          <w:iCs/>
          <w:sz w:val="22"/>
          <w:szCs w:val="22"/>
        </w:rPr>
        <w:t xml:space="preserve">tud de información, referente a la cuenta </w:t>
      </w:r>
      <w:r w:rsidR="0096159B">
        <w:rPr>
          <w:rFonts w:ascii="Palatino Linotype" w:hAnsi="Palatino Linotype" w:cs="Tahoma"/>
          <w:bCs/>
          <w:iCs/>
          <w:sz w:val="22"/>
          <w:szCs w:val="22"/>
        </w:rPr>
        <w:t xml:space="preserve">pública anual; </w:t>
      </w:r>
      <w:r w:rsidR="0096159B">
        <w:rPr>
          <w:rFonts w:ascii="Palatino Linotype" w:hAnsi="Palatino Linotype" w:eastAsia="Calibri" w:cs="Tahoma"/>
          <w:bCs/>
          <w:iCs/>
          <w:sz w:val="22"/>
          <w:szCs w:val="22"/>
          <w:lang w:val="es-ES" w:eastAsia="en-US"/>
        </w:rPr>
        <w:t xml:space="preserve">para tal situación es necesario señalar que el artículo 32, </w:t>
      </w:r>
      <w:r w:rsidR="000A0D6A">
        <w:rPr>
          <w:rFonts w:ascii="Palatino Linotype" w:hAnsi="Palatino Linotype" w:eastAsia="Calibri" w:cs="Tahoma"/>
          <w:bCs/>
          <w:iCs/>
          <w:sz w:val="22"/>
          <w:szCs w:val="22"/>
          <w:lang w:val="es-ES" w:eastAsia="en-US"/>
        </w:rPr>
        <w:t>tercer</w:t>
      </w:r>
      <w:r w:rsidR="0096159B">
        <w:rPr>
          <w:rFonts w:ascii="Palatino Linotype" w:hAnsi="Palatino Linotype" w:eastAsia="Calibri" w:cs="Tahoma"/>
          <w:bCs/>
          <w:iCs/>
          <w:sz w:val="22"/>
          <w:szCs w:val="22"/>
          <w:lang w:val="es-ES" w:eastAsia="en-US"/>
        </w:rPr>
        <w:t xml:space="preserve"> párrafo, de la Ley de Fiscalización Superior del Estado de México, precisa que los presidentes municipales presentarán a la Legislatura las cuentas públicas anuales de </w:t>
      </w:r>
      <w:r w:rsidR="0096159B">
        <w:rPr>
          <w:rFonts w:ascii="Palatino Linotype" w:hAnsi="Palatino Linotype" w:eastAsia="Calibri" w:cs="Tahoma"/>
          <w:bCs/>
          <w:iCs/>
          <w:sz w:val="22"/>
          <w:szCs w:val="22"/>
          <w:lang w:val="es-ES" w:eastAsia="en-US"/>
        </w:rPr>
        <w:lastRenderedPageBreak/>
        <w:t xml:space="preserve">sus respectivos municipios, del ejercicio inmediato anterior, </w:t>
      </w:r>
      <w:r w:rsidRPr="00F73089" w:rsidR="0096159B">
        <w:rPr>
          <w:rFonts w:ascii="Palatino Linotype" w:hAnsi="Palatino Linotype" w:eastAsia="Calibri" w:cs="Tahoma"/>
          <w:b/>
          <w:bCs/>
          <w:iCs/>
          <w:sz w:val="22"/>
          <w:szCs w:val="22"/>
          <w:u w:val="single"/>
          <w:lang w:val="es-ES" w:eastAsia="en-US"/>
        </w:rPr>
        <w:t>dentro de los quince primeros días de marzo de cada año.</w:t>
      </w:r>
    </w:p>
    <w:p w:rsidR="0096159B" w:rsidP="0096159B" w:rsidRDefault="0096159B" w14:paraId="601C7CF7" w14:textId="57F50F1B">
      <w:pPr>
        <w:spacing w:line="360" w:lineRule="auto"/>
        <w:ind w:right="-93"/>
        <w:jc w:val="both"/>
        <w:rPr>
          <w:rFonts w:ascii="Palatino Linotype" w:hAnsi="Palatino Linotype" w:eastAsia="Calibri" w:cs="Tahoma"/>
          <w:bCs/>
          <w:iCs/>
          <w:sz w:val="22"/>
          <w:szCs w:val="22"/>
          <w:lang w:val="es-ES" w:eastAsia="en-US"/>
        </w:rPr>
      </w:pPr>
    </w:p>
    <w:p w:rsidRPr="00315D2F" w:rsidR="00753B53" w:rsidP="0096159B" w:rsidRDefault="00753B53" w14:paraId="6F5171F9" w14:textId="572A9472">
      <w:pPr>
        <w:spacing w:line="360" w:lineRule="auto"/>
        <w:ind w:right="-93"/>
        <w:jc w:val="both"/>
        <w:rPr>
          <w:rFonts w:ascii="Palatino Linotype" w:hAnsi="Palatino Linotype" w:eastAsia="Calibri" w:cs="Tahoma"/>
          <w:b/>
          <w:iCs/>
          <w:sz w:val="22"/>
          <w:szCs w:val="22"/>
          <w:lang w:val="es-ES" w:eastAsia="en-US"/>
        </w:rPr>
      </w:pPr>
      <w:r>
        <w:rPr>
          <w:rFonts w:ascii="Palatino Linotype" w:hAnsi="Palatino Linotype" w:eastAsia="Calibri" w:cs="Tahoma"/>
          <w:bCs/>
          <w:iCs/>
          <w:sz w:val="22"/>
          <w:szCs w:val="22"/>
          <w:lang w:val="es-ES" w:eastAsia="en-US"/>
        </w:rPr>
        <w:t>Situación que se robustece con el artículo 341 del Código Financiero del Estado de México y Municipios, que precisa que la cuenta pública es el informe que rinde anualmente el Presidente Municipal a la Legislatura, respecto de los resultados y la situación financiera del ejercicio fiscal inmediato anterior</w:t>
      </w:r>
      <w:r w:rsidR="00315D2F">
        <w:rPr>
          <w:rFonts w:ascii="Palatino Linotype" w:hAnsi="Palatino Linotype" w:eastAsia="Calibri" w:cs="Tahoma"/>
          <w:bCs/>
          <w:iCs/>
          <w:sz w:val="22"/>
          <w:szCs w:val="22"/>
          <w:lang w:val="es-ES" w:eastAsia="en-US"/>
        </w:rPr>
        <w:t xml:space="preserve">; además que los documentos que lo conforman, contarán con la máxima publicidad y será información pública de oficio que </w:t>
      </w:r>
      <w:r w:rsidR="00315D2F">
        <w:rPr>
          <w:rFonts w:ascii="Palatino Linotype" w:hAnsi="Palatino Linotype" w:eastAsia="Calibri" w:cs="Tahoma"/>
          <w:b/>
          <w:iCs/>
          <w:sz w:val="22"/>
          <w:szCs w:val="22"/>
          <w:lang w:val="es-ES" w:eastAsia="en-US"/>
        </w:rPr>
        <w:t>deberá difundirse en la página electrónica oficial de los Municipios, una vez entregados a la Legislatura.</w:t>
      </w:r>
    </w:p>
    <w:p w:rsidR="00753B53" w:rsidP="0096159B" w:rsidRDefault="00753B53" w14:paraId="4969FCA0" w14:textId="77777777">
      <w:pPr>
        <w:spacing w:line="360" w:lineRule="auto"/>
        <w:ind w:right="-93"/>
        <w:jc w:val="both"/>
        <w:rPr>
          <w:rFonts w:ascii="Palatino Linotype" w:hAnsi="Palatino Linotype" w:eastAsia="Calibri" w:cs="Tahoma"/>
          <w:bCs/>
          <w:iCs/>
          <w:sz w:val="22"/>
          <w:szCs w:val="22"/>
          <w:lang w:val="es-ES" w:eastAsia="en-US"/>
        </w:rPr>
      </w:pPr>
    </w:p>
    <w:p w:rsidR="0096159B" w:rsidP="0096159B" w:rsidRDefault="00315D2F" w14:paraId="3FF2F110" w14:textId="3D1393E1">
      <w:pPr>
        <w:spacing w:line="360" w:lineRule="auto"/>
        <w:ind w:right="-93"/>
        <w:jc w:val="both"/>
        <w:rPr>
          <w:rFonts w:ascii="Palatino Linotype" w:hAnsi="Palatino Linotype" w:eastAsia="Calibri" w:cs="Tahoma"/>
          <w:bCs/>
          <w:iCs/>
          <w:sz w:val="22"/>
          <w:szCs w:val="22"/>
          <w:lang w:val="es-ES" w:eastAsia="en-US"/>
        </w:rPr>
      </w:pPr>
      <w:r>
        <w:rPr>
          <w:rFonts w:ascii="Palatino Linotype" w:hAnsi="Palatino Linotype" w:eastAsia="Calibri" w:cs="Tahoma"/>
          <w:bCs/>
          <w:iCs/>
          <w:sz w:val="22"/>
          <w:szCs w:val="22"/>
          <w:lang w:val="es-ES" w:eastAsia="en-US"/>
        </w:rPr>
        <w:t>Además</w:t>
      </w:r>
      <w:r w:rsidR="0096159B">
        <w:rPr>
          <w:rFonts w:ascii="Palatino Linotype" w:hAnsi="Palatino Linotype" w:eastAsia="Calibri" w:cs="Tahoma"/>
          <w:bCs/>
          <w:iCs/>
          <w:sz w:val="22"/>
          <w:szCs w:val="22"/>
          <w:lang w:val="es-ES" w:eastAsia="en-US"/>
        </w:rPr>
        <w:t>, el artículo 352, párrafo primero, del Código Financiero del Estado de México, establece que la cuenta pública se conforma por la información económica, patrimonial, presupuestal, programática, cualitativa y cuantitativa que muestre</w:t>
      </w:r>
      <w:r w:rsidRPr="00262C2D" w:rsidR="0096159B">
        <w:rPr>
          <w:rFonts w:ascii="Palatino Linotype" w:hAnsi="Palatino Linotype" w:eastAsia="Calibri" w:cs="Tahoma"/>
          <w:bCs/>
          <w:iCs/>
          <w:sz w:val="22"/>
          <w:szCs w:val="22"/>
          <w:lang w:val="es-ES" w:eastAsia="en-US"/>
        </w:rPr>
        <w:t xml:space="preserve"> </w:t>
      </w:r>
      <w:r w:rsidR="0096159B">
        <w:rPr>
          <w:rFonts w:ascii="Palatino Linotype" w:hAnsi="Palatino Linotype" w:eastAsia="Calibri" w:cs="Tahoma"/>
          <w:bCs/>
          <w:iCs/>
          <w:sz w:val="22"/>
          <w:szCs w:val="22"/>
          <w:lang w:val="es-ES" w:eastAsia="en-US"/>
        </w:rPr>
        <w:t>los resultados de la ejecución de la Ley de Ingresos y del Presupuesto de Egresos.</w:t>
      </w:r>
    </w:p>
    <w:p w:rsidR="00602CAF" w:rsidP="00602CAF" w:rsidRDefault="00602CAF" w14:paraId="5F918686" w14:textId="3F83E5D3">
      <w:pPr>
        <w:tabs>
          <w:tab w:val="left" w:pos="1276"/>
        </w:tabs>
        <w:spacing w:line="360" w:lineRule="auto"/>
        <w:ind w:right="-28"/>
        <w:contextualSpacing/>
        <w:jc w:val="both"/>
        <w:rPr>
          <w:rFonts w:ascii="Palatino Linotype" w:hAnsi="Palatino Linotype" w:cs="Tahoma"/>
          <w:bCs/>
          <w:iCs/>
          <w:sz w:val="22"/>
          <w:szCs w:val="22"/>
        </w:rPr>
      </w:pPr>
    </w:p>
    <w:p w:rsidR="00315D2F" w:rsidP="00315D2F" w:rsidRDefault="00315D2F" w14:paraId="2D3E5DE1" w14:textId="0732CEBC">
      <w:pPr>
        <w:spacing w:line="360" w:lineRule="auto"/>
        <w:ind w:right="-93"/>
        <w:jc w:val="both"/>
        <w:rPr>
          <w:rFonts w:ascii="Palatino Linotype" w:hAnsi="Palatino Linotype" w:eastAsia="Calibri" w:cs="Tahoma"/>
          <w:bCs/>
          <w:iCs/>
          <w:sz w:val="22"/>
          <w:szCs w:val="22"/>
          <w:lang w:val="es-ES" w:eastAsia="en-US"/>
        </w:rPr>
      </w:pPr>
      <w:r>
        <w:rPr>
          <w:rFonts w:ascii="Palatino Linotype" w:hAnsi="Palatino Linotype" w:eastAsia="Calibri" w:cs="Tahoma"/>
          <w:bCs/>
          <w:iCs/>
          <w:sz w:val="22"/>
          <w:szCs w:val="22"/>
          <w:lang w:val="es-ES" w:eastAsia="en-US"/>
        </w:rPr>
        <w:t>De la misma manera, los Lineamientos para la Elaboración y Presentación de la Cuenta Pública Municipal, de los ejercicios fiscales dos mil diecisiete, dos mil dieciocho</w:t>
      </w:r>
      <w:r w:rsidR="00A33909">
        <w:rPr>
          <w:rFonts w:ascii="Palatino Linotype" w:hAnsi="Palatino Linotype" w:eastAsia="Calibri" w:cs="Tahoma"/>
          <w:bCs/>
          <w:iCs/>
          <w:sz w:val="22"/>
          <w:szCs w:val="22"/>
          <w:lang w:val="es-ES" w:eastAsia="en-US"/>
        </w:rPr>
        <w:t xml:space="preserve"> y</w:t>
      </w:r>
      <w:r>
        <w:rPr>
          <w:rFonts w:ascii="Palatino Linotype" w:hAnsi="Palatino Linotype" w:eastAsia="Calibri" w:cs="Tahoma"/>
          <w:bCs/>
          <w:iCs/>
          <w:sz w:val="22"/>
          <w:szCs w:val="22"/>
          <w:lang w:val="es-ES" w:eastAsia="en-US"/>
        </w:rPr>
        <w:t xml:space="preserve"> dos mil di</w:t>
      </w:r>
      <w:r w:rsidR="00A33909">
        <w:rPr>
          <w:rFonts w:ascii="Palatino Linotype" w:hAnsi="Palatino Linotype" w:eastAsia="Calibri" w:cs="Tahoma"/>
          <w:bCs/>
          <w:iCs/>
          <w:sz w:val="22"/>
          <w:szCs w:val="22"/>
          <w:lang w:val="es-ES" w:eastAsia="en-US"/>
        </w:rPr>
        <w:t>e</w:t>
      </w:r>
      <w:r>
        <w:rPr>
          <w:rFonts w:ascii="Palatino Linotype" w:hAnsi="Palatino Linotype" w:eastAsia="Calibri" w:cs="Tahoma"/>
          <w:bCs/>
          <w:iCs/>
          <w:sz w:val="22"/>
          <w:szCs w:val="22"/>
          <w:lang w:val="es-ES" w:eastAsia="en-US"/>
        </w:rPr>
        <w:t>cinueve</w:t>
      </w:r>
      <w:r w:rsidR="00A33909">
        <w:rPr>
          <w:rFonts w:ascii="Palatino Linotype" w:hAnsi="Palatino Linotype" w:eastAsia="Calibri" w:cs="Tahoma"/>
          <w:bCs/>
          <w:iCs/>
          <w:sz w:val="22"/>
          <w:szCs w:val="22"/>
          <w:lang w:val="es-ES" w:eastAsia="en-US"/>
        </w:rPr>
        <w:t xml:space="preserve">, </w:t>
      </w:r>
      <w:r w:rsidR="008A409B">
        <w:rPr>
          <w:rFonts w:ascii="Palatino Linotype" w:hAnsi="Palatino Linotype" w:eastAsia="Calibri" w:cs="Tahoma"/>
          <w:bCs/>
          <w:iCs/>
          <w:sz w:val="22"/>
          <w:szCs w:val="22"/>
          <w:lang w:val="es-ES" w:eastAsia="en-US"/>
        </w:rPr>
        <w:t xml:space="preserve">las Políticas para la Integración y Entrega de la Cuenta Pública Municipal, del dos mil veinte, </w:t>
      </w:r>
      <w:r w:rsidR="00A33909">
        <w:rPr>
          <w:rFonts w:ascii="Palatino Linotype" w:hAnsi="Palatino Linotype" w:eastAsia="Calibri" w:cs="Tahoma"/>
          <w:bCs/>
          <w:iCs/>
          <w:sz w:val="22"/>
          <w:szCs w:val="22"/>
          <w:lang w:val="es-ES" w:eastAsia="en-US"/>
        </w:rPr>
        <w:t>así como, los Lineamientos para la Integración y Entrega de la Cuenta Pública Municipal, del dos mil veinte y dos mil veintiuno</w:t>
      </w:r>
      <w:r w:rsidR="008A409B">
        <w:rPr>
          <w:rFonts w:ascii="Palatino Linotype" w:hAnsi="Palatino Linotype" w:eastAsia="Calibri" w:cs="Tahoma"/>
          <w:bCs/>
          <w:iCs/>
          <w:sz w:val="22"/>
          <w:szCs w:val="22"/>
          <w:lang w:val="es-ES" w:eastAsia="en-US"/>
        </w:rPr>
        <w:t xml:space="preserve">, precisan </w:t>
      </w:r>
      <w:r>
        <w:rPr>
          <w:rFonts w:ascii="Palatino Linotype" w:hAnsi="Palatino Linotype" w:eastAsia="Calibri" w:cs="Tahoma"/>
          <w:bCs/>
          <w:iCs/>
          <w:sz w:val="22"/>
          <w:szCs w:val="22"/>
          <w:lang w:val="es-ES" w:eastAsia="en-US"/>
        </w:rPr>
        <w:t>que la información que conforma a la cuenta pública, se subdivide en las siguientes capetas:</w:t>
      </w:r>
    </w:p>
    <w:p w:rsidR="00315D2F" w:rsidP="00602CAF" w:rsidRDefault="00315D2F" w14:paraId="4214A658" w14:textId="1356DBD8">
      <w:pPr>
        <w:tabs>
          <w:tab w:val="left" w:pos="1276"/>
        </w:tabs>
        <w:spacing w:line="360" w:lineRule="auto"/>
        <w:ind w:right="-28"/>
        <w:contextualSpacing/>
        <w:jc w:val="both"/>
        <w:rPr>
          <w:rFonts w:ascii="Palatino Linotype" w:hAnsi="Palatino Linotype" w:cs="Tahoma"/>
          <w:bCs/>
          <w:iCs/>
          <w:sz w:val="22"/>
          <w:szCs w:val="22"/>
        </w:rPr>
      </w:pPr>
    </w:p>
    <w:p w:rsidRPr="00B36D05" w:rsidR="008A409B" w:rsidP="008A409B" w:rsidRDefault="008A409B" w14:paraId="378CB6CC" w14:textId="3056FFA2">
      <w:pPr>
        <w:pStyle w:val="Prrafodelista"/>
        <w:numPr>
          <w:ilvl w:val="0"/>
          <w:numId w:val="49"/>
        </w:numPr>
        <w:spacing w:line="360" w:lineRule="auto"/>
        <w:ind w:right="-93"/>
        <w:jc w:val="both"/>
        <w:rPr>
          <w:rFonts w:ascii="Palatino Linotype" w:hAnsi="Palatino Linotype" w:eastAsia="Calibri" w:cs="Tahoma"/>
          <w:b/>
          <w:bCs/>
          <w:iCs/>
          <w:szCs w:val="22"/>
          <w:lang w:eastAsia="en-US"/>
        </w:rPr>
      </w:pPr>
      <w:r w:rsidRPr="00C24DA3">
        <w:rPr>
          <w:rFonts w:ascii="Palatino Linotype" w:hAnsi="Palatino Linotype" w:eastAsia="Calibri" w:cs="Tahoma"/>
          <w:b/>
          <w:bCs/>
          <w:iCs/>
          <w:szCs w:val="22"/>
          <w:lang w:eastAsia="en-US"/>
        </w:rPr>
        <w:t>Carpeta con Información Contable:</w:t>
      </w:r>
      <w:r>
        <w:rPr>
          <w:rFonts w:ascii="Palatino Linotype" w:hAnsi="Palatino Linotype" w:eastAsia="Calibri" w:cs="Tahoma"/>
          <w:b/>
          <w:bCs/>
          <w:iCs/>
          <w:szCs w:val="22"/>
          <w:lang w:eastAsia="en-US"/>
        </w:rPr>
        <w:t xml:space="preserve"> </w:t>
      </w:r>
      <w:r>
        <w:rPr>
          <w:rFonts w:ascii="Palatino Linotype" w:hAnsi="Palatino Linotype" w:eastAsia="Calibri" w:cs="Tahoma"/>
          <w:bCs/>
          <w:iCs/>
          <w:szCs w:val="22"/>
          <w:lang w:eastAsia="en-US"/>
        </w:rPr>
        <w:t>Los estados y la información financiera, la cual se conforma de estados financieros, reportes e informes acompañándose, notas explicativas e información necesaria.</w:t>
      </w:r>
    </w:p>
    <w:p w:rsidR="008A409B" w:rsidP="008A409B" w:rsidRDefault="008A409B" w14:paraId="2C4D87ED" w14:textId="77777777">
      <w:pPr>
        <w:pStyle w:val="Prrafodelista"/>
        <w:spacing w:line="360" w:lineRule="auto"/>
        <w:ind w:right="-93"/>
        <w:jc w:val="both"/>
        <w:rPr>
          <w:rFonts w:ascii="Palatino Linotype" w:hAnsi="Palatino Linotype" w:eastAsia="Calibri" w:cs="Tahoma"/>
          <w:b/>
          <w:bCs/>
          <w:iCs/>
          <w:szCs w:val="22"/>
          <w:lang w:eastAsia="en-US"/>
        </w:rPr>
      </w:pPr>
    </w:p>
    <w:p w:rsidRPr="00B36D05" w:rsidR="008A409B" w:rsidP="008A409B" w:rsidRDefault="008A409B" w14:paraId="05B34FE0" w14:textId="6AD564E2">
      <w:pPr>
        <w:pStyle w:val="Prrafodelista"/>
        <w:numPr>
          <w:ilvl w:val="0"/>
          <w:numId w:val="49"/>
        </w:numPr>
        <w:spacing w:line="360" w:lineRule="auto"/>
        <w:ind w:right="-93"/>
        <w:jc w:val="both"/>
        <w:rPr>
          <w:rFonts w:ascii="Palatino Linotype" w:hAnsi="Palatino Linotype" w:eastAsia="Calibri" w:cs="Tahoma"/>
          <w:b/>
          <w:bCs/>
          <w:iCs/>
          <w:szCs w:val="22"/>
          <w:lang w:eastAsia="en-US"/>
        </w:rPr>
      </w:pPr>
      <w:r w:rsidRPr="00C24DA3">
        <w:rPr>
          <w:rFonts w:ascii="Palatino Linotype" w:hAnsi="Palatino Linotype" w:eastAsia="Calibri" w:cs="Tahoma"/>
          <w:b/>
          <w:bCs/>
          <w:iCs/>
          <w:szCs w:val="22"/>
          <w:lang w:eastAsia="en-US"/>
        </w:rPr>
        <w:lastRenderedPageBreak/>
        <w:t>Carpeta con Información Presupuestaria:</w:t>
      </w:r>
      <w:r>
        <w:rPr>
          <w:rFonts w:ascii="Palatino Linotype" w:hAnsi="Palatino Linotype" w:eastAsia="Calibri" w:cs="Tahoma"/>
          <w:b/>
          <w:bCs/>
          <w:iCs/>
          <w:szCs w:val="22"/>
          <w:lang w:eastAsia="en-US"/>
        </w:rPr>
        <w:t xml:space="preserve"> </w:t>
      </w:r>
      <w:r>
        <w:rPr>
          <w:rFonts w:ascii="Palatino Linotype" w:hAnsi="Palatino Linotype" w:eastAsia="Calibri" w:cs="Tahoma"/>
          <w:bCs/>
          <w:iCs/>
          <w:szCs w:val="22"/>
          <w:lang w:eastAsia="en-US"/>
        </w:rPr>
        <w:t xml:space="preserve">Permite evaluar los resultados obtenidos respecto de los presupuestos autorizados, identifica la vinculación entre las cuentas de orden y las de balance o resultados, efectos en la posición financiera, entre otras cuestiones. </w:t>
      </w:r>
    </w:p>
    <w:p w:rsidR="008A409B" w:rsidP="008A409B" w:rsidRDefault="008A409B" w14:paraId="4B0BFC1F" w14:textId="77777777">
      <w:pPr>
        <w:pStyle w:val="Prrafodelista"/>
        <w:spacing w:line="360" w:lineRule="auto"/>
        <w:ind w:right="-93"/>
        <w:jc w:val="both"/>
        <w:rPr>
          <w:rFonts w:ascii="Palatino Linotype" w:hAnsi="Palatino Linotype" w:eastAsia="Calibri" w:cs="Tahoma"/>
          <w:b/>
          <w:bCs/>
          <w:iCs/>
          <w:szCs w:val="22"/>
          <w:lang w:eastAsia="en-US"/>
        </w:rPr>
      </w:pPr>
    </w:p>
    <w:p w:rsidRPr="00B36D05" w:rsidR="008A409B" w:rsidP="008A409B" w:rsidRDefault="008A409B" w14:paraId="1065677F" w14:textId="4A0EE2A6">
      <w:pPr>
        <w:pStyle w:val="Prrafodelista"/>
        <w:numPr>
          <w:ilvl w:val="0"/>
          <w:numId w:val="49"/>
        </w:numPr>
        <w:spacing w:line="360" w:lineRule="auto"/>
        <w:ind w:right="-93"/>
        <w:jc w:val="both"/>
        <w:rPr>
          <w:rFonts w:ascii="Palatino Linotype" w:hAnsi="Palatino Linotype" w:eastAsia="Calibri" w:cs="Tahoma"/>
          <w:b/>
          <w:bCs/>
          <w:iCs/>
          <w:szCs w:val="22"/>
          <w:lang w:eastAsia="en-US"/>
        </w:rPr>
      </w:pPr>
      <w:r w:rsidRPr="00C24DA3">
        <w:rPr>
          <w:rFonts w:ascii="Palatino Linotype" w:hAnsi="Palatino Linotype" w:eastAsia="Calibri" w:cs="Tahoma"/>
          <w:b/>
          <w:bCs/>
          <w:iCs/>
          <w:szCs w:val="22"/>
          <w:lang w:eastAsia="en-US"/>
        </w:rPr>
        <w:t>Carpeta con Información Programática:</w:t>
      </w:r>
      <w:r>
        <w:rPr>
          <w:rFonts w:ascii="Palatino Linotype" w:hAnsi="Palatino Linotype" w:eastAsia="Calibri" w:cs="Tahoma"/>
          <w:bCs/>
          <w:iCs/>
          <w:szCs w:val="22"/>
          <w:lang w:eastAsia="en-US"/>
        </w:rPr>
        <w:t xml:space="preserve"> Genera los indicadores de resultados sobre el cumplimiento de sus metas.</w:t>
      </w:r>
    </w:p>
    <w:p w:rsidR="008A409B" w:rsidP="008A409B" w:rsidRDefault="008A409B" w14:paraId="1D402557" w14:textId="77777777">
      <w:pPr>
        <w:pStyle w:val="Prrafodelista"/>
        <w:spacing w:line="360" w:lineRule="auto"/>
        <w:ind w:right="-93"/>
        <w:jc w:val="both"/>
        <w:rPr>
          <w:rFonts w:ascii="Palatino Linotype" w:hAnsi="Palatino Linotype" w:eastAsia="Calibri" w:cs="Tahoma"/>
          <w:b/>
          <w:bCs/>
          <w:iCs/>
          <w:szCs w:val="22"/>
          <w:lang w:eastAsia="en-US"/>
        </w:rPr>
      </w:pPr>
    </w:p>
    <w:p w:rsidRPr="00E2333D" w:rsidR="008A409B" w:rsidP="008A409B" w:rsidRDefault="008A409B" w14:paraId="3AAEB29A" w14:textId="52B21648">
      <w:pPr>
        <w:pStyle w:val="Prrafodelista"/>
        <w:numPr>
          <w:ilvl w:val="0"/>
          <w:numId w:val="49"/>
        </w:numPr>
        <w:spacing w:line="360" w:lineRule="auto"/>
        <w:ind w:right="-93"/>
        <w:jc w:val="both"/>
        <w:rPr>
          <w:rFonts w:ascii="Palatino Linotype" w:hAnsi="Palatino Linotype" w:eastAsia="Calibri" w:cs="Tahoma"/>
          <w:b/>
          <w:bCs/>
          <w:iCs/>
          <w:szCs w:val="22"/>
          <w:lang w:val="es-ES" w:eastAsia="en-US"/>
        </w:rPr>
      </w:pPr>
      <w:r w:rsidRPr="00C24DA3">
        <w:rPr>
          <w:rFonts w:ascii="Palatino Linotype" w:hAnsi="Palatino Linotype" w:eastAsia="Calibri" w:cs="Tahoma"/>
          <w:b/>
          <w:bCs/>
          <w:iCs/>
          <w:szCs w:val="22"/>
          <w:lang w:eastAsia="en-US"/>
        </w:rPr>
        <w:t>Carpeta con Información Complementaria:</w:t>
      </w:r>
      <w:r>
        <w:rPr>
          <w:rFonts w:ascii="Palatino Linotype" w:hAnsi="Palatino Linotype" w:eastAsia="Calibri" w:cs="Tahoma"/>
          <w:b/>
          <w:bCs/>
          <w:iCs/>
          <w:szCs w:val="22"/>
          <w:lang w:eastAsia="en-US"/>
        </w:rPr>
        <w:t xml:space="preserve"> </w:t>
      </w:r>
      <w:r>
        <w:rPr>
          <w:rFonts w:ascii="Palatino Linotype" w:hAnsi="Palatino Linotype" w:eastAsia="Calibri" w:cs="Tahoma"/>
          <w:bCs/>
          <w:iCs/>
          <w:szCs w:val="22"/>
          <w:lang w:eastAsia="en-US"/>
        </w:rPr>
        <w:t>Se conforma de la información complementaria contable, presupuestaria y programática.</w:t>
      </w:r>
    </w:p>
    <w:p w:rsidR="008A409B" w:rsidP="00602CAF" w:rsidRDefault="008A409B" w14:paraId="063C9D6D" w14:textId="5E701BAA">
      <w:pPr>
        <w:tabs>
          <w:tab w:val="left" w:pos="1276"/>
        </w:tabs>
        <w:spacing w:line="360" w:lineRule="auto"/>
        <w:ind w:right="-28"/>
        <w:contextualSpacing/>
        <w:jc w:val="both"/>
        <w:rPr>
          <w:rFonts w:ascii="Palatino Linotype" w:hAnsi="Palatino Linotype" w:cs="Tahoma"/>
          <w:bCs/>
          <w:iCs/>
          <w:sz w:val="22"/>
          <w:szCs w:val="22"/>
        </w:rPr>
      </w:pPr>
    </w:p>
    <w:p w:rsidRPr="008A409B" w:rsidR="008A409B" w:rsidP="00602CAF" w:rsidRDefault="008A409B" w14:paraId="0DE22406" w14:textId="19E31C18">
      <w:pPr>
        <w:tabs>
          <w:tab w:val="left" w:pos="1276"/>
        </w:tabs>
        <w:spacing w:line="360" w:lineRule="auto"/>
        <w:ind w:right="-28"/>
        <w:contextualSpacing/>
        <w:jc w:val="both"/>
        <w:rPr>
          <w:rFonts w:ascii="Palatino Linotype" w:hAnsi="Palatino Linotype" w:cs="Tahoma"/>
          <w:iCs/>
          <w:sz w:val="22"/>
          <w:szCs w:val="22"/>
        </w:rPr>
      </w:pPr>
      <w:r>
        <w:rPr>
          <w:rFonts w:ascii="Palatino Linotype" w:hAnsi="Palatino Linotype" w:eastAsia="Calibri" w:cs="Tahoma"/>
          <w:bCs/>
          <w:iCs/>
          <w:sz w:val="22"/>
          <w:szCs w:val="22"/>
          <w:lang w:val="es-ES" w:eastAsia="en-US"/>
        </w:rPr>
        <w:t xml:space="preserve">Conforme a lo anterior, se advierte que </w:t>
      </w:r>
      <w:r w:rsidRPr="000717E8">
        <w:rPr>
          <w:rFonts w:ascii="Palatino Linotype" w:hAnsi="Palatino Linotype" w:eastAsia="Calibri" w:cs="Tahoma"/>
          <w:b/>
          <w:bCs/>
          <w:iCs/>
          <w:sz w:val="22"/>
          <w:szCs w:val="22"/>
          <w:lang w:val="es-ES" w:eastAsia="en-US"/>
        </w:rPr>
        <w:t xml:space="preserve">la cuenta pública </w:t>
      </w:r>
      <w:r>
        <w:rPr>
          <w:rFonts w:ascii="Palatino Linotype" w:hAnsi="Palatino Linotype" w:eastAsia="Calibri" w:cs="Tahoma"/>
          <w:b/>
          <w:bCs/>
          <w:iCs/>
          <w:sz w:val="22"/>
          <w:szCs w:val="22"/>
          <w:lang w:val="es-ES" w:eastAsia="en-US"/>
        </w:rPr>
        <w:t>tiene todos</w:t>
      </w:r>
      <w:r w:rsidRPr="000717E8">
        <w:rPr>
          <w:rFonts w:ascii="Palatino Linotype" w:hAnsi="Palatino Linotype" w:eastAsia="Calibri" w:cs="Tahoma"/>
          <w:b/>
          <w:bCs/>
          <w:iCs/>
          <w:sz w:val="22"/>
          <w:szCs w:val="22"/>
          <w:lang w:val="es-ES" w:eastAsia="en-US"/>
        </w:rPr>
        <w:t xml:space="preserve"> los documentos que integran a las carpetas de información contable, presupuestaria, programática y complementaria</w:t>
      </w:r>
      <w:r>
        <w:rPr>
          <w:rFonts w:ascii="Palatino Linotype" w:hAnsi="Palatino Linotype" w:eastAsia="Calibri" w:cs="Tahoma"/>
          <w:b/>
          <w:bCs/>
          <w:iCs/>
          <w:sz w:val="22"/>
          <w:szCs w:val="22"/>
          <w:lang w:val="es-ES" w:eastAsia="en-US"/>
        </w:rPr>
        <w:t xml:space="preserve">, </w:t>
      </w:r>
      <w:r>
        <w:rPr>
          <w:rFonts w:ascii="Palatino Linotype" w:hAnsi="Palatino Linotype" w:eastAsia="Calibri" w:cs="Tahoma"/>
          <w:iCs/>
          <w:sz w:val="22"/>
          <w:szCs w:val="22"/>
          <w:lang w:val="es-ES" w:eastAsia="en-US"/>
        </w:rPr>
        <w:t>y, por lo tanto, la pretensión del ahora Recurrente, es obtener dichos documentos, de los ejercicios fiscales, del dos mil dieciocho a dos mil veintiuno.</w:t>
      </w:r>
    </w:p>
    <w:p w:rsidR="00527B15" w:rsidP="00527B15" w:rsidRDefault="00527B15" w14:paraId="65B56B9B" w14:textId="77777777">
      <w:pPr>
        <w:tabs>
          <w:tab w:val="left" w:pos="1276"/>
        </w:tabs>
        <w:spacing w:line="360" w:lineRule="auto"/>
        <w:ind w:right="-28"/>
        <w:contextualSpacing/>
        <w:jc w:val="both"/>
        <w:rPr>
          <w:rFonts w:ascii="Palatino Linotype" w:hAnsi="Palatino Linotype" w:cs="Tahoma"/>
          <w:bCs/>
          <w:iCs/>
          <w:sz w:val="22"/>
          <w:szCs w:val="22"/>
        </w:rPr>
      </w:pPr>
    </w:p>
    <w:p w:rsidR="00D3482D" w:rsidP="0091047C" w:rsidRDefault="00D3482D" w14:paraId="7036C0C4" w14:textId="680A63A9">
      <w:pPr>
        <w:spacing w:line="360" w:lineRule="auto"/>
        <w:jc w:val="both"/>
        <w:rPr>
          <w:rFonts w:ascii="Palatino Linotype" w:hAnsi="Palatino Linotype" w:cs="Tahoma"/>
          <w:sz w:val="22"/>
          <w:szCs w:val="22"/>
          <w:lang w:val="es-ES"/>
        </w:rPr>
      </w:pPr>
      <w:r w:rsidRPr="00F93044">
        <w:rPr>
          <w:rFonts w:ascii="Palatino Linotype" w:hAnsi="Palatino Linotype" w:cs="Tahoma"/>
          <w:sz w:val="22"/>
          <w:szCs w:val="22"/>
          <w:lang w:val="es-ES"/>
        </w:rPr>
        <w:t xml:space="preserve">Establecido lo anterior, se procede analizar el agravió hecho valer por la Recurrente, referente al cambio de modalidad realizada por </w:t>
      </w:r>
      <w:r w:rsidR="00C3082D">
        <w:rPr>
          <w:rFonts w:ascii="Palatino Linotype" w:hAnsi="Palatino Linotype" w:cs="Tahoma"/>
          <w:sz w:val="22"/>
          <w:szCs w:val="22"/>
          <w:lang w:val="es-ES"/>
        </w:rPr>
        <w:t xml:space="preserve">el </w:t>
      </w:r>
      <w:r w:rsidRPr="00C3082D" w:rsidR="00C3082D">
        <w:rPr>
          <w:rFonts w:ascii="Palatino Linotype" w:hAnsi="Palatino Linotype" w:cs="Tahoma"/>
          <w:sz w:val="22"/>
          <w:szCs w:val="22"/>
          <w:lang w:val="es-ES"/>
        </w:rPr>
        <w:t>Ayuntamiento de Donato Guerra</w:t>
      </w:r>
      <w:r w:rsidRPr="00F93044">
        <w:rPr>
          <w:rFonts w:ascii="Palatino Linotype" w:hAnsi="Palatino Linotype" w:cs="Tahoma"/>
          <w:sz w:val="22"/>
          <w:szCs w:val="22"/>
          <w:lang w:val="es-ES"/>
        </w:rPr>
        <w:t>; al respecto, cabe recordar que se requirió la información, a través del Sistema de Acceso a Información Mexiquense (SAIMEX).</w:t>
      </w:r>
      <w:r>
        <w:rPr>
          <w:rFonts w:ascii="Palatino Linotype" w:hAnsi="Palatino Linotype" w:cs="Tahoma"/>
          <w:sz w:val="22"/>
          <w:szCs w:val="22"/>
          <w:lang w:val="es-ES"/>
        </w:rPr>
        <w:t xml:space="preserve"> </w:t>
      </w:r>
    </w:p>
    <w:p w:rsidR="009245F5" w:rsidP="009245F5" w:rsidRDefault="009245F5" w14:paraId="0DADC31B" w14:textId="77777777">
      <w:pPr>
        <w:spacing w:line="360" w:lineRule="auto"/>
        <w:ind w:right="-28"/>
        <w:contextualSpacing/>
        <w:jc w:val="both"/>
        <w:rPr>
          <w:rFonts w:ascii="Palatino Linotype" w:hAnsi="Palatino Linotype" w:cs="Tahoma"/>
          <w:sz w:val="22"/>
          <w:szCs w:val="22"/>
        </w:rPr>
      </w:pPr>
    </w:p>
    <w:p w:rsidRPr="00A2515B" w:rsidR="009245F5" w:rsidP="009245F5" w:rsidRDefault="009245F5" w14:paraId="5E22880C"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cs="Tahoma"/>
          <w:bCs/>
          <w:color w:val="0D0D0D"/>
          <w:sz w:val="22"/>
          <w:szCs w:val="22"/>
        </w:rPr>
        <w:t>En ese sentido,</w:t>
      </w:r>
      <w:r w:rsidRPr="00A2515B">
        <w:rPr>
          <w:rFonts w:ascii="Palatino Linotype" w:hAnsi="Palatino Linotype" w:eastAsia="Calibri" w:cs="Tahoma"/>
          <w:bCs/>
          <w:sz w:val="22"/>
          <w:szCs w:val="22"/>
          <w:lang w:val="es-ES" w:eastAsia="en-US"/>
        </w:rPr>
        <w:t xml:space="preserve"> el artículo 155, fracción V, de la Ley de Transparencia y Acceso a la Información Pública del Estado de México y Municipios, precisa que </w:t>
      </w:r>
      <w:r w:rsidRPr="00A2515B">
        <w:rPr>
          <w:rFonts w:ascii="Palatino Linotype" w:hAnsi="Palatino Linotype" w:eastAsia="Calibri" w:cs="Tahoma"/>
          <w:bCs/>
          <w:sz w:val="22"/>
          <w:szCs w:val="22"/>
          <w:lang w:eastAsia="en-US"/>
        </w:rPr>
        <w:t xml:space="preserve">para presentar una solicitud, la particular podrá señalar </w:t>
      </w:r>
      <w:r w:rsidRPr="00A2515B">
        <w:rPr>
          <w:rFonts w:ascii="Palatino Linotype" w:hAnsi="Palatino Linotype" w:eastAsia="Calibri" w:cs="Tahoma"/>
          <w:b/>
          <w:bCs/>
          <w:sz w:val="22"/>
          <w:szCs w:val="22"/>
          <w:lang w:eastAsia="en-US"/>
        </w:rPr>
        <w:t>la modalidad en la que prefiere se otorgue el acceso a la información</w:t>
      </w:r>
      <w:r w:rsidRPr="00A2515B">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A2515B" w:rsidR="009245F5" w:rsidP="009245F5" w:rsidRDefault="009245F5" w14:paraId="7D24D9F6" w14:textId="77777777">
      <w:pPr>
        <w:spacing w:line="360" w:lineRule="auto"/>
        <w:jc w:val="both"/>
        <w:rPr>
          <w:rFonts w:ascii="Palatino Linotype" w:hAnsi="Palatino Linotype" w:eastAsia="Calibri" w:cs="Tahoma"/>
          <w:b/>
          <w:bCs/>
          <w:sz w:val="22"/>
          <w:szCs w:val="22"/>
          <w:lang w:val="es-ES" w:eastAsia="en-US"/>
        </w:rPr>
      </w:pPr>
      <w:r w:rsidRPr="00A2515B">
        <w:rPr>
          <w:rFonts w:ascii="Palatino Linotype" w:hAnsi="Palatino Linotype" w:eastAsia="Calibri" w:cs="Tahoma"/>
          <w:bCs/>
          <w:sz w:val="22"/>
          <w:szCs w:val="22"/>
          <w:lang w:val="es-ES" w:eastAsia="en-US"/>
        </w:rPr>
        <w:lastRenderedPageBreak/>
        <w:t xml:space="preserve">El artículo 158, dispone que, de manera excepcional, cuando de manera fundada y motivada lo determine el Sujeto Obligado, </w:t>
      </w:r>
      <w:r w:rsidRPr="00A2515B">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A2515B" w:rsidR="009245F5" w:rsidP="009245F5" w:rsidRDefault="009245F5" w14:paraId="09CAAC94" w14:textId="77777777">
      <w:pPr>
        <w:spacing w:line="360" w:lineRule="auto"/>
        <w:jc w:val="both"/>
        <w:rPr>
          <w:rFonts w:ascii="Palatino Linotype" w:hAnsi="Palatino Linotype" w:eastAsia="Calibri" w:cs="Tahoma"/>
          <w:b/>
          <w:bCs/>
          <w:sz w:val="22"/>
          <w:szCs w:val="22"/>
          <w:lang w:val="es-ES" w:eastAsia="en-US"/>
        </w:rPr>
      </w:pPr>
    </w:p>
    <w:p w:rsidRPr="00A2515B" w:rsidR="009245F5" w:rsidP="009245F5" w:rsidRDefault="009245F5" w14:paraId="3F4B6722" w14:textId="77777777">
      <w:pPr>
        <w:spacing w:line="360" w:lineRule="auto"/>
        <w:jc w:val="both"/>
        <w:rPr>
          <w:rFonts w:ascii="Palatino Linotype" w:hAnsi="Palatino Linotype" w:eastAsia="Calibri" w:cs="Tahoma"/>
          <w:bCs/>
          <w:sz w:val="22"/>
          <w:szCs w:val="22"/>
          <w:lang w:eastAsia="en-US"/>
        </w:rPr>
      </w:pPr>
      <w:r w:rsidRPr="00A2515B">
        <w:rPr>
          <w:rFonts w:ascii="Palatino Linotype" w:hAnsi="Palatino Linotype" w:eastAsia="Calibri" w:cs="Tahoma"/>
          <w:bCs/>
          <w:sz w:val="22"/>
          <w:szCs w:val="22"/>
          <w:lang w:val="es-ES" w:eastAsia="en-US"/>
        </w:rPr>
        <w:t xml:space="preserve">En ese orden de ideas, el artículo 164 de dicho ordenamiento jurídico, prevé que </w:t>
      </w:r>
      <w:r w:rsidRPr="00A2515B">
        <w:rPr>
          <w:rFonts w:ascii="Palatino Linotype" w:hAnsi="Palatino Linotype" w:eastAsia="Calibri" w:cs="Tahoma"/>
          <w:bCs/>
          <w:sz w:val="22"/>
          <w:szCs w:val="22"/>
          <w:lang w:eastAsia="en-US"/>
        </w:rPr>
        <w:t xml:space="preserve">el acceso se dará en la modalidad de entrega y, en su caso, de envío elegidos por al solicitante. </w:t>
      </w:r>
      <w:r w:rsidRPr="00A2515B">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A2515B">
        <w:rPr>
          <w:rFonts w:ascii="Palatino Linotype" w:hAnsi="Palatino Linotype" w:eastAsia="Calibri" w:cs="Tahoma"/>
          <w:bCs/>
          <w:sz w:val="22"/>
          <w:szCs w:val="22"/>
          <w:lang w:eastAsia="en-US"/>
        </w:rPr>
        <w:t xml:space="preserve"> En cualquier caso, </w:t>
      </w:r>
      <w:r w:rsidRPr="00A2515B">
        <w:rPr>
          <w:rFonts w:ascii="Palatino Linotype" w:hAnsi="Palatino Linotype" w:eastAsia="Calibri" w:cs="Tahoma"/>
          <w:b/>
          <w:bCs/>
          <w:sz w:val="22"/>
          <w:szCs w:val="22"/>
          <w:lang w:eastAsia="en-US"/>
        </w:rPr>
        <w:t>se deberá fundar y motivar</w:t>
      </w:r>
      <w:r w:rsidRPr="00A2515B">
        <w:rPr>
          <w:rFonts w:ascii="Palatino Linotype" w:hAnsi="Palatino Linotype" w:eastAsia="Calibri" w:cs="Tahoma"/>
          <w:bCs/>
          <w:sz w:val="22"/>
          <w:szCs w:val="22"/>
          <w:lang w:eastAsia="en-US"/>
        </w:rPr>
        <w:t xml:space="preserve"> la necesidad de ofrecer otras modalidades.</w:t>
      </w:r>
    </w:p>
    <w:p w:rsidRPr="00A2515B" w:rsidR="009245F5" w:rsidP="009245F5" w:rsidRDefault="009245F5" w14:paraId="4AC05420" w14:textId="77777777">
      <w:pPr>
        <w:spacing w:line="360" w:lineRule="auto"/>
        <w:jc w:val="both"/>
        <w:rPr>
          <w:rFonts w:ascii="Palatino Linotype" w:hAnsi="Palatino Linotype" w:eastAsia="Calibri" w:cs="Tahoma"/>
          <w:bCs/>
          <w:sz w:val="22"/>
          <w:szCs w:val="22"/>
          <w:lang w:eastAsia="en-US"/>
        </w:rPr>
      </w:pPr>
    </w:p>
    <w:p w:rsidRPr="00A2515B" w:rsidR="009245F5" w:rsidP="009245F5" w:rsidRDefault="009245F5" w14:paraId="4F68221F" w14:textId="77777777">
      <w:pPr>
        <w:spacing w:line="360" w:lineRule="auto"/>
        <w:jc w:val="both"/>
        <w:rPr>
          <w:rFonts w:ascii="Palatino Linotype" w:hAnsi="Palatino Linotype" w:eastAsia="Calibri" w:cs="Tahoma"/>
          <w:bCs/>
          <w:sz w:val="22"/>
          <w:szCs w:val="22"/>
          <w:lang w:val="es-ES" w:eastAsia="en-US"/>
        </w:rPr>
      </w:pPr>
      <w:r w:rsidRPr="00A2515B">
        <w:rPr>
          <w:rFonts w:ascii="Palatino Linotype" w:hAnsi="Palatino Linotype" w:eastAsia="Calibri"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2515B">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A2515B">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A2515B">
        <w:rPr>
          <w:rFonts w:ascii="Palatino Linotype" w:hAnsi="Palatino Linotype" w:eastAsia="Calibri" w:cs="Tahoma"/>
          <w:b/>
          <w:bCs/>
          <w:sz w:val="22"/>
          <w:szCs w:val="22"/>
          <w:lang w:val="es-ES" w:eastAsia="en-US"/>
        </w:rPr>
        <w:t>sólo procede, en caso de que se acredite la imposibilidad de atenderla.</w:t>
      </w:r>
      <w:r w:rsidRPr="00A2515B">
        <w:rPr>
          <w:rFonts w:ascii="Palatino Linotype" w:hAnsi="Palatino Linotype" w:eastAsia="Calibri" w:cs="Tahoma"/>
          <w:bCs/>
          <w:sz w:val="22"/>
          <w:szCs w:val="22"/>
          <w:lang w:val="es-ES" w:eastAsia="en-US"/>
        </w:rPr>
        <w:t xml:space="preserve"> </w:t>
      </w:r>
    </w:p>
    <w:p w:rsidRPr="00A2515B" w:rsidR="009245F5" w:rsidP="009245F5" w:rsidRDefault="009245F5" w14:paraId="68F1D893" w14:textId="77777777">
      <w:pPr>
        <w:spacing w:line="360" w:lineRule="auto"/>
        <w:jc w:val="both"/>
        <w:rPr>
          <w:rFonts w:ascii="Palatino Linotype" w:hAnsi="Palatino Linotype" w:eastAsia="Calibri" w:cs="Tahoma"/>
          <w:bCs/>
          <w:sz w:val="22"/>
          <w:szCs w:val="22"/>
          <w:lang w:val="es-ES" w:eastAsia="en-US"/>
        </w:rPr>
      </w:pPr>
    </w:p>
    <w:p w:rsidRPr="00A2515B" w:rsidR="009245F5" w:rsidP="009245F5" w:rsidRDefault="009245F5" w14:paraId="210E6D06" w14:textId="77777777">
      <w:pPr>
        <w:spacing w:line="360" w:lineRule="auto"/>
        <w:jc w:val="both"/>
        <w:rPr>
          <w:rFonts w:ascii="Palatino Linotype" w:hAnsi="Palatino Linotype" w:eastAsia="Calibri" w:cs="Tahoma"/>
          <w:bCs/>
          <w:sz w:val="22"/>
          <w:szCs w:val="22"/>
          <w:lang w:val="es-ES" w:eastAsia="en-US"/>
        </w:rPr>
      </w:pPr>
      <w:r w:rsidRPr="00A2515B">
        <w:rPr>
          <w:rFonts w:ascii="Palatino Linotype" w:hAnsi="Palatino Linotype" w:eastAsia="Calibri" w:cs="Tahoma"/>
          <w:bCs/>
          <w:sz w:val="22"/>
          <w:szCs w:val="22"/>
          <w:lang w:val="es-ES" w:eastAsia="en-US"/>
        </w:rPr>
        <w:t xml:space="preserve">Así, cuando se justifique el impedimento, </w:t>
      </w:r>
      <w:r w:rsidRPr="00A2515B">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A2515B">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A2515B" w:rsidR="009245F5" w:rsidP="009245F5" w:rsidRDefault="009245F5" w14:paraId="41794F0E" w14:textId="77777777">
      <w:pPr>
        <w:spacing w:line="360" w:lineRule="auto"/>
        <w:jc w:val="both"/>
        <w:rPr>
          <w:rFonts w:ascii="Palatino Linotype" w:hAnsi="Palatino Linotype" w:eastAsia="Calibri" w:cs="Tahoma"/>
          <w:bCs/>
          <w:sz w:val="24"/>
          <w:szCs w:val="24"/>
          <w:lang w:val="es-ES" w:eastAsia="en-US"/>
        </w:rPr>
      </w:pPr>
    </w:p>
    <w:p w:rsidRPr="00A2515B" w:rsidR="009245F5" w:rsidP="009245F5" w:rsidRDefault="009245F5" w14:paraId="65DA97B0" w14:textId="77777777">
      <w:pPr>
        <w:spacing w:line="360" w:lineRule="auto"/>
        <w:ind w:left="567" w:right="567"/>
        <w:jc w:val="both"/>
        <w:rPr>
          <w:rFonts w:ascii="Palatino Linotype" w:hAnsi="Palatino Linotype" w:eastAsia="Calibri" w:cs="Tahoma"/>
          <w:bCs/>
          <w:i/>
          <w:lang w:val="es-ES" w:eastAsia="en-US"/>
        </w:rPr>
      </w:pPr>
      <w:r w:rsidRPr="00A2515B">
        <w:rPr>
          <w:rFonts w:ascii="Palatino Linotype" w:hAnsi="Palatino Linotype" w:eastAsia="Calibri" w:cs="Tahoma"/>
          <w:b/>
          <w:bCs/>
          <w:i/>
          <w:lang w:val="es-ES" w:eastAsia="en-US"/>
        </w:rPr>
        <w:lastRenderedPageBreak/>
        <w:t>“Modalidad de entrega. Procedencia de proporcionar la información solicitada en una diversa a la elegida por el solicitante.</w:t>
      </w:r>
      <w:r w:rsidRPr="00A2515B">
        <w:rPr>
          <w:rFonts w:ascii="Palatino Linotype" w:hAnsi="Palatino Linotype" w:eastAsia="Calibri"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A2515B" w:rsidR="009245F5" w:rsidP="009245F5" w:rsidRDefault="009245F5" w14:paraId="0DFA1F58" w14:textId="77777777">
      <w:pPr>
        <w:spacing w:line="360" w:lineRule="auto"/>
        <w:jc w:val="both"/>
        <w:rPr>
          <w:rFonts w:ascii="Palatino Linotype" w:hAnsi="Palatino Linotype" w:eastAsia="Calibri" w:cs="Tahoma"/>
          <w:bCs/>
          <w:sz w:val="22"/>
          <w:szCs w:val="22"/>
          <w:lang w:val="es-ES" w:eastAsia="en-US"/>
        </w:rPr>
      </w:pPr>
    </w:p>
    <w:p w:rsidRPr="00A2515B" w:rsidR="009245F5" w:rsidP="009245F5" w:rsidRDefault="009245F5" w14:paraId="4F9135BB" w14:textId="77777777">
      <w:pPr>
        <w:spacing w:line="360" w:lineRule="auto"/>
        <w:jc w:val="both"/>
        <w:rPr>
          <w:rFonts w:ascii="Palatino Linotype" w:hAnsi="Palatino Linotype" w:eastAsia="Calibri" w:cs="Tahoma"/>
          <w:b/>
          <w:sz w:val="22"/>
          <w:szCs w:val="22"/>
          <w:lang w:val="es-ES" w:eastAsia="en-US"/>
        </w:rPr>
      </w:pPr>
      <w:r w:rsidRPr="00A2515B">
        <w:rPr>
          <w:rFonts w:ascii="Palatino Linotype" w:hAnsi="Palatino Linotype" w:eastAsia="Calibri"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2515B">
        <w:rPr>
          <w:rFonts w:ascii="Palatino Linotype" w:hAnsi="Palatino Linotype" w:eastAsia="Calibri" w:cs="Tahoma"/>
          <w:b/>
          <w:sz w:val="22"/>
          <w:szCs w:val="22"/>
          <w:lang w:val="es-ES" w:eastAsia="en-US"/>
        </w:rPr>
        <w:t>información en todas las modalidades que lo permitan, procurando reducir los costos de entrega.</w:t>
      </w:r>
    </w:p>
    <w:p w:rsidR="009245F5" w:rsidP="009245F5" w:rsidRDefault="009245F5" w14:paraId="10C71AB5" w14:textId="77777777">
      <w:pPr>
        <w:spacing w:line="360" w:lineRule="auto"/>
        <w:jc w:val="both"/>
        <w:rPr>
          <w:rFonts w:ascii="Palatino Linotype" w:hAnsi="Palatino Linotype" w:cs="Tahoma"/>
          <w:sz w:val="22"/>
          <w:szCs w:val="22"/>
          <w:lang w:val="es-ES"/>
        </w:rPr>
      </w:pPr>
    </w:p>
    <w:p w:rsidRPr="00BB545F" w:rsidR="009245F5" w:rsidP="009245F5" w:rsidRDefault="009245F5" w14:paraId="41584814" w14:textId="77777777">
      <w:pPr>
        <w:widowControl w:val="0"/>
        <w:spacing w:line="360" w:lineRule="auto"/>
        <w:jc w:val="both"/>
        <w:rPr>
          <w:rFonts w:ascii="Palatino Linotype" w:hAnsi="Palatino Linotype" w:eastAsia="Calibri" w:cs="Tahoma"/>
          <w:bCs/>
          <w:sz w:val="22"/>
          <w:szCs w:val="22"/>
          <w:lang w:val="es-ES" w:eastAsia="en-US"/>
        </w:rPr>
      </w:pPr>
      <w:r w:rsidRPr="00BB545F">
        <w:rPr>
          <w:rFonts w:ascii="Palatino Linotype" w:hAnsi="Palatino Linotype" w:eastAsia="Calibri"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BB545F" w:rsidR="009245F5" w:rsidP="009245F5" w:rsidRDefault="009245F5" w14:paraId="72D1F530" w14:textId="77777777">
      <w:pPr>
        <w:spacing w:line="360" w:lineRule="auto"/>
        <w:jc w:val="both"/>
        <w:rPr>
          <w:rFonts w:ascii="Palatino Linotype" w:hAnsi="Palatino Linotype" w:eastAsia="Calibri" w:cs="Tahoma"/>
          <w:bCs/>
          <w:sz w:val="22"/>
          <w:szCs w:val="22"/>
          <w:lang w:val="es-ES" w:eastAsia="en-US"/>
        </w:rPr>
      </w:pPr>
    </w:p>
    <w:p w:rsidRPr="00BB545F" w:rsidR="009245F5" w:rsidP="009245F5" w:rsidRDefault="009245F5" w14:paraId="7BB82F0A" w14:textId="77777777">
      <w:pPr>
        <w:numPr>
          <w:ilvl w:val="0"/>
          <w:numId w:val="41"/>
        </w:numPr>
        <w:spacing w:line="360" w:lineRule="auto"/>
        <w:contextualSpacing/>
        <w:jc w:val="both"/>
        <w:rPr>
          <w:rFonts w:ascii="Palatino Linotype" w:hAnsi="Palatino Linotype" w:eastAsia="Calibri" w:cs="Tahoma"/>
          <w:bCs/>
          <w:sz w:val="22"/>
          <w:szCs w:val="22"/>
          <w:lang w:val="es-ES" w:eastAsia="es-MX"/>
        </w:rPr>
      </w:pPr>
      <w:r w:rsidRPr="00BB545F">
        <w:rPr>
          <w:rFonts w:ascii="Palatino Linotype" w:hAnsi="Palatino Linotype" w:eastAsia="Calibri" w:cs="Tahoma"/>
          <w:bCs/>
          <w:sz w:val="22"/>
          <w:szCs w:val="22"/>
          <w:lang w:val="es-ES" w:eastAsia="es-MX"/>
        </w:rPr>
        <w:t>Las razones por las cuales la información implicaba un análisis, estudio o procesamiento de datos;</w:t>
      </w:r>
    </w:p>
    <w:p w:rsidR="009245F5" w:rsidP="009245F5" w:rsidRDefault="009245F5" w14:paraId="63F19588" w14:textId="0E48F9D3">
      <w:pPr>
        <w:spacing w:line="360" w:lineRule="auto"/>
        <w:ind w:left="720"/>
        <w:contextualSpacing/>
        <w:jc w:val="both"/>
        <w:rPr>
          <w:rFonts w:ascii="Palatino Linotype" w:hAnsi="Palatino Linotype" w:eastAsia="Calibri" w:cs="Tahoma"/>
          <w:bCs/>
          <w:sz w:val="22"/>
          <w:szCs w:val="22"/>
          <w:lang w:val="es-ES" w:eastAsia="es-MX"/>
        </w:rPr>
      </w:pPr>
    </w:p>
    <w:p w:rsidRPr="00BB545F" w:rsidR="009245F5" w:rsidP="009245F5" w:rsidRDefault="009245F5" w14:paraId="460268D5" w14:textId="77777777">
      <w:pPr>
        <w:numPr>
          <w:ilvl w:val="0"/>
          <w:numId w:val="41"/>
        </w:numPr>
        <w:spacing w:line="360" w:lineRule="auto"/>
        <w:contextualSpacing/>
        <w:jc w:val="both"/>
        <w:rPr>
          <w:rFonts w:ascii="Palatino Linotype" w:hAnsi="Palatino Linotype" w:eastAsia="Calibri" w:cs="Tahoma"/>
          <w:bCs/>
          <w:sz w:val="22"/>
          <w:szCs w:val="22"/>
          <w:lang w:val="es-ES" w:eastAsia="es-MX"/>
        </w:rPr>
      </w:pPr>
      <w:r w:rsidRPr="00BB545F">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BB545F">
        <w:rPr>
          <w:rFonts w:ascii="Palatino Linotype" w:hAnsi="Palatino Linotype" w:eastAsia="Calibri" w:cs="Tahoma"/>
          <w:bCs/>
          <w:sz w:val="22"/>
          <w:szCs w:val="22"/>
          <w:lang w:val="es-ES" w:eastAsia="es-MX"/>
        </w:rPr>
        <w:t>, y</w:t>
      </w:r>
    </w:p>
    <w:p w:rsidRPr="00BB545F" w:rsidR="009245F5" w:rsidP="009245F5" w:rsidRDefault="009245F5" w14:paraId="657C98D4" w14:textId="77777777">
      <w:pPr>
        <w:spacing w:line="360" w:lineRule="auto"/>
        <w:ind w:left="720"/>
        <w:contextualSpacing/>
        <w:rPr>
          <w:rFonts w:ascii="Palatino Linotype" w:hAnsi="Palatino Linotype" w:eastAsia="Calibri" w:cs="Tahoma"/>
          <w:bCs/>
          <w:sz w:val="22"/>
          <w:szCs w:val="22"/>
          <w:lang w:val="es-ES" w:eastAsia="es-MX"/>
        </w:rPr>
      </w:pPr>
    </w:p>
    <w:p w:rsidRPr="00BB545F" w:rsidR="009245F5" w:rsidP="009245F5" w:rsidRDefault="009245F5" w14:paraId="77FFFAF8" w14:textId="77777777">
      <w:pPr>
        <w:numPr>
          <w:ilvl w:val="0"/>
          <w:numId w:val="41"/>
        </w:numPr>
        <w:spacing w:line="360" w:lineRule="auto"/>
        <w:contextualSpacing/>
        <w:jc w:val="both"/>
        <w:rPr>
          <w:rFonts w:ascii="Palatino Linotype" w:hAnsi="Palatino Linotype" w:eastAsia="Calibri" w:cs="Tahoma"/>
          <w:bCs/>
          <w:sz w:val="22"/>
          <w:szCs w:val="22"/>
          <w:lang w:val="es-ES" w:eastAsia="es-MX"/>
        </w:rPr>
      </w:pPr>
      <w:r w:rsidRPr="00BB545F">
        <w:rPr>
          <w:rFonts w:ascii="Palatino Linotype" w:hAnsi="Palatino Linotype" w:eastAsia="Calibri" w:cs="Tahoma"/>
          <w:bCs/>
          <w:sz w:val="22"/>
          <w:szCs w:val="22"/>
          <w:lang w:val="es-ES" w:eastAsia="es-MX"/>
        </w:rPr>
        <w:lastRenderedPageBreak/>
        <w:t>La cantidad de recursos humanos y materiales con los que cuenta el Sujeto Obligado son insuficientes.</w:t>
      </w:r>
    </w:p>
    <w:p w:rsidRPr="00BB545F" w:rsidR="009245F5" w:rsidP="009245F5" w:rsidRDefault="009245F5" w14:paraId="324BE2E6"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535CA4" w:rsidR="009245F5" w:rsidP="00DE1951" w:rsidRDefault="009245F5" w14:paraId="1E37879D" w14:textId="18856C1F">
      <w:pPr>
        <w:spacing w:line="360" w:lineRule="auto"/>
        <w:ind w:right="-28"/>
        <w:contextualSpacing/>
        <w:jc w:val="both"/>
        <w:rPr>
          <w:rFonts w:ascii="Palatino Linotype" w:hAnsi="Palatino Linotype" w:eastAsia="Calibri" w:cs="Tahoma"/>
          <w:bCs/>
          <w:color w:val="000000"/>
          <w:sz w:val="22"/>
          <w:szCs w:val="22"/>
          <w:lang w:val="es-ES" w:eastAsia="en-US"/>
        </w:rPr>
      </w:pPr>
      <w:r w:rsidRPr="00BB545F">
        <w:rPr>
          <w:rFonts w:ascii="Palatino Linotype" w:hAnsi="Palatino Linotype" w:eastAsia="Calibri" w:cs="Tahoma"/>
          <w:bCs/>
          <w:color w:val="000000"/>
          <w:sz w:val="22"/>
          <w:szCs w:val="22"/>
          <w:lang w:eastAsia="en-US"/>
        </w:rPr>
        <w:t xml:space="preserve">Ahora bien, </w:t>
      </w:r>
      <w:r>
        <w:rPr>
          <w:rFonts w:ascii="Palatino Linotype" w:hAnsi="Palatino Linotype" w:eastAsia="Calibri" w:cs="Tahoma"/>
          <w:bCs/>
          <w:color w:val="000000"/>
          <w:sz w:val="22"/>
          <w:szCs w:val="22"/>
          <w:lang w:eastAsia="en-US"/>
        </w:rPr>
        <w:t>el Ente Recurrido</w:t>
      </w:r>
      <w:r w:rsidRPr="00BB545F">
        <w:rPr>
          <w:rFonts w:ascii="Palatino Linotype" w:hAnsi="Palatino Linotype" w:eastAsia="Calibri" w:cs="Tahoma"/>
          <w:bCs/>
          <w:color w:val="000000"/>
          <w:sz w:val="22"/>
          <w:szCs w:val="22"/>
          <w:lang w:eastAsia="en-US"/>
        </w:rPr>
        <w:t xml:space="preserve"> precisó </w:t>
      </w:r>
      <w:r>
        <w:rPr>
          <w:rFonts w:ascii="Palatino Linotype" w:hAnsi="Palatino Linotype" w:eastAsia="Calibri" w:cs="Tahoma"/>
          <w:bCs/>
          <w:color w:val="000000"/>
          <w:sz w:val="22"/>
          <w:szCs w:val="22"/>
          <w:lang w:eastAsia="en-US"/>
        </w:rPr>
        <w:t xml:space="preserve">en respuesta </w:t>
      </w:r>
      <w:r w:rsidRPr="00BB545F">
        <w:rPr>
          <w:rFonts w:ascii="Palatino Linotype" w:hAnsi="Palatino Linotype" w:eastAsia="Calibri" w:cs="Tahoma"/>
          <w:bCs/>
          <w:color w:val="000000"/>
          <w:sz w:val="22"/>
          <w:szCs w:val="22"/>
          <w:lang w:eastAsia="en-US"/>
        </w:rPr>
        <w:t>que ponía a disposición del ahora Recurrente la documentación peticionada en consulta directa</w:t>
      </w:r>
      <w:r w:rsidR="00D3482D">
        <w:rPr>
          <w:rFonts w:ascii="Palatino Linotype" w:hAnsi="Palatino Linotype" w:eastAsia="Calibri" w:cs="Tahoma"/>
          <w:bCs/>
          <w:color w:val="000000"/>
          <w:sz w:val="22"/>
          <w:szCs w:val="22"/>
          <w:lang w:eastAsia="en-US"/>
        </w:rPr>
        <w:t>; sin embargo, este Instituto considera que omitió fundar y moti</w:t>
      </w:r>
      <w:r w:rsidR="00084361">
        <w:rPr>
          <w:rFonts w:ascii="Palatino Linotype" w:hAnsi="Palatino Linotype" w:eastAsia="Calibri" w:cs="Tahoma"/>
          <w:bCs/>
          <w:color w:val="000000"/>
          <w:sz w:val="22"/>
          <w:szCs w:val="22"/>
          <w:lang w:eastAsia="en-US"/>
        </w:rPr>
        <w:t>var el cambio de modalidad</w:t>
      </w:r>
      <w:r w:rsidR="00DE1951">
        <w:rPr>
          <w:rFonts w:ascii="Palatino Linotype" w:hAnsi="Palatino Linotype" w:eastAsia="Calibri" w:cs="Tahoma"/>
          <w:bCs/>
          <w:color w:val="000000"/>
          <w:sz w:val="22"/>
          <w:szCs w:val="22"/>
          <w:lang w:eastAsia="en-US"/>
        </w:rPr>
        <w:t xml:space="preserve">, pues no precisó las siguientes circunstancias: </w:t>
      </w:r>
    </w:p>
    <w:p w:rsidRPr="00535CA4" w:rsidR="009245F5" w:rsidP="009245F5" w:rsidRDefault="009245F5" w14:paraId="535A5459" w14:textId="77777777">
      <w:pPr>
        <w:spacing w:line="360" w:lineRule="auto"/>
        <w:jc w:val="both"/>
        <w:rPr>
          <w:rFonts w:ascii="Palatino Linotype" w:hAnsi="Palatino Linotype" w:eastAsia="Calibri" w:cs="Tahoma"/>
          <w:bCs/>
          <w:color w:val="000000"/>
          <w:sz w:val="22"/>
          <w:szCs w:val="22"/>
          <w:lang w:val="es-ES" w:eastAsia="en-US"/>
        </w:rPr>
      </w:pPr>
    </w:p>
    <w:p w:rsidR="00D3482D" w:rsidP="00D3482D" w:rsidRDefault="00D3482D" w14:paraId="7824916E" w14:textId="77777777">
      <w:pPr>
        <w:pStyle w:val="Prrafodelista"/>
        <w:numPr>
          <w:ilvl w:val="0"/>
          <w:numId w:val="43"/>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El número de hojas o peso aproximado de la información;</w:t>
      </w:r>
    </w:p>
    <w:p w:rsidR="00D3482D" w:rsidP="00D3482D" w:rsidRDefault="00D3482D" w14:paraId="2DEC1FE0" w14:textId="77777777">
      <w:pPr>
        <w:pStyle w:val="Prrafodelista"/>
        <w:numPr>
          <w:ilvl w:val="0"/>
          <w:numId w:val="43"/>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La ubicación de los documentos que daban cuenta de la información solicitada;</w:t>
      </w:r>
    </w:p>
    <w:p w:rsidR="00D3482D" w:rsidP="00D3482D" w:rsidRDefault="00D3482D" w14:paraId="568F920A" w14:textId="352813CA">
      <w:pPr>
        <w:pStyle w:val="Prrafodelista"/>
        <w:numPr>
          <w:ilvl w:val="0"/>
          <w:numId w:val="43"/>
        </w:numPr>
        <w:spacing w:line="360" w:lineRule="auto"/>
        <w:jc w:val="both"/>
        <w:rPr>
          <w:rFonts w:ascii="Palatino Linotype" w:hAnsi="Palatino Linotype" w:eastAsia="Calibri" w:cs="Tahoma"/>
          <w:bCs/>
          <w:color w:val="000000"/>
          <w:szCs w:val="22"/>
          <w:lang w:val="es-ES" w:eastAsia="en-US"/>
        </w:rPr>
      </w:pPr>
      <w:r>
        <w:rPr>
          <w:rFonts w:ascii="Palatino Linotype" w:hAnsi="Palatino Linotype" w:eastAsia="Calibri" w:cs="Tahoma"/>
          <w:bCs/>
          <w:color w:val="000000"/>
          <w:szCs w:val="22"/>
          <w:lang w:val="es-ES" w:eastAsia="en-US"/>
        </w:rPr>
        <w:t>La forma en que se encontraba la información (físico o digital)</w:t>
      </w:r>
      <w:r w:rsidR="00CF53E5">
        <w:rPr>
          <w:rFonts w:ascii="Palatino Linotype" w:hAnsi="Palatino Linotype" w:eastAsia="Calibri" w:cs="Tahoma"/>
          <w:bCs/>
          <w:color w:val="000000"/>
          <w:szCs w:val="22"/>
          <w:lang w:val="es-ES" w:eastAsia="en-US"/>
        </w:rPr>
        <w:t>, y</w:t>
      </w:r>
    </w:p>
    <w:p w:rsidRPr="00D3482D" w:rsidR="009245F5" w:rsidP="005E68AA" w:rsidRDefault="009245F5" w14:paraId="541C42D5" w14:textId="3F0FC628">
      <w:pPr>
        <w:pStyle w:val="Prrafodelista"/>
        <w:numPr>
          <w:ilvl w:val="0"/>
          <w:numId w:val="43"/>
        </w:numPr>
        <w:spacing w:line="360" w:lineRule="auto"/>
        <w:jc w:val="both"/>
        <w:rPr>
          <w:rFonts w:ascii="Palatino Linotype" w:hAnsi="Palatino Linotype" w:eastAsia="Calibri" w:cs="Tahoma"/>
          <w:bCs/>
          <w:color w:val="000000"/>
          <w:szCs w:val="22"/>
          <w:lang w:val="es-ES" w:eastAsia="en-US"/>
        </w:rPr>
      </w:pPr>
      <w:r w:rsidRPr="00D3482D">
        <w:rPr>
          <w:rFonts w:ascii="Palatino Linotype" w:hAnsi="Palatino Linotype" w:eastAsia="Calibri" w:cs="Tahoma"/>
          <w:bCs/>
          <w:color w:val="000000"/>
          <w:szCs w:val="22"/>
          <w:lang w:val="es-ES" w:eastAsia="en-US"/>
        </w:rPr>
        <w:t>Las capacidades técnicas y huma</w:t>
      </w:r>
      <w:r w:rsidR="00D3482D">
        <w:rPr>
          <w:rFonts w:ascii="Palatino Linotype" w:hAnsi="Palatino Linotype" w:eastAsia="Calibri" w:cs="Tahoma"/>
          <w:bCs/>
          <w:color w:val="000000"/>
          <w:szCs w:val="22"/>
          <w:lang w:val="es-ES" w:eastAsia="en-US"/>
        </w:rPr>
        <w:t>na</w:t>
      </w:r>
      <w:r w:rsidRPr="00D3482D">
        <w:rPr>
          <w:rFonts w:ascii="Palatino Linotype" w:hAnsi="Palatino Linotype" w:eastAsia="Calibri" w:cs="Tahoma"/>
          <w:bCs/>
          <w:color w:val="000000"/>
          <w:szCs w:val="22"/>
          <w:lang w:val="es-ES" w:eastAsia="en-US"/>
        </w:rPr>
        <w:t>s con las que c</w:t>
      </w:r>
      <w:r w:rsidR="00D3482D">
        <w:rPr>
          <w:rFonts w:ascii="Palatino Linotype" w:hAnsi="Palatino Linotype" w:eastAsia="Calibri" w:cs="Tahoma"/>
          <w:bCs/>
          <w:color w:val="000000"/>
          <w:szCs w:val="22"/>
          <w:lang w:val="es-ES" w:eastAsia="en-US"/>
        </w:rPr>
        <w:t>ontaba</w:t>
      </w:r>
      <w:r w:rsidRPr="00D3482D">
        <w:rPr>
          <w:rFonts w:ascii="Palatino Linotype" w:hAnsi="Palatino Linotype" w:eastAsia="Calibri" w:cs="Tahoma"/>
          <w:bCs/>
          <w:color w:val="000000"/>
          <w:szCs w:val="22"/>
          <w:lang w:val="es-ES" w:eastAsia="en-US"/>
        </w:rPr>
        <w:t xml:space="preserve"> el Sujeto Obligado.</w:t>
      </w:r>
    </w:p>
    <w:p w:rsidRPr="00535CA4" w:rsidR="009245F5" w:rsidP="009245F5" w:rsidRDefault="009245F5" w14:paraId="5B3CC07E" w14:textId="77777777">
      <w:pPr>
        <w:spacing w:line="360" w:lineRule="auto"/>
        <w:jc w:val="both"/>
        <w:rPr>
          <w:rFonts w:ascii="Palatino Linotype" w:hAnsi="Palatino Linotype"/>
          <w:bCs/>
          <w:iCs/>
          <w:sz w:val="22"/>
          <w:lang w:val="es-ES"/>
        </w:rPr>
      </w:pPr>
    </w:p>
    <w:p w:rsidR="009245F5" w:rsidP="00D3482D" w:rsidRDefault="009245F5" w14:paraId="67280FFB" w14:textId="112A26A7">
      <w:pPr>
        <w:spacing w:line="360" w:lineRule="auto"/>
        <w:jc w:val="both"/>
        <w:rPr>
          <w:rFonts w:ascii="Palatino Linotype" w:hAnsi="Palatino Linotype"/>
          <w:bCs/>
          <w:iCs/>
          <w:sz w:val="22"/>
          <w:lang w:val="es-ES"/>
        </w:rPr>
      </w:pPr>
      <w:r w:rsidRPr="00535CA4">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humanas del Sujeto Obligado, pues como </w:t>
      </w:r>
      <w:r w:rsidR="00D3482D">
        <w:rPr>
          <w:rFonts w:ascii="Palatino Linotype" w:hAnsi="Palatino Linotype"/>
          <w:bCs/>
          <w:iCs/>
          <w:sz w:val="22"/>
          <w:lang w:val="es-ES"/>
        </w:rPr>
        <w:t>se refirió no señaló ninguna de las circunstancias previamente referidas.</w:t>
      </w:r>
    </w:p>
    <w:p w:rsidR="00D3482D" w:rsidP="00D3482D" w:rsidRDefault="00D3482D" w14:paraId="19198287" w14:textId="539A72F8">
      <w:pPr>
        <w:spacing w:line="360" w:lineRule="auto"/>
        <w:jc w:val="both"/>
        <w:rPr>
          <w:rFonts w:ascii="Palatino Linotype" w:hAnsi="Palatino Linotype" w:eastAsia="Calibri" w:cs="Tahoma"/>
          <w:bCs/>
          <w:color w:val="000000"/>
          <w:sz w:val="22"/>
          <w:szCs w:val="22"/>
          <w:lang w:val="es-ES" w:eastAsia="en-US"/>
        </w:rPr>
      </w:pPr>
    </w:p>
    <w:p w:rsidR="00E15395" w:rsidP="009245F5" w:rsidRDefault="009245F5" w14:paraId="433CC9C8" w14:textId="77777777">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otras,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xml:space="preserve">. </w:t>
      </w:r>
    </w:p>
    <w:p w:rsidR="00E15395" w:rsidP="009245F5" w:rsidRDefault="00E15395" w14:paraId="77662FE4" w14:textId="77777777">
      <w:pPr>
        <w:spacing w:line="360" w:lineRule="auto"/>
        <w:ind w:right="-28"/>
        <w:contextualSpacing/>
        <w:jc w:val="both"/>
        <w:rPr>
          <w:rFonts w:ascii="Palatino Linotype" w:hAnsi="Palatino Linotype" w:cs="Tahoma"/>
          <w:iCs/>
          <w:sz w:val="22"/>
          <w:szCs w:val="22"/>
        </w:rPr>
      </w:pPr>
    </w:p>
    <w:p w:rsidR="009245F5" w:rsidP="009245F5" w:rsidRDefault="009245F5" w14:paraId="06FA0B25" w14:textId="59F8B405">
      <w:pPr>
        <w:spacing w:line="360" w:lineRule="auto"/>
        <w:ind w:right="-28"/>
        <w:contextualSpacing/>
        <w:jc w:val="both"/>
        <w:rPr>
          <w:rFonts w:ascii="Palatino Linotype" w:hAnsi="Palatino Linotype" w:cs="Tahoma"/>
          <w:iCs/>
          <w:sz w:val="22"/>
          <w:szCs w:val="22"/>
        </w:rPr>
      </w:pPr>
      <w:r w:rsidRPr="00C85FE0">
        <w:rPr>
          <w:rFonts w:ascii="Palatino Linotype" w:hAnsi="Palatino Linotype" w:cs="Tahoma"/>
          <w:iCs/>
          <w:sz w:val="22"/>
          <w:szCs w:val="22"/>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rsidR="00C17F09" w:rsidP="009245F5" w:rsidRDefault="00C17F09" w14:paraId="351F17BB" w14:textId="417CD2C3">
      <w:pPr>
        <w:spacing w:line="360" w:lineRule="auto"/>
        <w:ind w:right="-28"/>
        <w:contextualSpacing/>
        <w:jc w:val="both"/>
        <w:rPr>
          <w:rFonts w:ascii="Palatino Linotype" w:hAnsi="Palatino Linotype" w:cs="Tahoma"/>
          <w:iCs/>
          <w:sz w:val="22"/>
          <w:szCs w:val="22"/>
        </w:rPr>
      </w:pPr>
    </w:p>
    <w:p w:rsidR="00913A21" w:rsidP="009245F5" w:rsidRDefault="00C469DB" w14:paraId="6CAE5D80" w14:textId="3B4CFA27">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Lo anterior, toma relevancia, pues conforme al artículo 341 del Código Financiero del Estado de México y Municipios, las Cuentas Públicas se deben publicar en las páginas oficiales de los Municipios, de manera oficiosa y obligatoria; con lo cual, este Instituto no advierte, porque lo peticionado implicaría un análisis.</w:t>
      </w:r>
    </w:p>
    <w:p w:rsidR="00913A21" w:rsidP="009245F5" w:rsidRDefault="00913A21" w14:paraId="2E00545D" w14:textId="5DB14D2C">
      <w:pPr>
        <w:spacing w:line="360" w:lineRule="auto"/>
        <w:ind w:right="-28"/>
        <w:contextualSpacing/>
        <w:jc w:val="both"/>
        <w:rPr>
          <w:rFonts w:ascii="Palatino Linotype" w:hAnsi="Palatino Linotype" w:cs="Tahoma"/>
          <w:iCs/>
          <w:sz w:val="22"/>
          <w:szCs w:val="22"/>
        </w:rPr>
      </w:pPr>
    </w:p>
    <w:p w:rsidR="00C17F09" w:rsidP="009245F5" w:rsidRDefault="00C469DB" w14:paraId="5C7EAFBB" w14:textId="61525305">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Además,</w:t>
      </w:r>
      <w:r w:rsidR="00C17F09">
        <w:rPr>
          <w:rFonts w:ascii="Palatino Linotype" w:hAnsi="Palatino Linotype" w:cs="Tahoma"/>
          <w:iCs/>
          <w:sz w:val="22"/>
          <w:szCs w:val="22"/>
        </w:rPr>
        <w:t xml:space="preserve"> este Instituto realizó una búsqueda</w:t>
      </w:r>
      <w:r w:rsidR="00646B60">
        <w:rPr>
          <w:rFonts w:ascii="Palatino Linotype" w:hAnsi="Palatino Linotype" w:cs="Tahoma"/>
          <w:iCs/>
          <w:sz w:val="22"/>
          <w:szCs w:val="22"/>
        </w:rPr>
        <w:t xml:space="preserve"> de información en el Portal oficial del Ayuntamiento de Donato Guerra, al apartado de Cuenta Anual 2020 (</w:t>
      </w:r>
      <w:r>
        <w:rPr>
          <w:rFonts w:ascii="Palatino Linotype" w:hAnsi="Palatino Linotype" w:cs="Tahoma"/>
          <w:iCs/>
          <w:sz w:val="22"/>
          <w:szCs w:val="22"/>
        </w:rPr>
        <w:t>c</w:t>
      </w:r>
      <w:r w:rsidR="00646B60">
        <w:rPr>
          <w:rFonts w:ascii="Palatino Linotype" w:hAnsi="Palatino Linotype" w:cs="Tahoma"/>
          <w:iCs/>
          <w:sz w:val="22"/>
          <w:szCs w:val="22"/>
        </w:rPr>
        <w:t xml:space="preserve">onsultado en la liga electrónica </w:t>
      </w:r>
      <w:hyperlink w:history="1" r:id="rId8">
        <w:r w:rsidRPr="00EF1B91" w:rsidR="00646B60">
          <w:rPr>
            <w:rStyle w:val="Hipervnculo"/>
            <w:rFonts w:ascii="Palatino Linotype" w:hAnsi="Palatino Linotype" w:cs="Tahoma"/>
            <w:iCs/>
            <w:sz w:val="22"/>
            <w:szCs w:val="22"/>
          </w:rPr>
          <w:t>https://donatoguerra.gob.mx/cuenta-publica-2020</w:t>
        </w:r>
      </w:hyperlink>
      <w:r w:rsidR="00646B60">
        <w:rPr>
          <w:rFonts w:ascii="Palatino Linotype" w:hAnsi="Palatino Linotype" w:cs="Tahoma"/>
          <w:iCs/>
          <w:sz w:val="22"/>
          <w:szCs w:val="22"/>
        </w:rPr>
        <w:t xml:space="preserve">  a partir de las ocho horas el veintinueve de marzo de dos mil veintidós) de lo  cual</w:t>
      </w:r>
      <w:r w:rsidR="002E17EA">
        <w:rPr>
          <w:rFonts w:ascii="Palatino Linotype" w:hAnsi="Palatino Linotype" w:cs="Tahoma"/>
          <w:iCs/>
          <w:sz w:val="22"/>
          <w:szCs w:val="22"/>
        </w:rPr>
        <w:t xml:space="preserve"> se logra advertir que tiene publicada información sobre </w:t>
      </w:r>
      <w:r w:rsidR="00646B60">
        <w:rPr>
          <w:rFonts w:ascii="Palatino Linotype" w:hAnsi="Palatino Linotype" w:cs="Tahoma"/>
          <w:iCs/>
          <w:sz w:val="22"/>
          <w:szCs w:val="22"/>
        </w:rPr>
        <w:t xml:space="preserve">la cuenta pública </w:t>
      </w:r>
      <w:r>
        <w:rPr>
          <w:rFonts w:ascii="Palatino Linotype" w:hAnsi="Palatino Linotype" w:cs="Tahoma"/>
          <w:iCs/>
          <w:sz w:val="22"/>
          <w:szCs w:val="22"/>
        </w:rPr>
        <w:t>de dicho ejerció fiscal.</w:t>
      </w:r>
    </w:p>
    <w:p w:rsidR="00DA5E54" w:rsidP="009245F5" w:rsidRDefault="00DA5E54" w14:paraId="62417094" w14:textId="0388DA00">
      <w:pPr>
        <w:spacing w:line="360" w:lineRule="auto"/>
        <w:ind w:right="-28"/>
        <w:contextualSpacing/>
        <w:jc w:val="both"/>
        <w:rPr>
          <w:rFonts w:ascii="Palatino Linotype" w:hAnsi="Palatino Linotype" w:cs="Tahoma"/>
          <w:iCs/>
          <w:sz w:val="22"/>
          <w:szCs w:val="22"/>
        </w:rPr>
      </w:pPr>
    </w:p>
    <w:p w:rsidRPr="00C43BFA" w:rsidR="0043243E" w:rsidP="00C43BFA" w:rsidRDefault="00DA5E54" w14:paraId="0107E63C" w14:textId="7D159660">
      <w:pPr>
        <w:spacing w:line="360" w:lineRule="auto"/>
        <w:ind w:right="-28"/>
        <w:contextualSpacing/>
        <w:jc w:val="both"/>
        <w:rPr>
          <w:rFonts w:ascii="Palatino Linotype" w:hAnsi="Palatino Linotype" w:cs="Tahoma"/>
          <w:b/>
          <w:bCs/>
          <w:iCs/>
          <w:sz w:val="22"/>
          <w:szCs w:val="22"/>
        </w:rPr>
      </w:pPr>
      <w:r>
        <w:rPr>
          <w:rFonts w:ascii="Palatino Linotype" w:hAnsi="Palatino Linotype" w:eastAsia="Calibri" w:cs="Tahoma"/>
          <w:bCs/>
          <w:color w:val="000000"/>
          <w:sz w:val="22"/>
          <w:szCs w:val="22"/>
          <w:lang w:val="es-ES" w:eastAsia="en-US"/>
        </w:rPr>
        <w:t xml:space="preserve">Conforme a lo anterior, se logra vislumbrar que el Sujeto Obligado </w:t>
      </w:r>
      <w:r w:rsidR="00C469DB">
        <w:rPr>
          <w:rFonts w:ascii="Palatino Linotype" w:hAnsi="Palatino Linotype" w:eastAsia="Calibri" w:cs="Tahoma"/>
          <w:bCs/>
          <w:color w:val="000000"/>
          <w:sz w:val="22"/>
          <w:szCs w:val="22"/>
          <w:lang w:val="es-ES" w:eastAsia="en-US"/>
        </w:rPr>
        <w:t>debería contar con la información de manera digitalizada, pues así la debe entregar al Órgano Superior de Fiscalización del Estado de México</w:t>
      </w:r>
      <w:r w:rsidR="00C43BFA">
        <w:rPr>
          <w:rFonts w:ascii="Palatino Linotype" w:hAnsi="Palatino Linotype" w:eastAsia="Calibri" w:cs="Tahoma"/>
          <w:bCs/>
          <w:color w:val="000000"/>
          <w:sz w:val="22"/>
          <w:szCs w:val="22"/>
          <w:lang w:val="es-ES" w:eastAsia="en-US"/>
        </w:rPr>
        <w:t xml:space="preserve"> y la debe publicar en su página oficial de internet; por lo que, </w:t>
      </w:r>
      <w:r w:rsidRPr="00BE4D25" w:rsidR="0043243E">
        <w:rPr>
          <w:rFonts w:ascii="Palatino Linotype" w:hAnsi="Palatino Linotype" w:cs="Tahoma"/>
          <w:iCs/>
          <w:sz w:val="22"/>
          <w:szCs w:val="22"/>
        </w:rPr>
        <w:t>se advierte que</w:t>
      </w:r>
      <w:r w:rsidR="002763A8">
        <w:rPr>
          <w:rFonts w:ascii="Palatino Linotype" w:hAnsi="Palatino Linotype" w:cs="Tahoma"/>
          <w:iCs/>
          <w:sz w:val="22"/>
          <w:szCs w:val="22"/>
        </w:rPr>
        <w:t xml:space="preserve"> </w:t>
      </w:r>
      <w:r w:rsidR="00646B60">
        <w:rPr>
          <w:rFonts w:ascii="Palatino Linotype" w:hAnsi="Palatino Linotype" w:cs="Tahoma"/>
          <w:iCs/>
          <w:sz w:val="22"/>
          <w:szCs w:val="22"/>
        </w:rPr>
        <w:t xml:space="preserve">el </w:t>
      </w:r>
      <w:r w:rsidRPr="00646B60" w:rsidR="00646B60">
        <w:rPr>
          <w:rFonts w:ascii="Palatino Linotype" w:hAnsi="Palatino Linotype" w:cs="Tahoma"/>
          <w:iCs/>
          <w:sz w:val="22"/>
          <w:szCs w:val="22"/>
        </w:rPr>
        <w:t>Ayuntamiento de Donato Guerra</w:t>
      </w:r>
      <w:r w:rsidRPr="00BE4D25" w:rsidR="0043243E">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w:t>
      </w:r>
      <w:r w:rsidR="00C43BFA">
        <w:rPr>
          <w:rFonts w:ascii="Palatino Linotype" w:hAnsi="Palatino Linotype" w:cs="Tahoma"/>
          <w:iCs/>
          <w:sz w:val="22"/>
          <w:szCs w:val="22"/>
        </w:rPr>
        <w:t xml:space="preserve">lo cual da como resultado que el agravio resulte </w:t>
      </w:r>
      <w:r w:rsidR="00C43BFA">
        <w:rPr>
          <w:rFonts w:ascii="Palatino Linotype" w:hAnsi="Palatino Linotype" w:cs="Tahoma"/>
          <w:b/>
          <w:bCs/>
          <w:iCs/>
          <w:sz w:val="22"/>
          <w:szCs w:val="22"/>
        </w:rPr>
        <w:t>FUNDADO.</w:t>
      </w:r>
    </w:p>
    <w:p w:rsidR="0043243E" w:rsidP="009245F5" w:rsidRDefault="0043243E" w14:paraId="692D1191" w14:textId="77777777">
      <w:pPr>
        <w:spacing w:line="360" w:lineRule="auto"/>
        <w:jc w:val="both"/>
        <w:rPr>
          <w:rFonts w:ascii="Palatino Linotype" w:hAnsi="Palatino Linotype" w:cs="Tahoma"/>
          <w:bCs/>
          <w:sz w:val="22"/>
          <w:szCs w:val="22"/>
          <w:lang w:eastAsia="es-MX"/>
        </w:rPr>
      </w:pPr>
    </w:p>
    <w:p w:rsidRPr="00FA4C72" w:rsidR="00A362D6" w:rsidP="00A362D6" w:rsidRDefault="00A362D6" w14:paraId="68824D92" w14:textId="530D2B4E">
      <w:pPr>
        <w:spacing w:line="360" w:lineRule="auto"/>
        <w:jc w:val="both"/>
        <w:rPr>
          <w:rFonts w:ascii="Palatino Linotype" w:hAnsi="Palatino Linotype" w:eastAsia="Calibri"/>
          <w:color w:val="000000"/>
          <w:sz w:val="22"/>
          <w:szCs w:val="22"/>
          <w:lang w:eastAsia="en-US"/>
        </w:rPr>
      </w:pPr>
      <w:r w:rsidRPr="00FA4C72">
        <w:rPr>
          <w:rFonts w:ascii="Palatino Linotype" w:hAnsi="Palatino Linotype" w:cs="Tahoma"/>
          <w:iCs/>
          <w:sz w:val="22"/>
          <w:szCs w:val="22"/>
        </w:rPr>
        <w:t>Conforme a lo anterior</w:t>
      </w:r>
      <w:r>
        <w:rPr>
          <w:rFonts w:ascii="Palatino Linotype" w:hAnsi="Palatino Linotype" w:cs="Tahoma"/>
          <w:iCs/>
          <w:sz w:val="22"/>
          <w:szCs w:val="22"/>
        </w:rPr>
        <w:t>,</w:t>
      </w:r>
      <w:r w:rsidRPr="00FA4C72">
        <w:rPr>
          <w:rFonts w:ascii="Palatino Linotype" w:hAnsi="Palatino Linotype" w:cs="Tahoma"/>
          <w:iCs/>
          <w:sz w:val="22"/>
          <w:szCs w:val="22"/>
        </w:rPr>
        <w:t xml:space="preserve"> para atender el requerimiento de información, </w:t>
      </w:r>
      <w:r w:rsidR="00646B60">
        <w:rPr>
          <w:rFonts w:ascii="Palatino Linotype" w:hAnsi="Palatino Linotype" w:cs="Tahoma"/>
          <w:iCs/>
          <w:sz w:val="22"/>
          <w:szCs w:val="22"/>
        </w:rPr>
        <w:t xml:space="preserve">el </w:t>
      </w:r>
      <w:r w:rsidRPr="00646B60" w:rsidR="00646B60">
        <w:rPr>
          <w:rFonts w:ascii="Palatino Linotype" w:hAnsi="Palatino Linotype" w:cs="Tahoma"/>
          <w:iCs/>
          <w:sz w:val="22"/>
          <w:szCs w:val="22"/>
        </w:rPr>
        <w:t>Ayuntamiento de Donato Guerra</w:t>
      </w:r>
      <w:r w:rsidRPr="00FA4C72">
        <w:rPr>
          <w:rFonts w:ascii="Palatino Linotype" w:hAnsi="Palatino Linotype" w:cs="Tahoma"/>
          <w:iCs/>
          <w:sz w:val="22"/>
          <w:szCs w:val="22"/>
        </w:rPr>
        <w:t xml:space="preserve">,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a efecto de que proporcionen</w:t>
      </w:r>
      <w:r w:rsidR="001C14A7">
        <w:rPr>
          <w:rFonts w:ascii="Palatino Linotype" w:hAnsi="Palatino Linotype" w:cs="Tahoma"/>
          <w:iCs/>
          <w:sz w:val="22"/>
          <w:szCs w:val="22"/>
        </w:rPr>
        <w:t xml:space="preserve">, </w:t>
      </w:r>
      <w:r w:rsidRPr="00FA4C72">
        <w:rPr>
          <w:rFonts w:ascii="Palatino Linotype" w:hAnsi="Palatino Linotype" w:cs="Tahoma"/>
          <w:iCs/>
          <w:sz w:val="22"/>
          <w:szCs w:val="22"/>
        </w:rPr>
        <w:t xml:space="preserve">los documentos que obren en sus archivos y den cuenta de la información solicitada. Lo anterior, para cumplir con el procedimiento </w:t>
      </w:r>
      <w:r w:rsidRPr="00FA4C72">
        <w:rPr>
          <w:rFonts w:ascii="Palatino Linotype" w:hAnsi="Palatino Linotype" w:cs="Tahoma"/>
          <w:iCs/>
          <w:sz w:val="22"/>
          <w:szCs w:val="22"/>
        </w:rPr>
        <w:lastRenderedPageBreak/>
        <w:t xml:space="preserve">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rsidR="009245F5" w:rsidP="009245F5" w:rsidRDefault="009245F5" w14:paraId="24516A64" w14:textId="77777777">
      <w:pPr>
        <w:spacing w:line="360" w:lineRule="auto"/>
        <w:ind w:right="-93"/>
        <w:jc w:val="both"/>
        <w:rPr>
          <w:rFonts w:ascii="Palatino Linotype" w:hAnsi="Palatino Linotype" w:eastAsia="Calibri" w:cs="Tahoma"/>
          <w:color w:val="000000" w:themeColor="text1"/>
          <w:sz w:val="22"/>
          <w:szCs w:val="22"/>
          <w:lang w:val="es-ES" w:eastAsia="en-US"/>
        </w:rPr>
      </w:pPr>
    </w:p>
    <w:p w:rsidRPr="006978DC" w:rsidR="009245F5" w:rsidP="009245F5" w:rsidRDefault="009245F5" w14:paraId="626B5372" w14:textId="77777777">
      <w:pPr>
        <w:numPr>
          <w:ilvl w:val="0"/>
          <w:numId w:val="16"/>
        </w:numPr>
        <w:spacing w:after="160" w:line="360" w:lineRule="auto"/>
        <w:jc w:val="both"/>
        <w:rPr>
          <w:rFonts w:ascii="Palatino Linotype" w:hAnsi="Palatino Linotype" w:eastAsia="Calibri" w:cs="Tahoma"/>
          <w:bCs/>
          <w:color w:val="000000" w:themeColor="text1"/>
          <w:sz w:val="22"/>
          <w:szCs w:val="22"/>
          <w:lang w:val="es-ES" w:eastAsia="en-US"/>
        </w:rPr>
      </w:pPr>
      <w:r w:rsidRPr="006978DC">
        <w:rPr>
          <w:rFonts w:ascii="Palatino Linotype" w:hAnsi="Palatino Linotype" w:eastAsia="Calibri" w:cs="Tahoma"/>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978DC" w:rsidR="009245F5" w:rsidP="009245F5" w:rsidRDefault="009245F5" w14:paraId="4A6D2371" w14:textId="77777777">
      <w:pPr>
        <w:spacing w:line="360" w:lineRule="auto"/>
        <w:ind w:left="720"/>
        <w:jc w:val="both"/>
        <w:rPr>
          <w:rFonts w:ascii="Palatino Linotype" w:hAnsi="Palatino Linotype" w:eastAsia="Calibri" w:cs="Tahoma"/>
          <w:bCs/>
          <w:color w:val="000000" w:themeColor="text1"/>
          <w:sz w:val="22"/>
          <w:szCs w:val="22"/>
          <w:lang w:val="es-ES" w:eastAsia="en-US"/>
        </w:rPr>
      </w:pPr>
    </w:p>
    <w:p w:rsidRPr="006978DC" w:rsidR="009245F5" w:rsidP="009245F5" w:rsidRDefault="009245F5" w14:paraId="57F57686" w14:textId="77777777">
      <w:pPr>
        <w:numPr>
          <w:ilvl w:val="0"/>
          <w:numId w:val="16"/>
        </w:numPr>
        <w:spacing w:line="360" w:lineRule="auto"/>
        <w:jc w:val="both"/>
        <w:rPr>
          <w:rFonts w:ascii="Palatino Linotype" w:hAnsi="Palatino Linotype" w:eastAsia="Calibri" w:cs="Tahoma"/>
          <w:bCs/>
          <w:color w:val="000000" w:themeColor="text1"/>
          <w:sz w:val="22"/>
          <w:szCs w:val="22"/>
          <w:lang w:val="es-ES" w:eastAsia="en-US"/>
        </w:rPr>
      </w:pPr>
      <w:r w:rsidRPr="006978DC">
        <w:rPr>
          <w:rFonts w:ascii="Palatino Linotype" w:hAnsi="Palatino Linotype" w:eastAsia="Calibri" w:cs="Tahoma"/>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9245F5" w:rsidP="009245F5" w:rsidRDefault="009245F5" w14:paraId="7ED0CFAA" w14:textId="77777777">
      <w:pPr>
        <w:spacing w:line="360" w:lineRule="auto"/>
        <w:jc w:val="both"/>
        <w:rPr>
          <w:rFonts w:ascii="Palatino Linotype" w:hAnsi="Palatino Linotype" w:eastAsia="Calibri" w:cs="Tahoma"/>
          <w:bCs/>
          <w:color w:val="000000" w:themeColor="text1"/>
          <w:sz w:val="22"/>
          <w:szCs w:val="22"/>
          <w:lang w:eastAsia="en-US"/>
        </w:rPr>
      </w:pPr>
    </w:p>
    <w:p w:rsidR="001C14A7" w:rsidP="001C14A7" w:rsidRDefault="00A362D6" w14:paraId="2173123C" w14:textId="2795ECA0">
      <w:pPr>
        <w:spacing w:line="360" w:lineRule="auto"/>
        <w:jc w:val="both"/>
        <w:rPr>
          <w:rFonts w:ascii="Palatino Linotype" w:hAnsi="Palatino Linotype" w:cs="Tahoma"/>
          <w:iCs/>
          <w:sz w:val="22"/>
          <w:szCs w:val="22"/>
        </w:rPr>
      </w:pPr>
      <w:r>
        <w:rPr>
          <w:rFonts w:ascii="Palatino Linotype" w:hAnsi="Palatino Linotype" w:cs="Tahoma" w:eastAsiaTheme="minorHAnsi"/>
          <w:iCs/>
          <w:color w:val="000000" w:themeColor="text1"/>
          <w:sz w:val="22"/>
          <w:szCs w:val="22"/>
          <w:lang w:eastAsia="en-US"/>
        </w:rPr>
        <w:t>Así</w:t>
      </w:r>
      <w:r w:rsidRPr="00CD06EB">
        <w:rPr>
          <w:rFonts w:ascii="Palatino Linotype" w:hAnsi="Palatino Linotype" w:cs="Tahoma" w:eastAsiaTheme="minorHAnsi"/>
          <w:iCs/>
          <w:color w:val="000000" w:themeColor="text1"/>
          <w:sz w:val="22"/>
          <w:szCs w:val="22"/>
          <w:lang w:eastAsia="en-US"/>
        </w:rPr>
        <w:t xml:space="preserve">, </w:t>
      </w:r>
      <w:r>
        <w:rPr>
          <w:rFonts w:ascii="Palatino Linotype" w:hAnsi="Palatino Linotype" w:cs="Tahoma" w:eastAsiaTheme="minorHAnsi"/>
          <w:iCs/>
          <w:color w:val="000000" w:themeColor="text1"/>
          <w:sz w:val="22"/>
          <w:szCs w:val="22"/>
          <w:lang w:eastAsia="en-US"/>
        </w:rPr>
        <w:t>se considera</w:t>
      </w:r>
      <w:r w:rsidRPr="00CD06EB">
        <w:rPr>
          <w:rFonts w:ascii="Palatino Linotype" w:hAnsi="Palatino Linotype" w:cs="Tahoma" w:eastAsiaTheme="minorHAnsi"/>
          <w:iCs/>
          <w:color w:val="000000" w:themeColor="text1"/>
          <w:sz w:val="22"/>
          <w:szCs w:val="22"/>
          <w:lang w:eastAsia="en-US"/>
        </w:rPr>
        <w:t xml:space="preserve"> que el Sujeto Obligado </w:t>
      </w:r>
      <w:r w:rsidRPr="00CD06EB" w:rsidR="001C14A7">
        <w:rPr>
          <w:rFonts w:ascii="Palatino Linotype" w:hAnsi="Palatino Linotype" w:cs="Tahoma" w:eastAsiaTheme="minorHAnsi"/>
          <w:iCs/>
          <w:color w:val="000000" w:themeColor="text1"/>
          <w:sz w:val="22"/>
          <w:szCs w:val="22"/>
          <w:lang w:eastAsia="en-US"/>
        </w:rPr>
        <w:t>para cumplir con lo establecido en los artículos 12, 160 y 162 de la Ley de Transparencia y Acceso a la Información Pública del Estado de México y Municipios</w:t>
      </w:r>
      <w:r w:rsidR="001C14A7">
        <w:rPr>
          <w:rFonts w:ascii="Palatino Linotype" w:hAnsi="Palatino Linotype" w:cs="Tahoma" w:eastAsiaTheme="minorHAnsi"/>
          <w:iCs/>
          <w:color w:val="000000" w:themeColor="text1"/>
          <w:sz w:val="22"/>
          <w:szCs w:val="22"/>
          <w:lang w:eastAsia="en-US"/>
        </w:rPr>
        <w:t xml:space="preserve">, </w:t>
      </w:r>
      <w:r w:rsidRPr="00CD06EB">
        <w:rPr>
          <w:rFonts w:ascii="Palatino Linotype" w:hAnsi="Palatino Linotype" w:cs="Tahoma" w:eastAsiaTheme="minorHAnsi"/>
          <w:iCs/>
          <w:color w:val="000000" w:themeColor="text1"/>
          <w:sz w:val="22"/>
          <w:szCs w:val="22"/>
          <w:lang w:eastAsia="en-US"/>
        </w:rPr>
        <w:t xml:space="preserve">deberá realizar una búsqueda exhaustiva y razonable, </w:t>
      </w:r>
      <w:r>
        <w:rPr>
          <w:rFonts w:ascii="Palatino Linotype" w:hAnsi="Palatino Linotype" w:cs="Tahoma" w:eastAsiaTheme="minorHAnsi"/>
          <w:iCs/>
          <w:color w:val="000000" w:themeColor="text1"/>
          <w:sz w:val="22"/>
          <w:szCs w:val="22"/>
          <w:lang w:eastAsia="en-US"/>
        </w:rPr>
        <w:t xml:space="preserve">en </w:t>
      </w:r>
      <w:r w:rsidRPr="00B87C5B" w:rsidR="00B87C5B">
        <w:rPr>
          <w:rFonts w:ascii="Palatino Linotype" w:hAnsi="Palatino Linotype" w:cs="Tahoma" w:eastAsiaTheme="minorHAnsi"/>
          <w:iCs/>
          <w:color w:val="000000" w:themeColor="text1"/>
          <w:sz w:val="22"/>
          <w:szCs w:val="22"/>
          <w:lang w:eastAsia="en-US"/>
        </w:rPr>
        <w:t xml:space="preserve">la </w:t>
      </w:r>
      <w:r w:rsidR="00040D68">
        <w:rPr>
          <w:rFonts w:ascii="Palatino Linotype" w:hAnsi="Palatino Linotype" w:cs="Tahoma" w:eastAsiaTheme="minorHAnsi"/>
          <w:iCs/>
          <w:color w:val="000000" w:themeColor="text1"/>
          <w:sz w:val="22"/>
          <w:szCs w:val="22"/>
          <w:lang w:eastAsia="en-US"/>
        </w:rPr>
        <w:t>Tesorería</w:t>
      </w:r>
      <w:r w:rsidR="00C43BFA">
        <w:rPr>
          <w:rFonts w:ascii="Palatino Linotype" w:hAnsi="Palatino Linotype" w:cs="Tahoma" w:eastAsiaTheme="minorHAnsi"/>
          <w:iCs/>
          <w:color w:val="000000" w:themeColor="text1"/>
          <w:sz w:val="22"/>
          <w:szCs w:val="22"/>
          <w:lang w:eastAsia="en-US"/>
        </w:rPr>
        <w:t xml:space="preserve"> Municipal</w:t>
      </w:r>
      <w:r w:rsidR="00040D68">
        <w:rPr>
          <w:rFonts w:ascii="Palatino Linotype" w:hAnsi="Palatino Linotype" w:cs="Tahoma" w:eastAsiaTheme="minorHAnsi"/>
          <w:iCs/>
          <w:color w:val="000000" w:themeColor="text1"/>
          <w:sz w:val="22"/>
          <w:szCs w:val="22"/>
          <w:lang w:eastAsia="en-US"/>
        </w:rPr>
        <w:t xml:space="preserve"> </w:t>
      </w:r>
      <w:r w:rsidRPr="00CD06EB">
        <w:rPr>
          <w:rFonts w:ascii="Palatino Linotype" w:hAnsi="Palatino Linotype" w:cs="Tahoma" w:eastAsiaTheme="minorHAnsi"/>
          <w:iCs/>
          <w:color w:val="000000" w:themeColor="text1"/>
          <w:sz w:val="22"/>
          <w:szCs w:val="22"/>
          <w:lang w:eastAsia="en-US"/>
        </w:rPr>
        <w:t xml:space="preserve"> a efecto de que proporcione</w:t>
      </w:r>
      <w:r w:rsidR="00C43BFA">
        <w:rPr>
          <w:rFonts w:ascii="Palatino Linotype" w:hAnsi="Palatino Linotype" w:cs="Tahoma" w:eastAsiaTheme="minorHAnsi"/>
          <w:iCs/>
          <w:color w:val="000000" w:themeColor="text1"/>
          <w:sz w:val="22"/>
          <w:szCs w:val="22"/>
          <w:lang w:eastAsia="en-US"/>
        </w:rPr>
        <w:t>, los documentos que conforman la cuenta pública del Ayuntamiento de Donato Guerra, de los ejercicios fiscales, dos mil dieciocho, dos mil diecinueve, dos mil veinte y dos mil veintiuno</w:t>
      </w:r>
      <w:r w:rsidR="005B4DE6">
        <w:rPr>
          <w:rFonts w:ascii="Palatino Linotype" w:hAnsi="Palatino Linotype" w:cs="Tahoma" w:eastAsiaTheme="minorHAnsi"/>
          <w:iCs/>
          <w:color w:val="000000" w:themeColor="text1"/>
          <w:sz w:val="22"/>
          <w:szCs w:val="22"/>
          <w:lang w:eastAsia="en-US"/>
        </w:rPr>
        <w:t>.</w:t>
      </w:r>
    </w:p>
    <w:p w:rsidRPr="000A0D6A" w:rsidR="001C14A7" w:rsidP="001C14A7" w:rsidRDefault="001C14A7" w14:paraId="568F581E" w14:textId="77777777">
      <w:pPr>
        <w:spacing w:line="360" w:lineRule="auto"/>
        <w:jc w:val="both"/>
        <w:rPr>
          <w:rFonts w:ascii="Palatino Linotype" w:hAnsi="Palatino Linotype" w:cs="Tahoma" w:eastAsiaTheme="minorHAnsi"/>
          <w:iCs/>
          <w:color w:val="000000" w:themeColor="text1"/>
          <w:sz w:val="22"/>
          <w:szCs w:val="22"/>
          <w:lang w:eastAsia="en-US"/>
        </w:rPr>
      </w:pPr>
    </w:p>
    <w:p w:rsidR="005B4DE6" w:rsidP="000A0D6A" w:rsidRDefault="000A0D6A" w14:paraId="2EA64335" w14:textId="23601AF6">
      <w:pPr>
        <w:spacing w:line="360" w:lineRule="auto"/>
        <w:jc w:val="both"/>
        <w:rPr>
          <w:rFonts w:ascii="Palatino Linotype" w:hAnsi="Palatino Linotype" w:cs="Tahoma" w:eastAsiaTheme="minorHAnsi"/>
          <w:iCs/>
          <w:color w:val="000000" w:themeColor="text1"/>
          <w:sz w:val="22"/>
          <w:szCs w:val="22"/>
          <w:lang w:eastAsia="en-US"/>
        </w:rPr>
      </w:pPr>
      <w:r w:rsidRPr="000A0D6A">
        <w:rPr>
          <w:rFonts w:ascii="Palatino Linotype" w:hAnsi="Palatino Linotype" w:cs="Tahoma" w:eastAsiaTheme="minorHAnsi"/>
          <w:iCs/>
          <w:color w:val="000000" w:themeColor="text1"/>
          <w:sz w:val="22"/>
          <w:szCs w:val="22"/>
          <w:lang w:eastAsia="en-US"/>
        </w:rPr>
        <w:t>Ahora bie</w:t>
      </w:r>
      <w:r>
        <w:rPr>
          <w:rFonts w:ascii="Palatino Linotype" w:hAnsi="Palatino Linotype" w:cs="Tahoma" w:eastAsiaTheme="minorHAnsi"/>
          <w:iCs/>
          <w:color w:val="000000" w:themeColor="text1"/>
          <w:sz w:val="22"/>
          <w:szCs w:val="22"/>
          <w:lang w:eastAsia="en-US"/>
        </w:rPr>
        <w:t>n, por lo que hace a la información del ejercicio fiscal dos mil veintiuno, es de señalar que conforme al artículo 32, párrafo tercero, de la Ley de Fiscalización Superior del Estado de México, el Sujeto Obligado tenía hasta el quince de marz</w:t>
      </w:r>
      <w:r w:rsidR="00153457">
        <w:rPr>
          <w:rFonts w:ascii="Palatino Linotype" w:hAnsi="Palatino Linotype" w:cs="Tahoma" w:eastAsiaTheme="minorHAnsi"/>
          <w:iCs/>
          <w:color w:val="000000" w:themeColor="text1"/>
          <w:sz w:val="22"/>
          <w:szCs w:val="22"/>
          <w:lang w:eastAsia="en-US"/>
        </w:rPr>
        <w:t>o de dos mil veintidós para presentar dicha documentación.</w:t>
      </w:r>
    </w:p>
    <w:p w:rsidR="00153457" w:rsidP="000A0D6A" w:rsidRDefault="00153457" w14:paraId="38F70CE2" w14:textId="1F330511">
      <w:pPr>
        <w:spacing w:line="360" w:lineRule="auto"/>
        <w:jc w:val="both"/>
        <w:rPr>
          <w:rFonts w:ascii="Palatino Linotype" w:hAnsi="Palatino Linotype" w:cs="Tahoma" w:eastAsiaTheme="minorHAnsi"/>
          <w:iCs/>
          <w:color w:val="000000" w:themeColor="text1"/>
          <w:sz w:val="22"/>
          <w:szCs w:val="22"/>
          <w:lang w:eastAsia="en-US"/>
        </w:rPr>
      </w:pPr>
    </w:p>
    <w:p w:rsidR="00153457" w:rsidP="000A0D6A" w:rsidRDefault="00153457" w14:paraId="03562470" w14:textId="05C0F8C6">
      <w:pPr>
        <w:spacing w:line="360" w:lineRule="auto"/>
        <w:jc w:val="both"/>
        <w:rPr>
          <w:rFonts w:ascii="Palatino Linotype" w:hAnsi="Palatino Linotype" w:cs="Tahoma"/>
          <w:iCs/>
          <w:szCs w:val="22"/>
        </w:rPr>
      </w:pPr>
      <w:r>
        <w:rPr>
          <w:rFonts w:ascii="Palatino Linotype" w:hAnsi="Palatino Linotype" w:cs="Tahoma" w:eastAsiaTheme="minorHAnsi"/>
          <w:iCs/>
          <w:color w:val="000000" w:themeColor="text1"/>
          <w:sz w:val="22"/>
          <w:szCs w:val="22"/>
          <w:lang w:eastAsia="en-US"/>
        </w:rPr>
        <w:lastRenderedPageBreak/>
        <w:t xml:space="preserve">Por lo que, para el caso, </w:t>
      </w:r>
      <w:r w:rsidR="00582DC7">
        <w:rPr>
          <w:rFonts w:ascii="Palatino Linotype" w:hAnsi="Palatino Linotype" w:cs="Tahoma" w:eastAsiaTheme="minorHAnsi"/>
          <w:iCs/>
          <w:color w:val="000000" w:themeColor="text1"/>
          <w:sz w:val="22"/>
          <w:szCs w:val="22"/>
          <w:lang w:eastAsia="en-US"/>
        </w:rPr>
        <w:t>que,</w:t>
      </w:r>
      <w:r>
        <w:rPr>
          <w:rFonts w:ascii="Palatino Linotype" w:hAnsi="Palatino Linotype" w:cs="Tahoma" w:eastAsiaTheme="minorHAnsi"/>
          <w:iCs/>
          <w:color w:val="000000" w:themeColor="text1"/>
          <w:sz w:val="22"/>
          <w:szCs w:val="22"/>
          <w:lang w:eastAsia="en-US"/>
        </w:rPr>
        <w:t xml:space="preserve"> a la fecha de la solicitud, esto es, al diecinueve de enero de dos mil veintidós, no contará con la cuenta pública del ejercicio fiscal dos mil </w:t>
      </w:r>
      <w:r w:rsidR="00582DC7">
        <w:rPr>
          <w:rFonts w:ascii="Palatino Linotype" w:hAnsi="Palatino Linotype" w:cs="Tahoma" w:eastAsiaTheme="minorHAnsi"/>
          <w:iCs/>
          <w:color w:val="000000" w:themeColor="text1"/>
          <w:sz w:val="22"/>
          <w:szCs w:val="22"/>
          <w:lang w:eastAsia="en-US"/>
        </w:rPr>
        <w:t>veintiuno, deberá hacerlo del conocimiento del ahora Recurrente, en términos del artículo 19, párrafo segundo, de la Ley de Transparencia y Acceso a la Información Pública del Estado de México y Municipios.</w:t>
      </w:r>
    </w:p>
    <w:p w:rsidR="009245F5" w:rsidP="00582DC7" w:rsidRDefault="00040D68" w14:paraId="0C981FC8" w14:textId="2BF27231">
      <w:pPr>
        <w:spacing w:line="360" w:lineRule="auto"/>
        <w:ind w:right="-28"/>
        <w:jc w:val="both"/>
        <w:rPr>
          <w:rFonts w:ascii="Palatino Linotype" w:hAnsi="Palatino Linotype" w:eastAsia="Calibri" w:cs="Tahoma"/>
          <w:bCs/>
          <w:szCs w:val="22"/>
          <w:lang w:eastAsia="en-US"/>
        </w:rPr>
      </w:pPr>
      <w:r w:rsidRPr="005B4DE6">
        <w:rPr>
          <w:rFonts w:ascii="Palatino Linotype" w:hAnsi="Palatino Linotype" w:cs="Tahoma"/>
          <w:iCs/>
          <w:szCs w:val="22"/>
        </w:rPr>
        <w:t xml:space="preserve"> </w:t>
      </w:r>
    </w:p>
    <w:p w:rsidR="009245F5" w:rsidP="009245F5" w:rsidRDefault="009245F5" w14:paraId="73AEA806"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9245F5" w:rsidP="009245F5" w:rsidRDefault="009245F5" w14:paraId="0E70E398" w14:textId="77777777">
      <w:pPr>
        <w:spacing w:line="360" w:lineRule="auto"/>
        <w:ind w:right="-28"/>
        <w:jc w:val="both"/>
        <w:rPr>
          <w:rFonts w:ascii="Palatino Linotype" w:hAnsi="Palatino Linotype" w:cs="Tahoma"/>
          <w:b/>
          <w:sz w:val="22"/>
          <w:szCs w:val="22"/>
        </w:rPr>
      </w:pPr>
    </w:p>
    <w:p w:rsidR="001C14A7" w:rsidP="001C14A7" w:rsidRDefault="009245F5" w14:paraId="5044805E" w14:textId="3399DF17">
      <w:pPr>
        <w:spacing w:line="360" w:lineRule="auto"/>
        <w:jc w:val="both"/>
        <w:rPr>
          <w:rFonts w:ascii="Palatino Linotype" w:hAnsi="Palatino Linotype" w:cs="Tahoma"/>
          <w:iCs/>
          <w:sz w:val="22"/>
          <w:szCs w:val="22"/>
        </w:rPr>
      </w:pPr>
      <w:r>
        <w:rPr>
          <w:rFonts w:ascii="Palatino Linotype" w:hAnsi="Palatino Linotype" w:cs="Arial"/>
          <w:sz w:val="22"/>
          <w:szCs w:val="22"/>
        </w:rPr>
        <w:t>C</w:t>
      </w:r>
      <w:r w:rsidRPr="00855EE6">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855EE6">
        <w:rPr>
          <w:rFonts w:ascii="Palatino Linotype" w:hAnsi="Palatino Linotype" w:cs="Tahoma"/>
          <w:b/>
          <w:sz w:val="22"/>
          <w:szCs w:val="22"/>
        </w:rPr>
        <w:t>REVOCAR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Pr="006978DC" w:rsidR="006978DC">
        <w:rPr>
          <w:rFonts w:ascii="Palatino Linotype" w:hAnsi="Palatino Linotype" w:cs="Tahoma"/>
          <w:bCs/>
          <w:sz w:val="22"/>
          <w:szCs w:val="22"/>
        </w:rPr>
        <w:t>00009/DONAGUER/IP/2022</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 xml:space="preserve">a efecto de que previa </w:t>
      </w:r>
      <w:r w:rsidRPr="005C7EAA">
        <w:rPr>
          <w:rFonts w:ascii="Palatino Linotype" w:hAnsi="Palatino Linotype" w:eastAsia="Calibri" w:cs="Tahoma"/>
          <w:iCs/>
          <w:sz w:val="22"/>
          <w:szCs w:val="22"/>
          <w:lang w:eastAsia="es-ES_tradnl"/>
        </w:rPr>
        <w:t xml:space="preserve">búsqueda exhaustiva y razonable, en todas las áreas competentes, entre las cuales no podrá omitir a </w:t>
      </w:r>
      <w:r w:rsidRPr="00452ED6" w:rsidR="00452ED6">
        <w:rPr>
          <w:rFonts w:ascii="Palatino Linotype" w:hAnsi="Palatino Linotype" w:eastAsia="Calibri" w:cs="Tahoma"/>
          <w:bCs/>
          <w:iCs/>
          <w:sz w:val="22"/>
          <w:szCs w:val="22"/>
          <w:lang w:eastAsia="es-ES_tradnl"/>
        </w:rPr>
        <w:t xml:space="preserve">la </w:t>
      </w:r>
      <w:r w:rsidR="006978DC">
        <w:rPr>
          <w:rFonts w:ascii="Palatino Linotype" w:hAnsi="Palatino Linotype" w:eastAsia="Calibri" w:cs="Tahoma"/>
          <w:bCs/>
          <w:iCs/>
          <w:sz w:val="22"/>
          <w:szCs w:val="22"/>
          <w:lang w:eastAsia="es-ES_tradnl"/>
        </w:rPr>
        <w:t>Tesorería municipal</w:t>
      </w:r>
      <w:r w:rsidRPr="005C7EAA">
        <w:rPr>
          <w:rFonts w:ascii="Palatino Linotype" w:hAnsi="Palatino Linotype" w:cs="Tahoma"/>
          <w:sz w:val="22"/>
          <w:szCs w:val="22"/>
        </w:rPr>
        <w:t xml:space="preserve">, </w:t>
      </w:r>
      <w:r w:rsidRPr="005C7EAA">
        <w:rPr>
          <w:rFonts w:ascii="Palatino Linotype" w:hAnsi="Palatino Linotype" w:cs="Tahoma"/>
          <w:bCs/>
          <w:sz w:val="22"/>
          <w:szCs w:val="22"/>
        </w:rPr>
        <w:t xml:space="preserve"> entregue</w:t>
      </w:r>
      <w:r>
        <w:rPr>
          <w:rFonts w:ascii="Palatino Linotype" w:hAnsi="Palatino Linotype" w:cs="Tahoma"/>
          <w:bCs/>
          <w:sz w:val="22"/>
          <w:szCs w:val="22"/>
        </w:rPr>
        <w:t>, a través del Sistema de Acceso a la Información Mexiquense (SAIMEX)</w:t>
      </w:r>
      <w:r w:rsidRPr="005C7EAA">
        <w:rPr>
          <w:rFonts w:ascii="Palatino Linotype" w:hAnsi="Palatino Linotype" w:cs="Tahoma"/>
          <w:bCs/>
          <w:sz w:val="22"/>
          <w:szCs w:val="22"/>
        </w:rPr>
        <w:t xml:space="preserve">, </w:t>
      </w:r>
      <w:r w:rsidR="001C14A7">
        <w:rPr>
          <w:rFonts w:ascii="Palatino Linotype" w:hAnsi="Palatino Linotype" w:cs="Tahoma"/>
          <w:iCs/>
          <w:sz w:val="22"/>
          <w:szCs w:val="22"/>
        </w:rPr>
        <w:t xml:space="preserve"> lo siguiente:</w:t>
      </w:r>
    </w:p>
    <w:p w:rsidR="00040D68" w:rsidP="001C14A7" w:rsidRDefault="00040D68" w14:paraId="4E3F9B7D" w14:textId="77777777">
      <w:pPr>
        <w:spacing w:line="360" w:lineRule="auto"/>
        <w:jc w:val="both"/>
        <w:rPr>
          <w:rFonts w:ascii="Palatino Linotype" w:hAnsi="Palatino Linotype" w:cs="Tahoma"/>
          <w:iCs/>
          <w:sz w:val="22"/>
          <w:szCs w:val="22"/>
        </w:rPr>
      </w:pPr>
    </w:p>
    <w:p w:rsidRPr="00582DC7" w:rsidR="001C14A7" w:rsidP="00582DC7" w:rsidRDefault="00582DC7" w14:paraId="6EFD86FD" w14:textId="0DC45228">
      <w:pPr>
        <w:pStyle w:val="Prrafodelista"/>
        <w:numPr>
          <w:ilvl w:val="0"/>
          <w:numId w:val="50"/>
        </w:numPr>
        <w:spacing w:line="360" w:lineRule="auto"/>
        <w:jc w:val="both"/>
        <w:rPr>
          <w:rFonts w:ascii="Palatino Linotype" w:hAnsi="Palatino Linotype" w:cs="Tahoma"/>
          <w:iCs/>
          <w:szCs w:val="22"/>
        </w:rPr>
      </w:pPr>
      <w:r w:rsidRPr="00582DC7">
        <w:rPr>
          <w:rFonts w:ascii="Palatino Linotype" w:hAnsi="Palatino Linotype" w:cs="Tahoma"/>
          <w:iCs/>
          <w:szCs w:val="22"/>
        </w:rPr>
        <w:t>Los documentos que conforman la Cuenta Pública</w:t>
      </w:r>
      <w:r>
        <w:rPr>
          <w:rFonts w:ascii="Palatino Linotype" w:hAnsi="Palatino Linotype" w:cs="Tahoma"/>
          <w:iCs/>
          <w:szCs w:val="22"/>
        </w:rPr>
        <w:t xml:space="preserve"> del Ayuntamiento de Donato Guerra,</w:t>
      </w:r>
      <w:r w:rsidRPr="00582DC7">
        <w:rPr>
          <w:rFonts w:ascii="Palatino Linotype" w:hAnsi="Palatino Linotype" w:cs="Tahoma"/>
          <w:iCs/>
          <w:szCs w:val="22"/>
        </w:rPr>
        <w:t xml:space="preserve"> de los ejercicios fiscales dos mil dieciocho, dos mil diecinueve, dos mil veinte y dos mil veintiuno</w:t>
      </w:r>
      <w:r w:rsidRPr="00582DC7" w:rsidR="00040D68">
        <w:rPr>
          <w:rFonts w:ascii="Palatino Linotype" w:hAnsi="Palatino Linotype" w:cs="Tahoma"/>
          <w:iCs/>
          <w:szCs w:val="22"/>
        </w:rPr>
        <w:t>.</w:t>
      </w:r>
    </w:p>
    <w:p w:rsidR="00452ED6" w:rsidP="009245F5" w:rsidRDefault="00452ED6" w14:paraId="32B8840E" w14:textId="3F906E12">
      <w:pPr>
        <w:spacing w:line="360" w:lineRule="auto"/>
        <w:ind w:right="-93"/>
        <w:jc w:val="both"/>
        <w:rPr>
          <w:rFonts w:ascii="Palatino Linotype" w:hAnsi="Palatino Linotype" w:cs="Tahoma"/>
          <w:sz w:val="22"/>
          <w:szCs w:val="22"/>
          <w:lang w:val="es-ES"/>
        </w:rPr>
      </w:pPr>
    </w:p>
    <w:p w:rsidR="00582DC7" w:rsidP="009245F5" w:rsidRDefault="00582DC7" w14:paraId="22DB8275" w14:textId="52EE138F">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Para el caso, </w:t>
      </w:r>
      <w:r w:rsidR="00E479BA">
        <w:rPr>
          <w:rFonts w:ascii="Palatino Linotype" w:hAnsi="Palatino Linotype" w:cs="Tahoma"/>
          <w:sz w:val="22"/>
          <w:szCs w:val="22"/>
          <w:lang w:val="es-ES"/>
        </w:rPr>
        <w:t>de que,</w:t>
      </w:r>
      <w:r>
        <w:rPr>
          <w:rFonts w:ascii="Palatino Linotype" w:hAnsi="Palatino Linotype" w:cs="Tahoma"/>
          <w:sz w:val="22"/>
          <w:szCs w:val="22"/>
          <w:lang w:val="es-ES"/>
        </w:rPr>
        <w:t xml:space="preserve"> al diecinueve de enero de dos mil veintidós</w:t>
      </w:r>
      <w:r w:rsidR="00E479BA">
        <w:rPr>
          <w:rFonts w:ascii="Palatino Linotype" w:hAnsi="Palatino Linotype" w:cs="Tahoma"/>
          <w:sz w:val="22"/>
          <w:szCs w:val="22"/>
          <w:lang w:val="es-ES"/>
        </w:rPr>
        <w:t xml:space="preserve">, no </w:t>
      </w:r>
      <w:r w:rsidR="00A6306A">
        <w:rPr>
          <w:rFonts w:ascii="Palatino Linotype" w:hAnsi="Palatino Linotype" w:cs="Tahoma"/>
          <w:sz w:val="22"/>
          <w:szCs w:val="22"/>
          <w:lang w:val="es-ES"/>
        </w:rPr>
        <w:t xml:space="preserve">haya contado </w:t>
      </w:r>
      <w:r w:rsidR="00E479BA">
        <w:rPr>
          <w:rFonts w:ascii="Palatino Linotype" w:hAnsi="Palatino Linotype" w:cs="Tahoma"/>
          <w:sz w:val="22"/>
          <w:szCs w:val="22"/>
          <w:lang w:val="es-ES"/>
        </w:rPr>
        <w:t>con la información del ejercicio fiscal dos mil veintiuno, deberá hacerlo del conocimiento del Recurrente, de manera clara y precisa.</w:t>
      </w:r>
    </w:p>
    <w:p w:rsidR="00582DC7" w:rsidP="009245F5" w:rsidRDefault="00582DC7" w14:paraId="5D14F1EC" w14:textId="77777777">
      <w:pPr>
        <w:spacing w:line="360" w:lineRule="auto"/>
        <w:ind w:right="-93"/>
        <w:jc w:val="both"/>
        <w:rPr>
          <w:rFonts w:ascii="Palatino Linotype" w:hAnsi="Palatino Linotype" w:cs="Tahoma"/>
          <w:sz w:val="22"/>
          <w:szCs w:val="22"/>
          <w:lang w:val="es-ES"/>
        </w:rPr>
      </w:pPr>
    </w:p>
    <w:p w:rsidRPr="00501A5E"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501A5E">
        <w:rPr>
          <w:rFonts w:ascii="Palatino Linotype" w:hAnsi="Palatino Linotype" w:eastAsia="Calibri" w:cs="Tahoma"/>
          <w:b/>
          <w:bCs/>
          <w:iCs/>
          <w:sz w:val="22"/>
          <w:szCs w:val="22"/>
          <w:lang w:val="es-ES" w:eastAsia="en-US"/>
        </w:rPr>
        <w:t>Términos de la Resolución para conocimiento del Particular.</w:t>
      </w:r>
    </w:p>
    <w:p w:rsidRPr="00501A5E"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452ED6" w:rsidP="00E15395" w:rsidRDefault="00452ED6" w14:paraId="5B55D796" w14:textId="6CA916B0">
      <w:pPr>
        <w:autoSpaceDE w:val="0"/>
        <w:autoSpaceDN w:val="0"/>
        <w:adjustRightInd w:val="0"/>
        <w:spacing w:line="360" w:lineRule="auto"/>
        <w:jc w:val="both"/>
        <w:rPr>
          <w:rFonts w:ascii="Palatino Linotype" w:hAnsi="Palatino Linotype" w:eastAsia="Calibri" w:cs="Tahoma"/>
          <w:bCs/>
          <w:iCs/>
          <w:sz w:val="22"/>
          <w:szCs w:val="22"/>
          <w:lang w:val="es-ES" w:eastAsia="en-US"/>
        </w:rPr>
      </w:pPr>
      <w:r>
        <w:rPr>
          <w:rFonts w:ascii="Palatino Linotype" w:hAnsi="Palatino Linotype" w:eastAsia="Calibri" w:cs="Tahoma"/>
          <w:bCs/>
          <w:sz w:val="22"/>
          <w:szCs w:val="22"/>
          <w:lang w:eastAsia="en-US"/>
        </w:rPr>
        <w:t>Se</w:t>
      </w:r>
      <w:r w:rsidRPr="001F26EE" w:rsidR="00A362D6">
        <w:rPr>
          <w:rFonts w:ascii="Palatino Linotype" w:hAnsi="Palatino Linotype" w:eastAsia="Calibri" w:cs="Tahoma"/>
          <w:bCs/>
          <w:sz w:val="22"/>
          <w:szCs w:val="22"/>
          <w:lang w:eastAsia="en-US"/>
        </w:rPr>
        <w:t xml:space="preserve"> hace del conocimiento a</w:t>
      </w:r>
      <w:r w:rsidR="006978DC">
        <w:rPr>
          <w:rFonts w:ascii="Palatino Linotype" w:hAnsi="Palatino Linotype" w:eastAsia="Calibri" w:cs="Tahoma"/>
          <w:bCs/>
          <w:sz w:val="22"/>
          <w:szCs w:val="22"/>
          <w:lang w:eastAsia="en-US"/>
        </w:rPr>
        <w:t>l</w:t>
      </w:r>
      <w:r w:rsidRPr="001F26EE" w:rsidR="00A362D6">
        <w:rPr>
          <w:rFonts w:ascii="Palatino Linotype" w:hAnsi="Palatino Linotype" w:eastAsia="Calibri" w:cs="Tahoma"/>
          <w:bCs/>
          <w:sz w:val="22"/>
          <w:szCs w:val="22"/>
          <w:lang w:eastAsia="en-US"/>
        </w:rPr>
        <w:t xml:space="preserve"> ahora Recurrente, que, en el presente caso, </w:t>
      </w:r>
      <w:r w:rsidR="00A362D6">
        <w:rPr>
          <w:rFonts w:ascii="Palatino Linotype" w:hAnsi="Palatino Linotype" w:eastAsia="Calibri" w:cs="Tahoma"/>
          <w:bCs/>
          <w:sz w:val="22"/>
          <w:szCs w:val="22"/>
          <w:lang w:eastAsia="en-US"/>
        </w:rPr>
        <w:t xml:space="preserve">se le da la razón, pues el Ente Recurrido no acreditó el cambio de la modalidad a consulta directa, al no fundamentarla y motivarla, </w:t>
      </w:r>
      <w:r w:rsidR="00E479BA">
        <w:rPr>
          <w:rFonts w:ascii="Palatino Linotype" w:hAnsi="Palatino Linotype" w:eastAsia="Calibri" w:cs="Tahoma"/>
          <w:bCs/>
          <w:sz w:val="22"/>
          <w:szCs w:val="22"/>
          <w:lang w:eastAsia="en-US"/>
        </w:rPr>
        <w:t xml:space="preserve">aunado a que la información debería estar publicada en su portal </w:t>
      </w:r>
      <w:r w:rsidR="00E479BA">
        <w:rPr>
          <w:rFonts w:ascii="Palatino Linotype" w:hAnsi="Palatino Linotype" w:eastAsia="Calibri" w:cs="Tahoma"/>
          <w:bCs/>
          <w:sz w:val="22"/>
          <w:szCs w:val="22"/>
          <w:lang w:eastAsia="en-US"/>
        </w:rPr>
        <w:lastRenderedPageBreak/>
        <w:t xml:space="preserve">de Internet, por lo que, deberá entregársela a través del Sistema de Acceso a la Información Mexiquense. </w:t>
      </w:r>
    </w:p>
    <w:p w:rsidRPr="00452ED6" w:rsidR="000136F0" w:rsidP="00E15395" w:rsidRDefault="000136F0" w14:paraId="568BAADE" w14:textId="77777777">
      <w:pPr>
        <w:autoSpaceDE w:val="0"/>
        <w:autoSpaceDN w:val="0"/>
        <w:adjustRightInd w:val="0"/>
        <w:spacing w:line="360" w:lineRule="auto"/>
        <w:jc w:val="both"/>
        <w:rPr>
          <w:rFonts w:ascii="Palatino Linotype" w:hAnsi="Palatino Linotype" w:eastAsia="Calibri" w:cs="Tahoma"/>
          <w:bCs/>
          <w:iCs/>
          <w:sz w:val="22"/>
          <w:szCs w:val="22"/>
          <w:u w:val="single"/>
          <w:lang w:val="es-ES" w:eastAsia="en-US"/>
        </w:rPr>
      </w:pPr>
    </w:p>
    <w:p w:rsidRPr="001C14A7" w:rsidR="009245F5" w:rsidP="00E15395" w:rsidRDefault="009245F5" w14:paraId="0F3CCBDF" w14:textId="52617EAA">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1C14A7">
        <w:rPr>
          <w:rFonts w:ascii="Palatino Linotype" w:hAnsi="Palatino Linotype" w:eastAsia="Calibri" w:cs="Tahoma"/>
          <w:bCs/>
          <w:iCs/>
          <w:sz w:val="22"/>
          <w:szCs w:val="22"/>
          <w:lang w:val="es-ES_tradnl" w:eastAsia="en-US"/>
        </w:rPr>
        <w:t>La labor del Instituto</w:t>
      </w:r>
      <w:r w:rsidR="000136F0">
        <w:rPr>
          <w:rFonts w:ascii="Palatino Linotype" w:hAnsi="Palatino Linotype" w:eastAsia="Calibri" w:cs="Tahoma"/>
          <w:bCs/>
          <w:iCs/>
          <w:sz w:val="22"/>
          <w:szCs w:val="22"/>
          <w:lang w:val="es-ES_tradnl" w:eastAsia="en-US"/>
        </w:rPr>
        <w:t xml:space="preserve"> de Transparencia, Acceso a la Información Pública y Protección de Datos Personales del Estado de México y Municipios</w:t>
      </w:r>
      <w:r w:rsidRPr="001C14A7">
        <w:rPr>
          <w:rFonts w:ascii="Palatino Linotype" w:hAnsi="Palatino Linotype" w:eastAsia="Calibri" w:cs="Tahoma"/>
          <w:bCs/>
          <w:iCs/>
          <w:sz w:val="22"/>
          <w:szCs w:val="22"/>
          <w:lang w:val="es-ES_tradnl" w:eastAsia="en-US"/>
        </w:rPr>
        <w:t>, es apoyar a la población a acceder a la información pública y garantizar la protección de los datos personales.</w:t>
      </w:r>
    </w:p>
    <w:p w:rsidRPr="002B1BBE"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501A5E">
        <w:rPr>
          <w:rFonts w:ascii="Palatino Linotype" w:hAnsi="Palatino Linotype" w:eastAsia="Calibri" w:cs="Tahoma"/>
          <w:bCs/>
          <w:iCs/>
          <w:sz w:val="22"/>
          <w:szCs w:val="22"/>
          <w:lang w:eastAsia="en-US"/>
        </w:rPr>
        <w:t>Por lo expuesto y fundado, este Pleno:</w:t>
      </w:r>
    </w:p>
    <w:p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9245F5" w:rsidP="009245F5" w:rsidRDefault="009245F5" w14:paraId="1EA1703F" w14:textId="77777777">
      <w:pPr>
        <w:spacing w:line="360" w:lineRule="auto"/>
        <w:ind w:right="-28"/>
        <w:jc w:val="center"/>
        <w:rPr>
          <w:rFonts w:ascii="Palatino Linotype" w:hAnsi="Palatino Linotype" w:cs="Tahoma"/>
          <w:b/>
          <w:bCs/>
          <w:sz w:val="22"/>
          <w:szCs w:val="22"/>
        </w:rPr>
      </w:pPr>
    </w:p>
    <w:p w:rsidRPr="00E15395" w:rsidR="009245F5" w:rsidP="00E15395" w:rsidRDefault="009245F5" w14:paraId="325BE84B" w14:textId="61F940C9">
      <w:pPr>
        <w:widowControl w:val="0"/>
        <w:spacing w:line="360" w:lineRule="auto"/>
        <w:jc w:val="both"/>
        <w:rPr>
          <w:rFonts w:ascii="Palatino Linotype" w:hAnsi="Palatino Linotype" w:eastAsia="Calibri"/>
          <w:b/>
          <w:bCs/>
          <w:sz w:val="22"/>
          <w:szCs w:val="22"/>
        </w:rPr>
      </w:pPr>
      <w:r w:rsidRPr="00E15395">
        <w:rPr>
          <w:rFonts w:ascii="Palatino Linotype" w:hAnsi="Palatino Linotype" w:eastAsia="Calibri"/>
          <w:b/>
          <w:bCs/>
          <w:sz w:val="22"/>
          <w:szCs w:val="22"/>
        </w:rPr>
        <w:t xml:space="preserve">PRIMERO. </w:t>
      </w:r>
      <w:r w:rsidRPr="00E15395">
        <w:rPr>
          <w:rFonts w:ascii="Palatino Linotype" w:hAnsi="Palatino Linotype" w:eastAsia="Calibri"/>
          <w:sz w:val="22"/>
          <w:szCs w:val="22"/>
        </w:rPr>
        <w:t xml:space="preserve">Se </w:t>
      </w:r>
      <w:r w:rsidRPr="00E15395">
        <w:rPr>
          <w:rFonts w:ascii="Palatino Linotype" w:hAnsi="Palatino Linotype" w:eastAsia="Calibri"/>
          <w:b/>
          <w:bCs/>
          <w:sz w:val="22"/>
          <w:szCs w:val="22"/>
        </w:rPr>
        <w:t xml:space="preserve">REVOCA </w:t>
      </w:r>
      <w:r w:rsidRPr="002A4CC9">
        <w:rPr>
          <w:rFonts w:ascii="Palatino Linotype" w:hAnsi="Palatino Linotype" w:eastAsia="Calibri"/>
          <w:sz w:val="22"/>
          <w:szCs w:val="22"/>
        </w:rPr>
        <w:t>la</w:t>
      </w:r>
      <w:r w:rsidRPr="00E15395">
        <w:rPr>
          <w:rFonts w:ascii="Palatino Linotype" w:hAnsi="Palatino Linotype" w:eastAsia="Calibri"/>
          <w:b/>
          <w:bCs/>
          <w:sz w:val="22"/>
          <w:szCs w:val="22"/>
        </w:rPr>
        <w:t xml:space="preserve"> </w:t>
      </w:r>
      <w:r w:rsidR="006978DC">
        <w:rPr>
          <w:rFonts w:ascii="Palatino Linotype" w:hAnsi="Palatino Linotype" w:eastAsia="Calibri"/>
          <w:sz w:val="22"/>
          <w:szCs w:val="22"/>
        </w:rPr>
        <w:t xml:space="preserve">respuesta entregada por el Ayuntamiento de Donato Guerra </w:t>
      </w:r>
      <w:r w:rsidR="00452ED6">
        <w:rPr>
          <w:rFonts w:ascii="Palatino Linotype" w:hAnsi="Palatino Linotype" w:eastAsia="Calibri"/>
          <w:sz w:val="22"/>
          <w:szCs w:val="22"/>
        </w:rPr>
        <w:t xml:space="preserve"> </w:t>
      </w:r>
      <w:r w:rsidRPr="00E15395">
        <w:rPr>
          <w:rFonts w:ascii="Palatino Linotype" w:hAnsi="Palatino Linotype" w:eastAsia="Calibri"/>
          <w:sz w:val="22"/>
          <w:szCs w:val="22"/>
        </w:rPr>
        <w:t>a la solicitud de información</w:t>
      </w:r>
      <w:r w:rsidRPr="00E15395">
        <w:rPr>
          <w:rFonts w:ascii="Palatino Linotype" w:hAnsi="Palatino Linotype" w:eastAsia="Calibri"/>
          <w:b/>
          <w:bCs/>
          <w:sz w:val="22"/>
          <w:szCs w:val="22"/>
        </w:rPr>
        <w:t xml:space="preserve"> </w:t>
      </w:r>
      <w:r w:rsidRPr="006978DC" w:rsidR="006978DC">
        <w:rPr>
          <w:rFonts w:ascii="Palatino Linotype" w:hAnsi="Palatino Linotype" w:eastAsia="Calibri"/>
          <w:b/>
          <w:bCs/>
          <w:sz w:val="22"/>
          <w:szCs w:val="22"/>
        </w:rPr>
        <w:t>00009/DONAGUER/IP/2022</w:t>
      </w:r>
      <w:r w:rsidR="006978DC">
        <w:rPr>
          <w:rFonts w:ascii="Palatino Linotype" w:hAnsi="Palatino Linotype" w:eastAsia="Calibri"/>
          <w:b/>
          <w:bCs/>
          <w:sz w:val="22"/>
          <w:szCs w:val="22"/>
        </w:rPr>
        <w:t xml:space="preserve"> </w:t>
      </w:r>
      <w:r w:rsidRPr="00E15395">
        <w:rPr>
          <w:rFonts w:ascii="Palatino Linotype" w:hAnsi="Palatino Linotype" w:eastAsia="Calibri"/>
          <w:sz w:val="22"/>
          <w:szCs w:val="22"/>
        </w:rPr>
        <w:t>por resultar</w:t>
      </w:r>
      <w:r w:rsidRPr="00E15395">
        <w:rPr>
          <w:rFonts w:ascii="Palatino Linotype" w:hAnsi="Palatino Linotype" w:eastAsia="Calibri"/>
          <w:b/>
          <w:bCs/>
          <w:sz w:val="22"/>
          <w:szCs w:val="22"/>
        </w:rPr>
        <w:t xml:space="preserve"> </w:t>
      </w:r>
      <w:r w:rsidRPr="001C14A7">
        <w:rPr>
          <w:rFonts w:ascii="Palatino Linotype" w:hAnsi="Palatino Linotype" w:eastAsia="Calibri"/>
          <w:b/>
          <w:bCs/>
          <w:sz w:val="22"/>
          <w:szCs w:val="22"/>
        </w:rPr>
        <w:t xml:space="preserve">FUNDADAS </w:t>
      </w:r>
      <w:r w:rsidRPr="00E15395">
        <w:rPr>
          <w:rFonts w:ascii="Palatino Linotype" w:hAnsi="Palatino Linotype" w:eastAsia="Calibri"/>
          <w:sz w:val="22"/>
          <w:szCs w:val="22"/>
        </w:rPr>
        <w:t>las razones o motivos de inconformidad hechos valer por el Recurrente, en términos de los considerandos</w:t>
      </w:r>
      <w:r w:rsidRPr="00E15395">
        <w:rPr>
          <w:rFonts w:ascii="Palatino Linotype" w:hAnsi="Palatino Linotype" w:eastAsia="Calibri"/>
          <w:b/>
          <w:bCs/>
          <w:sz w:val="22"/>
          <w:szCs w:val="22"/>
        </w:rPr>
        <w:t xml:space="preserve"> </w:t>
      </w:r>
      <w:r w:rsidRPr="00943127">
        <w:rPr>
          <w:rFonts w:ascii="Palatino Linotype" w:hAnsi="Palatino Linotype" w:eastAsia="Calibri"/>
          <w:sz w:val="22"/>
          <w:szCs w:val="22"/>
        </w:rPr>
        <w:t>QUINTO y SEXTO</w:t>
      </w:r>
      <w:r w:rsidRPr="00E15395">
        <w:rPr>
          <w:rFonts w:ascii="Palatino Linotype" w:hAnsi="Palatino Linotype" w:eastAsia="Calibri"/>
          <w:b/>
          <w:bCs/>
          <w:sz w:val="22"/>
          <w:szCs w:val="22"/>
        </w:rPr>
        <w:t xml:space="preserve"> </w:t>
      </w:r>
      <w:r w:rsidRPr="00E15395">
        <w:rPr>
          <w:rFonts w:ascii="Palatino Linotype" w:hAnsi="Palatino Linotype" w:eastAsia="Calibri"/>
          <w:sz w:val="22"/>
          <w:szCs w:val="22"/>
        </w:rPr>
        <w:t>de la presente Resolución.</w:t>
      </w:r>
    </w:p>
    <w:p w:rsidRPr="00933131" w:rsidR="009245F5" w:rsidP="00E15395" w:rsidRDefault="009245F5" w14:paraId="0AEB630F" w14:textId="77777777">
      <w:pPr>
        <w:widowControl w:val="0"/>
        <w:spacing w:line="360" w:lineRule="auto"/>
        <w:jc w:val="both"/>
        <w:rPr>
          <w:rFonts w:ascii="Palatino Linotype" w:hAnsi="Palatino Linotype" w:cs="Tahoma"/>
          <w:bCs/>
          <w:sz w:val="22"/>
          <w:szCs w:val="22"/>
        </w:rPr>
      </w:pPr>
    </w:p>
    <w:p w:rsidR="001C14A7" w:rsidP="001C14A7" w:rsidRDefault="009245F5" w14:paraId="6E7F2FEC" w14:textId="2E56CD49">
      <w:pPr>
        <w:spacing w:line="360" w:lineRule="auto"/>
        <w:jc w:val="both"/>
        <w:rPr>
          <w:rFonts w:ascii="Palatino Linotype" w:hAnsi="Palatino Linotype" w:cs="Tahoma"/>
          <w:iCs/>
          <w:sz w:val="22"/>
          <w:szCs w:val="22"/>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los archivos en sus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xml:space="preserve"> </w:t>
      </w:r>
      <w:r w:rsidR="001C14A7">
        <w:rPr>
          <w:rFonts w:ascii="Palatino Linotype" w:hAnsi="Palatino Linotype" w:cs="Tahoma"/>
          <w:iCs/>
          <w:sz w:val="22"/>
          <w:szCs w:val="22"/>
        </w:rPr>
        <w:t>lo siguiente:</w:t>
      </w:r>
    </w:p>
    <w:p w:rsidR="005E7D7D" w:rsidP="009245F5" w:rsidRDefault="005E7D7D" w14:paraId="0688F399" w14:textId="388CBE78">
      <w:pPr>
        <w:spacing w:line="360" w:lineRule="auto"/>
        <w:ind w:right="-28"/>
        <w:jc w:val="both"/>
        <w:rPr>
          <w:rFonts w:ascii="Palatino Linotype" w:hAnsi="Palatino Linotype" w:cs="Tahoma"/>
          <w:iCs/>
          <w:sz w:val="22"/>
          <w:szCs w:val="22"/>
        </w:rPr>
      </w:pPr>
    </w:p>
    <w:p w:rsidRPr="00582DC7" w:rsidR="00A6306A" w:rsidP="00A6306A" w:rsidRDefault="00A6306A" w14:paraId="211F424E" w14:textId="77777777">
      <w:pPr>
        <w:pStyle w:val="Prrafodelista"/>
        <w:numPr>
          <w:ilvl w:val="0"/>
          <w:numId w:val="50"/>
        </w:numPr>
        <w:spacing w:line="360" w:lineRule="auto"/>
        <w:jc w:val="both"/>
        <w:rPr>
          <w:rFonts w:ascii="Palatino Linotype" w:hAnsi="Palatino Linotype" w:cs="Tahoma"/>
          <w:iCs/>
          <w:szCs w:val="22"/>
        </w:rPr>
      </w:pPr>
      <w:r w:rsidRPr="00582DC7">
        <w:rPr>
          <w:rFonts w:ascii="Palatino Linotype" w:hAnsi="Palatino Linotype" w:cs="Tahoma"/>
          <w:iCs/>
          <w:szCs w:val="22"/>
        </w:rPr>
        <w:t>Los documentos que conforman la Cuenta Pública</w:t>
      </w:r>
      <w:r>
        <w:rPr>
          <w:rFonts w:ascii="Palatino Linotype" w:hAnsi="Palatino Linotype" w:cs="Tahoma"/>
          <w:iCs/>
          <w:szCs w:val="22"/>
        </w:rPr>
        <w:t xml:space="preserve"> del Ayuntamiento de Donato Guerra,</w:t>
      </w:r>
      <w:r w:rsidRPr="00582DC7">
        <w:rPr>
          <w:rFonts w:ascii="Palatino Linotype" w:hAnsi="Palatino Linotype" w:cs="Tahoma"/>
          <w:iCs/>
          <w:szCs w:val="22"/>
        </w:rPr>
        <w:t xml:space="preserve"> de los ejercicios fiscales dos mil dieciocho, dos mil diecinueve, dos mil veinte y dos mil veintiuno.</w:t>
      </w:r>
    </w:p>
    <w:p w:rsidR="00A6306A" w:rsidP="00A6306A" w:rsidRDefault="00A6306A" w14:paraId="473F65E7" w14:textId="77777777">
      <w:pPr>
        <w:spacing w:line="360" w:lineRule="auto"/>
        <w:ind w:right="-93"/>
        <w:jc w:val="both"/>
        <w:rPr>
          <w:rFonts w:ascii="Palatino Linotype" w:hAnsi="Palatino Linotype" w:cs="Tahoma"/>
          <w:sz w:val="22"/>
          <w:szCs w:val="22"/>
          <w:lang w:val="es-ES"/>
        </w:rPr>
      </w:pPr>
    </w:p>
    <w:p w:rsidR="00A6306A" w:rsidP="00A6306A" w:rsidRDefault="00A6306A" w14:paraId="66353844" w14:textId="22BC716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Para el caso, de que, al diecinueve de enero de dos mil veintidós, no haya contado con la información del ejercicio fiscal dos mil veintiuno, deberá hacerlo del conocimiento del Recurrente, de manera clara y precisa.</w:t>
      </w:r>
    </w:p>
    <w:p w:rsidR="00A6306A" w:rsidP="00A6306A" w:rsidRDefault="00A6306A" w14:paraId="32566690" w14:textId="77777777">
      <w:pPr>
        <w:spacing w:line="360" w:lineRule="auto"/>
        <w:ind w:right="-93"/>
        <w:jc w:val="both"/>
        <w:rPr>
          <w:rFonts w:ascii="Palatino Linotype" w:hAnsi="Palatino Linotype" w:cs="Tahoma"/>
          <w:sz w:val="22"/>
          <w:szCs w:val="22"/>
          <w:lang w:val="es-ES"/>
        </w:rPr>
      </w:pPr>
    </w:p>
    <w:p w:rsidRPr="00A6306A" w:rsidR="009245F5" w:rsidP="009245F5" w:rsidRDefault="009245F5" w14:paraId="4F1663F7" w14:textId="77777777">
      <w:pPr>
        <w:spacing w:line="360" w:lineRule="auto"/>
        <w:ind w:right="-28"/>
        <w:jc w:val="both"/>
        <w:rPr>
          <w:rFonts w:ascii="Palatino Linotype" w:hAnsi="Palatino Linotype" w:cs="Tahoma"/>
          <w:i/>
          <w:color w:val="000000" w:themeColor="text1"/>
          <w:sz w:val="22"/>
          <w:szCs w:val="22"/>
        </w:rPr>
      </w:pPr>
      <w:r w:rsidRPr="00A6306A">
        <w:rPr>
          <w:rFonts w:ascii="Palatino Linotype" w:hAnsi="Palatino Linotype" w:eastAsia="Calibri" w:cs="Tahoma"/>
          <w:b/>
          <w:bCs/>
          <w:color w:val="000000" w:themeColor="text1"/>
          <w:sz w:val="22"/>
          <w:szCs w:val="22"/>
          <w:lang w:eastAsia="en-US"/>
        </w:rPr>
        <w:t xml:space="preserve">TERCERO. </w:t>
      </w:r>
      <w:r w:rsidRPr="00A6306A">
        <w:rPr>
          <w:rFonts w:ascii="Palatino Linotype" w:hAnsi="Palatino Linotype" w:cs="Tahoma"/>
          <w:b/>
          <w:color w:val="000000" w:themeColor="text1"/>
          <w:sz w:val="22"/>
          <w:szCs w:val="22"/>
        </w:rPr>
        <w:t xml:space="preserve">NOTIFÍQUESE </w:t>
      </w:r>
      <w:r w:rsidRPr="00A6306A">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6306A" w:rsidR="009245F5" w:rsidP="009245F5"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A6306A" w:rsidR="00E15395" w:rsidP="00E15395"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A6306A">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A6306A" w:rsidR="00E15395" w:rsidP="009245F5" w:rsidRDefault="00E15395" w14:paraId="39A5C2D0" w14:textId="77777777">
      <w:pPr>
        <w:spacing w:line="360" w:lineRule="auto"/>
        <w:ind w:right="-28"/>
        <w:jc w:val="both"/>
        <w:rPr>
          <w:rFonts w:ascii="Palatino Linotype" w:hAnsi="Palatino Linotype" w:eastAsia="Calibri" w:cs="Tahoma"/>
          <w:color w:val="000000"/>
          <w:sz w:val="22"/>
          <w:szCs w:val="22"/>
          <w:lang w:val="es-ES" w:eastAsia="es-MX"/>
        </w:rPr>
      </w:pPr>
    </w:p>
    <w:p w:rsidRPr="00A6306A" w:rsidR="009245F5" w:rsidP="009245F5" w:rsidRDefault="009245F5" w14:paraId="62DAB2A1" w14:textId="77777777">
      <w:pPr>
        <w:shd w:val="clear" w:color="auto" w:fill="FFFFFF" w:themeFill="background1"/>
        <w:spacing w:line="360" w:lineRule="auto"/>
        <w:ind w:right="-28"/>
        <w:jc w:val="both"/>
        <w:rPr>
          <w:rFonts w:ascii="Palatino Linotype" w:hAnsi="Palatino Linotype" w:cs="Tahoma"/>
          <w:color w:val="000000" w:themeColor="text1"/>
          <w:sz w:val="22"/>
          <w:szCs w:val="22"/>
        </w:rPr>
      </w:pPr>
      <w:r w:rsidRPr="00A6306A">
        <w:rPr>
          <w:rFonts w:ascii="Palatino Linotype" w:hAnsi="Palatino Linotype" w:eastAsia="Calibri" w:cs="Tahoma"/>
          <w:b/>
          <w:color w:val="000000" w:themeColor="text1"/>
          <w:sz w:val="22"/>
          <w:szCs w:val="22"/>
          <w:lang w:eastAsia="es-MX"/>
        </w:rPr>
        <w:t>CUARTO</w:t>
      </w:r>
      <w:r w:rsidRPr="00A6306A">
        <w:rPr>
          <w:rFonts w:ascii="Palatino Linotype" w:hAnsi="Palatino Linotype" w:eastAsia="Calibri" w:cs="Tahoma"/>
          <w:b/>
          <w:bCs/>
          <w:color w:val="000000" w:themeColor="text1"/>
          <w:sz w:val="22"/>
          <w:szCs w:val="22"/>
          <w:lang w:eastAsia="en-US"/>
        </w:rPr>
        <w:t xml:space="preserve">. </w:t>
      </w:r>
      <w:r w:rsidRPr="00A6306A">
        <w:rPr>
          <w:rFonts w:ascii="Palatino Linotype" w:hAnsi="Palatino Linotype" w:cs="Tahoma"/>
          <w:b/>
          <w:color w:val="000000" w:themeColor="text1"/>
          <w:sz w:val="22"/>
          <w:szCs w:val="22"/>
        </w:rPr>
        <w:t>NOTIFÍQUESE</w:t>
      </w:r>
      <w:r w:rsidRPr="00A6306A">
        <w:rPr>
          <w:rFonts w:ascii="Palatino Linotype" w:hAnsi="Palatino Linotype" w:cs="Tahoma"/>
          <w:color w:val="000000" w:themeColor="text1"/>
          <w:sz w:val="22"/>
          <w:szCs w:val="22"/>
        </w:rPr>
        <w:t xml:space="preserve"> al Recurrente la presente Resolución, a través del </w:t>
      </w:r>
      <w:r w:rsidRPr="00A6306A">
        <w:rPr>
          <w:rFonts w:ascii="Palatino Linotype" w:hAnsi="Palatino Linotype" w:eastAsia="Calibri" w:cs="Tahoma"/>
          <w:bCs/>
          <w:color w:val="000000" w:themeColor="text1"/>
          <w:sz w:val="22"/>
          <w:szCs w:val="22"/>
          <w:lang w:eastAsia="en-US"/>
        </w:rPr>
        <w:t>Sistema de Acceso a la Información Mexiquense (SAIMEX)</w:t>
      </w:r>
      <w:r w:rsidRPr="00A6306A">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6306A" w:rsidR="009245F5" w:rsidP="009245F5" w:rsidRDefault="009245F5" w14:paraId="7B03A500" w14:textId="77777777">
      <w:pPr>
        <w:shd w:val="clear" w:color="auto" w:fill="FFFFFF" w:themeFill="background1"/>
        <w:spacing w:line="360" w:lineRule="auto"/>
        <w:ind w:right="-28"/>
        <w:jc w:val="both"/>
        <w:rPr>
          <w:rFonts w:ascii="Palatino Linotype" w:hAnsi="Palatino Linotype" w:cs="Tahoma"/>
          <w:sz w:val="22"/>
          <w:szCs w:val="22"/>
        </w:rPr>
      </w:pPr>
    </w:p>
    <w:p w:rsidR="00FA002C" w:rsidP="00FA002C" w:rsidRDefault="00FA002C" w14:paraId="388B9D63" w14:textId="7DB7B221">
      <w:pPr>
        <w:spacing w:line="360" w:lineRule="auto"/>
        <w:contextualSpacing/>
        <w:jc w:val="both"/>
        <w:rPr>
          <w:rFonts w:ascii="Palatino Linotype" w:hAnsi="Palatino Linotype" w:eastAsia="Calibri" w:cs="Tahoma"/>
          <w:sz w:val="22"/>
          <w:szCs w:val="22"/>
          <w:lang w:val="es-ES" w:eastAsia="es-ES_tradnl"/>
        </w:rPr>
      </w:pPr>
      <w:r w:rsidRPr="00A6306A">
        <w:rPr>
          <w:rFonts w:ascii="Palatino Linotype" w:hAnsi="Palatino Linotype" w:eastAsia="Calibri"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S</w:t>
      </w:r>
      <w:r>
        <w:rPr>
          <w:rFonts w:ascii="Palatino Linotype" w:hAnsi="Palatino Linotype" w:eastAsia="Calibri" w:cs="Tahoma"/>
          <w:sz w:val="22"/>
          <w:szCs w:val="22"/>
          <w:lang w:val="es-ES" w:eastAsia="es-ES_tradnl"/>
        </w:rPr>
        <w:t>IETE</w:t>
      </w:r>
      <w:r w:rsidRPr="00A6306A">
        <w:rPr>
          <w:rFonts w:ascii="Palatino Linotype" w:hAnsi="Palatino Linotype" w:eastAsia="Calibri" w:cs="Tahoma"/>
          <w:sz w:val="22"/>
          <w:szCs w:val="22"/>
          <w:lang w:val="es-ES" w:eastAsia="es-ES_tradnl"/>
        </w:rPr>
        <w:t xml:space="preserve"> DE ABRIL DE DOS MIL VEINTIDÓS, ANTE EL SECRETARIO TÉCNICO DEL PLENO, ALEXIS TAPIA RAMÍREZ.</w:t>
      </w:r>
      <w:r>
        <w:rPr>
          <w:rFonts w:ascii="Palatino Linotype" w:hAnsi="Palatino Linotype" w:eastAsia="Calibri" w:cs="Tahoma"/>
          <w:sz w:val="22"/>
          <w:szCs w:val="22"/>
          <w:lang w:val="es-ES" w:eastAsia="es-ES_tradnl"/>
        </w:rPr>
        <w:br w:type="page"/>
      </w:r>
    </w:p>
    <w:p w:rsidRPr="00FA002C" w:rsidR="00977B7D" w:rsidP="00FA002C" w:rsidRDefault="00977B7D" w14:paraId="771BEF81" w14:textId="77777777">
      <w:pPr>
        <w:spacing w:line="360" w:lineRule="auto"/>
        <w:contextualSpacing/>
        <w:jc w:val="both"/>
        <w:rPr>
          <w:rFonts w:ascii="Palatino Linotype" w:hAnsi="Palatino Linotype" w:eastAsia="Calibri" w:cs="Tahoma"/>
          <w:sz w:val="22"/>
          <w:szCs w:val="22"/>
          <w:lang w:val="es-ES" w:eastAsia="es-ES_tradnl"/>
        </w:rPr>
      </w:pPr>
    </w:p>
    <w:sectPr w:rsidRPr="00FA002C" w:rsidR="00977B7D" w:rsidSect="005E68AA">
      <w:headerReference w:type="even" r:id="rId9"/>
      <w:headerReference w:type="default" r:id="rId10"/>
      <w:footerReference w:type="default" r:id="rId11"/>
      <w:headerReference w:type="first" r:id="rId12"/>
      <w:footerReference w:type="first" r:id="rId1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08EF" w:rsidP="00FC7A26" w:rsidRDefault="00B908EF" w14:paraId="7D05EFDE" w14:textId="77777777">
      <w:r>
        <w:separator/>
      </w:r>
    </w:p>
  </w:endnote>
  <w:endnote w:type="continuationSeparator" w:id="0">
    <w:p w:rsidR="00B908EF" w:rsidP="00FC7A26" w:rsidRDefault="00B908EF" w14:paraId="367D48F1" w14:textId="77777777">
      <w:r>
        <w:continuationSeparator/>
      </w:r>
    </w:p>
  </w:endnote>
  <w:endnote w:type="continuationNotice" w:id="1">
    <w:p w:rsidR="00B908EF" w:rsidRDefault="00B908EF" w14:paraId="3D68C4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E68AA" w:rsidRDefault="005E68AA" w14:paraId="54BFC472" w14:textId="77777777">
            <w:pPr>
              <w:pStyle w:val="Piedepgina"/>
              <w:jc w:val="right"/>
              <w:rPr>
                <w:sz w:val="26"/>
                <w:szCs w:val="26"/>
              </w:rPr>
            </w:pPr>
          </w:p>
          <w:p w:rsidR="005E68AA"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560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560C">
              <w:rPr>
                <w:b/>
                <w:bCs/>
                <w:noProof/>
              </w:rPr>
              <w:t>19</w:t>
            </w:r>
            <w:r>
              <w:rPr>
                <w:b/>
                <w:bCs/>
                <w:sz w:val="24"/>
                <w:szCs w:val="24"/>
              </w:rPr>
              <w:fldChar w:fldCharType="end"/>
            </w:r>
          </w:p>
        </w:sdtContent>
      </w:sdt>
    </w:sdtContent>
  </w:sdt>
  <w:p w:rsidR="005E68AA" w:rsidRDefault="005E68AA"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8AA" w:rsidRDefault="005E68AA" w14:paraId="215FCE47" w14:textId="77777777">
    <w:pPr>
      <w:pStyle w:val="Piedepgina"/>
      <w:jc w:val="right"/>
    </w:pPr>
  </w:p>
  <w:p w:rsidR="005E68AA" w:rsidRDefault="005E68AA" w14:paraId="73795115" w14:textId="77777777">
    <w:pPr>
      <w:pStyle w:val="Piedepgina"/>
      <w:jc w:val="right"/>
    </w:pPr>
  </w:p>
  <w:p w:rsidR="005E68AA" w:rsidRDefault="005E68AA" w14:paraId="102883EC" w14:textId="77777777">
    <w:pPr>
      <w:pStyle w:val="Piedepgina"/>
      <w:jc w:val="right"/>
    </w:pPr>
  </w:p>
  <w:p w:rsidR="005E68AA"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78D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78DC">
      <w:rPr>
        <w:b/>
        <w:bCs/>
        <w:noProof/>
      </w:rPr>
      <w:t>19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08EF" w:rsidP="00FC7A26" w:rsidRDefault="00B908EF" w14:paraId="6DB2627C" w14:textId="77777777">
      <w:r>
        <w:separator/>
      </w:r>
    </w:p>
  </w:footnote>
  <w:footnote w:type="continuationSeparator" w:id="0">
    <w:p w:rsidR="00B908EF" w:rsidP="00FC7A26" w:rsidRDefault="00B908EF" w14:paraId="149B38A8" w14:textId="77777777">
      <w:r>
        <w:continuationSeparator/>
      </w:r>
    </w:p>
  </w:footnote>
  <w:footnote w:type="continuationNotice" w:id="1">
    <w:p w:rsidR="00B908EF" w:rsidRDefault="00B908EF" w14:paraId="25E39E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68AA" w:rsidRDefault="00FA002C"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position-horizontal:center;mso-position-horizontal-relative:margin;mso-position-vertical:center;mso-position-vertical-relative:margin"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5E68AA" w:rsidP="005E68AA" w:rsidRDefault="00FA002C"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9.25pt;width:663.5pt;height:12in;z-index:-251658239;mso-wrap-edited:f;mso-position-horizontal-relative:margin;mso-position-vertical-relative:margin"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5E68AA" w:rsidTr="00AF6ADC" w14:paraId="54DC5BBB" w14:textId="77777777">
      <w:trPr>
        <w:trHeight w:val="70"/>
      </w:trPr>
      <w:tc>
        <w:tcPr>
          <w:tcW w:w="2552" w:type="dxa"/>
          <w:shd w:val="clear" w:color="auto" w:fill="auto"/>
        </w:tcPr>
        <w:p w:rsidRPr="005C106F" w:rsidR="005E68AA" w:rsidP="005E68AA" w:rsidRDefault="005E68AA"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379" w:type="dxa"/>
            <w:tblInd w:w="6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3971"/>
          </w:tblGrid>
          <w:tr w:rsidR="005E68AA" w:rsidTr="00AD5864" w14:paraId="19911F35" w14:textId="77777777">
            <w:trPr>
              <w:trHeight w:val="128"/>
            </w:trPr>
            <w:tc>
              <w:tcPr>
                <w:tcW w:w="2408" w:type="dxa"/>
                <w:vAlign w:val="bottom"/>
              </w:tcPr>
              <w:p w:rsidRPr="008B41A2" w:rsidR="005E68AA" w:rsidP="005E68AA"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3971" w:type="dxa"/>
              </w:tcPr>
              <w:p w:rsidRPr="00651A13" w:rsidR="005E68AA" w:rsidP="00B43BFA" w:rsidRDefault="00221B2B" w14:paraId="79E321B5" w14:textId="4723B4E8">
                <w:pPr>
                  <w:tabs>
                    <w:tab w:val="right" w:pos="8838"/>
                  </w:tabs>
                  <w:ind w:left="-28" w:right="683"/>
                  <w:rPr>
                    <w:rFonts w:ascii="Palatino Linotype" w:hAnsi="Palatino Linotype" w:eastAsia="Calibri" w:cs="Tahoma"/>
                    <w:sz w:val="22"/>
                    <w:szCs w:val="22"/>
                  </w:rPr>
                </w:pPr>
                <w:r w:rsidRPr="00221B2B">
                  <w:rPr>
                    <w:rFonts w:ascii="Palatino Linotype" w:hAnsi="Palatino Linotype" w:eastAsia="Calibri" w:cs="Tahoma"/>
                    <w:sz w:val="22"/>
                    <w:szCs w:val="22"/>
                    <w:lang w:val="es-MX"/>
                  </w:rPr>
                  <w:t>00696/INFOEM/IP/RR/2022</w:t>
                </w:r>
              </w:p>
            </w:tc>
          </w:tr>
          <w:tr w:rsidR="005E68AA" w:rsidTr="00AD5864" w14:paraId="5FC9045B" w14:textId="77777777">
            <w:trPr>
              <w:trHeight w:val="251"/>
            </w:trPr>
            <w:tc>
              <w:tcPr>
                <w:tcW w:w="2408" w:type="dxa"/>
              </w:tcPr>
              <w:p w:rsidRPr="008B41A2" w:rsidR="005E68AA" w:rsidP="005E68AA"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971" w:type="dxa"/>
              </w:tcPr>
              <w:p w:rsidRPr="008B41A2" w:rsidR="005E68AA" w:rsidP="00B24B9B" w:rsidRDefault="00221B2B" w14:paraId="5B3372D4" w14:textId="513CCD3B">
                <w:pPr>
                  <w:tabs>
                    <w:tab w:val="left" w:pos="2439"/>
                    <w:tab w:val="right" w:pos="8838"/>
                  </w:tabs>
                  <w:ind w:right="-116"/>
                  <w:rPr>
                    <w:rFonts w:ascii="Palatino Linotype" w:hAnsi="Palatino Linotype" w:eastAsia="Calibri" w:cs="Tahoma"/>
                    <w:sz w:val="22"/>
                    <w:szCs w:val="22"/>
                    <w:lang w:val="es-MX"/>
                  </w:rPr>
                </w:pPr>
                <w:r>
                  <w:rPr>
                    <w:rFonts w:ascii="Palatino Linotype" w:hAnsi="Palatino Linotype" w:eastAsia="Calibri" w:cs="Tahoma"/>
                    <w:sz w:val="22"/>
                    <w:szCs w:val="22"/>
                    <w:lang w:val="es-MX"/>
                  </w:rPr>
                  <w:t>Ayuntamiento de Donato Guerra</w:t>
                </w:r>
              </w:p>
            </w:tc>
          </w:tr>
          <w:tr w:rsidR="005E68AA" w:rsidTr="00AD5864" w14:paraId="0EA3B3B7" w14:textId="77777777">
            <w:trPr>
              <w:trHeight w:val="251"/>
            </w:trPr>
            <w:tc>
              <w:tcPr>
                <w:tcW w:w="2408" w:type="dxa"/>
              </w:tcPr>
              <w:p w:rsidRPr="008B41A2" w:rsidR="005E68AA" w:rsidP="005E68AA"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971" w:type="dxa"/>
              </w:tcPr>
              <w:p w:rsidRPr="008B41A2" w:rsidR="005E68AA" w:rsidP="005E68AA" w:rsidRDefault="00AD5D89" w14:paraId="001A5E63" w14:textId="1FA90D07">
                <w:pPr>
                  <w:tabs>
                    <w:tab w:val="right" w:pos="8838"/>
                  </w:tabs>
                  <w:ind w:right="-32"/>
                  <w:rPr>
                    <w:rFonts w:ascii="Palatino Linotype" w:hAnsi="Palatino Linotype" w:eastAsia="Calibri" w:cs="Tahoma"/>
                    <w:b/>
                    <w:sz w:val="22"/>
                    <w:szCs w:val="22"/>
                    <w:lang w:val="es-MX"/>
                  </w:rPr>
                </w:pPr>
                <w:r>
                  <w:rPr>
                    <w:rFonts w:ascii="Palatino Linotype" w:hAnsi="Palatino Linotype" w:eastAsia="Calibri" w:cs="Tahoma"/>
                    <w:sz w:val="22"/>
                    <w:szCs w:val="22"/>
                    <w:lang w:val="es-MX"/>
                  </w:rPr>
                  <w:t>Luis Gustavo Parra Noriega</w:t>
                </w:r>
              </w:p>
            </w:tc>
          </w:tr>
        </w:tbl>
        <w:p w:rsidRPr="005C106F" w:rsidR="005E68AA" w:rsidP="005E68AA" w:rsidRDefault="005E68AA" w14:paraId="39322C5A" w14:textId="77777777">
          <w:pPr>
            <w:tabs>
              <w:tab w:val="right" w:pos="8838"/>
            </w:tabs>
            <w:ind w:left="-28"/>
            <w:rPr>
              <w:rFonts w:ascii="Arial" w:hAnsi="Arial" w:eastAsia="Calibri" w:cs="Arial"/>
              <w:b/>
            </w:rPr>
          </w:pPr>
        </w:p>
      </w:tc>
    </w:tr>
  </w:tbl>
  <w:p w:rsidR="005E68AA" w:rsidP="005E68AA" w:rsidRDefault="005E68AA" w14:paraId="413B7D7D" w14:textId="77777777">
    <w:pPr>
      <w:pStyle w:val="Encabezado"/>
      <w:rPr>
        <w:sz w:val="14"/>
      </w:rPr>
    </w:pPr>
  </w:p>
  <w:p w:rsidRPr="00443C6B" w:rsidR="005E68AA" w:rsidP="005E68AA" w:rsidRDefault="005E68AA"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3817"/>
    </w:tblGrid>
    <w:tr w:rsidRPr="00264223" w:rsidR="005E68AA" w:rsidTr="4F57FE12" w14:paraId="0296A02D" w14:textId="77777777">
      <w:trPr>
        <w:trHeight w:val="302"/>
      </w:trPr>
      <w:tc>
        <w:tcPr>
          <w:tcW w:w="2420" w:type="dxa"/>
          <w:tcMar/>
        </w:tcPr>
        <w:p w:rsidRPr="00D3618F" w:rsidR="005E68AA" w:rsidP="005E68AA"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817" w:type="dxa"/>
          <w:tcMar/>
        </w:tcPr>
        <w:p w:rsidRPr="00651A13" w:rsidR="005E68AA" w:rsidP="00E06BA5" w:rsidRDefault="00C3186C" w14:paraId="328710A7" w14:textId="073F91F4">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00696</w:t>
          </w:r>
          <w:r w:rsidRPr="009245F5" w:rsidR="009245F5">
            <w:rPr>
              <w:rFonts w:ascii="Palatino Linotype" w:hAnsi="Palatino Linotype" w:eastAsia="Calibri" w:cs="Tahoma"/>
              <w:sz w:val="22"/>
              <w:szCs w:val="22"/>
              <w:lang w:val="es-MX" w:eastAsia="en-US"/>
            </w:rPr>
            <w:t>/INFOEM/IP/RR/2022</w:t>
          </w:r>
        </w:p>
      </w:tc>
    </w:tr>
    <w:tr w:rsidRPr="00264223" w:rsidR="005E68AA" w:rsidTr="4F57FE12" w14:paraId="612E08F0" w14:textId="77777777">
      <w:trPr>
        <w:trHeight w:val="110"/>
      </w:trPr>
      <w:tc>
        <w:tcPr>
          <w:tcW w:w="2420" w:type="dxa"/>
          <w:tcMar/>
        </w:tcPr>
        <w:p w:rsidRPr="00D3618F" w:rsidR="005E68AA" w:rsidP="005E68AA"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817" w:type="dxa"/>
          <w:tcMar/>
        </w:tcPr>
        <w:p w:rsidRPr="00EE2A06" w:rsidR="005E68AA" w:rsidP="00E06BA5" w:rsidRDefault="007210E9" w14:paraId="717CF0C7" w14:textId="79F839D0">
          <w:pPr>
            <w:tabs>
              <w:tab w:val="right" w:pos="8838"/>
            </w:tabs>
            <w:ind w:left="-28"/>
            <w:jc w:val="both"/>
            <w:rPr>
              <w:rFonts w:ascii="Palatino Linotype" w:hAnsi="Palatino Linotype" w:eastAsia="Calibri" w:cs="Tahoma"/>
              <w:sz w:val="22"/>
              <w:szCs w:val="22"/>
              <w:lang w:val="es-MX" w:eastAsia="en-US"/>
            </w:rPr>
          </w:pPr>
          <w:r w:rsidRPr="4F57FE12" w:rsidR="4F57FE12">
            <w:rPr>
              <w:rFonts w:ascii="Palatino Linotype" w:hAnsi="Palatino Linotype" w:eastAsia="Calibri" w:cs="Tahoma"/>
              <w:sz w:val="22"/>
              <w:szCs w:val="22"/>
              <w:lang w:val="es-MX" w:eastAsia="en-US"/>
            </w:rPr>
            <w:t xml:space="preserve"> </w:t>
          </w:r>
          <w:r w:rsidRPr="4F57FE12" w:rsidR="4F57FE12">
            <w:rPr>
              <w:rFonts w:ascii="Palatino Linotype" w:hAnsi="Palatino Linotype" w:eastAsia="Calibri" w:cs="Tahoma"/>
              <w:sz w:val="22"/>
              <w:szCs w:val="22"/>
              <w:highlight w:val="black"/>
              <w:lang w:val="es-MX" w:eastAsia="en-US"/>
            </w:rPr>
            <w:t>XXXXXXXXXXXXXXXXXXXX</w:t>
          </w:r>
        </w:p>
      </w:tc>
    </w:tr>
    <w:tr w:rsidRPr="00264223" w:rsidR="005E68AA" w:rsidTr="4F57FE12" w14:paraId="3A9CDB69" w14:textId="77777777">
      <w:trPr>
        <w:trHeight w:val="248"/>
      </w:trPr>
      <w:tc>
        <w:tcPr>
          <w:tcW w:w="2420" w:type="dxa"/>
          <w:tcMar/>
        </w:tcPr>
        <w:p w:rsidRPr="00D3618F" w:rsidR="005E68AA" w:rsidP="005E68AA"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817" w:type="dxa"/>
          <w:tcMar/>
        </w:tcPr>
        <w:p w:rsidRPr="00651A13" w:rsidR="005E68AA" w:rsidP="00E06BA5" w:rsidRDefault="00C3186C" w14:paraId="7E37B80E" w14:textId="15BD757A">
          <w:pPr>
            <w:tabs>
              <w:tab w:val="right" w:pos="8838"/>
            </w:tabs>
            <w:ind w:left="-28"/>
            <w:jc w:val="both"/>
            <w:rPr>
              <w:rFonts w:ascii="Palatino Linotype" w:hAnsi="Palatino Linotype" w:eastAsia="Calibri" w:cs="Tahoma"/>
              <w:sz w:val="22"/>
              <w:szCs w:val="22"/>
              <w:lang w:val="es-MX" w:eastAsia="en-US"/>
            </w:rPr>
          </w:pPr>
          <w:r w:rsidRPr="00C3186C">
            <w:rPr>
              <w:rFonts w:ascii="Palatino Linotype" w:hAnsi="Palatino Linotype" w:eastAsia="Calibri" w:cs="Tahoma"/>
              <w:sz w:val="22"/>
              <w:szCs w:val="22"/>
              <w:lang w:val="es-MX" w:eastAsia="en-US"/>
            </w:rPr>
            <w:t>Ayuntamiento de Donato Guerra</w:t>
          </w:r>
        </w:p>
      </w:tc>
    </w:tr>
    <w:tr w:rsidRPr="00264223" w:rsidR="005E68AA" w:rsidTr="4F57FE12" w14:paraId="1AF8B0BB" w14:textId="77777777">
      <w:trPr>
        <w:trHeight w:val="248"/>
      </w:trPr>
      <w:tc>
        <w:tcPr>
          <w:tcW w:w="2420" w:type="dxa"/>
          <w:tcMar/>
        </w:tcPr>
        <w:p w:rsidRPr="00D3618F" w:rsidR="005E68AA" w:rsidP="005E68AA"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817" w:type="dxa"/>
          <w:tcMar/>
        </w:tcPr>
        <w:p w:rsidRPr="00D3618F" w:rsidR="005E68AA" w:rsidP="00E06BA5" w:rsidRDefault="00C3186C" w14:paraId="6919B9C5" w14:textId="4EDAF4F8">
          <w:pPr>
            <w:tabs>
              <w:tab w:val="right" w:pos="8838"/>
            </w:tabs>
            <w:ind w:left="-28"/>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Luis Gustavo Parra Noriega</w:t>
          </w:r>
        </w:p>
      </w:tc>
    </w:tr>
  </w:tbl>
  <w:p w:rsidR="005E68AA" w:rsidP="00E06BA5" w:rsidRDefault="00FA002C"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76.3pt;margin-top:-120.95pt;width:663.5pt;height:12in;z-index:-251658238;mso-wrap-edited:f;mso-position-horizontal-relative:margin;mso-position-vertical-relative:margin"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0E267B3A"/>
    <w:multiLevelType w:val="hybridMultilevel"/>
    <w:tmpl w:val="7CEE5D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56A0EE7"/>
    <w:multiLevelType w:val="hybridMultilevel"/>
    <w:tmpl w:val="EDD823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DA04A2"/>
    <w:multiLevelType w:val="hybridMultilevel"/>
    <w:tmpl w:val="EB92D0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0137F76"/>
    <w:multiLevelType w:val="hybridMultilevel"/>
    <w:tmpl w:val="5E2C14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7"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9"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2"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3"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4"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7"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1"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2"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488939952">
    <w:abstractNumId w:val="29"/>
  </w:num>
  <w:num w:numId="2" w16cid:durableId="1824203457">
    <w:abstractNumId w:val="36"/>
  </w:num>
  <w:num w:numId="3" w16cid:durableId="336423204">
    <w:abstractNumId w:val="18"/>
  </w:num>
  <w:num w:numId="4" w16cid:durableId="2042364040">
    <w:abstractNumId w:val="39"/>
  </w:num>
  <w:num w:numId="5" w16cid:durableId="2137333226">
    <w:abstractNumId w:val="10"/>
  </w:num>
  <w:num w:numId="6" w16cid:durableId="816725626">
    <w:abstractNumId w:val="2"/>
  </w:num>
  <w:num w:numId="7" w16cid:durableId="1757747152">
    <w:abstractNumId w:val="16"/>
  </w:num>
  <w:num w:numId="8" w16cid:durableId="1177040105">
    <w:abstractNumId w:val="42"/>
  </w:num>
  <w:num w:numId="9" w16cid:durableId="459690183">
    <w:abstractNumId w:val="38"/>
  </w:num>
  <w:num w:numId="10" w16cid:durableId="1415198389">
    <w:abstractNumId w:val="35"/>
  </w:num>
  <w:num w:numId="11" w16cid:durableId="211431254">
    <w:abstractNumId w:val="25"/>
  </w:num>
  <w:num w:numId="12" w16cid:durableId="375393895">
    <w:abstractNumId w:val="20"/>
  </w:num>
  <w:num w:numId="13" w16cid:durableId="702053674">
    <w:abstractNumId w:val="44"/>
  </w:num>
  <w:num w:numId="14" w16cid:durableId="20134645">
    <w:abstractNumId w:val="28"/>
  </w:num>
  <w:num w:numId="15" w16cid:durableId="125394079">
    <w:abstractNumId w:val="12"/>
  </w:num>
  <w:num w:numId="16" w16cid:durableId="8582782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4766631">
    <w:abstractNumId w:val="11"/>
  </w:num>
  <w:num w:numId="18" w16cid:durableId="1394507362">
    <w:abstractNumId w:val="13"/>
  </w:num>
  <w:num w:numId="19" w16cid:durableId="737824583">
    <w:abstractNumId w:val="37"/>
  </w:num>
  <w:num w:numId="20" w16cid:durableId="206994633">
    <w:abstractNumId w:val="48"/>
  </w:num>
  <w:num w:numId="21" w16cid:durableId="1756632415">
    <w:abstractNumId w:val="45"/>
  </w:num>
  <w:num w:numId="22" w16cid:durableId="1046680108">
    <w:abstractNumId w:val="19"/>
  </w:num>
  <w:num w:numId="23" w16cid:durableId="870604157">
    <w:abstractNumId w:val="22"/>
  </w:num>
  <w:num w:numId="24" w16cid:durableId="1499542155">
    <w:abstractNumId w:val="27"/>
  </w:num>
  <w:num w:numId="25" w16cid:durableId="259678288">
    <w:abstractNumId w:val="5"/>
  </w:num>
  <w:num w:numId="26" w16cid:durableId="711619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5664560">
    <w:abstractNumId w:val="3"/>
  </w:num>
  <w:num w:numId="28" w16cid:durableId="585843287">
    <w:abstractNumId w:val="17"/>
  </w:num>
  <w:num w:numId="29" w16cid:durableId="514658207">
    <w:abstractNumId w:val="47"/>
  </w:num>
  <w:num w:numId="30" w16cid:durableId="923801527">
    <w:abstractNumId w:val="40"/>
  </w:num>
  <w:num w:numId="31" w16cid:durableId="755325429">
    <w:abstractNumId w:val="33"/>
  </w:num>
  <w:num w:numId="32" w16cid:durableId="704133084">
    <w:abstractNumId w:val="8"/>
  </w:num>
  <w:num w:numId="33" w16cid:durableId="1343315564">
    <w:abstractNumId w:val="26"/>
  </w:num>
  <w:num w:numId="34" w16cid:durableId="1008483030">
    <w:abstractNumId w:val="6"/>
  </w:num>
  <w:num w:numId="35" w16cid:durableId="1400791208">
    <w:abstractNumId w:val="32"/>
  </w:num>
  <w:num w:numId="36" w16cid:durableId="1874028542">
    <w:abstractNumId w:val="41"/>
  </w:num>
  <w:num w:numId="37" w16cid:durableId="45953636">
    <w:abstractNumId w:val="0"/>
  </w:num>
  <w:num w:numId="38" w16cid:durableId="1291277296">
    <w:abstractNumId w:val="30"/>
  </w:num>
  <w:num w:numId="39" w16cid:durableId="450783284">
    <w:abstractNumId w:val="31"/>
  </w:num>
  <w:num w:numId="40" w16cid:durableId="226695264">
    <w:abstractNumId w:val="24"/>
  </w:num>
  <w:num w:numId="41" w16cid:durableId="124128959">
    <w:abstractNumId w:val="46"/>
  </w:num>
  <w:num w:numId="42" w16cid:durableId="1227230370">
    <w:abstractNumId w:val="1"/>
  </w:num>
  <w:num w:numId="43" w16cid:durableId="1135299721">
    <w:abstractNumId w:val="9"/>
  </w:num>
  <w:num w:numId="44" w16cid:durableId="695351275">
    <w:abstractNumId w:val="34"/>
  </w:num>
  <w:num w:numId="45" w16cid:durableId="158890894">
    <w:abstractNumId w:val="15"/>
  </w:num>
  <w:num w:numId="46" w16cid:durableId="1996061430">
    <w:abstractNumId w:val="7"/>
  </w:num>
  <w:num w:numId="47" w16cid:durableId="2029066984">
    <w:abstractNumId w:val="21"/>
  </w:num>
  <w:num w:numId="48" w16cid:durableId="1756855851">
    <w:abstractNumId w:val="23"/>
  </w:num>
  <w:num w:numId="49" w16cid:durableId="1045712722">
    <w:abstractNumId w:val="14"/>
  </w:num>
  <w:num w:numId="50" w16cid:durableId="52580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136F0"/>
    <w:rsid w:val="0002223D"/>
    <w:rsid w:val="000227D4"/>
    <w:rsid w:val="00035C6F"/>
    <w:rsid w:val="00040D68"/>
    <w:rsid w:val="00041105"/>
    <w:rsid w:val="00042AF8"/>
    <w:rsid w:val="00045440"/>
    <w:rsid w:val="00046E37"/>
    <w:rsid w:val="000500C2"/>
    <w:rsid w:val="00053263"/>
    <w:rsid w:val="00057F3C"/>
    <w:rsid w:val="00061CF3"/>
    <w:rsid w:val="00084361"/>
    <w:rsid w:val="00091543"/>
    <w:rsid w:val="0009611A"/>
    <w:rsid w:val="000A0CEF"/>
    <w:rsid w:val="000A0D6A"/>
    <w:rsid w:val="000C37FA"/>
    <w:rsid w:val="000C3B02"/>
    <w:rsid w:val="000E606C"/>
    <w:rsid w:val="000F1A23"/>
    <w:rsid w:val="000F5957"/>
    <w:rsid w:val="001013A5"/>
    <w:rsid w:val="001120F6"/>
    <w:rsid w:val="0012783F"/>
    <w:rsid w:val="00131B30"/>
    <w:rsid w:val="00135E85"/>
    <w:rsid w:val="00137BB0"/>
    <w:rsid w:val="0014223F"/>
    <w:rsid w:val="001440F3"/>
    <w:rsid w:val="0014762D"/>
    <w:rsid w:val="001507B4"/>
    <w:rsid w:val="00150B3D"/>
    <w:rsid w:val="00153457"/>
    <w:rsid w:val="001567FA"/>
    <w:rsid w:val="00156E72"/>
    <w:rsid w:val="00161D14"/>
    <w:rsid w:val="00162D7E"/>
    <w:rsid w:val="00165C2C"/>
    <w:rsid w:val="001875A9"/>
    <w:rsid w:val="001904EF"/>
    <w:rsid w:val="00190D99"/>
    <w:rsid w:val="001B246F"/>
    <w:rsid w:val="001B3B9E"/>
    <w:rsid w:val="001C0F48"/>
    <w:rsid w:val="001C14A7"/>
    <w:rsid w:val="001C759E"/>
    <w:rsid w:val="001D0721"/>
    <w:rsid w:val="001D7087"/>
    <w:rsid w:val="001E1338"/>
    <w:rsid w:val="001E78ED"/>
    <w:rsid w:val="001F27B3"/>
    <w:rsid w:val="001F36FC"/>
    <w:rsid w:val="001F52E3"/>
    <w:rsid w:val="001F566D"/>
    <w:rsid w:val="00200F81"/>
    <w:rsid w:val="00201AA5"/>
    <w:rsid w:val="00207F72"/>
    <w:rsid w:val="002157B7"/>
    <w:rsid w:val="00221416"/>
    <w:rsid w:val="00221B2B"/>
    <w:rsid w:val="002365A5"/>
    <w:rsid w:val="002425E2"/>
    <w:rsid w:val="00244FC7"/>
    <w:rsid w:val="002460D9"/>
    <w:rsid w:val="00256424"/>
    <w:rsid w:val="00263744"/>
    <w:rsid w:val="00270943"/>
    <w:rsid w:val="0027557D"/>
    <w:rsid w:val="002763A8"/>
    <w:rsid w:val="00285630"/>
    <w:rsid w:val="00286FC0"/>
    <w:rsid w:val="002A40CB"/>
    <w:rsid w:val="002A49D0"/>
    <w:rsid w:val="002A4CC9"/>
    <w:rsid w:val="002A638B"/>
    <w:rsid w:val="002A796E"/>
    <w:rsid w:val="002A7B9E"/>
    <w:rsid w:val="002B025D"/>
    <w:rsid w:val="002B1BBE"/>
    <w:rsid w:val="002C073E"/>
    <w:rsid w:val="002C356D"/>
    <w:rsid w:val="002D5C1D"/>
    <w:rsid w:val="002E17EA"/>
    <w:rsid w:val="002F3B8D"/>
    <w:rsid w:val="002F3D3B"/>
    <w:rsid w:val="002F62E6"/>
    <w:rsid w:val="00305AF4"/>
    <w:rsid w:val="0031159D"/>
    <w:rsid w:val="00311CA5"/>
    <w:rsid w:val="00314625"/>
    <w:rsid w:val="0031567C"/>
    <w:rsid w:val="00315D2F"/>
    <w:rsid w:val="00330AE8"/>
    <w:rsid w:val="003336F8"/>
    <w:rsid w:val="00341710"/>
    <w:rsid w:val="00344AEB"/>
    <w:rsid w:val="0034607F"/>
    <w:rsid w:val="0035025E"/>
    <w:rsid w:val="00357B4D"/>
    <w:rsid w:val="003664C7"/>
    <w:rsid w:val="00370072"/>
    <w:rsid w:val="0037277E"/>
    <w:rsid w:val="0037403C"/>
    <w:rsid w:val="003843A4"/>
    <w:rsid w:val="00386E35"/>
    <w:rsid w:val="00387537"/>
    <w:rsid w:val="0039288A"/>
    <w:rsid w:val="003945E3"/>
    <w:rsid w:val="00397743"/>
    <w:rsid w:val="003A22DE"/>
    <w:rsid w:val="003B4E6E"/>
    <w:rsid w:val="003C2640"/>
    <w:rsid w:val="003C3A57"/>
    <w:rsid w:val="003C687A"/>
    <w:rsid w:val="003D0637"/>
    <w:rsid w:val="003E215A"/>
    <w:rsid w:val="003E35F9"/>
    <w:rsid w:val="003E3F56"/>
    <w:rsid w:val="003E4FC1"/>
    <w:rsid w:val="003E66FE"/>
    <w:rsid w:val="003F5D7F"/>
    <w:rsid w:val="0040422E"/>
    <w:rsid w:val="00411440"/>
    <w:rsid w:val="00412F24"/>
    <w:rsid w:val="00416901"/>
    <w:rsid w:val="004174F0"/>
    <w:rsid w:val="00430266"/>
    <w:rsid w:val="0043243E"/>
    <w:rsid w:val="00437FA1"/>
    <w:rsid w:val="00443F40"/>
    <w:rsid w:val="00450D31"/>
    <w:rsid w:val="00452014"/>
    <w:rsid w:val="00452ED6"/>
    <w:rsid w:val="00461E91"/>
    <w:rsid w:val="00463F05"/>
    <w:rsid w:val="004673E7"/>
    <w:rsid w:val="00475BFB"/>
    <w:rsid w:val="00483128"/>
    <w:rsid w:val="00485ACF"/>
    <w:rsid w:val="00485D00"/>
    <w:rsid w:val="00486CD6"/>
    <w:rsid w:val="00497F35"/>
    <w:rsid w:val="004A0B13"/>
    <w:rsid w:val="004A4A62"/>
    <w:rsid w:val="004B22AD"/>
    <w:rsid w:val="004C3C05"/>
    <w:rsid w:val="004C636B"/>
    <w:rsid w:val="004D726A"/>
    <w:rsid w:val="004F45D5"/>
    <w:rsid w:val="004F4774"/>
    <w:rsid w:val="00501A5E"/>
    <w:rsid w:val="00510B7F"/>
    <w:rsid w:val="00511CFF"/>
    <w:rsid w:val="0051321B"/>
    <w:rsid w:val="0052168E"/>
    <w:rsid w:val="0052368A"/>
    <w:rsid w:val="00525A8A"/>
    <w:rsid w:val="00527B15"/>
    <w:rsid w:val="00532E87"/>
    <w:rsid w:val="00533909"/>
    <w:rsid w:val="005360CC"/>
    <w:rsid w:val="00541354"/>
    <w:rsid w:val="00544E16"/>
    <w:rsid w:val="00545769"/>
    <w:rsid w:val="005501EB"/>
    <w:rsid w:val="00551B72"/>
    <w:rsid w:val="00553873"/>
    <w:rsid w:val="00553AF4"/>
    <w:rsid w:val="00565189"/>
    <w:rsid w:val="00575786"/>
    <w:rsid w:val="00575D57"/>
    <w:rsid w:val="00576102"/>
    <w:rsid w:val="00577873"/>
    <w:rsid w:val="005801C1"/>
    <w:rsid w:val="00580E40"/>
    <w:rsid w:val="00582DC7"/>
    <w:rsid w:val="0058347D"/>
    <w:rsid w:val="00586C7F"/>
    <w:rsid w:val="005A117F"/>
    <w:rsid w:val="005A14C5"/>
    <w:rsid w:val="005A56BF"/>
    <w:rsid w:val="005A78BC"/>
    <w:rsid w:val="005B1591"/>
    <w:rsid w:val="005B2724"/>
    <w:rsid w:val="005B28D5"/>
    <w:rsid w:val="005B4DE6"/>
    <w:rsid w:val="005D02A6"/>
    <w:rsid w:val="005D7143"/>
    <w:rsid w:val="005E5B10"/>
    <w:rsid w:val="005E68AA"/>
    <w:rsid w:val="005E7B22"/>
    <w:rsid w:val="005E7D7D"/>
    <w:rsid w:val="005F7F1D"/>
    <w:rsid w:val="00600CBA"/>
    <w:rsid w:val="00602CAF"/>
    <w:rsid w:val="006041D2"/>
    <w:rsid w:val="00605324"/>
    <w:rsid w:val="00606D50"/>
    <w:rsid w:val="006138AA"/>
    <w:rsid w:val="00615F5E"/>
    <w:rsid w:val="00622A40"/>
    <w:rsid w:val="0063645E"/>
    <w:rsid w:val="00646B60"/>
    <w:rsid w:val="00646ED4"/>
    <w:rsid w:val="00646F2C"/>
    <w:rsid w:val="00647F5E"/>
    <w:rsid w:val="00651A13"/>
    <w:rsid w:val="00651CBC"/>
    <w:rsid w:val="00654867"/>
    <w:rsid w:val="006569DA"/>
    <w:rsid w:val="00657DAD"/>
    <w:rsid w:val="0066424F"/>
    <w:rsid w:val="00670B9E"/>
    <w:rsid w:val="00675EB9"/>
    <w:rsid w:val="006762A8"/>
    <w:rsid w:val="006869B3"/>
    <w:rsid w:val="0069111A"/>
    <w:rsid w:val="00694683"/>
    <w:rsid w:val="00697530"/>
    <w:rsid w:val="006978DC"/>
    <w:rsid w:val="006A2922"/>
    <w:rsid w:val="006A40B6"/>
    <w:rsid w:val="006A6335"/>
    <w:rsid w:val="006B0EDC"/>
    <w:rsid w:val="006B123A"/>
    <w:rsid w:val="006B1909"/>
    <w:rsid w:val="006B54FE"/>
    <w:rsid w:val="006B594D"/>
    <w:rsid w:val="006C7888"/>
    <w:rsid w:val="006D6349"/>
    <w:rsid w:val="006E3868"/>
    <w:rsid w:val="006F24F6"/>
    <w:rsid w:val="006F397F"/>
    <w:rsid w:val="0070237E"/>
    <w:rsid w:val="007059B5"/>
    <w:rsid w:val="007139BF"/>
    <w:rsid w:val="007210E9"/>
    <w:rsid w:val="00731FDC"/>
    <w:rsid w:val="0074570A"/>
    <w:rsid w:val="00745E69"/>
    <w:rsid w:val="00753B53"/>
    <w:rsid w:val="00753E39"/>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D6E8B"/>
    <w:rsid w:val="007E4724"/>
    <w:rsid w:val="007E6BB3"/>
    <w:rsid w:val="007E7CE1"/>
    <w:rsid w:val="007F1526"/>
    <w:rsid w:val="007F610D"/>
    <w:rsid w:val="0080704F"/>
    <w:rsid w:val="00814BA4"/>
    <w:rsid w:val="00823EE0"/>
    <w:rsid w:val="00830C1C"/>
    <w:rsid w:val="0083345D"/>
    <w:rsid w:val="0083373C"/>
    <w:rsid w:val="00835910"/>
    <w:rsid w:val="00836858"/>
    <w:rsid w:val="00841274"/>
    <w:rsid w:val="00846822"/>
    <w:rsid w:val="00847CE9"/>
    <w:rsid w:val="008537FC"/>
    <w:rsid w:val="008624BC"/>
    <w:rsid w:val="008640E0"/>
    <w:rsid w:val="00867A39"/>
    <w:rsid w:val="00876E04"/>
    <w:rsid w:val="00890A3A"/>
    <w:rsid w:val="00896C40"/>
    <w:rsid w:val="008A409B"/>
    <w:rsid w:val="008A69CA"/>
    <w:rsid w:val="008B08F9"/>
    <w:rsid w:val="008B0BBF"/>
    <w:rsid w:val="008B14AF"/>
    <w:rsid w:val="008B3AD0"/>
    <w:rsid w:val="008C1BE9"/>
    <w:rsid w:val="008C34B0"/>
    <w:rsid w:val="008D5A62"/>
    <w:rsid w:val="008D5EBA"/>
    <w:rsid w:val="008E2C41"/>
    <w:rsid w:val="008E43A3"/>
    <w:rsid w:val="008F39E0"/>
    <w:rsid w:val="008F5AB2"/>
    <w:rsid w:val="00902E6F"/>
    <w:rsid w:val="00904980"/>
    <w:rsid w:val="0091047C"/>
    <w:rsid w:val="00910B13"/>
    <w:rsid w:val="00913A21"/>
    <w:rsid w:val="0092440D"/>
    <w:rsid w:val="009245F5"/>
    <w:rsid w:val="0092732B"/>
    <w:rsid w:val="00930F5B"/>
    <w:rsid w:val="009418F2"/>
    <w:rsid w:val="00941F39"/>
    <w:rsid w:val="00943127"/>
    <w:rsid w:val="00944027"/>
    <w:rsid w:val="00945867"/>
    <w:rsid w:val="00945D21"/>
    <w:rsid w:val="00952ABF"/>
    <w:rsid w:val="00954468"/>
    <w:rsid w:val="00954868"/>
    <w:rsid w:val="0096159B"/>
    <w:rsid w:val="009652C3"/>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32D0"/>
    <w:rsid w:val="009C595B"/>
    <w:rsid w:val="009D3EBA"/>
    <w:rsid w:val="009D6FB0"/>
    <w:rsid w:val="009E0D9F"/>
    <w:rsid w:val="009E17E8"/>
    <w:rsid w:val="009E5B56"/>
    <w:rsid w:val="009F2499"/>
    <w:rsid w:val="009F4DEE"/>
    <w:rsid w:val="00A021B4"/>
    <w:rsid w:val="00A05107"/>
    <w:rsid w:val="00A12F71"/>
    <w:rsid w:val="00A2053F"/>
    <w:rsid w:val="00A2515B"/>
    <w:rsid w:val="00A317F9"/>
    <w:rsid w:val="00A33909"/>
    <w:rsid w:val="00A362D6"/>
    <w:rsid w:val="00A408E7"/>
    <w:rsid w:val="00A42E2F"/>
    <w:rsid w:val="00A453E5"/>
    <w:rsid w:val="00A47ABA"/>
    <w:rsid w:val="00A5031B"/>
    <w:rsid w:val="00A576E9"/>
    <w:rsid w:val="00A6306A"/>
    <w:rsid w:val="00A63130"/>
    <w:rsid w:val="00A634A7"/>
    <w:rsid w:val="00A8026C"/>
    <w:rsid w:val="00A80303"/>
    <w:rsid w:val="00A8163F"/>
    <w:rsid w:val="00A8392A"/>
    <w:rsid w:val="00A83B36"/>
    <w:rsid w:val="00A90DCF"/>
    <w:rsid w:val="00AA30D5"/>
    <w:rsid w:val="00AA41A2"/>
    <w:rsid w:val="00AB20A9"/>
    <w:rsid w:val="00AB2D14"/>
    <w:rsid w:val="00AC5B19"/>
    <w:rsid w:val="00AC7218"/>
    <w:rsid w:val="00AD21E3"/>
    <w:rsid w:val="00AD2F43"/>
    <w:rsid w:val="00AD4E98"/>
    <w:rsid w:val="00AD5375"/>
    <w:rsid w:val="00AD5864"/>
    <w:rsid w:val="00AD5D89"/>
    <w:rsid w:val="00AE1CB6"/>
    <w:rsid w:val="00AE3803"/>
    <w:rsid w:val="00AE4693"/>
    <w:rsid w:val="00AE5AE5"/>
    <w:rsid w:val="00AE5CA3"/>
    <w:rsid w:val="00AF1764"/>
    <w:rsid w:val="00AF6ADC"/>
    <w:rsid w:val="00B03EDE"/>
    <w:rsid w:val="00B05E29"/>
    <w:rsid w:val="00B101A9"/>
    <w:rsid w:val="00B10F5F"/>
    <w:rsid w:val="00B12743"/>
    <w:rsid w:val="00B24B9B"/>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812"/>
    <w:rsid w:val="00B86D0D"/>
    <w:rsid w:val="00B87C5B"/>
    <w:rsid w:val="00B908EF"/>
    <w:rsid w:val="00B946CE"/>
    <w:rsid w:val="00B975CB"/>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BF645E"/>
    <w:rsid w:val="00C03811"/>
    <w:rsid w:val="00C1189C"/>
    <w:rsid w:val="00C1369F"/>
    <w:rsid w:val="00C17433"/>
    <w:rsid w:val="00C17F09"/>
    <w:rsid w:val="00C22667"/>
    <w:rsid w:val="00C24093"/>
    <w:rsid w:val="00C25E9D"/>
    <w:rsid w:val="00C3082D"/>
    <w:rsid w:val="00C3186C"/>
    <w:rsid w:val="00C34B10"/>
    <w:rsid w:val="00C354AE"/>
    <w:rsid w:val="00C36852"/>
    <w:rsid w:val="00C36AE4"/>
    <w:rsid w:val="00C3708C"/>
    <w:rsid w:val="00C37911"/>
    <w:rsid w:val="00C37BE5"/>
    <w:rsid w:val="00C43BFA"/>
    <w:rsid w:val="00C45345"/>
    <w:rsid w:val="00C4571A"/>
    <w:rsid w:val="00C469DB"/>
    <w:rsid w:val="00C47841"/>
    <w:rsid w:val="00C56DA6"/>
    <w:rsid w:val="00C61B4F"/>
    <w:rsid w:val="00C61C11"/>
    <w:rsid w:val="00C65725"/>
    <w:rsid w:val="00C710D6"/>
    <w:rsid w:val="00C7224B"/>
    <w:rsid w:val="00C725A0"/>
    <w:rsid w:val="00C73B3A"/>
    <w:rsid w:val="00C77F7B"/>
    <w:rsid w:val="00C85FE0"/>
    <w:rsid w:val="00C8625C"/>
    <w:rsid w:val="00C87E36"/>
    <w:rsid w:val="00C907D1"/>
    <w:rsid w:val="00C97917"/>
    <w:rsid w:val="00CB6D50"/>
    <w:rsid w:val="00CB7AF4"/>
    <w:rsid w:val="00CC449F"/>
    <w:rsid w:val="00CC5EC2"/>
    <w:rsid w:val="00CD1229"/>
    <w:rsid w:val="00CD65D7"/>
    <w:rsid w:val="00CE5D6E"/>
    <w:rsid w:val="00CF4448"/>
    <w:rsid w:val="00CF4C5B"/>
    <w:rsid w:val="00CF53E5"/>
    <w:rsid w:val="00D00BB3"/>
    <w:rsid w:val="00D0124B"/>
    <w:rsid w:val="00D03B35"/>
    <w:rsid w:val="00D12408"/>
    <w:rsid w:val="00D13338"/>
    <w:rsid w:val="00D1711B"/>
    <w:rsid w:val="00D203DC"/>
    <w:rsid w:val="00D20D13"/>
    <w:rsid w:val="00D24CC1"/>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42AF"/>
    <w:rsid w:val="00D761B6"/>
    <w:rsid w:val="00D96384"/>
    <w:rsid w:val="00DA0579"/>
    <w:rsid w:val="00DA5E54"/>
    <w:rsid w:val="00DA6CBB"/>
    <w:rsid w:val="00DB03AC"/>
    <w:rsid w:val="00DB0B40"/>
    <w:rsid w:val="00DB249D"/>
    <w:rsid w:val="00DC17E4"/>
    <w:rsid w:val="00DC7952"/>
    <w:rsid w:val="00DD089E"/>
    <w:rsid w:val="00DD0E57"/>
    <w:rsid w:val="00DD4D11"/>
    <w:rsid w:val="00DE1951"/>
    <w:rsid w:val="00DE24CB"/>
    <w:rsid w:val="00DE71E3"/>
    <w:rsid w:val="00DF0B4C"/>
    <w:rsid w:val="00DF0F8B"/>
    <w:rsid w:val="00E02E8F"/>
    <w:rsid w:val="00E03817"/>
    <w:rsid w:val="00E06BA5"/>
    <w:rsid w:val="00E11A73"/>
    <w:rsid w:val="00E15395"/>
    <w:rsid w:val="00E209FC"/>
    <w:rsid w:val="00E22215"/>
    <w:rsid w:val="00E2314B"/>
    <w:rsid w:val="00E25C61"/>
    <w:rsid w:val="00E3439B"/>
    <w:rsid w:val="00E35B9A"/>
    <w:rsid w:val="00E42633"/>
    <w:rsid w:val="00E46B98"/>
    <w:rsid w:val="00E479BA"/>
    <w:rsid w:val="00E61D50"/>
    <w:rsid w:val="00E62F3C"/>
    <w:rsid w:val="00E6681D"/>
    <w:rsid w:val="00E757AD"/>
    <w:rsid w:val="00E75E34"/>
    <w:rsid w:val="00E76B08"/>
    <w:rsid w:val="00E87D9F"/>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20BDB"/>
    <w:rsid w:val="00F30C0E"/>
    <w:rsid w:val="00F44F10"/>
    <w:rsid w:val="00F4556A"/>
    <w:rsid w:val="00F46B4A"/>
    <w:rsid w:val="00F47135"/>
    <w:rsid w:val="00F57C4C"/>
    <w:rsid w:val="00F74A11"/>
    <w:rsid w:val="00F838CE"/>
    <w:rsid w:val="00FA002C"/>
    <w:rsid w:val="00FA74D3"/>
    <w:rsid w:val="00FB1090"/>
    <w:rsid w:val="00FB27E1"/>
    <w:rsid w:val="00FB4F87"/>
    <w:rsid w:val="00FB6698"/>
    <w:rsid w:val="00FC560C"/>
    <w:rsid w:val="00FC7A26"/>
    <w:rsid w:val="00FD1F42"/>
    <w:rsid w:val="00FD61F9"/>
    <w:rsid w:val="00FE5B29"/>
    <w:rsid w:val="00FE609E"/>
    <w:rsid w:val="00FE6964"/>
    <w:rsid w:val="00FF434E"/>
    <w:rsid w:val="00FF459A"/>
    <w:rsid w:val="00FF7945"/>
    <w:rsid w:val="4F57FE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docId w15:val="{627074A6-9161-437B-A3BD-457239BA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306A"/>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 w:type="character" w:styleId="Mencinsinresolver3" w:customStyle="1">
    <w:name w:val="Mención sin resolver3"/>
    <w:basedOn w:val="Fuentedeprrafopredeter"/>
    <w:uiPriority w:val="99"/>
    <w:semiHidden/>
    <w:unhideWhenUsed/>
    <w:rsid w:val="002E1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278494359">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06824297">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964312597">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726370614">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donatoguerra.gob.mx/cuenta-publica-2020"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5aba8ca3fd7041c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68b139-eb7b-4fa9-b6ac-02ef0efdca3b}"/>
      </w:docPartPr>
      <w:docPartBody>
        <w:p w14:paraId="6449808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6106-F3D0-400F-A5CC-0D98064624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2022-03-30T17:36:00.0000000Z</dcterms:created>
  <dcterms:modified xsi:type="dcterms:W3CDTF">2022-05-12T19:07:21.7657090Z</dcterms:modified>
</coreProperties>
</file>