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5EEA3F6" w14:textId="77777777" w:rsidR="00131F6B" w:rsidRPr="00505FE9" w:rsidRDefault="002459A5">
      <w:pPr>
        <w:spacing w:before="240" w:after="240" w:line="360" w:lineRule="auto"/>
        <w:jc w:val="both"/>
        <w:rPr>
          <w:rFonts w:ascii="Palatino Linotype" w:eastAsia="Palatino Linotype" w:hAnsi="Palatino Linotype" w:cs="Palatino Linotype"/>
        </w:rPr>
      </w:pPr>
      <w:bookmarkStart w:id="0" w:name="_GoBack"/>
      <w:bookmarkEnd w:id="0"/>
      <w:r w:rsidRPr="00505FE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 fecha </w:t>
      </w:r>
      <w:r w:rsidRPr="00505FE9">
        <w:rPr>
          <w:rFonts w:ascii="Palatino Linotype" w:eastAsia="Palatino Linotype" w:hAnsi="Palatino Linotype" w:cs="Palatino Linotype"/>
          <w:b/>
        </w:rPr>
        <w:t>veintiuno de septiembre del dos mil veintidós</w:t>
      </w:r>
      <w:r w:rsidRPr="00505FE9">
        <w:rPr>
          <w:rFonts w:ascii="Palatino Linotype" w:eastAsia="Palatino Linotype" w:hAnsi="Palatino Linotype" w:cs="Palatino Linotype"/>
        </w:rPr>
        <w:t>.</w:t>
      </w:r>
    </w:p>
    <w:p w14:paraId="0F14F4BA"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Visto</w:t>
      </w:r>
      <w:r w:rsidRPr="00505FE9">
        <w:rPr>
          <w:rFonts w:ascii="Palatino Linotype" w:eastAsia="Palatino Linotype" w:hAnsi="Palatino Linotype" w:cs="Palatino Linotype"/>
        </w:rPr>
        <w:t xml:space="preserve"> el expediente relativo al recurso de revisión </w:t>
      </w:r>
      <w:r w:rsidRPr="00505FE9">
        <w:rPr>
          <w:rFonts w:ascii="Palatino Linotype" w:eastAsia="Palatino Linotype" w:hAnsi="Palatino Linotype" w:cs="Palatino Linotype"/>
          <w:b/>
        </w:rPr>
        <w:t>07929/INFOEM/IP/RR/2022</w:t>
      </w:r>
      <w:r w:rsidRPr="00505FE9">
        <w:rPr>
          <w:rFonts w:ascii="Palatino Linotype" w:eastAsia="Palatino Linotype" w:hAnsi="Palatino Linotype" w:cs="Palatino Linotype"/>
        </w:rPr>
        <w:t xml:space="preserve">, interpuesto por una </w:t>
      </w:r>
      <w:r w:rsidRPr="00505FE9">
        <w:rPr>
          <w:rFonts w:ascii="Palatino Linotype" w:eastAsia="Palatino Linotype" w:hAnsi="Palatino Linotype" w:cs="Palatino Linotype"/>
          <w:b/>
        </w:rPr>
        <w:t>persona de manera anónima</w:t>
      </w:r>
      <w:r w:rsidRPr="00505FE9">
        <w:rPr>
          <w:rFonts w:ascii="Palatino Linotype" w:eastAsia="Palatino Linotype" w:hAnsi="Palatino Linotype" w:cs="Palatino Linotype"/>
        </w:rPr>
        <w:t>, al cual en lo sucesivo se le denominara la parte</w:t>
      </w:r>
      <w:r w:rsidRPr="00505FE9">
        <w:rPr>
          <w:rFonts w:ascii="Palatino Linotype" w:eastAsia="Palatino Linotype" w:hAnsi="Palatino Linotype" w:cs="Palatino Linotype"/>
          <w:b/>
        </w:rPr>
        <w:t xml:space="preserve"> RECURRENTE</w:t>
      </w:r>
      <w:r w:rsidRPr="00505FE9">
        <w:rPr>
          <w:rFonts w:ascii="Palatino Linotype" w:eastAsia="Palatino Linotype" w:hAnsi="Palatino Linotype" w:cs="Palatino Linotype"/>
        </w:rPr>
        <w:t xml:space="preserve">, en contra de la respuesta a su solicitud de información con número de folio </w:t>
      </w:r>
      <w:r w:rsidRPr="00505FE9">
        <w:rPr>
          <w:rFonts w:ascii="Palatino Linotype" w:eastAsia="Palatino Linotype" w:hAnsi="Palatino Linotype" w:cs="Palatino Linotype"/>
          <w:b/>
        </w:rPr>
        <w:t xml:space="preserve">03213/METEPEC/IP/2022, </w:t>
      </w:r>
      <w:r w:rsidRPr="00505FE9">
        <w:rPr>
          <w:rFonts w:ascii="Palatino Linotype" w:eastAsia="Palatino Linotype" w:hAnsi="Palatino Linotype" w:cs="Palatino Linotype"/>
        </w:rPr>
        <w:t>por parte del</w:t>
      </w:r>
      <w:r w:rsidRPr="00505FE9">
        <w:rPr>
          <w:rFonts w:ascii="Palatino Linotype" w:eastAsia="Palatino Linotype" w:hAnsi="Palatino Linotype" w:cs="Palatino Linotype"/>
          <w:b/>
        </w:rPr>
        <w:t xml:space="preserve"> Ayuntamiento de Metepec</w:t>
      </w:r>
      <w:r w:rsidRPr="00505FE9">
        <w:rPr>
          <w:rFonts w:ascii="Palatino Linotype" w:eastAsia="Palatino Linotype" w:hAnsi="Palatino Linotype" w:cs="Palatino Linotype"/>
        </w:rPr>
        <w:t xml:space="preserve">, en lo sucesivo el </w:t>
      </w:r>
      <w:r w:rsidRPr="00505FE9">
        <w:rPr>
          <w:rFonts w:ascii="Palatino Linotype" w:eastAsia="Palatino Linotype" w:hAnsi="Palatino Linotype" w:cs="Palatino Linotype"/>
          <w:b/>
        </w:rPr>
        <w:t xml:space="preserve">SUJETO OBLIGADO; </w:t>
      </w:r>
      <w:r w:rsidRPr="00505FE9">
        <w:rPr>
          <w:rFonts w:ascii="Palatino Linotype" w:eastAsia="Palatino Linotype" w:hAnsi="Palatino Linotype" w:cs="Palatino Linotype"/>
        </w:rPr>
        <w:t>se procede a dictar la presente resolución, con base en los siguientes:</w:t>
      </w:r>
    </w:p>
    <w:p w14:paraId="31FD4DAD" w14:textId="77777777" w:rsidR="00131F6B" w:rsidRPr="00505FE9" w:rsidRDefault="002459A5">
      <w:pPr>
        <w:numPr>
          <w:ilvl w:val="0"/>
          <w:numId w:val="3"/>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sz w:val="22"/>
          <w:szCs w:val="22"/>
        </w:rPr>
      </w:pPr>
      <w:r w:rsidRPr="00505FE9">
        <w:rPr>
          <w:rFonts w:ascii="Palatino Linotype" w:eastAsia="Palatino Linotype" w:hAnsi="Palatino Linotype" w:cs="Palatino Linotype"/>
          <w:b/>
          <w:sz w:val="22"/>
          <w:szCs w:val="22"/>
        </w:rPr>
        <w:t>A N T E C E D E N T E S</w:t>
      </w:r>
    </w:p>
    <w:p w14:paraId="5D99B1F9" w14:textId="77777777" w:rsidR="00131F6B" w:rsidRPr="00505FE9" w:rsidRDefault="002459A5">
      <w:pPr>
        <w:spacing w:before="240" w:after="240" w:line="360" w:lineRule="auto"/>
        <w:jc w:val="both"/>
        <w:rPr>
          <w:rFonts w:ascii="Palatino Linotype" w:eastAsia="Palatino Linotype" w:hAnsi="Palatino Linotype" w:cs="Palatino Linotype"/>
          <w:b/>
        </w:rPr>
      </w:pPr>
      <w:r w:rsidRPr="00505FE9">
        <w:rPr>
          <w:rFonts w:ascii="Palatino Linotype" w:eastAsia="Palatino Linotype" w:hAnsi="Palatino Linotype" w:cs="Palatino Linotype"/>
          <w:b/>
        </w:rPr>
        <w:t xml:space="preserve">1. Solicitud de acceso a la información. </w:t>
      </w:r>
      <w:r w:rsidRPr="00505FE9">
        <w:rPr>
          <w:rFonts w:ascii="Palatino Linotype" w:eastAsia="Palatino Linotype" w:hAnsi="Palatino Linotype" w:cs="Palatino Linotype"/>
        </w:rPr>
        <w:t xml:space="preserve">Con fecha </w:t>
      </w:r>
      <w:r w:rsidRPr="00505FE9">
        <w:rPr>
          <w:rFonts w:ascii="Palatino Linotype" w:eastAsia="Palatino Linotype" w:hAnsi="Palatino Linotype" w:cs="Palatino Linotype"/>
          <w:b/>
        </w:rPr>
        <w:t>veintiuno de abril del dos mil veintidós</w:t>
      </w:r>
      <w:r w:rsidRPr="00505FE9">
        <w:rPr>
          <w:rFonts w:ascii="Palatino Linotype" w:eastAsia="Palatino Linotype" w:hAnsi="Palatino Linotype" w:cs="Palatino Linotype"/>
        </w:rPr>
        <w:t xml:space="preserve">,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formuló solicitud de acceso a información pública al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a través del Sistema de Acceso a la Información Mexiquense, en adelante </w:t>
      </w:r>
      <w:r w:rsidRPr="00505FE9">
        <w:rPr>
          <w:rFonts w:ascii="Palatino Linotype" w:eastAsia="Palatino Linotype" w:hAnsi="Palatino Linotype" w:cs="Palatino Linotype"/>
          <w:b/>
        </w:rPr>
        <w:t>SAIMEX,</w:t>
      </w:r>
      <w:r w:rsidRPr="00505FE9">
        <w:rPr>
          <w:rFonts w:ascii="Palatino Linotype" w:eastAsia="Palatino Linotype" w:hAnsi="Palatino Linotype" w:cs="Palatino Linotype"/>
        </w:rPr>
        <w:t xml:space="preserve"> requiriéndole lo siguiente:</w:t>
      </w:r>
    </w:p>
    <w:p w14:paraId="6C4D8C46" w14:textId="77777777" w:rsidR="00131F6B" w:rsidRPr="00505FE9" w:rsidRDefault="002459A5">
      <w:pPr>
        <w:spacing w:before="240" w:after="240" w:line="276" w:lineRule="auto"/>
        <w:ind w:left="851"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“Solicito se me entregue VIA SAIMEX, copia fiel de los oficios generados (emitidos) por las nueve regidurías del ayuntamiento de Metepec, mismos que fueron fechados (generados, elaborados o emitidos) entre el 16 de marzo de 2022 y el 15 abril de 2022.” (Sic)</w:t>
      </w:r>
    </w:p>
    <w:p w14:paraId="760B4C11"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Modalidad elegida para la entrega de la información: </w:t>
      </w:r>
      <w:r w:rsidRPr="00505FE9">
        <w:rPr>
          <w:rFonts w:ascii="Palatino Linotype" w:eastAsia="Palatino Linotype" w:hAnsi="Palatino Linotype" w:cs="Palatino Linotype"/>
        </w:rPr>
        <w:t xml:space="preserve">a través del </w:t>
      </w:r>
      <w:r w:rsidRPr="00505FE9">
        <w:rPr>
          <w:rFonts w:ascii="Palatino Linotype" w:eastAsia="Palatino Linotype" w:hAnsi="Palatino Linotype" w:cs="Palatino Linotype"/>
          <w:b/>
        </w:rPr>
        <w:t>SAIMEX</w:t>
      </w:r>
      <w:r w:rsidRPr="00505FE9">
        <w:rPr>
          <w:rFonts w:ascii="Palatino Linotype" w:eastAsia="Palatino Linotype" w:hAnsi="Palatino Linotype" w:cs="Palatino Linotype"/>
        </w:rPr>
        <w:t>.</w:t>
      </w:r>
    </w:p>
    <w:p w14:paraId="2A722515"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2. Requerimientos. </w:t>
      </w:r>
      <w:r w:rsidRPr="00505FE9">
        <w:rPr>
          <w:rFonts w:ascii="Palatino Linotype" w:eastAsia="Palatino Linotype" w:hAnsi="Palatino Linotype" w:cs="Palatino Linotype"/>
        </w:rPr>
        <w:t xml:space="preserve">De las constancias que obran en el SAIMEX, se observa que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envió los requerimientos siguientes:</w:t>
      </w:r>
    </w:p>
    <w:p w14:paraId="780568AC"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noProof/>
        </w:rPr>
        <w:lastRenderedPageBreak/>
        <w:drawing>
          <wp:inline distT="0" distB="0" distL="0" distR="0" wp14:anchorId="3024B2D5" wp14:editId="0AED51C6">
            <wp:extent cx="5664034" cy="2632324"/>
            <wp:effectExtent l="0" t="0" r="0" b="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l="8995" t="18708" r="38050" b="37538"/>
                    <a:stretch>
                      <a:fillRect/>
                    </a:stretch>
                  </pic:blipFill>
                  <pic:spPr>
                    <a:xfrm>
                      <a:off x="0" y="0"/>
                      <a:ext cx="5664034" cy="2632324"/>
                    </a:xfrm>
                    <a:prstGeom prst="rect">
                      <a:avLst/>
                    </a:prstGeom>
                    <a:ln/>
                  </pic:spPr>
                </pic:pic>
              </a:graphicData>
            </a:graphic>
          </wp:inline>
        </w:drawing>
      </w:r>
    </w:p>
    <w:p w14:paraId="028D8AB8" w14:textId="77777777" w:rsidR="00131F6B" w:rsidRPr="00505FE9" w:rsidRDefault="002459A5">
      <w:pPr>
        <w:spacing w:before="240" w:after="240" w:line="360" w:lineRule="auto"/>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rPr>
        <w:t xml:space="preserve">3. Respuesta. </w:t>
      </w:r>
      <w:r w:rsidRPr="00505FE9">
        <w:rPr>
          <w:rFonts w:ascii="Palatino Linotype" w:eastAsia="Palatino Linotype" w:hAnsi="Palatino Linotype" w:cs="Palatino Linotype"/>
        </w:rPr>
        <w:t xml:space="preserve">Con fecha </w:t>
      </w:r>
      <w:r w:rsidRPr="00505FE9">
        <w:rPr>
          <w:rFonts w:ascii="Palatino Linotype" w:eastAsia="Palatino Linotype" w:hAnsi="Palatino Linotype" w:cs="Palatino Linotype"/>
          <w:b/>
        </w:rPr>
        <w:t>dieciséis de mayo del dos mil veintidós</w:t>
      </w:r>
      <w:r w:rsidRPr="00505FE9">
        <w:rPr>
          <w:rFonts w:ascii="Palatino Linotype" w:eastAsia="Palatino Linotype" w:hAnsi="Palatino Linotype" w:cs="Palatino Linotype"/>
        </w:rPr>
        <w:t xml:space="preserv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envió su respuesta a la solicitud de acceso a la información a través del SAIMEX, la cual versa como sigue:</w:t>
      </w:r>
    </w:p>
    <w:p w14:paraId="0B0F6E9E" w14:textId="77777777" w:rsidR="00131F6B" w:rsidRPr="00505FE9" w:rsidRDefault="002459A5">
      <w:pPr>
        <w:spacing w:before="24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A135899" w14:textId="77777777" w:rsidR="00131F6B" w:rsidRPr="00505FE9" w:rsidRDefault="002459A5">
      <w:pPr>
        <w:spacing w:before="24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C. SOLICITANTE P R E S E N T E. En respuesta a la solicitud recibida por medio del Sistema de Acceso a la Información Mexiquense (SAIMEX). Al respecto, le informo que esta Unidad de Transparencia turnó la solicitud antes mencionada a los Servidores Públicos Habilitados que de conformidad con las funciones y atribuciones conferidas en términos de la Ley Orgánica Municipal del Estado de México y demás disposiciones legales aplicables les corresponde la generación, recopilación, administración, manejo, procesamiento, archivo y conservación de la información, y habiendo realizado una búsqueda exhaustiva, se anexa la respuesta del servidor público habilitado. Lo anterior con fundamento en lo establecido por los artículos 12, 18, 19, 53 fracción VI, 160 y 162 de la Ley de Transparencia y Acceso a la Información Pública del Estado de México. Asimismo, se hace de su conocimiento que cuenta con un plazo de 15 (quince) días hábiles para interponer el recurso de revisión conforme a los artículos 176,177 y 178 dela Ley de Transparencia y Acceso a la Información Pública del </w:t>
      </w:r>
      <w:r w:rsidRPr="00505FE9">
        <w:rPr>
          <w:rFonts w:ascii="Palatino Linotype" w:eastAsia="Palatino Linotype" w:hAnsi="Palatino Linotype" w:cs="Palatino Linotype"/>
          <w:i/>
          <w:sz w:val="22"/>
          <w:szCs w:val="22"/>
        </w:rPr>
        <w:lastRenderedPageBreak/>
        <w:t>Estado de México y Municipios. Sin más por el momento, me despido de usted, reiterando estar a sus órdenes. ATENTAMENTE GERARDO ARTURO OZUNA MARTÍNEZ TITULAR DE LA UNIDAD DE TRANSPARENCIA</w:t>
      </w:r>
    </w:p>
    <w:p w14:paraId="033AD512" w14:textId="77777777" w:rsidR="00131F6B" w:rsidRPr="00505FE9" w:rsidRDefault="002459A5">
      <w:pPr>
        <w:spacing w:before="24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ATENTAMENTE</w:t>
      </w:r>
    </w:p>
    <w:p w14:paraId="030CC286" w14:textId="77777777" w:rsidR="00131F6B" w:rsidRPr="00505FE9" w:rsidRDefault="002459A5">
      <w:pPr>
        <w:spacing w:before="24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Lic. Gerardo Arturo Ozuna Martínez” (Sic)</w:t>
      </w:r>
    </w:p>
    <w:p w14:paraId="1B8F3DE4" w14:textId="77777777" w:rsidR="00131F6B" w:rsidRPr="00505FE9" w:rsidRDefault="00131F6B">
      <w:pPr>
        <w:ind w:right="902"/>
        <w:jc w:val="both"/>
        <w:rPr>
          <w:rFonts w:ascii="Palatino Linotype" w:eastAsia="Palatino Linotype" w:hAnsi="Palatino Linotype" w:cs="Palatino Linotype"/>
          <w:i/>
          <w:sz w:val="22"/>
          <w:szCs w:val="22"/>
        </w:rPr>
      </w:pPr>
    </w:p>
    <w:p w14:paraId="61460892" w14:textId="77777777" w:rsidR="00131F6B" w:rsidRPr="00505FE9" w:rsidRDefault="002459A5">
      <w:pP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Y adjuntó tres documentos, que se describen a continuación: </w:t>
      </w:r>
    </w:p>
    <w:p w14:paraId="56C3BCCD" w14:textId="77777777" w:rsidR="00131F6B" w:rsidRPr="00505FE9" w:rsidRDefault="00131F6B">
      <w:pPr>
        <w:spacing w:line="360" w:lineRule="auto"/>
        <w:ind w:right="49"/>
        <w:jc w:val="both"/>
        <w:rPr>
          <w:rFonts w:ascii="Palatino Linotype" w:eastAsia="Palatino Linotype" w:hAnsi="Palatino Linotype" w:cs="Palatino Linotype"/>
        </w:rPr>
      </w:pPr>
    </w:p>
    <w:p w14:paraId="2E2EF6AA"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FE9">
        <w:rPr>
          <w:rFonts w:ascii="Palatino Linotype" w:eastAsia="Palatino Linotype" w:hAnsi="Palatino Linotype" w:cs="Palatino Linotype"/>
          <w:b/>
          <w:i/>
          <w:sz w:val="22"/>
          <w:szCs w:val="22"/>
        </w:rPr>
        <w:t>Respuesta 03213.pdf,</w:t>
      </w:r>
      <w:r w:rsidRPr="00505FE9">
        <w:rPr>
          <w:rFonts w:ascii="Palatino Linotype" w:eastAsia="Palatino Linotype" w:hAnsi="Palatino Linotype" w:cs="Palatino Linotype"/>
          <w:sz w:val="22"/>
          <w:szCs w:val="22"/>
        </w:rPr>
        <w:t xml:space="preserve">  oficio número REG2/TRANSP/256/2022, de fecha veintiocho de abril de dos mil veintidós, suscrito y signado por la Segunda Regidora de Metepec,  donde da respuesta a la solicitud y manifiesta enviar información anexa, que se pone a disposición.</w:t>
      </w:r>
    </w:p>
    <w:p w14:paraId="5AB9AAB4" w14:textId="77777777" w:rsidR="00131F6B" w:rsidRPr="00505FE9" w:rsidRDefault="00131F6B">
      <w:pPr>
        <w:spacing w:line="360" w:lineRule="auto"/>
        <w:ind w:right="49"/>
        <w:jc w:val="both"/>
        <w:rPr>
          <w:rFonts w:ascii="Palatino Linotype" w:eastAsia="Palatino Linotype" w:hAnsi="Palatino Linotype" w:cs="Palatino Linotype"/>
        </w:rPr>
      </w:pPr>
    </w:p>
    <w:p w14:paraId="1FD69827"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FE9">
        <w:rPr>
          <w:rFonts w:ascii="Palatino Linotype" w:eastAsia="Palatino Linotype" w:hAnsi="Palatino Linotype" w:cs="Palatino Linotype"/>
          <w:b/>
          <w:i/>
          <w:sz w:val="22"/>
          <w:szCs w:val="22"/>
        </w:rPr>
        <w:t xml:space="preserve">Oficios generados del 16 de marzo al 15 de abril de 2022.pdf, </w:t>
      </w:r>
      <w:r w:rsidRPr="00505FE9">
        <w:rPr>
          <w:rFonts w:ascii="Palatino Linotype" w:eastAsia="Palatino Linotype" w:hAnsi="Palatino Linotype" w:cs="Palatino Linotype"/>
          <w:sz w:val="22"/>
          <w:szCs w:val="22"/>
        </w:rPr>
        <w:t>documento integrado por veintiocho fojas que contiene sustancialmente oficios signados por la Segunda Regidora del dieciséis de marzo al  diecinueve de abril de dos mil veintidós, suscritos por la Segunda Regidora de Metepec.</w:t>
      </w:r>
    </w:p>
    <w:p w14:paraId="0697E511" w14:textId="77777777" w:rsidR="00131F6B" w:rsidRPr="00505FE9" w:rsidRDefault="00131F6B">
      <w:pPr>
        <w:spacing w:line="360" w:lineRule="auto"/>
        <w:ind w:right="49"/>
        <w:jc w:val="both"/>
        <w:rPr>
          <w:rFonts w:ascii="Palatino Linotype" w:eastAsia="Palatino Linotype" w:hAnsi="Palatino Linotype" w:cs="Palatino Linotype"/>
        </w:rPr>
      </w:pPr>
    </w:p>
    <w:p w14:paraId="0C3B68F0"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sz w:val="22"/>
          <w:szCs w:val="22"/>
        </w:rPr>
      </w:pPr>
      <w:r w:rsidRPr="00505FE9">
        <w:rPr>
          <w:rFonts w:ascii="Palatino Linotype" w:eastAsia="Palatino Linotype" w:hAnsi="Palatino Linotype" w:cs="Palatino Linotype"/>
          <w:b/>
          <w:i/>
          <w:sz w:val="22"/>
          <w:szCs w:val="22"/>
        </w:rPr>
        <w:t xml:space="preserve">03213.pdf, </w:t>
      </w:r>
      <w:r w:rsidRPr="00505FE9">
        <w:rPr>
          <w:rFonts w:ascii="Palatino Linotype" w:eastAsia="Palatino Linotype" w:hAnsi="Palatino Linotype" w:cs="Palatino Linotype"/>
          <w:sz w:val="22"/>
          <w:szCs w:val="22"/>
        </w:rPr>
        <w:t>documento integrado por veinticuatro fojas que contiene sustancialmente, oficio número REG07/054/2022, de fecha diez de mayo de dos mil veintidós, signado por el Séptimo Regidor  del Ayuntamiento de Metepec, mediante el cual refiere anexar veintitrés oficios del veintidós de marzo al  ocho de abril de dos mil veintidós.</w:t>
      </w:r>
    </w:p>
    <w:p w14:paraId="5E3575A9" w14:textId="77777777" w:rsidR="00131F6B" w:rsidRPr="00505FE9" w:rsidRDefault="00131F6B">
      <w:pPr>
        <w:spacing w:line="360" w:lineRule="auto"/>
        <w:ind w:right="49"/>
        <w:jc w:val="both"/>
        <w:rPr>
          <w:rFonts w:ascii="Palatino Linotype" w:eastAsia="Palatino Linotype" w:hAnsi="Palatino Linotype" w:cs="Palatino Linotype"/>
          <w:b/>
        </w:rPr>
      </w:pPr>
    </w:p>
    <w:p w14:paraId="43EFB042" w14:textId="77777777" w:rsidR="00131F6B" w:rsidRPr="00505FE9" w:rsidRDefault="002459A5">
      <w:pP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4. Interposición del recurso de revisión. </w:t>
      </w:r>
      <w:r w:rsidRPr="00505FE9">
        <w:rPr>
          <w:rFonts w:ascii="Palatino Linotype" w:eastAsia="Palatino Linotype" w:hAnsi="Palatino Linotype" w:cs="Palatino Linotype"/>
        </w:rPr>
        <w:t xml:space="preserve">Inconforme con la respuesta del </w:t>
      </w:r>
      <w:r w:rsidRPr="00505FE9">
        <w:rPr>
          <w:rFonts w:ascii="Palatino Linotype" w:eastAsia="Palatino Linotype" w:hAnsi="Palatino Linotype" w:cs="Palatino Linotype"/>
          <w:b/>
        </w:rPr>
        <w:t xml:space="preserve">SUJETO OBLIGADO </w:t>
      </w:r>
      <w:r w:rsidRPr="00505FE9">
        <w:rPr>
          <w:rFonts w:ascii="Palatino Linotype" w:eastAsia="Palatino Linotype" w:hAnsi="Palatino Linotype" w:cs="Palatino Linotype"/>
        </w:rPr>
        <w:t>la parte</w:t>
      </w:r>
      <w:r w:rsidRPr="00505FE9">
        <w:rPr>
          <w:rFonts w:ascii="Palatino Linotype" w:eastAsia="Palatino Linotype" w:hAnsi="Palatino Linotype" w:cs="Palatino Linotype"/>
          <w:b/>
        </w:rPr>
        <w:t xml:space="preserve"> RECURRENTE</w:t>
      </w:r>
      <w:r w:rsidRPr="00505FE9">
        <w:rPr>
          <w:rFonts w:ascii="Palatino Linotype" w:eastAsia="Palatino Linotype" w:hAnsi="Palatino Linotype" w:cs="Palatino Linotype"/>
        </w:rPr>
        <w:t xml:space="preserve"> interpuso recurso de revisión a través del </w:t>
      </w:r>
      <w:r w:rsidRPr="00505FE9">
        <w:rPr>
          <w:rFonts w:ascii="Palatino Linotype" w:eastAsia="Palatino Linotype" w:hAnsi="Palatino Linotype" w:cs="Palatino Linotype"/>
        </w:rPr>
        <w:lastRenderedPageBreak/>
        <w:t xml:space="preserve">SAIMEX el </w:t>
      </w:r>
      <w:r w:rsidRPr="00505FE9">
        <w:rPr>
          <w:rFonts w:ascii="Palatino Linotype" w:eastAsia="Palatino Linotype" w:hAnsi="Palatino Linotype" w:cs="Palatino Linotype"/>
          <w:b/>
        </w:rPr>
        <w:t>dieciséis de mayo de dos mil veintidós</w:t>
      </w:r>
      <w:r w:rsidRPr="00505FE9">
        <w:rPr>
          <w:rFonts w:ascii="Palatino Linotype" w:eastAsia="Palatino Linotype" w:hAnsi="Palatino Linotype" w:cs="Palatino Linotype"/>
        </w:rPr>
        <w:t>, a través del cual expresó lo siguiente:</w:t>
      </w:r>
    </w:p>
    <w:p w14:paraId="5D49A1FA" w14:textId="77777777" w:rsidR="00131F6B" w:rsidRPr="00505FE9" w:rsidRDefault="002459A5">
      <w:pPr>
        <w:spacing w:line="360" w:lineRule="auto"/>
        <w:ind w:firstLine="993"/>
        <w:rPr>
          <w:rFonts w:ascii="Palatino Linotype" w:eastAsia="Palatino Linotype" w:hAnsi="Palatino Linotype" w:cs="Palatino Linotype"/>
          <w:b/>
        </w:rPr>
      </w:pPr>
      <w:r w:rsidRPr="00505FE9">
        <w:rPr>
          <w:rFonts w:ascii="Palatino Linotype" w:eastAsia="Palatino Linotype" w:hAnsi="Palatino Linotype" w:cs="Palatino Linotype"/>
          <w:b/>
        </w:rPr>
        <w:t>a) Acto impugnado.</w:t>
      </w:r>
    </w:p>
    <w:p w14:paraId="6CD7D107" w14:textId="77777777" w:rsidR="00131F6B" w:rsidRPr="00505FE9" w:rsidRDefault="002459A5">
      <w:pPr>
        <w:spacing w:after="240" w:line="276" w:lineRule="auto"/>
        <w:ind w:left="851"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“LA RESPUESTA INCOMPLETA que da el irresponsable sujeto obligado a esta solicitud de información.” (Sic)</w:t>
      </w:r>
    </w:p>
    <w:p w14:paraId="2E7AF840" w14:textId="77777777" w:rsidR="00131F6B" w:rsidRPr="00505FE9" w:rsidRDefault="002459A5">
      <w:pPr>
        <w:spacing w:line="360" w:lineRule="auto"/>
        <w:ind w:firstLine="993"/>
        <w:jc w:val="both"/>
        <w:rPr>
          <w:rFonts w:ascii="Palatino Linotype" w:eastAsia="Palatino Linotype" w:hAnsi="Palatino Linotype" w:cs="Palatino Linotype"/>
          <w:b/>
        </w:rPr>
      </w:pPr>
      <w:r w:rsidRPr="00505FE9">
        <w:rPr>
          <w:rFonts w:ascii="Palatino Linotype" w:eastAsia="Palatino Linotype" w:hAnsi="Palatino Linotype" w:cs="Palatino Linotype"/>
          <w:b/>
        </w:rPr>
        <w:t>b) Motivos de inconformidad.</w:t>
      </w:r>
    </w:p>
    <w:p w14:paraId="3E9268B8" w14:textId="77777777" w:rsidR="00131F6B" w:rsidRPr="00505FE9" w:rsidRDefault="002459A5">
      <w:pPr>
        <w:spacing w:after="240" w:line="276" w:lineRule="auto"/>
        <w:ind w:left="851"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“El sujeto obligado NO ENTREGÓ LA INFORMACIÓN PÚBLICA COMPLETA. Pido se sancione ya severamente al sujeto obligado pues constantemente ha demostrado su incompetencia al no entregar la información solicitada en tiempo y forma. El pueblo los puso, pues el pueblo demanda su sanción ejemplar a tales irresponsables,” (Sic)</w:t>
      </w:r>
    </w:p>
    <w:p w14:paraId="11C840E6" w14:textId="77777777" w:rsidR="00131F6B" w:rsidRPr="00505FE9" w:rsidRDefault="002459A5">
      <w:pPr>
        <w:spacing w:before="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5. Turno. </w:t>
      </w:r>
      <w:r w:rsidRPr="00505FE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el recurso de revisión número </w:t>
      </w:r>
      <w:r w:rsidRPr="00505FE9">
        <w:rPr>
          <w:rFonts w:ascii="Palatino Linotype" w:eastAsia="Palatino Linotype" w:hAnsi="Palatino Linotype" w:cs="Palatino Linotype"/>
          <w:b/>
        </w:rPr>
        <w:t xml:space="preserve">07929/INFOEM/IP/RR/2022, </w:t>
      </w:r>
      <w:r w:rsidRPr="00505FE9">
        <w:rPr>
          <w:rFonts w:ascii="Palatino Linotype" w:eastAsia="Palatino Linotype" w:hAnsi="Palatino Linotype" w:cs="Palatino Linotype"/>
        </w:rPr>
        <w:t xml:space="preserve">se turnó por el sistema electrónico del Instituto de Transparencia, Acceso a la Información Pública y Protección de Datos Personales del Estado de México y Municipios, a la </w:t>
      </w:r>
      <w:r w:rsidRPr="00505FE9">
        <w:rPr>
          <w:rFonts w:ascii="Palatino Linotype" w:eastAsia="Palatino Linotype" w:hAnsi="Palatino Linotype" w:cs="Palatino Linotype"/>
          <w:b/>
        </w:rPr>
        <w:t>Comisionada Guadalupe Ramírez Peña</w:t>
      </w:r>
      <w:r w:rsidRPr="00505FE9">
        <w:rPr>
          <w:rFonts w:ascii="Palatino Linotype" w:eastAsia="Palatino Linotype" w:hAnsi="Palatino Linotype" w:cs="Palatino Linotype"/>
        </w:rPr>
        <w:t>, para su análisis, estudio, elaboración del proyecto y presentación ante el Pleno de este Instituto.</w:t>
      </w:r>
    </w:p>
    <w:p w14:paraId="4A6E7A2A" w14:textId="77777777" w:rsidR="00131F6B" w:rsidRPr="00505FE9" w:rsidRDefault="00131F6B">
      <w:pPr>
        <w:spacing w:before="240" w:line="360" w:lineRule="auto"/>
        <w:jc w:val="both"/>
        <w:rPr>
          <w:rFonts w:ascii="Palatino Linotype" w:eastAsia="Palatino Linotype" w:hAnsi="Palatino Linotype" w:cs="Palatino Linotype"/>
        </w:rPr>
      </w:pPr>
    </w:p>
    <w:p w14:paraId="0B518975" w14:textId="77777777" w:rsidR="00131F6B" w:rsidRPr="00505FE9" w:rsidRDefault="002459A5">
      <w:pPr>
        <w:spacing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6. Admisión del recurso de revisión: </w:t>
      </w:r>
      <w:r w:rsidRPr="00505FE9">
        <w:rPr>
          <w:rFonts w:ascii="Palatino Linotype" w:eastAsia="Palatino Linotype" w:hAnsi="Palatino Linotype" w:cs="Palatino Linotype"/>
        </w:rPr>
        <w:t xml:space="preserve">En fecha </w:t>
      </w:r>
      <w:r w:rsidRPr="00505FE9">
        <w:rPr>
          <w:rFonts w:ascii="Palatino Linotype" w:eastAsia="Palatino Linotype" w:hAnsi="Palatino Linotype" w:cs="Palatino Linotype"/>
          <w:b/>
        </w:rPr>
        <w:t>diecinueve de mayo de dos mil veintidós,</w:t>
      </w:r>
      <w:r w:rsidRPr="00505FE9">
        <w:rPr>
          <w:rFonts w:ascii="Palatino Linotype" w:eastAsia="Palatino Linotype" w:hAnsi="Palatino Linotype" w:cs="Palatino Linotype"/>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presentara su informe justificado. </w:t>
      </w:r>
    </w:p>
    <w:p w14:paraId="52130C11" w14:textId="77777777" w:rsidR="00131F6B" w:rsidRPr="00505FE9" w:rsidRDefault="00131F6B">
      <w:pPr>
        <w:spacing w:after="240" w:line="360" w:lineRule="auto"/>
        <w:jc w:val="both"/>
        <w:rPr>
          <w:rFonts w:ascii="Palatino Linotype" w:eastAsia="Palatino Linotype" w:hAnsi="Palatino Linotype" w:cs="Palatino Linotype"/>
        </w:rPr>
      </w:pPr>
    </w:p>
    <w:p w14:paraId="3FC2DBB7" w14:textId="77777777" w:rsidR="00131F6B" w:rsidRPr="00505FE9" w:rsidRDefault="002459A5">
      <w:pPr>
        <w:widowControl w:val="0"/>
        <w:pBdr>
          <w:top w:val="nil"/>
          <w:left w:val="nil"/>
          <w:bottom w:val="nil"/>
          <w:right w:val="nil"/>
          <w:between w:val="nil"/>
        </w:pBdr>
        <w:tabs>
          <w:tab w:val="left" w:pos="709"/>
        </w:tabs>
        <w:spacing w:before="120" w:after="240" w:line="360" w:lineRule="auto"/>
        <w:jc w:val="both"/>
        <w:rPr>
          <w:rFonts w:ascii="Palatino Linotype" w:eastAsia="Palatino Linotype" w:hAnsi="Palatino Linotype" w:cs="Palatino Linotype"/>
        </w:rPr>
      </w:pPr>
      <w:bookmarkStart w:id="1" w:name="_heading=h.gjdgxs" w:colFirst="0" w:colLast="0"/>
      <w:bookmarkEnd w:id="1"/>
      <w:r w:rsidRPr="00505FE9">
        <w:rPr>
          <w:rFonts w:ascii="Palatino Linotype" w:eastAsia="Palatino Linotype" w:hAnsi="Palatino Linotype" w:cs="Palatino Linotype"/>
          <w:b/>
        </w:rPr>
        <w:t>7. Manifestaciones</w:t>
      </w:r>
      <w:r w:rsidRPr="00505FE9">
        <w:rPr>
          <w:rFonts w:ascii="Palatino Linotype" w:eastAsia="Palatino Linotype" w:hAnsi="Palatino Linotype" w:cs="Palatino Linotype"/>
        </w:rPr>
        <w:t xml:space="preserve">: De las constancias que integran el expediente en que se actúa se advierte que tanto la parte </w:t>
      </w:r>
      <w:r w:rsidRPr="00505FE9">
        <w:rPr>
          <w:rFonts w:ascii="Palatino Linotype" w:eastAsia="Palatino Linotype" w:hAnsi="Palatino Linotype" w:cs="Palatino Linotype"/>
          <w:b/>
        </w:rPr>
        <w:t xml:space="preserve">RECURRENTE, </w:t>
      </w:r>
      <w:r w:rsidRPr="00505FE9">
        <w:rPr>
          <w:rFonts w:ascii="Palatino Linotype" w:eastAsia="Palatino Linotype" w:hAnsi="Palatino Linotype" w:cs="Palatino Linotype"/>
        </w:rPr>
        <w:t>como el</w:t>
      </w:r>
      <w:r w:rsidRPr="00505FE9">
        <w:rPr>
          <w:rFonts w:ascii="Palatino Linotype" w:eastAsia="Palatino Linotype" w:hAnsi="Palatino Linotype" w:cs="Palatino Linotype"/>
          <w:b/>
        </w:rPr>
        <w:t xml:space="preserve"> SUJETO OBLIGADO</w:t>
      </w:r>
      <w:r w:rsidRPr="00505FE9">
        <w:rPr>
          <w:rFonts w:ascii="Palatino Linotype" w:eastAsia="Palatino Linotype" w:hAnsi="Palatino Linotype" w:cs="Palatino Linotype"/>
        </w:rPr>
        <w:t xml:space="preserve"> fueron omisos en presentar manifestaciones, pruebas o alegatos, y en su caso el Informe Justificado, como se  muestra en la siguiente pantalla:</w:t>
      </w:r>
    </w:p>
    <w:p w14:paraId="3173D8C4" w14:textId="77777777" w:rsidR="00131F6B" w:rsidRPr="00505FE9" w:rsidRDefault="002459A5">
      <w:pPr>
        <w:widowControl w:val="0"/>
        <w:pBdr>
          <w:top w:val="nil"/>
          <w:left w:val="nil"/>
          <w:bottom w:val="nil"/>
          <w:right w:val="nil"/>
          <w:between w:val="nil"/>
        </w:pBdr>
        <w:tabs>
          <w:tab w:val="left" w:pos="709"/>
        </w:tabs>
        <w:spacing w:before="120" w:after="240" w:line="360" w:lineRule="auto"/>
        <w:jc w:val="center"/>
        <w:rPr>
          <w:rFonts w:ascii="Palatino Linotype" w:eastAsia="Palatino Linotype" w:hAnsi="Palatino Linotype" w:cs="Palatino Linotype"/>
        </w:rPr>
      </w:pPr>
      <w:r w:rsidRPr="00505FE9">
        <w:rPr>
          <w:noProof/>
        </w:rPr>
        <w:drawing>
          <wp:inline distT="0" distB="0" distL="0" distR="0" wp14:anchorId="4D66DBD7" wp14:editId="7E0CA8CF">
            <wp:extent cx="5656273" cy="1490984"/>
            <wp:effectExtent l="0" t="0" r="0" b="0"/>
            <wp:docPr id="3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9"/>
                    <a:srcRect l="6959" t="26253" r="52478" b="54738"/>
                    <a:stretch>
                      <a:fillRect/>
                    </a:stretch>
                  </pic:blipFill>
                  <pic:spPr>
                    <a:xfrm>
                      <a:off x="0" y="0"/>
                      <a:ext cx="5656273" cy="1490984"/>
                    </a:xfrm>
                    <a:prstGeom prst="rect">
                      <a:avLst/>
                    </a:prstGeom>
                    <a:ln/>
                  </pic:spPr>
                </pic:pic>
              </a:graphicData>
            </a:graphic>
          </wp:inline>
        </w:drawing>
      </w:r>
    </w:p>
    <w:p w14:paraId="444FB683" w14:textId="77777777" w:rsidR="00131F6B" w:rsidRPr="00505FE9" w:rsidRDefault="002459A5">
      <w:pPr>
        <w:widowControl w:val="0"/>
        <w:pBdr>
          <w:top w:val="nil"/>
          <w:left w:val="nil"/>
          <w:bottom w:val="nil"/>
          <w:right w:val="nil"/>
          <w:between w:val="nil"/>
        </w:pBdr>
        <w:tabs>
          <w:tab w:val="left" w:pos="709"/>
        </w:tabs>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8. Ampliación del plazo.</w:t>
      </w:r>
      <w:r w:rsidRPr="00505FE9">
        <w:rPr>
          <w:rFonts w:ascii="Palatino Linotype" w:eastAsia="Palatino Linotype" w:hAnsi="Palatino Linotype" w:cs="Palatino Linotype"/>
        </w:rPr>
        <w:t xml:space="preserve"> En fecha </w:t>
      </w:r>
      <w:r w:rsidRPr="00505FE9">
        <w:rPr>
          <w:rFonts w:ascii="Palatino Linotype" w:eastAsia="Palatino Linotype" w:hAnsi="Palatino Linotype" w:cs="Palatino Linotype"/>
          <w:b/>
        </w:rPr>
        <w:t>once de agosto del año dos mil veintidós</w:t>
      </w:r>
      <w:r w:rsidRPr="00505FE9">
        <w:rPr>
          <w:rFonts w:ascii="Palatino Linotype" w:eastAsia="Palatino Linotype" w:hAnsi="Palatino Linotype" w:cs="Palatino Linotype"/>
        </w:rPr>
        <w:t>, con fundamento en el artículo 181, párrafo tercero de la Ley de Transparencia y Acceso a la Información Pública del Estado de México y Municipios, se acordó la ampliación del plazo para su resolución.</w:t>
      </w:r>
    </w:p>
    <w:p w14:paraId="41199B3A" w14:textId="77777777" w:rsidR="00131F6B" w:rsidRPr="00505FE9" w:rsidRDefault="002459A5">
      <w:pPr>
        <w:spacing w:line="360" w:lineRule="auto"/>
        <w:jc w:val="both"/>
        <w:rPr>
          <w:rFonts w:ascii="Palatino Linotype" w:eastAsia="Palatino Linotype" w:hAnsi="Palatino Linotype" w:cs="Palatino Linotype"/>
        </w:rPr>
      </w:pPr>
      <w:bookmarkStart w:id="2" w:name="_heading=h.2et92p0" w:colFirst="0" w:colLast="0"/>
      <w:bookmarkEnd w:id="2"/>
      <w:r w:rsidRPr="00505FE9">
        <w:rPr>
          <w:rFonts w:ascii="Palatino Linotype" w:eastAsia="Palatino Linotype" w:hAnsi="Palatino Linotype" w:cs="Palatino Linotype"/>
        </w:rPr>
        <w:t>Este organismo garante no pasa por alto justificar, que el plazo para emitir la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0E64DF88" w14:textId="77777777" w:rsidR="00131F6B" w:rsidRPr="00505FE9" w:rsidRDefault="00131F6B">
      <w:pPr>
        <w:spacing w:line="360" w:lineRule="auto"/>
        <w:jc w:val="both"/>
        <w:rPr>
          <w:rFonts w:ascii="Palatino Linotype" w:eastAsia="Palatino Linotype" w:hAnsi="Palatino Linotype" w:cs="Palatino Linotype"/>
        </w:rPr>
      </w:pPr>
    </w:p>
    <w:p w14:paraId="4EE0279E"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085CAF9E" w14:textId="77777777" w:rsidR="00131F6B" w:rsidRPr="00505FE9" w:rsidRDefault="00131F6B">
      <w:pPr>
        <w:spacing w:line="360" w:lineRule="auto"/>
        <w:jc w:val="both"/>
        <w:rPr>
          <w:rFonts w:ascii="Palatino Linotype" w:eastAsia="Palatino Linotype" w:hAnsi="Palatino Linotype" w:cs="Palatino Linotype"/>
        </w:rPr>
      </w:pPr>
    </w:p>
    <w:p w14:paraId="66CA045B"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6F160D98" w14:textId="77777777" w:rsidR="00131F6B" w:rsidRPr="00505FE9" w:rsidRDefault="00131F6B">
      <w:pPr>
        <w:spacing w:line="360" w:lineRule="auto"/>
        <w:jc w:val="both"/>
        <w:rPr>
          <w:rFonts w:ascii="Palatino Linotype" w:eastAsia="Palatino Linotype" w:hAnsi="Palatino Linotype" w:cs="Palatino Linotype"/>
        </w:rPr>
      </w:pPr>
    </w:p>
    <w:p w14:paraId="3C1467B2"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75DAEBA8" w14:textId="77777777" w:rsidR="00131F6B" w:rsidRPr="00505FE9" w:rsidRDefault="00131F6B">
      <w:pPr>
        <w:spacing w:line="360" w:lineRule="auto"/>
        <w:jc w:val="both"/>
        <w:rPr>
          <w:rFonts w:ascii="Palatino Linotype" w:eastAsia="Palatino Linotype" w:hAnsi="Palatino Linotype" w:cs="Palatino Linotype"/>
        </w:rPr>
      </w:pPr>
    </w:p>
    <w:p w14:paraId="6A8F7D9F" w14:textId="77777777" w:rsidR="00131F6B" w:rsidRPr="00505FE9" w:rsidRDefault="002459A5">
      <w:pPr>
        <w:spacing w:line="360" w:lineRule="auto"/>
        <w:jc w:val="both"/>
        <w:rPr>
          <w:rFonts w:ascii="Palatino Linotype" w:eastAsia="Palatino Linotype" w:hAnsi="Palatino Linotype" w:cs="Palatino Linotype"/>
          <w:strike/>
        </w:rPr>
      </w:pPr>
      <w:r w:rsidRPr="00505FE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1DD324B1" w14:textId="77777777" w:rsidR="00131F6B" w:rsidRPr="00505FE9" w:rsidRDefault="00131F6B">
      <w:pPr>
        <w:spacing w:line="360" w:lineRule="auto"/>
        <w:jc w:val="both"/>
        <w:rPr>
          <w:rFonts w:ascii="Palatino Linotype" w:eastAsia="Palatino Linotype" w:hAnsi="Palatino Linotype" w:cs="Palatino Linotype"/>
        </w:rPr>
      </w:pPr>
    </w:p>
    <w:p w14:paraId="48334B4E" w14:textId="77777777" w:rsidR="00131F6B" w:rsidRPr="00505FE9" w:rsidRDefault="002459A5">
      <w:pPr>
        <w:numPr>
          <w:ilvl w:val="0"/>
          <w:numId w:val="4"/>
        </w:num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Complejidad del Asunto: La complejidad de la prueba, la pluralidad de sujetos procesales, el tiempo transcurrido, las características y contexto del recurso. </w:t>
      </w:r>
    </w:p>
    <w:p w14:paraId="72DCC13B" w14:textId="77777777" w:rsidR="00131F6B" w:rsidRPr="00505FE9" w:rsidRDefault="00131F6B">
      <w:pPr>
        <w:spacing w:line="360" w:lineRule="auto"/>
        <w:ind w:left="927"/>
        <w:jc w:val="both"/>
        <w:rPr>
          <w:rFonts w:ascii="Palatino Linotype" w:eastAsia="Palatino Linotype" w:hAnsi="Palatino Linotype" w:cs="Palatino Linotype"/>
        </w:rPr>
      </w:pPr>
    </w:p>
    <w:p w14:paraId="19EDE2BB" w14:textId="77777777" w:rsidR="00131F6B" w:rsidRPr="00505FE9" w:rsidRDefault="002459A5">
      <w:pPr>
        <w:numPr>
          <w:ilvl w:val="0"/>
          <w:numId w:val="4"/>
        </w:num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Actividad Procesal del interesado. Acciones u omisiones del interesado.</w:t>
      </w:r>
    </w:p>
    <w:p w14:paraId="561FE1CB" w14:textId="77777777" w:rsidR="00131F6B" w:rsidRPr="00505FE9" w:rsidRDefault="00131F6B">
      <w:pPr>
        <w:spacing w:line="360" w:lineRule="auto"/>
        <w:jc w:val="both"/>
        <w:rPr>
          <w:rFonts w:ascii="Palatino Linotype" w:eastAsia="Palatino Linotype" w:hAnsi="Palatino Linotype" w:cs="Palatino Linotype"/>
        </w:rPr>
      </w:pPr>
    </w:p>
    <w:p w14:paraId="20261BFD" w14:textId="77777777" w:rsidR="00131F6B" w:rsidRPr="00505FE9" w:rsidRDefault="002459A5">
      <w:pPr>
        <w:numPr>
          <w:ilvl w:val="0"/>
          <w:numId w:val="4"/>
        </w:num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Conducta de la Autoridad: Las Acciones u omisiones realizadas en el procedimiento. Así como si la autoridad actuó con la debida diligencia.</w:t>
      </w:r>
    </w:p>
    <w:p w14:paraId="710C7A52" w14:textId="77777777" w:rsidR="00131F6B" w:rsidRPr="00505FE9" w:rsidRDefault="00131F6B">
      <w:pPr>
        <w:spacing w:line="360" w:lineRule="auto"/>
        <w:ind w:left="708"/>
        <w:rPr>
          <w:rFonts w:ascii="Palatino Linotype" w:eastAsia="Palatino Linotype" w:hAnsi="Palatino Linotype" w:cs="Palatino Linotype"/>
        </w:rPr>
      </w:pPr>
    </w:p>
    <w:p w14:paraId="06BD8B96" w14:textId="77777777" w:rsidR="00131F6B" w:rsidRPr="00505FE9" w:rsidRDefault="002459A5">
      <w:pPr>
        <w:spacing w:line="360" w:lineRule="auto"/>
        <w:ind w:left="993" w:hanging="426"/>
        <w:jc w:val="both"/>
        <w:rPr>
          <w:rFonts w:ascii="Palatino Linotype" w:eastAsia="Palatino Linotype" w:hAnsi="Palatino Linotype" w:cs="Palatino Linotype"/>
        </w:rPr>
      </w:pPr>
      <w:r w:rsidRPr="00505FE9">
        <w:rPr>
          <w:rFonts w:ascii="Palatino Linotype" w:eastAsia="Palatino Linotype" w:hAnsi="Palatino Linotype" w:cs="Palatino Linotype"/>
        </w:rPr>
        <w:t>d) La afectación generada en la situación jurídica de la persona involucrada en el proceso: Violación a sus derechos humanos.</w:t>
      </w:r>
    </w:p>
    <w:p w14:paraId="30A0AD45" w14:textId="77777777" w:rsidR="00131F6B" w:rsidRPr="00505FE9" w:rsidRDefault="00131F6B">
      <w:pPr>
        <w:spacing w:line="360" w:lineRule="auto"/>
        <w:jc w:val="both"/>
        <w:rPr>
          <w:rFonts w:ascii="Palatino Linotype" w:eastAsia="Palatino Linotype" w:hAnsi="Palatino Linotype" w:cs="Palatino Linotype"/>
        </w:rPr>
      </w:pPr>
    </w:p>
    <w:p w14:paraId="1F23F740"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41D11B28" w14:textId="77777777" w:rsidR="00131F6B" w:rsidRPr="00505FE9" w:rsidRDefault="00131F6B">
      <w:pPr>
        <w:spacing w:line="360" w:lineRule="auto"/>
        <w:jc w:val="both"/>
        <w:rPr>
          <w:rFonts w:ascii="Palatino Linotype" w:eastAsia="Palatino Linotype" w:hAnsi="Palatino Linotype" w:cs="Palatino Linotype"/>
        </w:rPr>
      </w:pPr>
    </w:p>
    <w:p w14:paraId="0E0B9D42" w14:textId="77777777" w:rsidR="00131F6B" w:rsidRPr="00505FE9" w:rsidRDefault="002459A5">
      <w:pPr>
        <w:spacing w:line="360" w:lineRule="auto"/>
        <w:jc w:val="both"/>
        <w:rPr>
          <w:rFonts w:ascii="Palatino Linotype" w:eastAsia="Palatino Linotype" w:hAnsi="Palatino Linotype" w:cs="Palatino Linotype"/>
          <w:b/>
        </w:rPr>
      </w:pPr>
      <w:r w:rsidRPr="00505FE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505FE9">
        <w:rPr>
          <w:rFonts w:ascii="Palatino Linotype" w:eastAsia="Palatino Linotype" w:hAnsi="Palatino Linotype" w:cs="Palatino Linotype"/>
          <w:i/>
        </w:rPr>
        <w:t>“TÉRMINOS PROCESALES. PARA DETERMINAR SI UN FUNCIONARIO JUDICIAL ACTUÓ INDEBIDAMENTE POR NO RESPETARLOS SE DEBE ATENDER AL PRESUPUESTO QUE CONSIDERÓ EL LEGISLADOR AL FIJARLOS Y LAS CARACTERÍSTICAS DEL CASO.”</w:t>
      </w:r>
      <w:r w:rsidRPr="00505FE9">
        <w:rPr>
          <w:rFonts w:ascii="Palatino Linotype" w:eastAsia="Palatino Linotype" w:hAnsi="Palatino Linotype" w:cs="Palatino Linotype"/>
        </w:rPr>
        <w:t>, visible en la Gaceta del Seminario Judicial de la Federación con el registro digital 205635.</w:t>
      </w:r>
    </w:p>
    <w:p w14:paraId="6E9CAAA4" w14:textId="77777777" w:rsidR="00131F6B" w:rsidRPr="00505FE9" w:rsidRDefault="00131F6B">
      <w:pPr>
        <w:spacing w:line="360" w:lineRule="auto"/>
        <w:jc w:val="both"/>
        <w:rPr>
          <w:rFonts w:ascii="Palatino Linotype" w:eastAsia="Palatino Linotype" w:hAnsi="Palatino Linotype" w:cs="Palatino Linotype"/>
        </w:rPr>
      </w:pPr>
    </w:p>
    <w:p w14:paraId="0B4B423A"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1386D3B" w14:textId="77777777" w:rsidR="00131F6B" w:rsidRPr="00505FE9" w:rsidRDefault="00131F6B">
      <w:pPr>
        <w:spacing w:line="360" w:lineRule="auto"/>
        <w:jc w:val="both"/>
        <w:rPr>
          <w:rFonts w:ascii="Palatino Linotype" w:eastAsia="Palatino Linotype" w:hAnsi="Palatino Linotype" w:cs="Palatino Linotype"/>
        </w:rPr>
      </w:pPr>
    </w:p>
    <w:p w14:paraId="4CC3592F"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7D41375D" w14:textId="77777777" w:rsidR="00131F6B" w:rsidRPr="00505FE9" w:rsidRDefault="00131F6B">
      <w:pPr>
        <w:spacing w:line="360" w:lineRule="auto"/>
        <w:jc w:val="both"/>
        <w:rPr>
          <w:rFonts w:ascii="Palatino Linotype" w:eastAsia="Palatino Linotype" w:hAnsi="Palatino Linotype" w:cs="Palatino Linotype"/>
        </w:rPr>
      </w:pPr>
    </w:p>
    <w:p w14:paraId="49F5DC14"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 </w:t>
      </w:r>
      <w:r w:rsidRPr="00505FE9">
        <w:rPr>
          <w:rFonts w:ascii="Palatino Linotype" w:eastAsia="Palatino Linotype" w:hAnsi="Palatino Linotype" w:cs="Palatino Linotype"/>
          <w:i/>
        </w:rPr>
        <w:t>“PLAZO RAZONABLE PARA RESOLVER. DIMENSIÓN Y EFECTOS DE ESTE CONCEPTO CUANDO SE ADUCE EXCESIVA CARGA DE TRABAJO.”</w:t>
      </w:r>
      <w:r w:rsidRPr="00505FE9">
        <w:rPr>
          <w:rFonts w:ascii="Palatino Linotype" w:eastAsia="Palatino Linotype" w:hAnsi="Palatino Linotype" w:cs="Palatino Linotype"/>
        </w:rPr>
        <w:t xml:space="preserve"> consultable en el Seminario Judicial de la Federación y su gaceta, con el registro digital 2002351.</w:t>
      </w:r>
    </w:p>
    <w:p w14:paraId="7808B751" w14:textId="77777777" w:rsidR="00131F6B" w:rsidRPr="00505FE9" w:rsidRDefault="00131F6B">
      <w:pPr>
        <w:spacing w:line="360" w:lineRule="auto"/>
        <w:jc w:val="both"/>
        <w:rPr>
          <w:rFonts w:ascii="Palatino Linotype" w:eastAsia="Palatino Linotype" w:hAnsi="Palatino Linotype" w:cs="Palatino Linotype"/>
          <w:b/>
        </w:rPr>
      </w:pPr>
    </w:p>
    <w:p w14:paraId="016D8648"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i/>
        </w:rPr>
        <w:t>“PLAZO RAZONABLE PARA RESOLVER. CONCEPTO Y ELEMENTOS QUE LO INTEGRAN A LA LUZ DEL DERECHO INTERNACIONAL DE LOS DERECHOS HUMANOS.”</w:t>
      </w:r>
      <w:r w:rsidRPr="00505FE9">
        <w:rPr>
          <w:rFonts w:ascii="Palatino Linotype" w:eastAsia="Palatino Linotype" w:hAnsi="Palatino Linotype" w:cs="Palatino Linotype"/>
        </w:rPr>
        <w:t>, visible en el Seminario Judicial de la Federación y su gaceta, con el registro digital 2002350.</w:t>
      </w:r>
    </w:p>
    <w:p w14:paraId="61C52257" w14:textId="77777777" w:rsidR="00131F6B" w:rsidRPr="00505FE9" w:rsidRDefault="00131F6B">
      <w:pPr>
        <w:spacing w:line="360" w:lineRule="auto"/>
        <w:jc w:val="both"/>
        <w:rPr>
          <w:rFonts w:ascii="Palatino Linotype" w:eastAsia="Palatino Linotype" w:hAnsi="Palatino Linotype" w:cs="Palatino Linotype"/>
        </w:rPr>
      </w:pPr>
    </w:p>
    <w:p w14:paraId="62C3478F"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Por ello, este organismo garante comprometido con la tutela de los derechos humanos confiados, señala que este exceso del plazo legal para resolver el presente asunto, resulta de carácter excepcional.</w:t>
      </w:r>
    </w:p>
    <w:p w14:paraId="789D2A16" w14:textId="77777777" w:rsidR="00131F6B" w:rsidRPr="00505FE9" w:rsidRDefault="00131F6B">
      <w:pPr>
        <w:spacing w:line="360" w:lineRule="auto"/>
        <w:jc w:val="both"/>
        <w:rPr>
          <w:rFonts w:ascii="Palatino Linotype" w:eastAsia="Palatino Linotype" w:hAnsi="Palatino Linotype" w:cs="Palatino Linotype"/>
        </w:rPr>
      </w:pPr>
    </w:p>
    <w:p w14:paraId="406498D6" w14:textId="77777777" w:rsidR="00131F6B" w:rsidRPr="00505FE9" w:rsidRDefault="002459A5">
      <w:pPr>
        <w:spacing w:line="360" w:lineRule="auto"/>
        <w:jc w:val="both"/>
      </w:pPr>
      <w:r w:rsidRPr="00505FE9">
        <w:rPr>
          <w:rFonts w:ascii="Palatino Linotype" w:eastAsia="Palatino Linotype" w:hAnsi="Palatino Linotype" w:cs="Palatino Linotype"/>
          <w:b/>
        </w:rPr>
        <w:t xml:space="preserve">9. Cierre de instrucción. </w:t>
      </w:r>
      <w:r w:rsidRPr="00505FE9">
        <w:rPr>
          <w:rFonts w:ascii="Palatino Linotype" w:eastAsia="Palatino Linotype" w:hAnsi="Palatino Linotype" w:cs="Palatino Linotype"/>
        </w:rPr>
        <w:t xml:space="preserve">En fecha </w:t>
      </w:r>
      <w:r w:rsidRPr="00505FE9">
        <w:rPr>
          <w:rFonts w:ascii="Palatino Linotype" w:eastAsia="Palatino Linotype" w:hAnsi="Palatino Linotype" w:cs="Palatino Linotype"/>
          <w:b/>
        </w:rPr>
        <w:t>veinticuatro de agosto del año dos mil veintidós</w:t>
      </w:r>
      <w:r w:rsidRPr="00505FE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6E48138B"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5E22B87A" w14:textId="77777777" w:rsidR="00131F6B" w:rsidRPr="00505FE9" w:rsidRDefault="002459A5">
      <w:pPr>
        <w:numPr>
          <w:ilvl w:val="0"/>
          <w:numId w:val="3"/>
        </w:numPr>
        <w:pBdr>
          <w:top w:val="nil"/>
          <w:left w:val="nil"/>
          <w:bottom w:val="nil"/>
          <w:right w:val="nil"/>
          <w:between w:val="nil"/>
        </w:pBdr>
        <w:spacing w:before="240" w:after="240" w:line="360" w:lineRule="auto"/>
        <w:ind w:left="720"/>
        <w:jc w:val="center"/>
        <w:rPr>
          <w:rFonts w:ascii="Palatino Linotype" w:eastAsia="Palatino Linotype" w:hAnsi="Palatino Linotype" w:cs="Palatino Linotype"/>
          <w:b/>
          <w:sz w:val="22"/>
          <w:szCs w:val="22"/>
        </w:rPr>
      </w:pPr>
      <w:bookmarkStart w:id="3" w:name="_heading=h.30j0zll" w:colFirst="0" w:colLast="0"/>
      <w:bookmarkEnd w:id="3"/>
      <w:r w:rsidRPr="00505FE9">
        <w:rPr>
          <w:rFonts w:ascii="Palatino Linotype" w:eastAsia="Palatino Linotype" w:hAnsi="Palatino Linotype" w:cs="Palatino Linotype"/>
          <w:b/>
          <w:sz w:val="22"/>
          <w:szCs w:val="22"/>
        </w:rPr>
        <w:t>C O N S I D E R A N D O</w:t>
      </w:r>
    </w:p>
    <w:p w14:paraId="750BF942"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Primero. Competencia. </w:t>
      </w:r>
      <w:r w:rsidRPr="00505FE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XXIV y 11 del Reglamento Interior del Instituto de Transparencia, Acceso a la Información Pública y Protección de Datos Personales del Estado de México y Municipios.</w:t>
      </w:r>
    </w:p>
    <w:p w14:paraId="67664A1E"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Segundo. Oportunidad y Procedibilidad del Recurso de Revisión</w:t>
      </w:r>
      <w:r w:rsidRPr="00505FE9">
        <w:rPr>
          <w:rFonts w:ascii="Palatino Linotype" w:eastAsia="Palatino Linotype" w:hAnsi="Palatino Linotype" w:cs="Palatino Linotype"/>
        </w:rPr>
        <w:t>.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14:paraId="5A364587"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El recurso de revisión fue interpuesto dentro del plazo de quince días hábiles, previsto en el artículo 178 de la Ley de Transparencia y Acceso a la Información Pública del Estado de México y Municipios, ya que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proporcionó su respuesta a la solicitud de información el dieciséis de mayo del dos mil veintidós, y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presentó su recurso de revisión el dieciséis de mayo del mismo año, esto el mismo día en que tuvo conocimiento de la respuesta.</w:t>
      </w:r>
    </w:p>
    <w:p w14:paraId="6F1623B5"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3F64C486" w14:textId="77777777" w:rsidR="00131F6B" w:rsidRPr="00505FE9" w:rsidRDefault="002459A5">
      <w:pPr>
        <w:spacing w:before="240" w:after="240" w:line="276" w:lineRule="auto"/>
        <w:ind w:left="1134"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“RECURSO DE RECLAMACIÓN. SU INTERPOSICIÓN NO ES EXTEMPORÁNEA SI SE REALIZA ANTES DE QUE INICIE EL PLAZO PARA HACERLO.</w:t>
      </w:r>
    </w:p>
    <w:p w14:paraId="17D42691" w14:textId="77777777" w:rsidR="00131F6B" w:rsidRPr="00505FE9" w:rsidRDefault="002459A5">
      <w:pPr>
        <w:spacing w:before="240" w:after="240" w:line="276" w:lineRule="auto"/>
        <w:ind w:left="1134"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40D85301"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cuanto hace a la procedibilidad del recurso de revisión, es de suma importancia señalar que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no señaló nombre o seudónimo con el cual desee ser identificado, como se advierte en el detalle de seguimiento del SAIMEX, no obstante lo anterior, no proporcionar el nombre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45F52E65" w14:textId="77777777" w:rsidR="00131F6B" w:rsidRPr="00505FE9" w:rsidRDefault="002459A5">
      <w:pPr>
        <w:spacing w:before="240" w:after="240" w:line="276" w:lineRule="auto"/>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Las solicitudes anónimas</w:t>
      </w:r>
      <w:r w:rsidRPr="00505FE9">
        <w:rPr>
          <w:rFonts w:ascii="Palatino Linotype" w:eastAsia="Palatino Linotype" w:hAnsi="Palatino Linotype" w:cs="Palatino Linotype"/>
          <w:i/>
          <w:sz w:val="22"/>
          <w:szCs w:val="22"/>
        </w:rPr>
        <w:t xml:space="preserve">, con nombre incompleto o seudónimo </w:t>
      </w:r>
      <w:r w:rsidRPr="00505FE9">
        <w:rPr>
          <w:rFonts w:ascii="Palatino Linotype" w:eastAsia="Palatino Linotype" w:hAnsi="Palatino Linotype" w:cs="Palatino Linotype"/>
          <w:b/>
          <w:i/>
          <w:sz w:val="22"/>
          <w:szCs w:val="22"/>
        </w:rPr>
        <w:t>serán procedentes para su trámite por parte del sujeto obligado ante quien se presente</w:t>
      </w:r>
      <w:r w:rsidRPr="00505FE9">
        <w:rPr>
          <w:rFonts w:ascii="Palatino Linotype" w:eastAsia="Palatino Linotype" w:hAnsi="Palatino Linotype" w:cs="Palatino Linotype"/>
          <w:i/>
          <w:sz w:val="22"/>
          <w:szCs w:val="22"/>
        </w:rPr>
        <w:t>. No podrá requerirse información adicional con motivo del nombre proporcionado por el solicitante."(Sic)</w:t>
      </w:r>
    </w:p>
    <w:p w14:paraId="6A01BB25"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14:paraId="5F756E34"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Asimismo, resulta procedente la interposición del recurso de revisión al rubro anotado, toda vez que se actualiza las hipótesis previstas en el artículo 179, fracción V de la ley de la materia, que a la letra dice:</w:t>
      </w:r>
    </w:p>
    <w:p w14:paraId="3711B315" w14:textId="77777777" w:rsidR="00131F6B" w:rsidRPr="00505FE9" w:rsidRDefault="002459A5">
      <w:pPr>
        <w:ind w:left="1276" w:right="175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 xml:space="preserve">Artículo 179. </w:t>
      </w:r>
      <w:r w:rsidRPr="00505FE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w:t>
      </w:r>
      <w:r w:rsidRPr="00505FE9">
        <w:rPr>
          <w:rFonts w:ascii="Palatino Linotype" w:eastAsia="Palatino Linotype" w:hAnsi="Palatino Linotype" w:cs="Palatino Linotype"/>
          <w:i/>
        </w:rPr>
        <w:t>causas</w:t>
      </w:r>
      <w:r w:rsidRPr="00505FE9">
        <w:rPr>
          <w:rFonts w:ascii="Palatino Linotype" w:eastAsia="Palatino Linotype" w:hAnsi="Palatino Linotype" w:cs="Palatino Linotype"/>
          <w:i/>
          <w:sz w:val="22"/>
          <w:szCs w:val="22"/>
        </w:rPr>
        <w:t>:</w:t>
      </w:r>
    </w:p>
    <w:p w14:paraId="3D0FFF93" w14:textId="77777777" w:rsidR="00131F6B" w:rsidRPr="00505FE9" w:rsidRDefault="00131F6B">
      <w:pPr>
        <w:ind w:right="1752"/>
        <w:jc w:val="both"/>
        <w:rPr>
          <w:rFonts w:ascii="Palatino Linotype" w:eastAsia="Palatino Linotype" w:hAnsi="Palatino Linotype" w:cs="Palatino Linotype"/>
          <w:i/>
          <w:sz w:val="22"/>
          <w:szCs w:val="22"/>
        </w:rPr>
      </w:pPr>
    </w:p>
    <w:p w14:paraId="29CC872A" w14:textId="77777777" w:rsidR="00131F6B" w:rsidRPr="00505FE9" w:rsidRDefault="002459A5">
      <w:pPr>
        <w:ind w:left="1985" w:right="1752" w:hanging="709"/>
        <w:jc w:val="both"/>
        <w:rPr>
          <w:rFonts w:ascii="Palatino Linotype" w:eastAsia="Palatino Linotype" w:hAnsi="Palatino Linotype" w:cs="Palatino Linotype"/>
          <w:b/>
          <w:i/>
          <w:sz w:val="22"/>
          <w:szCs w:val="22"/>
        </w:rPr>
      </w:pPr>
      <w:r w:rsidRPr="00505FE9">
        <w:rPr>
          <w:rFonts w:ascii="Palatino Linotype" w:eastAsia="Palatino Linotype" w:hAnsi="Palatino Linotype" w:cs="Palatino Linotype"/>
          <w:b/>
          <w:i/>
          <w:sz w:val="22"/>
          <w:szCs w:val="22"/>
        </w:rPr>
        <w:t>V. La entrega de información incompleta;” (Sic)</w:t>
      </w:r>
    </w:p>
    <w:p w14:paraId="266A2B27" w14:textId="77777777" w:rsidR="00131F6B" w:rsidRPr="00505FE9" w:rsidRDefault="002459A5">
      <w:pPr>
        <w:pBdr>
          <w:top w:val="nil"/>
          <w:left w:val="nil"/>
          <w:bottom w:val="nil"/>
          <w:right w:val="nil"/>
          <w:between w:val="nil"/>
        </w:pBdr>
        <w:spacing w:before="280" w:after="280" w:line="360" w:lineRule="auto"/>
        <w:jc w:val="both"/>
      </w:pPr>
      <w:r w:rsidRPr="00505FE9">
        <w:rPr>
          <w:rFonts w:ascii="Palatino Linotype" w:eastAsia="Palatino Linotype" w:hAnsi="Palatino Linotype" w:cs="Palatino Linotype"/>
          <w:b/>
        </w:rPr>
        <w:t xml:space="preserve">Tercero. Materia de la revisión. </w:t>
      </w:r>
      <w:r w:rsidRPr="00505FE9">
        <w:rPr>
          <w:rFonts w:ascii="Palatino Linotype" w:eastAsia="Palatino Linotype" w:hAnsi="Palatino Linotype" w:cs="Palatino Linotype"/>
        </w:rPr>
        <w:t xml:space="preserve">De la revisión a las constancias y documentos que obran en el expediente electrónico se advierte, que el tema sobre el que este Órgano Garante de Transparencia y Acceso a la Información se pronunciará será: </w:t>
      </w:r>
      <w:r w:rsidRPr="00505FE9">
        <w:rPr>
          <w:rFonts w:ascii="Palatino Linotype" w:eastAsia="Palatino Linotype" w:hAnsi="Palatino Linotype" w:cs="Palatino Linotype"/>
          <w:b/>
        </w:rPr>
        <w:t xml:space="preserve">verificar si la respuesta otorgada por el SUJETO OBLIGADO es adecuada y suficiente para satisfacer el derecho de acceso a la información pública </w:t>
      </w:r>
      <w:r w:rsidRPr="00505FE9">
        <w:rPr>
          <w:rFonts w:ascii="Palatino Linotype" w:eastAsia="Palatino Linotype" w:hAnsi="Palatino Linotype" w:cs="Palatino Linotype"/>
        </w:rPr>
        <w:t xml:space="preserve">de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o en su defecto, en caso de ser procedente, ordenar la entrega de información oportuna.</w:t>
      </w:r>
    </w:p>
    <w:p w14:paraId="5206494A"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Cuarto. Estudio del asunto. </w:t>
      </w:r>
      <w:r w:rsidRPr="00505FE9">
        <w:rPr>
          <w:rFonts w:ascii="Palatino Linotype" w:eastAsia="Palatino Linotype" w:hAnsi="Palatino Linotype" w:cs="Palatino Linotype"/>
        </w:rPr>
        <w:t>En primer término, se estima pertinente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563678B8" w14:textId="77777777" w:rsidR="00131F6B" w:rsidRPr="00505FE9" w:rsidRDefault="002459A5">
      <w:pPr>
        <w:tabs>
          <w:tab w:val="left" w:pos="709"/>
        </w:tabs>
        <w:spacing w:line="276" w:lineRule="auto"/>
        <w:ind w:left="851" w:right="85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505FE9">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02C206B6" w14:textId="77777777" w:rsidR="00131F6B" w:rsidRPr="00505FE9" w:rsidRDefault="002459A5">
      <w:pPr>
        <w:tabs>
          <w:tab w:val="left" w:pos="709"/>
        </w:tabs>
        <w:spacing w:line="276" w:lineRule="auto"/>
        <w:ind w:left="851" w:right="850"/>
        <w:jc w:val="both"/>
        <w:rPr>
          <w:rFonts w:ascii="Palatino Linotype" w:eastAsia="Palatino Linotype" w:hAnsi="Palatino Linotype" w:cs="Palatino Linotype"/>
          <w:b/>
          <w:i/>
          <w:sz w:val="22"/>
          <w:szCs w:val="22"/>
        </w:rPr>
      </w:pPr>
      <w:r w:rsidRPr="00505FE9">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8881BC1" w14:textId="77777777" w:rsidR="00131F6B" w:rsidRPr="00505FE9" w:rsidRDefault="002459A5">
      <w:pPr>
        <w:tabs>
          <w:tab w:val="left" w:pos="709"/>
        </w:tabs>
        <w:spacing w:line="276" w:lineRule="auto"/>
        <w:ind w:left="851" w:right="85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505FE9">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489D9854" w14:textId="77777777" w:rsidR="00131F6B" w:rsidRPr="00505FE9" w:rsidRDefault="002459A5">
      <w:pPr>
        <w:tabs>
          <w:tab w:val="left" w:pos="709"/>
        </w:tabs>
        <w:ind w:left="851" w:right="85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60E9977E" w14:textId="77777777" w:rsidR="00131F6B" w:rsidRPr="00505FE9" w:rsidRDefault="002459A5">
      <w:pPr>
        <w:ind w:left="851" w:right="90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“Artículo 6o.</w:t>
      </w:r>
    </w:p>
    <w:p w14:paraId="7C65B9D3" w14:textId="77777777" w:rsidR="00131F6B" w:rsidRPr="00505FE9" w:rsidRDefault="002459A5">
      <w:pPr>
        <w:ind w:left="851" w:right="90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6596D9EC"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A. Para el ejercicio del derecho de acceso a la información, la Federación y </w:t>
      </w:r>
      <w:r w:rsidRPr="00505FE9">
        <w:rPr>
          <w:rFonts w:ascii="Palatino Linotype" w:eastAsia="Palatino Linotype" w:hAnsi="Palatino Linotype" w:cs="Palatino Linotype"/>
          <w:b/>
          <w:i/>
          <w:sz w:val="22"/>
          <w:szCs w:val="22"/>
          <w:u w:val="single"/>
        </w:rPr>
        <w:t>las entidades federativas</w:t>
      </w:r>
      <w:r w:rsidRPr="00505FE9">
        <w:rPr>
          <w:rFonts w:ascii="Palatino Linotype" w:eastAsia="Palatino Linotype" w:hAnsi="Palatino Linotype" w:cs="Palatino Linotype"/>
          <w:b/>
          <w:i/>
          <w:sz w:val="22"/>
          <w:szCs w:val="22"/>
        </w:rPr>
        <w:t>,</w:t>
      </w:r>
      <w:r w:rsidRPr="00505FE9">
        <w:rPr>
          <w:rFonts w:ascii="Palatino Linotype" w:eastAsia="Palatino Linotype" w:hAnsi="Palatino Linotype" w:cs="Palatino Linotype"/>
          <w:i/>
          <w:sz w:val="22"/>
          <w:szCs w:val="22"/>
        </w:rPr>
        <w:t xml:space="preserve"> en el ámbito de sus respectivas competencias, se regirán por los siguientes principios y bases:</w:t>
      </w:r>
    </w:p>
    <w:p w14:paraId="67331FC1"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2F5613F8"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I. </w:t>
      </w:r>
      <w:r w:rsidRPr="00505FE9">
        <w:rPr>
          <w:rFonts w:ascii="Palatino Linotype" w:eastAsia="Palatino Linotype" w:hAnsi="Palatino Linotype" w:cs="Palatino Linotype"/>
          <w:b/>
          <w:i/>
          <w:sz w:val="22"/>
          <w:szCs w:val="22"/>
          <w:u w:val="single"/>
        </w:rPr>
        <w:t>Toda la información en posesión de cualquier autoridad, entidad, órgano y organismo de los Poderes</w:t>
      </w:r>
      <w:r w:rsidRPr="00505FE9">
        <w:rPr>
          <w:rFonts w:ascii="Palatino Linotype" w:eastAsia="Palatino Linotype" w:hAnsi="Palatino Linotype" w:cs="Palatino Linotype"/>
          <w:i/>
          <w:sz w:val="22"/>
          <w:szCs w:val="22"/>
        </w:rPr>
        <w:t xml:space="preserve"> Ejecutivo, Legislativo </w:t>
      </w:r>
      <w:r w:rsidRPr="00505FE9">
        <w:rPr>
          <w:rFonts w:ascii="Palatino Linotype" w:eastAsia="Palatino Linotype" w:hAnsi="Palatino Linotype" w:cs="Palatino Linotype"/>
          <w:b/>
          <w:i/>
          <w:sz w:val="22"/>
          <w:szCs w:val="22"/>
          <w:u w:val="single"/>
        </w:rPr>
        <w:t>y Judicial</w:t>
      </w:r>
      <w:r w:rsidRPr="00505FE9">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505FE9">
        <w:rPr>
          <w:rFonts w:ascii="Palatino Linotype" w:eastAsia="Palatino Linotype" w:hAnsi="Palatino Linotype" w:cs="Palatino Linotype"/>
          <w:b/>
          <w:i/>
          <w:sz w:val="22"/>
          <w:szCs w:val="22"/>
        </w:rPr>
        <w:t>es pública y sólo podrá ser reservada temporalmente por razones de interés público y seguridad nacional,</w:t>
      </w:r>
      <w:r w:rsidRPr="00505FE9">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448D74E"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49788661" w14:textId="77777777" w:rsidR="00131F6B" w:rsidRPr="00505FE9" w:rsidRDefault="002459A5">
      <w:pPr>
        <w:spacing w:line="276" w:lineRule="auto"/>
        <w:ind w:left="851" w:right="851"/>
        <w:jc w:val="both"/>
        <w:rPr>
          <w:rFonts w:ascii="Palatino Linotype" w:eastAsia="Palatino Linotype" w:hAnsi="Palatino Linotype" w:cs="Palatino Linotype"/>
          <w:b/>
          <w:i/>
          <w:sz w:val="22"/>
          <w:szCs w:val="22"/>
        </w:rPr>
      </w:pPr>
      <w:r w:rsidRPr="00505FE9">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2FC8162C"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2A077525"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III. </w:t>
      </w:r>
      <w:r w:rsidRPr="00505FE9">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505FE9">
        <w:rPr>
          <w:rFonts w:ascii="Palatino Linotype" w:eastAsia="Palatino Linotype" w:hAnsi="Palatino Linotype" w:cs="Palatino Linotype"/>
          <w:i/>
          <w:sz w:val="22"/>
          <w:szCs w:val="22"/>
        </w:rPr>
        <w:t xml:space="preserve"> a sus datos personales o a la rectificación de éstos.</w:t>
      </w:r>
    </w:p>
    <w:p w14:paraId="7B25DA24"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762E7EC7"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IV. </w:t>
      </w:r>
      <w:r w:rsidRPr="00505FE9">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70C2811D" w14:textId="77777777" w:rsidR="00131F6B" w:rsidRPr="00505FE9" w:rsidRDefault="00131F6B">
      <w:pPr>
        <w:spacing w:line="276" w:lineRule="auto"/>
        <w:ind w:left="851" w:right="851"/>
        <w:jc w:val="both"/>
        <w:rPr>
          <w:rFonts w:ascii="Palatino Linotype" w:eastAsia="Palatino Linotype" w:hAnsi="Palatino Linotype" w:cs="Palatino Linotype"/>
          <w:i/>
          <w:sz w:val="22"/>
          <w:szCs w:val="22"/>
        </w:rPr>
      </w:pPr>
    </w:p>
    <w:p w14:paraId="70E03A3B"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V. </w:t>
      </w:r>
      <w:r w:rsidRPr="00505FE9">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526DDA5"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1F11F8A8"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VI. </w:t>
      </w:r>
      <w:r w:rsidRPr="00505FE9">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0F7D0639"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w:t>
      </w:r>
    </w:p>
    <w:p w14:paraId="4A646D3B" w14:textId="77777777" w:rsidR="00131F6B" w:rsidRPr="00505FE9" w:rsidRDefault="002459A5">
      <w:pPr>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VII. </w:t>
      </w:r>
      <w:r w:rsidRPr="00505FE9">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w:t>
      </w:r>
    </w:p>
    <w:p w14:paraId="09BF56F0" w14:textId="77777777" w:rsidR="00131F6B" w:rsidRPr="00505FE9" w:rsidRDefault="00131F6B">
      <w:pPr>
        <w:ind w:right="851"/>
        <w:jc w:val="both"/>
        <w:rPr>
          <w:rFonts w:ascii="Palatino Linotype" w:eastAsia="Palatino Linotype" w:hAnsi="Palatino Linotype" w:cs="Palatino Linotype"/>
          <w:i/>
          <w:sz w:val="22"/>
          <w:szCs w:val="22"/>
        </w:rPr>
      </w:pPr>
    </w:p>
    <w:p w14:paraId="0C76FB40" w14:textId="77777777" w:rsidR="00131F6B" w:rsidRPr="00505FE9" w:rsidRDefault="002459A5">
      <w:pPr>
        <w:tabs>
          <w:tab w:val="left" w:pos="709"/>
        </w:tabs>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el presente sujeto obligado debe cumplir con dichos dispositivos legales.</w:t>
      </w:r>
    </w:p>
    <w:p w14:paraId="4B91735B" w14:textId="77777777" w:rsidR="00131F6B" w:rsidRPr="00505FE9" w:rsidRDefault="002459A5">
      <w:pPr>
        <w:spacing w:before="12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En primer lugar, es conveniente analizar si la respuesta del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cumple con los requisitos y procedimientos del derecho de acceso a la información pública, en atención a que en la Ley de Transparencia y Acceso a la Información Pública del Estado de México y Municipios en su artículo 4,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trascribe para un mejor entendimiento:</w:t>
      </w:r>
    </w:p>
    <w:p w14:paraId="2603513D" w14:textId="77777777" w:rsidR="00131F6B" w:rsidRPr="00505FE9" w:rsidRDefault="002459A5">
      <w:pPr>
        <w:spacing w:before="240" w:line="276" w:lineRule="auto"/>
        <w:ind w:left="709" w:right="76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Artículo 4.</w:t>
      </w:r>
      <w:r w:rsidRPr="00505FE9">
        <w:rPr>
          <w:rFonts w:ascii="Palatino Linotype" w:eastAsia="Palatino Linotype" w:hAnsi="Palatino Linotype" w:cs="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w:t>
      </w:r>
    </w:p>
    <w:p w14:paraId="68504934" w14:textId="77777777" w:rsidR="00131F6B" w:rsidRPr="00505FE9" w:rsidRDefault="00131F6B">
      <w:pPr>
        <w:spacing w:before="240" w:line="276" w:lineRule="auto"/>
        <w:ind w:left="709" w:right="760"/>
        <w:jc w:val="both"/>
        <w:rPr>
          <w:rFonts w:ascii="Palatino Linotype" w:eastAsia="Palatino Linotype" w:hAnsi="Palatino Linotype" w:cs="Palatino Linotype"/>
          <w:i/>
          <w:sz w:val="22"/>
          <w:szCs w:val="22"/>
        </w:rPr>
      </w:pPr>
    </w:p>
    <w:p w14:paraId="6B154AFF" w14:textId="77777777" w:rsidR="00131F6B" w:rsidRPr="00505FE9" w:rsidRDefault="002459A5">
      <w:pPr>
        <w:spacing w:line="276" w:lineRule="auto"/>
        <w:ind w:left="709" w:right="76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Toda la información generada, obtenida, adquirida, transformada, administrada o en posesión de los sujetos obligados es pública y accesible de manera permanente a cualquier persona</w:t>
      </w:r>
      <w:r w:rsidRPr="00505FE9">
        <w:rPr>
          <w:rFonts w:ascii="Palatino Linotype" w:eastAsia="Palatino Linotype" w:hAnsi="Palatino Linotype" w:cs="Palatino Linotype"/>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14:paraId="2AEB0330" w14:textId="77777777" w:rsidR="00131F6B" w:rsidRPr="00505FE9" w:rsidRDefault="00131F6B">
      <w:pPr>
        <w:spacing w:line="276" w:lineRule="auto"/>
        <w:ind w:left="709" w:right="760"/>
        <w:jc w:val="both"/>
        <w:rPr>
          <w:rFonts w:ascii="Palatino Linotype" w:eastAsia="Palatino Linotype" w:hAnsi="Palatino Linotype" w:cs="Palatino Linotype"/>
          <w:i/>
          <w:sz w:val="22"/>
          <w:szCs w:val="22"/>
        </w:rPr>
      </w:pPr>
    </w:p>
    <w:p w14:paraId="14E6074E" w14:textId="77777777" w:rsidR="00131F6B" w:rsidRPr="00505FE9" w:rsidRDefault="002459A5">
      <w:pPr>
        <w:spacing w:line="276" w:lineRule="auto"/>
        <w:ind w:left="709" w:right="76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Los sujetos obligados deben poner en práctica, políticas y programas de acceso a la información que se apeguen a criterios de publicidad, veracidad, oportunidad, precisión y suficiencia en beneficio de los solicitantes</w:t>
      </w:r>
      <w:r w:rsidRPr="00505FE9">
        <w:rPr>
          <w:rFonts w:ascii="Palatino Linotype" w:eastAsia="Palatino Linotype" w:hAnsi="Palatino Linotype" w:cs="Palatino Linotype"/>
          <w:i/>
          <w:sz w:val="22"/>
          <w:szCs w:val="22"/>
        </w:rPr>
        <w:t>.”(Sic)</w:t>
      </w:r>
    </w:p>
    <w:p w14:paraId="57B2FE05" w14:textId="77777777" w:rsidR="00131F6B" w:rsidRPr="00505FE9" w:rsidRDefault="00131F6B">
      <w:pPr>
        <w:ind w:left="709" w:right="760"/>
        <w:jc w:val="both"/>
        <w:rPr>
          <w:rFonts w:ascii="Palatino Linotype" w:eastAsia="Palatino Linotype" w:hAnsi="Palatino Linotype" w:cs="Palatino Linotype"/>
          <w:i/>
        </w:rPr>
      </w:pPr>
    </w:p>
    <w:p w14:paraId="08C7F8FC"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De lo anterior, se desprende que los Sujetos Obligados tienen el deber de atender las solicitudes de acceso a la información pública que se les hagan de su conocimiento y proporcionar la información pública que obre en su poder conforme el estado que se encuentra y no hacer un procesamiento de la misma, ni presentarla conforme al interés del solicitante; como así lo establece el artículo 12 de la Ley de Transparencia y Acceso a la Información Pública del Estado de México y Municipios, el cual a la letra dice:</w:t>
      </w:r>
    </w:p>
    <w:p w14:paraId="7AA795FD" w14:textId="77777777" w:rsidR="00131F6B" w:rsidRPr="00505FE9" w:rsidRDefault="002459A5">
      <w:pPr>
        <w:spacing w:line="276" w:lineRule="auto"/>
        <w:ind w:left="567" w:right="758"/>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Artículo12.-</w:t>
      </w:r>
      <w:r w:rsidRPr="00505FE9">
        <w:rPr>
          <w:rFonts w:ascii="Palatino Linotype" w:eastAsia="Palatino Linotype" w:hAnsi="Palatino Linotype" w:cs="Palatino Linotype"/>
          <w:i/>
          <w:sz w:val="22"/>
          <w:szCs w:val="22"/>
        </w:rPr>
        <w:t xml:space="preserve"> Quienes generen, recopilen, administren, manejen, procesen, archiven o conserven información pública serán responsables de la misma en los términos de las disposiciones jurídicas aplicables. </w:t>
      </w:r>
    </w:p>
    <w:p w14:paraId="0A31FED4" w14:textId="77777777" w:rsidR="00131F6B" w:rsidRPr="00505FE9" w:rsidRDefault="00131F6B">
      <w:pPr>
        <w:spacing w:line="276" w:lineRule="auto"/>
        <w:ind w:left="567" w:right="758"/>
        <w:jc w:val="both"/>
        <w:rPr>
          <w:rFonts w:ascii="Palatino Linotype" w:eastAsia="Palatino Linotype" w:hAnsi="Palatino Linotype" w:cs="Palatino Linotype"/>
          <w:i/>
          <w:sz w:val="22"/>
          <w:szCs w:val="22"/>
        </w:rPr>
      </w:pPr>
    </w:p>
    <w:p w14:paraId="3B09BE7E" w14:textId="77777777" w:rsidR="00131F6B" w:rsidRPr="00505FE9" w:rsidRDefault="002459A5">
      <w:pPr>
        <w:spacing w:line="276" w:lineRule="auto"/>
        <w:ind w:left="567" w:right="758"/>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Los sujetos obligados sólo proporcionarán la información pública que se les requiera y que obre en sus archivos y en el estado en que ésta se encuentre</w:t>
      </w:r>
      <w:r w:rsidRPr="00505FE9">
        <w:rPr>
          <w:rFonts w:ascii="Palatino Linotype" w:eastAsia="Palatino Linotype" w:hAnsi="Palatino Linotype" w:cs="Palatino Linotype"/>
          <w:i/>
          <w:sz w:val="22"/>
          <w:szCs w:val="22"/>
        </w:rPr>
        <w:t xml:space="preserve">. </w:t>
      </w:r>
      <w:r w:rsidRPr="00505FE9">
        <w:rPr>
          <w:rFonts w:ascii="Palatino Linotype" w:eastAsia="Palatino Linotype" w:hAnsi="Palatino Linotype" w:cs="Palatino Linotype"/>
          <w:b/>
          <w:i/>
          <w:sz w:val="22"/>
          <w:szCs w:val="22"/>
        </w:rPr>
        <w:t>La obligación de proporcionar información no comprende el procesamiento de la misma, ni el presentarla conforme al interés del solicitante; no estarán obligados a generarla, resumirla, efectuar cálculos o practicar investigaciones.” (Sic)</w:t>
      </w:r>
    </w:p>
    <w:p w14:paraId="7FDDB971" w14:textId="77777777" w:rsidR="00131F6B" w:rsidRPr="00505FE9" w:rsidRDefault="00131F6B">
      <w:pPr>
        <w:spacing w:line="360" w:lineRule="auto"/>
        <w:ind w:right="-93"/>
        <w:jc w:val="both"/>
        <w:rPr>
          <w:rFonts w:ascii="Palatino Linotype" w:eastAsia="Palatino Linotype" w:hAnsi="Palatino Linotype" w:cs="Palatino Linotype"/>
        </w:rPr>
      </w:pPr>
    </w:p>
    <w:p w14:paraId="782023CD"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En esa tesitura, el artículo 24 en su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lo que no sucedió en el presente caso.</w:t>
      </w:r>
    </w:p>
    <w:p w14:paraId="040A6424" w14:textId="77777777" w:rsidR="00131F6B" w:rsidRPr="00505FE9" w:rsidRDefault="00131F6B">
      <w:pPr>
        <w:spacing w:line="360" w:lineRule="auto"/>
        <w:ind w:right="49"/>
        <w:jc w:val="both"/>
        <w:rPr>
          <w:rFonts w:ascii="Palatino Linotype" w:eastAsia="Palatino Linotype" w:hAnsi="Palatino Linotype" w:cs="Palatino Linotype"/>
        </w:rPr>
      </w:pPr>
    </w:p>
    <w:p w14:paraId="1DB06583" w14:textId="77777777" w:rsidR="00131F6B" w:rsidRPr="00505FE9" w:rsidRDefault="002459A5">
      <w:pP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rPr>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1333216B" w14:textId="77777777" w:rsidR="00131F6B" w:rsidRPr="00505FE9" w:rsidRDefault="00131F6B">
      <w:pPr>
        <w:spacing w:line="360" w:lineRule="auto"/>
        <w:ind w:right="49"/>
        <w:jc w:val="both"/>
        <w:rPr>
          <w:rFonts w:ascii="Palatino Linotype" w:eastAsia="Palatino Linotype" w:hAnsi="Palatino Linotype" w:cs="Palatino Linotype"/>
        </w:rPr>
      </w:pPr>
    </w:p>
    <w:p w14:paraId="2B95BCA5"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otra parte, conviene mencionar que la Ley de Transparencia vigente en el Estado de México refiere: </w:t>
      </w:r>
    </w:p>
    <w:p w14:paraId="2A72D751" w14:textId="77777777" w:rsidR="00131F6B" w:rsidRPr="00505FE9" w:rsidRDefault="00131F6B">
      <w:pPr>
        <w:spacing w:line="360" w:lineRule="auto"/>
        <w:jc w:val="both"/>
        <w:rPr>
          <w:rFonts w:ascii="Palatino Linotype" w:eastAsia="Palatino Linotype" w:hAnsi="Palatino Linotype" w:cs="Palatino Linotype"/>
        </w:rPr>
      </w:pPr>
    </w:p>
    <w:p w14:paraId="12BAFBF2"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“Artículo 18.</w:t>
      </w:r>
      <w:r w:rsidRPr="00505FE9">
        <w:rPr>
          <w:rFonts w:ascii="Palatino Linotype" w:eastAsia="Palatino Linotype" w:hAnsi="Palatino Linotype" w:cs="Palatino Linotype"/>
          <w:i/>
          <w:sz w:val="22"/>
          <w:szCs w:val="22"/>
        </w:rPr>
        <w:t xml:space="preserve"> </w:t>
      </w:r>
      <w:r w:rsidRPr="00505FE9">
        <w:rPr>
          <w:rFonts w:ascii="Palatino Linotype" w:eastAsia="Palatino Linotype" w:hAnsi="Palatino Linotype" w:cs="Palatino Linotype"/>
          <w:b/>
          <w:i/>
          <w:sz w:val="22"/>
          <w:szCs w:val="22"/>
          <w:u w:val="single"/>
        </w:rPr>
        <w:t>Los sujetos obligados deberán documentar todo acto que derive del ejercicio de sus facultades, competencias o funciones, considerando desde su origen la eventual publicidad</w:t>
      </w:r>
      <w:r w:rsidRPr="00505FE9">
        <w:rPr>
          <w:rFonts w:ascii="Palatino Linotype" w:eastAsia="Palatino Linotype" w:hAnsi="Palatino Linotype" w:cs="Palatino Linotype"/>
          <w:i/>
          <w:sz w:val="22"/>
          <w:szCs w:val="22"/>
        </w:rPr>
        <w:t xml:space="preserve"> y reutilización de la información que generen.</w:t>
      </w:r>
    </w:p>
    <w:p w14:paraId="2A602B43" w14:textId="77777777" w:rsidR="00131F6B" w:rsidRPr="00505FE9" w:rsidRDefault="00131F6B">
      <w:pPr>
        <w:spacing w:line="276" w:lineRule="auto"/>
        <w:ind w:left="851" w:right="851"/>
        <w:jc w:val="both"/>
        <w:rPr>
          <w:rFonts w:ascii="Palatino Linotype" w:eastAsia="Palatino Linotype" w:hAnsi="Palatino Linotype" w:cs="Palatino Linotype"/>
          <w:b/>
          <w:i/>
          <w:sz w:val="22"/>
          <w:szCs w:val="22"/>
        </w:rPr>
      </w:pPr>
    </w:p>
    <w:p w14:paraId="46687398"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Artículo 19. </w:t>
      </w:r>
      <w:r w:rsidRPr="00505FE9">
        <w:rPr>
          <w:rFonts w:ascii="Palatino Linotype" w:eastAsia="Palatino Linotype" w:hAnsi="Palatino Linotype" w:cs="Palatino Linotype"/>
          <w:b/>
          <w:i/>
          <w:sz w:val="22"/>
          <w:szCs w:val="22"/>
          <w:u w:val="single"/>
        </w:rPr>
        <w:t>Se presume que la información debe existir si se refiere a las facultades, competencias y funciones que los ordenamientos jurídicos aplicables otorgan a los sujetos obligados</w:t>
      </w:r>
      <w:r w:rsidRPr="00505FE9">
        <w:rPr>
          <w:rFonts w:ascii="Palatino Linotype" w:eastAsia="Palatino Linotype" w:hAnsi="Palatino Linotype" w:cs="Palatino Linotype"/>
          <w:i/>
          <w:sz w:val="22"/>
          <w:szCs w:val="22"/>
        </w:rPr>
        <w:t>.</w:t>
      </w:r>
    </w:p>
    <w:p w14:paraId="30276849" w14:textId="77777777" w:rsidR="00131F6B" w:rsidRPr="00505FE9" w:rsidRDefault="00131F6B">
      <w:pPr>
        <w:spacing w:line="276" w:lineRule="auto"/>
        <w:ind w:left="851" w:right="851"/>
        <w:jc w:val="both"/>
        <w:rPr>
          <w:rFonts w:ascii="Palatino Linotype" w:eastAsia="Palatino Linotype" w:hAnsi="Palatino Linotype" w:cs="Palatino Linotype"/>
          <w:i/>
          <w:sz w:val="22"/>
          <w:szCs w:val="22"/>
        </w:rPr>
      </w:pPr>
    </w:p>
    <w:p w14:paraId="72D878BB"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En los casos en que ciertas facultades, competencias o funciones no se hayan ejercido, se debe motivar la respuesta en función de las causas que motiven tal circunstancia. </w:t>
      </w:r>
    </w:p>
    <w:p w14:paraId="759C9152" w14:textId="77777777" w:rsidR="00131F6B" w:rsidRPr="00505FE9" w:rsidRDefault="00131F6B">
      <w:pPr>
        <w:spacing w:line="276" w:lineRule="auto"/>
        <w:ind w:left="851" w:right="851"/>
        <w:jc w:val="both"/>
        <w:rPr>
          <w:rFonts w:ascii="Palatino Linotype" w:eastAsia="Palatino Linotype" w:hAnsi="Palatino Linotype" w:cs="Palatino Linotype"/>
          <w:i/>
          <w:sz w:val="22"/>
          <w:szCs w:val="22"/>
        </w:rPr>
      </w:pPr>
    </w:p>
    <w:p w14:paraId="127FEC81" w14:textId="77777777" w:rsidR="00131F6B" w:rsidRPr="00505FE9" w:rsidRDefault="002459A5">
      <w:pPr>
        <w:spacing w:line="276" w:lineRule="auto"/>
        <w:ind w:left="851" w:right="851"/>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50A0D220" w14:textId="77777777" w:rsidR="00131F6B" w:rsidRPr="00505FE9" w:rsidRDefault="00131F6B">
      <w:pPr>
        <w:spacing w:line="360" w:lineRule="auto"/>
        <w:jc w:val="both"/>
        <w:rPr>
          <w:rFonts w:ascii="Palatino Linotype" w:eastAsia="Palatino Linotype" w:hAnsi="Palatino Linotype" w:cs="Palatino Linotype"/>
        </w:rPr>
      </w:pPr>
    </w:p>
    <w:p w14:paraId="44A9F77B"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De los dispositivos legales en comento, se aprecia que todo acto de autoridad en el ejercicio de sus funciones y atribuciones debe estar documentado, por lo que para dar atención a una solicitud de información el Sujeto Obligado debe entregar el soporte documental en donde conste la información requerida, debiendo contemplar que no se trate de información reservada o confidencial, por lo que debe cuidar dicha información a través del acuerdo clasificatorio del comité de transparencia y la versión pública que emita cada Sujeto Obligado; como así se establece en la Ley de Transparencia y Acceso a la Información Pública del Estado de México y Municipios.</w:t>
      </w:r>
    </w:p>
    <w:p w14:paraId="47880C10" w14:textId="77777777" w:rsidR="00131F6B" w:rsidRPr="00505FE9" w:rsidRDefault="00131F6B">
      <w:pPr>
        <w:spacing w:line="360" w:lineRule="auto"/>
        <w:jc w:val="both"/>
        <w:rPr>
          <w:rFonts w:ascii="Palatino Linotype" w:eastAsia="Palatino Linotype" w:hAnsi="Palatino Linotype" w:cs="Palatino Linotype"/>
        </w:rPr>
      </w:pPr>
    </w:p>
    <w:p w14:paraId="4943AE9C"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14:paraId="448E669F" w14:textId="77777777" w:rsidR="00131F6B" w:rsidRPr="00505FE9" w:rsidRDefault="00131F6B">
      <w:pPr>
        <w:ind w:left="851" w:right="899"/>
        <w:jc w:val="both"/>
        <w:rPr>
          <w:rFonts w:ascii="Palatino Linotype" w:eastAsia="Palatino Linotype" w:hAnsi="Palatino Linotype" w:cs="Palatino Linotype"/>
          <w:i/>
          <w:sz w:val="22"/>
          <w:szCs w:val="22"/>
        </w:rPr>
      </w:pPr>
    </w:p>
    <w:p w14:paraId="2603B456"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 xml:space="preserve">Artículo 3. </w:t>
      </w:r>
      <w:r w:rsidRPr="00505FE9">
        <w:rPr>
          <w:rFonts w:ascii="Palatino Linotype" w:eastAsia="Palatino Linotype" w:hAnsi="Palatino Linotype" w:cs="Palatino Linotype"/>
          <w:i/>
          <w:sz w:val="22"/>
          <w:szCs w:val="22"/>
        </w:rPr>
        <w:t>Para los efectos de la presente Ley se entenderá por:</w:t>
      </w:r>
    </w:p>
    <w:p w14:paraId="772A0129"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217B6B65"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XI. Documento:</w:t>
      </w:r>
      <w:r w:rsidRPr="00505FE9">
        <w:rPr>
          <w:rFonts w:ascii="Palatino Linotype" w:eastAsia="Palatino Linotype" w:hAnsi="Palatino Linotype" w:cs="Palatino Linotype"/>
          <w:i/>
          <w:sz w:val="22"/>
          <w:szCs w:val="22"/>
        </w:rPr>
        <w:t xml:space="preserve"> Los expedientes, reportes, estudios, actas</w:t>
      </w:r>
      <w:r w:rsidRPr="00505FE9">
        <w:rPr>
          <w:rFonts w:ascii="Palatino Linotype" w:eastAsia="Palatino Linotype" w:hAnsi="Palatino Linotype" w:cs="Palatino Linotype"/>
          <w:b/>
          <w:i/>
          <w:sz w:val="22"/>
          <w:szCs w:val="22"/>
        </w:rPr>
        <w:t>,</w:t>
      </w:r>
      <w:r w:rsidRPr="00505FE9">
        <w:rPr>
          <w:rFonts w:ascii="Palatino Linotype" w:eastAsia="Palatino Linotype" w:hAnsi="Palatino Linotype" w:cs="Palatino Linotype"/>
          <w:i/>
          <w:sz w:val="22"/>
          <w:szCs w:val="22"/>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14:paraId="16D3D1F1" w14:textId="77777777" w:rsidR="00131F6B" w:rsidRPr="00505FE9" w:rsidRDefault="00131F6B">
      <w:pPr>
        <w:spacing w:line="276" w:lineRule="auto"/>
        <w:ind w:left="851" w:right="899"/>
        <w:jc w:val="both"/>
        <w:rPr>
          <w:rFonts w:ascii="Palatino Linotype" w:eastAsia="Palatino Linotype" w:hAnsi="Palatino Linotype" w:cs="Palatino Linotype"/>
          <w:sz w:val="22"/>
          <w:szCs w:val="22"/>
        </w:rPr>
      </w:pPr>
    </w:p>
    <w:p w14:paraId="5729D2A1"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7A8260A6" w14:textId="77777777" w:rsidR="00131F6B" w:rsidRPr="00505FE9" w:rsidRDefault="00131F6B">
      <w:pPr>
        <w:ind w:left="851" w:right="899"/>
        <w:jc w:val="both"/>
        <w:rPr>
          <w:rFonts w:ascii="Palatino Linotype" w:eastAsia="Palatino Linotype" w:hAnsi="Palatino Linotype" w:cs="Palatino Linotype"/>
        </w:rPr>
      </w:pPr>
    </w:p>
    <w:p w14:paraId="76C2AB4D" w14:textId="77777777" w:rsidR="00131F6B" w:rsidRPr="00505FE9" w:rsidRDefault="002459A5">
      <w:pPr>
        <w:ind w:left="851" w:right="899"/>
        <w:jc w:val="both"/>
        <w:rPr>
          <w:rFonts w:ascii="Palatino Linotype" w:eastAsia="Palatino Linotype" w:hAnsi="Palatino Linotype" w:cs="Palatino Linotype"/>
          <w:b/>
          <w:i/>
          <w:sz w:val="22"/>
          <w:szCs w:val="22"/>
        </w:rPr>
      </w:pPr>
      <w:r w:rsidRPr="00505FE9">
        <w:rPr>
          <w:rFonts w:ascii="Palatino Linotype" w:eastAsia="Palatino Linotype" w:hAnsi="Palatino Linotype" w:cs="Palatino Linotype"/>
          <w:b/>
          <w:sz w:val="22"/>
          <w:szCs w:val="22"/>
        </w:rPr>
        <w:t>“</w:t>
      </w:r>
      <w:r w:rsidRPr="00505FE9">
        <w:rPr>
          <w:rFonts w:ascii="Palatino Linotype" w:eastAsia="Palatino Linotype" w:hAnsi="Palatino Linotype" w:cs="Palatino Linotype"/>
          <w:b/>
          <w:i/>
          <w:sz w:val="22"/>
          <w:szCs w:val="22"/>
        </w:rPr>
        <w:t>CRITERIO 0002-11</w:t>
      </w:r>
    </w:p>
    <w:p w14:paraId="25329180"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INFORMACIÓN PÚBLICA, CONCEPTO DE, EN MATERIA DE TRANSPARENCIA. INTERPRETACIÓN SISTEMÁTICA DE LOS ARTÍCULOS 2°, FRACCIÓN V, XV, Y XVI, 3°, 4°, 11 Y 41.</w:t>
      </w:r>
      <w:r w:rsidRPr="00505FE9">
        <w:rPr>
          <w:rFonts w:ascii="Palatino Linotype" w:eastAsia="Palatino Linotype" w:hAnsi="Palatino Linotype" w:cs="Palatino Linotype"/>
          <w:i/>
          <w:sz w:val="22"/>
          <w:szCs w:val="22"/>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0049DF7"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En consecuencia el acceso a la información se refiere a que se cumplan cualquiera de los siguientes tres supuestos:</w:t>
      </w:r>
    </w:p>
    <w:p w14:paraId="6C2CC4A0"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1) Que se trate de información registrada en cualquier soporte documental, que en ejercicio de las atribuciones conferidas, sea generada por los Sujetos Obligados;</w:t>
      </w:r>
    </w:p>
    <w:p w14:paraId="0C801B4D"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2) Que se trate de información registrada en cualquier soporte documental, que en ejercicio de las atribuciones conferidas, sea administrada por los Sujetos Obligados, y</w:t>
      </w:r>
    </w:p>
    <w:p w14:paraId="29A3FF1D" w14:textId="77777777" w:rsidR="00131F6B" w:rsidRPr="00505FE9" w:rsidRDefault="002459A5">
      <w:pPr>
        <w:spacing w:line="276" w:lineRule="auto"/>
        <w:ind w:left="851" w:right="899"/>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3) Que se trate de información registrada en cualquier soporte documental, que en ejercicio de las atribuciones conferidas, se encuentre en posesión de los Sujetos Obligados.” </w:t>
      </w:r>
    </w:p>
    <w:p w14:paraId="137EC079" w14:textId="77777777" w:rsidR="00131F6B" w:rsidRPr="00505FE9" w:rsidRDefault="002459A5">
      <w:pPr>
        <w:spacing w:before="280" w:after="28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De ahí que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cuenta con el deber de satisfacer las solicitudes de acceso a la información que le sean formuladas y entregar la información pública que obre en sus archivos pudiendo ser de manera electrónica; más aún si la misma se trata de información relativa a obligaciones de transparencia, la cual se relaciona con aquella que se genere de acuerdo con sus facultades, atribuciones y obligaciones señaladas por la Ley en la materia</w:t>
      </w:r>
      <w:r w:rsidRPr="00505FE9">
        <w:rPr>
          <w:rFonts w:ascii="Palatino Linotype" w:eastAsia="Palatino Linotype" w:hAnsi="Palatino Linotype" w:cs="Palatino Linotype"/>
          <w:vertAlign w:val="superscript"/>
        </w:rPr>
        <w:footnoteReference w:id="1"/>
      </w:r>
      <w:r w:rsidRPr="00505FE9">
        <w:rPr>
          <w:rFonts w:ascii="Palatino Linotype" w:eastAsia="Palatino Linotype" w:hAnsi="Palatino Linotype" w:cs="Palatino Linotype"/>
        </w:rPr>
        <w:t>, así como de interés público, es decir, aquella que resulta relevante o beneficiosa para la sociedad y no simplemente de interés individual, y cuya divulgación resulta útil para que el público comprenda las actividades que llevan a cabo los Sujetos Obligados</w:t>
      </w:r>
      <w:r w:rsidRPr="00505FE9">
        <w:rPr>
          <w:rFonts w:ascii="Palatino Linotype" w:eastAsia="Palatino Linotype" w:hAnsi="Palatino Linotype" w:cs="Palatino Linotype"/>
          <w:vertAlign w:val="superscript"/>
        </w:rPr>
        <w:footnoteReference w:id="2"/>
      </w:r>
      <w:r w:rsidRPr="00505FE9">
        <w:rPr>
          <w:rFonts w:ascii="Palatino Linotype" w:eastAsia="Palatino Linotype" w:hAnsi="Palatino Linotype" w:cs="Palatino Linotype"/>
        </w:rPr>
        <w:t>, como pudiera tratarse de aquella relacionada con las obligaciones de trasparencia señaladas en los artículos 92 y 100 de la Ley de la Materia.</w:t>
      </w:r>
    </w:p>
    <w:p w14:paraId="00AA99A2"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Expuesto lo anterior, es de recordar que el solicitante al momento de presentar la solicitud de información que dio origen al recurso de revisión que nos ocupa, requirió  lo siguiente:</w:t>
      </w:r>
      <w:r w:rsidRPr="00505FE9">
        <w:t xml:space="preserve"> “</w:t>
      </w:r>
      <w:r w:rsidRPr="00505FE9">
        <w:rPr>
          <w:rFonts w:ascii="Palatino Linotype" w:eastAsia="Palatino Linotype" w:hAnsi="Palatino Linotype" w:cs="Palatino Linotype"/>
          <w:b/>
          <w:i/>
        </w:rPr>
        <w:t>Solicito se me entregue VIA SAIMEX, copia fiel de los oficios generados (emitidos) por las nueve regidurías del ayuntamiento de Metepec, mismos que fueron fechados (generados, elaborados o emitidos) entre el 16 de marzo de 2022 y el 15 abril de 2022</w:t>
      </w:r>
      <w:r w:rsidRPr="00505FE9">
        <w:rPr>
          <w:rFonts w:ascii="Palatino Linotype" w:eastAsia="Palatino Linotype" w:hAnsi="Palatino Linotype" w:cs="Palatino Linotype"/>
        </w:rPr>
        <w:t>.” (Sic)</w:t>
      </w:r>
    </w:p>
    <w:p w14:paraId="2BD48DC1" w14:textId="77777777" w:rsidR="00131F6B" w:rsidRPr="00505FE9" w:rsidRDefault="002459A5">
      <w:pP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En respuesta,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adjuntó tres documentos, que se describen a continuación: </w:t>
      </w:r>
    </w:p>
    <w:p w14:paraId="144EFDE8"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b/>
          <w:i/>
        </w:rPr>
        <w:t>Respuesta 03213.pdf,</w:t>
      </w:r>
      <w:r w:rsidRPr="00505FE9">
        <w:rPr>
          <w:rFonts w:ascii="Palatino Linotype" w:eastAsia="Palatino Linotype" w:hAnsi="Palatino Linotype" w:cs="Palatino Linotype"/>
        </w:rPr>
        <w:t xml:space="preserve">  oficio número REG2/TRANSP/256/2022, de fecha veintiocho de abril de dos mil veintidós, suscrito y signado por la Segunda Regidora de Metepec,  donde da respuesta a la solicitud y manifiesta enviar información anexa, que se pone a disposición.</w:t>
      </w:r>
    </w:p>
    <w:p w14:paraId="356F75A0" w14:textId="77777777" w:rsidR="00131F6B" w:rsidRPr="00505FE9" w:rsidRDefault="00131F6B">
      <w:pPr>
        <w:spacing w:line="360" w:lineRule="auto"/>
        <w:ind w:right="49"/>
        <w:jc w:val="both"/>
        <w:rPr>
          <w:rFonts w:ascii="Palatino Linotype" w:eastAsia="Palatino Linotype" w:hAnsi="Palatino Linotype" w:cs="Palatino Linotype"/>
          <w:sz w:val="28"/>
          <w:szCs w:val="28"/>
        </w:rPr>
      </w:pPr>
    </w:p>
    <w:p w14:paraId="10005022"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b/>
          <w:i/>
        </w:rPr>
        <w:t xml:space="preserve">Oficios generados del 16 de marzo al 15 de abril de 2022.pdf, </w:t>
      </w:r>
      <w:r w:rsidRPr="00505FE9">
        <w:rPr>
          <w:rFonts w:ascii="Palatino Linotype" w:eastAsia="Palatino Linotype" w:hAnsi="Palatino Linotype" w:cs="Palatino Linotype"/>
        </w:rPr>
        <w:t>documento integrado por veintiocho fojas que contiene sustancialmente oficios signados por la Segunda Regidora del dieciséis de marzo al  diecinueve de abril de dos mil veintidós, suscritos por la Segunda Regidora de Metepec.</w:t>
      </w:r>
    </w:p>
    <w:p w14:paraId="770EF1C7" w14:textId="77777777" w:rsidR="00131F6B" w:rsidRPr="00505FE9" w:rsidRDefault="00131F6B">
      <w:pPr>
        <w:spacing w:line="360" w:lineRule="auto"/>
        <w:ind w:right="49"/>
        <w:jc w:val="both"/>
        <w:rPr>
          <w:rFonts w:ascii="Palatino Linotype" w:eastAsia="Palatino Linotype" w:hAnsi="Palatino Linotype" w:cs="Palatino Linotype"/>
          <w:sz w:val="28"/>
          <w:szCs w:val="28"/>
        </w:rPr>
      </w:pPr>
    </w:p>
    <w:p w14:paraId="135E5FCC" w14:textId="77777777" w:rsidR="00131F6B" w:rsidRPr="00505FE9" w:rsidRDefault="002459A5">
      <w:pPr>
        <w:numPr>
          <w:ilvl w:val="0"/>
          <w:numId w:val="5"/>
        </w:numPr>
        <w:pBdr>
          <w:top w:val="nil"/>
          <w:left w:val="nil"/>
          <w:bottom w:val="nil"/>
          <w:right w:val="nil"/>
          <w:between w:val="nil"/>
        </w:pBd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b/>
          <w:i/>
        </w:rPr>
        <w:t xml:space="preserve">03213.pdf, </w:t>
      </w:r>
      <w:r w:rsidRPr="00505FE9">
        <w:rPr>
          <w:rFonts w:ascii="Palatino Linotype" w:eastAsia="Palatino Linotype" w:hAnsi="Palatino Linotype" w:cs="Palatino Linotype"/>
        </w:rPr>
        <w:t>documento integrado por veinticuatro fojas que contiene sustancialmente, oficio número REG07/054/2022, de fecha diez de mayo de dos mil veintidós, signado por el Séptimo Regidor del Ayuntamiento de Metepec, mediante el cual refiere anexar veintitrés oficios del veintidós de marzo al  ocho de abril de dos mil veintidós.</w:t>
      </w:r>
    </w:p>
    <w:p w14:paraId="268DDC5E"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lo que inconforme con la respuesta proporcionada por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interpone el recurso de revisión que nos ocupa, en el que sustancialmente manifiesta que </w:t>
      </w:r>
      <w:r w:rsidRPr="00505FE9">
        <w:rPr>
          <w:rFonts w:ascii="Palatino Linotype" w:eastAsia="Palatino Linotype" w:hAnsi="Palatino Linotype" w:cs="Palatino Linotype"/>
          <w:b/>
        </w:rPr>
        <w:t>la información fue incompleta</w:t>
      </w:r>
      <w:r w:rsidRPr="00505FE9">
        <w:rPr>
          <w:rFonts w:ascii="Palatino Linotype" w:eastAsia="Palatino Linotype" w:hAnsi="Palatino Linotype" w:cs="Palatino Linotype"/>
        </w:rPr>
        <w:t>.</w:t>
      </w:r>
    </w:p>
    <w:p w14:paraId="2B4BD206"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Al respecto, conviene mencionar que la Ley de Transparencia vigente en el Estado de México refiere en sus artículos 18 y 19 que todo acto de autoridad en el ejercicio de sus funciones y atribuciones deberá estar documentado, y que el derecho de acceso a la información pública, consiste en que la información solicitada conste en un documento en cualquiera de sus formas, como los son los oficios, documentos escritos realizados por diversas autoridades fin de comunicar actuaciones administrativas, de ahí que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cuenta con el deber de satisfacer la solicitud de acceso a la información y entregar la información pública que obre en sus archivos. </w:t>
      </w:r>
    </w:p>
    <w:p w14:paraId="16C4FBC9" w14:textId="77777777" w:rsidR="00131F6B" w:rsidRPr="00505FE9" w:rsidRDefault="00131F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1DFC0C10" w14:textId="77777777" w:rsidR="00131F6B" w:rsidRPr="00505FE9" w:rsidRDefault="00131F6B">
      <w:pPr>
        <w:pBdr>
          <w:top w:val="nil"/>
          <w:left w:val="nil"/>
          <w:bottom w:val="nil"/>
          <w:right w:val="nil"/>
          <w:between w:val="nil"/>
        </w:pBdr>
        <w:spacing w:before="240" w:after="240" w:line="360" w:lineRule="auto"/>
        <w:jc w:val="both"/>
        <w:rPr>
          <w:rFonts w:ascii="Palatino Linotype" w:eastAsia="Palatino Linotype" w:hAnsi="Palatino Linotype" w:cs="Palatino Linotype"/>
        </w:rPr>
      </w:pPr>
    </w:p>
    <w:p w14:paraId="69678492"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Bajo estos argumentos, es de señalar que la Ley Orgánica Municipal del Estado México, señala lo siguiente:</w:t>
      </w:r>
    </w:p>
    <w:p w14:paraId="4355CF2C" w14:textId="77777777" w:rsidR="00131F6B" w:rsidRPr="00505FE9" w:rsidRDefault="002459A5">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szCs w:val="22"/>
        </w:rPr>
      </w:pPr>
      <w:r w:rsidRPr="00505FE9">
        <w:t>“</w:t>
      </w:r>
      <w:r w:rsidRPr="00505FE9">
        <w:rPr>
          <w:rFonts w:ascii="Palatino Linotype" w:eastAsia="Palatino Linotype" w:hAnsi="Palatino Linotype" w:cs="Palatino Linotype"/>
          <w:i/>
          <w:sz w:val="22"/>
          <w:szCs w:val="22"/>
        </w:rPr>
        <w:t xml:space="preserve">Artículo 16.- Los Ayuntamientos se renovarán cada tres años, iniciarán su periodo el 1 de enero del año inmediato siguiente al de las elecciones municipales ordinarias y concluirán el 31 de diciembre del año de las elecciones para su renovación; y se integrarán por: </w:t>
      </w:r>
    </w:p>
    <w:p w14:paraId="4DF9A7AC" w14:textId="77777777" w:rsidR="00131F6B" w:rsidRPr="00505FE9" w:rsidRDefault="002459A5">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I. Un presidente, un síndico y cuatro regidores, electos por planilla según el principio de mayoría relativa, y tres regidores designados según el principio de representación proporcional, cuando se trate de municipios que tengan una población de menos 150 mil habitantes.</w:t>
      </w:r>
    </w:p>
    <w:p w14:paraId="7DA23F68" w14:textId="77777777" w:rsidR="00131F6B" w:rsidRPr="00505FE9" w:rsidRDefault="002459A5">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 II. Un presidente, un síndico y </w:t>
      </w:r>
      <w:r w:rsidRPr="00505FE9">
        <w:rPr>
          <w:rFonts w:ascii="Palatino Linotype" w:eastAsia="Palatino Linotype" w:hAnsi="Palatino Linotype" w:cs="Palatino Linotype"/>
          <w:b/>
          <w:i/>
          <w:sz w:val="22"/>
          <w:szCs w:val="22"/>
          <w:u w:val="single"/>
        </w:rPr>
        <w:t>cinco regidores,</w:t>
      </w:r>
      <w:r w:rsidRPr="00505FE9">
        <w:rPr>
          <w:rFonts w:ascii="Palatino Linotype" w:eastAsia="Palatino Linotype" w:hAnsi="Palatino Linotype" w:cs="Palatino Linotype"/>
          <w:i/>
          <w:sz w:val="22"/>
          <w:szCs w:val="22"/>
        </w:rPr>
        <w:t xml:space="preserve"> electos por planilla según el principio de mayoría relativa, y </w:t>
      </w:r>
      <w:r w:rsidRPr="00505FE9">
        <w:rPr>
          <w:rFonts w:ascii="Palatino Linotype" w:eastAsia="Palatino Linotype" w:hAnsi="Palatino Linotype" w:cs="Palatino Linotype"/>
          <w:b/>
          <w:i/>
          <w:sz w:val="22"/>
          <w:szCs w:val="22"/>
          <w:u w:val="single"/>
        </w:rPr>
        <w:t>cuatro regidores</w:t>
      </w:r>
      <w:r w:rsidRPr="00505FE9">
        <w:rPr>
          <w:rFonts w:ascii="Palatino Linotype" w:eastAsia="Palatino Linotype" w:hAnsi="Palatino Linotype" w:cs="Palatino Linotype"/>
          <w:i/>
          <w:sz w:val="22"/>
          <w:szCs w:val="22"/>
        </w:rPr>
        <w:t xml:space="preserve"> designados según el principio de representación proporcional, cuando se trate de municipios que tengan una población de más de 150 mil habitantes y menos de 500 mil habitantes. </w:t>
      </w:r>
    </w:p>
    <w:p w14:paraId="54677563" w14:textId="77777777" w:rsidR="00131F6B" w:rsidRPr="00505FE9" w:rsidRDefault="002459A5">
      <w:pPr>
        <w:pBdr>
          <w:top w:val="nil"/>
          <w:left w:val="nil"/>
          <w:bottom w:val="nil"/>
          <w:right w:val="nil"/>
          <w:between w:val="nil"/>
        </w:pBdr>
        <w:spacing w:before="240" w:after="240" w:line="276" w:lineRule="auto"/>
        <w:ind w:left="1134"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III. Un presidente, un síndico y siete regidores, electos por planilla según el principio de mayoría relativa; un síndico y cinco regidores designados según el principio de representación proporcional, cuando se trate de municipios que tengan una población de más de 500 mil.”</w:t>
      </w:r>
    </w:p>
    <w:p w14:paraId="200F3381"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su parte, de la consulta realizada al portal del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en la dirección electrónica: </w:t>
      </w:r>
      <w:hyperlink r:id="rId10">
        <w:r w:rsidRPr="00505FE9">
          <w:rPr>
            <w:rFonts w:ascii="Palatino Linotype" w:eastAsia="Palatino Linotype" w:hAnsi="Palatino Linotype" w:cs="Palatino Linotype"/>
            <w:u w:val="single"/>
          </w:rPr>
          <w:t>https://metepec.gob.mx/pagina/cabildo.php</w:t>
        </w:r>
      </w:hyperlink>
      <w:r w:rsidRPr="00505FE9">
        <w:rPr>
          <w:rFonts w:ascii="Palatino Linotype" w:eastAsia="Palatino Linotype" w:hAnsi="Palatino Linotype" w:cs="Palatino Linotype"/>
        </w:rPr>
        <w:t xml:space="preserve"> , muestra lo siguiente:</w:t>
      </w:r>
    </w:p>
    <w:p w14:paraId="02379BDB" w14:textId="77777777" w:rsidR="00131F6B" w:rsidRPr="00505FE9" w:rsidRDefault="002459A5">
      <w:pPr>
        <w:pBdr>
          <w:top w:val="nil"/>
          <w:left w:val="nil"/>
          <w:bottom w:val="nil"/>
          <w:right w:val="nil"/>
          <w:between w:val="nil"/>
        </w:pBdr>
        <w:spacing w:before="240" w:after="240" w:line="360" w:lineRule="auto"/>
        <w:jc w:val="center"/>
        <w:rPr>
          <w:rFonts w:ascii="Palatino Linotype" w:eastAsia="Palatino Linotype" w:hAnsi="Palatino Linotype" w:cs="Palatino Linotype"/>
        </w:rPr>
      </w:pPr>
      <w:r w:rsidRPr="00505FE9">
        <w:rPr>
          <w:noProof/>
        </w:rPr>
        <w:drawing>
          <wp:inline distT="0" distB="0" distL="0" distR="0" wp14:anchorId="46B50802" wp14:editId="2A01037A">
            <wp:extent cx="2906185" cy="3202734"/>
            <wp:effectExtent l="0" t="0" r="0" b="0"/>
            <wp:docPr id="3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l="9335" t="15389" r="57400" b="19433"/>
                    <a:stretch>
                      <a:fillRect/>
                    </a:stretch>
                  </pic:blipFill>
                  <pic:spPr>
                    <a:xfrm>
                      <a:off x="0" y="0"/>
                      <a:ext cx="2906185" cy="3202734"/>
                    </a:xfrm>
                    <a:prstGeom prst="rect">
                      <a:avLst/>
                    </a:prstGeom>
                    <a:ln/>
                  </pic:spPr>
                </pic:pic>
              </a:graphicData>
            </a:graphic>
          </wp:inline>
        </w:drawing>
      </w:r>
    </w:p>
    <w:p w14:paraId="2A62D8AE"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De lo anterior, se advierte que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efectivamente cuenta en su estructura de Cabildo con nueve Regidurías.</w:t>
      </w:r>
    </w:p>
    <w:p w14:paraId="2D1F66ED"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En este tenor, es necesario señalar que solamente se recibió respuesta por la Segunda y Séptima Regidurías, como quedó señalado en los antecedentes.</w:t>
      </w:r>
    </w:p>
    <w:p w14:paraId="28BC692B" w14:textId="77777777" w:rsidR="00131F6B" w:rsidRPr="00505FE9" w:rsidRDefault="002459A5">
      <w:pPr>
        <w:spacing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lo que en atención a las respuestas proporcionadas estas dos Regidurías, este Pleno considera necesario precisar, al haber existido un pronunciamiento por parte de los servidores públicos habilitados al interior del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a fin de dar respuesta a la solicitud planteada, este no está facultado para manifestarse sobre la veracidad de la información proporcionada, pues no existe precepto legal alguno en la Ley de la Materia que permita que, vía recurso de revisión, se pronuncie al respecto. Sirve de apoyo a lo anterior por analogía el criterio 31-10 emitido por el entonces Instituto Federal de Acceso a la Información y Protección de Datos, que a la letra dice:</w:t>
      </w:r>
    </w:p>
    <w:p w14:paraId="5F1B4CA5" w14:textId="77777777" w:rsidR="00131F6B" w:rsidRPr="00505FE9" w:rsidRDefault="002459A5">
      <w:pPr>
        <w:spacing w:line="276" w:lineRule="auto"/>
        <w:ind w:left="567" w:right="900"/>
        <w:jc w:val="both"/>
        <w:rPr>
          <w:rFonts w:ascii="Palatino Linotype" w:eastAsia="Palatino Linotype" w:hAnsi="Palatino Linotype" w:cs="Palatino Linotype"/>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505FE9">
        <w:rPr>
          <w:rFonts w:ascii="Palatino Linotype" w:eastAsia="Palatino Linotype" w:hAnsi="Palatino Linotype" w:cs="Palatino Linotype"/>
          <w:i/>
          <w:sz w:val="22"/>
          <w:szCs w:val="22"/>
        </w:rPr>
        <w:t>.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35582E5C" w14:textId="77777777" w:rsidR="00131F6B" w:rsidRPr="00505FE9" w:rsidRDefault="00131F6B">
      <w:pPr>
        <w:spacing w:line="276" w:lineRule="auto"/>
        <w:ind w:left="567" w:right="900"/>
        <w:jc w:val="both"/>
        <w:rPr>
          <w:rFonts w:ascii="Palatino Linotype" w:eastAsia="Palatino Linotype" w:hAnsi="Palatino Linotype" w:cs="Palatino Linotype"/>
          <w:sz w:val="22"/>
          <w:szCs w:val="22"/>
        </w:rPr>
      </w:pPr>
    </w:p>
    <w:p w14:paraId="12F73FCA"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Ahora bien, se vislumbra que en atención a las Regidurías Primera, Tercera, Cuarta, Quinta, Sexta, Octava y Novena, no se proporciona respuesta.</w:t>
      </w:r>
    </w:p>
    <w:p w14:paraId="3256DCFC"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Sin embargo, se advierte que la Unidad de Transparencia del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envió los requerimientos de información a los Servidores los Públicos Habilitados de las nueve Regidurías, los cuales dieron respuesta, exceptuando la Sexta regiduría, sin embargo, dichas respuestas no fueron puestas a la vista del solicitante, como se observa a continuación:</w:t>
      </w:r>
    </w:p>
    <w:p w14:paraId="496876A7"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noProof/>
        </w:rPr>
        <w:drawing>
          <wp:inline distT="0" distB="0" distL="0" distR="0" wp14:anchorId="03EF357E" wp14:editId="0AE3D1E8">
            <wp:extent cx="5789883" cy="2838910"/>
            <wp:effectExtent l="0" t="0" r="0" b="0"/>
            <wp:docPr id="3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l="4583" t="19010" r="42804" b="35124"/>
                    <a:stretch>
                      <a:fillRect/>
                    </a:stretch>
                  </pic:blipFill>
                  <pic:spPr>
                    <a:xfrm>
                      <a:off x="0" y="0"/>
                      <a:ext cx="5789883" cy="2838910"/>
                    </a:xfrm>
                    <a:prstGeom prst="rect">
                      <a:avLst/>
                    </a:prstGeom>
                    <a:ln/>
                  </pic:spPr>
                </pic:pic>
              </a:graphicData>
            </a:graphic>
          </wp:inline>
        </w:drawing>
      </w:r>
      <w:r w:rsidRPr="00505FE9">
        <w:rPr>
          <w:noProof/>
        </w:rPr>
        <mc:AlternateContent>
          <mc:Choice Requires="wpg">
            <w:drawing>
              <wp:anchor distT="0" distB="0" distL="114300" distR="114300" simplePos="0" relativeHeight="251658240" behindDoc="0" locked="0" layoutInCell="1" hidden="0" allowOverlap="1" wp14:anchorId="60F86E6C" wp14:editId="35B10777">
                <wp:simplePos x="0" y="0"/>
                <wp:positionH relativeFrom="column">
                  <wp:posOffset>4241800</wp:posOffset>
                </wp:positionH>
                <wp:positionV relativeFrom="paragraph">
                  <wp:posOffset>12700</wp:posOffset>
                </wp:positionV>
                <wp:extent cx="1457325" cy="2781300"/>
                <wp:effectExtent l="0" t="0" r="0" b="0"/>
                <wp:wrapNone/>
                <wp:docPr id="27" name="Rectángulo 27"/>
                <wp:cNvGraphicFramePr/>
                <a:graphic xmlns:a="http://schemas.openxmlformats.org/drawingml/2006/main">
                  <a:graphicData uri="http://schemas.microsoft.com/office/word/2010/wordprocessingShape">
                    <wps:wsp>
                      <wps:cNvSpPr/>
                      <wps:spPr>
                        <a:xfrm>
                          <a:off x="4655438" y="2427450"/>
                          <a:ext cx="1381125" cy="2705100"/>
                        </a:xfrm>
                        <a:prstGeom prst="rect">
                          <a:avLst/>
                        </a:prstGeom>
                        <a:noFill/>
                        <a:ln w="38100" cap="flat" cmpd="sng">
                          <a:solidFill>
                            <a:srgbClr val="FF0000"/>
                          </a:solidFill>
                          <a:prstDash val="solid"/>
                          <a:miter lim="800000"/>
                          <a:headEnd type="none" w="sm" len="sm"/>
                          <a:tailEnd type="none" w="sm" len="sm"/>
                        </a:ln>
                      </wps:spPr>
                      <wps:txbx>
                        <w:txbxContent>
                          <w:p w14:paraId="5E35A440" w14:textId="77777777" w:rsidR="00131F6B" w:rsidRDefault="00131F6B">
                            <w:pPr>
                              <w:textDirection w:val="btLr"/>
                            </w:pP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drawing>
              <wp:anchor allowOverlap="1" behindDoc="0" distB="0" distT="0" distL="114300" distR="114300" hidden="0" layoutInCell="1" locked="0" relativeHeight="0" simplePos="0">
                <wp:simplePos x="0" y="0"/>
                <wp:positionH relativeFrom="column">
                  <wp:posOffset>4241800</wp:posOffset>
                </wp:positionH>
                <wp:positionV relativeFrom="paragraph">
                  <wp:posOffset>12700</wp:posOffset>
                </wp:positionV>
                <wp:extent cx="1457325" cy="2781300"/>
                <wp:effectExtent b="0" l="0" r="0" t="0"/>
                <wp:wrapNone/>
                <wp:docPr id="27" name="image6.png"/>
                <a:graphic>
                  <a:graphicData uri="http://schemas.openxmlformats.org/drawingml/2006/picture">
                    <pic:pic>
                      <pic:nvPicPr>
                        <pic:cNvPr id="0" name="image6.png"/>
                        <pic:cNvPicPr preferRelativeResize="0"/>
                      </pic:nvPicPr>
                      <pic:blipFill>
                        <a:blip r:embed="rId13"/>
                        <a:srcRect/>
                        <a:stretch>
                          <a:fillRect/>
                        </a:stretch>
                      </pic:blipFill>
                      <pic:spPr>
                        <a:xfrm>
                          <a:off x="0" y="0"/>
                          <a:ext cx="1457325" cy="2781300"/>
                        </a:xfrm>
                        <a:prstGeom prst="rect"/>
                        <a:ln/>
                      </pic:spPr>
                    </pic:pic>
                  </a:graphicData>
                </a:graphic>
              </wp:anchor>
            </w:drawing>
          </mc:Fallback>
        </mc:AlternateContent>
      </w:r>
    </w:p>
    <w:p w14:paraId="479CCCF8" w14:textId="77777777" w:rsidR="00131F6B" w:rsidRPr="00505FE9" w:rsidRDefault="002459A5">
      <w:pPr>
        <w:pBdr>
          <w:top w:val="nil"/>
          <w:left w:val="nil"/>
          <w:bottom w:val="nil"/>
          <w:right w:val="nil"/>
          <w:between w:val="nil"/>
        </w:pBdr>
        <w:spacing w:line="360" w:lineRule="auto"/>
        <w:jc w:val="both"/>
      </w:pPr>
      <w:r w:rsidRPr="00505FE9">
        <w:rPr>
          <w:rFonts w:ascii="Palatino Linotype" w:eastAsia="Palatino Linotype" w:hAnsi="Palatino Linotype" w:cs="Palatino Linotype"/>
        </w:rPr>
        <w:t>Ahora bien en atención a lo anterior, conviene señalar que la respuesta careció de los principios de congruencia y exhaustividad, ello en virtud de que no se pronuncia puntualmente respecto del requerimiento de información, como refuerzo de lo anterior</w:t>
      </w:r>
      <w:r w:rsidRPr="00505FE9">
        <w:rPr>
          <w:rFonts w:ascii="Palatino Linotype" w:eastAsia="Palatino Linotype" w:hAnsi="Palatino Linotype" w:cs="Palatino Linotype"/>
          <w:u w:val="single"/>
        </w:rPr>
        <w:t xml:space="preserve">, resulta crucial traer a colación el Criterio 02/17, emitido por el Pleno del </w:t>
      </w:r>
      <w:r w:rsidRPr="00505FE9">
        <w:rPr>
          <w:rFonts w:ascii="Palatino Linotype" w:eastAsia="Palatino Linotype" w:hAnsi="Palatino Linotype" w:cs="Palatino Linotype"/>
        </w:rPr>
        <w:t>Instituto Nacional de Transparencia y Acceso a la Información y Protección de Datos Personales, de título y texto siguientes:</w:t>
      </w:r>
    </w:p>
    <w:p w14:paraId="657019F0" w14:textId="77777777" w:rsidR="00131F6B" w:rsidRPr="00505FE9" w:rsidRDefault="002459A5">
      <w:pPr>
        <w:pBdr>
          <w:top w:val="nil"/>
          <w:left w:val="nil"/>
          <w:bottom w:val="nil"/>
          <w:right w:val="nil"/>
          <w:between w:val="nil"/>
        </w:pBdr>
        <w:spacing w:before="240" w:after="240" w:line="276" w:lineRule="auto"/>
        <w:ind w:left="720"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“Congruencia y exhaustividad. Sus alcances para garantizar el derecho de acceso a la información. </w:t>
      </w:r>
      <w:r w:rsidRPr="00505FE9">
        <w:rPr>
          <w:rFonts w:ascii="Palatino Linotype" w:eastAsia="Palatino Linotype" w:hAnsi="Palatino Linotype" w:cs="Palatino Linotype"/>
          <w:i/>
          <w:sz w:val="22"/>
          <w:szCs w:val="22"/>
        </w:rPr>
        <w:t xml:space="preserve">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w:t>
      </w:r>
      <w:r w:rsidRPr="00505FE9">
        <w:rPr>
          <w:rFonts w:ascii="Palatino Linotype" w:eastAsia="Palatino Linotype" w:hAnsi="Palatino Linotype" w:cs="Palatino Linotype"/>
          <w:b/>
          <w:i/>
          <w:sz w:val="22"/>
          <w:szCs w:val="22"/>
        </w:rPr>
        <w:t>la congruencia implica que exista concordancia entre el requerimiento formulado por el particular y la respuesta proporcionada por el sujeto obligado</w:t>
      </w:r>
      <w:r w:rsidRPr="00505FE9">
        <w:rPr>
          <w:rFonts w:ascii="Palatino Linotype" w:eastAsia="Palatino Linotype" w:hAnsi="Palatino Linotype" w:cs="Palatino Linotype"/>
          <w:i/>
          <w:sz w:val="22"/>
          <w:szCs w:val="22"/>
        </w:rPr>
        <w:t xml:space="preserve">; mientras que </w:t>
      </w:r>
      <w:r w:rsidRPr="00505FE9">
        <w:rPr>
          <w:rFonts w:ascii="Palatino Linotype" w:eastAsia="Palatino Linotype" w:hAnsi="Palatino Linotype" w:cs="Palatino Linotype"/>
          <w:b/>
          <w:i/>
          <w:sz w:val="22"/>
          <w:szCs w:val="22"/>
        </w:rPr>
        <w:t>la exhaustividad significa que dicha respuesta se refiera expresamente a cada uno de los puntos solicitados</w:t>
      </w:r>
      <w:r w:rsidRPr="00505FE9">
        <w:rPr>
          <w:rFonts w:ascii="Palatino Linotype" w:eastAsia="Palatino Linotype" w:hAnsi="Palatino Linotype" w:cs="Palatino Linotype"/>
          <w:i/>
          <w:sz w:val="22"/>
          <w:szCs w:val="22"/>
        </w:rPr>
        <w:t>. Por lo anterior, los sujetos obligados cumplirán con los principios de congruencia y exhaustividad, cuando las respuestas que emitan guarden una relación lógica con lo solicitado y atiendan de manera puntual y expresa, cada uno de los contenidos de información.”</w:t>
      </w:r>
    </w:p>
    <w:p w14:paraId="189FEFD8" w14:textId="77777777" w:rsidR="00131F6B" w:rsidRPr="00505FE9" w:rsidRDefault="002459A5">
      <w:pPr>
        <w:pBdr>
          <w:top w:val="nil"/>
          <w:left w:val="nil"/>
          <w:bottom w:val="nil"/>
          <w:right w:val="nil"/>
          <w:between w:val="nil"/>
        </w:pBdr>
        <w:spacing w:before="240" w:after="240"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lo que este Instituto determina que las razones o motivos de inconformidad hechos valer por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devienen parcialmente fundadas, por lo que se estima dable ordenar al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hacer entrega de los oficios generados por las Regidurías Primera, Tercera, Cuarta, Quinta, Sexta, Octava y Novena, del periodo del dieciséis de marzo al quince de abril de dos mil veintidós, atendiendo lo señalado en el presente Considerando, y de ser el caso en versión pública.</w:t>
      </w:r>
    </w:p>
    <w:p w14:paraId="4AC0FB46" w14:textId="77777777" w:rsidR="00131F6B" w:rsidRPr="00505FE9" w:rsidRDefault="002459A5">
      <w:pPr>
        <w:spacing w:before="280" w:after="28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No obstante, para el caso de que no llegara a localizar el soporte documental correspondiente, por no haberse generado, bastará con que así se haga del conocimiento de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de manera clara y precisa, para tener por atendido el requerimiento de información, en términos del segundo párrafo del artículo 19 de la Ley en la materia vigente en la Entidad. </w:t>
      </w:r>
    </w:p>
    <w:p w14:paraId="6874830B"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último, debe resaltarse que dentro de la documentación que pudiera otorgarse para efecto de dar respuesta a la solicitud de información se encuentran diversos documentos que pudieran contener información de carácter reservada o confidencial, que por su naturaleza contenga datos personales susceptibles de ser resguardados por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y para los cuales se deberá emitir una versión pública de los documentos con estricto apego al procedimiento del derecho de acceso a la información pública, ello en términos del Considerando siguiente.</w:t>
      </w:r>
    </w:p>
    <w:p w14:paraId="58D43C4C" w14:textId="77777777" w:rsidR="00131F6B" w:rsidRPr="00505FE9" w:rsidRDefault="002459A5">
      <w:pPr>
        <w:spacing w:before="240" w:after="240" w:line="360" w:lineRule="auto"/>
        <w:ind w:right="49"/>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Quinto. Versión Pública. </w:t>
      </w:r>
      <w:r w:rsidRPr="00505FE9">
        <w:rPr>
          <w:rFonts w:ascii="Palatino Linotype" w:eastAsia="Palatino Linotype" w:hAnsi="Palatino Linotype" w:cs="Palatino Linotype"/>
        </w:rPr>
        <w:t xml:space="preserve">Finalmente para la entrega de los soportes documentales que en todo caso deberá proporcionar el sujeto obligado para dar satisfacción de la derecho humano de acceso a la información de la particular,  deberá considerar que ello no es absoluto, sino que encuentra como excepciones que la información sobre la cual se peticiona el acceso, contenga datos que deban ser clasificados en los términos que la misma Ley de la Materia señala, 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tendrá que elaborar la versión pública de los documentos que vaya entregar para dar cumplimiento a esta resolución, a fin de satisfacer el derecho de acceso a la información pública de la recurrente sin menoscabar el derecho a la protección de los datos personales de terceros.</w:t>
      </w:r>
    </w:p>
    <w:p w14:paraId="611A20C0" w14:textId="77777777" w:rsidR="00131F6B" w:rsidRPr="00505FE9" w:rsidRDefault="002459A5">
      <w:pPr>
        <w:spacing w:before="240" w:after="240" w:line="360" w:lineRule="auto"/>
        <w:ind w:right="50"/>
        <w:jc w:val="both"/>
        <w:rPr>
          <w:rFonts w:ascii="Palatino Linotype" w:eastAsia="Palatino Linotype" w:hAnsi="Palatino Linotype" w:cs="Palatino Linotype"/>
        </w:rPr>
      </w:pPr>
      <w:r w:rsidRPr="00505FE9">
        <w:rPr>
          <w:rFonts w:ascii="Palatino Linotype" w:eastAsia="Palatino Linotype" w:hAnsi="Palatino Linotype" w:cs="Palatino Linotype"/>
        </w:rPr>
        <w:t>Lo anterior, de conformidad a lo que señalan los artículos 3 fracciones IX, XX, XXI y XLV, 91, 132 fracciones II y III, y 143 fracción I de la Ley de Transparencia y Acceso a la Información Pública del Estado de México y Municipios que establecen:</w:t>
      </w:r>
    </w:p>
    <w:p w14:paraId="42674A3B"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Artículo 3</w:t>
      </w:r>
      <w:r w:rsidRPr="00505FE9">
        <w:rPr>
          <w:rFonts w:ascii="Palatino Linotype" w:eastAsia="Palatino Linotype" w:hAnsi="Palatino Linotype" w:cs="Palatino Linotype"/>
          <w:i/>
          <w:sz w:val="22"/>
          <w:szCs w:val="22"/>
        </w:rPr>
        <w:t>. Para los efectos de la presente Ley se entenderá por:</w:t>
      </w:r>
    </w:p>
    <w:p w14:paraId="0F97832B"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428FB1E8"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IX. Datos personales:</w:t>
      </w:r>
      <w:r w:rsidRPr="00505FE9">
        <w:rPr>
          <w:rFonts w:ascii="Palatino Linotype" w:eastAsia="Palatino Linotype" w:hAnsi="Palatino Linotype" w:cs="Palatino Linotype"/>
          <w:i/>
          <w:sz w:val="22"/>
          <w:szCs w:val="22"/>
        </w:rPr>
        <w:t xml:space="preserve"> La información concerniente a una persona, identificada o identificable según lo dispuesto por la Ley de Protección de Datos Personales del Estado de México; </w:t>
      </w:r>
    </w:p>
    <w:p w14:paraId="1DA8EE58"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XX. Información clasificada</w:t>
      </w:r>
      <w:r w:rsidRPr="00505FE9">
        <w:rPr>
          <w:rFonts w:ascii="Palatino Linotype" w:eastAsia="Palatino Linotype" w:hAnsi="Palatino Linotype" w:cs="Palatino Linotype"/>
          <w:i/>
          <w:sz w:val="22"/>
          <w:szCs w:val="22"/>
        </w:rPr>
        <w:t>: Aquella considerada por la presente Ley como reservada o confidencial;</w:t>
      </w:r>
    </w:p>
    <w:p w14:paraId="74CC705F"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XXI. Información confidencial:</w:t>
      </w:r>
      <w:r w:rsidRPr="00505FE9">
        <w:rPr>
          <w:rFonts w:ascii="Palatino Linotype" w:eastAsia="Palatino Linotype" w:hAnsi="Palatino Linotype" w:cs="Palatino Linotype"/>
          <w:i/>
          <w:sz w:val="22"/>
          <w:szCs w:val="22"/>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1FFD483"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XLV. Versión pública:</w:t>
      </w:r>
      <w:r w:rsidRPr="00505FE9">
        <w:rPr>
          <w:rFonts w:ascii="Palatino Linotype" w:eastAsia="Palatino Linotype" w:hAnsi="Palatino Linotype" w:cs="Palatino Linotype"/>
          <w:i/>
          <w:sz w:val="22"/>
          <w:szCs w:val="22"/>
        </w:rPr>
        <w:t xml:space="preserve"> Documento en el que se elimine, suprime o borra la información clasificada como reservada o confidencial para permitir su acceso.</w:t>
      </w:r>
    </w:p>
    <w:p w14:paraId="2E8883ED"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4639E8E0"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Artículo 91. </w:t>
      </w:r>
      <w:r w:rsidRPr="00505FE9">
        <w:rPr>
          <w:rFonts w:ascii="Palatino Linotype" w:eastAsia="Palatino Linotype" w:hAnsi="Palatino Linotype" w:cs="Palatino Linotype"/>
          <w:i/>
          <w:sz w:val="22"/>
          <w:szCs w:val="22"/>
        </w:rPr>
        <w:t>El acceso a la información pública será restringido excepcionalmente, cuando ésta sea clasificada como reservada o confidencial.</w:t>
      </w:r>
    </w:p>
    <w:p w14:paraId="36A7A1AF"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 xml:space="preserve">Artículo 132. </w:t>
      </w:r>
      <w:r w:rsidRPr="00505FE9">
        <w:rPr>
          <w:rFonts w:ascii="Palatino Linotype" w:eastAsia="Palatino Linotype" w:hAnsi="Palatino Linotype" w:cs="Palatino Linotype"/>
          <w:i/>
          <w:sz w:val="22"/>
          <w:szCs w:val="22"/>
        </w:rPr>
        <w:t>La clasificación de la información se llevará a cabo en el momento en que:</w:t>
      </w:r>
    </w:p>
    <w:p w14:paraId="57F274EA"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w:t>
      </w:r>
      <w:r w:rsidRPr="00505FE9">
        <w:rPr>
          <w:rFonts w:ascii="Palatino Linotype" w:eastAsia="Palatino Linotype" w:hAnsi="Palatino Linotype" w:cs="Palatino Linotype"/>
          <w:i/>
          <w:sz w:val="22"/>
          <w:szCs w:val="22"/>
        </w:rPr>
        <w:t>. Se reciba una solicitud de acceso a la información;</w:t>
      </w:r>
    </w:p>
    <w:p w14:paraId="0B7C13A5"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w:t>
      </w:r>
      <w:r w:rsidRPr="00505FE9">
        <w:rPr>
          <w:rFonts w:ascii="Palatino Linotype" w:eastAsia="Palatino Linotype" w:hAnsi="Palatino Linotype" w:cs="Palatino Linotype"/>
          <w:i/>
          <w:sz w:val="22"/>
          <w:szCs w:val="22"/>
        </w:rPr>
        <w:t>. Se determine mediante resolución de autoridad competente; o</w:t>
      </w:r>
    </w:p>
    <w:p w14:paraId="320A643A"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III</w:t>
      </w:r>
      <w:r w:rsidRPr="00505FE9">
        <w:rPr>
          <w:rFonts w:ascii="Palatino Linotype" w:eastAsia="Palatino Linotype" w:hAnsi="Palatino Linotype" w:cs="Palatino Linotype"/>
          <w:i/>
          <w:sz w:val="22"/>
          <w:szCs w:val="22"/>
        </w:rPr>
        <w:t>. Se generen versiones públicas para dar cumplimiento a las obligaciones de transparencia previstas en esta Ley.</w:t>
      </w:r>
    </w:p>
    <w:p w14:paraId="53B3E341"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p>
    <w:p w14:paraId="37221AD1"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Artículo 143</w:t>
      </w:r>
      <w:r w:rsidRPr="00505FE9">
        <w:rPr>
          <w:rFonts w:ascii="Palatino Linotype" w:eastAsia="Palatino Linotype" w:hAnsi="Palatino Linotype" w:cs="Palatino Linotype"/>
          <w:i/>
          <w:sz w:val="22"/>
          <w:szCs w:val="22"/>
        </w:rPr>
        <w:t>. Para los efectos de esta Ley se considera información confidencial, la clasificada como tal, de manera permanente, por su naturaleza, cuando:</w:t>
      </w:r>
    </w:p>
    <w:p w14:paraId="326B947A"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w:t>
      </w:r>
      <w:r w:rsidRPr="00505FE9">
        <w:rPr>
          <w:rFonts w:ascii="Palatino Linotype" w:eastAsia="Palatino Linotype" w:hAnsi="Palatino Linotype" w:cs="Palatino Linotype"/>
          <w:i/>
          <w:sz w:val="22"/>
          <w:szCs w:val="22"/>
        </w:rPr>
        <w:t xml:space="preserve"> Se refiera a la información privada y los datos personales concernientes a una persona física o jurídico colectiva identificada o identificable;</w:t>
      </w:r>
    </w:p>
    <w:p w14:paraId="642BC9E9"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w:t>
      </w:r>
      <w:r w:rsidRPr="00505FE9">
        <w:rPr>
          <w:rFonts w:ascii="Palatino Linotype" w:eastAsia="Palatino Linotype" w:hAnsi="Palatino Linotype" w:cs="Palatino Linotype"/>
          <w:i/>
          <w:sz w:val="22"/>
          <w:szCs w:val="22"/>
        </w:rPr>
        <w:t xml:space="preserve"> Los secretos bancario, fiduciario, industrial, comercial, fiscal, bursátil y postal, cuya titularidad corresponda a particulares, sujetos de derecho internacional o a sujetos obligados cuando no involucren el ejercicio de recursos públicos; y</w:t>
      </w:r>
    </w:p>
    <w:p w14:paraId="7EEDD552"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III</w:t>
      </w:r>
      <w:r w:rsidRPr="00505FE9">
        <w:rPr>
          <w:rFonts w:ascii="Palatino Linotype" w:eastAsia="Palatino Linotype" w:hAnsi="Palatino Linotype" w:cs="Palatino Linotype"/>
          <w:i/>
          <w:sz w:val="22"/>
          <w:szCs w:val="22"/>
        </w:rPr>
        <w:t>. La que presenten los particulares a los sujetos obligados, de conformidad con lo dispuesto por las leyes o los tratados internacionales.</w:t>
      </w:r>
    </w:p>
    <w:p w14:paraId="051D974A"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La información confidencial no estará sujeta a temporalidad alguna y sólo podrán tener acceso a ella los titulares de la misma, sus representantes y los servidores públicos facultados para ello.</w:t>
      </w:r>
    </w:p>
    <w:p w14:paraId="5B41A5F5"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
    <w:p w14:paraId="00888B10"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Igualmente, los Lineamientos Generales en Materia de Clasificación y Desclasificación de la Información, así como para la elaboración de Versiones Públicas,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14B9D3D"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Entorno a lo que aquí nos interesa, los Lineamientos Quincuagésimo sexto, Quincuagésimo séptimo y Quincuagésimo octavo, establecen lo siguiente:</w:t>
      </w:r>
    </w:p>
    <w:p w14:paraId="1CDBD806"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w:t>
      </w:r>
      <w:r w:rsidRPr="00505FE9">
        <w:rPr>
          <w:rFonts w:ascii="Palatino Linotype" w:eastAsia="Palatino Linotype" w:hAnsi="Palatino Linotype" w:cs="Palatino Linotype"/>
          <w:b/>
          <w:i/>
          <w:sz w:val="22"/>
          <w:szCs w:val="22"/>
        </w:rPr>
        <w:t>Quincuagésimo sexto</w:t>
      </w:r>
      <w:r w:rsidRPr="00505FE9">
        <w:rPr>
          <w:rFonts w:ascii="Palatino Linotype" w:eastAsia="Palatino Linotype" w:hAnsi="Palatino Linotype" w:cs="Palatino Linotype"/>
          <w:i/>
          <w:sz w:val="22"/>
          <w:szCs w:val="22"/>
        </w:rPr>
        <w:t>. La versión pública del documento o expediente que contenga partes o secciones reservadas o confidenciales, será elaborada por los sujetos obligados, previo pago de los costos de reproducción, a través de sus áreas y deberá ser aprobada por su Comité de Transparencia</w:t>
      </w:r>
    </w:p>
    <w:p w14:paraId="38FB1943"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Quincuagésimo séptimo</w:t>
      </w:r>
      <w:r w:rsidRPr="00505FE9">
        <w:rPr>
          <w:rFonts w:ascii="Palatino Linotype" w:eastAsia="Palatino Linotype" w:hAnsi="Palatino Linotype" w:cs="Palatino Linotype"/>
          <w:i/>
          <w:sz w:val="22"/>
          <w:szCs w:val="22"/>
        </w:rPr>
        <w:t xml:space="preserve">. Se considera, en principio, como información pública y no podrá omitirse de las versiones públicas la siguiente: </w:t>
      </w:r>
    </w:p>
    <w:p w14:paraId="1404EE94"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w:t>
      </w:r>
      <w:r w:rsidRPr="00505FE9">
        <w:rPr>
          <w:rFonts w:ascii="Palatino Linotype" w:eastAsia="Palatino Linotype" w:hAnsi="Palatino Linotype" w:cs="Palatino Linotype"/>
          <w:i/>
          <w:sz w:val="22"/>
          <w:szCs w:val="22"/>
        </w:rPr>
        <w:t xml:space="preserve">. La relativa a las Obligaciones de Transparencia que contempla el Título V de la Ley General y las demás disposiciones legales aplicables; </w:t>
      </w:r>
    </w:p>
    <w:p w14:paraId="1C416DA6"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w:t>
      </w:r>
      <w:r w:rsidRPr="00505FE9">
        <w:rPr>
          <w:rFonts w:ascii="Palatino Linotype" w:eastAsia="Palatino Linotype" w:hAnsi="Palatino Linotype" w:cs="Palatino Linotype"/>
          <w:i/>
          <w:sz w:val="22"/>
          <w:szCs w:val="22"/>
        </w:rPr>
        <w:t xml:space="preserve"> El nombre de los servidores públicos en los documentos, y sus firmas autógrafas, cuando sean utilizados en el ejercicio de las facultades conferidas para el desempeño del servicio público, y </w:t>
      </w:r>
    </w:p>
    <w:p w14:paraId="15183088" w14:textId="77777777" w:rsidR="00131F6B" w:rsidRPr="00505FE9" w:rsidRDefault="002459A5">
      <w:pPr>
        <w:spacing w:before="120" w:after="120"/>
        <w:ind w:left="993"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III.</w:t>
      </w:r>
      <w:r w:rsidRPr="00505FE9">
        <w:rPr>
          <w:rFonts w:ascii="Palatino Linotype" w:eastAsia="Palatino Linotype" w:hAnsi="Palatino Linotype" w:cs="Palatino Linotype"/>
          <w:i/>
          <w:sz w:val="22"/>
          <w:szCs w:val="22"/>
        </w:rPr>
        <w:t xml:space="preserve"> La información que documente decisiones y los actos de autoridad concluidos de los sujetos obligados, así como el ejercicio de las facultades o actividades de los servidores públicos, de manera que se pueda valorar el desempeño de los mismos.</w:t>
      </w:r>
    </w:p>
    <w:p w14:paraId="5C0A7FDC"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Lo anterior, siempre y cuando no se acredite alguna causal de clasificación, prevista en las leyes o en los tratados internaciones suscritos por el Estado mexicano. </w:t>
      </w:r>
    </w:p>
    <w:p w14:paraId="19D80C71" w14:textId="77777777" w:rsidR="00131F6B" w:rsidRPr="00505FE9" w:rsidRDefault="002459A5">
      <w:pPr>
        <w:spacing w:before="120" w:after="120"/>
        <w:ind w:left="851"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b/>
          <w:i/>
          <w:sz w:val="22"/>
          <w:szCs w:val="22"/>
        </w:rPr>
        <w:t>Quincuagésimo octavo</w:t>
      </w:r>
      <w:r w:rsidRPr="00505FE9">
        <w:rPr>
          <w:rFonts w:ascii="Palatino Linotype" w:eastAsia="Palatino Linotype" w:hAnsi="Palatino Linotype" w:cs="Palatino Linotype"/>
          <w:i/>
          <w:sz w:val="22"/>
          <w:szCs w:val="22"/>
        </w:rPr>
        <w:t>. Los sujetos obligados garantizarán que los sistemas o medios empleados para eliminar la información en las versiones públicas no permitan la recuperación o visualización de la misma.”</w:t>
      </w:r>
    </w:p>
    <w:p w14:paraId="106205A6"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xml:space="preserve">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1B7F666E"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En relación directa con ello, los Lineamientos en estudio establecen los formatos para la clasificación parcial y total de los documentos, que atienden a lo siguiente:</w:t>
      </w:r>
    </w:p>
    <w:tbl>
      <w:tblPr>
        <w:tblStyle w:val="afc"/>
        <w:tblW w:w="8828" w:type="dxa"/>
        <w:tblInd w:w="5"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34"/>
        <w:gridCol w:w="3119"/>
        <w:gridCol w:w="1129"/>
        <w:gridCol w:w="3446"/>
      </w:tblGrid>
      <w:tr w:rsidR="00505FE9" w:rsidRPr="00505FE9" w14:paraId="1FCD57F9" w14:textId="77777777">
        <w:tc>
          <w:tcPr>
            <w:tcW w:w="4253" w:type="dxa"/>
            <w:gridSpan w:val="2"/>
            <w:tcBorders>
              <w:top w:val="nil"/>
              <w:left w:val="nil"/>
              <w:right w:val="nil"/>
            </w:tcBorders>
          </w:tcPr>
          <w:p w14:paraId="01895B7D" w14:textId="77777777" w:rsidR="00131F6B" w:rsidRPr="00505FE9" w:rsidRDefault="002459A5">
            <w:pPr>
              <w:jc w:val="center"/>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Parcial</w:t>
            </w:r>
          </w:p>
        </w:tc>
        <w:tc>
          <w:tcPr>
            <w:tcW w:w="4575" w:type="dxa"/>
            <w:gridSpan w:val="2"/>
            <w:tcBorders>
              <w:top w:val="nil"/>
              <w:left w:val="nil"/>
              <w:right w:val="nil"/>
            </w:tcBorders>
          </w:tcPr>
          <w:p w14:paraId="0D876F81" w14:textId="77777777" w:rsidR="00131F6B" w:rsidRPr="00505FE9" w:rsidRDefault="002459A5">
            <w:pPr>
              <w:jc w:val="center"/>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Total</w:t>
            </w:r>
          </w:p>
        </w:tc>
      </w:tr>
      <w:tr w:rsidR="00505FE9" w:rsidRPr="00505FE9" w14:paraId="092838D6" w14:textId="77777777">
        <w:tc>
          <w:tcPr>
            <w:tcW w:w="1134" w:type="dxa"/>
          </w:tcPr>
          <w:p w14:paraId="23B49B9A" w14:textId="77777777" w:rsidR="00131F6B" w:rsidRPr="00505FE9" w:rsidRDefault="002459A5">
            <w:pPr>
              <w:jc w:val="center"/>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Concepto</w:t>
            </w:r>
          </w:p>
        </w:tc>
        <w:tc>
          <w:tcPr>
            <w:tcW w:w="3119" w:type="dxa"/>
          </w:tcPr>
          <w:p w14:paraId="62C21E40" w14:textId="77777777" w:rsidR="00131F6B" w:rsidRPr="00505FE9" w:rsidRDefault="002459A5">
            <w:pPr>
              <w:jc w:val="center"/>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Dónde</w:t>
            </w:r>
          </w:p>
        </w:tc>
        <w:tc>
          <w:tcPr>
            <w:tcW w:w="1129" w:type="dxa"/>
          </w:tcPr>
          <w:p w14:paraId="4C0F6164" w14:textId="77777777" w:rsidR="00131F6B" w:rsidRPr="00505FE9" w:rsidRDefault="002459A5">
            <w:pPr>
              <w:jc w:val="center"/>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Concepto</w:t>
            </w:r>
          </w:p>
        </w:tc>
        <w:tc>
          <w:tcPr>
            <w:tcW w:w="3446" w:type="dxa"/>
          </w:tcPr>
          <w:p w14:paraId="05181D49" w14:textId="77777777" w:rsidR="00131F6B" w:rsidRPr="00505FE9" w:rsidRDefault="002459A5">
            <w:pPr>
              <w:jc w:val="center"/>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Dónde</w:t>
            </w:r>
          </w:p>
        </w:tc>
      </w:tr>
      <w:tr w:rsidR="00505FE9" w:rsidRPr="00505FE9" w14:paraId="4C4E7ED0" w14:textId="77777777">
        <w:tc>
          <w:tcPr>
            <w:tcW w:w="8828" w:type="dxa"/>
            <w:gridSpan w:val="4"/>
          </w:tcPr>
          <w:p w14:paraId="67192FDF" w14:textId="77777777" w:rsidR="00131F6B" w:rsidRPr="00505FE9" w:rsidRDefault="002459A5">
            <w:pPr>
              <w:jc w:val="center"/>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Sello oficial o logotipo del sujeto obligado</w:t>
            </w:r>
          </w:p>
        </w:tc>
      </w:tr>
      <w:tr w:rsidR="00505FE9" w:rsidRPr="00505FE9" w14:paraId="1891B311" w14:textId="77777777">
        <w:tc>
          <w:tcPr>
            <w:tcW w:w="1134" w:type="dxa"/>
          </w:tcPr>
          <w:p w14:paraId="7A63D49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Fecha de clasificación</w:t>
            </w:r>
          </w:p>
        </w:tc>
        <w:tc>
          <w:tcPr>
            <w:tcW w:w="3119" w:type="dxa"/>
          </w:tcPr>
          <w:p w14:paraId="62E0902E"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anotará la fecha en la que el Comité de Transparencia confirmó la clasificación del documento, en su caso.</w:t>
            </w:r>
          </w:p>
        </w:tc>
        <w:tc>
          <w:tcPr>
            <w:tcW w:w="1129" w:type="dxa"/>
          </w:tcPr>
          <w:p w14:paraId="5C082C5F"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Fecha de clasificación</w:t>
            </w:r>
          </w:p>
        </w:tc>
        <w:tc>
          <w:tcPr>
            <w:tcW w:w="3446" w:type="dxa"/>
          </w:tcPr>
          <w:p w14:paraId="409B156C"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anotará la fecha en la que el Comité de Transparencia confirmó la clasificación del documento, en su caso.</w:t>
            </w:r>
          </w:p>
        </w:tc>
      </w:tr>
      <w:tr w:rsidR="00505FE9" w:rsidRPr="00505FE9" w14:paraId="70F5B95D" w14:textId="77777777">
        <w:tc>
          <w:tcPr>
            <w:tcW w:w="1134" w:type="dxa"/>
          </w:tcPr>
          <w:p w14:paraId="288F5D0F"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Área</w:t>
            </w:r>
          </w:p>
        </w:tc>
        <w:tc>
          <w:tcPr>
            <w:tcW w:w="3119" w:type="dxa"/>
          </w:tcPr>
          <w:p w14:paraId="1EF1BFAC"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área del cual es titular quien clasifica.</w:t>
            </w:r>
          </w:p>
        </w:tc>
        <w:tc>
          <w:tcPr>
            <w:tcW w:w="1129" w:type="dxa"/>
          </w:tcPr>
          <w:p w14:paraId="3B52FE4E"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Área</w:t>
            </w:r>
          </w:p>
        </w:tc>
        <w:tc>
          <w:tcPr>
            <w:tcW w:w="3446" w:type="dxa"/>
          </w:tcPr>
          <w:p w14:paraId="79F2C17C"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área de la cual es el titular quien clasifica.</w:t>
            </w:r>
          </w:p>
        </w:tc>
      </w:tr>
      <w:tr w:rsidR="00505FE9" w:rsidRPr="00505FE9" w14:paraId="35B9CD62" w14:textId="77777777">
        <w:tc>
          <w:tcPr>
            <w:tcW w:w="1134" w:type="dxa"/>
          </w:tcPr>
          <w:p w14:paraId="1DD526CA"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Información reservada</w:t>
            </w:r>
          </w:p>
        </w:tc>
        <w:tc>
          <w:tcPr>
            <w:tcW w:w="3119" w:type="dxa"/>
          </w:tcPr>
          <w:p w14:paraId="153DCC8E"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indicarán, en su caso, las partes o páginas del documento que se clasifican como reservadas. Si el documento fuera reservado en su totalidad, se anotarán todas las páginas que lo conforman. Si el documento no contiene información reservada, se tachará este apartado.</w:t>
            </w:r>
          </w:p>
        </w:tc>
        <w:tc>
          <w:tcPr>
            <w:tcW w:w="1129" w:type="dxa"/>
          </w:tcPr>
          <w:p w14:paraId="7EDD2DC3"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Reservado</w:t>
            </w:r>
          </w:p>
        </w:tc>
        <w:tc>
          <w:tcPr>
            <w:tcW w:w="3446" w:type="dxa"/>
          </w:tcPr>
          <w:p w14:paraId="06318B4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Leyenda de información RESERVADA.</w:t>
            </w:r>
          </w:p>
        </w:tc>
      </w:tr>
      <w:tr w:rsidR="00505FE9" w:rsidRPr="00505FE9" w14:paraId="3424F053" w14:textId="77777777">
        <w:tc>
          <w:tcPr>
            <w:tcW w:w="1134" w:type="dxa"/>
          </w:tcPr>
          <w:p w14:paraId="3408FC39"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Fundamento legal</w:t>
            </w:r>
          </w:p>
        </w:tc>
        <w:tc>
          <w:tcPr>
            <w:tcW w:w="3119" w:type="dxa"/>
          </w:tcPr>
          <w:p w14:paraId="57C0E575"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ordenamiento, el o los artículos, fracción(es), párrafo(s) con base en los cuales se sustente la reserva.</w:t>
            </w:r>
          </w:p>
        </w:tc>
        <w:tc>
          <w:tcPr>
            <w:tcW w:w="1129" w:type="dxa"/>
          </w:tcPr>
          <w:p w14:paraId="1E2F8FAD"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Periodo de reserva</w:t>
            </w:r>
          </w:p>
        </w:tc>
        <w:tc>
          <w:tcPr>
            <w:tcW w:w="3446" w:type="dxa"/>
          </w:tcPr>
          <w:p w14:paraId="21A78EFB"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anotará el número de años o meses por los que se mantendrá el documento o las partes del mismo como reservado. Si el expediente no es reservado, sino confidencial, deberá tacharse este apartado.</w:t>
            </w:r>
          </w:p>
        </w:tc>
      </w:tr>
      <w:tr w:rsidR="00505FE9" w:rsidRPr="00505FE9" w14:paraId="68523243" w14:textId="77777777">
        <w:tc>
          <w:tcPr>
            <w:tcW w:w="1134" w:type="dxa"/>
          </w:tcPr>
          <w:p w14:paraId="08248263"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Ampliación del periodo de reserva</w:t>
            </w:r>
          </w:p>
        </w:tc>
        <w:tc>
          <w:tcPr>
            <w:tcW w:w="3119" w:type="dxa"/>
          </w:tcPr>
          <w:p w14:paraId="7BAAC875"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c>
          <w:tcPr>
            <w:tcW w:w="1129" w:type="dxa"/>
          </w:tcPr>
          <w:p w14:paraId="61D92F0E"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Fundamento legal</w:t>
            </w:r>
          </w:p>
        </w:tc>
        <w:tc>
          <w:tcPr>
            <w:tcW w:w="3446" w:type="dxa"/>
          </w:tcPr>
          <w:p w14:paraId="63EF2458"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o de los ordenamientos jurídicos, el o los artículos, fracción(es), párrafo(s) con base en los cuales se sustenta la reserva.</w:t>
            </w:r>
          </w:p>
        </w:tc>
      </w:tr>
      <w:tr w:rsidR="00505FE9" w:rsidRPr="00505FE9" w14:paraId="4604EB1A" w14:textId="77777777">
        <w:tc>
          <w:tcPr>
            <w:tcW w:w="1134" w:type="dxa"/>
          </w:tcPr>
          <w:p w14:paraId="345F1C91"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Confidencial</w:t>
            </w:r>
          </w:p>
        </w:tc>
        <w:tc>
          <w:tcPr>
            <w:tcW w:w="3119" w:type="dxa"/>
          </w:tcPr>
          <w:p w14:paraId="3FD7B38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indicarán, en su caso, las partes o páginas del documento que se clasifica como confidencial. Si el documento fuera confidencial en su totalidad, se anotarán todas las páginas que lo conforman. Si el documento no contiene información confidencial, se tachará este apartado.</w:t>
            </w:r>
          </w:p>
        </w:tc>
        <w:tc>
          <w:tcPr>
            <w:tcW w:w="1129" w:type="dxa"/>
          </w:tcPr>
          <w:p w14:paraId="51100FFF"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Ampliación del periodo de reserva</w:t>
            </w:r>
          </w:p>
        </w:tc>
        <w:tc>
          <w:tcPr>
            <w:tcW w:w="3446" w:type="dxa"/>
          </w:tcPr>
          <w:p w14:paraId="7042996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En caso de haber solicitado la ampliación del periodo de reserva originalmente establecido, se deberá anotar el número de años o meses por los que se amplía la reserva.</w:t>
            </w:r>
          </w:p>
        </w:tc>
      </w:tr>
      <w:tr w:rsidR="00505FE9" w:rsidRPr="00505FE9" w14:paraId="18E7C3CA" w14:textId="77777777">
        <w:tc>
          <w:tcPr>
            <w:tcW w:w="1134" w:type="dxa"/>
          </w:tcPr>
          <w:p w14:paraId="45BC0BB4"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Fundamento legal</w:t>
            </w:r>
          </w:p>
        </w:tc>
        <w:tc>
          <w:tcPr>
            <w:tcW w:w="3119" w:type="dxa"/>
          </w:tcPr>
          <w:p w14:paraId="5A19C843"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ordenamiento, el o los artículos, fracción(es), párrafo(s) con base en los cuales se sustente la confidencialidad.</w:t>
            </w:r>
          </w:p>
        </w:tc>
        <w:tc>
          <w:tcPr>
            <w:tcW w:w="1129" w:type="dxa"/>
          </w:tcPr>
          <w:p w14:paraId="2A24A44F"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Confidencial</w:t>
            </w:r>
          </w:p>
        </w:tc>
        <w:tc>
          <w:tcPr>
            <w:tcW w:w="3446" w:type="dxa"/>
          </w:tcPr>
          <w:p w14:paraId="5AC028B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Leyenda de información CONFIDENCIAL.</w:t>
            </w:r>
          </w:p>
        </w:tc>
      </w:tr>
      <w:tr w:rsidR="00505FE9" w:rsidRPr="00505FE9" w14:paraId="74E9606A" w14:textId="77777777">
        <w:tc>
          <w:tcPr>
            <w:tcW w:w="1134" w:type="dxa"/>
          </w:tcPr>
          <w:p w14:paraId="0E4EC9CB"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del titular del área</w:t>
            </w:r>
          </w:p>
        </w:tc>
        <w:tc>
          <w:tcPr>
            <w:tcW w:w="3119" w:type="dxa"/>
          </w:tcPr>
          <w:p w14:paraId="7FA02711"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autógrafa de quien clasifica.</w:t>
            </w:r>
          </w:p>
        </w:tc>
        <w:tc>
          <w:tcPr>
            <w:tcW w:w="1129" w:type="dxa"/>
          </w:tcPr>
          <w:p w14:paraId="3E07AB77"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Fundamento legal</w:t>
            </w:r>
          </w:p>
        </w:tc>
        <w:tc>
          <w:tcPr>
            <w:tcW w:w="3446" w:type="dxa"/>
          </w:tcPr>
          <w:p w14:paraId="4749CA79"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señalará el nombre del o de los ordenamientos jurídicos, el o los artículos, fracción(es), párrafo(s) con base en los cuales se sustente la confidencialidad.</w:t>
            </w:r>
          </w:p>
        </w:tc>
      </w:tr>
      <w:tr w:rsidR="00505FE9" w:rsidRPr="00505FE9" w14:paraId="703910CA" w14:textId="77777777">
        <w:tc>
          <w:tcPr>
            <w:tcW w:w="1134" w:type="dxa"/>
          </w:tcPr>
          <w:p w14:paraId="3824C841"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Fecha de desclasificación</w:t>
            </w:r>
          </w:p>
        </w:tc>
        <w:tc>
          <w:tcPr>
            <w:tcW w:w="3119" w:type="dxa"/>
          </w:tcPr>
          <w:p w14:paraId="7623484A"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anotará la fecha en que se desclasifica el documento.</w:t>
            </w:r>
          </w:p>
        </w:tc>
        <w:tc>
          <w:tcPr>
            <w:tcW w:w="1129" w:type="dxa"/>
          </w:tcPr>
          <w:p w14:paraId="4299478D"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Rúbrica del titular del área</w:t>
            </w:r>
          </w:p>
        </w:tc>
        <w:tc>
          <w:tcPr>
            <w:tcW w:w="3446" w:type="dxa"/>
          </w:tcPr>
          <w:p w14:paraId="0D5AD20E"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autógrafa de quien clasifica.</w:t>
            </w:r>
          </w:p>
        </w:tc>
      </w:tr>
      <w:tr w:rsidR="00505FE9" w:rsidRPr="00505FE9" w14:paraId="5131C8CC" w14:textId="77777777">
        <w:tc>
          <w:tcPr>
            <w:tcW w:w="1134" w:type="dxa"/>
          </w:tcPr>
          <w:p w14:paraId="58460DF1"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y cargo del servidor público</w:t>
            </w:r>
          </w:p>
        </w:tc>
        <w:tc>
          <w:tcPr>
            <w:tcW w:w="3119" w:type="dxa"/>
          </w:tcPr>
          <w:p w14:paraId="1291BA6F"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autógrafa de quien desclasifica.</w:t>
            </w:r>
          </w:p>
        </w:tc>
        <w:tc>
          <w:tcPr>
            <w:tcW w:w="1129" w:type="dxa"/>
          </w:tcPr>
          <w:p w14:paraId="7BA9ECAB"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Fecha de desclasificación</w:t>
            </w:r>
          </w:p>
        </w:tc>
        <w:tc>
          <w:tcPr>
            <w:tcW w:w="3446" w:type="dxa"/>
          </w:tcPr>
          <w:p w14:paraId="40E94CBD"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Se anotará la fecha en que se desclasifica.</w:t>
            </w:r>
          </w:p>
        </w:tc>
      </w:tr>
      <w:tr w:rsidR="00505FE9" w:rsidRPr="00505FE9" w14:paraId="6E900905" w14:textId="77777777">
        <w:tc>
          <w:tcPr>
            <w:tcW w:w="1134" w:type="dxa"/>
          </w:tcPr>
          <w:p w14:paraId="7DF127A7" w14:textId="77777777" w:rsidR="00131F6B" w:rsidRPr="00505FE9" w:rsidRDefault="00131F6B">
            <w:pPr>
              <w:jc w:val="both"/>
              <w:rPr>
                <w:rFonts w:ascii="Palatino Linotype" w:eastAsia="Palatino Linotype" w:hAnsi="Palatino Linotype" w:cs="Palatino Linotype"/>
                <w:sz w:val="12"/>
                <w:szCs w:val="12"/>
              </w:rPr>
            </w:pPr>
          </w:p>
        </w:tc>
        <w:tc>
          <w:tcPr>
            <w:tcW w:w="3119" w:type="dxa"/>
          </w:tcPr>
          <w:p w14:paraId="278B20F0" w14:textId="77777777" w:rsidR="00131F6B" w:rsidRPr="00505FE9" w:rsidRDefault="00131F6B">
            <w:pPr>
              <w:jc w:val="both"/>
              <w:rPr>
                <w:rFonts w:ascii="Palatino Linotype" w:eastAsia="Palatino Linotype" w:hAnsi="Palatino Linotype" w:cs="Palatino Linotype"/>
                <w:sz w:val="12"/>
                <w:szCs w:val="12"/>
              </w:rPr>
            </w:pPr>
          </w:p>
        </w:tc>
        <w:tc>
          <w:tcPr>
            <w:tcW w:w="1129" w:type="dxa"/>
          </w:tcPr>
          <w:p w14:paraId="1F7B66FD"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Partes o secciones reservadas o confidenciales</w:t>
            </w:r>
          </w:p>
        </w:tc>
        <w:tc>
          <w:tcPr>
            <w:tcW w:w="3446" w:type="dxa"/>
          </w:tcPr>
          <w:p w14:paraId="5C2ABC8B"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En caso que una vez desclasificado el expediente, subsistanpartes o secciones del mismo reservadas o confidenciales, se señalará este hecho.</w:t>
            </w:r>
          </w:p>
        </w:tc>
      </w:tr>
      <w:tr w:rsidR="00505FE9" w:rsidRPr="00505FE9" w14:paraId="65D5B8B0" w14:textId="77777777">
        <w:tc>
          <w:tcPr>
            <w:tcW w:w="1134" w:type="dxa"/>
          </w:tcPr>
          <w:p w14:paraId="26B6ED91" w14:textId="77777777" w:rsidR="00131F6B" w:rsidRPr="00505FE9" w:rsidRDefault="00131F6B">
            <w:pPr>
              <w:jc w:val="both"/>
              <w:rPr>
                <w:rFonts w:ascii="Palatino Linotype" w:eastAsia="Palatino Linotype" w:hAnsi="Palatino Linotype" w:cs="Palatino Linotype"/>
                <w:sz w:val="12"/>
                <w:szCs w:val="12"/>
              </w:rPr>
            </w:pPr>
          </w:p>
        </w:tc>
        <w:tc>
          <w:tcPr>
            <w:tcW w:w="3119" w:type="dxa"/>
          </w:tcPr>
          <w:p w14:paraId="52C4AB1E" w14:textId="77777777" w:rsidR="00131F6B" w:rsidRPr="00505FE9" w:rsidRDefault="00131F6B">
            <w:pPr>
              <w:jc w:val="both"/>
              <w:rPr>
                <w:rFonts w:ascii="Palatino Linotype" w:eastAsia="Palatino Linotype" w:hAnsi="Palatino Linotype" w:cs="Palatino Linotype"/>
                <w:sz w:val="12"/>
                <w:szCs w:val="12"/>
              </w:rPr>
            </w:pPr>
          </w:p>
        </w:tc>
        <w:tc>
          <w:tcPr>
            <w:tcW w:w="1129" w:type="dxa"/>
          </w:tcPr>
          <w:p w14:paraId="5DE576C3" w14:textId="77777777" w:rsidR="00131F6B" w:rsidRPr="00505FE9" w:rsidRDefault="002459A5">
            <w:pPr>
              <w:jc w:val="both"/>
              <w:rPr>
                <w:rFonts w:ascii="Palatino Linotype" w:eastAsia="Palatino Linotype" w:hAnsi="Palatino Linotype" w:cs="Palatino Linotype"/>
                <w:b/>
                <w:sz w:val="12"/>
                <w:szCs w:val="12"/>
              </w:rPr>
            </w:pPr>
            <w:r w:rsidRPr="00505FE9">
              <w:rPr>
                <w:rFonts w:ascii="Palatino Linotype" w:eastAsia="Palatino Linotype" w:hAnsi="Palatino Linotype" w:cs="Palatino Linotype"/>
                <w:b/>
                <w:sz w:val="12"/>
                <w:szCs w:val="12"/>
              </w:rPr>
              <w:t>Rúbrica y cargo del servidor público</w:t>
            </w:r>
          </w:p>
        </w:tc>
        <w:tc>
          <w:tcPr>
            <w:tcW w:w="3446" w:type="dxa"/>
          </w:tcPr>
          <w:p w14:paraId="470A0103" w14:textId="77777777" w:rsidR="00131F6B" w:rsidRPr="00505FE9" w:rsidRDefault="002459A5">
            <w:pPr>
              <w:jc w:val="both"/>
              <w:rPr>
                <w:rFonts w:ascii="Palatino Linotype" w:eastAsia="Palatino Linotype" w:hAnsi="Palatino Linotype" w:cs="Palatino Linotype"/>
                <w:sz w:val="12"/>
                <w:szCs w:val="12"/>
              </w:rPr>
            </w:pPr>
            <w:r w:rsidRPr="00505FE9">
              <w:rPr>
                <w:rFonts w:ascii="Palatino Linotype" w:eastAsia="Palatino Linotype" w:hAnsi="Palatino Linotype" w:cs="Palatino Linotype"/>
                <w:sz w:val="12"/>
                <w:szCs w:val="12"/>
              </w:rPr>
              <w:t>Rúbrica autógrafa de quien desclasifica.</w:t>
            </w:r>
          </w:p>
        </w:tc>
      </w:tr>
    </w:tbl>
    <w:p w14:paraId="531B27A8" w14:textId="77777777" w:rsidR="00131F6B" w:rsidRPr="00505FE9" w:rsidRDefault="00131F6B">
      <w:pPr>
        <w:tabs>
          <w:tab w:val="left" w:pos="7938"/>
        </w:tabs>
        <w:spacing w:line="360" w:lineRule="auto"/>
        <w:jc w:val="both"/>
        <w:rPr>
          <w:rFonts w:ascii="Palatino Linotype" w:eastAsia="Palatino Linotype" w:hAnsi="Palatino Linotype" w:cs="Palatino Linotype"/>
        </w:rPr>
      </w:pPr>
    </w:p>
    <w:p w14:paraId="53CD2B33" w14:textId="77777777" w:rsidR="00131F6B" w:rsidRPr="00505FE9" w:rsidRDefault="002459A5">
      <w:pPr>
        <w:pBdr>
          <w:top w:val="nil"/>
          <w:left w:val="nil"/>
          <w:bottom w:val="nil"/>
          <w:right w:val="nil"/>
          <w:between w:val="nil"/>
        </w:pBdr>
        <w:spacing w:line="360" w:lineRule="auto"/>
        <w:jc w:val="both"/>
      </w:pPr>
      <w:r w:rsidRPr="00505FE9">
        <w:rPr>
          <w:rFonts w:ascii="Palatino Linotype" w:eastAsia="Palatino Linotype" w:hAnsi="Palatino Linotype" w:cs="Palatino Linotype"/>
        </w:rPr>
        <w:t>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que pudiera poner en riesgo la seguridad jurídica y física del titular de dicha información. </w:t>
      </w:r>
    </w:p>
    <w:p w14:paraId="00FF3533" w14:textId="77777777" w:rsidR="00131F6B" w:rsidRPr="00505FE9" w:rsidRDefault="002459A5">
      <w:pPr>
        <w:pBdr>
          <w:top w:val="nil"/>
          <w:left w:val="nil"/>
          <w:bottom w:val="nil"/>
          <w:right w:val="nil"/>
          <w:between w:val="nil"/>
        </w:pBd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 xml:space="preserve">Ahora bien, respecto de las manifestaciones realizadas por la parte  </w:t>
      </w:r>
      <w:r w:rsidRPr="00505FE9">
        <w:rPr>
          <w:rFonts w:ascii="Palatino Linotype" w:eastAsia="Palatino Linotype" w:hAnsi="Palatino Linotype" w:cs="Palatino Linotype"/>
          <w:b/>
        </w:rPr>
        <w:t>RECURRENTE</w:t>
      </w:r>
      <w:r w:rsidRPr="00505FE9">
        <w:rPr>
          <w:rFonts w:ascii="Palatino Linotype" w:eastAsia="Palatino Linotype" w:hAnsi="Palatino Linotype" w:cs="Palatino Linotype"/>
        </w:rPr>
        <w:t xml:space="preserve"> como razones o motivos de inconformidad, consistentes en “…</w:t>
      </w:r>
      <w:r w:rsidRPr="00505FE9">
        <w:rPr>
          <w:rFonts w:ascii="Palatino Linotype" w:eastAsia="Palatino Linotype" w:hAnsi="Palatino Linotype" w:cs="Palatino Linotype"/>
          <w:i/>
        </w:rPr>
        <w:t>Pido se sancione ya severamente al sujeto obligado pues constantemente ha demostrado su incompetencia al no entregar la información solicitada en tiempo y forma</w:t>
      </w:r>
      <w:r w:rsidRPr="00505FE9">
        <w:rPr>
          <w:rFonts w:ascii="Palatino Linotype" w:eastAsia="Palatino Linotype" w:hAnsi="Palatino Linotype" w:cs="Palatino Linotype"/>
        </w:rPr>
        <w:t xml:space="preserve"> …” (Sic),  derivado que el Recurso de Revisión no es el medio para sancionar, este Organismo Garante sugiere al solicitante, interponer su queja o denuncia ante la autoridad competente.</w:t>
      </w:r>
    </w:p>
    <w:p w14:paraId="59A887B2"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rPr>
        <w:t>Así, con fundamento en lo prescrito en los artículos 5 párrafos trigésimo, trigésimo primero y trigésimo segundo de la Constitución Política del Estado Libre y Soberano de México; 2, fracción II; 29, 36 fracciones I y II; 176, 178, 181, 185 de la Ley de Transparencia y Acceso a la Información Pública del Estado de México y Municipios, este Pleno:</w:t>
      </w:r>
    </w:p>
    <w:p w14:paraId="316A8AE9" w14:textId="77777777" w:rsidR="00131F6B" w:rsidRPr="00505FE9" w:rsidRDefault="002459A5">
      <w:pPr>
        <w:numPr>
          <w:ilvl w:val="0"/>
          <w:numId w:val="1"/>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505FE9">
        <w:rPr>
          <w:rFonts w:ascii="Palatino Linotype" w:eastAsia="Palatino Linotype" w:hAnsi="Palatino Linotype" w:cs="Palatino Linotype"/>
          <w:b/>
        </w:rPr>
        <w:t>R E S U E L V E</w:t>
      </w:r>
    </w:p>
    <w:p w14:paraId="5F5FEA61" w14:textId="77777777" w:rsidR="00131F6B" w:rsidRPr="00505FE9" w:rsidRDefault="002459A5">
      <w:pPr>
        <w:spacing w:before="240" w:after="240" w:line="360" w:lineRule="auto"/>
        <w:jc w:val="both"/>
        <w:rPr>
          <w:rFonts w:ascii="Palatino Linotype" w:eastAsia="Palatino Linotype" w:hAnsi="Palatino Linotype" w:cs="Palatino Linotype"/>
          <w:b/>
        </w:rPr>
      </w:pPr>
      <w:r w:rsidRPr="00505FE9">
        <w:rPr>
          <w:rFonts w:ascii="Palatino Linotype" w:eastAsia="Palatino Linotype" w:hAnsi="Palatino Linotype" w:cs="Palatino Linotype"/>
          <w:b/>
        </w:rPr>
        <w:t xml:space="preserve">PRIMERO. </w:t>
      </w:r>
      <w:r w:rsidRPr="00505FE9">
        <w:rPr>
          <w:rFonts w:ascii="Palatino Linotype" w:eastAsia="Palatino Linotype" w:hAnsi="Palatino Linotype" w:cs="Palatino Linotype"/>
        </w:rPr>
        <w:t xml:space="preserve">Resultan </w:t>
      </w:r>
      <w:r w:rsidRPr="00505FE9">
        <w:rPr>
          <w:rFonts w:ascii="Palatino Linotype" w:eastAsia="Palatino Linotype" w:hAnsi="Palatino Linotype" w:cs="Palatino Linotype"/>
          <w:b/>
        </w:rPr>
        <w:t xml:space="preserve">parcialmente fundados </w:t>
      </w:r>
      <w:r w:rsidRPr="00505FE9">
        <w:rPr>
          <w:rFonts w:ascii="Palatino Linotype" w:eastAsia="Palatino Linotype" w:hAnsi="Palatino Linotype" w:cs="Palatino Linotype"/>
        </w:rPr>
        <w:t>los motivos de inconformidad hechos valer por la parte</w:t>
      </w:r>
      <w:r w:rsidRPr="00505FE9">
        <w:rPr>
          <w:rFonts w:ascii="Palatino Linotype" w:eastAsia="Palatino Linotype" w:hAnsi="Palatino Linotype" w:cs="Palatino Linotype"/>
          <w:b/>
        </w:rPr>
        <w:t xml:space="preserve"> RECURRENTE</w:t>
      </w:r>
      <w:r w:rsidRPr="00505FE9">
        <w:rPr>
          <w:rFonts w:ascii="Palatino Linotype" w:eastAsia="Palatino Linotype" w:hAnsi="Palatino Linotype" w:cs="Palatino Linotype"/>
        </w:rPr>
        <w:t xml:space="preserve"> en el Recurso de Revisión</w:t>
      </w:r>
      <w:r w:rsidRPr="00505FE9">
        <w:rPr>
          <w:rFonts w:ascii="Palatino Linotype" w:eastAsia="Palatino Linotype" w:hAnsi="Palatino Linotype" w:cs="Palatino Linotype"/>
          <w:b/>
        </w:rPr>
        <w:t xml:space="preserve"> 07929/INFOEM/IP/RR/2022, </w:t>
      </w:r>
      <w:r w:rsidRPr="00505FE9">
        <w:rPr>
          <w:rFonts w:ascii="Palatino Linotype" w:eastAsia="Palatino Linotype" w:hAnsi="Palatino Linotype" w:cs="Palatino Linotype"/>
        </w:rPr>
        <w:t>por lo que</w:t>
      </w:r>
      <w:r w:rsidRPr="00505FE9">
        <w:rPr>
          <w:rFonts w:ascii="Palatino Linotype" w:eastAsia="Palatino Linotype" w:hAnsi="Palatino Linotype" w:cs="Palatino Linotype"/>
          <w:b/>
        </w:rPr>
        <w:t xml:space="preserve">, </w:t>
      </w:r>
      <w:r w:rsidRPr="00505FE9">
        <w:rPr>
          <w:rFonts w:ascii="Palatino Linotype" w:eastAsia="Palatino Linotype" w:hAnsi="Palatino Linotype" w:cs="Palatino Linotype"/>
        </w:rPr>
        <w:t>en términos del Considerando Cuarto</w:t>
      </w:r>
      <w:r w:rsidRPr="00505FE9">
        <w:rPr>
          <w:rFonts w:ascii="Palatino Linotype" w:eastAsia="Palatino Linotype" w:hAnsi="Palatino Linotype" w:cs="Palatino Linotype"/>
          <w:b/>
        </w:rPr>
        <w:t xml:space="preserve"> </w:t>
      </w:r>
      <w:r w:rsidRPr="00505FE9">
        <w:rPr>
          <w:rFonts w:ascii="Palatino Linotype" w:eastAsia="Palatino Linotype" w:hAnsi="Palatino Linotype" w:cs="Palatino Linotype"/>
        </w:rPr>
        <w:t>de la presente resolución, se</w:t>
      </w:r>
      <w:r w:rsidRPr="00505FE9">
        <w:rPr>
          <w:rFonts w:ascii="Palatino Linotype" w:eastAsia="Palatino Linotype" w:hAnsi="Palatino Linotype" w:cs="Palatino Linotype"/>
          <w:b/>
        </w:rPr>
        <w:t xml:space="preserve"> MODIFICA </w:t>
      </w:r>
      <w:r w:rsidRPr="00505FE9">
        <w:rPr>
          <w:rFonts w:ascii="Palatino Linotype" w:eastAsia="Palatino Linotype" w:hAnsi="Palatino Linotype" w:cs="Palatino Linotype"/>
        </w:rPr>
        <w:t>la respuesta del</w:t>
      </w:r>
      <w:r w:rsidRPr="00505FE9">
        <w:rPr>
          <w:rFonts w:ascii="Palatino Linotype" w:eastAsia="Palatino Linotype" w:hAnsi="Palatino Linotype" w:cs="Palatino Linotype"/>
          <w:b/>
        </w:rPr>
        <w:t xml:space="preserve"> SUJETO OBLIGADO.</w:t>
      </w:r>
    </w:p>
    <w:p w14:paraId="7DAF6DFE"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SEGUNDO. </w:t>
      </w:r>
      <w:r w:rsidRPr="00505FE9">
        <w:rPr>
          <w:rFonts w:ascii="Palatino Linotype" w:eastAsia="Palatino Linotype" w:hAnsi="Palatino Linotype" w:cs="Palatino Linotype"/>
        </w:rPr>
        <w:t>Se</w:t>
      </w:r>
      <w:r w:rsidRPr="00505FE9">
        <w:rPr>
          <w:rFonts w:ascii="Palatino Linotype" w:eastAsia="Palatino Linotype" w:hAnsi="Palatino Linotype" w:cs="Palatino Linotype"/>
          <w:b/>
        </w:rPr>
        <w:t xml:space="preserve"> ORDENA </w:t>
      </w:r>
      <w:r w:rsidRPr="00505FE9">
        <w:rPr>
          <w:rFonts w:ascii="Palatino Linotype" w:eastAsia="Palatino Linotype" w:hAnsi="Palatino Linotype" w:cs="Palatino Linotype"/>
        </w:rPr>
        <w:t>al</w:t>
      </w:r>
      <w:r w:rsidRPr="00505FE9">
        <w:rPr>
          <w:rFonts w:ascii="Palatino Linotype" w:eastAsia="Palatino Linotype" w:hAnsi="Palatino Linotype" w:cs="Palatino Linotype"/>
          <w:b/>
        </w:rPr>
        <w:t xml:space="preserve"> SUJETO OBLIGADO </w:t>
      </w:r>
      <w:r w:rsidRPr="00505FE9">
        <w:rPr>
          <w:rFonts w:ascii="Palatino Linotype" w:eastAsia="Palatino Linotype" w:hAnsi="Palatino Linotype" w:cs="Palatino Linotype"/>
        </w:rPr>
        <w:t>que en términos de los</w:t>
      </w:r>
      <w:r w:rsidRPr="00505FE9">
        <w:rPr>
          <w:rFonts w:ascii="Palatino Linotype" w:eastAsia="Palatino Linotype" w:hAnsi="Palatino Linotype" w:cs="Palatino Linotype"/>
          <w:b/>
        </w:rPr>
        <w:t xml:space="preserve"> Considerandos Cuarto y Quinto </w:t>
      </w:r>
      <w:r w:rsidRPr="00505FE9">
        <w:rPr>
          <w:rFonts w:ascii="Palatino Linotype" w:eastAsia="Palatino Linotype" w:hAnsi="Palatino Linotype" w:cs="Palatino Linotype"/>
        </w:rPr>
        <w:t xml:space="preserve">de esta resolución, haga entrega a la parte </w:t>
      </w:r>
      <w:r w:rsidRPr="00505FE9">
        <w:rPr>
          <w:rFonts w:ascii="Palatino Linotype" w:eastAsia="Palatino Linotype" w:hAnsi="Palatino Linotype" w:cs="Palatino Linotype"/>
          <w:b/>
        </w:rPr>
        <w:t xml:space="preserve">RECURRENTE </w:t>
      </w:r>
      <w:r w:rsidRPr="00505FE9">
        <w:rPr>
          <w:rFonts w:ascii="Palatino Linotype" w:eastAsia="Palatino Linotype" w:hAnsi="Palatino Linotype" w:cs="Palatino Linotype"/>
        </w:rPr>
        <w:t>a través del</w:t>
      </w:r>
      <w:r w:rsidRPr="00505FE9">
        <w:rPr>
          <w:rFonts w:ascii="Palatino Linotype" w:eastAsia="Palatino Linotype" w:hAnsi="Palatino Linotype" w:cs="Palatino Linotype"/>
          <w:b/>
        </w:rPr>
        <w:t xml:space="preserve"> SAIMEX, </w:t>
      </w:r>
      <w:r w:rsidRPr="00505FE9">
        <w:rPr>
          <w:rFonts w:ascii="Palatino Linotype" w:eastAsia="Palatino Linotype" w:hAnsi="Palatino Linotype" w:cs="Palatino Linotype"/>
        </w:rPr>
        <w:t>en versión pública de ser procedente, de lo siguiente:</w:t>
      </w:r>
    </w:p>
    <w:p w14:paraId="4E1B928C" w14:textId="77777777" w:rsidR="00131F6B" w:rsidRPr="00505FE9" w:rsidRDefault="002459A5">
      <w:pPr>
        <w:numPr>
          <w:ilvl w:val="0"/>
          <w:numId w:val="2"/>
        </w:numPr>
        <w:pBdr>
          <w:top w:val="nil"/>
          <w:left w:val="nil"/>
          <w:bottom w:val="nil"/>
          <w:right w:val="nil"/>
          <w:between w:val="nil"/>
        </w:pBdr>
        <w:spacing w:before="240" w:after="240" w:line="360" w:lineRule="auto"/>
        <w:ind w:right="902"/>
        <w:jc w:val="both"/>
        <w:rPr>
          <w:rFonts w:ascii="Palatino Linotype" w:eastAsia="Palatino Linotype" w:hAnsi="Palatino Linotype" w:cs="Palatino Linotype"/>
          <w:sz w:val="28"/>
          <w:szCs w:val="28"/>
        </w:rPr>
      </w:pPr>
      <w:r w:rsidRPr="00505FE9">
        <w:rPr>
          <w:rFonts w:ascii="Palatino Linotype" w:eastAsia="Palatino Linotype" w:hAnsi="Palatino Linotype" w:cs="Palatino Linotype"/>
        </w:rPr>
        <w:t>Oficios generados por las Regidurías Primera, Tercera, Cuarta, Quinta, Sexta, Octava y Novena, del periodo del dieciséis de marzo al quince de abril de dos mil veintidós.</w:t>
      </w:r>
    </w:p>
    <w:p w14:paraId="12D1E6A5" w14:textId="77777777" w:rsidR="00131F6B" w:rsidRPr="00505FE9" w:rsidRDefault="002459A5">
      <w:pPr>
        <w:spacing w:before="240" w:after="240" w:line="276" w:lineRule="auto"/>
        <w:ind w:left="567" w:right="902"/>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De ser necesaria la versión pública, se deberá emitir el Acuerdo del Comité de Transparencia de acuerdo con la Ley de Transparencia y Acceso a la Información Pública del Estado de México y Municipios, en el que funde y motive las razones sobre los datos que se supriman o eliminen de los soportes documentales objeto de las versiones públicas que se formulen y se pongan a disposición de la parte Recurrente, mismo que igualmente hará de su conocimiento.</w:t>
      </w:r>
    </w:p>
    <w:p w14:paraId="1989FCFE" w14:textId="77777777" w:rsidR="00131F6B" w:rsidRPr="00505FE9" w:rsidRDefault="002459A5">
      <w:pPr>
        <w:pBdr>
          <w:top w:val="nil"/>
          <w:left w:val="nil"/>
          <w:bottom w:val="nil"/>
          <w:right w:val="nil"/>
          <w:between w:val="nil"/>
        </w:pBdr>
        <w:spacing w:line="276" w:lineRule="auto"/>
        <w:ind w:left="567" w:right="900"/>
        <w:jc w:val="both"/>
        <w:rPr>
          <w:rFonts w:ascii="Palatino Linotype" w:eastAsia="Palatino Linotype" w:hAnsi="Palatino Linotype" w:cs="Palatino Linotype"/>
          <w:i/>
          <w:sz w:val="22"/>
          <w:szCs w:val="22"/>
        </w:rPr>
      </w:pPr>
      <w:r w:rsidRPr="00505FE9">
        <w:rPr>
          <w:rFonts w:ascii="Palatino Linotype" w:eastAsia="Palatino Linotype" w:hAnsi="Palatino Linotype" w:cs="Palatino Linotype"/>
          <w:i/>
          <w:sz w:val="22"/>
          <w:szCs w:val="22"/>
        </w:rPr>
        <w:t xml:space="preserve">De ser el caso en el que no se hayan generado oficios en el periodo solicitado, bastará con que el </w:t>
      </w:r>
      <w:r w:rsidRPr="00505FE9">
        <w:rPr>
          <w:rFonts w:ascii="Palatino Linotype" w:eastAsia="Palatino Linotype" w:hAnsi="Palatino Linotype" w:cs="Palatino Linotype"/>
          <w:b/>
          <w:i/>
          <w:sz w:val="22"/>
          <w:szCs w:val="22"/>
        </w:rPr>
        <w:t>SUJETO OBLIGADO</w:t>
      </w:r>
      <w:r w:rsidRPr="00505FE9">
        <w:rPr>
          <w:rFonts w:ascii="Palatino Linotype" w:eastAsia="Palatino Linotype" w:hAnsi="Palatino Linotype" w:cs="Palatino Linotype"/>
          <w:i/>
          <w:sz w:val="22"/>
          <w:szCs w:val="22"/>
        </w:rPr>
        <w:t xml:space="preserve"> lo haga del conocimiento de la parte </w:t>
      </w:r>
      <w:r w:rsidRPr="00505FE9">
        <w:rPr>
          <w:rFonts w:ascii="Palatino Linotype" w:eastAsia="Palatino Linotype" w:hAnsi="Palatino Linotype" w:cs="Palatino Linotype"/>
          <w:b/>
          <w:i/>
          <w:sz w:val="22"/>
          <w:szCs w:val="22"/>
        </w:rPr>
        <w:t>RECURRENTE</w:t>
      </w:r>
      <w:r w:rsidRPr="00505FE9">
        <w:rPr>
          <w:rFonts w:ascii="Palatino Linotype" w:eastAsia="Palatino Linotype" w:hAnsi="Palatino Linotype" w:cs="Palatino Linotype"/>
          <w:i/>
          <w:sz w:val="22"/>
          <w:szCs w:val="22"/>
        </w:rPr>
        <w:t xml:space="preserve">, en términos del segundo párrafo del  artículo 19 de la Ley de Transparencia local, para dar por satisfecho el derecho de acceso a la información. </w:t>
      </w:r>
    </w:p>
    <w:p w14:paraId="5DBB66D3"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TERCERO.</w:t>
      </w:r>
      <w:r w:rsidRPr="00505FE9">
        <w:rPr>
          <w:rFonts w:ascii="Palatino Linotype" w:eastAsia="Palatino Linotype" w:hAnsi="Palatino Linotype" w:cs="Palatino Linotype"/>
          <w:b/>
          <w:sz w:val="28"/>
          <w:szCs w:val="28"/>
        </w:rPr>
        <w:t xml:space="preserve">  </w:t>
      </w:r>
      <w:r w:rsidRPr="00505FE9">
        <w:rPr>
          <w:rFonts w:ascii="Palatino Linotype" w:eastAsia="Palatino Linotype" w:hAnsi="Palatino Linotype" w:cs="Palatino Linotype"/>
          <w:b/>
        </w:rPr>
        <w:t>Notifíquese vía SAIMEX,</w:t>
      </w:r>
      <w:r w:rsidRPr="00505FE9">
        <w:rPr>
          <w:rFonts w:ascii="Palatino Linotype" w:eastAsia="Palatino Linotype" w:hAnsi="Palatino Linotype" w:cs="Palatino Linotype"/>
          <w:b/>
          <w:sz w:val="28"/>
          <w:szCs w:val="28"/>
        </w:rPr>
        <w:t xml:space="preserve"> </w:t>
      </w:r>
      <w:r w:rsidRPr="00505FE9">
        <w:rPr>
          <w:rFonts w:ascii="Palatino Linotype" w:eastAsia="Palatino Linotype" w:hAnsi="Palatino Linotype" w:cs="Palatino Linotype"/>
        </w:rPr>
        <w:t xml:space="preserve">al Titular de la Unidad de Transparencia del </w:t>
      </w:r>
      <w:r w:rsidRPr="00505FE9">
        <w:rPr>
          <w:rFonts w:ascii="Palatino Linotype" w:eastAsia="Palatino Linotype" w:hAnsi="Palatino Linotype" w:cs="Palatino Linotype"/>
          <w:b/>
        </w:rPr>
        <w:t>SUJETO OBLIGADO</w:t>
      </w:r>
      <w:r w:rsidRPr="00505FE9">
        <w:rPr>
          <w:rFonts w:ascii="Palatino Linotype" w:eastAsia="Palatino Linotype" w:hAnsi="Palatino Linotype" w:cs="Palatino Linotype"/>
        </w:rPr>
        <w:t>,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7964A296" w14:textId="77777777" w:rsidR="00131F6B" w:rsidRPr="00505FE9" w:rsidRDefault="002459A5">
      <w:pPr>
        <w:spacing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CUARTO.</w:t>
      </w:r>
      <w:r w:rsidRPr="00505FE9">
        <w:rPr>
          <w:rFonts w:ascii="Palatino Linotype" w:eastAsia="Palatino Linotype" w:hAnsi="Palatino Linotype" w:cs="Palatino Linotype"/>
          <w:b/>
          <w:sz w:val="28"/>
          <w:szCs w:val="28"/>
        </w:rPr>
        <w:t xml:space="preserve"> </w:t>
      </w:r>
      <w:r w:rsidRPr="00505FE9">
        <w:rPr>
          <w:rFonts w:ascii="Palatino Linotype" w:eastAsia="Palatino Linotype" w:hAnsi="Palatino Linotype" w:cs="Palatino Linotype"/>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24BE50F3" w14:textId="77777777" w:rsidR="00131F6B" w:rsidRPr="00505FE9" w:rsidRDefault="002459A5">
      <w:pPr>
        <w:spacing w:before="240" w:after="240" w:line="360" w:lineRule="auto"/>
        <w:jc w:val="both"/>
        <w:rPr>
          <w:rFonts w:ascii="Palatino Linotype" w:eastAsia="Palatino Linotype" w:hAnsi="Palatino Linotype" w:cs="Palatino Linotype"/>
        </w:rPr>
      </w:pPr>
      <w:r w:rsidRPr="00505FE9">
        <w:rPr>
          <w:rFonts w:ascii="Palatino Linotype" w:eastAsia="Palatino Linotype" w:hAnsi="Palatino Linotype" w:cs="Palatino Linotype"/>
          <w:b/>
        </w:rPr>
        <w:t xml:space="preserve">QUINTO. Notifíquese vía SAIMEX </w:t>
      </w:r>
      <w:r w:rsidRPr="00505FE9">
        <w:rPr>
          <w:rFonts w:ascii="Palatino Linotype" w:eastAsia="Palatino Linotype" w:hAnsi="Palatino Linotype" w:cs="Palatino Linotype"/>
        </w:rPr>
        <w:t xml:space="preserve">a la parte </w:t>
      </w:r>
      <w:r w:rsidRPr="00505FE9">
        <w:rPr>
          <w:rFonts w:ascii="Palatino Linotype" w:eastAsia="Palatino Linotype" w:hAnsi="Palatino Linotype" w:cs="Palatino Linotype"/>
          <w:b/>
        </w:rPr>
        <w:t xml:space="preserve">RECURRENTE </w:t>
      </w:r>
      <w:r w:rsidRPr="00505FE9">
        <w:rPr>
          <w:rFonts w:ascii="Palatino Linotype" w:eastAsia="Palatino Linotype" w:hAnsi="Palatino Linotype" w:cs="Palatino Linotype"/>
        </w:rPr>
        <w:t>la presente resolución</w:t>
      </w:r>
      <w:r w:rsidRPr="00505FE9">
        <w:rPr>
          <w:rFonts w:ascii="Palatino Linotype" w:eastAsia="Palatino Linotype" w:hAnsi="Palatino Linotype" w:cs="Palatino Linotype"/>
          <w:b/>
        </w:rPr>
        <w:t xml:space="preserve">, </w:t>
      </w:r>
      <w:r w:rsidRPr="00505FE9">
        <w:rPr>
          <w:rFonts w:ascii="Palatino Linotype" w:eastAsia="Palatino Linotype" w:hAnsi="Palatino Linotype" w:cs="Palatino Linotype"/>
        </w:rPr>
        <w:t xml:space="preserve">así como que podrá impugnarla vía </w:t>
      </w:r>
      <w:r w:rsidRPr="00505FE9">
        <w:rPr>
          <w:rFonts w:ascii="Palatino Linotype" w:eastAsia="Palatino Linotype" w:hAnsi="Palatino Linotype" w:cs="Palatino Linotype"/>
          <w:b/>
        </w:rPr>
        <w:t>Juicio de Amparo</w:t>
      </w:r>
      <w:r w:rsidRPr="00505FE9">
        <w:rPr>
          <w:rFonts w:ascii="Palatino Linotype" w:eastAsia="Palatino Linotype" w:hAnsi="Palatino Linotype" w:cs="Palatino Linotype"/>
        </w:rPr>
        <w:t xml:space="preserve"> en los términos de las leyes aplicables, de conformidad con lo establecido en el artículo 196 de la Ley de Transparencia y Acceso a la Información Pública del Estado de México y Municipios. </w:t>
      </w:r>
    </w:p>
    <w:p w14:paraId="343448E1" w14:textId="77777777" w:rsidR="00131F6B" w:rsidRPr="00505FE9" w:rsidRDefault="002459A5">
      <w:pPr>
        <w:spacing w:before="240" w:after="240" w:line="360" w:lineRule="auto"/>
        <w:jc w:val="both"/>
        <w:rPr>
          <w:rFonts w:ascii="Palatino Linotype" w:eastAsia="Palatino Linotype" w:hAnsi="Palatino Linotype" w:cs="Palatino Linotype"/>
        </w:rPr>
        <w:sectPr w:rsidR="00131F6B" w:rsidRPr="00505FE9">
          <w:headerReference w:type="default" r:id="rId14"/>
          <w:footerReference w:type="default" r:id="rId15"/>
          <w:headerReference w:type="first" r:id="rId16"/>
          <w:footerReference w:type="first" r:id="rId17"/>
          <w:pgSz w:w="12240" w:h="15840"/>
          <w:pgMar w:top="2041" w:right="1701" w:bottom="1701" w:left="1701" w:header="709" w:footer="709" w:gutter="0"/>
          <w:pgNumType w:start="1"/>
          <w:cols w:space="720"/>
          <w:titlePg/>
        </w:sectPr>
      </w:pPr>
      <w:bookmarkStart w:id="4" w:name="_heading=h.1fob9te" w:colFirst="0" w:colLast="0"/>
      <w:bookmarkEnd w:id="4"/>
      <w:r w:rsidRPr="00505FE9">
        <w:rPr>
          <w:rFonts w:ascii="Palatino Linotype" w:eastAsia="Palatino Linotype" w:hAnsi="Palatino Linotype" w:cs="Palatino Linotype"/>
        </w:rPr>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w:t>
      </w:r>
      <w:r w:rsidR="00505FE9">
        <w:rPr>
          <w:rFonts w:ascii="Palatino Linotype" w:eastAsia="Palatino Linotype" w:hAnsi="Palatino Linotype" w:cs="Palatino Linotype"/>
        </w:rPr>
        <w:t>N CRISTINA MORALES MARTÍNEZ (</w:t>
      </w:r>
      <w:r w:rsidRPr="00505FE9">
        <w:rPr>
          <w:rFonts w:ascii="Palatino Linotype" w:eastAsia="Palatino Linotype" w:hAnsi="Palatino Linotype" w:cs="Palatino Linotype"/>
        </w:rPr>
        <w:t>AUSENCIA JUSTIFICADA</w:t>
      </w:r>
      <w:r w:rsidR="00505FE9">
        <w:rPr>
          <w:rFonts w:ascii="Palatino Linotype" w:eastAsia="Palatino Linotype" w:hAnsi="Palatino Linotype" w:cs="Palatino Linotype"/>
        </w:rPr>
        <w:t>)</w:t>
      </w:r>
      <w:r w:rsidRPr="00505FE9">
        <w:rPr>
          <w:rFonts w:ascii="Palatino Linotype" w:eastAsia="Palatino Linotype" w:hAnsi="Palatino Linotype" w:cs="Palatino Linotype"/>
        </w:rPr>
        <w:t xml:space="preserve">, LUIS GUSTAVO PARRA NORIEGA Y GUADALUPE RAMÍREZ PEÑA; EN LA TRIGÉSIMA CUARTA SESIÓN ORDINARIA CELEBRADA EL VEINTIUNO DE SEPTIEMBRE DEL DOS MIL VEINTIDÓS, ANTE EL SECRETARIO TÉCNICO DEL PLENO ALEXIS TAPIA RAMÍREZ.                             </w:t>
      </w:r>
    </w:p>
    <w:p w14:paraId="54DCA7F8" w14:textId="77777777" w:rsidR="00131F6B" w:rsidRPr="00505FE9" w:rsidRDefault="00131F6B">
      <w:pPr>
        <w:spacing w:before="240" w:after="240" w:line="360" w:lineRule="auto"/>
        <w:jc w:val="both"/>
        <w:rPr>
          <w:rFonts w:ascii="Palatino Linotype" w:eastAsia="Palatino Linotype" w:hAnsi="Palatino Linotype" w:cs="Palatino Linotype"/>
        </w:rPr>
      </w:pPr>
    </w:p>
    <w:sectPr w:rsidR="00131F6B" w:rsidRPr="00505FE9">
      <w:headerReference w:type="first" r:id="rId18"/>
      <w:pgSz w:w="12240" w:h="15840"/>
      <w:pgMar w:top="2041" w:right="1701" w:bottom="1701" w:left="1701" w:header="709" w:footer="70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3684F00" w14:textId="77777777" w:rsidR="002A1FD7" w:rsidRDefault="002A1FD7">
      <w:r>
        <w:separator/>
      </w:r>
    </w:p>
  </w:endnote>
  <w:endnote w:type="continuationSeparator" w:id="0">
    <w:p w14:paraId="71DD641C" w14:textId="77777777" w:rsidR="002A1FD7" w:rsidRDefault="002A1F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685A5" w14:textId="77777777" w:rsidR="00131F6B" w:rsidRDefault="002459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3CA2">
      <w:rPr>
        <w:rFonts w:ascii="Arial" w:eastAsia="Arial" w:hAnsi="Arial" w:cs="Arial"/>
        <w:b/>
        <w:noProof/>
        <w:color w:val="000000"/>
        <w:sz w:val="20"/>
        <w:szCs w:val="20"/>
      </w:rPr>
      <w:t>33</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3CA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22A1E8AE" w14:textId="77777777" w:rsidR="00131F6B" w:rsidRDefault="00131F6B">
    <w:pPr>
      <w:pBdr>
        <w:top w:val="nil"/>
        <w:left w:val="nil"/>
        <w:bottom w:val="nil"/>
        <w:right w:val="nil"/>
        <w:between w:val="nil"/>
      </w:pBdr>
      <w:tabs>
        <w:tab w:val="center" w:pos="4252"/>
        <w:tab w:val="right" w:pos="8504"/>
      </w:tabs>
      <w:rPr>
        <w:color w:val="000000"/>
      </w:rPr>
    </w:pPr>
  </w:p>
  <w:p w14:paraId="3868179B" w14:textId="77777777" w:rsidR="00131F6B" w:rsidRDefault="00131F6B">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39D343" w14:textId="77777777" w:rsidR="00131F6B" w:rsidRDefault="002459A5">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C53CA2">
      <w:rPr>
        <w:rFonts w:ascii="Arial" w:eastAsia="Arial" w:hAnsi="Arial" w:cs="Arial"/>
        <w:b/>
        <w:noProof/>
        <w:color w:val="000000"/>
        <w:sz w:val="20"/>
        <w:szCs w:val="20"/>
      </w:rPr>
      <w:t>34</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C53CA2">
      <w:rPr>
        <w:rFonts w:ascii="Arial" w:eastAsia="Arial" w:hAnsi="Arial" w:cs="Arial"/>
        <w:b/>
        <w:noProof/>
        <w:color w:val="000000"/>
        <w:sz w:val="20"/>
        <w:szCs w:val="20"/>
      </w:rPr>
      <w:t>34</w:t>
    </w:r>
    <w:r>
      <w:rPr>
        <w:rFonts w:ascii="Arial" w:eastAsia="Arial" w:hAnsi="Arial" w:cs="Arial"/>
        <w:b/>
        <w:color w:val="000000"/>
        <w:sz w:val="20"/>
        <w:szCs w:val="20"/>
      </w:rPr>
      <w:fldChar w:fldCharType="end"/>
    </w:r>
  </w:p>
  <w:p w14:paraId="106A7FB8" w14:textId="77777777" w:rsidR="00131F6B" w:rsidRDefault="00131F6B">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7BCFF24" w14:textId="77777777" w:rsidR="002A1FD7" w:rsidRDefault="002A1FD7">
      <w:r>
        <w:separator/>
      </w:r>
    </w:p>
  </w:footnote>
  <w:footnote w:type="continuationSeparator" w:id="0">
    <w:p w14:paraId="31E28F19" w14:textId="77777777" w:rsidR="002A1FD7" w:rsidRDefault="002A1FD7">
      <w:r>
        <w:continuationSeparator/>
      </w:r>
    </w:p>
  </w:footnote>
  <w:footnote w:id="1">
    <w:p w14:paraId="5212D8C3" w14:textId="77777777" w:rsidR="00131F6B" w:rsidRDefault="002459A5">
      <w:pPr>
        <w:pBdr>
          <w:top w:val="nil"/>
          <w:left w:val="nil"/>
          <w:bottom w:val="nil"/>
          <w:right w:val="nil"/>
          <w:between w:val="nil"/>
        </w:pBdr>
        <w:rPr>
          <w:color w:val="000000"/>
          <w:sz w:val="20"/>
          <w:szCs w:val="20"/>
        </w:rPr>
      </w:pPr>
      <w:r>
        <w:rPr>
          <w:vertAlign w:val="superscript"/>
        </w:rPr>
        <w:footnoteRef/>
      </w:r>
      <w:r>
        <w:rPr>
          <w:color w:val="000000"/>
          <w:sz w:val="20"/>
          <w:szCs w:val="20"/>
        </w:rPr>
        <w:t xml:space="preserve"> </w:t>
      </w:r>
      <w:r>
        <w:rPr>
          <w:rFonts w:ascii="Palatino Linotype" w:eastAsia="Palatino Linotype" w:hAnsi="Palatino Linotype" w:cs="Palatino Linotype"/>
          <w:color w:val="000000"/>
          <w:sz w:val="16"/>
          <w:szCs w:val="16"/>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r>
        <w:rPr>
          <w:color w:val="000000"/>
          <w:sz w:val="20"/>
          <w:szCs w:val="20"/>
        </w:rPr>
        <w:t xml:space="preserve"> (…)</w:t>
      </w:r>
    </w:p>
  </w:footnote>
  <w:footnote w:id="2">
    <w:p w14:paraId="3812A175" w14:textId="77777777" w:rsidR="00131F6B" w:rsidRDefault="002459A5">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9"/>
          <w:szCs w:val="19"/>
        </w:rPr>
        <w:t xml:space="preserve"> </w:t>
      </w:r>
      <w:r>
        <w:rPr>
          <w:rFonts w:ascii="Palatino Linotype" w:eastAsia="Palatino Linotype" w:hAnsi="Palatino Linotype" w:cs="Palatino Linotype"/>
          <w:color w:val="000000"/>
          <w:sz w:val="16"/>
          <w:szCs w:val="16"/>
        </w:rPr>
        <w:t>“Artículo 3. Para los efectos de la presente Ley se entenderá por: (…) XXII. Información de interés público: Se refiere a la información que resulta relevante o beneficiosa para la sociedad y no simplemente de interés individual, cuya divulgación resulta útil para que el público comprenda las actividades que llevan a cabo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7F0818" w14:textId="77777777" w:rsidR="00131F6B" w:rsidRDefault="00131F6B">
    <w:pPr>
      <w:widowControl w:val="0"/>
      <w:pBdr>
        <w:top w:val="nil"/>
        <w:left w:val="nil"/>
        <w:bottom w:val="nil"/>
        <w:right w:val="nil"/>
        <w:between w:val="nil"/>
      </w:pBdr>
      <w:spacing w:line="276" w:lineRule="auto"/>
      <w:rPr>
        <w:rFonts w:ascii="Calibri" w:eastAsia="Calibri" w:hAnsi="Calibri" w:cs="Calibri"/>
        <w:color w:val="000000"/>
      </w:rPr>
    </w:pPr>
  </w:p>
  <w:tbl>
    <w:tblPr>
      <w:tblStyle w:val="afe"/>
      <w:tblW w:w="5528" w:type="dxa"/>
      <w:tblInd w:w="3261" w:type="dxa"/>
      <w:tblLayout w:type="fixed"/>
      <w:tblLook w:val="0400" w:firstRow="0" w:lastRow="0" w:firstColumn="0" w:lastColumn="0" w:noHBand="0" w:noVBand="1"/>
    </w:tblPr>
    <w:tblGrid>
      <w:gridCol w:w="2551"/>
      <w:gridCol w:w="2977"/>
    </w:tblGrid>
    <w:tr w:rsidR="00131F6B" w14:paraId="6B70B91D" w14:textId="77777777">
      <w:tc>
        <w:tcPr>
          <w:tcW w:w="2551" w:type="dxa"/>
          <w:vAlign w:val="center"/>
        </w:tcPr>
        <w:p w14:paraId="16663386"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2977" w:type="dxa"/>
          <w:vAlign w:val="center"/>
        </w:tcPr>
        <w:p w14:paraId="69D354FF" w14:textId="77777777" w:rsidR="00131F6B" w:rsidRDefault="002459A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07929/INFOEM/IP/RR/2022</w:t>
          </w:r>
        </w:p>
      </w:tc>
    </w:tr>
    <w:tr w:rsidR="00131F6B" w14:paraId="48B58502" w14:textId="77777777">
      <w:trPr>
        <w:trHeight w:val="228"/>
      </w:trPr>
      <w:tc>
        <w:tcPr>
          <w:tcW w:w="2551" w:type="dxa"/>
          <w:vAlign w:val="center"/>
        </w:tcPr>
        <w:p w14:paraId="5E7A7EC0"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2977" w:type="dxa"/>
          <w:vAlign w:val="center"/>
        </w:tcPr>
        <w:p w14:paraId="1C5D7746" w14:textId="77777777" w:rsidR="00131F6B" w:rsidRDefault="002459A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31F6B" w14:paraId="1F1A8B0F" w14:textId="77777777">
      <w:tc>
        <w:tcPr>
          <w:tcW w:w="2551" w:type="dxa"/>
          <w:vAlign w:val="center"/>
        </w:tcPr>
        <w:p w14:paraId="76BC69A0"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2977" w:type="dxa"/>
          <w:vAlign w:val="center"/>
        </w:tcPr>
        <w:p w14:paraId="352D1F67" w14:textId="77777777" w:rsidR="00131F6B" w:rsidRDefault="002459A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85593B7" w14:textId="77777777" w:rsidR="00131F6B" w:rsidRDefault="002459A5">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rPr>
      <w:drawing>
        <wp:anchor distT="0" distB="0" distL="0" distR="0" simplePos="0" relativeHeight="251658240" behindDoc="1" locked="0" layoutInCell="1" hidden="0" allowOverlap="1" wp14:anchorId="3ECF281B" wp14:editId="2C4270F2">
          <wp:simplePos x="0" y="0"/>
          <wp:positionH relativeFrom="column">
            <wp:posOffset>-695762</wp:posOffset>
          </wp:positionH>
          <wp:positionV relativeFrom="paragraph">
            <wp:posOffset>-1200937</wp:posOffset>
          </wp:positionV>
          <wp:extent cx="7809876" cy="10165823"/>
          <wp:effectExtent l="0" t="0" r="0" b="0"/>
          <wp:wrapNone/>
          <wp:docPr id="28"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B3E0E" w14:textId="77777777" w:rsidR="00131F6B" w:rsidRDefault="002459A5">
    <w:pPr>
      <w:pBdr>
        <w:top w:val="nil"/>
        <w:left w:val="nil"/>
        <w:bottom w:val="nil"/>
        <w:right w:val="nil"/>
        <w:between w:val="nil"/>
      </w:pBdr>
      <w:tabs>
        <w:tab w:val="center" w:pos="4252"/>
        <w:tab w:val="right" w:pos="8504"/>
      </w:tabs>
      <w:jc w:val="both"/>
      <w:rPr>
        <w:rFonts w:ascii="Calibri" w:eastAsia="Calibri" w:hAnsi="Calibri" w:cs="Calibri"/>
        <w:color w:val="000000"/>
      </w:rPr>
    </w:pPr>
    <w:r>
      <w:rPr>
        <w:noProof/>
      </w:rPr>
      <w:drawing>
        <wp:anchor distT="0" distB="0" distL="0" distR="0" simplePos="0" relativeHeight="251659264" behindDoc="1" locked="0" layoutInCell="1" hidden="0" allowOverlap="1" wp14:anchorId="0BF3C54A" wp14:editId="21E46567">
          <wp:simplePos x="0" y="0"/>
          <wp:positionH relativeFrom="column">
            <wp:posOffset>-846152</wp:posOffset>
          </wp:positionH>
          <wp:positionV relativeFrom="paragraph">
            <wp:posOffset>-171223</wp:posOffset>
          </wp:positionV>
          <wp:extent cx="7809876" cy="10165823"/>
          <wp:effectExtent l="0" t="0" r="0" b="0"/>
          <wp:wrapNone/>
          <wp:docPr id="2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7809876" cy="10165823"/>
                  </a:xfrm>
                  <a:prstGeom prst="rect">
                    <a:avLst/>
                  </a:prstGeom>
                  <a:ln/>
                </pic:spPr>
              </pic:pic>
            </a:graphicData>
          </a:graphic>
        </wp:anchor>
      </w:drawing>
    </w:r>
  </w:p>
  <w:tbl>
    <w:tblPr>
      <w:tblStyle w:val="afd"/>
      <w:tblW w:w="5670" w:type="dxa"/>
      <w:tblInd w:w="3119" w:type="dxa"/>
      <w:tblLayout w:type="fixed"/>
      <w:tblLook w:val="0400" w:firstRow="0" w:lastRow="0" w:firstColumn="0" w:lastColumn="0" w:noHBand="0" w:noVBand="1"/>
    </w:tblPr>
    <w:tblGrid>
      <w:gridCol w:w="2551"/>
      <w:gridCol w:w="3119"/>
    </w:tblGrid>
    <w:tr w:rsidR="00131F6B" w14:paraId="53A3E7CF" w14:textId="77777777">
      <w:tc>
        <w:tcPr>
          <w:tcW w:w="2551" w:type="dxa"/>
          <w:vAlign w:val="center"/>
        </w:tcPr>
        <w:p w14:paraId="1F384D2B"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vAlign w:val="center"/>
        </w:tcPr>
        <w:p w14:paraId="4DF5394C" w14:textId="77777777" w:rsidR="00131F6B" w:rsidRDefault="002459A5">
          <w:pPr>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07929/INFOEM/IP/RR/2022. </w:t>
          </w:r>
        </w:p>
      </w:tc>
    </w:tr>
    <w:tr w:rsidR="00131F6B" w14:paraId="723F530D" w14:textId="77777777">
      <w:tc>
        <w:tcPr>
          <w:tcW w:w="2551" w:type="dxa"/>
          <w:vAlign w:val="center"/>
        </w:tcPr>
        <w:p w14:paraId="5200C9D0" w14:textId="77777777" w:rsidR="00131F6B" w:rsidRDefault="002459A5">
          <w:pPr>
            <w:ind w:left="35" w:hanging="3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vAlign w:val="center"/>
        </w:tcPr>
        <w:p w14:paraId="034B13B2" w14:textId="77777777" w:rsidR="00131F6B" w:rsidRDefault="00131F6B">
          <w:pPr>
            <w:jc w:val="both"/>
            <w:rPr>
              <w:rFonts w:ascii="Palatino Linotype" w:eastAsia="Palatino Linotype" w:hAnsi="Palatino Linotype" w:cs="Palatino Linotype"/>
              <w:b/>
              <w:sz w:val="22"/>
              <w:szCs w:val="22"/>
            </w:rPr>
          </w:pPr>
        </w:p>
      </w:tc>
    </w:tr>
    <w:tr w:rsidR="00131F6B" w14:paraId="638207D7" w14:textId="77777777">
      <w:trPr>
        <w:trHeight w:val="228"/>
      </w:trPr>
      <w:tc>
        <w:tcPr>
          <w:tcW w:w="2551" w:type="dxa"/>
          <w:vAlign w:val="center"/>
        </w:tcPr>
        <w:p w14:paraId="02620D32"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vAlign w:val="center"/>
        </w:tcPr>
        <w:p w14:paraId="06A0D7C3" w14:textId="77777777" w:rsidR="00131F6B" w:rsidRDefault="002459A5">
          <w:pPr>
            <w:ind w:right="-151"/>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Ayuntamiento de Metepec</w:t>
          </w:r>
        </w:p>
      </w:tc>
    </w:tr>
    <w:tr w:rsidR="00131F6B" w14:paraId="78EEF4D8" w14:textId="77777777">
      <w:tc>
        <w:tcPr>
          <w:tcW w:w="2551" w:type="dxa"/>
          <w:vAlign w:val="center"/>
        </w:tcPr>
        <w:p w14:paraId="0E73B630" w14:textId="77777777" w:rsidR="00131F6B" w:rsidRDefault="002459A5">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vAlign w:val="center"/>
        </w:tcPr>
        <w:p w14:paraId="082119FF" w14:textId="77777777" w:rsidR="00131F6B" w:rsidRDefault="002459A5">
          <w:pPr>
            <w:ind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0233FEEE" w14:textId="77777777" w:rsidR="00131F6B" w:rsidRDefault="00131F6B">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7980B8" w14:textId="77777777" w:rsidR="00131F6B" w:rsidRDefault="00131F6B">
    <w:pPr>
      <w:pBdr>
        <w:top w:val="nil"/>
        <w:left w:val="nil"/>
        <w:bottom w:val="nil"/>
        <w:right w:val="nil"/>
        <w:between w:val="nil"/>
      </w:pBdr>
      <w:tabs>
        <w:tab w:val="center" w:pos="4252"/>
        <w:tab w:val="right" w:pos="8504"/>
      </w:tabs>
      <w:jc w:val="both"/>
      <w:rPr>
        <w:rFonts w:ascii="Calibri" w:eastAsia="Calibri" w:hAnsi="Calibri" w:cs="Calibri"/>
        <w:color w:val="000000"/>
      </w:rPr>
    </w:pPr>
  </w:p>
  <w:p w14:paraId="4B4BF47A" w14:textId="77777777" w:rsidR="00131F6B" w:rsidRDefault="00131F6B">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F900CA"/>
    <w:multiLevelType w:val="multilevel"/>
    <w:tmpl w:val="0662264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E4274A7"/>
    <w:multiLevelType w:val="multilevel"/>
    <w:tmpl w:val="E0AE1008"/>
    <w:lvl w:ilvl="0">
      <w:start w:val="1"/>
      <w:numFmt w:val="bullet"/>
      <w:lvlText w:val="●"/>
      <w:lvlJc w:val="left"/>
      <w:pPr>
        <w:ind w:left="1287" w:hanging="360"/>
      </w:pPr>
      <w:rPr>
        <w:rFonts w:ascii="Noto Sans Symbols" w:eastAsia="Noto Sans Symbols" w:hAnsi="Noto Sans Symbols" w:cs="Noto Sans Symbols"/>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15:restartNumberingAfterBreak="0">
    <w:nsid w:val="380608BD"/>
    <w:multiLevelType w:val="multilevel"/>
    <w:tmpl w:val="D88E626E"/>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3CBA5D31"/>
    <w:multiLevelType w:val="multilevel"/>
    <w:tmpl w:val="EFB8213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4" w15:restartNumberingAfterBreak="0">
    <w:nsid w:val="61930F09"/>
    <w:multiLevelType w:val="multilevel"/>
    <w:tmpl w:val="F9002C70"/>
    <w:lvl w:ilvl="0">
      <w:start w:val="3"/>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4"/>
  </w:num>
  <w:num w:numId="2">
    <w:abstractNumId w:val="1"/>
  </w:num>
  <w:num w:numId="3">
    <w:abstractNumId w:val="2"/>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31F6B"/>
    <w:rsid w:val="00131F6B"/>
    <w:rsid w:val="002459A5"/>
    <w:rsid w:val="002A1FD7"/>
    <w:rsid w:val="00505FE9"/>
    <w:rsid w:val="007F3C2A"/>
    <w:rsid w:val="00C53CA2"/>
    <w:rsid w:val="00F433E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5A2232"/>
  <w15:docId w15:val="{7ED8B028-754E-4E62-947E-0C44D9E4F4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7971"/>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link w:val="Ttulo3Car"/>
    <w:uiPriority w:val="9"/>
    <w:semiHidden/>
    <w:unhideWhenUsed/>
    <w:qFormat/>
    <w:rsid w:val="002D2EAC"/>
    <w:pPr>
      <w:spacing w:before="100" w:beforeAutospacing="1" w:after="100" w:afterAutospacing="1"/>
      <w:outlineLvl w:val="2"/>
    </w:pPr>
    <w:rPr>
      <w:b/>
      <w:bCs/>
      <w:sz w:val="27"/>
      <w:szCs w:val="27"/>
    </w:rPr>
  </w:style>
  <w:style w:type="paragraph" w:styleId="Ttulo4">
    <w:name w:val="heading 4"/>
    <w:basedOn w:val="Normal"/>
    <w:next w:val="Normal"/>
    <w:uiPriority w:val="9"/>
    <w:semiHidden/>
    <w:unhideWhenUsed/>
    <w:qFormat/>
    <w:pPr>
      <w:keepNext/>
      <w:keepLines/>
      <w:spacing w:before="240" w:after="40"/>
      <w:outlineLvl w:val="3"/>
    </w:pPr>
    <w:rPr>
      <w:b/>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table" w:customStyle="1" w:styleId="TableNormal4">
    <w:name w:val="Table Normal"/>
    <w:tblPr>
      <w:tblCellMar>
        <w:top w:w="0" w:type="dxa"/>
        <w:left w:w="0" w:type="dxa"/>
        <w:bottom w:w="0" w:type="dxa"/>
        <w:right w:w="0" w:type="dxa"/>
      </w:tblCellMar>
    </w:tblPr>
  </w:style>
  <w:style w:type="table" w:customStyle="1" w:styleId="TableNormal5">
    <w:name w:val="Table Normal"/>
    <w:tblPr>
      <w:tblCellMar>
        <w:top w:w="0" w:type="dxa"/>
        <w:left w:w="0" w:type="dxa"/>
        <w:bottom w:w="0" w:type="dxa"/>
        <w:right w:w="0" w:type="dxa"/>
      </w:tblCellMar>
    </w:tblPr>
  </w:style>
  <w:style w:type="table" w:customStyle="1" w:styleId="TableNormal6">
    <w:name w:val="Table Normal"/>
    <w:tblPr>
      <w:tblCellMar>
        <w:top w:w="0" w:type="dxa"/>
        <w:left w:w="0" w:type="dxa"/>
        <w:bottom w:w="0" w:type="dxa"/>
        <w:right w:w="0" w:type="dxa"/>
      </w:tblCellMar>
    </w:tblPr>
  </w:style>
  <w:style w:type="table" w:customStyle="1" w:styleId="TableNormal7">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C3C64"/>
    <w:rPr>
      <w:rFonts w:eastAsiaTheme="minorEastAsia"/>
      <w:sz w:val="24"/>
      <w:szCs w:val="24"/>
      <w:lang w:val="es-ES_tradnl" w:eastAsia="es-ES"/>
    </w:rPr>
  </w:style>
  <w:style w:type="paragraph" w:styleId="Piedepgina">
    <w:name w:val="footer"/>
    <w:basedOn w:val="Normal"/>
    <w:link w:val="PiedepginaCar"/>
    <w:uiPriority w:val="99"/>
    <w:unhideWhenUsed/>
    <w:rsid w:val="00AC3C64"/>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C3C64"/>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AC3C64"/>
    <w:rPr>
      <w:rFonts w:ascii="Times New Roman" w:eastAsia="Times New Roman" w:hAnsi="Times New Roman" w:cs="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1"/>
    <w:qFormat/>
    <w:rsid w:val="00AC3C64"/>
    <w:pPr>
      <w:ind w:left="708"/>
    </w:pPr>
    <w:rPr>
      <w:sz w:val="22"/>
      <w:szCs w:val="22"/>
      <w:lang w:eastAsia="en-US"/>
    </w:rPr>
  </w:style>
  <w:style w:type="table" w:styleId="Tablaconcuadrcula">
    <w:name w:val="Table Grid"/>
    <w:basedOn w:val="Tablanormal"/>
    <w:uiPriority w:val="59"/>
    <w:rsid w:val="00AC3C64"/>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AC3C64"/>
  </w:style>
  <w:style w:type="character" w:customStyle="1" w:styleId="apple-converted-space">
    <w:name w:val="apple-converted-space"/>
    <w:basedOn w:val="Fuentedeprrafopredeter"/>
    <w:rsid w:val="00AC3C64"/>
  </w:style>
  <w:style w:type="paragraph" w:customStyle="1" w:styleId="paragraph">
    <w:name w:val="paragraph"/>
    <w:basedOn w:val="Normal"/>
    <w:rsid w:val="00AC3C64"/>
    <w:pPr>
      <w:spacing w:before="100" w:beforeAutospacing="1" w:after="100" w:afterAutospacing="1"/>
    </w:pPr>
  </w:style>
  <w:style w:type="character" w:customStyle="1" w:styleId="eop">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C3C64"/>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AC3C64"/>
    <w:rPr>
      <w:vertAlign w:val="superscript"/>
    </w:rPr>
  </w:style>
  <w:style w:type="character" w:styleId="Hipervnculo">
    <w:name w:val="Hyperlink"/>
    <w:basedOn w:val="Fuentedeprrafopredeter"/>
    <w:uiPriority w:val="99"/>
    <w:unhideWhenUsed/>
    <w:rsid w:val="00AC3C64"/>
    <w:rPr>
      <w:color w:val="0563C1" w:themeColor="hyperlink"/>
      <w:u w:val="single"/>
    </w:rPr>
  </w:style>
  <w:style w:type="paragraph" w:styleId="NormalWeb">
    <w:name w:val="Normal (Web)"/>
    <w:basedOn w:val="Normal"/>
    <w:uiPriority w:val="99"/>
    <w:unhideWhenUsed/>
    <w:rsid w:val="00AC3C64"/>
    <w:pPr>
      <w:spacing w:before="100" w:beforeAutospacing="1" w:after="100" w:afterAutospacing="1"/>
    </w:pPr>
  </w:style>
  <w:style w:type="character" w:customStyle="1" w:styleId="Ttulo3Car">
    <w:name w:val="Título 3 Car"/>
    <w:basedOn w:val="Fuentedeprrafopredeter"/>
    <w:link w:val="Ttulo3"/>
    <w:uiPriority w:val="9"/>
    <w:rsid w:val="002D2EAC"/>
    <w:rPr>
      <w:rFonts w:ascii="Times New Roman" w:eastAsia="Times New Roman" w:hAnsi="Times New Roman" w:cs="Times New Roman"/>
      <w:b/>
      <w:bCs/>
      <w:sz w:val="27"/>
      <w:szCs w:val="27"/>
      <w:lang w:eastAsia="es-MX"/>
    </w:rPr>
  </w:style>
  <w:style w:type="character" w:customStyle="1" w:styleId="titulorubro">
    <w:name w:val="titulorubro"/>
    <w:basedOn w:val="Fuentedeprrafopredeter"/>
    <w:rsid w:val="002D2EAC"/>
  </w:style>
  <w:style w:type="paragraph" w:styleId="Textoindependiente">
    <w:name w:val="Body Text"/>
    <w:basedOn w:val="Normal"/>
    <w:link w:val="TextoindependienteCar"/>
    <w:uiPriority w:val="1"/>
    <w:qFormat/>
    <w:rsid w:val="006F3C93"/>
    <w:pPr>
      <w:autoSpaceDE w:val="0"/>
      <w:autoSpaceDN w:val="0"/>
      <w:adjustRightInd w:val="0"/>
      <w:ind w:left="93"/>
    </w:pPr>
    <w:rPr>
      <w:rFonts w:eastAsiaTheme="minorHAnsi"/>
      <w:sz w:val="23"/>
      <w:szCs w:val="23"/>
      <w:lang w:eastAsia="en-US"/>
    </w:rPr>
  </w:style>
  <w:style w:type="character" w:customStyle="1" w:styleId="TextoindependienteCar">
    <w:name w:val="Texto independiente Car"/>
    <w:basedOn w:val="Fuentedeprrafopredeter"/>
    <w:link w:val="Textoindependiente"/>
    <w:uiPriority w:val="1"/>
    <w:rsid w:val="006F3C93"/>
    <w:rPr>
      <w:rFonts w:ascii="Times New Roman" w:hAnsi="Times New Roman" w:cs="Times New Roman"/>
      <w:sz w:val="23"/>
      <w:szCs w:val="23"/>
    </w:rPr>
  </w:style>
  <w:style w:type="paragraph" w:styleId="Textodeglobo">
    <w:name w:val="Balloon Text"/>
    <w:basedOn w:val="Normal"/>
    <w:link w:val="TextodegloboCar"/>
    <w:uiPriority w:val="99"/>
    <w:semiHidden/>
    <w:unhideWhenUsed/>
    <w:rsid w:val="00A037B6"/>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A037B6"/>
    <w:rPr>
      <w:rFonts w:ascii="Segoe UI" w:eastAsia="Times New Roman" w:hAnsi="Segoe UI" w:cs="Segoe UI"/>
      <w:sz w:val="18"/>
      <w:szCs w:val="18"/>
      <w:lang w:val="es-ES" w:eastAsia="es-ES"/>
    </w:rPr>
  </w:style>
  <w:style w:type="paragraph" w:customStyle="1" w:styleId="Pa1">
    <w:name w:val="Pa1"/>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2">
    <w:name w:val="Pa2"/>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customStyle="1" w:styleId="Pa3">
    <w:name w:val="Pa3"/>
    <w:basedOn w:val="Normal"/>
    <w:next w:val="Normal"/>
    <w:uiPriority w:val="99"/>
    <w:rsid w:val="0074718F"/>
    <w:pPr>
      <w:autoSpaceDE w:val="0"/>
      <w:autoSpaceDN w:val="0"/>
      <w:adjustRightInd w:val="0"/>
      <w:spacing w:line="191" w:lineRule="atLeast"/>
    </w:pPr>
    <w:rPr>
      <w:rFonts w:ascii="Helvetica" w:eastAsiaTheme="minorHAnsi" w:hAnsi="Helvetica" w:cs="Helvetica"/>
      <w:lang w:eastAsia="en-US"/>
    </w:rPr>
  </w:style>
  <w:style w:type="paragraph" w:styleId="Sinespaciado">
    <w:name w:val="No Spacing"/>
    <w:aliases w:val="Francesa,INAI"/>
    <w:link w:val="SinespaciadoCar"/>
    <w:uiPriority w:val="1"/>
    <w:qFormat/>
    <w:rsid w:val="00CE2CFE"/>
  </w:style>
  <w:style w:type="character" w:customStyle="1" w:styleId="SinespaciadoCar">
    <w:name w:val="Sin espaciado Car"/>
    <w:aliases w:val="Francesa Car,INAI Car"/>
    <w:link w:val="Sinespaciado"/>
    <w:uiPriority w:val="1"/>
    <w:locked/>
    <w:rsid w:val="00CE2CFE"/>
  </w:style>
  <w:style w:type="table" w:styleId="Tabladelista1clara-nfasis1">
    <w:name w:val="List Table 1 Light Accent 1"/>
    <w:basedOn w:val="Tablanormal"/>
    <w:uiPriority w:val="46"/>
    <w:rsid w:val="00D30935"/>
    <w:rPr>
      <w:rFonts w:eastAsiaTheme="minorEastAsia"/>
      <w:lang w:val="es-ES_tradnl" w:eastAsia="es-ES"/>
    </w:r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7"/>
    <w:tblPr>
      <w:tblStyleRowBandSize w:val="1"/>
      <w:tblStyleColBandSize w:val="1"/>
      <w:tblCellMar>
        <w:left w:w="108" w:type="dxa"/>
        <w:right w:w="108" w:type="dxa"/>
      </w:tblCellMar>
    </w:tblPr>
  </w:style>
  <w:style w:type="table" w:customStyle="1" w:styleId="a0">
    <w:basedOn w:val="TableNormal7"/>
    <w:tblPr>
      <w:tblStyleRowBandSize w:val="1"/>
      <w:tblStyleColBandSize w:val="1"/>
      <w:tblCellMar>
        <w:left w:w="115" w:type="dxa"/>
        <w:right w:w="115" w:type="dxa"/>
      </w:tblCellMar>
    </w:tblPr>
  </w:style>
  <w:style w:type="table" w:customStyle="1" w:styleId="a1">
    <w:basedOn w:val="TableNormal7"/>
    <w:tblPr>
      <w:tblStyleRowBandSize w:val="1"/>
      <w:tblStyleColBandSize w:val="1"/>
      <w:tblCellMar>
        <w:left w:w="115" w:type="dxa"/>
        <w:right w:w="115" w:type="dxa"/>
      </w:tblCellMar>
    </w:tblPr>
  </w:style>
  <w:style w:type="character" w:styleId="Hipervnculovisitado">
    <w:name w:val="FollowedHyperlink"/>
    <w:basedOn w:val="Fuentedeprrafopredeter"/>
    <w:uiPriority w:val="99"/>
    <w:semiHidden/>
    <w:unhideWhenUsed/>
    <w:rsid w:val="00B93218"/>
    <w:rPr>
      <w:color w:val="954F72" w:themeColor="followedHyperlink"/>
      <w:u w:val="single"/>
    </w:rPr>
  </w:style>
  <w:style w:type="table" w:customStyle="1" w:styleId="a2">
    <w:basedOn w:val="TableNormal7"/>
    <w:tblPr>
      <w:tblStyleRowBandSize w:val="1"/>
      <w:tblStyleColBandSize w:val="1"/>
      <w:tblCellMar>
        <w:left w:w="108" w:type="dxa"/>
        <w:right w:w="108" w:type="dxa"/>
      </w:tblCellMar>
    </w:tblPr>
  </w:style>
  <w:style w:type="table" w:customStyle="1" w:styleId="a3">
    <w:basedOn w:val="TableNormal7"/>
    <w:tblPr>
      <w:tblStyleRowBandSize w:val="1"/>
      <w:tblStyleColBandSize w:val="1"/>
      <w:tblCellMar>
        <w:left w:w="108" w:type="dxa"/>
        <w:right w:w="108" w:type="dxa"/>
      </w:tblCellMar>
    </w:tblPr>
  </w:style>
  <w:style w:type="table" w:customStyle="1" w:styleId="a4">
    <w:basedOn w:val="TableNormal7"/>
    <w:tblPr>
      <w:tblStyleRowBandSize w:val="1"/>
      <w:tblStyleColBandSize w:val="1"/>
      <w:tblCellMar>
        <w:left w:w="108" w:type="dxa"/>
        <w:right w:w="108" w:type="dxa"/>
      </w:tblCellMar>
    </w:tblPr>
  </w:style>
  <w:style w:type="table" w:customStyle="1" w:styleId="a5">
    <w:basedOn w:val="TableNormal7"/>
    <w:tblPr>
      <w:tblStyleRowBandSize w:val="1"/>
      <w:tblStyleColBandSize w:val="1"/>
      <w:tblCellMar>
        <w:left w:w="108" w:type="dxa"/>
        <w:right w:w="108" w:type="dxa"/>
      </w:tblCellMar>
    </w:tblPr>
  </w:style>
  <w:style w:type="table" w:customStyle="1" w:styleId="a6">
    <w:basedOn w:val="TableNormal7"/>
    <w:tblPr>
      <w:tblStyleRowBandSize w:val="1"/>
      <w:tblStyleColBandSize w:val="1"/>
      <w:tblCellMar>
        <w:left w:w="108" w:type="dxa"/>
        <w:right w:w="108" w:type="dxa"/>
      </w:tblCellMar>
    </w:tblPr>
  </w:style>
  <w:style w:type="table" w:customStyle="1" w:styleId="a7">
    <w:basedOn w:val="TableNormal7"/>
    <w:tblPr>
      <w:tblStyleRowBandSize w:val="1"/>
      <w:tblStyleColBandSize w:val="1"/>
      <w:tblCellMar>
        <w:left w:w="108" w:type="dxa"/>
        <w:right w:w="108" w:type="dxa"/>
      </w:tblCellMar>
    </w:tblPr>
  </w:style>
  <w:style w:type="table" w:customStyle="1" w:styleId="a8">
    <w:basedOn w:val="TableNormal7"/>
    <w:tblPr>
      <w:tblStyleRowBandSize w:val="1"/>
      <w:tblStyleColBandSize w:val="1"/>
      <w:tblCellMar>
        <w:left w:w="108" w:type="dxa"/>
        <w:right w:w="108" w:type="dxa"/>
      </w:tblCellMar>
    </w:tblPr>
  </w:style>
  <w:style w:type="table" w:customStyle="1" w:styleId="a9">
    <w:basedOn w:val="TableNormal7"/>
    <w:tblPr>
      <w:tblStyleRowBandSize w:val="1"/>
      <w:tblStyleColBandSize w:val="1"/>
      <w:tblCellMar>
        <w:left w:w="115" w:type="dxa"/>
        <w:right w:w="115" w:type="dxa"/>
      </w:tblCellMar>
    </w:tblPr>
  </w:style>
  <w:style w:type="table" w:customStyle="1" w:styleId="aa">
    <w:basedOn w:val="TableNormal7"/>
    <w:tblPr>
      <w:tblStyleRowBandSize w:val="1"/>
      <w:tblStyleColBandSize w:val="1"/>
      <w:tblCellMar>
        <w:left w:w="115" w:type="dxa"/>
        <w:right w:w="115" w:type="dxa"/>
      </w:tblCellMar>
    </w:tblPr>
  </w:style>
  <w:style w:type="table" w:customStyle="1" w:styleId="ab">
    <w:basedOn w:val="TableNormal7"/>
    <w:tblPr>
      <w:tblStyleRowBandSize w:val="1"/>
      <w:tblStyleColBandSize w:val="1"/>
      <w:tblCellMar>
        <w:left w:w="115" w:type="dxa"/>
        <w:right w:w="115" w:type="dxa"/>
      </w:tblCellMar>
    </w:tblPr>
  </w:style>
  <w:style w:type="table" w:customStyle="1" w:styleId="ac">
    <w:basedOn w:val="TableNormal6"/>
    <w:tblPr>
      <w:tblStyleRowBandSize w:val="1"/>
      <w:tblStyleColBandSize w:val="1"/>
      <w:tblCellMar>
        <w:left w:w="115" w:type="dxa"/>
        <w:right w:w="115" w:type="dxa"/>
      </w:tblCellMar>
    </w:tblPr>
  </w:style>
  <w:style w:type="table" w:customStyle="1" w:styleId="ad">
    <w:basedOn w:val="TableNormal6"/>
    <w:tblPr>
      <w:tblStyleRowBandSize w:val="1"/>
      <w:tblStyleColBandSize w:val="1"/>
      <w:tblCellMar>
        <w:left w:w="115" w:type="dxa"/>
        <w:right w:w="115" w:type="dxa"/>
      </w:tblCellMar>
    </w:tblPr>
  </w:style>
  <w:style w:type="table" w:customStyle="1" w:styleId="ae">
    <w:basedOn w:val="TableNormal6"/>
    <w:tblPr>
      <w:tblStyleRowBandSize w:val="1"/>
      <w:tblStyleColBandSize w:val="1"/>
      <w:tblCellMar>
        <w:left w:w="115" w:type="dxa"/>
        <w:right w:w="115" w:type="dxa"/>
      </w:tblCellMar>
    </w:tblPr>
  </w:style>
  <w:style w:type="paragraph" w:customStyle="1" w:styleId="Default">
    <w:name w:val="Default"/>
    <w:rsid w:val="00FA3B65"/>
    <w:pPr>
      <w:autoSpaceDE w:val="0"/>
      <w:autoSpaceDN w:val="0"/>
      <w:adjustRightInd w:val="0"/>
    </w:pPr>
    <w:rPr>
      <w:rFonts w:ascii="Arial" w:eastAsia="Calibri" w:hAnsi="Arial" w:cs="Arial"/>
      <w:color w:val="000000"/>
      <w:lang w:eastAsia="en-US"/>
    </w:rPr>
  </w:style>
  <w:style w:type="character" w:styleId="Textoennegrita">
    <w:name w:val="Strong"/>
    <w:basedOn w:val="Fuentedeprrafopredeter"/>
    <w:uiPriority w:val="22"/>
    <w:qFormat/>
    <w:rsid w:val="00FA3B65"/>
    <w:rPr>
      <w:b/>
      <w:bCs/>
    </w:rPr>
  </w:style>
  <w:style w:type="table" w:customStyle="1" w:styleId="af">
    <w:basedOn w:val="TableNormal5"/>
    <w:tblPr>
      <w:tblStyleRowBandSize w:val="1"/>
      <w:tblStyleColBandSize w:val="1"/>
      <w:tblCellMar>
        <w:left w:w="115" w:type="dxa"/>
        <w:right w:w="115" w:type="dxa"/>
      </w:tblCellMar>
    </w:tblPr>
  </w:style>
  <w:style w:type="table" w:customStyle="1" w:styleId="af0">
    <w:basedOn w:val="TableNormal5"/>
    <w:tblPr>
      <w:tblStyleRowBandSize w:val="1"/>
      <w:tblStyleColBandSize w:val="1"/>
      <w:tblCellMar>
        <w:left w:w="115" w:type="dxa"/>
        <w:right w:w="115" w:type="dxa"/>
      </w:tblCellMar>
    </w:tblPr>
  </w:style>
  <w:style w:type="table" w:customStyle="1" w:styleId="af1">
    <w:basedOn w:val="TableNormal5"/>
    <w:tblPr>
      <w:tblStyleRowBandSize w:val="1"/>
      <w:tblStyleColBandSize w:val="1"/>
      <w:tblCellMar>
        <w:left w:w="115" w:type="dxa"/>
        <w:right w:w="115" w:type="dxa"/>
      </w:tblCellMar>
    </w:tblPr>
  </w:style>
  <w:style w:type="character" w:customStyle="1" w:styleId="Mencinsinresolver1">
    <w:name w:val="Mención sin resolver1"/>
    <w:basedOn w:val="Fuentedeprrafopredeter"/>
    <w:uiPriority w:val="99"/>
    <w:semiHidden/>
    <w:unhideWhenUsed/>
    <w:rsid w:val="006D51FF"/>
    <w:rPr>
      <w:color w:val="605E5C"/>
      <w:shd w:val="clear" w:color="auto" w:fill="E1DFDD"/>
    </w:rPr>
  </w:style>
  <w:style w:type="table" w:customStyle="1" w:styleId="af2">
    <w:basedOn w:val="TableNormal4"/>
    <w:tblPr>
      <w:tblStyleRowBandSize w:val="1"/>
      <w:tblStyleColBandSize w:val="1"/>
      <w:tblCellMar>
        <w:left w:w="115" w:type="dxa"/>
        <w:right w:w="115" w:type="dxa"/>
      </w:tblCellMar>
    </w:tblPr>
  </w:style>
  <w:style w:type="table" w:customStyle="1" w:styleId="af3">
    <w:basedOn w:val="TableNormal4"/>
    <w:tblPr>
      <w:tblStyleRowBandSize w:val="1"/>
      <w:tblStyleColBandSize w:val="1"/>
      <w:tblCellMar>
        <w:left w:w="115" w:type="dxa"/>
        <w:right w:w="115" w:type="dxa"/>
      </w:tblCellMar>
    </w:tblPr>
  </w:style>
  <w:style w:type="table" w:customStyle="1" w:styleId="af4">
    <w:basedOn w:val="TableNormal3"/>
    <w:tblPr>
      <w:tblStyleRowBandSize w:val="1"/>
      <w:tblStyleColBandSize w:val="1"/>
      <w:tblCellMar>
        <w:left w:w="115" w:type="dxa"/>
        <w:right w:w="115" w:type="dxa"/>
      </w:tblCellMar>
    </w:tblPr>
  </w:style>
  <w:style w:type="table" w:customStyle="1" w:styleId="af5">
    <w:basedOn w:val="TableNormal3"/>
    <w:tblPr>
      <w:tblStyleRowBandSize w:val="1"/>
      <w:tblStyleColBandSize w:val="1"/>
      <w:tblCellMar>
        <w:left w:w="115" w:type="dxa"/>
        <w:right w:w="115" w:type="dxa"/>
      </w:tblCellMar>
    </w:tblPr>
  </w:style>
  <w:style w:type="character" w:customStyle="1" w:styleId="apple-tab-span">
    <w:name w:val="apple-tab-span"/>
    <w:basedOn w:val="Fuentedeprrafopredeter"/>
    <w:rsid w:val="00007B9B"/>
  </w:style>
  <w:style w:type="table" w:customStyle="1" w:styleId="af6">
    <w:basedOn w:val="TableNormal2"/>
    <w:tblPr>
      <w:tblStyleRowBandSize w:val="1"/>
      <w:tblStyleColBandSize w:val="1"/>
      <w:tblCellMar>
        <w:left w:w="115" w:type="dxa"/>
        <w:right w:w="115" w:type="dxa"/>
      </w:tblCellMar>
    </w:tblPr>
  </w:style>
  <w:style w:type="table" w:customStyle="1" w:styleId="af7">
    <w:basedOn w:val="TableNormal2"/>
    <w:tblPr>
      <w:tblStyleRowBandSize w:val="1"/>
      <w:tblStyleColBandSize w:val="1"/>
      <w:tblCellMar>
        <w:left w:w="115" w:type="dxa"/>
        <w:right w:w="115" w:type="dxa"/>
      </w:tblCellMar>
    </w:tblPr>
  </w:style>
  <w:style w:type="table" w:customStyle="1" w:styleId="af8">
    <w:basedOn w:val="TableNormal2"/>
    <w:tblPr>
      <w:tblStyleRowBandSize w:val="1"/>
      <w:tblStyleColBandSize w:val="1"/>
      <w:tblCellMar>
        <w:left w:w="115" w:type="dxa"/>
        <w:right w:w="115" w:type="dxa"/>
      </w:tblCellMar>
    </w:tblPr>
  </w:style>
  <w:style w:type="table" w:customStyle="1" w:styleId="af9">
    <w:basedOn w:val="TableNormal1"/>
    <w:tblPr>
      <w:tblStyleRowBandSize w:val="1"/>
      <w:tblStyleColBandSize w:val="1"/>
      <w:tblCellMar>
        <w:left w:w="115" w:type="dxa"/>
        <w:right w:w="115" w:type="dxa"/>
      </w:tblCellMar>
    </w:tblPr>
  </w:style>
  <w:style w:type="table" w:customStyle="1" w:styleId="afa">
    <w:basedOn w:val="TableNormal1"/>
    <w:tblPr>
      <w:tblStyleRowBandSize w:val="1"/>
      <w:tblStyleColBandSize w:val="1"/>
      <w:tblCellMar>
        <w:left w:w="115" w:type="dxa"/>
        <w:right w:w="115" w:type="dxa"/>
      </w:tblCellMar>
    </w:tblPr>
  </w:style>
  <w:style w:type="table" w:customStyle="1" w:styleId="afb">
    <w:basedOn w:val="TableNormal1"/>
    <w:tblPr>
      <w:tblStyleRowBandSize w:val="1"/>
      <w:tblStyleColBandSize w:val="1"/>
      <w:tblCellMar>
        <w:left w:w="115" w:type="dxa"/>
        <w:right w:w="115" w:type="dxa"/>
      </w:tblCellMar>
    </w:tblPr>
  </w:style>
  <w:style w:type="table" w:customStyle="1" w:styleId="afc">
    <w:basedOn w:val="TableNormal0"/>
    <w:tblPr>
      <w:tblStyleRowBandSize w:val="1"/>
      <w:tblStyleColBandSize w:val="1"/>
      <w:tblCellMar>
        <w:left w:w="115" w:type="dxa"/>
        <w:right w:w="115" w:type="dxa"/>
      </w:tblCellMar>
    </w:tblPr>
  </w:style>
  <w:style w:type="table" w:customStyle="1" w:styleId="afd">
    <w:basedOn w:val="TableNormal0"/>
    <w:tblPr>
      <w:tblStyleRowBandSize w:val="1"/>
      <w:tblStyleColBandSize w:val="1"/>
      <w:tblCellMar>
        <w:left w:w="115" w:type="dxa"/>
        <w:right w:w="115" w:type="dxa"/>
      </w:tblCellMar>
    </w:tblPr>
  </w:style>
  <w:style w:type="table" w:customStyle="1" w:styleId="afe">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https://metepec.gob.mx/pagina/cabildo.php"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GRWUid5YB9388S7kBYxXaqKXh/Q==">AMUW2mXwhPnjl4aSGQjIvsEf1Kif2kEyoxsZSB5lCfLGD7iVM62uHtw+XhL+zfKbDfAQcsFEee//ct/WTJHePadOGTmYPMBmqsLpJrqpAj7+/kI3etzbU6/dSg09s7dxl0XVhUSXBCvdSlxS4UHzYU6qPvB1j0PFXA5RsPvFpZvz8ixh3XcsLPg=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34</Pages>
  <Words>8302</Words>
  <Characters>45665</Characters>
  <Application>Microsoft Office Word</Application>
  <DocSecurity>0</DocSecurity>
  <Lines>380</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53860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USUARIO</cp:lastModifiedBy>
  <cp:revision>2</cp:revision>
  <cp:lastPrinted>2022-09-23T16:06:00Z</cp:lastPrinted>
  <dcterms:created xsi:type="dcterms:W3CDTF">2022-10-04T18:59:00Z</dcterms:created>
  <dcterms:modified xsi:type="dcterms:W3CDTF">2022-10-04T18:59:00Z</dcterms:modified>
</cp:coreProperties>
</file>