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D6" w:rsidRDefault="00B140D6" w:rsidP="005330DC">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BC4749">
        <w:rPr>
          <w:rFonts w:ascii="Palatino Linotype" w:hAnsi="Palatino Linotype"/>
        </w:rPr>
        <w:t xml:space="preserve">catorce </w:t>
      </w:r>
      <w:r>
        <w:rPr>
          <w:rFonts w:ascii="Palatino Linotype" w:hAnsi="Palatino Linotype"/>
        </w:rPr>
        <w:t xml:space="preserve">de </w:t>
      </w:r>
      <w:r w:rsidR="00BC4749">
        <w:rPr>
          <w:rFonts w:ascii="Palatino Linotype" w:hAnsi="Palatino Linotype"/>
        </w:rPr>
        <w:t>septiembre</w:t>
      </w:r>
      <w:r>
        <w:rPr>
          <w:rFonts w:ascii="Palatino Linotype" w:hAnsi="Palatino Linotype"/>
        </w:rPr>
        <w:t xml:space="preserve"> de dos mil veintidós</w:t>
      </w:r>
      <w:r w:rsidRPr="0024200F">
        <w:rPr>
          <w:rFonts w:ascii="Palatino Linotype" w:hAnsi="Palatino Linotype"/>
        </w:rPr>
        <w:t>.</w:t>
      </w:r>
    </w:p>
    <w:p w:rsidR="00B140D6" w:rsidRDefault="00B140D6" w:rsidP="005330DC">
      <w:pPr>
        <w:tabs>
          <w:tab w:val="left" w:pos="1701"/>
        </w:tabs>
        <w:spacing w:line="360" w:lineRule="auto"/>
        <w:jc w:val="both"/>
        <w:rPr>
          <w:rFonts w:ascii="Palatino Linotype" w:hAnsi="Palatino Linotype"/>
          <w:b/>
        </w:rPr>
      </w:pPr>
    </w:p>
    <w:p w:rsidR="00B140D6" w:rsidRPr="00BF0355" w:rsidRDefault="00B140D6" w:rsidP="005330DC">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b/>
        </w:rPr>
        <w:t>S</w:t>
      </w:r>
      <w:r>
        <w:rPr>
          <w:rFonts w:ascii="Palatino Linotype" w:hAnsi="Palatino Linotype"/>
        </w:rPr>
        <w:t xml:space="preserve"> los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del recurso de revisión </w:t>
      </w:r>
      <w:r>
        <w:rPr>
          <w:rFonts w:ascii="Palatino Linotype" w:hAnsi="Palatino Linotype"/>
          <w:b/>
        </w:rPr>
        <w:t xml:space="preserve">010830/INFOEM/IP/RR/2022 y acumulados, </w:t>
      </w:r>
      <w:r w:rsidRPr="00BF0355">
        <w:rPr>
          <w:rFonts w:ascii="Palatino Linotype" w:eastAsiaTheme="minorHAnsi" w:hAnsi="Palatino Linotype" w:cs="Arial"/>
          <w:lang w:val="es-MX" w:eastAsia="en-US"/>
        </w:rPr>
        <w:t>interpuesto</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por un particular que al momento de ingresar la solicitud de información e interponer recurso de revisión no señalo nombre o seudónimo con el cual desee ser identificado, quien en lo sucesivo y para efectos prácticos se le denominara </w:t>
      </w:r>
      <w:r w:rsidRPr="00BF0355">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del </w:t>
      </w:r>
      <w:r w:rsidRPr="009501BA">
        <w:rPr>
          <w:rFonts w:ascii="Palatino Linotype" w:eastAsiaTheme="minorHAnsi" w:hAnsi="Palatino Linotype" w:cs="Arial"/>
          <w:b/>
          <w:lang w:val="es-MX" w:eastAsia="en-US"/>
        </w:rPr>
        <w:t>Sistema Municipal Para el Desarrollo Integral de la Familia de Metepec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B140D6" w:rsidRPr="002478BC" w:rsidRDefault="00B140D6" w:rsidP="005330DC">
      <w:pPr>
        <w:spacing w:line="360" w:lineRule="auto"/>
        <w:jc w:val="both"/>
        <w:rPr>
          <w:rFonts w:ascii="Palatino Linotype" w:hAnsi="Palatino Linotype"/>
          <w:b/>
          <w:bCs/>
          <w:spacing w:val="60"/>
          <w:lang w:val="es-ES_tradnl"/>
        </w:rPr>
      </w:pPr>
    </w:p>
    <w:p w:rsidR="00B140D6" w:rsidRPr="0024200F" w:rsidRDefault="00B140D6" w:rsidP="005330D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B140D6" w:rsidRPr="0024200F" w:rsidRDefault="00B140D6" w:rsidP="005330DC">
      <w:pPr>
        <w:spacing w:line="360" w:lineRule="auto"/>
        <w:jc w:val="center"/>
        <w:rPr>
          <w:rFonts w:ascii="Palatino Linotype" w:hAnsi="Palatino Linotype"/>
          <w:b/>
          <w:bCs/>
          <w:spacing w:val="60"/>
          <w:lang w:val="es-ES_tradnl"/>
        </w:rPr>
      </w:pPr>
    </w:p>
    <w:p w:rsidR="00B140D6" w:rsidRDefault="00B140D6" w:rsidP="005330DC">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B140D6" w:rsidRPr="0024200F" w:rsidRDefault="00B140D6" w:rsidP="005330DC">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cinco de abril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w:t>
      </w:r>
      <w:bookmarkStart w:id="0" w:name="_GoBack"/>
      <w:bookmarkEnd w:id="0"/>
      <w:r w:rsidRPr="0024200F">
        <w:rPr>
          <w:rFonts w:ascii="Palatino Linotype" w:hAnsi="Palatino Linotype"/>
        </w:rPr>
        <w:t>e le</w:t>
      </w:r>
      <w:r>
        <w:rPr>
          <w:rFonts w:ascii="Palatino Linotype" w:hAnsi="Palatino Linotype"/>
        </w:rPr>
        <w:t>s asignó</w:t>
      </w:r>
      <w:r w:rsidRPr="0024200F">
        <w:rPr>
          <w:rFonts w:ascii="Palatino Linotype" w:hAnsi="Palatino Linotype"/>
        </w:rPr>
        <w:t xml:space="preserve"> número de expediente</w:t>
      </w:r>
      <w:r>
        <w:rPr>
          <w:rFonts w:ascii="Palatino Linotype" w:hAnsi="Palatino Linotype"/>
        </w:rPr>
        <w:t>s</w:t>
      </w:r>
      <w:r w:rsidRPr="0024200F">
        <w:rPr>
          <w:rFonts w:ascii="Palatino Linotype" w:hAnsi="Palatino Linotype"/>
        </w:rPr>
        <w:t xml:space="preserve"> </w:t>
      </w:r>
      <w:r>
        <w:rPr>
          <w:rFonts w:ascii="Palatino Linotype" w:hAnsi="Palatino Linotype"/>
          <w:bCs/>
        </w:rPr>
        <w:t xml:space="preserve">y </w:t>
      </w:r>
      <w:r w:rsidRPr="0024200F">
        <w:rPr>
          <w:rFonts w:ascii="Palatino Linotype" w:hAnsi="Palatino Linotype"/>
        </w:rPr>
        <w:t>mediante la cual solicitó, lo siguiente:</w:t>
      </w:r>
    </w:p>
    <w:p w:rsidR="00B140D6" w:rsidRDefault="00B140D6" w:rsidP="005330DC">
      <w:pPr>
        <w:spacing w:line="360" w:lineRule="auto"/>
        <w:jc w:val="both"/>
        <w:rPr>
          <w:rFonts w:ascii="Palatino Linotype" w:hAnsi="Palatino Linotype" w:cs="Arial"/>
        </w:rPr>
      </w:pPr>
    </w:p>
    <w:p w:rsidR="00B140D6" w:rsidRDefault="00B140D6" w:rsidP="005330DC">
      <w:pPr>
        <w:spacing w:line="360" w:lineRule="auto"/>
        <w:jc w:val="both"/>
        <w:rPr>
          <w:rFonts w:ascii="Palatino Linotype" w:hAnsi="Palatino Linotype"/>
          <w:szCs w:val="28"/>
          <w:lang w:val="es-MX"/>
        </w:rPr>
      </w:pPr>
    </w:p>
    <w:tbl>
      <w:tblPr>
        <w:tblStyle w:val="Tabladecuadrcula1clara-nfasis1"/>
        <w:tblpPr w:leftFromText="141" w:rightFromText="141" w:vertAnchor="text" w:horzAnchor="margin" w:tblpXSpec="center" w:tblpY="302"/>
        <w:tblW w:w="9062" w:type="dxa"/>
        <w:tbl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insideH w:val="single" w:sz="8" w:space="0" w:color="BDD6EE" w:themeColor="accent1" w:themeTint="66"/>
          <w:insideV w:val="single" w:sz="8" w:space="0" w:color="BDD6EE" w:themeColor="accent1" w:themeTint="66"/>
        </w:tblBorders>
        <w:tblLook w:val="04A0" w:firstRow="1" w:lastRow="0" w:firstColumn="1" w:lastColumn="0" w:noHBand="0" w:noVBand="1"/>
      </w:tblPr>
      <w:tblGrid>
        <w:gridCol w:w="3372"/>
        <w:gridCol w:w="3035"/>
        <w:gridCol w:w="2655"/>
      </w:tblGrid>
      <w:tr w:rsidR="00B140D6" w:rsidRPr="007844F0" w:rsidTr="00B140D6">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372" w:type="dxa"/>
            <w:shd w:val="clear" w:color="auto" w:fill="DEEAF6" w:themeFill="accent1" w:themeFillTint="33"/>
          </w:tcPr>
          <w:p w:rsidR="00B140D6" w:rsidRPr="007844F0" w:rsidRDefault="00B140D6" w:rsidP="005330DC">
            <w:pPr>
              <w:tabs>
                <w:tab w:val="left" w:pos="2190"/>
              </w:tabs>
              <w:ind w:right="189"/>
              <w:jc w:val="both"/>
              <w:rPr>
                <w:rFonts w:ascii="Palatino Linotype" w:hAnsi="Palatino Linotype"/>
                <w:bCs w:val="0"/>
                <w:sz w:val="22"/>
              </w:rPr>
            </w:pPr>
            <w:r w:rsidRPr="007844F0">
              <w:rPr>
                <w:rFonts w:ascii="Palatino Linotype" w:hAnsi="Palatino Linotype"/>
                <w:bCs w:val="0"/>
                <w:sz w:val="22"/>
              </w:rPr>
              <w:lastRenderedPageBreak/>
              <w:t>Número de folio de la Solicitud</w:t>
            </w:r>
          </w:p>
        </w:tc>
        <w:tc>
          <w:tcPr>
            <w:tcW w:w="3035" w:type="dxa"/>
            <w:shd w:val="clear" w:color="auto" w:fill="DEEAF6" w:themeFill="accent1" w:themeFillTint="33"/>
          </w:tcPr>
          <w:p w:rsidR="00B140D6" w:rsidRPr="007844F0" w:rsidRDefault="00B140D6" w:rsidP="005330DC">
            <w:pPr>
              <w:tabs>
                <w:tab w:val="left" w:pos="2190"/>
              </w:tabs>
              <w:ind w:right="41"/>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sidRPr="007844F0">
              <w:rPr>
                <w:rFonts w:ascii="Palatino Linotype" w:hAnsi="Palatino Linotype"/>
                <w:bCs w:val="0"/>
                <w:sz w:val="22"/>
              </w:rPr>
              <w:t>Recurso</w:t>
            </w:r>
          </w:p>
        </w:tc>
        <w:tc>
          <w:tcPr>
            <w:tcW w:w="2655" w:type="dxa"/>
            <w:shd w:val="clear" w:color="auto" w:fill="DEEAF6" w:themeFill="accent1" w:themeFillTint="33"/>
          </w:tcPr>
          <w:p w:rsidR="00B140D6" w:rsidRPr="007844F0" w:rsidRDefault="00B140D6" w:rsidP="005330DC">
            <w:pPr>
              <w:tabs>
                <w:tab w:val="left" w:pos="2190"/>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Descripción clara y precisa de la información solicitada.</w:t>
            </w:r>
          </w:p>
        </w:tc>
      </w:tr>
      <w:tr w:rsidR="00B140D6" w:rsidRPr="007844F0" w:rsidTr="00B140D6">
        <w:trPr>
          <w:trHeight w:val="862"/>
        </w:trPr>
        <w:tc>
          <w:tcPr>
            <w:cnfStyle w:val="001000000000" w:firstRow="0" w:lastRow="0" w:firstColumn="1" w:lastColumn="0" w:oddVBand="0" w:evenVBand="0" w:oddHBand="0" w:evenHBand="0" w:firstRowFirstColumn="0" w:firstRowLastColumn="0" w:lastRowFirstColumn="0" w:lastRowLastColumn="0"/>
            <w:tcW w:w="3372" w:type="dxa"/>
          </w:tcPr>
          <w:p w:rsidR="00B140D6" w:rsidRPr="007844F0" w:rsidRDefault="00B140D6" w:rsidP="005330DC">
            <w:pPr>
              <w:tabs>
                <w:tab w:val="left" w:pos="2190"/>
              </w:tabs>
              <w:ind w:right="189"/>
              <w:jc w:val="both"/>
              <w:rPr>
                <w:rFonts w:ascii="Palatino Linotype" w:hAnsi="Palatino Linotype"/>
                <w:bCs w:val="0"/>
                <w:sz w:val="22"/>
              </w:rPr>
            </w:pPr>
            <w:r w:rsidRPr="00B140D6">
              <w:rPr>
                <w:rFonts w:ascii="Palatino Linotype" w:hAnsi="Palatino Linotype"/>
                <w:sz w:val="22"/>
              </w:rPr>
              <w:t>04587/DIFMETEPEC/IP/2022</w:t>
            </w:r>
          </w:p>
        </w:tc>
        <w:tc>
          <w:tcPr>
            <w:tcW w:w="3035" w:type="dxa"/>
          </w:tcPr>
          <w:p w:rsidR="00B140D6" w:rsidRPr="007844F0" w:rsidRDefault="00B140D6" w:rsidP="005330DC">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w:t>
            </w:r>
            <w:r>
              <w:rPr>
                <w:rFonts w:ascii="Palatino Linotype" w:hAnsi="Palatino Linotype"/>
                <w:bCs/>
                <w:sz w:val="22"/>
              </w:rPr>
              <w:t>10830</w:t>
            </w:r>
            <w:r w:rsidRPr="007844F0">
              <w:rPr>
                <w:rFonts w:ascii="Palatino Linotype" w:hAnsi="Palatino Linotype"/>
                <w:bCs/>
                <w:sz w:val="22"/>
              </w:rPr>
              <w:t>/INFOEM/IP/RR/2022</w:t>
            </w:r>
          </w:p>
        </w:tc>
        <w:tc>
          <w:tcPr>
            <w:tcW w:w="2655" w:type="dxa"/>
          </w:tcPr>
          <w:p w:rsidR="00B140D6" w:rsidRPr="007844F0" w:rsidRDefault="00B140D6" w:rsidP="005330D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140D6">
              <w:rPr>
                <w:rFonts w:ascii="Palatino Linotype" w:hAnsi="Palatino Linotype"/>
                <w:bCs/>
                <w:sz w:val="22"/>
              </w:rPr>
              <w:t>Solicito el padrón de beneficiarios de las donaciones otorgadas durante la segunda quincena de marzo</w:t>
            </w:r>
          </w:p>
        </w:tc>
      </w:tr>
      <w:tr w:rsidR="00B140D6" w:rsidRPr="007844F0" w:rsidTr="00B140D6">
        <w:trPr>
          <w:trHeight w:val="862"/>
        </w:trPr>
        <w:tc>
          <w:tcPr>
            <w:cnfStyle w:val="001000000000" w:firstRow="0" w:lastRow="0" w:firstColumn="1" w:lastColumn="0" w:oddVBand="0" w:evenVBand="0" w:oddHBand="0" w:evenHBand="0" w:firstRowFirstColumn="0" w:firstRowLastColumn="0" w:lastRowFirstColumn="0" w:lastRowLastColumn="0"/>
            <w:tcW w:w="3372" w:type="dxa"/>
          </w:tcPr>
          <w:p w:rsidR="00B140D6" w:rsidRPr="007844F0" w:rsidRDefault="00B140D6" w:rsidP="005330DC">
            <w:pPr>
              <w:tabs>
                <w:tab w:val="left" w:pos="2190"/>
              </w:tabs>
              <w:ind w:right="189"/>
              <w:jc w:val="both"/>
              <w:rPr>
                <w:rFonts w:ascii="Palatino Linotype" w:hAnsi="Palatino Linotype"/>
                <w:bCs w:val="0"/>
                <w:sz w:val="22"/>
              </w:rPr>
            </w:pPr>
            <w:r w:rsidRPr="00B140D6">
              <w:rPr>
                <w:rFonts w:ascii="Palatino Linotype" w:hAnsi="Palatino Linotype"/>
                <w:sz w:val="22"/>
              </w:rPr>
              <w:t>04586/DIFMETEPEC/IP/2022</w:t>
            </w:r>
          </w:p>
        </w:tc>
        <w:tc>
          <w:tcPr>
            <w:tcW w:w="3035" w:type="dxa"/>
          </w:tcPr>
          <w:p w:rsidR="00B140D6" w:rsidRPr="007844F0" w:rsidRDefault="00B140D6" w:rsidP="005330DC">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w:t>
            </w:r>
            <w:r>
              <w:rPr>
                <w:rFonts w:ascii="Palatino Linotype" w:hAnsi="Palatino Linotype"/>
                <w:bCs/>
                <w:sz w:val="22"/>
              </w:rPr>
              <w:t>10831</w:t>
            </w:r>
            <w:r w:rsidRPr="007844F0">
              <w:rPr>
                <w:rFonts w:ascii="Palatino Linotype" w:hAnsi="Palatino Linotype"/>
                <w:bCs/>
                <w:sz w:val="22"/>
              </w:rPr>
              <w:t>/INFOEM/IP/RR/2022</w:t>
            </w:r>
          </w:p>
        </w:tc>
        <w:tc>
          <w:tcPr>
            <w:tcW w:w="2655" w:type="dxa"/>
          </w:tcPr>
          <w:p w:rsidR="00B140D6" w:rsidRPr="007844F0" w:rsidRDefault="00B140D6" w:rsidP="005330D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140D6">
              <w:rPr>
                <w:rFonts w:ascii="Palatino Linotype" w:hAnsi="Palatino Linotype"/>
                <w:bCs/>
                <w:sz w:val="22"/>
              </w:rPr>
              <w:t>Solicito el padrón de beneficiarios de las donaciones otorgadas durante la primer quincena de marzo</w:t>
            </w:r>
          </w:p>
        </w:tc>
      </w:tr>
      <w:tr w:rsidR="00B140D6" w:rsidRPr="007844F0" w:rsidTr="00B140D6">
        <w:trPr>
          <w:trHeight w:val="862"/>
        </w:trPr>
        <w:tc>
          <w:tcPr>
            <w:cnfStyle w:val="001000000000" w:firstRow="0" w:lastRow="0" w:firstColumn="1" w:lastColumn="0" w:oddVBand="0" w:evenVBand="0" w:oddHBand="0" w:evenHBand="0" w:firstRowFirstColumn="0" w:firstRowLastColumn="0" w:lastRowFirstColumn="0" w:lastRowLastColumn="0"/>
            <w:tcW w:w="3372" w:type="dxa"/>
          </w:tcPr>
          <w:p w:rsidR="00B140D6" w:rsidRPr="007844F0" w:rsidRDefault="00B140D6" w:rsidP="005330DC">
            <w:pPr>
              <w:tabs>
                <w:tab w:val="left" w:pos="2190"/>
              </w:tabs>
              <w:ind w:right="189"/>
              <w:jc w:val="both"/>
              <w:rPr>
                <w:rFonts w:ascii="Palatino Linotype" w:hAnsi="Palatino Linotype"/>
                <w:bCs w:val="0"/>
                <w:sz w:val="22"/>
              </w:rPr>
            </w:pPr>
            <w:r w:rsidRPr="00B140D6">
              <w:rPr>
                <w:rFonts w:ascii="Palatino Linotype" w:hAnsi="Palatino Linotype"/>
                <w:sz w:val="22"/>
              </w:rPr>
              <w:t>04585/DIFMETEPEC/IP/2022</w:t>
            </w:r>
          </w:p>
        </w:tc>
        <w:tc>
          <w:tcPr>
            <w:tcW w:w="3035" w:type="dxa"/>
          </w:tcPr>
          <w:p w:rsidR="00B140D6" w:rsidRPr="007844F0" w:rsidRDefault="00B140D6" w:rsidP="005330DC">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w:t>
            </w:r>
            <w:r>
              <w:rPr>
                <w:rFonts w:ascii="Palatino Linotype" w:hAnsi="Palatino Linotype"/>
                <w:bCs/>
                <w:sz w:val="22"/>
              </w:rPr>
              <w:t>10832</w:t>
            </w:r>
            <w:r w:rsidRPr="007844F0">
              <w:rPr>
                <w:rFonts w:ascii="Palatino Linotype" w:hAnsi="Palatino Linotype"/>
                <w:bCs/>
                <w:sz w:val="22"/>
              </w:rPr>
              <w:t>/INFOEM/IP/RR/2022</w:t>
            </w:r>
          </w:p>
        </w:tc>
        <w:tc>
          <w:tcPr>
            <w:tcW w:w="2655" w:type="dxa"/>
          </w:tcPr>
          <w:p w:rsidR="00B140D6" w:rsidRPr="007844F0" w:rsidRDefault="00B140D6" w:rsidP="005330D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140D6">
              <w:rPr>
                <w:rFonts w:ascii="Palatino Linotype" w:hAnsi="Palatino Linotype"/>
                <w:bCs/>
                <w:sz w:val="22"/>
              </w:rPr>
              <w:t>Solicito el padrón de beneficiarios del dif en cualquiera de sus programas en la segunda quincena de marzo</w:t>
            </w:r>
          </w:p>
        </w:tc>
      </w:tr>
    </w:tbl>
    <w:p w:rsidR="00B140D6" w:rsidRDefault="00B140D6" w:rsidP="005330DC">
      <w:pPr>
        <w:spacing w:line="360" w:lineRule="auto"/>
        <w:jc w:val="both"/>
        <w:rPr>
          <w:rFonts w:ascii="Palatino Linotype" w:hAnsi="Palatino Linotype"/>
          <w:szCs w:val="28"/>
          <w:lang w:val="es-MX"/>
        </w:rPr>
      </w:pPr>
    </w:p>
    <w:p w:rsidR="00B140D6" w:rsidRDefault="00B140D6" w:rsidP="005330DC">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B140D6" w:rsidRDefault="00B140D6" w:rsidP="005330DC">
      <w:pPr>
        <w:spacing w:line="360" w:lineRule="auto"/>
        <w:jc w:val="both"/>
        <w:rPr>
          <w:rFonts w:ascii="Palatino Linotype" w:hAnsi="Palatino Linotype"/>
          <w:szCs w:val="28"/>
          <w:lang w:val="es-MX"/>
        </w:rPr>
      </w:pPr>
    </w:p>
    <w:p w:rsidR="005330DC" w:rsidRPr="00352E37" w:rsidRDefault="005330DC" w:rsidP="005330DC">
      <w:pPr>
        <w:spacing w:line="360" w:lineRule="auto"/>
        <w:jc w:val="both"/>
        <w:rPr>
          <w:rFonts w:ascii="Palatino Linotype" w:hAnsi="Palatino Linotype"/>
          <w:szCs w:val="28"/>
          <w:lang w:val="es-MX"/>
        </w:rPr>
      </w:pPr>
    </w:p>
    <w:p w:rsidR="00B140D6" w:rsidRPr="002C3EC8" w:rsidRDefault="00B140D6" w:rsidP="005330DC">
      <w:pPr>
        <w:spacing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las solicitudes de aclaración</w:t>
      </w:r>
      <w:r w:rsidRPr="002C3EC8">
        <w:rPr>
          <w:rFonts w:ascii="Palatino Linotype" w:hAnsi="Palatino Linotype" w:cs="Arial"/>
          <w:b/>
          <w:sz w:val="28"/>
          <w:szCs w:val="20"/>
        </w:rPr>
        <w:t>.</w:t>
      </w:r>
    </w:p>
    <w:p w:rsidR="00B140D6" w:rsidRDefault="00B140D6" w:rsidP="005330DC">
      <w:pPr>
        <w:spacing w:line="360" w:lineRule="auto"/>
        <w:jc w:val="both"/>
        <w:rPr>
          <w:rFonts w:ascii="Palatino Linotype" w:hAnsi="Palatino Linotype" w:cs="Arial"/>
        </w:rPr>
      </w:pPr>
      <w:r w:rsidRPr="00991598">
        <w:rPr>
          <w:rFonts w:ascii="Palatino Linotype" w:hAnsi="Palatino Linotype" w:cs="Arial"/>
        </w:rPr>
        <w:t xml:space="preserve">En el expediente electrónico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en fecha</w:t>
      </w:r>
      <w:r w:rsidR="00654464">
        <w:rPr>
          <w:rFonts w:ascii="Palatino Linotype" w:hAnsi="Palatino Linotype" w:cs="Arial"/>
        </w:rPr>
        <w:t xml:space="preserve"> diecinueve</w:t>
      </w:r>
      <w:r>
        <w:rPr>
          <w:rFonts w:ascii="Palatino Linotype" w:hAnsi="Palatino Linotype" w:cs="Arial"/>
        </w:rPr>
        <w:t xml:space="preserve"> de abril</w:t>
      </w:r>
      <w:r w:rsidRPr="00991598">
        <w:rPr>
          <w:rFonts w:ascii="Palatino Linotype" w:hAnsi="Palatino Linotype" w:cs="Arial"/>
        </w:rPr>
        <w:t xml:space="preserve"> de dos mil veintidós, </w:t>
      </w:r>
      <w:r w:rsidRPr="00991598">
        <w:rPr>
          <w:rFonts w:ascii="Palatino Linotype" w:hAnsi="Palatino Linotype" w:cs="Arial"/>
          <w:b/>
        </w:rPr>
        <w:t xml:space="preserve">El Sujeto Obligado </w:t>
      </w:r>
      <w:r w:rsidRPr="00991598">
        <w:rPr>
          <w:rFonts w:ascii="Palatino Linotype" w:hAnsi="Palatino Linotype" w:cs="Arial"/>
        </w:rPr>
        <w:t>solicito aclaración a la</w:t>
      </w:r>
      <w:r>
        <w:rPr>
          <w:rFonts w:ascii="Palatino Linotype" w:hAnsi="Palatino Linotype" w:cs="Arial"/>
        </w:rPr>
        <w:t>s</w:t>
      </w:r>
      <w:r w:rsidRPr="00991598">
        <w:rPr>
          <w:rFonts w:ascii="Palatino Linotype" w:hAnsi="Palatino Linotype" w:cs="Arial"/>
        </w:rPr>
        <w:t xml:space="preserve"> solicitud</w:t>
      </w:r>
      <w:r>
        <w:rPr>
          <w:rFonts w:ascii="Palatino Linotype" w:hAnsi="Palatino Linotype" w:cs="Arial"/>
        </w:rPr>
        <w:t>es</w:t>
      </w:r>
      <w:r w:rsidRPr="00991598">
        <w:rPr>
          <w:rFonts w:ascii="Palatino Linotype" w:hAnsi="Palatino Linotype" w:cs="Arial"/>
        </w:rPr>
        <w:t xml:space="preserve"> de información</w:t>
      </w:r>
      <w:r>
        <w:rPr>
          <w:rFonts w:ascii="Palatino Linotype" w:hAnsi="Palatino Linotype" w:cs="Arial"/>
        </w:rPr>
        <w:t xml:space="preserve">, en los términos </w:t>
      </w:r>
      <w:r w:rsidRPr="00991598">
        <w:rPr>
          <w:rFonts w:ascii="Palatino Linotype" w:hAnsi="Palatino Linotype" w:cs="Arial"/>
        </w:rPr>
        <w:t>siguiente</w:t>
      </w:r>
      <w:r>
        <w:rPr>
          <w:rFonts w:ascii="Palatino Linotype" w:hAnsi="Palatino Linotype" w:cs="Arial"/>
        </w:rPr>
        <w:t>s</w:t>
      </w:r>
      <w:r w:rsidRPr="00991598">
        <w:rPr>
          <w:rFonts w:ascii="Palatino Linotype" w:hAnsi="Palatino Linotype" w:cs="Arial"/>
        </w:rPr>
        <w:t>:</w:t>
      </w:r>
    </w:p>
    <w:p w:rsidR="00B140D6" w:rsidRDefault="00B140D6" w:rsidP="005330DC">
      <w:pPr>
        <w:spacing w:line="360" w:lineRule="auto"/>
        <w:jc w:val="both"/>
        <w:rPr>
          <w:rFonts w:ascii="Palatino Linotype" w:hAnsi="Palatino Linotype" w:cs="Arial"/>
        </w:rPr>
      </w:pPr>
    </w:p>
    <w:p w:rsidR="00B140D6" w:rsidRPr="005330DC" w:rsidRDefault="00B140D6" w:rsidP="005330DC">
      <w:pPr>
        <w:ind w:left="567" w:right="567"/>
        <w:jc w:val="both"/>
        <w:rPr>
          <w:rFonts w:ascii="Palatino Linotype" w:hAnsi="Palatino Linotype" w:cs="Arial"/>
          <w:i/>
          <w:sz w:val="22"/>
        </w:rPr>
      </w:pPr>
      <w:r w:rsidRPr="005330DC">
        <w:rPr>
          <w:rFonts w:ascii="Palatino Linotype" w:hAnsi="Palatino Linotype" w:cs="Arial"/>
          <w:i/>
          <w:sz w:val="22"/>
        </w:rPr>
        <w:t>“Con fundamento en el artículo 159 de la Ley de Transparencia y Acceso a la Información Pública del Estado de México y Municipios, se le requiere para que dentro del plazo de diez días hábiles realice lo siguiente:</w:t>
      </w:r>
    </w:p>
    <w:p w:rsidR="00B140D6" w:rsidRPr="005330DC" w:rsidRDefault="00B140D6" w:rsidP="005330DC">
      <w:pPr>
        <w:ind w:left="567" w:right="567"/>
        <w:jc w:val="both"/>
        <w:rPr>
          <w:rFonts w:ascii="Palatino Linotype" w:hAnsi="Palatino Linotype" w:cs="Arial"/>
          <w:i/>
          <w:sz w:val="22"/>
        </w:rPr>
      </w:pPr>
      <w:r w:rsidRPr="005330DC">
        <w:rPr>
          <w:rFonts w:ascii="Palatino Linotype" w:hAnsi="Palatino Linotype" w:cs="Arial"/>
          <w:i/>
          <w:sz w:val="22"/>
        </w:rPr>
        <w:t>LA SOLICITUD DE INFORMACIÓN NO ES CLARA, SE SOLICITA SE REALICE ACLARACIÓN TOTAL DE LA INFORMACIÓN A OBTENER</w:t>
      </w:r>
    </w:p>
    <w:p w:rsidR="00B140D6" w:rsidRPr="005330DC" w:rsidRDefault="00B140D6" w:rsidP="005330DC">
      <w:pPr>
        <w:ind w:left="567" w:right="567"/>
        <w:jc w:val="both"/>
        <w:rPr>
          <w:rFonts w:ascii="Palatino Linotype" w:hAnsi="Palatino Linotype" w:cs="Arial"/>
          <w:i/>
          <w:sz w:val="22"/>
        </w:rPr>
      </w:pPr>
      <w:r w:rsidRPr="005330DC">
        <w:rPr>
          <w:rFonts w:ascii="Palatino Linotype" w:hAnsi="Palatino Linotype" w:cs="Arial"/>
          <w:i/>
          <w:sz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B140D6" w:rsidRPr="005330DC" w:rsidRDefault="00B140D6" w:rsidP="005330DC">
      <w:pPr>
        <w:ind w:left="567" w:right="567"/>
        <w:jc w:val="both"/>
        <w:rPr>
          <w:rFonts w:ascii="Palatino Linotype" w:hAnsi="Palatino Linotype" w:cs="Arial"/>
          <w:i/>
          <w:sz w:val="22"/>
        </w:rPr>
      </w:pPr>
      <w:r w:rsidRPr="005330DC">
        <w:rPr>
          <w:rFonts w:ascii="Palatino Linotype" w:hAnsi="Palatino Linotype" w:cs="Arial"/>
          <w:i/>
          <w:sz w:val="22"/>
        </w:rPr>
        <w:t>ATENTAMENTE</w:t>
      </w:r>
    </w:p>
    <w:p w:rsidR="00B140D6" w:rsidRPr="005330DC" w:rsidRDefault="00B140D6" w:rsidP="005330DC">
      <w:pPr>
        <w:ind w:left="567" w:right="567"/>
        <w:jc w:val="both"/>
        <w:rPr>
          <w:rFonts w:ascii="Palatino Linotype" w:hAnsi="Palatino Linotype" w:cs="Arial"/>
          <w:i/>
          <w:sz w:val="22"/>
        </w:rPr>
      </w:pPr>
      <w:r w:rsidRPr="005330DC">
        <w:rPr>
          <w:rFonts w:ascii="Palatino Linotype" w:hAnsi="Palatino Linotype" w:cs="Arial"/>
          <w:i/>
          <w:sz w:val="22"/>
        </w:rPr>
        <w:t>Licenciado FERNANDO OSCAR ZAPATA NAVARRETE “(Sic).</w:t>
      </w:r>
    </w:p>
    <w:p w:rsidR="00B140D6" w:rsidRDefault="00B140D6" w:rsidP="005330DC">
      <w:pPr>
        <w:spacing w:line="360" w:lineRule="auto"/>
        <w:jc w:val="both"/>
        <w:rPr>
          <w:rFonts w:ascii="Palatino Linotype" w:hAnsi="Palatino Linotype" w:cs="Arial"/>
          <w:b/>
          <w:sz w:val="28"/>
        </w:rPr>
      </w:pPr>
    </w:p>
    <w:p w:rsidR="005330DC" w:rsidRDefault="005330DC" w:rsidP="005330DC">
      <w:pPr>
        <w:spacing w:line="360" w:lineRule="auto"/>
        <w:jc w:val="both"/>
        <w:rPr>
          <w:rFonts w:ascii="Palatino Linotype" w:hAnsi="Palatino Linotype" w:cs="Arial"/>
          <w:b/>
          <w:sz w:val="28"/>
        </w:rPr>
      </w:pPr>
    </w:p>
    <w:p w:rsidR="00B140D6" w:rsidRPr="000256D8" w:rsidRDefault="00B140D6" w:rsidP="005330DC">
      <w:pPr>
        <w:spacing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las solicitudes de información.</w:t>
      </w:r>
    </w:p>
    <w:p w:rsidR="00B140D6" w:rsidRDefault="00B140D6" w:rsidP="005330DC">
      <w:pPr>
        <w:spacing w:line="360" w:lineRule="auto"/>
        <w:jc w:val="both"/>
        <w:rPr>
          <w:rFonts w:ascii="Palatino Linotype" w:hAnsi="Palatino Linotype" w:cs="Arial"/>
        </w:rPr>
      </w:pPr>
      <w:r w:rsidRPr="000256D8">
        <w:rPr>
          <w:rFonts w:ascii="Palatino Linotype" w:hAnsi="Palatino Linotype" w:cs="Arial"/>
        </w:rPr>
        <w:t xml:space="preserve">En </w:t>
      </w:r>
      <w:r>
        <w:rPr>
          <w:rFonts w:ascii="Palatino Linotype" w:hAnsi="Palatino Linotype" w:cs="Arial"/>
        </w:rPr>
        <w:t>los</w:t>
      </w:r>
      <w:r w:rsidRPr="000256D8">
        <w:rPr>
          <w:rFonts w:ascii="Palatino Linotype" w:hAnsi="Palatino Linotype" w:cs="Arial"/>
        </w:rPr>
        <w:t xml:space="preserve"> expediente</w:t>
      </w:r>
      <w:r>
        <w:rPr>
          <w:rFonts w:ascii="Palatino Linotype" w:hAnsi="Palatino Linotype" w:cs="Arial"/>
        </w:rPr>
        <w:t>s</w:t>
      </w:r>
      <w:r w:rsidRPr="000256D8">
        <w:rPr>
          <w:rFonts w:ascii="Palatino Linotype" w:hAnsi="Palatino Linotype" w:cs="Arial"/>
        </w:rPr>
        <w:t xml:space="preserve"> electrónico</w:t>
      </w:r>
      <w:r>
        <w:rPr>
          <w:rFonts w:ascii="Palatino Linotype" w:hAnsi="Palatino Linotype" w:cs="Arial"/>
        </w:rPr>
        <w:t xml:space="preserve">s integrados con motivo de las solicitudes de información que obran en el sistema </w:t>
      </w:r>
      <w:r w:rsidRPr="000256D8">
        <w:rPr>
          <w:rFonts w:ascii="Palatino Linotype" w:hAnsi="Palatino Linotype" w:cs="Arial"/>
          <w:b/>
        </w:rPr>
        <w:t>SAIMEX</w:t>
      </w:r>
      <w:r>
        <w:rPr>
          <w:rFonts w:ascii="Palatino Linotype" w:hAnsi="Palatino Linotype" w:cs="Arial"/>
        </w:rPr>
        <w:t>, se aprecia que en fecha</w:t>
      </w:r>
      <w:r w:rsidR="00654464">
        <w:rPr>
          <w:rFonts w:ascii="Palatino Linotype" w:hAnsi="Palatino Linotype" w:cs="Arial"/>
        </w:rPr>
        <w:t xml:space="preserve"> veinte </w:t>
      </w:r>
      <w:r>
        <w:rPr>
          <w:rFonts w:ascii="Palatino Linotype" w:hAnsi="Palatino Linotype" w:cs="Arial"/>
        </w:rPr>
        <w:t>de abril de dos mil veintidós, el</w:t>
      </w:r>
      <w:r w:rsidRPr="000256D8">
        <w:rPr>
          <w:rFonts w:ascii="Palatino Linotype" w:hAnsi="Palatino Linotype" w:cs="Arial"/>
        </w:rPr>
        <w:t xml:space="preserve"> </w:t>
      </w:r>
      <w:r>
        <w:rPr>
          <w:rFonts w:ascii="Palatino Linotype" w:hAnsi="Palatino Linotype" w:cs="Arial"/>
        </w:rPr>
        <w:t>particular desahogo los requerimientos de aclaración en los mismos términos que preciso en las solicitudes de información, por lo que se tienen aquí por reproducidos como si a la letra se insertasen en obvio de repeticiones innecesarias.</w:t>
      </w:r>
    </w:p>
    <w:p w:rsidR="00B140D6" w:rsidRDefault="00B140D6" w:rsidP="005330DC">
      <w:pPr>
        <w:spacing w:line="360" w:lineRule="auto"/>
        <w:jc w:val="both"/>
        <w:rPr>
          <w:rFonts w:ascii="Palatino Linotype" w:hAnsi="Palatino Linotype" w:cs="Arial"/>
        </w:rPr>
      </w:pPr>
    </w:p>
    <w:p w:rsidR="005330DC" w:rsidRDefault="005330DC" w:rsidP="005330DC">
      <w:pPr>
        <w:spacing w:line="360" w:lineRule="auto"/>
        <w:jc w:val="both"/>
        <w:rPr>
          <w:rFonts w:ascii="Palatino Linotype" w:hAnsi="Palatino Linotype" w:cs="Arial"/>
        </w:rPr>
      </w:pPr>
    </w:p>
    <w:p w:rsidR="00B140D6" w:rsidRDefault="00B140D6" w:rsidP="005330DC">
      <w:pPr>
        <w:spacing w:line="360" w:lineRule="auto"/>
        <w:jc w:val="both"/>
        <w:rPr>
          <w:rFonts w:ascii="Palatino Linotype" w:hAnsi="Palatino Linotype" w:cs="Arial"/>
          <w:b/>
          <w:sz w:val="28"/>
        </w:rPr>
      </w:pPr>
      <w:r>
        <w:rPr>
          <w:rFonts w:ascii="Palatino Linotype" w:hAnsi="Palatino Linotype" w:cs="Arial"/>
          <w:b/>
          <w:sz w:val="28"/>
        </w:rPr>
        <w:t>CUART</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w:t>
      </w:r>
      <w:r w:rsidRPr="00165D6E">
        <w:rPr>
          <w:rFonts w:ascii="Palatino Linotype" w:hAnsi="Palatino Linotype" w:cs="Arial"/>
          <w:b/>
          <w:sz w:val="28"/>
          <w:szCs w:val="20"/>
        </w:rPr>
        <w:t>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B140D6" w:rsidRPr="00B9794C" w:rsidRDefault="00B140D6" w:rsidP="005330DC">
      <w:pPr>
        <w:pStyle w:val="Sinespaciado"/>
        <w:spacing w:line="360" w:lineRule="auto"/>
        <w:jc w:val="both"/>
        <w:rPr>
          <w:rFonts w:ascii="Palatino Linotype" w:hAnsi="Palatino Linotype" w:cs="Arial"/>
          <w:sz w:val="24"/>
          <w:szCs w:val="24"/>
        </w:rPr>
      </w:pPr>
      <w:r w:rsidRPr="00B9794C">
        <w:rPr>
          <w:rFonts w:ascii="Palatino Linotype" w:hAnsi="Palatino Linotype"/>
          <w:sz w:val="24"/>
          <w:szCs w:val="24"/>
        </w:rPr>
        <w:t xml:space="preserve">De las constancias que obran en </w:t>
      </w:r>
      <w:r>
        <w:rPr>
          <w:rFonts w:ascii="Palatino Linotype" w:hAnsi="Palatino Linotype"/>
          <w:sz w:val="24"/>
          <w:szCs w:val="24"/>
        </w:rPr>
        <w:t>los</w:t>
      </w:r>
      <w:r w:rsidRPr="00B9794C">
        <w:rPr>
          <w:rFonts w:ascii="Palatino Linotype" w:hAnsi="Palatino Linotype"/>
          <w:sz w:val="24"/>
          <w:szCs w:val="24"/>
        </w:rPr>
        <w:t xml:space="preserve"> expediente</w:t>
      </w:r>
      <w:r>
        <w:rPr>
          <w:rFonts w:ascii="Palatino Linotype" w:hAnsi="Palatino Linotype"/>
          <w:sz w:val="24"/>
          <w:szCs w:val="24"/>
        </w:rPr>
        <w:t>s</w:t>
      </w:r>
      <w:r w:rsidRPr="00B9794C">
        <w:rPr>
          <w:rFonts w:ascii="Palatino Linotype" w:hAnsi="Palatino Linotype"/>
          <w:sz w:val="24"/>
          <w:szCs w:val="24"/>
        </w:rPr>
        <w:t xml:space="preserve"> electrónico</w:t>
      </w:r>
      <w:r>
        <w:rPr>
          <w:rFonts w:ascii="Palatino Linotype" w:hAnsi="Palatino Linotype"/>
          <w:sz w:val="24"/>
          <w:szCs w:val="24"/>
        </w:rPr>
        <w:t>s</w:t>
      </w:r>
      <w:r w:rsidRPr="00B9794C">
        <w:rPr>
          <w:rFonts w:ascii="Palatino Linotype" w:hAnsi="Palatino Linotype"/>
          <w:sz w:val="24"/>
          <w:szCs w:val="24"/>
        </w:rPr>
        <w:t xml:space="preserve">, se advierte que </w:t>
      </w:r>
      <w:r>
        <w:rPr>
          <w:rFonts w:ascii="Palatino Linotype" w:hAnsi="Palatino Linotype"/>
          <w:sz w:val="24"/>
          <w:szCs w:val="24"/>
        </w:rPr>
        <w:t>en fecha</w:t>
      </w:r>
      <w:r w:rsidR="00654464">
        <w:rPr>
          <w:rFonts w:ascii="Palatino Linotype" w:hAnsi="Palatino Linotype"/>
          <w:sz w:val="24"/>
          <w:szCs w:val="24"/>
        </w:rPr>
        <w:t xml:space="preserve"> diez de mayo </w:t>
      </w:r>
      <w:r w:rsidRPr="00B9794C">
        <w:rPr>
          <w:rFonts w:ascii="Palatino Linotype" w:hAnsi="Palatino Linotype" w:cs="Arial"/>
          <w:sz w:val="24"/>
          <w:szCs w:val="24"/>
        </w:rPr>
        <w:t xml:space="preserve">de dos mil veintidós el </w:t>
      </w:r>
      <w:r w:rsidRPr="00550BFD">
        <w:rPr>
          <w:rFonts w:ascii="Palatino Linotype" w:hAnsi="Palatino Linotype" w:cs="Arial"/>
          <w:b/>
          <w:sz w:val="24"/>
          <w:szCs w:val="24"/>
        </w:rPr>
        <w:t>Sujeto Obligado</w:t>
      </w:r>
      <w:r w:rsidRPr="00B9794C">
        <w:rPr>
          <w:rFonts w:ascii="Palatino Linotype" w:hAnsi="Palatino Linotype" w:cs="Arial"/>
          <w:sz w:val="24"/>
          <w:szCs w:val="24"/>
        </w:rPr>
        <w:t xml:space="preserve"> solicito una prórroga para poder atender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w:t>
      </w:r>
    </w:p>
    <w:p w:rsidR="00B140D6" w:rsidRPr="00B9794C" w:rsidRDefault="00B140D6" w:rsidP="005330DC">
      <w:pPr>
        <w:pStyle w:val="Sinespaciado"/>
        <w:spacing w:line="360" w:lineRule="auto"/>
        <w:jc w:val="both"/>
        <w:rPr>
          <w:rFonts w:ascii="Palatino Linotype" w:hAnsi="Palatino Linotype" w:cs="Arial"/>
          <w:sz w:val="24"/>
          <w:szCs w:val="24"/>
        </w:rPr>
      </w:pPr>
    </w:p>
    <w:p w:rsidR="00B140D6" w:rsidRPr="00B9794C" w:rsidRDefault="00B140D6" w:rsidP="005330DC">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Una vez agotados tanto el término ordinario como el extraordinario para dar respuesta, se observa que e</w:t>
      </w:r>
      <w:r w:rsidRPr="00B9794C">
        <w:rPr>
          <w:rFonts w:ascii="Palatino Linotype" w:hAnsi="Palatino Linotype" w:cs="Arial"/>
          <w:sz w:val="24"/>
          <w:szCs w:val="24"/>
        </w:rPr>
        <w:t>n fecha</w:t>
      </w:r>
      <w:r>
        <w:rPr>
          <w:rFonts w:ascii="Palatino Linotype" w:hAnsi="Palatino Linotype" w:cs="Arial"/>
          <w:sz w:val="24"/>
          <w:szCs w:val="24"/>
        </w:rPr>
        <w:t>s</w:t>
      </w:r>
      <w:r w:rsidRPr="00B9794C">
        <w:rPr>
          <w:rFonts w:ascii="Palatino Linotype" w:hAnsi="Palatino Linotype" w:cs="Arial"/>
          <w:sz w:val="24"/>
          <w:szCs w:val="24"/>
        </w:rPr>
        <w:t xml:space="preserve"> </w:t>
      </w:r>
      <w:r w:rsidR="00654464">
        <w:rPr>
          <w:rFonts w:ascii="Palatino Linotype" w:hAnsi="Palatino Linotype" w:cs="Arial"/>
          <w:sz w:val="24"/>
          <w:szCs w:val="24"/>
        </w:rPr>
        <w:t xml:space="preserve">diecinueve y veintitrés </w:t>
      </w:r>
      <w:r>
        <w:rPr>
          <w:rFonts w:ascii="Palatino Linotype" w:hAnsi="Palatino Linotype" w:cs="Arial"/>
          <w:sz w:val="24"/>
          <w:szCs w:val="24"/>
        </w:rPr>
        <w:t>de mayo</w:t>
      </w:r>
      <w:r w:rsidRPr="00B9794C">
        <w:rPr>
          <w:rFonts w:ascii="Palatino Linotype" w:hAnsi="Palatino Linotype" w:cs="Arial"/>
          <w:sz w:val="24"/>
          <w:szCs w:val="24"/>
        </w:rPr>
        <w:t xml:space="preserve"> de dos mil veintidós, el </w:t>
      </w:r>
      <w:r w:rsidRPr="00B9794C">
        <w:rPr>
          <w:rFonts w:ascii="Palatino Linotype" w:hAnsi="Palatino Linotype" w:cs="Arial"/>
          <w:b/>
          <w:sz w:val="24"/>
          <w:szCs w:val="24"/>
        </w:rPr>
        <w:t>Sujeto Obligado</w:t>
      </w:r>
      <w:r w:rsidRPr="00B9794C">
        <w:rPr>
          <w:rFonts w:ascii="Palatino Linotype" w:hAnsi="Palatino Linotype" w:cs="Arial"/>
          <w:sz w:val="24"/>
          <w:szCs w:val="24"/>
        </w:rPr>
        <w:t xml:space="preserve"> dio respuesta</w:t>
      </w:r>
      <w:r>
        <w:rPr>
          <w:rFonts w:ascii="Palatino Linotype" w:hAnsi="Palatino Linotype" w:cs="Arial"/>
          <w:sz w:val="24"/>
          <w:szCs w:val="24"/>
        </w:rPr>
        <w:t>s</w:t>
      </w:r>
      <w:r w:rsidRPr="00B9794C">
        <w:rPr>
          <w:rFonts w:ascii="Palatino Linotype" w:hAnsi="Palatino Linotype" w:cs="Arial"/>
          <w:sz w:val="24"/>
          <w:szCs w:val="24"/>
        </w:rPr>
        <w:t xml:space="preserve"> a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 en los</w:t>
      </w:r>
      <w:r>
        <w:rPr>
          <w:rFonts w:ascii="Palatino Linotype" w:hAnsi="Palatino Linotype" w:cs="Arial"/>
          <w:sz w:val="24"/>
          <w:szCs w:val="24"/>
        </w:rPr>
        <w:t xml:space="preserve"> mismos</w:t>
      </w:r>
      <w:r w:rsidRPr="00B9794C">
        <w:rPr>
          <w:rFonts w:ascii="Palatino Linotype" w:hAnsi="Palatino Linotype" w:cs="Arial"/>
          <w:sz w:val="24"/>
          <w:szCs w:val="24"/>
        </w:rPr>
        <w:t xml:space="preserve"> términos</w:t>
      </w:r>
      <w:r>
        <w:rPr>
          <w:rFonts w:ascii="Palatino Linotype" w:hAnsi="Palatino Linotype" w:cs="Arial"/>
          <w:sz w:val="24"/>
          <w:szCs w:val="24"/>
        </w:rPr>
        <w:t>, por lo que se inserta una sola ocasión a continuación:</w:t>
      </w:r>
    </w:p>
    <w:p w:rsidR="00B140D6" w:rsidRPr="00B9794C" w:rsidRDefault="00B140D6" w:rsidP="005330DC">
      <w:pPr>
        <w:spacing w:line="360" w:lineRule="auto"/>
        <w:jc w:val="both"/>
        <w:rPr>
          <w:rFonts w:ascii="Palatino Linotype" w:hAnsi="Palatino Linotype" w:cs="Arial"/>
        </w:rPr>
      </w:pPr>
    </w:p>
    <w:p w:rsidR="00B140D6" w:rsidRPr="00550BFD" w:rsidRDefault="00B140D6" w:rsidP="005330DC">
      <w:pPr>
        <w:ind w:left="567" w:right="567"/>
        <w:jc w:val="both"/>
        <w:rPr>
          <w:rFonts w:ascii="Palatino Linotype" w:hAnsi="Palatino Linotype" w:cs="Arial"/>
          <w:i/>
          <w:sz w:val="22"/>
        </w:rPr>
      </w:pPr>
      <w:r w:rsidRPr="00550BFD">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B140D6" w:rsidRDefault="00B140D6" w:rsidP="005330DC">
      <w:pPr>
        <w:ind w:left="567" w:right="567"/>
        <w:jc w:val="both"/>
        <w:rPr>
          <w:rFonts w:ascii="Palatino Linotype" w:hAnsi="Palatino Linotype" w:cs="Arial"/>
          <w:sz w:val="22"/>
        </w:rPr>
      </w:pPr>
      <w:r w:rsidRPr="00550BFD">
        <w:rPr>
          <w:rFonts w:ascii="Palatino Linotype" w:hAnsi="Palatino Linotype" w:cs="Arial"/>
          <w:i/>
          <w:sz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w:t>
      </w:r>
      <w:r w:rsidRPr="00550BFD">
        <w:rPr>
          <w:rFonts w:ascii="Palatino Linotype" w:hAnsi="Palatino Linotype" w:cs="Arial"/>
          <w:i/>
          <w:sz w:val="22"/>
          <w:u w:val="single"/>
        </w:rPr>
        <w:t>aprobó el cambio de modalidad de entrega mediante consulta directa (in situ)</w:t>
      </w:r>
      <w:r w:rsidRPr="00550BFD">
        <w:rPr>
          <w:rFonts w:ascii="Palatino Linotype" w:hAnsi="Palatino Linotype" w:cs="Arial"/>
          <w:i/>
          <w:sz w:val="22"/>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rPr>
        <w:t>”</w:t>
      </w:r>
    </w:p>
    <w:p w:rsidR="00B140D6" w:rsidRPr="00550BFD" w:rsidRDefault="00B140D6" w:rsidP="005330DC">
      <w:pPr>
        <w:ind w:left="567" w:right="567"/>
        <w:jc w:val="right"/>
        <w:rPr>
          <w:rFonts w:ascii="Palatino Linotype" w:hAnsi="Palatino Linotype" w:cs="Arial"/>
          <w:sz w:val="22"/>
        </w:rPr>
      </w:pPr>
      <w:r>
        <w:rPr>
          <w:rFonts w:ascii="Palatino Linotype" w:hAnsi="Palatino Linotype" w:cs="Arial"/>
          <w:sz w:val="22"/>
        </w:rPr>
        <w:t>(Énfasis añadido)</w:t>
      </w:r>
    </w:p>
    <w:p w:rsidR="00B140D6" w:rsidRDefault="00B140D6" w:rsidP="005330DC">
      <w:pPr>
        <w:spacing w:line="360" w:lineRule="auto"/>
        <w:jc w:val="both"/>
        <w:rPr>
          <w:rFonts w:ascii="Palatino Linotype" w:hAnsi="Palatino Linotype" w:cs="Arial"/>
        </w:rPr>
      </w:pPr>
    </w:p>
    <w:p w:rsidR="00B140D6" w:rsidRPr="00B9794C" w:rsidRDefault="00B140D6" w:rsidP="005330DC">
      <w:pPr>
        <w:spacing w:line="360" w:lineRule="auto"/>
        <w:jc w:val="both"/>
        <w:rPr>
          <w:rFonts w:ascii="Palatino Linotype" w:hAnsi="Palatino Linotype" w:cs="Arial"/>
        </w:rPr>
      </w:pPr>
      <w:r w:rsidRPr="00B9794C">
        <w:rPr>
          <w:rFonts w:ascii="Palatino Linotype" w:hAnsi="Palatino Linotype" w:cs="Arial"/>
        </w:rPr>
        <w:t xml:space="preserve">El </w:t>
      </w:r>
      <w:r w:rsidRPr="00550BFD">
        <w:rPr>
          <w:rFonts w:ascii="Palatino Linotype" w:hAnsi="Palatino Linotype" w:cs="Arial"/>
          <w:b/>
        </w:rPr>
        <w:t>Sujeto Obligado</w:t>
      </w:r>
      <w:r w:rsidRPr="00B9794C">
        <w:rPr>
          <w:rFonts w:ascii="Palatino Linotype" w:hAnsi="Palatino Linotype" w:cs="Arial"/>
        </w:rPr>
        <w:t xml:space="preserve"> adjuntó </w:t>
      </w:r>
      <w:r>
        <w:rPr>
          <w:rFonts w:ascii="Palatino Linotype" w:hAnsi="Palatino Linotype" w:cs="Arial"/>
        </w:rPr>
        <w:t xml:space="preserve">en cada una de sus respuestas, </w:t>
      </w:r>
      <w:r w:rsidRPr="00B9794C">
        <w:rPr>
          <w:rFonts w:ascii="Palatino Linotype" w:hAnsi="Palatino Linotype" w:cs="Arial"/>
        </w:rPr>
        <w:t xml:space="preserve">el </w:t>
      </w:r>
      <w:r>
        <w:rPr>
          <w:rFonts w:ascii="Palatino Linotype" w:hAnsi="Palatino Linotype" w:cs="Arial"/>
        </w:rPr>
        <w:t>documento</w:t>
      </w:r>
      <w:r w:rsidRPr="00B9794C">
        <w:rPr>
          <w:rFonts w:ascii="Palatino Linotype" w:hAnsi="Palatino Linotype" w:cs="Arial"/>
        </w:rPr>
        <w:t xml:space="preserve"> electrónico denominado </w:t>
      </w:r>
      <w:r w:rsidRPr="00B9794C">
        <w:rPr>
          <w:rFonts w:ascii="Palatino Linotype" w:hAnsi="Palatino Linotype" w:cs="Arial"/>
          <w:i/>
        </w:rPr>
        <w:t>“</w:t>
      </w:r>
      <w:r w:rsidRPr="00550BFD">
        <w:rPr>
          <w:rFonts w:ascii="Palatino Linotype" w:hAnsi="Palatino Linotype" w:cs="Arial"/>
          <w:b/>
          <w:i/>
        </w:rPr>
        <w:t>acta primer sesión extraordinaria Comité de transparencia.pdf</w:t>
      </w:r>
      <w:r w:rsidRPr="00B9794C">
        <w:rPr>
          <w:rFonts w:ascii="Palatino Linotype" w:hAnsi="Palatino Linotype" w:cs="Arial"/>
          <w:i/>
        </w:rPr>
        <w:t>”</w:t>
      </w:r>
      <w:r w:rsidRPr="00B9794C">
        <w:rPr>
          <w:rFonts w:ascii="Palatino Linotype" w:hAnsi="Palatino Linotype" w:cs="Arial"/>
        </w:rPr>
        <w:t xml:space="preserve">; mismo que no se reproduce por ser del conocimiento de las partes, sin embargo, será materia de estudio en el </w:t>
      </w:r>
      <w:r w:rsidRPr="00B9794C">
        <w:rPr>
          <w:rFonts w:ascii="Palatino Linotype" w:hAnsi="Palatino Linotype" w:cs="Arial"/>
          <w:b/>
        </w:rPr>
        <w:t>CONSIDERADO</w:t>
      </w:r>
      <w:r w:rsidRPr="00B9794C">
        <w:rPr>
          <w:rFonts w:ascii="Palatino Linotype" w:hAnsi="Palatino Linotype" w:cs="Arial"/>
        </w:rPr>
        <w:t xml:space="preserve"> respectivo.</w:t>
      </w:r>
    </w:p>
    <w:p w:rsidR="00B140D6" w:rsidRDefault="00B140D6" w:rsidP="005330DC">
      <w:pPr>
        <w:spacing w:line="360" w:lineRule="auto"/>
        <w:jc w:val="both"/>
        <w:rPr>
          <w:rFonts w:ascii="Palatino Linotype" w:hAnsi="Palatino Linotype" w:cs="Arial"/>
          <w:b/>
          <w:sz w:val="28"/>
        </w:rPr>
      </w:pPr>
    </w:p>
    <w:p w:rsidR="005330DC" w:rsidRDefault="005330DC" w:rsidP="005330DC">
      <w:pPr>
        <w:spacing w:line="360" w:lineRule="auto"/>
        <w:jc w:val="both"/>
        <w:rPr>
          <w:rFonts w:ascii="Palatino Linotype" w:hAnsi="Palatino Linotype" w:cs="Arial"/>
          <w:b/>
          <w:sz w:val="28"/>
        </w:rPr>
      </w:pPr>
    </w:p>
    <w:p w:rsidR="00B140D6" w:rsidRPr="002C3EC8" w:rsidRDefault="00B140D6" w:rsidP="005330DC">
      <w:pPr>
        <w:spacing w:line="360" w:lineRule="auto"/>
        <w:jc w:val="both"/>
        <w:rPr>
          <w:rFonts w:ascii="Palatino Linotype" w:hAnsi="Palatino Linotype" w:cs="Arial"/>
          <w:b/>
          <w:sz w:val="28"/>
        </w:rPr>
      </w:pPr>
      <w:r>
        <w:rPr>
          <w:rFonts w:ascii="Palatino Linotype" w:hAnsi="Palatino Linotype" w:cs="Arial"/>
          <w:b/>
          <w:sz w:val="28"/>
        </w:rPr>
        <w:t>QUINT</w:t>
      </w:r>
      <w:r w:rsidRPr="002C3EC8">
        <w:rPr>
          <w:rFonts w:ascii="Palatino Linotype" w:hAnsi="Palatino Linotype" w:cs="Arial"/>
          <w:b/>
          <w:sz w:val="28"/>
        </w:rPr>
        <w:t xml:space="preserve">O.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rsidR="00B140D6" w:rsidRDefault="00B140D6" w:rsidP="005330DC">
      <w:pPr>
        <w:spacing w:line="360" w:lineRule="auto"/>
        <w:jc w:val="both"/>
        <w:rPr>
          <w:rFonts w:ascii="Palatino Linotype" w:hAnsi="Palatino Linotype" w:cs="Arial"/>
        </w:rPr>
      </w:pPr>
      <w:r>
        <w:rPr>
          <w:rFonts w:ascii="Palatino Linotype" w:hAnsi="Palatino Linotype" w:cs="Arial"/>
        </w:rPr>
        <w:t>Inconforme con las respuestas notificadas</w:t>
      </w:r>
      <w:r w:rsidRPr="002C3EC8">
        <w:rPr>
          <w:rFonts w:ascii="Palatino Linotype" w:hAnsi="Palatino Linotype" w:cs="Arial"/>
        </w:rPr>
        <w:t xml:space="preserve"> por </w:t>
      </w:r>
      <w:r w:rsidRPr="002C3EC8">
        <w:rPr>
          <w:rFonts w:ascii="Palatino Linotype" w:hAnsi="Palatino Linotype" w:cs="Arial"/>
          <w:b/>
        </w:rPr>
        <w:t xml:space="preserve">el Sujeto Obligado, </w:t>
      </w:r>
      <w:r w:rsidRPr="002C3EC8">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Pr>
          <w:rFonts w:ascii="Palatino Linotype" w:hAnsi="Palatino Linotype" w:cs="Arial"/>
        </w:rPr>
        <w:t>s</w:t>
      </w:r>
      <w:r w:rsidRPr="002C3EC8">
        <w:rPr>
          <w:rFonts w:ascii="Palatino Linotype" w:hAnsi="Palatino Linotype" w:cs="Arial"/>
        </w:rPr>
        <w:t xml:space="preserve"> de revisión, en fecha</w:t>
      </w:r>
      <w:r w:rsidR="00654464">
        <w:rPr>
          <w:rFonts w:ascii="Palatino Linotype" w:hAnsi="Palatino Linotype" w:cs="Arial"/>
        </w:rPr>
        <w:t xml:space="preserve"> </w:t>
      </w:r>
      <w:r w:rsidR="00654464">
        <w:rPr>
          <w:rFonts w:ascii="Palatino Linotype" w:hAnsi="Palatino Linotype" w:cs="Arial"/>
          <w:b/>
        </w:rPr>
        <w:t xml:space="preserve">seis de junio </w:t>
      </w:r>
      <w:r w:rsidRPr="002C3EC8">
        <w:rPr>
          <w:rFonts w:ascii="Palatino Linotype" w:hAnsi="Palatino Linotype" w:cs="Arial"/>
        </w:rPr>
        <w:t xml:space="preserve">de dos mil veintidós,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s números </w:t>
      </w:r>
      <w:r w:rsidRPr="00550BFD">
        <w:rPr>
          <w:rFonts w:ascii="Palatino Linotype" w:hAnsi="Palatino Linotype" w:cs="Arial"/>
          <w:b/>
        </w:rPr>
        <w:t>0</w:t>
      </w:r>
      <w:r w:rsidR="00654464">
        <w:rPr>
          <w:rFonts w:ascii="Palatino Linotype" w:hAnsi="Palatino Linotype" w:cs="Arial"/>
          <w:b/>
        </w:rPr>
        <w:t>10830</w:t>
      </w:r>
      <w:r w:rsidRPr="00550BFD">
        <w:rPr>
          <w:rFonts w:ascii="Palatino Linotype" w:hAnsi="Palatino Linotype" w:cs="Arial"/>
          <w:b/>
        </w:rPr>
        <w:t>/INFOEM/IP/RR/2022, 0</w:t>
      </w:r>
      <w:r w:rsidR="00654464">
        <w:rPr>
          <w:rFonts w:ascii="Palatino Linotype" w:hAnsi="Palatino Linotype" w:cs="Arial"/>
          <w:b/>
        </w:rPr>
        <w:t>10831/INFOEM/IP/RR/2022 y</w:t>
      </w:r>
      <w:r w:rsidRPr="00550BFD">
        <w:rPr>
          <w:rFonts w:ascii="Palatino Linotype" w:hAnsi="Palatino Linotype" w:cs="Arial"/>
          <w:b/>
        </w:rPr>
        <w:t xml:space="preserve"> </w:t>
      </w:r>
      <w:r w:rsidRPr="00550BFD">
        <w:rPr>
          <w:rFonts w:ascii="Palatino Linotype" w:hAnsi="Palatino Linotype" w:cs="Arial"/>
          <w:b/>
        </w:rPr>
        <w:lastRenderedPageBreak/>
        <w:t>0</w:t>
      </w:r>
      <w:r w:rsidR="00654464">
        <w:rPr>
          <w:rFonts w:ascii="Palatino Linotype" w:hAnsi="Palatino Linotype" w:cs="Arial"/>
          <w:b/>
        </w:rPr>
        <w:t>10832</w:t>
      </w:r>
      <w:r w:rsidRPr="00550BFD">
        <w:rPr>
          <w:rFonts w:ascii="Palatino Linotype" w:hAnsi="Palatino Linotype" w:cs="Arial"/>
          <w:b/>
        </w:rPr>
        <w:t>/INFOE</w:t>
      </w:r>
      <w:r w:rsidR="00654464">
        <w:rPr>
          <w:rFonts w:ascii="Palatino Linotype" w:hAnsi="Palatino Linotype" w:cs="Arial"/>
          <w:b/>
        </w:rPr>
        <w:t>M/IP/RR/2022</w:t>
      </w:r>
      <w:r>
        <w:rPr>
          <w:rFonts w:ascii="Palatino Linotype" w:hAnsi="Palatino Linotype" w:cs="Arial"/>
        </w:rPr>
        <w:t>, en los cuales señalo como acto impugnado y razones o motivos de inconformidad, por lo que en aras de evitar repeticiones innecesarias se omite reproducir todas y cada una de las manifestaciones, toda vez que se encuentran en los mismos términos siguientes:</w:t>
      </w:r>
    </w:p>
    <w:p w:rsidR="00B140D6" w:rsidRDefault="00B140D6" w:rsidP="005330DC">
      <w:pPr>
        <w:spacing w:line="360" w:lineRule="auto"/>
        <w:jc w:val="both"/>
        <w:rPr>
          <w:rFonts w:ascii="Palatino Linotype" w:hAnsi="Palatino Linotype" w:cs="Arial"/>
        </w:rPr>
      </w:pPr>
    </w:p>
    <w:p w:rsidR="00B140D6" w:rsidRDefault="00B140D6" w:rsidP="005330DC">
      <w:pPr>
        <w:spacing w:line="360" w:lineRule="auto"/>
        <w:jc w:val="both"/>
        <w:rPr>
          <w:rFonts w:ascii="Palatino Linotype" w:hAnsi="Palatino Linotype" w:cs="Arial"/>
        </w:rPr>
      </w:pPr>
      <w:r w:rsidRPr="001A004F">
        <w:rPr>
          <w:rFonts w:ascii="Palatino Linotype" w:hAnsi="Palatino Linotype" w:cs="Arial"/>
          <w:b/>
        </w:rPr>
        <w:t>Acto impugnado</w:t>
      </w:r>
      <w:r>
        <w:rPr>
          <w:rFonts w:ascii="Palatino Linotype" w:hAnsi="Palatino Linotype" w:cs="Arial"/>
          <w:b/>
        </w:rPr>
        <w:t>:</w:t>
      </w:r>
    </w:p>
    <w:p w:rsidR="00B140D6" w:rsidRPr="0097052E" w:rsidRDefault="00B140D6" w:rsidP="005330DC">
      <w:pPr>
        <w:spacing w:line="360" w:lineRule="auto"/>
        <w:jc w:val="both"/>
        <w:rPr>
          <w:rFonts w:ascii="Palatino Linotype" w:hAnsi="Palatino Linotype" w:cs="Arial"/>
        </w:rPr>
      </w:pPr>
    </w:p>
    <w:p w:rsidR="00B140D6" w:rsidRPr="001A004F" w:rsidRDefault="00B140D6" w:rsidP="005330DC">
      <w:pPr>
        <w:ind w:left="567" w:right="616"/>
        <w:jc w:val="both"/>
        <w:rPr>
          <w:rFonts w:ascii="Palatino Linotype" w:hAnsi="Palatino Linotype" w:cs="Arial"/>
          <w:i/>
          <w:sz w:val="22"/>
        </w:rPr>
      </w:pPr>
      <w:r w:rsidRPr="001A004F">
        <w:rPr>
          <w:rFonts w:ascii="Palatino Linotype" w:hAnsi="Palatino Linotype" w:cs="Arial"/>
          <w:i/>
          <w:sz w:val="22"/>
        </w:rPr>
        <w:t>“La respuesta del sujeto obligado s” (sic)</w:t>
      </w:r>
    </w:p>
    <w:p w:rsidR="00B140D6" w:rsidRDefault="00B140D6" w:rsidP="005330DC">
      <w:pPr>
        <w:spacing w:line="360" w:lineRule="auto"/>
        <w:jc w:val="both"/>
        <w:rPr>
          <w:rFonts w:ascii="Palatino Linotype" w:hAnsi="Palatino Linotype" w:cs="Arial"/>
        </w:rPr>
      </w:pPr>
    </w:p>
    <w:p w:rsidR="00B140D6" w:rsidRDefault="00B140D6" w:rsidP="005330DC">
      <w:pPr>
        <w:spacing w:line="360" w:lineRule="auto"/>
        <w:jc w:val="both"/>
        <w:rPr>
          <w:rFonts w:ascii="Palatino Linotype" w:hAnsi="Palatino Linotype" w:cs="Arial"/>
        </w:rPr>
      </w:pPr>
      <w:r w:rsidRPr="001A004F">
        <w:rPr>
          <w:rFonts w:ascii="Palatino Linotype" w:hAnsi="Palatino Linotype" w:cs="Arial"/>
          <w:b/>
        </w:rPr>
        <w:t>Razones o motivos de inconformidad</w:t>
      </w:r>
      <w:r>
        <w:rPr>
          <w:rFonts w:ascii="Palatino Linotype" w:hAnsi="Palatino Linotype" w:cs="Arial"/>
          <w:b/>
        </w:rPr>
        <w:t>:</w:t>
      </w:r>
    </w:p>
    <w:p w:rsidR="00654464" w:rsidRPr="00654464" w:rsidRDefault="00654464" w:rsidP="005330DC">
      <w:pPr>
        <w:spacing w:line="360" w:lineRule="auto"/>
        <w:jc w:val="both"/>
        <w:rPr>
          <w:rFonts w:ascii="Palatino Linotype" w:hAnsi="Palatino Linotype" w:cs="Arial"/>
        </w:rPr>
      </w:pPr>
    </w:p>
    <w:p w:rsidR="00B140D6" w:rsidRPr="001A004F" w:rsidRDefault="00B140D6" w:rsidP="005330DC">
      <w:pPr>
        <w:ind w:left="567" w:right="616"/>
        <w:jc w:val="both"/>
        <w:rPr>
          <w:rFonts w:ascii="Palatino Linotype" w:hAnsi="Palatino Linotype" w:cs="Arial"/>
          <w:i/>
          <w:sz w:val="22"/>
        </w:rPr>
      </w:pPr>
      <w:r w:rsidRPr="001A004F">
        <w:rPr>
          <w:rFonts w:ascii="Palatino Linotype" w:hAnsi="Palatino Linotype" w:cs="Arial"/>
          <w:i/>
          <w:sz w:val="22"/>
        </w:rPr>
        <w:t>“</w:t>
      </w:r>
      <w:r w:rsidRPr="00015189">
        <w:rPr>
          <w:rFonts w:ascii="Palatino Linotype" w:hAnsi="Palatino Linotype" w:cs="Arial"/>
          <w:i/>
          <w:sz w:val="22"/>
          <w:u w:val="single"/>
        </w:rPr>
        <w:t>La respuesta proporcionada por el sujeto obligado está repleta de deficiencias</w:t>
      </w:r>
      <w:r w:rsidRPr="001A004F">
        <w:rPr>
          <w:rFonts w:ascii="Palatino Linotype" w:hAnsi="Palatino Linotype" w:cs="Arial"/>
          <w:i/>
          <w:sz w:val="22"/>
        </w:rPr>
        <w:t xml:space="preserve">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w:t>
      </w:r>
      <w:r w:rsidRPr="001A004F">
        <w:rPr>
          <w:rFonts w:ascii="Palatino Linotype" w:hAnsi="Palatino Linotype" w:cs="Arial"/>
          <w:i/>
          <w:sz w:val="22"/>
        </w:rPr>
        <w:lastRenderedPageBreak/>
        <w:t xml:space="preserve">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w:t>
      </w:r>
      <w:r w:rsidRPr="00756413">
        <w:rPr>
          <w:rFonts w:ascii="Palatino Linotype" w:hAnsi="Palatino Linotype" w:cs="Arial"/>
          <w:i/>
          <w:sz w:val="22"/>
          <w:u w:val="single"/>
        </w:rPr>
        <w:t>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w:t>
      </w:r>
      <w:r w:rsidRPr="001A004F">
        <w:rPr>
          <w:rFonts w:ascii="Palatino Linotype" w:hAnsi="Palatino Linotype" w:cs="Arial"/>
          <w:i/>
          <w:sz w:val="22"/>
        </w:rPr>
        <w:t xml:space="preserve">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w:t>
      </w:r>
      <w:r w:rsidRPr="001A004F">
        <w:rPr>
          <w:rFonts w:ascii="Palatino Linotype" w:hAnsi="Palatino Linotype" w:cs="Arial"/>
          <w:i/>
          <w:sz w:val="22"/>
        </w:rPr>
        <w:lastRenderedPageBreak/>
        <w:t xml:space="preserve">aplicación del trabajo humano que se requiere para hacer accesible la información. De tal manera que </w:t>
      </w:r>
      <w:r w:rsidRPr="00756413">
        <w:rPr>
          <w:rFonts w:ascii="Palatino Linotype" w:hAnsi="Palatino Linotype" w:cs="Arial"/>
          <w:i/>
          <w:sz w:val="22"/>
          <w:u w:val="single"/>
        </w:rPr>
        <w:t>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w:t>
      </w:r>
      <w:r w:rsidRPr="001A004F">
        <w:rPr>
          <w:rFonts w:ascii="Palatino Linotype" w:hAnsi="Palatino Linotype" w:cs="Arial"/>
          <w:i/>
          <w:sz w:val="22"/>
        </w:rPr>
        <w:t xml:space="preserve">.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w:t>
      </w:r>
      <w:r w:rsidRPr="001A004F">
        <w:rPr>
          <w:rFonts w:ascii="Palatino Linotype" w:hAnsi="Palatino Linotype" w:cs="Arial"/>
          <w:i/>
          <w:sz w:val="22"/>
        </w:rPr>
        <w:lastRenderedPageBreak/>
        <w:t>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B140D6" w:rsidRDefault="00B140D6" w:rsidP="005330DC">
      <w:pPr>
        <w:spacing w:line="360" w:lineRule="auto"/>
        <w:jc w:val="both"/>
        <w:rPr>
          <w:rFonts w:ascii="Palatino Linotype" w:hAnsi="Palatino Linotype" w:cs="Arial"/>
          <w:b/>
        </w:rPr>
      </w:pPr>
    </w:p>
    <w:p w:rsidR="00B140D6" w:rsidRPr="0097052E" w:rsidRDefault="00B140D6" w:rsidP="005330DC">
      <w:pPr>
        <w:spacing w:line="360" w:lineRule="auto"/>
        <w:jc w:val="both"/>
        <w:rPr>
          <w:rFonts w:ascii="Palatino Linotype" w:hAnsi="Palatino Linotype" w:cs="Arial"/>
          <w:b/>
        </w:rPr>
      </w:pPr>
    </w:p>
    <w:p w:rsidR="00B140D6" w:rsidRPr="002C3EC8" w:rsidRDefault="00B140D6" w:rsidP="005330DC">
      <w:pPr>
        <w:spacing w:line="360" w:lineRule="auto"/>
        <w:jc w:val="both"/>
        <w:rPr>
          <w:rFonts w:ascii="Palatino Linotype" w:hAnsi="Palatino Linotype" w:cs="Arial"/>
          <w:b/>
        </w:rPr>
      </w:pPr>
      <w:r>
        <w:rPr>
          <w:rFonts w:ascii="Palatino Linotype" w:hAnsi="Palatino Linotype" w:cs="Arial"/>
          <w:b/>
          <w:sz w:val="28"/>
        </w:rPr>
        <w:t>SEX</w:t>
      </w:r>
      <w:r w:rsidRPr="002C3EC8">
        <w:rPr>
          <w:rFonts w:ascii="Palatino Linotype" w:hAnsi="Palatino Linotype" w:cs="Arial"/>
          <w:b/>
          <w:sz w:val="28"/>
        </w:rPr>
        <w:t>TO</w:t>
      </w:r>
      <w:r w:rsidRPr="002C3EC8">
        <w:rPr>
          <w:rFonts w:ascii="Palatino Linotype" w:hAnsi="Palatino Linotype" w:cs="Arial"/>
          <w:b/>
        </w:rPr>
        <w:t xml:space="preserve">. </w:t>
      </w:r>
      <w:r w:rsidRPr="002C3EC8">
        <w:rPr>
          <w:rFonts w:ascii="Palatino Linotype" w:hAnsi="Palatino Linotype" w:cs="Arial"/>
          <w:b/>
          <w:sz w:val="28"/>
          <w:szCs w:val="28"/>
        </w:rPr>
        <w:t>Del turno 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rsidR="00B140D6" w:rsidRPr="002C3EC8" w:rsidRDefault="00B140D6" w:rsidP="005330DC">
      <w:pPr>
        <w:spacing w:line="360" w:lineRule="auto"/>
        <w:jc w:val="both"/>
        <w:rPr>
          <w:rFonts w:ascii="Palatino Linotype" w:hAnsi="Palatino Linotype" w:cs="Arial"/>
          <w:sz w:val="28"/>
        </w:rPr>
      </w:pPr>
      <w:r>
        <w:rPr>
          <w:rFonts w:ascii="Palatino Linotype" w:hAnsi="Palatino Linotype"/>
        </w:rPr>
        <w:t>Los medios de impugnación fueron turnados a los Comisionados y Comisionadas</w:t>
      </w:r>
      <w:r w:rsidRPr="002C3EC8">
        <w:rPr>
          <w:rFonts w:ascii="Palatino Linotype" w:hAnsi="Palatino Linotype"/>
        </w:rPr>
        <w:t xml:space="preserve"> </w:t>
      </w:r>
      <w:r w:rsidRPr="007B13E3">
        <w:rPr>
          <w:rFonts w:ascii="Palatino Linotype" w:hAnsi="Palatino Linotype"/>
          <w:b/>
        </w:rPr>
        <w:t xml:space="preserve">José Martínez Vilchis, </w:t>
      </w:r>
      <w:r w:rsidR="00654464">
        <w:rPr>
          <w:rFonts w:ascii="Palatino Linotype" w:hAnsi="Palatino Linotype"/>
          <w:b/>
        </w:rPr>
        <w:t xml:space="preserve">Luis Gustavo Parra Noriega y </w:t>
      </w:r>
      <w:r w:rsidRPr="007B13E3">
        <w:rPr>
          <w:rFonts w:ascii="Palatino Linotype" w:hAnsi="Palatino Linotype"/>
          <w:b/>
        </w:rPr>
        <w:t xml:space="preserve">Sharon Cristina Morales Martínez, </w:t>
      </w:r>
      <w:r w:rsidRPr="002C3EC8">
        <w:rPr>
          <w:rFonts w:ascii="Palatino Linotype" w:hAnsi="Palatino Linotype"/>
        </w:rPr>
        <w:t>por medio del sistema electrónico SAIMEX, en términos del arábigo 185, fracción I, de la Ley de Transparencia y Acceso a la información Pública del Estado de México y Mu</w:t>
      </w:r>
      <w:r>
        <w:rPr>
          <w:rFonts w:ascii="Palatino Linotype" w:hAnsi="Palatino Linotype"/>
        </w:rPr>
        <w:t>nicipios, del cual recayeron acuerdos</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w:t>
      </w:r>
      <w:r>
        <w:rPr>
          <w:rFonts w:ascii="Palatino Linotype" w:hAnsi="Palatino Linotype"/>
        </w:rPr>
        <w:t>s</w:t>
      </w:r>
      <w:r w:rsidRPr="002C3EC8">
        <w:rPr>
          <w:rFonts w:ascii="Palatino Linotype" w:hAnsi="Palatino Linotype"/>
        </w:rPr>
        <w:t xml:space="preserve"> </w:t>
      </w:r>
      <w:r w:rsidR="00654464">
        <w:rPr>
          <w:rFonts w:ascii="Palatino Linotype" w:hAnsi="Palatino Linotype"/>
          <w:b/>
        </w:rPr>
        <w:t xml:space="preserve">ocho, nueve y diez </w:t>
      </w:r>
      <w:r w:rsidRPr="00E52C83">
        <w:rPr>
          <w:rFonts w:ascii="Palatino Linotype" w:hAnsi="Palatino Linotype"/>
          <w:b/>
        </w:rPr>
        <w:t>de junio</w:t>
      </w:r>
      <w:r w:rsidRPr="002C3EC8">
        <w:rPr>
          <w:rFonts w:ascii="Palatino Linotype" w:hAnsi="Palatino Linotype"/>
        </w:rPr>
        <w:t xml:space="preserve"> de dos mil veintidós, determinándose en ellos, un plazo de siete días para que las partes manifestaran lo que a su derecho corresponda en términos del numeral ya citado.</w:t>
      </w:r>
    </w:p>
    <w:p w:rsidR="00B140D6" w:rsidRDefault="00B140D6" w:rsidP="005330DC">
      <w:pPr>
        <w:spacing w:line="360" w:lineRule="auto"/>
        <w:jc w:val="both"/>
        <w:rPr>
          <w:rFonts w:ascii="Palatino Linotype" w:hAnsi="Palatino Linotype" w:cs="Arial"/>
        </w:rPr>
      </w:pPr>
    </w:p>
    <w:p w:rsidR="005330DC" w:rsidRPr="002C3EC8" w:rsidRDefault="005330DC" w:rsidP="005330DC">
      <w:pPr>
        <w:spacing w:line="360" w:lineRule="auto"/>
        <w:jc w:val="both"/>
        <w:rPr>
          <w:rFonts w:ascii="Palatino Linotype" w:hAnsi="Palatino Linotype" w:cs="Arial"/>
        </w:rPr>
      </w:pPr>
    </w:p>
    <w:p w:rsidR="00B140D6" w:rsidRPr="00E52C83" w:rsidRDefault="00B140D6" w:rsidP="005330D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SEP</w:t>
      </w:r>
      <w:r w:rsidRPr="002C3EC8">
        <w:rPr>
          <w:rFonts w:ascii="Palatino Linotype" w:hAnsi="Palatino Linotype" w:cs="Arial"/>
          <w:b/>
          <w:sz w:val="28"/>
        </w:rPr>
        <w:t>T</w:t>
      </w:r>
      <w:r>
        <w:rPr>
          <w:rFonts w:ascii="Palatino Linotype" w:hAnsi="Palatino Linotype" w:cs="Arial"/>
          <w:b/>
          <w:sz w:val="28"/>
        </w:rPr>
        <w:t>IM</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rsidR="00B140D6" w:rsidRPr="00DD3A8A" w:rsidRDefault="00B140D6" w:rsidP="005330DC">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w:t>
      </w:r>
      <w:r w:rsidRPr="00756413">
        <w:rPr>
          <w:rFonts w:ascii="Palatino Linotype" w:hAnsi="Palatino Linotype" w:cs="Arial"/>
          <w:b/>
        </w:rPr>
        <w:t>Sujeto Obligado</w:t>
      </w:r>
      <w:r w:rsidRPr="00DD3A8A">
        <w:rPr>
          <w:rFonts w:ascii="Palatino Linotype" w:hAnsi="Palatino Linotype" w:cs="Arial"/>
        </w:rPr>
        <w:t xml:space="preserve"> fue omiso en rendir su</w:t>
      </w:r>
      <w:r>
        <w:rPr>
          <w:rFonts w:ascii="Palatino Linotype" w:hAnsi="Palatino Linotype" w:cs="Arial"/>
        </w:rPr>
        <w:t>s</w:t>
      </w:r>
      <w:r w:rsidRPr="00DD3A8A">
        <w:rPr>
          <w:rFonts w:ascii="Palatino Linotype" w:hAnsi="Palatino Linotype" w:cs="Arial"/>
        </w:rPr>
        <w:t xml:space="preserve"> informe</w:t>
      </w:r>
      <w:r>
        <w:rPr>
          <w:rFonts w:ascii="Palatino Linotype" w:hAnsi="Palatino Linotype" w:cs="Arial"/>
        </w:rPr>
        <w:t>s</w:t>
      </w:r>
      <w:r w:rsidRPr="00DD3A8A">
        <w:rPr>
          <w:rFonts w:ascii="Palatino Linotype" w:hAnsi="Palatino Linotype" w:cs="Arial"/>
        </w:rPr>
        <w:t xml:space="preserve"> justificado</w:t>
      </w:r>
      <w:r>
        <w:rPr>
          <w:rFonts w:ascii="Palatino Linotype" w:hAnsi="Palatino Linotype" w:cs="Arial"/>
        </w:rPr>
        <w:t>s,</w:t>
      </w:r>
      <w:r w:rsidRPr="00DD3A8A">
        <w:rPr>
          <w:rFonts w:ascii="Palatino Linotype" w:hAnsi="Palatino Linotype" w:cs="Arial"/>
        </w:rPr>
        <w:t xml:space="preserve"> </w:t>
      </w:r>
      <w:r>
        <w:rPr>
          <w:rFonts w:ascii="Palatino Linotype" w:hAnsi="Palatino Linotype" w:cs="Arial"/>
        </w:rPr>
        <w:t>d</w:t>
      </w:r>
      <w:r w:rsidRPr="00DD3A8A">
        <w:rPr>
          <w:rFonts w:ascii="Palatino Linotype" w:hAnsi="Palatino Linotype" w:cs="Arial"/>
        </w:rPr>
        <w:t>e igual manera, se advierte que la</w:t>
      </w:r>
      <w:r>
        <w:rPr>
          <w:rFonts w:ascii="Palatino Linotype" w:hAnsi="Palatino Linotype" w:cs="Arial"/>
        </w:rPr>
        <w:t xml:space="preserve"> parte</w:t>
      </w:r>
      <w:r w:rsidRPr="00DD3A8A">
        <w:rPr>
          <w:rFonts w:ascii="Palatino Linotype" w:hAnsi="Palatino Linotype" w:cs="Arial"/>
        </w:rPr>
        <w:t xml:space="preserve"> </w:t>
      </w:r>
      <w:r w:rsidRPr="00756413">
        <w:rPr>
          <w:rFonts w:ascii="Palatino Linotype" w:hAnsi="Palatino Linotype" w:cs="Arial"/>
          <w:b/>
        </w:rPr>
        <w:lastRenderedPageBreak/>
        <w:t>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rsidR="00B140D6" w:rsidRPr="00DD3A8A" w:rsidRDefault="00B140D6" w:rsidP="005330DC">
      <w:pPr>
        <w:spacing w:line="360" w:lineRule="auto"/>
        <w:rPr>
          <w:rFonts w:ascii="Palatino Linotype" w:hAnsi="Palatino Linotype" w:cs="Arial"/>
        </w:rPr>
      </w:pPr>
    </w:p>
    <w:p w:rsidR="00B140D6" w:rsidRDefault="00B140D6" w:rsidP="005330DC">
      <w:pPr>
        <w:spacing w:line="360" w:lineRule="auto"/>
        <w:jc w:val="both"/>
        <w:rPr>
          <w:rFonts w:ascii="Palatino Linotype" w:hAnsi="Palatino Linotype" w:cs="Arial"/>
        </w:rPr>
      </w:pPr>
      <w:r w:rsidRPr="00DD3A8A">
        <w:rPr>
          <w:rFonts w:ascii="Palatino Linotype" w:hAnsi="Palatino Linotype" w:cs="Arial"/>
        </w:rPr>
        <w:t xml:space="preserve">Así mismo, se aprecia que no se llevaron a cabo audiencias durante la sustanciación del recurso de revisión, ni se ofrecieron pruebas por parte de la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B140D6" w:rsidRDefault="00B140D6" w:rsidP="005330DC">
      <w:pPr>
        <w:spacing w:line="360" w:lineRule="auto"/>
        <w:jc w:val="both"/>
        <w:rPr>
          <w:rFonts w:ascii="Palatino Linotype" w:hAnsi="Palatino Linotype" w:cs="Arial"/>
        </w:rPr>
      </w:pPr>
    </w:p>
    <w:p w:rsidR="00B140D6" w:rsidRPr="00DD3A8A" w:rsidRDefault="00B140D6" w:rsidP="005330DC">
      <w:pPr>
        <w:spacing w:line="360" w:lineRule="auto"/>
        <w:jc w:val="both"/>
        <w:rPr>
          <w:rFonts w:ascii="Palatino Linotype" w:hAnsi="Palatino Linotype" w:cs="Arial"/>
        </w:rPr>
      </w:pPr>
    </w:p>
    <w:p w:rsidR="00B140D6" w:rsidRPr="002C3EC8" w:rsidRDefault="00B140D6" w:rsidP="005330DC">
      <w:pPr>
        <w:pStyle w:val="Prrafodelista"/>
        <w:spacing w:line="360" w:lineRule="auto"/>
        <w:ind w:left="0"/>
        <w:jc w:val="both"/>
        <w:rPr>
          <w:rFonts w:ascii="Palatino Linotype" w:hAnsi="Palatino Linotype"/>
        </w:rPr>
      </w:pPr>
      <w:r>
        <w:rPr>
          <w:rFonts w:ascii="Palatino Linotype" w:hAnsi="Palatino Linotype" w:cs="Arial"/>
          <w:b/>
          <w:sz w:val="28"/>
          <w:szCs w:val="28"/>
        </w:rPr>
        <w:t>OCTAVO</w:t>
      </w:r>
      <w:r w:rsidRPr="002C3EC8">
        <w:rPr>
          <w:rFonts w:ascii="Palatino Linotype" w:hAnsi="Palatino Linotype" w:cs="Arial"/>
          <w:b/>
          <w:sz w:val="28"/>
          <w:szCs w:val="28"/>
        </w:rPr>
        <w:t xml:space="preserve">. </w:t>
      </w:r>
      <w:r w:rsidRPr="002C3EC8">
        <w:rPr>
          <w:rFonts w:ascii="Palatino Linotype" w:hAnsi="Palatino Linotype"/>
          <w:b/>
          <w:sz w:val="28"/>
        </w:rPr>
        <w:t>De la acumulación.</w:t>
      </w:r>
      <w:r w:rsidRPr="002C3EC8">
        <w:rPr>
          <w:rFonts w:ascii="Palatino Linotype" w:hAnsi="Palatino Linotype"/>
          <w:sz w:val="28"/>
        </w:rPr>
        <w:t xml:space="preserve"> </w:t>
      </w:r>
    </w:p>
    <w:p w:rsidR="00B140D6" w:rsidRPr="00CB45F6" w:rsidRDefault="00B140D6" w:rsidP="005330DC">
      <w:pPr>
        <w:spacing w:line="360" w:lineRule="auto"/>
        <w:jc w:val="both"/>
        <w:rPr>
          <w:rFonts w:ascii="Palatino Linotype" w:hAnsi="Palatino Linotype" w:cs="Arial"/>
        </w:rPr>
      </w:pPr>
      <w:r w:rsidRPr="00E90B8C">
        <w:rPr>
          <w:rFonts w:ascii="Palatino Linotype" w:hAnsi="Palatino Linotype"/>
        </w:rPr>
        <w:t xml:space="preserve">Posteriormente por acuerdo del Pleno del Instituto, en la Vigésima </w:t>
      </w:r>
      <w:r w:rsidR="00654464">
        <w:rPr>
          <w:rFonts w:ascii="Palatino Linotype" w:hAnsi="Palatino Linotype"/>
        </w:rPr>
        <w:t>Tercera</w:t>
      </w:r>
      <w:r w:rsidRPr="00E90B8C">
        <w:rPr>
          <w:rFonts w:ascii="Palatino Linotype" w:hAnsi="Palatino Linotype"/>
        </w:rPr>
        <w:t xml:space="preserve"> Sesión Ordinaria</w:t>
      </w:r>
      <w:r>
        <w:rPr>
          <w:rFonts w:ascii="Palatino Linotype" w:hAnsi="Palatino Linotype"/>
        </w:rPr>
        <w:t>,</w:t>
      </w:r>
      <w:r w:rsidRPr="00E90B8C">
        <w:rPr>
          <w:rFonts w:ascii="Palatino Linotype" w:hAnsi="Palatino Linotype"/>
        </w:rPr>
        <w:t xml:space="preserve"> celebrada el </w:t>
      </w:r>
      <w:r w:rsidR="00654464">
        <w:rPr>
          <w:rFonts w:ascii="Palatino Linotype" w:hAnsi="Palatino Linotype"/>
        </w:rPr>
        <w:t xml:space="preserve">veintiuno </w:t>
      </w:r>
      <w:r w:rsidRPr="00E90B8C">
        <w:rPr>
          <w:rFonts w:ascii="Palatino Linotype" w:hAnsi="Palatino Linotype"/>
        </w:rPr>
        <w:t xml:space="preserve">de junio de dos mil veintidós, </w:t>
      </w:r>
      <w:r w:rsidRPr="00CB45F6">
        <w:rPr>
          <w:rFonts w:ascii="Palatino Linotype" w:hAnsi="Palatino Linotype" w:cs="Arial"/>
        </w:rPr>
        <w:t xml:space="preserve">aprobó la acumulación de los recursos a la Ponencia del Comisionado Presidente </w:t>
      </w:r>
      <w:r w:rsidRPr="00CB45F6">
        <w:rPr>
          <w:rFonts w:ascii="Palatino Linotype" w:hAnsi="Palatino Linotype" w:cs="Arial"/>
          <w:b/>
        </w:rPr>
        <w:t>JOSÉ MARTÍNEZ VILCHIS</w:t>
      </w:r>
      <w:r w:rsidRPr="00CB45F6">
        <w:rPr>
          <w:rFonts w:ascii="Palatino Linotype" w:hAnsi="Palatino Linotype" w:cs="Arial"/>
        </w:rPr>
        <w:t xml:space="preserve">, </w:t>
      </w:r>
      <w:r w:rsidRPr="00CB45F6">
        <w:rPr>
          <w:rFonts w:ascii="Palatino Linotype" w:eastAsia="MS Mincho" w:hAnsi="Palatino Linotype" w:cs="Arial"/>
        </w:rPr>
        <w:t xml:space="preserve">a efecto de que formulara y presentara el proyecto de resolución correspondiente y </w:t>
      </w:r>
      <w:r w:rsidRPr="00CB45F6">
        <w:rPr>
          <w:rFonts w:ascii="Palatino Linotype" w:hAnsi="Palatino Linotype" w:cs="Arial"/>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B140D6" w:rsidRPr="00CB45F6" w:rsidRDefault="00B140D6" w:rsidP="005330DC">
      <w:pPr>
        <w:spacing w:line="360" w:lineRule="auto"/>
        <w:jc w:val="both"/>
        <w:rPr>
          <w:rFonts w:ascii="Palatino Linotype" w:hAnsi="Palatino Linotype" w:cs="Arial"/>
        </w:rPr>
      </w:pPr>
    </w:p>
    <w:p w:rsidR="00B140D6" w:rsidRPr="005330DC" w:rsidRDefault="00B140D6" w:rsidP="005330DC">
      <w:pPr>
        <w:ind w:left="567" w:right="567"/>
        <w:jc w:val="both"/>
        <w:rPr>
          <w:rFonts w:ascii="Palatino Linotype" w:hAnsi="Palatino Linotype"/>
          <w:i/>
          <w:color w:val="000000"/>
          <w:sz w:val="22"/>
        </w:rPr>
      </w:pPr>
      <w:r w:rsidRPr="005330DC">
        <w:rPr>
          <w:rFonts w:ascii="Palatino Linotype" w:hAnsi="Palatino Linotype"/>
          <w:b/>
          <w:i/>
          <w:color w:val="000000"/>
          <w:sz w:val="22"/>
        </w:rPr>
        <w:t>“ONCE</w:t>
      </w:r>
      <w:r w:rsidRPr="005330DC">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B140D6" w:rsidRPr="005330DC" w:rsidRDefault="00B140D6" w:rsidP="005330DC">
      <w:pPr>
        <w:ind w:left="567" w:right="567"/>
        <w:jc w:val="both"/>
        <w:rPr>
          <w:rFonts w:ascii="Palatino Linotype" w:hAnsi="Palatino Linotype"/>
          <w:i/>
          <w:color w:val="000000"/>
          <w:sz w:val="22"/>
        </w:rPr>
      </w:pPr>
      <w:r w:rsidRPr="005330DC">
        <w:rPr>
          <w:rFonts w:ascii="Palatino Linotype" w:hAnsi="Palatino Linotype"/>
          <w:i/>
          <w:color w:val="000000"/>
          <w:sz w:val="22"/>
        </w:rPr>
        <w:t>a) El solicitante y la información referida sean las mismas;</w:t>
      </w:r>
    </w:p>
    <w:p w:rsidR="00B140D6" w:rsidRPr="005330DC" w:rsidRDefault="00B140D6" w:rsidP="005330DC">
      <w:pPr>
        <w:ind w:left="567" w:right="567"/>
        <w:jc w:val="both"/>
        <w:rPr>
          <w:rFonts w:ascii="Palatino Linotype" w:hAnsi="Palatino Linotype"/>
          <w:b/>
          <w:i/>
          <w:color w:val="000000"/>
          <w:sz w:val="22"/>
        </w:rPr>
      </w:pPr>
      <w:r w:rsidRPr="005330DC">
        <w:rPr>
          <w:rFonts w:ascii="Palatino Linotype" w:hAnsi="Palatino Linotype"/>
          <w:b/>
          <w:i/>
          <w:color w:val="000000"/>
          <w:sz w:val="22"/>
        </w:rPr>
        <w:lastRenderedPageBreak/>
        <w:t xml:space="preserve">b) Las partes o los actos impugnados sean iguales: </w:t>
      </w:r>
    </w:p>
    <w:p w:rsidR="00B140D6" w:rsidRPr="005330DC" w:rsidRDefault="00B140D6" w:rsidP="005330DC">
      <w:pPr>
        <w:ind w:left="567" w:right="567"/>
        <w:jc w:val="both"/>
        <w:rPr>
          <w:rFonts w:ascii="Palatino Linotype" w:hAnsi="Palatino Linotype"/>
          <w:i/>
          <w:color w:val="000000"/>
          <w:sz w:val="22"/>
        </w:rPr>
      </w:pPr>
      <w:r w:rsidRPr="005330DC">
        <w:rPr>
          <w:rFonts w:ascii="Palatino Linotype" w:hAnsi="Palatino Linotype"/>
          <w:i/>
          <w:color w:val="000000"/>
          <w:sz w:val="22"/>
        </w:rPr>
        <w:t>c) Cuando se trate del mismo solicitante, el mismo SUJETO OBLIGADO, aunque se trate de solicitudes diversas;</w:t>
      </w:r>
    </w:p>
    <w:p w:rsidR="00B140D6" w:rsidRPr="005330DC" w:rsidRDefault="00B140D6" w:rsidP="005330DC">
      <w:pPr>
        <w:ind w:left="567" w:right="567"/>
        <w:jc w:val="both"/>
        <w:rPr>
          <w:rFonts w:ascii="Palatino Linotype" w:hAnsi="Palatino Linotype"/>
          <w:b/>
          <w:i/>
          <w:color w:val="000000"/>
          <w:sz w:val="22"/>
        </w:rPr>
      </w:pPr>
      <w:r w:rsidRPr="005330DC">
        <w:rPr>
          <w:rFonts w:ascii="Palatino Linotype" w:hAnsi="Palatino Linotype"/>
          <w:b/>
          <w:i/>
          <w:color w:val="000000"/>
          <w:sz w:val="22"/>
        </w:rPr>
        <w:t>d) Resulte conveniente la resolución unificada de los asuntos; y</w:t>
      </w:r>
    </w:p>
    <w:p w:rsidR="00B140D6" w:rsidRPr="005330DC" w:rsidRDefault="00B140D6" w:rsidP="005330DC">
      <w:pPr>
        <w:ind w:left="567" w:right="567"/>
        <w:jc w:val="both"/>
        <w:rPr>
          <w:rFonts w:ascii="Palatino Linotype" w:hAnsi="Palatino Linotype"/>
          <w:i/>
          <w:color w:val="000000"/>
          <w:sz w:val="22"/>
        </w:rPr>
      </w:pPr>
      <w:r w:rsidRPr="005330DC">
        <w:rPr>
          <w:rFonts w:ascii="Palatino Linotype" w:hAnsi="Palatino Linotype"/>
          <w:i/>
          <w:color w:val="000000"/>
          <w:sz w:val="22"/>
        </w:rPr>
        <w:t>e) En cualquier otro caso que determine el Pleno.</w:t>
      </w:r>
    </w:p>
    <w:p w:rsidR="00B140D6" w:rsidRPr="005330DC" w:rsidRDefault="00B140D6" w:rsidP="005330DC">
      <w:pPr>
        <w:ind w:left="567" w:right="567"/>
        <w:jc w:val="both"/>
        <w:rPr>
          <w:rFonts w:ascii="Palatino Linotype" w:hAnsi="Palatino Linotype"/>
          <w:i/>
          <w:color w:val="000000"/>
          <w:sz w:val="22"/>
        </w:rPr>
      </w:pPr>
      <w:r w:rsidRPr="005330DC">
        <w:rPr>
          <w:rFonts w:ascii="Palatino Linotype" w:hAnsi="Palatino Linotype"/>
          <w:i/>
          <w:color w:val="000000"/>
          <w:sz w:val="22"/>
        </w:rPr>
        <w:t>La misma regla se aplicará, en lo conducente, para la separación de los expedientes.”</w:t>
      </w:r>
    </w:p>
    <w:p w:rsidR="00B140D6" w:rsidRPr="00CB45F6" w:rsidRDefault="00B140D6" w:rsidP="005330DC">
      <w:pPr>
        <w:spacing w:line="360" w:lineRule="auto"/>
        <w:jc w:val="both"/>
        <w:rPr>
          <w:rFonts w:ascii="Palatino Linotype" w:eastAsia="MS Mincho" w:hAnsi="Palatino Linotype"/>
        </w:rPr>
      </w:pPr>
    </w:p>
    <w:p w:rsidR="00B140D6" w:rsidRPr="00CB45F6" w:rsidRDefault="00B140D6" w:rsidP="005330DC">
      <w:pPr>
        <w:spacing w:line="360" w:lineRule="auto"/>
        <w:jc w:val="both"/>
        <w:rPr>
          <w:rFonts w:ascii="Palatino Linotype" w:eastAsia="MS Mincho" w:hAnsi="Palatino Linotype"/>
        </w:rPr>
      </w:pPr>
      <w:r w:rsidRPr="00CB45F6">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B140D6" w:rsidRPr="00CB45F6" w:rsidRDefault="00B140D6" w:rsidP="005330DC">
      <w:pPr>
        <w:spacing w:line="360" w:lineRule="auto"/>
        <w:jc w:val="both"/>
        <w:rPr>
          <w:rFonts w:ascii="Palatino Linotype" w:eastAsia="MS Mincho" w:hAnsi="Palatino Linotype"/>
        </w:rPr>
      </w:pPr>
    </w:p>
    <w:p w:rsidR="00B140D6" w:rsidRPr="00622380" w:rsidRDefault="00B140D6" w:rsidP="005330DC">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Código de Procedimientos Administrativos del Estado de México</w:t>
      </w:r>
    </w:p>
    <w:p w:rsidR="00B140D6" w:rsidRPr="00622380" w:rsidRDefault="00B140D6" w:rsidP="005330DC">
      <w:pPr>
        <w:ind w:left="567" w:right="567"/>
        <w:contextualSpacing/>
        <w:jc w:val="center"/>
        <w:rPr>
          <w:rFonts w:ascii="Palatino Linotype" w:eastAsia="MS Mincho" w:hAnsi="Palatino Linotype"/>
          <w:b/>
          <w:i/>
          <w:sz w:val="22"/>
        </w:rPr>
      </w:pPr>
    </w:p>
    <w:p w:rsidR="00B140D6" w:rsidRPr="00622380" w:rsidRDefault="00B140D6" w:rsidP="005330DC">
      <w:pPr>
        <w:ind w:left="567" w:right="567"/>
        <w:contextualSpacing/>
        <w:jc w:val="both"/>
        <w:rPr>
          <w:rFonts w:ascii="Palatino Linotype" w:eastAsia="MS Mincho" w:hAnsi="Palatino Linotype"/>
          <w:i/>
          <w:sz w:val="22"/>
        </w:rPr>
      </w:pPr>
      <w:r w:rsidRPr="00622380">
        <w:rPr>
          <w:rFonts w:ascii="Palatino Linotype" w:eastAsia="MS Mincho" w:hAnsi="Palatino Linotype"/>
          <w:i/>
          <w:sz w:val="22"/>
        </w:rPr>
        <w:t>“</w:t>
      </w:r>
      <w:r w:rsidRPr="00622380">
        <w:rPr>
          <w:rFonts w:ascii="Palatino Linotype" w:eastAsia="MS Mincho" w:hAnsi="Palatino Linotype"/>
          <w:b/>
          <w:i/>
          <w:sz w:val="22"/>
        </w:rPr>
        <w:t xml:space="preserve">Artículo 18.- </w:t>
      </w:r>
      <w:r w:rsidRPr="00622380">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B140D6" w:rsidRPr="00622380" w:rsidRDefault="00B140D6" w:rsidP="005330DC">
      <w:pPr>
        <w:ind w:left="567" w:right="567"/>
        <w:contextualSpacing/>
        <w:jc w:val="center"/>
        <w:rPr>
          <w:rFonts w:ascii="Palatino Linotype" w:eastAsia="MS Mincho" w:hAnsi="Palatino Linotype"/>
          <w:b/>
          <w:i/>
          <w:sz w:val="22"/>
        </w:rPr>
      </w:pPr>
    </w:p>
    <w:p w:rsidR="00B140D6" w:rsidRPr="00622380" w:rsidRDefault="00B140D6" w:rsidP="005330DC">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 xml:space="preserve">Ley de Transparencia y Acceso a la Información Pública </w:t>
      </w:r>
    </w:p>
    <w:p w:rsidR="00B140D6" w:rsidRPr="00622380" w:rsidRDefault="00B140D6" w:rsidP="005330DC">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del Estado de México y Municipios</w:t>
      </w:r>
    </w:p>
    <w:p w:rsidR="00B140D6" w:rsidRPr="00622380" w:rsidRDefault="00B140D6" w:rsidP="005330DC">
      <w:pPr>
        <w:ind w:left="567" w:right="567"/>
        <w:contextualSpacing/>
        <w:jc w:val="center"/>
        <w:rPr>
          <w:rFonts w:ascii="Palatino Linotype" w:eastAsia="MS Mincho" w:hAnsi="Palatino Linotype"/>
          <w:b/>
          <w:i/>
          <w:sz w:val="22"/>
        </w:rPr>
      </w:pPr>
    </w:p>
    <w:p w:rsidR="00B140D6" w:rsidRPr="00622380" w:rsidRDefault="00B140D6" w:rsidP="005330DC">
      <w:pPr>
        <w:ind w:left="567" w:right="567"/>
        <w:contextualSpacing/>
        <w:jc w:val="both"/>
        <w:rPr>
          <w:rFonts w:ascii="Palatino Linotype" w:eastAsia="MS Mincho" w:hAnsi="Palatino Linotype"/>
          <w:i/>
          <w:sz w:val="22"/>
        </w:rPr>
      </w:pPr>
      <w:r w:rsidRPr="00622380">
        <w:rPr>
          <w:rFonts w:ascii="Palatino Linotype" w:eastAsia="MS Mincho" w:hAnsi="Palatino Linotype"/>
          <w:i/>
          <w:sz w:val="22"/>
        </w:rPr>
        <w:t>“</w:t>
      </w:r>
      <w:r w:rsidRPr="00622380">
        <w:rPr>
          <w:rFonts w:ascii="Palatino Linotype" w:eastAsia="MS Mincho" w:hAnsi="Palatino Linotype"/>
          <w:b/>
          <w:i/>
          <w:sz w:val="22"/>
        </w:rPr>
        <w:t>Artículo 195.</w:t>
      </w:r>
      <w:r w:rsidRPr="00622380">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B140D6" w:rsidRPr="00622380" w:rsidRDefault="00B140D6" w:rsidP="005330DC">
      <w:pPr>
        <w:ind w:left="567" w:right="567"/>
        <w:contextualSpacing/>
        <w:jc w:val="right"/>
        <w:rPr>
          <w:rFonts w:ascii="Palatino Linotype" w:hAnsi="Palatino Linotype" w:cs="Arial"/>
          <w:sz w:val="22"/>
        </w:rPr>
      </w:pPr>
      <w:r w:rsidRPr="00622380">
        <w:rPr>
          <w:rFonts w:ascii="Palatino Linotype" w:eastAsia="MS Mincho" w:hAnsi="Palatino Linotype"/>
          <w:sz w:val="22"/>
        </w:rPr>
        <w:t>(Énfasis añadido)</w:t>
      </w:r>
    </w:p>
    <w:p w:rsidR="00B140D6" w:rsidRDefault="00B140D6" w:rsidP="005330DC">
      <w:pPr>
        <w:spacing w:line="360" w:lineRule="auto"/>
        <w:jc w:val="both"/>
        <w:rPr>
          <w:rFonts w:ascii="Palatino Linotype" w:hAnsi="Palatino Linotype" w:cs="Arial"/>
          <w:szCs w:val="28"/>
        </w:rPr>
      </w:pPr>
    </w:p>
    <w:p w:rsidR="00B140D6" w:rsidRPr="002C3EC8" w:rsidRDefault="00B140D6" w:rsidP="005330DC">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 xml:space="preserve">NOVENO. </w:t>
      </w:r>
      <w:r w:rsidRPr="002C3EC8">
        <w:rPr>
          <w:rFonts w:ascii="Palatino Linotype" w:hAnsi="Palatino Linotype" w:cs="Arial"/>
          <w:b/>
          <w:sz w:val="28"/>
          <w:szCs w:val="28"/>
        </w:rPr>
        <w:t>Del Cierre de Instrucción.</w:t>
      </w:r>
    </w:p>
    <w:p w:rsidR="00B140D6" w:rsidRDefault="00B140D6" w:rsidP="005330DC">
      <w:pPr>
        <w:spacing w:line="360" w:lineRule="auto"/>
        <w:jc w:val="both"/>
        <w:rPr>
          <w:rFonts w:ascii="Palatino Linotype" w:hAnsi="Palatino Linotype" w:cs="Arial"/>
        </w:rPr>
      </w:pPr>
      <w:r w:rsidRPr="002C3EC8">
        <w:rPr>
          <w:rFonts w:ascii="Palatino Linotype" w:hAnsi="Palatino Linotype" w:cs="Arial"/>
        </w:rPr>
        <w:t>Por lo que una vez transcurrido</w:t>
      </w:r>
      <w:r>
        <w:rPr>
          <w:rFonts w:ascii="Palatino Linotype" w:hAnsi="Palatino Linotype" w:cs="Arial"/>
        </w:rPr>
        <w:t>s</w:t>
      </w:r>
      <w:r w:rsidRPr="002C3EC8">
        <w:rPr>
          <w:rFonts w:ascii="Palatino Linotype" w:hAnsi="Palatino Linotype" w:cs="Arial"/>
        </w:rPr>
        <w:t xml:space="preserve"> </w:t>
      </w:r>
      <w:r>
        <w:rPr>
          <w:rFonts w:ascii="Palatino Linotype" w:hAnsi="Palatino Linotype" w:cs="Arial"/>
        </w:rPr>
        <w:t>los</w:t>
      </w:r>
      <w:r w:rsidRPr="002C3EC8">
        <w:rPr>
          <w:rFonts w:ascii="Palatino Linotype" w:hAnsi="Palatino Linotype" w:cs="Arial"/>
        </w:rPr>
        <w:t xml:space="preserve"> periodo</w:t>
      </w:r>
      <w:r>
        <w:rPr>
          <w:rFonts w:ascii="Palatino Linotype" w:hAnsi="Palatino Linotype" w:cs="Arial"/>
        </w:rPr>
        <w:t>s</w:t>
      </w:r>
      <w:r w:rsidRPr="002C3EC8">
        <w:rPr>
          <w:rFonts w:ascii="Palatino Linotype" w:hAnsi="Palatino Linotype" w:cs="Arial"/>
        </w:rPr>
        <w:t xml:space="preserve"> otorgado</w:t>
      </w:r>
      <w:r>
        <w:rPr>
          <w:rFonts w:ascii="Palatino Linotype" w:hAnsi="Palatino Linotype" w:cs="Arial"/>
        </w:rPr>
        <w:t>s</w:t>
      </w:r>
      <w:r w:rsidRPr="002C3EC8">
        <w:rPr>
          <w:rFonts w:ascii="Palatino Linotype" w:hAnsi="Palatino Linotype" w:cs="Arial"/>
        </w:rPr>
        <w:t xml:space="preserve">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rPr>
        <w:t>veintitrés de jun</w:t>
      </w:r>
      <w:r w:rsidRPr="0031786E">
        <w:rPr>
          <w:rFonts w:ascii="Palatino Linotype" w:hAnsi="Palatino Linotype" w:cs="Arial"/>
          <w:b/>
        </w:rPr>
        <w:t>io de dos mil veintidós</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B140D6" w:rsidRDefault="00B140D6" w:rsidP="005330DC">
      <w:pPr>
        <w:spacing w:line="360" w:lineRule="auto"/>
        <w:jc w:val="both"/>
        <w:rPr>
          <w:rFonts w:ascii="Palatino Linotype" w:hAnsi="Palatino Linotype" w:cs="Arial"/>
        </w:rPr>
      </w:pPr>
    </w:p>
    <w:p w:rsidR="005330DC" w:rsidRDefault="005330DC" w:rsidP="005330DC">
      <w:pPr>
        <w:spacing w:line="360" w:lineRule="auto"/>
        <w:jc w:val="both"/>
        <w:rPr>
          <w:rFonts w:ascii="Palatino Linotype" w:hAnsi="Palatino Linotype" w:cs="Arial"/>
        </w:rPr>
      </w:pPr>
    </w:p>
    <w:p w:rsidR="00B140D6" w:rsidRPr="009E5E8F" w:rsidRDefault="00B140D6" w:rsidP="005330DC">
      <w:pPr>
        <w:spacing w:line="360" w:lineRule="auto"/>
        <w:jc w:val="both"/>
        <w:rPr>
          <w:rFonts w:ascii="Palatino Linotype" w:hAnsi="Palatino Linotype" w:cs="Arial"/>
          <w:b/>
          <w:sz w:val="28"/>
        </w:rPr>
      </w:pPr>
      <w:r>
        <w:rPr>
          <w:rFonts w:ascii="Palatino Linotype" w:hAnsi="Palatino Linotype" w:cs="Arial"/>
          <w:b/>
          <w:sz w:val="28"/>
          <w:szCs w:val="28"/>
        </w:rPr>
        <w:t>DECIMO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B140D6" w:rsidRPr="00FA29BE" w:rsidRDefault="00B140D6" w:rsidP="005330DC">
      <w:pPr>
        <w:spacing w:line="360" w:lineRule="auto"/>
        <w:jc w:val="both"/>
        <w:rPr>
          <w:rFonts w:ascii="Palatino Linotype" w:hAnsi="Palatino Linotype" w:cs="Arial"/>
        </w:rPr>
      </w:pPr>
      <w:r w:rsidRPr="00FA29BE">
        <w:rPr>
          <w:rFonts w:ascii="Palatino Linotype" w:hAnsi="Palatino Linotype" w:cs="Arial"/>
        </w:rPr>
        <w:t xml:space="preserve">Posteriormente, en fecha </w:t>
      </w:r>
      <w:r w:rsidR="00654464">
        <w:rPr>
          <w:rFonts w:ascii="Palatino Linotype" w:hAnsi="Palatino Linotype" w:cs="Arial"/>
          <w:b/>
        </w:rPr>
        <w:t xml:space="preserve">cuatro de agosto </w:t>
      </w:r>
      <w:r w:rsidRPr="00FA29BE">
        <w:rPr>
          <w:rFonts w:ascii="Palatino Linotype" w:hAnsi="Palatino Linotype" w:cs="Arial"/>
          <w:b/>
        </w:rPr>
        <w:t>de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rsidR="00B140D6" w:rsidRDefault="00B140D6" w:rsidP="005330DC">
      <w:pPr>
        <w:spacing w:line="360" w:lineRule="auto"/>
        <w:jc w:val="both"/>
        <w:rPr>
          <w:rFonts w:ascii="Palatino Linotype" w:hAnsi="Palatino Linotype"/>
        </w:rPr>
      </w:pPr>
    </w:p>
    <w:p w:rsidR="00B140D6" w:rsidRDefault="00B140D6" w:rsidP="005330DC">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rPr>
        <w:t>a dichos medios de impugnación.</w:t>
      </w:r>
    </w:p>
    <w:p w:rsidR="00B140D6" w:rsidRPr="00F40D61" w:rsidRDefault="00B140D6" w:rsidP="005330DC">
      <w:pPr>
        <w:spacing w:line="360" w:lineRule="auto"/>
        <w:jc w:val="both"/>
        <w:rPr>
          <w:rFonts w:ascii="Palatino Linotype" w:hAnsi="Palatino Linotype"/>
        </w:rPr>
      </w:pPr>
      <w:r w:rsidRPr="00F40D61">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140D6" w:rsidRDefault="00B140D6" w:rsidP="005330DC">
      <w:pPr>
        <w:spacing w:line="360" w:lineRule="auto"/>
        <w:jc w:val="both"/>
        <w:rPr>
          <w:rFonts w:ascii="Palatino Linotype" w:hAnsi="Palatino Linotype"/>
        </w:rPr>
      </w:pPr>
    </w:p>
    <w:p w:rsidR="00B140D6" w:rsidRPr="00F40D61" w:rsidRDefault="00B140D6" w:rsidP="005330DC">
      <w:pPr>
        <w:spacing w:line="360" w:lineRule="auto"/>
        <w:jc w:val="both"/>
        <w:rPr>
          <w:rFonts w:ascii="Palatino Linotype" w:hAnsi="Palatino Linotype"/>
        </w:rPr>
      </w:pPr>
      <w:r w:rsidRPr="00F40D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140D6" w:rsidRDefault="00B140D6" w:rsidP="005330DC">
      <w:pPr>
        <w:spacing w:line="360" w:lineRule="auto"/>
        <w:jc w:val="both"/>
        <w:rPr>
          <w:rFonts w:ascii="Palatino Linotype" w:hAnsi="Palatino Linotype"/>
        </w:rPr>
      </w:pPr>
    </w:p>
    <w:p w:rsidR="00B140D6" w:rsidRPr="00F40D61" w:rsidRDefault="00B140D6" w:rsidP="005330DC">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140D6" w:rsidRDefault="00B140D6" w:rsidP="005330DC">
      <w:pPr>
        <w:spacing w:line="360" w:lineRule="auto"/>
        <w:jc w:val="both"/>
        <w:rPr>
          <w:rFonts w:ascii="Palatino Linotype" w:hAnsi="Palatino Linotype"/>
        </w:rPr>
      </w:pPr>
    </w:p>
    <w:p w:rsidR="00B140D6" w:rsidRPr="00F40D61" w:rsidRDefault="00B140D6" w:rsidP="005330DC">
      <w:pPr>
        <w:spacing w:line="360" w:lineRule="auto"/>
        <w:jc w:val="both"/>
        <w:rPr>
          <w:rFonts w:ascii="Palatino Linotype" w:hAnsi="Palatino Linotype"/>
        </w:rPr>
      </w:pPr>
      <w:r w:rsidRPr="00F40D61">
        <w:rPr>
          <w:rFonts w:ascii="Palatino Linotype" w:hAnsi="Palatino Linotype"/>
        </w:rPr>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rsidR="00B140D6" w:rsidRPr="00F40D61" w:rsidRDefault="00B140D6" w:rsidP="005330DC">
      <w:pPr>
        <w:spacing w:line="360" w:lineRule="auto"/>
        <w:jc w:val="both"/>
        <w:rPr>
          <w:rFonts w:ascii="Palatino Linotype" w:hAnsi="Palatino Linotype"/>
        </w:rPr>
      </w:pPr>
      <w:r w:rsidRPr="00F40D61">
        <w:rPr>
          <w:rFonts w:ascii="Palatino Linotype" w:hAnsi="Palatino Linotype"/>
        </w:rPr>
        <w:t xml:space="preserve"> </w:t>
      </w:r>
    </w:p>
    <w:p w:rsidR="00B140D6" w:rsidRPr="0031786E" w:rsidRDefault="00B140D6" w:rsidP="005330DC">
      <w:pPr>
        <w:pStyle w:val="Prrafodelista"/>
        <w:numPr>
          <w:ilvl w:val="0"/>
          <w:numId w:val="3"/>
        </w:numPr>
        <w:spacing w:line="360" w:lineRule="auto"/>
        <w:jc w:val="both"/>
        <w:rPr>
          <w:rFonts w:ascii="Palatino Linotype" w:hAnsi="Palatino Linotype"/>
        </w:rPr>
      </w:pPr>
      <w:r w:rsidRPr="0031786E">
        <w:rPr>
          <w:rFonts w:ascii="Palatino Linotype" w:hAnsi="Palatino Linotype"/>
        </w:rPr>
        <w:t>Complejidad del asunto: La complejidad de la prueba, la pluralidad de sujetos procesales, el tiempo transcurrido, las características y contexto del recurso.</w:t>
      </w:r>
    </w:p>
    <w:p w:rsidR="00B140D6" w:rsidRPr="0031786E" w:rsidRDefault="00B140D6" w:rsidP="005330DC">
      <w:pPr>
        <w:pStyle w:val="Prrafodelista"/>
        <w:numPr>
          <w:ilvl w:val="0"/>
          <w:numId w:val="3"/>
        </w:numPr>
        <w:spacing w:line="360" w:lineRule="auto"/>
        <w:jc w:val="both"/>
        <w:rPr>
          <w:rFonts w:ascii="Palatino Linotype" w:hAnsi="Palatino Linotype"/>
        </w:rPr>
      </w:pPr>
      <w:r w:rsidRPr="0031786E">
        <w:rPr>
          <w:rFonts w:ascii="Palatino Linotype" w:hAnsi="Palatino Linotype"/>
        </w:rPr>
        <w:t>Actividad Procesal del interesado: Acciones u omisiones del interesado.</w:t>
      </w:r>
    </w:p>
    <w:p w:rsidR="00B140D6" w:rsidRPr="0031786E" w:rsidRDefault="00B140D6" w:rsidP="005330DC">
      <w:pPr>
        <w:pStyle w:val="Prrafodelista"/>
        <w:numPr>
          <w:ilvl w:val="0"/>
          <w:numId w:val="3"/>
        </w:numPr>
        <w:spacing w:line="360" w:lineRule="auto"/>
        <w:jc w:val="both"/>
        <w:rPr>
          <w:rFonts w:ascii="Palatino Linotype" w:hAnsi="Palatino Linotype"/>
        </w:rPr>
      </w:pPr>
      <w:r w:rsidRPr="0031786E">
        <w:rPr>
          <w:rFonts w:ascii="Palatino Linotype" w:hAnsi="Palatino Linotype"/>
        </w:rPr>
        <w:lastRenderedPageBreak/>
        <w:t>Conducta de la Autoridad: Las Acciones u omisiones realizadas en el procedimiento. Así como si la autoridad actuó con la debida diligencia.</w:t>
      </w:r>
    </w:p>
    <w:p w:rsidR="00B140D6" w:rsidRPr="0031786E" w:rsidRDefault="00B140D6" w:rsidP="005330DC">
      <w:pPr>
        <w:pStyle w:val="Prrafodelista"/>
        <w:numPr>
          <w:ilvl w:val="0"/>
          <w:numId w:val="3"/>
        </w:numPr>
        <w:spacing w:line="360" w:lineRule="auto"/>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rsidR="00B140D6" w:rsidRDefault="00B140D6" w:rsidP="005330DC">
      <w:pPr>
        <w:spacing w:line="360" w:lineRule="auto"/>
        <w:jc w:val="both"/>
        <w:rPr>
          <w:rFonts w:ascii="Palatino Linotype" w:hAnsi="Palatino Linotype"/>
        </w:rPr>
      </w:pPr>
    </w:p>
    <w:p w:rsidR="00B140D6" w:rsidRDefault="00B140D6" w:rsidP="005330DC">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140D6" w:rsidRPr="00F40D61" w:rsidRDefault="00B140D6" w:rsidP="005330DC">
      <w:pPr>
        <w:spacing w:line="360" w:lineRule="auto"/>
        <w:jc w:val="both"/>
        <w:rPr>
          <w:rFonts w:ascii="Palatino Linotype" w:hAnsi="Palatino Linotype"/>
        </w:rPr>
      </w:pPr>
    </w:p>
    <w:p w:rsidR="00B140D6" w:rsidRPr="00F40D61" w:rsidRDefault="00B140D6" w:rsidP="005330DC">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140D6" w:rsidRPr="00F40D61" w:rsidRDefault="00B140D6" w:rsidP="005330DC">
      <w:pPr>
        <w:spacing w:line="360" w:lineRule="auto"/>
        <w:jc w:val="both"/>
        <w:rPr>
          <w:rFonts w:ascii="Palatino Linotype" w:hAnsi="Palatino Linotype"/>
        </w:rPr>
      </w:pPr>
    </w:p>
    <w:p w:rsidR="00B140D6" w:rsidRPr="00F40D61" w:rsidRDefault="00B140D6" w:rsidP="005330DC">
      <w:pPr>
        <w:spacing w:line="360" w:lineRule="auto"/>
        <w:jc w:val="both"/>
        <w:rPr>
          <w:rFonts w:ascii="Palatino Linotype" w:hAnsi="Palatino Linotype"/>
        </w:rPr>
      </w:pPr>
      <w:r w:rsidRPr="00F40D6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40D61">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140D6" w:rsidRDefault="00B140D6" w:rsidP="005330DC">
      <w:pPr>
        <w:spacing w:line="360" w:lineRule="auto"/>
        <w:jc w:val="both"/>
        <w:rPr>
          <w:rFonts w:ascii="Palatino Linotype" w:hAnsi="Palatino Linotype"/>
        </w:rPr>
      </w:pPr>
    </w:p>
    <w:p w:rsidR="00B140D6" w:rsidRDefault="00B140D6" w:rsidP="005330DC">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B140D6" w:rsidRPr="00F40D61" w:rsidRDefault="00B140D6" w:rsidP="005330DC">
      <w:pPr>
        <w:spacing w:line="360" w:lineRule="auto"/>
        <w:jc w:val="both"/>
        <w:rPr>
          <w:rFonts w:ascii="Palatino Linotype" w:hAnsi="Palatino Linotype"/>
        </w:rPr>
      </w:pPr>
    </w:p>
    <w:p w:rsidR="00B140D6" w:rsidRPr="00F40D61" w:rsidRDefault="00B140D6" w:rsidP="005330DC">
      <w:pPr>
        <w:spacing w:line="360" w:lineRule="auto"/>
        <w:jc w:val="both"/>
        <w:rPr>
          <w:rFonts w:ascii="Palatino Linotype" w:hAnsi="Palatino Linotype"/>
        </w:rPr>
      </w:pPr>
      <w:r w:rsidRPr="00F40D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rsidR="00B140D6" w:rsidRDefault="00B140D6" w:rsidP="005330DC">
      <w:pPr>
        <w:spacing w:line="360" w:lineRule="auto"/>
        <w:jc w:val="both"/>
        <w:rPr>
          <w:rFonts w:ascii="Palatino Linotype" w:hAnsi="Palatino Linotype"/>
        </w:rPr>
      </w:pPr>
      <w:r w:rsidRPr="00F40D6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B140D6" w:rsidRPr="00F40D61" w:rsidRDefault="00B140D6" w:rsidP="005330DC">
      <w:pPr>
        <w:spacing w:line="360" w:lineRule="auto"/>
        <w:jc w:val="both"/>
        <w:rPr>
          <w:rFonts w:ascii="Palatino Linotype" w:hAnsi="Palatino Linotype"/>
        </w:rPr>
      </w:pPr>
    </w:p>
    <w:p w:rsidR="00B140D6" w:rsidRDefault="00B140D6" w:rsidP="005330DC">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B140D6" w:rsidRDefault="00B140D6" w:rsidP="005330DC">
      <w:pPr>
        <w:spacing w:line="360" w:lineRule="auto"/>
        <w:jc w:val="both"/>
        <w:rPr>
          <w:rFonts w:ascii="Palatino Linotype" w:hAnsi="Palatino Linotype"/>
        </w:rPr>
      </w:pPr>
    </w:p>
    <w:p w:rsidR="005330DC" w:rsidRDefault="005330DC" w:rsidP="005330DC">
      <w:pPr>
        <w:spacing w:line="360" w:lineRule="auto"/>
        <w:jc w:val="both"/>
        <w:rPr>
          <w:rFonts w:ascii="Palatino Linotype" w:hAnsi="Palatino Linotype"/>
        </w:rPr>
      </w:pPr>
    </w:p>
    <w:p w:rsidR="005330DC" w:rsidRDefault="005330DC" w:rsidP="005330DC">
      <w:pPr>
        <w:spacing w:line="360" w:lineRule="auto"/>
        <w:jc w:val="both"/>
        <w:rPr>
          <w:rFonts w:ascii="Palatino Linotype" w:hAnsi="Palatino Linotype"/>
        </w:rPr>
      </w:pPr>
    </w:p>
    <w:p w:rsidR="00B140D6" w:rsidRPr="00CB45F6" w:rsidRDefault="00B140D6" w:rsidP="005330DC">
      <w:pPr>
        <w:spacing w:line="360" w:lineRule="auto"/>
        <w:jc w:val="center"/>
        <w:rPr>
          <w:rFonts w:ascii="Palatino Linotype" w:hAnsi="Palatino Linotype" w:cs="Arial"/>
        </w:rPr>
      </w:pPr>
      <w:r w:rsidRPr="00CB45F6">
        <w:rPr>
          <w:rFonts w:ascii="Palatino Linotype" w:hAnsi="Palatino Linotype" w:cs="Arial"/>
          <w:b/>
          <w:sz w:val="28"/>
        </w:rPr>
        <w:lastRenderedPageBreak/>
        <w:t xml:space="preserve">C O N S I D E R A N D O </w:t>
      </w:r>
    </w:p>
    <w:p w:rsidR="00B140D6" w:rsidRPr="00CB45F6" w:rsidRDefault="00B140D6" w:rsidP="005330DC">
      <w:pPr>
        <w:spacing w:line="360" w:lineRule="auto"/>
        <w:jc w:val="center"/>
        <w:rPr>
          <w:rFonts w:ascii="Palatino Linotype" w:hAnsi="Palatino Linotype" w:cs="Arial"/>
        </w:rPr>
      </w:pPr>
    </w:p>
    <w:p w:rsidR="00B140D6" w:rsidRPr="00CB45F6" w:rsidRDefault="00B140D6" w:rsidP="005330DC">
      <w:pPr>
        <w:spacing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B140D6" w:rsidRPr="00CB45F6" w:rsidRDefault="00B140D6" w:rsidP="005330DC">
      <w:pPr>
        <w:spacing w:line="360" w:lineRule="auto"/>
        <w:jc w:val="both"/>
        <w:rPr>
          <w:rFonts w:ascii="Palatino Linotype" w:hAnsi="Palatino Linotype" w:cs="Arial"/>
        </w:rPr>
      </w:pPr>
      <w:r w:rsidRPr="00CB45F6">
        <w:rPr>
          <w:rFonts w:ascii="Palatino Linotype" w:hAnsi="Palatino Linotype" w:cs="Arial"/>
        </w:rPr>
        <w:t xml:space="preserve">Este Instituto de Transparencia, Acceso a la Información Pública y Protección de Datos Personales del Estado de México y Municipios, es competente para conocer y resolver </w:t>
      </w:r>
      <w:r>
        <w:rPr>
          <w:rFonts w:ascii="Palatino Linotype" w:hAnsi="Palatino Linotype" w:cs="Arial"/>
        </w:rPr>
        <w:t>los</w:t>
      </w:r>
      <w:r w:rsidRPr="00CB45F6">
        <w:rPr>
          <w:rFonts w:ascii="Palatino Linotype" w:hAnsi="Palatino Linotype" w:cs="Arial"/>
        </w:rPr>
        <w:t xml:space="preserve"> presente</w:t>
      </w:r>
      <w:r>
        <w:rPr>
          <w:rFonts w:ascii="Palatino Linotype" w:hAnsi="Palatino Linotype" w:cs="Arial"/>
        </w:rPr>
        <w:t>s</w:t>
      </w:r>
      <w:r w:rsidRPr="00CB45F6">
        <w:rPr>
          <w:rFonts w:ascii="Palatino Linotype" w:hAnsi="Palatino Linotype" w:cs="Arial"/>
        </w:rPr>
        <w:t xml:space="preserve"> recurso</w:t>
      </w:r>
      <w:r>
        <w:rPr>
          <w:rFonts w:ascii="Palatino Linotype" w:hAnsi="Palatino Linotype" w:cs="Arial"/>
        </w:rPr>
        <w:t>s</w:t>
      </w:r>
      <w:r w:rsidRPr="00CB45F6">
        <w:rPr>
          <w:rFonts w:ascii="Palatino Linotype" w:hAnsi="Palatino Linotype" w:cs="Arial"/>
        </w:rPr>
        <w:t xml:space="preserve"> de revisión interpuesto</w:t>
      </w:r>
      <w:r>
        <w:rPr>
          <w:rFonts w:ascii="Palatino Linotype" w:hAnsi="Palatino Linotype" w:cs="Arial"/>
        </w:rPr>
        <w:t>s</w:t>
      </w:r>
      <w:r w:rsidRPr="00CB45F6">
        <w:rPr>
          <w:rFonts w:ascii="Palatino Linotype" w:hAnsi="Palatino Linotype" w:cs="Arial"/>
        </w:rPr>
        <w:t xml:space="preserve"> por el ahora </w:t>
      </w:r>
      <w:r w:rsidRPr="00CB45F6">
        <w:rPr>
          <w:rFonts w:ascii="Palatino Linotype" w:hAnsi="Palatino Linotype" w:cs="Arial"/>
          <w:b/>
        </w:rPr>
        <w:t>Recurrente</w:t>
      </w:r>
      <w:r w:rsidRPr="00CB45F6">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140D6" w:rsidRDefault="00B140D6" w:rsidP="005330DC">
      <w:pPr>
        <w:spacing w:line="360" w:lineRule="auto"/>
        <w:jc w:val="both"/>
        <w:rPr>
          <w:rFonts w:ascii="Palatino Linotype" w:hAnsi="Palatino Linotype" w:cs="Arial"/>
        </w:rPr>
      </w:pPr>
    </w:p>
    <w:p w:rsidR="00B140D6" w:rsidRPr="00CB45F6" w:rsidRDefault="00B140D6" w:rsidP="005330DC">
      <w:pPr>
        <w:spacing w:line="360" w:lineRule="auto"/>
        <w:jc w:val="both"/>
        <w:rPr>
          <w:rFonts w:ascii="Palatino Linotype" w:hAnsi="Palatino Linotype" w:cs="Arial"/>
        </w:rPr>
      </w:pPr>
    </w:p>
    <w:p w:rsidR="00B140D6" w:rsidRPr="00FF0E01" w:rsidRDefault="00B140D6" w:rsidP="005330DC">
      <w:pPr>
        <w:autoSpaceDE w:val="0"/>
        <w:autoSpaceDN w:val="0"/>
        <w:adjustRightInd w:val="0"/>
        <w:spacing w:line="360" w:lineRule="auto"/>
        <w:jc w:val="both"/>
        <w:rPr>
          <w:rFonts w:ascii="Palatino Linotype" w:hAnsi="Palatino Linotype" w:cs="Arial"/>
          <w:bCs/>
        </w:rPr>
      </w:pPr>
      <w:r w:rsidRPr="00FF0E01">
        <w:rPr>
          <w:rFonts w:ascii="Palatino Linotype" w:hAnsi="Palatino Linotype" w:cs="Arial"/>
          <w:b/>
          <w:sz w:val="28"/>
          <w:szCs w:val="28"/>
        </w:rPr>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bCs/>
          <w:lang w:val="es-MX" w:eastAsia="en-US"/>
        </w:rPr>
      </w:pPr>
      <w:r w:rsidRPr="005664AC">
        <w:rPr>
          <w:rFonts w:ascii="Palatino Linotype" w:eastAsiaTheme="minorHAnsi" w:hAnsi="Palatino Linotype" w:cs="Arial"/>
          <w:bCs/>
          <w:lang w:val="es-MX" w:eastAsia="en-US"/>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w:t>
      </w:r>
      <w:r w:rsidRPr="005664AC">
        <w:rPr>
          <w:rFonts w:ascii="Palatino Linotype" w:eastAsiaTheme="minorHAnsi" w:hAnsi="Palatino Linotype" w:cs="Arial"/>
          <w:bCs/>
          <w:lang w:val="es-MX" w:eastAsia="en-US"/>
        </w:rPr>
        <w:lastRenderedPageBreak/>
        <w:t>poner en riesgo el diverso derecho de la salud de todos los partícipes en los procesos que conllevan.</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bCs/>
          <w:lang w:val="es-MX" w:eastAsia="en-US"/>
        </w:rPr>
      </w:pPr>
    </w:p>
    <w:p w:rsidR="00B140D6"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Anterior a todo debe destacarse que </w:t>
      </w:r>
      <w:r>
        <w:rPr>
          <w:rFonts w:ascii="Palatino Linotype" w:eastAsiaTheme="minorHAnsi" w:hAnsi="Palatino Linotype" w:cs="Arial"/>
          <w:lang w:val="es-MX" w:eastAsia="en-US"/>
        </w:rPr>
        <w:t>los</w:t>
      </w:r>
      <w:r w:rsidRPr="005664AC">
        <w:rPr>
          <w:rFonts w:ascii="Palatino Linotype" w:eastAsiaTheme="minorHAnsi" w:hAnsi="Palatino Linotype" w:cs="Arial"/>
          <w:lang w:val="es-MX" w:eastAsia="en-US"/>
        </w:rPr>
        <w:t xml:space="preserve"> recurso</w:t>
      </w:r>
      <w:r>
        <w:rPr>
          <w:rFonts w:ascii="Palatino Linotype" w:eastAsiaTheme="minorHAnsi" w:hAnsi="Palatino Linotype" w:cs="Arial"/>
          <w:lang w:val="es-MX" w:eastAsia="en-US"/>
        </w:rPr>
        <w:t>s</w:t>
      </w:r>
      <w:r w:rsidRPr="005664AC">
        <w:rPr>
          <w:rFonts w:ascii="Palatino Linotype" w:eastAsiaTheme="minorHAnsi" w:hAnsi="Palatino Linotype" w:cs="Arial"/>
          <w:lang w:val="es-MX" w:eastAsia="en-US"/>
        </w:rPr>
        <w:t xml:space="preserve">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54464" w:rsidRPr="005664AC" w:rsidRDefault="00654464"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180</w:t>
      </w:r>
      <w:r w:rsidRPr="005664AC">
        <w:rPr>
          <w:rFonts w:ascii="Palatino Linotype" w:eastAsiaTheme="minorHAnsi" w:hAnsi="Palatino Linotype" w:cs="Arial"/>
          <w:i/>
          <w:sz w:val="22"/>
          <w:lang w:val="es-MX" w:eastAsia="en-US"/>
        </w:rPr>
        <w:t xml:space="preserve">. El recurso de revisión contendrá: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xml:space="preserve">. El Sujeto Obligado ante la cual se presentó la solicitud;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II</w:t>
      </w:r>
      <w:r w:rsidRPr="005664AC">
        <w:rPr>
          <w:rFonts w:ascii="Palatino Linotype" w:eastAsiaTheme="minorHAnsi" w:hAnsi="Palatino Linotype" w:cs="Arial"/>
          <w:i/>
          <w:sz w:val="22"/>
          <w:lang w:val="es-MX" w:eastAsia="en-US"/>
        </w:rPr>
        <w:t xml:space="preserve">. </w:t>
      </w:r>
      <w:r w:rsidRPr="005664AC">
        <w:rPr>
          <w:rFonts w:ascii="Palatino Linotype" w:eastAsiaTheme="minorHAnsi" w:hAnsi="Palatino Linotype" w:cs="Arial"/>
          <w:i/>
          <w:sz w:val="22"/>
          <w:u w:val="single"/>
          <w:lang w:val="es-MX" w:eastAsia="en-US"/>
        </w:rPr>
        <w:t>El nombre del solicitante</w:t>
      </w:r>
      <w:r w:rsidRPr="005664AC">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III</w:t>
      </w:r>
      <w:r w:rsidRPr="005664AC">
        <w:rPr>
          <w:rFonts w:ascii="Palatino Linotype" w:eastAsiaTheme="minorHAnsi" w:hAnsi="Palatino Linotype" w:cs="Arial"/>
          <w:i/>
          <w:sz w:val="22"/>
          <w:lang w:val="es-MX" w:eastAsia="en-US"/>
        </w:rPr>
        <w:t xml:space="preserve">. El número de folio de respuesta de la solicitud de acceso;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IV</w:t>
      </w:r>
      <w:r w:rsidRPr="005664AC">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w:t>
      </w:r>
      <w:r w:rsidRPr="005664AC">
        <w:rPr>
          <w:rFonts w:ascii="Palatino Linotype" w:eastAsiaTheme="minorHAnsi" w:hAnsi="Palatino Linotype" w:cs="Arial"/>
          <w:i/>
          <w:sz w:val="22"/>
          <w:lang w:val="es-MX" w:eastAsia="en-US"/>
        </w:rPr>
        <w:t xml:space="preserve">. El acto que se recurre;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w:t>
      </w:r>
      <w:r w:rsidRPr="005664AC">
        <w:rPr>
          <w:rFonts w:ascii="Palatino Linotype" w:eastAsiaTheme="minorHAnsi" w:hAnsi="Palatino Linotype" w:cs="Arial"/>
          <w:i/>
          <w:sz w:val="22"/>
          <w:lang w:val="es-MX" w:eastAsia="en-US"/>
        </w:rPr>
        <w:t xml:space="preserve">. Las razones o motivos de inconformidad;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VII</w:t>
      </w:r>
      <w:r w:rsidRPr="005664AC">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VIII</w:t>
      </w:r>
      <w:r w:rsidRPr="005664AC">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lastRenderedPageBreak/>
        <w:t xml:space="preserve">Adicionalmente, se podrán anexar las pruebas y demás elementos que considere procedentes someter a juicio del Instituto.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 xml:space="preserve">En ningún caso será necesario que el particular ratifique el recurso de revisión interpuesto.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sz w:val="22"/>
          <w:lang w:val="es-MX" w:eastAsia="en-US"/>
        </w:rPr>
      </w:pPr>
      <w:r w:rsidRPr="005664AC">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B140D6" w:rsidRPr="005664AC" w:rsidRDefault="00B140D6" w:rsidP="005330DC">
      <w:pPr>
        <w:autoSpaceDE w:val="0"/>
        <w:autoSpaceDN w:val="0"/>
        <w:adjustRightInd w:val="0"/>
        <w:ind w:left="567" w:right="567"/>
        <w:jc w:val="both"/>
        <w:rPr>
          <w:rFonts w:ascii="Palatino Linotype" w:eastAsiaTheme="minorHAnsi" w:hAnsi="Palatino Linotype" w:cs="Arial"/>
          <w:sz w:val="22"/>
          <w:lang w:val="es-MX" w:eastAsia="en-US"/>
        </w:rPr>
      </w:pPr>
    </w:p>
    <w:p w:rsidR="00B140D6" w:rsidRPr="005664AC" w:rsidRDefault="00B140D6" w:rsidP="005330DC">
      <w:pPr>
        <w:autoSpaceDE w:val="0"/>
        <w:autoSpaceDN w:val="0"/>
        <w:adjustRightInd w:val="0"/>
        <w:ind w:left="567" w:right="567"/>
        <w:jc w:val="right"/>
        <w:rPr>
          <w:rFonts w:ascii="Palatino Linotype" w:eastAsiaTheme="minorHAnsi" w:hAnsi="Palatino Linotype" w:cs="Arial"/>
          <w:sz w:val="22"/>
          <w:lang w:val="es-MX" w:eastAsia="en-US"/>
        </w:rPr>
      </w:pPr>
      <w:r w:rsidRPr="005664AC">
        <w:rPr>
          <w:rFonts w:ascii="Palatino Linotype" w:eastAsiaTheme="minorHAnsi" w:hAnsi="Palatino Linotype" w:cs="Arial"/>
          <w:sz w:val="22"/>
          <w:lang w:val="es-MX" w:eastAsia="en-US"/>
        </w:rPr>
        <w:t>(Énfasis añadido)</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en ejercicio de su derecho de acceso a la información pública, no proporcionó un nombre para que sea identificado, ya que en el apartado de “DATOS DEL SOLICITANTE”, no señalo nombre o seudónimo con el cual desee ser identificado, por lo que no se tiene certeza sobre su identidad, lo que en estricto sentido, no se colmarían los requisitos establecidos en el citado artículo 180 de la Ley de Transparencia.</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664AC">
        <w:rPr>
          <w:rFonts w:ascii="Palatino Linotype" w:eastAsiaTheme="minorHAnsi" w:hAnsi="Palatino Linotype" w:cs="Arial"/>
          <w:i/>
          <w:lang w:val="es-MX" w:eastAsia="en-US"/>
        </w:rPr>
        <w:t>sine qua non</w:t>
      </w:r>
      <w:r w:rsidRPr="005664AC">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jc w:val="center"/>
        <w:rPr>
          <w:rFonts w:ascii="Palatino Linotype" w:eastAsiaTheme="minorHAnsi" w:hAnsi="Palatino Linotype" w:cs="Arial"/>
          <w:b/>
          <w:i/>
          <w:sz w:val="22"/>
          <w:szCs w:val="22"/>
          <w:lang w:val="es-MX" w:eastAsia="en-US"/>
        </w:rPr>
      </w:pPr>
      <w:r w:rsidRPr="005664AC">
        <w:rPr>
          <w:rFonts w:ascii="Palatino Linotype" w:eastAsiaTheme="minorHAnsi" w:hAnsi="Palatino Linotype" w:cs="Arial"/>
          <w:b/>
          <w:i/>
          <w:sz w:val="22"/>
          <w:szCs w:val="22"/>
          <w:lang w:val="es-MX" w:eastAsia="en-US"/>
        </w:rPr>
        <w:t>Constitución Política de los Estados Unidos Mexicanos</w:t>
      </w:r>
    </w:p>
    <w:p w:rsidR="00B140D6" w:rsidRPr="005664AC" w:rsidRDefault="00B140D6" w:rsidP="005330DC">
      <w:pPr>
        <w:autoSpaceDE w:val="0"/>
        <w:autoSpaceDN w:val="0"/>
        <w:adjustRightInd w:val="0"/>
        <w:jc w:val="both"/>
        <w:rPr>
          <w:rFonts w:ascii="Palatino Linotype" w:eastAsiaTheme="minorHAnsi" w:hAnsi="Palatino Linotype" w:cs="Arial"/>
          <w:sz w:val="22"/>
          <w:szCs w:val="22"/>
          <w:lang w:val="es-MX" w:eastAsia="en-US"/>
        </w:rPr>
      </w:pP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Artículo 6o</w:t>
      </w:r>
      <w:r w:rsidRPr="005664AC">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Para efectos de lo dispuesto en el presente artículo se observará lo siguiente:</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A</w:t>
      </w:r>
      <w:r w:rsidRPr="005664AC">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lastRenderedPageBreak/>
        <w:t>III.</w:t>
      </w:r>
      <w:r w:rsidRPr="005664AC">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w:t>
      </w:r>
      <w:r w:rsidRPr="005664AC">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w:t>
      </w:r>
      <w:r w:rsidRPr="005664AC">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La ley establecerá aquella información que se considere reservada o confidencial.</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p>
    <w:p w:rsidR="00B140D6" w:rsidRPr="005664AC" w:rsidRDefault="00B140D6" w:rsidP="005330DC">
      <w:pPr>
        <w:autoSpaceDE w:val="0"/>
        <w:autoSpaceDN w:val="0"/>
        <w:adjustRightInd w:val="0"/>
        <w:ind w:left="567" w:right="567"/>
        <w:jc w:val="center"/>
        <w:rPr>
          <w:rFonts w:ascii="Palatino Linotype" w:eastAsiaTheme="minorHAnsi" w:hAnsi="Palatino Linotype" w:cs="Arial"/>
          <w:b/>
          <w:i/>
          <w:sz w:val="22"/>
          <w:lang w:val="es-MX" w:eastAsia="en-US"/>
        </w:rPr>
      </w:pPr>
      <w:r w:rsidRPr="005664AC">
        <w:rPr>
          <w:rFonts w:ascii="Palatino Linotype" w:eastAsiaTheme="minorHAnsi" w:hAnsi="Palatino Linotype" w:cs="Arial"/>
          <w:b/>
          <w:i/>
          <w:sz w:val="22"/>
          <w:lang w:val="es-MX" w:eastAsia="en-US"/>
        </w:rPr>
        <w:t>Constitución Política del Estado Libre y Soberano de México</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5</w:t>
      </w:r>
      <w:r w:rsidRPr="005664AC">
        <w:rPr>
          <w:rFonts w:ascii="Palatino Linotype" w:eastAsiaTheme="minorHAnsi" w:hAnsi="Palatino Linotype" w:cs="Arial"/>
          <w:i/>
          <w:sz w:val="22"/>
          <w:lang w:val="es-MX" w:eastAsia="en-US"/>
        </w:rPr>
        <w:t xml:space="preserve">. … </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Este derecho se regirá por los principios y bases siguientes:</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lastRenderedPageBreak/>
        <w:t>III</w:t>
      </w:r>
      <w:r w:rsidRPr="005664AC">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B140D6" w:rsidRPr="005664AC" w:rsidRDefault="00B140D6" w:rsidP="005330DC">
      <w:pPr>
        <w:autoSpaceDE w:val="0"/>
        <w:autoSpaceDN w:val="0"/>
        <w:adjustRightInd w:val="0"/>
        <w:ind w:left="567" w:right="567"/>
        <w:jc w:val="right"/>
        <w:rPr>
          <w:rFonts w:ascii="Palatino Linotype" w:eastAsiaTheme="minorHAnsi" w:hAnsi="Palatino Linotype" w:cs="Arial"/>
          <w:sz w:val="22"/>
          <w:lang w:val="es-MX" w:eastAsia="en-US"/>
        </w:rPr>
      </w:pPr>
      <w:r w:rsidRPr="005664AC">
        <w:rPr>
          <w:rFonts w:ascii="Palatino Linotype" w:eastAsiaTheme="minorHAnsi" w:hAnsi="Palatino Linotype" w:cs="Arial"/>
          <w:sz w:val="22"/>
          <w:lang w:val="es-MX" w:eastAsia="en-US"/>
        </w:rPr>
        <w:t>(Énfasis añadido)</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1o.</w:t>
      </w:r>
      <w:r w:rsidRPr="005664AC">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B140D6" w:rsidRPr="005664AC" w:rsidRDefault="00B140D6" w:rsidP="005330D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DD2466" w:rsidRDefault="00B140D6" w:rsidP="00DD2466">
      <w:pPr>
        <w:autoSpaceDE w:val="0"/>
        <w:autoSpaceDN w:val="0"/>
        <w:adjustRightInd w:val="0"/>
        <w:ind w:left="567" w:right="567"/>
        <w:jc w:val="both"/>
        <w:rPr>
          <w:rFonts w:ascii="Palatino Linotype" w:eastAsiaTheme="minorHAnsi" w:hAnsi="Palatino Linotype" w:cs="Arial"/>
          <w:i/>
          <w:sz w:val="22"/>
          <w:szCs w:val="22"/>
          <w:lang w:val="es-MX" w:eastAsia="en-US"/>
        </w:rPr>
      </w:pPr>
      <w:r w:rsidRPr="00DD2466">
        <w:rPr>
          <w:rFonts w:ascii="Palatino Linotype" w:eastAsiaTheme="minorHAnsi" w:hAnsi="Palatino Linotype" w:cs="Arial"/>
          <w:i/>
          <w:sz w:val="22"/>
          <w:szCs w:val="22"/>
          <w:lang w:val="es-MX" w:eastAsia="en-US"/>
        </w:rPr>
        <w:t>“</w:t>
      </w:r>
      <w:r w:rsidRPr="00DD2466">
        <w:rPr>
          <w:rFonts w:ascii="Palatino Linotype" w:eastAsiaTheme="minorHAnsi" w:hAnsi="Palatino Linotype" w:cs="Arial"/>
          <w:b/>
          <w:i/>
          <w:sz w:val="22"/>
          <w:szCs w:val="22"/>
          <w:lang w:val="es-MX" w:eastAsia="en-US"/>
        </w:rPr>
        <w:t>Acceso a información gubernamental. No debe condicionarse a que el solicitante acredite su personalidad, demuestre interés alguno o justifique su utilización.</w:t>
      </w:r>
      <w:r w:rsidRPr="00DD2466">
        <w:rPr>
          <w:rFonts w:ascii="Palatino Linotype" w:eastAsiaTheme="minorHAnsi" w:hAnsi="Palatino Linotype" w:cs="Arial"/>
          <w:i/>
          <w:sz w:val="22"/>
          <w:szCs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140D6" w:rsidRPr="00DD2466" w:rsidRDefault="00B140D6" w:rsidP="00DD246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Resoluciones</w:t>
      </w:r>
    </w:p>
    <w:p w:rsidR="00B140D6" w:rsidRPr="00DD2466" w:rsidRDefault="00B140D6" w:rsidP="00DD246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5275/13. Interpuesto en contra de la Secretaría de la Defensa Nacional. Comisionado Ponente Ángel Trinidad Zaldívar.</w:t>
      </w:r>
    </w:p>
    <w:p w:rsidR="00B140D6" w:rsidRPr="00DD2466" w:rsidRDefault="00B140D6" w:rsidP="00DD246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2937/13. Interpuesto en contra de LICONSA, S.A. de C.V. Comisionado. Ponente Gerardo Laveaga Rendón.</w:t>
      </w:r>
    </w:p>
    <w:p w:rsidR="00B140D6" w:rsidRPr="00DD2466" w:rsidRDefault="00B140D6" w:rsidP="00DD246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3609/12. Interpuesto en contra de la Secretaría de Educación Pública. Comisionada Ponente Sigrid Arzt Colunga.</w:t>
      </w:r>
    </w:p>
    <w:p w:rsidR="00B140D6" w:rsidRPr="00DD2466" w:rsidRDefault="00B140D6" w:rsidP="00DD246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3361/12. Interpuesto en contra del Servicio de Administración Tributaria. Comisionada Ponente María Elena Pérez-Jaén Zermeño.</w:t>
      </w:r>
    </w:p>
    <w:p w:rsidR="00B140D6" w:rsidRPr="00DD2466" w:rsidRDefault="00B140D6" w:rsidP="00DD2466">
      <w:pPr>
        <w:autoSpaceDE w:val="0"/>
        <w:autoSpaceDN w:val="0"/>
        <w:adjustRightInd w:val="0"/>
        <w:ind w:left="567" w:right="567"/>
        <w:jc w:val="both"/>
        <w:rPr>
          <w:rFonts w:ascii="Palatino Linotype" w:eastAsiaTheme="minorHAnsi" w:hAnsi="Palatino Linotype" w:cs="Arial"/>
          <w:i/>
          <w:sz w:val="20"/>
          <w:szCs w:val="22"/>
          <w:lang w:val="es-MX" w:eastAsia="en-US"/>
        </w:rPr>
      </w:pPr>
      <w:r w:rsidRPr="00DD2466">
        <w:rPr>
          <w:rFonts w:ascii="Palatino Linotype" w:eastAsiaTheme="minorHAnsi" w:hAnsi="Palatino Linotype" w:cs="Arial"/>
          <w:i/>
          <w:sz w:val="20"/>
          <w:szCs w:val="22"/>
          <w:lang w:val="es-MX" w:eastAsia="en-US"/>
        </w:rPr>
        <w:t>• RDA 0563/12. Interpuesto en contra de la Secretaría de la Función Pública. Comisionada Ponente Jacqueline Peschard Mariscal.”</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xml:space="preserve"> a través de dicho dato personal, en ciertos extremos se equipara a una exigencia acerca </w:t>
      </w:r>
      <w:r w:rsidRPr="005664AC">
        <w:rPr>
          <w:rFonts w:ascii="Palatino Linotype" w:eastAsiaTheme="minorHAnsi" w:hAnsi="Palatino Linotype" w:cs="Arial"/>
          <w:lang w:val="es-MX" w:eastAsia="en-US"/>
        </w:rPr>
        <w:lastRenderedPageBreak/>
        <w:t>de su interés o justificación de su utilización, lo que materialmente haría nugatorio un derecho fundamental.</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En consecuencia, dado lo expuesto y fundado con anterioridad, se estima que el requisito relativo al nombre del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140D6" w:rsidRPr="005664AC"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140D6"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140D6" w:rsidRPr="00673972"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140D6" w:rsidRPr="00673972" w:rsidRDefault="00B140D6" w:rsidP="005330DC">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rsidR="00B140D6" w:rsidRPr="00673972"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140D6" w:rsidRPr="00673972"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140D6" w:rsidRPr="00673972"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73972">
        <w:rPr>
          <w:rFonts w:ascii="Palatino Linotype" w:eastAsia="Palatino Linotype" w:hAnsi="Palatino Linotype" w:cs="Palatino Linotype"/>
          <w:color w:val="000000"/>
          <w:vertAlign w:val="superscript"/>
          <w:lang w:val="es-ES_tradnl" w:eastAsia="es-MX"/>
        </w:rPr>
        <w:footnoteReference w:id="1"/>
      </w:r>
      <w:r w:rsidRPr="00673972">
        <w:rPr>
          <w:rFonts w:ascii="Palatino Linotype" w:eastAsia="Palatino Linotype" w:hAnsi="Palatino Linotype" w:cs="Palatino Linotype"/>
          <w:color w:val="000000"/>
          <w:lang w:val="es-ES_tradnl" w:eastAsia="es-MX"/>
        </w:rPr>
        <w:t xml:space="preserve">, la cual permite dilucidar </w:t>
      </w:r>
      <w:r w:rsidRPr="00673972">
        <w:rPr>
          <w:rFonts w:ascii="Palatino Linotype" w:eastAsia="Palatino Linotype" w:hAnsi="Palatino Linotype" w:cs="Palatino Linotype"/>
          <w:color w:val="000000"/>
          <w:lang w:val="es-ES_tradnl" w:eastAsia="es-MX"/>
        </w:rPr>
        <w:lastRenderedPageBreak/>
        <w:t>alguna causal que impida el estudio y resolución, cuando una vez admitido el recurso de revisión se advierta una causa de improcedencia que permita sobreseerlo, sin estudiar el fondo del asunto.</w:t>
      </w:r>
    </w:p>
    <w:p w:rsidR="00B140D6" w:rsidRPr="00673972"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140D6"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140D6"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140D6"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DD2466" w:rsidRDefault="00DD246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140D6" w:rsidRPr="00673972"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lastRenderedPageBreak/>
        <w:t>CUARTO. Estudio y resolución de</w:t>
      </w:r>
      <w:r>
        <w:rPr>
          <w:rFonts w:ascii="Palatino Linotype" w:eastAsia="Palatino Linotype" w:hAnsi="Palatino Linotype" w:cs="Palatino Linotype"/>
          <w:b/>
          <w:color w:val="000000"/>
          <w:sz w:val="26"/>
          <w:szCs w:val="26"/>
          <w:lang w:val="es-ES_tradnl" w:eastAsia="es-MX"/>
        </w:rPr>
        <w:t xml:space="preserve"> </w:t>
      </w:r>
      <w:r w:rsidRPr="00673972">
        <w:rPr>
          <w:rFonts w:ascii="Palatino Linotype" w:eastAsia="Palatino Linotype" w:hAnsi="Palatino Linotype" w:cs="Palatino Linotype"/>
          <w:b/>
          <w:color w:val="000000"/>
          <w:sz w:val="26"/>
          <w:szCs w:val="26"/>
          <w:lang w:val="es-ES_tradnl" w:eastAsia="es-MX"/>
        </w:rPr>
        <w:t>l</w:t>
      </w:r>
      <w:r>
        <w:rPr>
          <w:rFonts w:ascii="Palatino Linotype" w:eastAsia="Palatino Linotype" w:hAnsi="Palatino Linotype" w:cs="Palatino Linotype"/>
          <w:b/>
          <w:color w:val="000000"/>
          <w:sz w:val="26"/>
          <w:szCs w:val="26"/>
          <w:lang w:val="es-ES_tradnl" w:eastAsia="es-MX"/>
        </w:rPr>
        <w:t>os</w:t>
      </w:r>
      <w:r w:rsidRPr="00673972">
        <w:rPr>
          <w:rFonts w:ascii="Palatino Linotype" w:eastAsia="Palatino Linotype" w:hAnsi="Palatino Linotype" w:cs="Palatino Linotype"/>
          <w:b/>
          <w:color w:val="000000"/>
          <w:sz w:val="26"/>
          <w:szCs w:val="26"/>
          <w:lang w:val="es-ES_tradnl" w:eastAsia="es-MX"/>
        </w:rPr>
        <w:t xml:space="preserve"> asunto</w:t>
      </w:r>
      <w:r>
        <w:rPr>
          <w:rFonts w:ascii="Palatino Linotype" w:eastAsia="Palatino Linotype" w:hAnsi="Palatino Linotype" w:cs="Palatino Linotype"/>
          <w:b/>
          <w:color w:val="000000"/>
          <w:sz w:val="26"/>
          <w:szCs w:val="26"/>
          <w:lang w:val="es-ES_tradnl" w:eastAsia="es-MX"/>
        </w:rPr>
        <w:t>s</w:t>
      </w:r>
      <w:r w:rsidRPr="00673972">
        <w:rPr>
          <w:rFonts w:ascii="Palatino Linotype" w:eastAsia="Palatino Linotype" w:hAnsi="Palatino Linotype" w:cs="Palatino Linotype"/>
          <w:b/>
          <w:color w:val="000000"/>
          <w:sz w:val="26"/>
          <w:szCs w:val="26"/>
          <w:lang w:val="es-ES_tradnl" w:eastAsia="es-MX"/>
        </w:rPr>
        <w:t>.</w:t>
      </w:r>
    </w:p>
    <w:p w:rsidR="00B140D6" w:rsidRPr="00673972"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El análisis y resolución de</w:t>
      </w:r>
      <w:r>
        <w:rPr>
          <w:rFonts w:ascii="Palatino Linotype" w:eastAsia="Palatino Linotype" w:hAnsi="Palatino Linotype" w:cs="Palatino Linotype"/>
          <w:color w:val="000000"/>
          <w:lang w:val="es-ES_tradnl" w:eastAsia="es-MX"/>
        </w:rPr>
        <w:t xml:space="preserve"> </w:t>
      </w:r>
      <w:r w:rsidRPr="00673972">
        <w:rPr>
          <w:rFonts w:ascii="Palatino Linotype" w:eastAsia="Palatino Linotype" w:hAnsi="Palatino Linotype" w:cs="Palatino Linotype"/>
          <w:color w:val="000000"/>
          <w:lang w:val="es-ES_tradnl" w:eastAsia="es-MX"/>
        </w:rPr>
        <w:t>l</w:t>
      </w:r>
      <w:r>
        <w:rPr>
          <w:rFonts w:ascii="Palatino Linotype" w:eastAsia="Palatino Linotype" w:hAnsi="Palatino Linotype" w:cs="Palatino Linotype"/>
          <w:color w:val="000000"/>
          <w:lang w:val="es-ES_tradnl" w:eastAsia="es-MX"/>
        </w:rPr>
        <w:t>os</w:t>
      </w:r>
      <w:r w:rsidRPr="00673972">
        <w:rPr>
          <w:rFonts w:ascii="Palatino Linotype" w:eastAsia="Palatino Linotype" w:hAnsi="Palatino Linotype" w:cs="Palatino Linotype"/>
          <w:color w:val="000000"/>
          <w:lang w:val="es-ES_tradnl" w:eastAsia="es-MX"/>
        </w:rPr>
        <w:t xml:space="preserve"> presente</w:t>
      </w:r>
      <w:r>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recurso</w:t>
      </w:r>
      <w:r>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se funda en el contenido íntegro de las actuaciones que obran en </w:t>
      </w:r>
      <w:r>
        <w:rPr>
          <w:rFonts w:ascii="Palatino Linotype" w:eastAsia="Palatino Linotype" w:hAnsi="Palatino Linotype" w:cs="Palatino Linotype"/>
          <w:color w:val="000000"/>
          <w:lang w:val="es-ES_tradnl" w:eastAsia="es-MX"/>
        </w:rPr>
        <w:t>los</w:t>
      </w:r>
      <w:r w:rsidRPr="00673972">
        <w:rPr>
          <w:rFonts w:ascii="Palatino Linotype" w:eastAsia="Palatino Linotype" w:hAnsi="Palatino Linotype" w:cs="Palatino Linotype"/>
          <w:color w:val="000000"/>
          <w:lang w:val="es-ES_tradnl" w:eastAsia="es-MX"/>
        </w:rPr>
        <w:t xml:space="preserve"> expediente</w:t>
      </w:r>
      <w:r>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electrónico</w:t>
      </w:r>
      <w:r>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140D6" w:rsidRPr="00673972" w:rsidRDefault="00B140D6" w:rsidP="005330D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140D6" w:rsidRDefault="00B140D6" w:rsidP="005330DC">
      <w:pPr>
        <w:autoSpaceDE w:val="0"/>
        <w:autoSpaceDN w:val="0"/>
        <w:adjustRightInd w:val="0"/>
        <w:spacing w:line="360" w:lineRule="auto"/>
        <w:jc w:val="both"/>
        <w:rPr>
          <w:rFonts w:ascii="Palatino Linotype" w:hAnsi="Palatino Linotype" w:cs="Arial"/>
        </w:rPr>
      </w:pPr>
      <w:r w:rsidRPr="00CB45F6">
        <w:rPr>
          <w:rFonts w:ascii="Palatino Linotype" w:hAnsi="Palatino Linotype" w:cs="Arial"/>
        </w:rPr>
        <w:t xml:space="preserve">Atentos a la redacción de las solicitudes de información se puede apreciar que el </w:t>
      </w:r>
      <w:r w:rsidRPr="00CB45F6">
        <w:rPr>
          <w:rFonts w:ascii="Palatino Linotype" w:hAnsi="Palatino Linotype" w:cs="Arial"/>
          <w:b/>
        </w:rPr>
        <w:t>Recurrente</w:t>
      </w:r>
      <w:r w:rsidRPr="00CB45F6">
        <w:rPr>
          <w:rFonts w:ascii="Palatino Linotype" w:hAnsi="Palatino Linotype" w:cs="Arial"/>
        </w:rPr>
        <w:t xml:space="preserve"> peticiona</w:t>
      </w:r>
      <w:r>
        <w:rPr>
          <w:rFonts w:ascii="Palatino Linotype" w:hAnsi="Palatino Linotype" w:cs="Arial"/>
        </w:rPr>
        <w:t xml:space="preserve"> objetivamente, le sea entregado el soporte documental en que </w:t>
      </w:r>
      <w:r w:rsidR="00A76E99">
        <w:rPr>
          <w:rFonts w:ascii="Palatino Linotype" w:hAnsi="Palatino Linotype" w:cs="Arial"/>
        </w:rPr>
        <w:t>obre</w:t>
      </w:r>
      <w:r w:rsidRPr="00CB45F6">
        <w:rPr>
          <w:rFonts w:ascii="Palatino Linotype" w:hAnsi="Palatino Linotype" w:cs="Arial"/>
        </w:rPr>
        <w:t xml:space="preserve"> lo siguiente:</w:t>
      </w:r>
    </w:p>
    <w:p w:rsidR="00654464" w:rsidRDefault="00654464" w:rsidP="005330DC">
      <w:pPr>
        <w:autoSpaceDE w:val="0"/>
        <w:autoSpaceDN w:val="0"/>
        <w:adjustRightInd w:val="0"/>
        <w:spacing w:line="360" w:lineRule="auto"/>
        <w:jc w:val="both"/>
        <w:rPr>
          <w:rFonts w:ascii="Palatino Linotype" w:hAnsi="Palatino Linotype" w:cs="Arial"/>
        </w:rPr>
      </w:pPr>
    </w:p>
    <w:p w:rsidR="00B140D6" w:rsidRDefault="00A76E99" w:rsidP="005330DC">
      <w:pPr>
        <w:pStyle w:val="Prrafodelista"/>
        <w:numPr>
          <w:ilvl w:val="0"/>
          <w:numId w:val="16"/>
        </w:numPr>
        <w:spacing w:line="360" w:lineRule="auto"/>
        <w:jc w:val="both"/>
        <w:rPr>
          <w:rFonts w:ascii="Palatino Linotype" w:hAnsi="Palatino Linotype" w:cs="Arial"/>
        </w:rPr>
      </w:pPr>
      <w:r>
        <w:rPr>
          <w:rFonts w:ascii="Palatino Linotype" w:hAnsi="Palatino Linotype" w:cs="Arial"/>
        </w:rPr>
        <w:t>P</w:t>
      </w:r>
      <w:r w:rsidRPr="00A76E99">
        <w:rPr>
          <w:rFonts w:ascii="Palatino Linotype" w:hAnsi="Palatino Linotype" w:cs="Arial"/>
        </w:rPr>
        <w:t>adrón de beneficiarios de las donaciones otorgadas durante la primer</w:t>
      </w:r>
      <w:r>
        <w:rPr>
          <w:rFonts w:ascii="Palatino Linotype" w:hAnsi="Palatino Linotype" w:cs="Arial"/>
        </w:rPr>
        <w:t>a y segunda</w:t>
      </w:r>
      <w:r w:rsidRPr="00A76E99">
        <w:rPr>
          <w:rFonts w:ascii="Palatino Linotype" w:hAnsi="Palatino Linotype" w:cs="Arial"/>
        </w:rPr>
        <w:t xml:space="preserve"> quincena de marzo</w:t>
      </w:r>
      <w:r>
        <w:rPr>
          <w:rFonts w:ascii="Palatino Linotype" w:hAnsi="Palatino Linotype" w:cs="Arial"/>
        </w:rPr>
        <w:t xml:space="preserve"> de 2022; y </w:t>
      </w:r>
    </w:p>
    <w:p w:rsidR="00A76E99" w:rsidRPr="00A76E99" w:rsidRDefault="00A76E99" w:rsidP="005330DC">
      <w:pPr>
        <w:pStyle w:val="Prrafodelista"/>
        <w:numPr>
          <w:ilvl w:val="0"/>
          <w:numId w:val="16"/>
        </w:numPr>
        <w:spacing w:line="360" w:lineRule="auto"/>
        <w:jc w:val="both"/>
        <w:rPr>
          <w:rFonts w:ascii="Palatino Linotype" w:hAnsi="Palatino Linotype" w:cs="Arial"/>
        </w:rPr>
      </w:pPr>
      <w:r>
        <w:rPr>
          <w:rFonts w:ascii="Palatino Linotype" w:hAnsi="Palatino Linotype" w:cs="Arial"/>
        </w:rPr>
        <w:t>P</w:t>
      </w:r>
      <w:r w:rsidRPr="00A76E99">
        <w:rPr>
          <w:rFonts w:ascii="Palatino Linotype" w:hAnsi="Palatino Linotype" w:cs="Arial"/>
        </w:rPr>
        <w:t>adrón de beneficiarios en cualquiera de sus programas en la segunda quincena de marzo</w:t>
      </w:r>
      <w:r>
        <w:rPr>
          <w:rFonts w:ascii="Palatino Linotype" w:hAnsi="Palatino Linotype" w:cs="Arial"/>
        </w:rPr>
        <w:t xml:space="preserve"> de 2022.</w:t>
      </w:r>
    </w:p>
    <w:p w:rsidR="00A76E99" w:rsidRDefault="00A76E99" w:rsidP="005330DC">
      <w:pPr>
        <w:spacing w:line="360" w:lineRule="auto"/>
        <w:jc w:val="both"/>
        <w:rPr>
          <w:rFonts w:ascii="Palatino Linotype" w:eastAsiaTheme="minorHAnsi" w:hAnsi="Palatino Linotype" w:cs="Arial"/>
          <w:szCs w:val="22"/>
          <w:lang w:val="es-ES_tradnl" w:eastAsia="en-US"/>
        </w:rPr>
      </w:pPr>
    </w:p>
    <w:p w:rsidR="00B140D6" w:rsidRPr="005664AC" w:rsidRDefault="00B140D6" w:rsidP="005330D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ES_tradnl" w:eastAsia="en-US"/>
        </w:rPr>
        <w:t>Derivado del ingreso de la</w:t>
      </w:r>
      <w:r>
        <w:rPr>
          <w:rFonts w:ascii="Palatino Linotype" w:eastAsiaTheme="minorHAnsi" w:hAnsi="Palatino Linotype" w:cs="Arial"/>
          <w:szCs w:val="22"/>
          <w:lang w:val="es-ES_tradnl" w:eastAsia="en-US"/>
        </w:rPr>
        <w:t>s</w:t>
      </w:r>
      <w:r w:rsidRPr="005664AC">
        <w:rPr>
          <w:rFonts w:ascii="Palatino Linotype" w:eastAsiaTheme="minorHAnsi" w:hAnsi="Palatino Linotype" w:cs="Arial"/>
          <w:szCs w:val="22"/>
          <w:lang w:val="es-ES_tradnl" w:eastAsia="en-US"/>
        </w:rPr>
        <w:t xml:space="preserve"> solicitud</w:t>
      </w:r>
      <w:r>
        <w:rPr>
          <w:rFonts w:ascii="Palatino Linotype" w:eastAsiaTheme="minorHAnsi" w:hAnsi="Palatino Linotype" w:cs="Arial"/>
          <w:szCs w:val="22"/>
          <w:lang w:val="es-ES_tradnl" w:eastAsia="en-US"/>
        </w:rPr>
        <w:t>es</w:t>
      </w:r>
      <w:r w:rsidRPr="005664AC">
        <w:rPr>
          <w:rFonts w:ascii="Palatino Linotype" w:eastAsiaTheme="minorHAnsi" w:hAnsi="Palatino Linotype" w:cs="Arial"/>
          <w:szCs w:val="22"/>
          <w:lang w:val="es-ES_tradnl" w:eastAsia="en-US"/>
        </w:rPr>
        <w:t xml:space="preserve"> de información, de conformidad con las constancias que obran en </w:t>
      </w:r>
      <w:r>
        <w:rPr>
          <w:rFonts w:ascii="Palatino Linotype" w:eastAsiaTheme="minorHAnsi" w:hAnsi="Palatino Linotype" w:cs="Arial"/>
          <w:szCs w:val="22"/>
          <w:lang w:val="es-ES_tradnl" w:eastAsia="en-US"/>
        </w:rPr>
        <w:t>los</w:t>
      </w:r>
      <w:r w:rsidRPr="005664AC">
        <w:rPr>
          <w:rFonts w:ascii="Palatino Linotype" w:eastAsiaTheme="minorHAnsi" w:hAnsi="Palatino Linotype" w:cs="Arial"/>
          <w:szCs w:val="22"/>
          <w:lang w:val="es-ES_tradnl" w:eastAsia="en-US"/>
        </w:rPr>
        <w:t xml:space="preserve"> expediente</w:t>
      </w:r>
      <w:r>
        <w:rPr>
          <w:rFonts w:ascii="Palatino Linotype" w:eastAsiaTheme="minorHAnsi" w:hAnsi="Palatino Linotype" w:cs="Arial"/>
          <w:szCs w:val="22"/>
          <w:lang w:val="es-ES_tradnl" w:eastAsia="en-US"/>
        </w:rPr>
        <w:t>s</w:t>
      </w:r>
      <w:r w:rsidRPr="005664AC">
        <w:rPr>
          <w:rFonts w:ascii="Palatino Linotype" w:eastAsiaTheme="minorHAnsi" w:hAnsi="Palatino Linotype" w:cs="Arial"/>
          <w:szCs w:val="22"/>
          <w:lang w:val="es-ES_tradnl" w:eastAsia="en-US"/>
        </w:rPr>
        <w:t xml:space="preserve"> virtual</w:t>
      </w:r>
      <w:r>
        <w:rPr>
          <w:rFonts w:ascii="Palatino Linotype" w:eastAsiaTheme="minorHAnsi" w:hAnsi="Palatino Linotype" w:cs="Arial"/>
          <w:szCs w:val="22"/>
          <w:lang w:val="es-ES_tradnl" w:eastAsia="en-US"/>
        </w:rPr>
        <w:t>es,</w:t>
      </w:r>
      <w:r w:rsidRPr="005664AC">
        <w:rPr>
          <w:rFonts w:ascii="Palatino Linotype" w:eastAsiaTheme="minorHAnsi" w:hAnsi="Palatino Linotype" w:cs="Arial"/>
          <w:szCs w:val="22"/>
          <w:lang w:val="es-ES_tradnl" w:eastAsia="en-US"/>
        </w:rPr>
        <w:t xml:space="preserve"> se observa que en primer lugar e</w:t>
      </w:r>
      <w:r w:rsidRPr="005664AC">
        <w:rPr>
          <w:rFonts w:ascii="Palatino Linotype" w:eastAsiaTheme="minorHAnsi" w:hAnsi="Palatino Linotype" w:cs="Arial"/>
          <w:szCs w:val="22"/>
          <w:lang w:val="es-MX" w:eastAsia="en-US"/>
        </w:rPr>
        <w:t xml:space="preserv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se sirvió en requerir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hiciera una aclaración total de la información que desea obtener, fundando su requerimiento de conformidad con el </w:t>
      </w:r>
      <w:r w:rsidRPr="005664AC">
        <w:rPr>
          <w:rFonts w:ascii="Palatino Linotype" w:eastAsiaTheme="minorHAnsi" w:hAnsi="Palatino Linotype" w:cs="Arial"/>
          <w:szCs w:val="22"/>
          <w:lang w:val="es-MX" w:eastAsia="en-US"/>
        </w:rPr>
        <w:lastRenderedPageBreak/>
        <w:t>artículo 159 de la Ley de Transparencia Local, el cual se transcribe a continuación para mayor referencia:</w:t>
      </w:r>
    </w:p>
    <w:p w:rsidR="00B140D6" w:rsidRPr="005664AC" w:rsidRDefault="00B140D6" w:rsidP="005330DC">
      <w:pPr>
        <w:spacing w:line="360" w:lineRule="auto"/>
        <w:jc w:val="both"/>
        <w:rPr>
          <w:rFonts w:ascii="Palatino Linotype" w:eastAsiaTheme="minorHAnsi" w:hAnsi="Palatino Linotype" w:cs="Arial"/>
          <w:szCs w:val="22"/>
          <w:lang w:val="es-MX" w:eastAsia="en-US"/>
        </w:rPr>
      </w:pPr>
    </w:p>
    <w:p w:rsidR="00B140D6" w:rsidRPr="005664AC" w:rsidRDefault="00B140D6" w:rsidP="005330DC">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Artículo 159.</w:t>
      </w:r>
      <w:r w:rsidRPr="005664AC">
        <w:rPr>
          <w:rFonts w:ascii="Palatino Linotype" w:eastAsiaTheme="minorHAnsi" w:hAnsi="Palatino Linotype" w:cs="Arial"/>
          <w:i/>
          <w:sz w:val="22"/>
          <w:szCs w:val="22"/>
          <w:lang w:val="es-MX" w:eastAsia="en-US"/>
        </w:rPr>
        <w:t xml:space="preserve"> C</w:t>
      </w:r>
      <w:r w:rsidRPr="005664AC">
        <w:rPr>
          <w:rFonts w:ascii="Palatino Linotype" w:eastAsiaTheme="minorHAnsi" w:hAnsi="Palatino Linotype" w:cs="Arial"/>
          <w:i/>
          <w:sz w:val="22"/>
          <w:szCs w:val="22"/>
          <w:u w:val="single"/>
          <w:lang w:val="es-MX" w:eastAsia="en-US"/>
        </w:rPr>
        <w:t>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5664AC">
        <w:rPr>
          <w:rFonts w:ascii="Palatino Linotype" w:eastAsiaTheme="minorHAnsi" w:hAnsi="Palatino Linotype" w:cs="Arial"/>
          <w:i/>
          <w:sz w:val="22"/>
          <w:szCs w:val="22"/>
          <w:lang w:val="es-MX" w:eastAsia="en-US"/>
        </w:rPr>
        <w:t xml:space="preserve">, para que, en un término de hasta diez días hábiles, indique otros elementos que complementen, corrijan o amplíen los datos proporcionados o bien, precise uno o varios requerimientos de información. </w:t>
      </w:r>
    </w:p>
    <w:p w:rsidR="00B140D6" w:rsidRPr="005664AC" w:rsidRDefault="00B140D6" w:rsidP="005330DC">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B140D6" w:rsidRPr="005664AC" w:rsidRDefault="00B140D6" w:rsidP="005330DC">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B140D6" w:rsidRPr="005664AC" w:rsidRDefault="00B140D6" w:rsidP="005330DC">
      <w:pPr>
        <w:ind w:left="567" w:right="567"/>
        <w:jc w:val="both"/>
        <w:rPr>
          <w:rFonts w:ascii="Palatino Linotype" w:eastAsiaTheme="minorHAnsi" w:hAnsi="Palatino Linotype" w:cs="Arial"/>
          <w:sz w:val="22"/>
          <w:szCs w:val="22"/>
          <w:lang w:val="es-MX" w:eastAsia="en-US"/>
        </w:rPr>
      </w:pPr>
      <w:r w:rsidRPr="005664AC">
        <w:rPr>
          <w:rFonts w:ascii="Palatino Linotype" w:eastAsiaTheme="minorHAnsi" w:hAnsi="Palatino Linotype" w:cs="Arial"/>
          <w:i/>
          <w:sz w:val="22"/>
          <w:szCs w:val="22"/>
          <w:lang w:val="es-MX" w:eastAsia="en-US"/>
        </w:rPr>
        <w:t>En el caso de requerimientos parciales no desahogados, se tendrá por presentada la solicitud por lo que respecta a los contenidos de información que no formaron parte del requerimiento”</w:t>
      </w:r>
    </w:p>
    <w:p w:rsidR="00B140D6" w:rsidRPr="005664AC" w:rsidRDefault="00B140D6" w:rsidP="005330DC">
      <w:pPr>
        <w:ind w:left="567" w:right="567"/>
        <w:jc w:val="right"/>
        <w:rPr>
          <w:rFonts w:ascii="Palatino Linotype" w:eastAsiaTheme="minorHAnsi" w:hAnsi="Palatino Linotype" w:cs="Arial"/>
          <w:sz w:val="22"/>
          <w:szCs w:val="22"/>
          <w:lang w:val="es-MX" w:eastAsia="en-US"/>
        </w:rPr>
      </w:pPr>
      <w:r w:rsidRPr="005664AC">
        <w:rPr>
          <w:rFonts w:ascii="Palatino Linotype" w:eastAsiaTheme="minorHAnsi" w:hAnsi="Palatino Linotype" w:cs="Arial"/>
          <w:sz w:val="22"/>
          <w:szCs w:val="22"/>
          <w:lang w:val="es-MX" w:eastAsia="en-US"/>
        </w:rPr>
        <w:t>(Énfasis añadido)</w:t>
      </w:r>
    </w:p>
    <w:p w:rsidR="00B140D6" w:rsidRPr="005664AC" w:rsidRDefault="00B140D6" w:rsidP="005330DC">
      <w:pPr>
        <w:spacing w:line="360" w:lineRule="auto"/>
        <w:jc w:val="both"/>
        <w:rPr>
          <w:rFonts w:ascii="Palatino Linotype" w:eastAsiaTheme="minorHAnsi" w:hAnsi="Palatino Linotype" w:cs="Arial"/>
          <w:szCs w:val="22"/>
          <w:lang w:val="es-MX" w:eastAsia="en-US"/>
        </w:rPr>
      </w:pPr>
    </w:p>
    <w:p w:rsidR="00B140D6" w:rsidRPr="005664AC" w:rsidRDefault="00B140D6" w:rsidP="005330D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 xml:space="preserve">Precepto legal que establece la facultad de los </w:t>
      </w:r>
      <w:r w:rsidRPr="005664AC">
        <w:rPr>
          <w:rFonts w:ascii="Palatino Linotype" w:eastAsiaTheme="minorHAnsi" w:hAnsi="Palatino Linotype" w:cs="Arial"/>
          <w:b/>
          <w:szCs w:val="22"/>
          <w:lang w:val="es-MX" w:eastAsia="en-US"/>
        </w:rPr>
        <w:t>Sujetos Obligados</w:t>
      </w:r>
      <w:r w:rsidRPr="005664AC">
        <w:rPr>
          <w:rFonts w:ascii="Palatino Linotype" w:eastAsiaTheme="minorHAnsi" w:hAnsi="Palatino Linotype" w:cs="Arial"/>
          <w:szCs w:val="22"/>
          <w:lang w:val="es-MX" w:eastAsia="en-US"/>
        </w:rPr>
        <w:t xml:space="preserve"> de requerir a los particulares, corrijan, o proporcionen mayores elementos de los datos proporcionados en la solicitud de información, para la búsqueda y entrega de la información, cuando los primeros proporcionados fueren </w:t>
      </w:r>
      <w:r w:rsidRPr="005664AC">
        <w:rPr>
          <w:rFonts w:ascii="Palatino Linotype" w:eastAsiaTheme="minorHAnsi" w:hAnsi="Palatino Linotype" w:cs="Arial"/>
          <w:b/>
          <w:szCs w:val="22"/>
          <w:lang w:val="es-MX" w:eastAsia="en-US"/>
        </w:rPr>
        <w:t>insuficientes, incompletos o erróneos</w:t>
      </w:r>
      <w:r w:rsidRPr="005664AC">
        <w:rPr>
          <w:rFonts w:ascii="Palatino Linotype" w:eastAsiaTheme="minorHAnsi" w:hAnsi="Palatino Linotype" w:cs="Arial"/>
          <w:szCs w:val="22"/>
          <w:lang w:val="es-MX" w:eastAsia="en-US"/>
        </w:rPr>
        <w:t>. Atentos a ellos, de conformidad con la redacción de la</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solicitud</w:t>
      </w:r>
      <w:r>
        <w:rPr>
          <w:rFonts w:ascii="Palatino Linotype" w:eastAsiaTheme="minorHAnsi" w:hAnsi="Palatino Linotype" w:cs="Arial"/>
          <w:szCs w:val="22"/>
          <w:lang w:val="es-MX" w:eastAsia="en-US"/>
        </w:rPr>
        <w:t>es</w:t>
      </w:r>
      <w:r w:rsidRPr="005664AC">
        <w:rPr>
          <w:rFonts w:ascii="Palatino Linotype" w:eastAsiaTheme="minorHAnsi" w:hAnsi="Palatino Linotype" w:cs="Arial"/>
          <w:szCs w:val="22"/>
          <w:lang w:val="es-MX" w:eastAsia="en-US"/>
        </w:rPr>
        <w:t xml:space="preserve"> de información, no se advierte que resulten insuficientes, incompletos o erróneos, toda vez, que de manera clara y precisa, se establece</w:t>
      </w:r>
      <w:r>
        <w:rPr>
          <w:rFonts w:ascii="Palatino Linotype" w:eastAsiaTheme="minorHAnsi" w:hAnsi="Palatino Linotype" w:cs="Arial"/>
          <w:szCs w:val="22"/>
          <w:lang w:val="es-MX" w:eastAsia="en-US"/>
        </w:rPr>
        <w:t>n los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un documento de tipo</w:t>
      </w:r>
      <w:r>
        <w:rPr>
          <w:rFonts w:ascii="Palatino Linotype" w:eastAsiaTheme="minorHAnsi" w:hAnsi="Palatino Linotype" w:cs="Arial"/>
          <w:szCs w:val="22"/>
          <w:lang w:val="es-MX" w:eastAsia="en-US"/>
        </w:rPr>
        <w:t xml:space="preserve"> y temporalidad</w:t>
      </w:r>
      <w:r w:rsidRPr="005664AC">
        <w:rPr>
          <w:rFonts w:ascii="Palatino Linotype" w:eastAsiaTheme="minorHAnsi" w:hAnsi="Palatino Linotype" w:cs="Arial"/>
          <w:szCs w:val="22"/>
          <w:lang w:val="es-MX" w:eastAsia="en-US"/>
        </w:rPr>
        <w:t xml:space="preserve"> específica.</w:t>
      </w:r>
    </w:p>
    <w:p w:rsidR="00B140D6" w:rsidRPr="005664AC" w:rsidRDefault="00B140D6" w:rsidP="005330DC">
      <w:pPr>
        <w:spacing w:line="360" w:lineRule="auto"/>
        <w:jc w:val="both"/>
        <w:rPr>
          <w:rFonts w:ascii="Palatino Linotype" w:eastAsiaTheme="minorHAnsi" w:hAnsi="Palatino Linotype" w:cs="Arial"/>
          <w:szCs w:val="22"/>
          <w:lang w:val="es-MX" w:eastAsia="en-US"/>
        </w:rPr>
      </w:pPr>
    </w:p>
    <w:p w:rsidR="00B140D6" w:rsidRDefault="00B140D6" w:rsidP="005330D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lastRenderedPageBreak/>
        <w:t xml:space="preserve">Consecuentemente, este Órgano Garante no advierte la necesidad de haber hecho </w:t>
      </w:r>
      <w:r>
        <w:rPr>
          <w:rFonts w:ascii="Palatino Linotype" w:eastAsiaTheme="minorHAnsi" w:hAnsi="Palatino Linotype" w:cs="Arial"/>
          <w:szCs w:val="22"/>
          <w:lang w:val="es-MX" w:eastAsia="en-US"/>
        </w:rPr>
        <w:t>los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aclaración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Lo anterior se corrobora, atendiendo que el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 xml:space="preserve">los </w:t>
      </w:r>
      <w:r w:rsidRPr="005664AC">
        <w:rPr>
          <w:rFonts w:ascii="Palatino Linotype" w:eastAsiaTheme="minorHAnsi" w:hAnsi="Palatino Linotype" w:cs="Arial"/>
          <w:szCs w:val="22"/>
          <w:lang w:val="es-MX" w:eastAsia="en-US"/>
        </w:rPr>
        <w:t xml:space="preserve">desahogó señalando textualmente </w:t>
      </w:r>
      <w:r>
        <w:rPr>
          <w:rFonts w:ascii="Palatino Linotype" w:eastAsiaTheme="minorHAnsi" w:hAnsi="Palatino Linotype" w:cs="Arial"/>
          <w:szCs w:val="22"/>
          <w:lang w:val="es-MX" w:eastAsia="en-US"/>
        </w:rPr>
        <w:t>los</w:t>
      </w:r>
      <w:r w:rsidRPr="005664AC">
        <w:rPr>
          <w:rFonts w:ascii="Palatino Linotype" w:eastAsiaTheme="minorHAnsi" w:hAnsi="Palatino Linotype" w:cs="Arial"/>
          <w:szCs w:val="22"/>
          <w:lang w:val="es-MX" w:eastAsia="en-US"/>
        </w:rPr>
        <w:t xml:space="preserve"> mismo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información, el cual posteriormente 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reconoce tener en sus archivos la información, al pretender el cambio de modalidad. Por ello es dable recordarle al Sujeto Obligado que debe sujetar su actuar a su marco normativo, evitando dilaciones innecesarias en garantizar el derecho de acceso a la información de la sociedad.</w:t>
      </w:r>
    </w:p>
    <w:p w:rsidR="00A76E99" w:rsidRPr="005664AC" w:rsidRDefault="00A76E99" w:rsidP="005330DC">
      <w:pPr>
        <w:spacing w:line="360" w:lineRule="auto"/>
        <w:jc w:val="both"/>
        <w:rPr>
          <w:rFonts w:ascii="Palatino Linotype" w:eastAsiaTheme="minorHAnsi" w:hAnsi="Palatino Linotype" w:cs="Arial"/>
          <w:szCs w:val="22"/>
          <w:lang w:val="es-MX" w:eastAsia="en-US"/>
        </w:rPr>
      </w:pPr>
    </w:p>
    <w:p w:rsidR="00B140D6" w:rsidRPr="005664AC" w:rsidRDefault="00B140D6" w:rsidP="005330D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En el mismo orden de ideas, conforme a las constancias de</w:t>
      </w:r>
      <w:r>
        <w:rPr>
          <w:rFonts w:ascii="Palatino Linotype" w:eastAsiaTheme="minorHAnsi" w:hAnsi="Palatino Linotype" w:cs="Arial"/>
          <w:szCs w:val="22"/>
          <w:lang w:val="es-MX" w:eastAsia="en-US"/>
        </w:rPr>
        <w:t xml:space="preserve"> </w:t>
      </w:r>
      <w:r w:rsidRPr="005664AC">
        <w:rPr>
          <w:rFonts w:ascii="Palatino Linotype" w:eastAsiaTheme="minorHAnsi" w:hAnsi="Palatino Linotype" w:cs="Arial"/>
          <w:szCs w:val="22"/>
          <w:lang w:val="es-MX" w:eastAsia="en-US"/>
        </w:rPr>
        <w:t>l</w:t>
      </w:r>
      <w:r>
        <w:rPr>
          <w:rFonts w:ascii="Palatino Linotype" w:eastAsiaTheme="minorHAnsi" w:hAnsi="Palatino Linotype" w:cs="Arial"/>
          <w:szCs w:val="22"/>
          <w:lang w:val="es-MX" w:eastAsia="en-US"/>
        </w:rPr>
        <w:t>os</w:t>
      </w:r>
      <w:r w:rsidRPr="005664AC">
        <w:rPr>
          <w:rFonts w:ascii="Palatino Linotype" w:eastAsiaTheme="minorHAnsi" w:hAnsi="Palatino Linotype" w:cs="Arial"/>
          <w:szCs w:val="22"/>
          <w:lang w:val="es-MX" w:eastAsia="en-US"/>
        </w:rPr>
        <w:t xml:space="preserve"> expediente</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electrónico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se observa que 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 xml:space="preserve">le </w:t>
      </w:r>
      <w:r w:rsidRPr="005664AC">
        <w:rPr>
          <w:rFonts w:ascii="Palatino Linotype" w:eastAsiaTheme="minorHAnsi" w:hAnsi="Palatino Linotype" w:cs="Arial"/>
          <w:szCs w:val="22"/>
          <w:lang w:val="es-MX" w:eastAsia="en-US"/>
        </w:rPr>
        <w:t xml:space="preserve">notificó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que el término ordinario de 15 (quince) días hábiles para dar respuesta fue prorrogado por el término extraordinario de 7 (siete) días hábiles, de conformidad con el artículo 163 de la multicitada Ley de Transparencia local, que establece:</w:t>
      </w:r>
    </w:p>
    <w:p w:rsidR="00B140D6" w:rsidRPr="005664AC" w:rsidRDefault="00B140D6" w:rsidP="005330DC">
      <w:pPr>
        <w:spacing w:line="360" w:lineRule="auto"/>
        <w:jc w:val="both"/>
        <w:rPr>
          <w:rFonts w:ascii="Palatino Linotype" w:eastAsiaTheme="minorHAnsi" w:hAnsi="Palatino Linotype" w:cs="Arial"/>
          <w:szCs w:val="22"/>
          <w:lang w:val="es-MX" w:eastAsia="en-US"/>
        </w:rPr>
      </w:pPr>
    </w:p>
    <w:p w:rsidR="00B140D6" w:rsidRPr="005664AC" w:rsidRDefault="00B140D6" w:rsidP="005330DC">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 xml:space="preserve">Artículo 163. </w:t>
      </w:r>
      <w:r w:rsidRPr="005664AC">
        <w:rPr>
          <w:rFonts w:ascii="Palatino Linotype" w:eastAsiaTheme="minorHAnsi" w:hAnsi="Palatino Linotype" w:cs="Arial"/>
          <w:i/>
          <w:sz w:val="22"/>
          <w:szCs w:val="22"/>
          <w:lang w:val="es-MX" w:eastAsia="en-US"/>
        </w:rPr>
        <w:t>La Unidad de Transparencia deberá notificar la respuesta a la solicitud al interesado en el menor tiempo posible, que no podrá exceder de quince días hábiles, contados a partir del día siguiente a la presentación de aquélla.</w:t>
      </w:r>
    </w:p>
    <w:p w:rsidR="00B140D6" w:rsidRPr="005664AC" w:rsidRDefault="00B140D6" w:rsidP="005330DC">
      <w:pPr>
        <w:ind w:left="567" w:right="567"/>
        <w:jc w:val="both"/>
        <w:rPr>
          <w:rFonts w:ascii="Palatino Linotype" w:eastAsiaTheme="minorHAnsi" w:hAnsi="Palatino Linotype" w:cs="Arial"/>
          <w:sz w:val="22"/>
          <w:szCs w:val="22"/>
          <w:lang w:val="es-MX" w:eastAsia="en-US"/>
        </w:rPr>
      </w:pPr>
      <w:r w:rsidRPr="005664AC">
        <w:rPr>
          <w:rFonts w:ascii="Palatino Linotype" w:eastAsiaTheme="minorHAnsi" w:hAnsi="Palatino Linotype" w:cs="Arial"/>
          <w:i/>
          <w:sz w:val="22"/>
          <w:szCs w:val="22"/>
          <w:lang w:val="es-MX" w:eastAsia="en-US"/>
        </w:rPr>
        <w:t xml:space="preserve">Excepcionalmente, el plazo referido en el párrafo anterior </w:t>
      </w:r>
      <w:r w:rsidRPr="005664AC">
        <w:rPr>
          <w:rFonts w:ascii="Palatino Linotype" w:eastAsiaTheme="minorHAnsi" w:hAnsi="Palatino Linotype" w:cs="Arial"/>
          <w:i/>
          <w:sz w:val="22"/>
          <w:szCs w:val="22"/>
          <w:u w:val="single"/>
          <w:lang w:val="es-MX" w:eastAsia="en-US"/>
        </w:rPr>
        <w:t>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5664AC">
        <w:rPr>
          <w:rFonts w:ascii="Palatino Linotype" w:eastAsiaTheme="minorHAnsi" w:hAnsi="Palatino Linotype" w:cs="Arial"/>
          <w:i/>
          <w:sz w:val="22"/>
          <w:szCs w:val="22"/>
          <w:lang w:val="es-MX" w:eastAsia="en-US"/>
        </w:rPr>
        <w:t xml:space="preserve"> No podrán invocarse como causales de ampliación del plazo motivos que supongan negligencia o descuido del sujeto obligado en el desahogo de la solicitud.”</w:t>
      </w:r>
    </w:p>
    <w:p w:rsidR="00B140D6" w:rsidRPr="005664AC" w:rsidRDefault="00B140D6" w:rsidP="005330DC">
      <w:pPr>
        <w:ind w:left="567" w:right="567"/>
        <w:jc w:val="right"/>
        <w:rPr>
          <w:rFonts w:ascii="Palatino Linotype" w:eastAsiaTheme="minorHAnsi" w:hAnsi="Palatino Linotype" w:cs="Arial"/>
          <w:sz w:val="22"/>
          <w:szCs w:val="22"/>
          <w:lang w:val="es-MX" w:eastAsia="en-US"/>
        </w:rPr>
      </w:pPr>
      <w:r w:rsidRPr="005664AC">
        <w:rPr>
          <w:rFonts w:ascii="Palatino Linotype" w:eastAsiaTheme="minorHAnsi" w:hAnsi="Palatino Linotype" w:cs="Arial"/>
          <w:sz w:val="22"/>
          <w:szCs w:val="22"/>
          <w:lang w:val="es-MX" w:eastAsia="en-US"/>
        </w:rPr>
        <w:t>(Énfasis añadido)</w:t>
      </w:r>
    </w:p>
    <w:p w:rsidR="00B140D6" w:rsidRPr="005664AC" w:rsidRDefault="00B140D6" w:rsidP="005330DC">
      <w:pPr>
        <w:spacing w:line="360" w:lineRule="auto"/>
        <w:jc w:val="both"/>
        <w:rPr>
          <w:rFonts w:ascii="Palatino Linotype" w:eastAsiaTheme="minorHAnsi" w:hAnsi="Palatino Linotype" w:cs="Arial"/>
          <w:szCs w:val="22"/>
          <w:lang w:val="es-MX" w:eastAsia="en-US"/>
        </w:rPr>
      </w:pPr>
    </w:p>
    <w:p w:rsidR="00B140D6" w:rsidRPr="005664AC" w:rsidRDefault="00B140D6" w:rsidP="005330D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 xml:space="preserve">Ordenamiento legal, que de igual manera faculta al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ampliar el término para dar respuesta a la solicitud, </w:t>
      </w:r>
      <w:r w:rsidRPr="005664AC">
        <w:rPr>
          <w:rFonts w:ascii="Palatino Linotype" w:eastAsiaTheme="minorHAnsi" w:hAnsi="Palatino Linotype" w:cs="Arial"/>
          <w:b/>
          <w:szCs w:val="22"/>
          <w:lang w:val="es-MX" w:eastAsia="en-US"/>
        </w:rPr>
        <w:t xml:space="preserve">siempre y cuando existan razones fundadas </w:t>
      </w:r>
      <w:r w:rsidRPr="005664AC">
        <w:rPr>
          <w:rFonts w:ascii="Palatino Linotype" w:eastAsiaTheme="minorHAnsi" w:hAnsi="Palatino Linotype" w:cs="Arial"/>
          <w:b/>
          <w:szCs w:val="22"/>
          <w:lang w:val="es-MX" w:eastAsia="en-US"/>
        </w:rPr>
        <w:lastRenderedPageBreak/>
        <w:t xml:space="preserve">y motivadas, </w:t>
      </w:r>
      <w:r w:rsidRPr="005664AC">
        <w:rPr>
          <w:rFonts w:ascii="Palatino Linotype" w:eastAsiaTheme="minorHAnsi" w:hAnsi="Palatino Linotype" w:cs="Arial"/>
          <w:szCs w:val="22"/>
          <w:lang w:val="es-MX" w:eastAsia="en-US"/>
        </w:rPr>
        <w:t xml:space="preserve">debiendo ser aprobada dicha ampliación por el Comité de Transparencia, mediante la emisión de la resolución que debe ser notificada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w:t>
      </w:r>
    </w:p>
    <w:p w:rsidR="00B140D6" w:rsidRPr="005664AC" w:rsidRDefault="00B140D6" w:rsidP="005330DC">
      <w:pPr>
        <w:spacing w:line="360" w:lineRule="auto"/>
        <w:jc w:val="both"/>
        <w:rPr>
          <w:rFonts w:ascii="Palatino Linotype" w:eastAsiaTheme="minorHAnsi" w:hAnsi="Palatino Linotype" w:cs="Arial"/>
          <w:szCs w:val="22"/>
          <w:lang w:val="es-MX" w:eastAsia="en-US"/>
        </w:rPr>
      </w:pPr>
    </w:p>
    <w:p w:rsidR="00B140D6" w:rsidRPr="005664AC" w:rsidRDefault="00B140D6" w:rsidP="005330D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Circunstancias que de conformidad con las constancias de</w:t>
      </w:r>
      <w:r>
        <w:rPr>
          <w:rFonts w:ascii="Palatino Linotype" w:eastAsiaTheme="minorHAnsi" w:hAnsi="Palatino Linotype" w:cs="Arial"/>
          <w:szCs w:val="22"/>
          <w:lang w:val="es-MX" w:eastAsia="en-US"/>
        </w:rPr>
        <w:t xml:space="preserve"> </w:t>
      </w:r>
      <w:r w:rsidRPr="005664AC">
        <w:rPr>
          <w:rFonts w:ascii="Palatino Linotype" w:eastAsiaTheme="minorHAnsi" w:hAnsi="Palatino Linotype" w:cs="Arial"/>
          <w:szCs w:val="22"/>
          <w:lang w:val="es-MX" w:eastAsia="en-US"/>
        </w:rPr>
        <w:t>l</w:t>
      </w:r>
      <w:r>
        <w:rPr>
          <w:rFonts w:ascii="Palatino Linotype" w:eastAsiaTheme="minorHAnsi" w:hAnsi="Palatino Linotype" w:cs="Arial"/>
          <w:szCs w:val="22"/>
          <w:lang w:val="es-MX" w:eastAsia="en-US"/>
        </w:rPr>
        <w:t xml:space="preserve">os ya referidos </w:t>
      </w:r>
      <w:r w:rsidRPr="005664AC">
        <w:rPr>
          <w:rFonts w:ascii="Palatino Linotype" w:eastAsiaTheme="minorHAnsi" w:hAnsi="Palatino Linotype" w:cs="Arial"/>
          <w:szCs w:val="22"/>
          <w:lang w:val="es-MX" w:eastAsia="en-US"/>
        </w:rPr>
        <w:t>expediente</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electrónico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acreditan la omisión del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de la emisión y notificación del acuerdo respectivo que contiene las razones y motivaciones que justifican la necesidad de ampliación del término para dar respuesta. </w:t>
      </w:r>
    </w:p>
    <w:p w:rsidR="00B140D6" w:rsidRDefault="00B140D6" w:rsidP="005330DC">
      <w:pPr>
        <w:spacing w:line="360" w:lineRule="auto"/>
        <w:jc w:val="both"/>
        <w:rPr>
          <w:rFonts w:ascii="Palatino Linotype" w:hAnsi="Palatino Linotype" w:cs="Arial"/>
        </w:rPr>
      </w:pPr>
    </w:p>
    <w:p w:rsidR="00B140D6" w:rsidRPr="002F3269" w:rsidRDefault="00B140D6" w:rsidP="005330DC">
      <w:pPr>
        <w:spacing w:line="360" w:lineRule="auto"/>
        <w:jc w:val="both"/>
        <w:rPr>
          <w:rFonts w:ascii="Palatino Linotype" w:eastAsiaTheme="minorHAnsi" w:hAnsi="Palatino Linotype" w:cs="Arial"/>
          <w:szCs w:val="22"/>
          <w:lang w:val="es-MX" w:eastAsia="en-US"/>
        </w:rPr>
      </w:pPr>
      <w:r w:rsidRPr="002F3269">
        <w:rPr>
          <w:rFonts w:ascii="Palatino Linotype" w:eastAsiaTheme="minorHAnsi" w:hAnsi="Palatino Linotype" w:cs="Arial"/>
          <w:szCs w:val="22"/>
          <w:lang w:val="es-MX" w:eastAsia="en-US"/>
        </w:rPr>
        <w:t xml:space="preserve">Acotado lo anterior, el </w:t>
      </w:r>
      <w:r w:rsidRPr="002F3269">
        <w:rPr>
          <w:rFonts w:ascii="Palatino Linotype" w:eastAsiaTheme="minorHAnsi" w:hAnsi="Palatino Linotype" w:cs="Arial"/>
          <w:b/>
          <w:szCs w:val="22"/>
          <w:lang w:val="es-MX" w:eastAsia="en-US"/>
        </w:rPr>
        <w:t>Sujeto Obligado</w:t>
      </w:r>
      <w:r w:rsidRPr="002F3269">
        <w:rPr>
          <w:rFonts w:ascii="Palatino Linotype" w:eastAsiaTheme="minorHAnsi" w:hAnsi="Palatino Linotype" w:cs="Arial"/>
          <w:szCs w:val="22"/>
          <w:lang w:val="es-MX" w:eastAsia="en-US"/>
        </w:rPr>
        <w:t xml:space="preserve"> dio respuesta</w:t>
      </w:r>
      <w:r>
        <w:rPr>
          <w:rFonts w:ascii="Palatino Linotype" w:eastAsiaTheme="minorHAnsi" w:hAnsi="Palatino Linotype" w:cs="Arial"/>
          <w:szCs w:val="22"/>
          <w:lang w:val="es-MX" w:eastAsia="en-US"/>
        </w:rPr>
        <w:t>s en los mismos términos,</w:t>
      </w:r>
      <w:r w:rsidRPr="002F3269">
        <w:rPr>
          <w:rFonts w:ascii="Palatino Linotype" w:eastAsiaTheme="minorHAnsi" w:hAnsi="Palatino Linotype" w:cs="Arial"/>
          <w:szCs w:val="22"/>
          <w:lang w:val="es-MX" w:eastAsia="en-US"/>
        </w:rPr>
        <w:t xml:space="preserve"> manifestando que su Comité de Transparencia aprobó el cambio de modalidad de la entrega de la información, a la modalidad de consulta directa (</w:t>
      </w:r>
      <w:r w:rsidRPr="002F3269">
        <w:rPr>
          <w:rFonts w:ascii="Palatino Linotype" w:eastAsiaTheme="minorHAnsi" w:hAnsi="Palatino Linotype" w:cs="Arial"/>
          <w:i/>
          <w:szCs w:val="22"/>
          <w:lang w:val="es-MX" w:eastAsia="en-US"/>
        </w:rPr>
        <w:t>in situ</w:t>
      </w:r>
      <w:r w:rsidRPr="002F3269">
        <w:rPr>
          <w:rFonts w:ascii="Palatino Linotype" w:eastAsiaTheme="minorHAnsi" w:hAnsi="Palatino Linotype" w:cs="Arial"/>
          <w:szCs w:val="22"/>
          <w:lang w:val="es-MX" w:eastAsia="en-US"/>
        </w:rPr>
        <w:t>), adjuntando el Acuerdo de la Primer Sesión Extraordinaria del Comité de Transparencia, de fecha 25 de Enero de 2022.</w:t>
      </w:r>
    </w:p>
    <w:p w:rsidR="00B140D6" w:rsidRPr="002F3269" w:rsidRDefault="00B140D6" w:rsidP="005330DC">
      <w:pPr>
        <w:spacing w:line="360" w:lineRule="auto"/>
        <w:jc w:val="both"/>
        <w:rPr>
          <w:rFonts w:ascii="Palatino Linotype" w:eastAsiaTheme="minorHAnsi" w:hAnsi="Palatino Linotype" w:cs="Arial"/>
          <w:szCs w:val="22"/>
          <w:lang w:val="es-MX" w:eastAsia="en-US"/>
        </w:rPr>
      </w:pPr>
    </w:p>
    <w:p w:rsidR="00B140D6" w:rsidRPr="002F3269"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Como podemos apreciar de la documental en análisis, el </w:t>
      </w:r>
      <w:r w:rsidR="00A76E99" w:rsidRPr="00A76E99">
        <w:rPr>
          <w:rFonts w:ascii="Palatino Linotype" w:eastAsiaTheme="minorHAnsi" w:hAnsi="Palatino Linotype" w:cs="Arial"/>
          <w:b/>
          <w:lang w:val="es-MX" w:eastAsia="en-US"/>
        </w:rPr>
        <w:t>Sujeto Obligado</w:t>
      </w:r>
      <w:r w:rsidR="00A76E99"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MX" w:eastAsia="en-US"/>
        </w:rPr>
        <w:t xml:space="preserve">no niega contar con la información solicitada, por el contrario acepta de forma expresa poseerla, </w:t>
      </w:r>
      <w:r w:rsidRPr="002F3269">
        <w:rPr>
          <w:rFonts w:ascii="Palatino Linotype" w:eastAsiaTheme="minorHAnsi" w:hAnsi="Palatino Linotype" w:cs="Arial"/>
          <w:lang w:val="es-419" w:eastAsia="en-US"/>
        </w:rPr>
        <w:t xml:space="preserve">al cambiar de modalidad y manifestar que se le entregará la información en consulta directa, </w:t>
      </w:r>
      <w:r w:rsidRPr="002F3269">
        <w:rPr>
          <w:rFonts w:ascii="Palatino Linotype" w:eastAsiaTheme="minorHAnsi" w:hAnsi="Palatino Linotype" w:cs="Arial"/>
          <w:lang w:val="es-MX" w:eastAsia="en-US"/>
        </w:rPr>
        <w:t>en consecuencia se omite el estudio de la fuente obligacional que impone al sujeto obligado a generar</w:t>
      </w:r>
      <w:r>
        <w:rPr>
          <w:rFonts w:ascii="Palatino Linotype" w:eastAsiaTheme="minorHAnsi" w:hAnsi="Palatino Linotype" w:cs="Arial"/>
          <w:lang w:val="es-MX" w:eastAsia="en-US"/>
        </w:rPr>
        <w:t>la</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419" w:eastAsia="en-US"/>
        </w:rPr>
        <w:t>administrar</w:t>
      </w:r>
      <w:r>
        <w:rPr>
          <w:rFonts w:ascii="Palatino Linotype" w:eastAsiaTheme="minorHAnsi" w:hAnsi="Palatino Linotype" w:cs="Arial"/>
          <w:lang w:val="es-419" w:eastAsia="en-US"/>
        </w:rPr>
        <w:t>la</w:t>
      </w:r>
      <w:r w:rsidRPr="002F3269">
        <w:rPr>
          <w:rFonts w:ascii="Palatino Linotype" w:eastAsiaTheme="minorHAnsi" w:hAnsi="Palatino Linotype" w:cs="Arial"/>
          <w:lang w:val="es-419" w:eastAsia="en-US"/>
        </w:rPr>
        <w:t xml:space="preserve"> o poseer</w:t>
      </w:r>
      <w:r>
        <w:rPr>
          <w:rFonts w:ascii="Palatino Linotype" w:eastAsiaTheme="minorHAnsi" w:hAnsi="Palatino Linotype" w:cs="Arial"/>
          <w:lang w:val="es-419" w:eastAsia="en-US"/>
        </w:rPr>
        <w:t>la</w:t>
      </w:r>
      <w:r w:rsidRPr="002F3269">
        <w:rPr>
          <w:rFonts w:ascii="Palatino Linotype" w:eastAsiaTheme="minorHAnsi" w:hAnsi="Palatino Linotype" w:cs="Arial"/>
          <w:lang w:val="es-MX" w:eastAsia="en-US"/>
        </w:rPr>
        <w:t>.</w:t>
      </w:r>
    </w:p>
    <w:p w:rsidR="00B140D6" w:rsidRPr="002F3269" w:rsidRDefault="00B140D6" w:rsidP="005330DC">
      <w:pPr>
        <w:autoSpaceDE w:val="0"/>
        <w:autoSpaceDN w:val="0"/>
        <w:adjustRightInd w:val="0"/>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De lo anterior se colige que, el hecho de que el </w:t>
      </w:r>
      <w:r w:rsidRPr="002F326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haya manifestado al </w:t>
      </w:r>
      <w:r w:rsidRPr="002F3269">
        <w:rPr>
          <w:rFonts w:ascii="Palatino Linotype" w:eastAsiaTheme="minorHAnsi" w:hAnsi="Palatino Linotype" w:cs="Arial"/>
          <w:b/>
          <w:lang w:val="es-MX" w:eastAsia="en-US"/>
        </w:rPr>
        <w:t>Recurrente</w:t>
      </w:r>
      <w:r w:rsidRPr="002F3269">
        <w:rPr>
          <w:rFonts w:ascii="Palatino Linotype" w:eastAsiaTheme="minorHAnsi" w:hAnsi="Palatino Linotype" w:cs="Arial"/>
          <w:lang w:val="es-MX" w:eastAsia="en-US"/>
        </w:rPr>
        <w:t xml:space="preserve"> que puede asistir a las instalaciones para acceder a lo solicitado, comprueba fehacientemente que dicha autoridad acepta que la genera, posee y/o administra los documentos solicitados, en ejercicio de sus funciones de derecho público, es decir, no </w:t>
      </w:r>
      <w:r w:rsidRPr="002F3269">
        <w:rPr>
          <w:rFonts w:ascii="Palatino Linotype" w:eastAsiaTheme="minorHAnsi" w:hAnsi="Palatino Linotype" w:cs="Arial"/>
          <w:lang w:val="es-MX" w:eastAsia="en-US"/>
        </w:rPr>
        <w:lastRenderedPageBreak/>
        <w:t>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De hecho, el estudio de la naturaleza jurídica de la información pública solicitada, tiene por objeto determinar si ésta la genera, posee o administra el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Ahora bien, respecto del cambio de modalidad, para este Órgano Garante no se justifica dicho cambio, pues no se acredita las imposibilidades del personal para poder entregar la información vía SAIMEX, sólo se refiere que</w:t>
      </w:r>
      <w:r w:rsidRPr="002F3269">
        <w:rPr>
          <w:rFonts w:ascii="Palatino Linotype" w:eastAsiaTheme="minorHAnsi" w:hAnsi="Palatino Linotype" w:cs="Arial"/>
          <w:lang w:val="es-419" w:eastAsia="en-US"/>
        </w:rPr>
        <w:t xml:space="preserve"> </w:t>
      </w:r>
      <w:r w:rsidRPr="002F3269">
        <w:rPr>
          <w:rFonts w:ascii="Palatino Linotype" w:eastAsiaTheme="minorHAnsi" w:hAnsi="Palatino Linotype" w:cs="Arial"/>
          <w:i/>
          <w:iCs/>
          <w:color w:val="222222"/>
          <w:lang w:val="es-MX" w:eastAsia="en-US"/>
        </w:rPr>
        <w:t>“…los servidores públicos encargados de la atención a las solicitudes, también cuentan con diversas atribuciones y funciones señaladas en el Reglamento Interior del SMDIF…cuenta con una persona adscrita al área, por lo cual no se cuenta con una estructura humana y material para dar atención exclusivamente a dichas solicitudes”</w:t>
      </w:r>
      <w:r w:rsidRPr="002F3269">
        <w:rPr>
          <w:rFonts w:ascii="Palatino Linotype" w:eastAsiaTheme="minorHAnsi" w:hAnsi="Palatino Linotype" w:cs="Arial"/>
          <w:lang w:val="es-419" w:eastAsia="en-US"/>
        </w:rPr>
        <w:t>, sin embargo, son manifestaciones</w:t>
      </w:r>
      <w:r w:rsidRPr="002F3269">
        <w:rPr>
          <w:rFonts w:ascii="Palatino Linotype" w:eastAsiaTheme="minorHAnsi" w:hAnsi="Palatino Linotype" w:cs="Arial"/>
          <w:lang w:val="es-MX" w:eastAsia="en-US"/>
        </w:rPr>
        <w:t xml:space="preserve"> que no le hacen caer en cuenta a este Instituto que efectivamente se intentó subir la información al SAIMEX, y que por alguna cuestión técnica no logró cargarse en dicho sistema electrónico; </w:t>
      </w:r>
      <w:r w:rsidRPr="002F3269">
        <w:rPr>
          <w:rFonts w:ascii="Palatino Linotype" w:eastAsiaTheme="minorHAnsi" w:hAnsi="Palatino Linotype" w:cs="Arial"/>
          <w:lang w:val="es-419" w:eastAsia="en-US"/>
        </w:rPr>
        <w:t>e</w:t>
      </w:r>
      <w:r w:rsidRPr="002F3269">
        <w:rPr>
          <w:rFonts w:ascii="Palatino Linotype" w:eastAsiaTheme="minorHAnsi" w:hAnsi="Palatino Linotype" w:cs="Arial"/>
          <w:lang w:val="es-MX" w:eastAsia="en-US"/>
        </w:rPr>
        <w:t xml:space="preserve">l </w:t>
      </w:r>
      <w:r w:rsidRPr="002F326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no demuestra porque </w:t>
      </w:r>
      <w:r w:rsidRPr="002F3269">
        <w:rPr>
          <w:rFonts w:ascii="Palatino Linotype" w:eastAsiaTheme="minorHAnsi" w:hAnsi="Palatino Linotype" w:cs="Arial"/>
          <w:lang w:val="es-419" w:eastAsia="en-US"/>
        </w:rPr>
        <w:t>la información solicitada</w:t>
      </w:r>
      <w:r w:rsidRPr="002F3269">
        <w:rPr>
          <w:rFonts w:ascii="Palatino Linotype" w:eastAsiaTheme="minorHAnsi" w:hAnsi="Palatino Linotype" w:cs="Arial"/>
          <w:lang w:val="es-MX" w:eastAsia="en-US"/>
        </w:rPr>
        <w:t xml:space="preserve"> no se puede escanear uno a uno</w:t>
      </w:r>
      <w:r w:rsidRPr="002F3269">
        <w:rPr>
          <w:rFonts w:ascii="Palatino Linotype" w:eastAsiaTheme="minorHAnsi" w:hAnsi="Palatino Linotype" w:cs="Arial"/>
          <w:lang w:val="es-419" w:eastAsia="en-US"/>
        </w:rPr>
        <w:t>, guardarlos en un archivo PDF</w:t>
      </w:r>
      <w:r w:rsidRPr="002F3269">
        <w:rPr>
          <w:rFonts w:ascii="Palatino Linotype" w:eastAsiaTheme="minorHAnsi" w:hAnsi="Palatino Linotype" w:cs="Arial"/>
          <w:lang w:val="es-MX" w:eastAsia="en-US"/>
        </w:rPr>
        <w:t xml:space="preserve"> y cargarlos al SAIMEX.</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419" w:eastAsia="en-US"/>
        </w:rPr>
      </w:pPr>
      <w:r w:rsidRPr="002F3269">
        <w:rPr>
          <w:rFonts w:ascii="Palatino Linotype" w:eastAsiaTheme="minorHAnsi" w:hAnsi="Palatino Linotype" w:cs="Arial"/>
          <w:lang w:val="es-MX" w:eastAsia="en-US"/>
        </w:rPr>
        <w:lastRenderedPageBreak/>
        <w:t xml:space="preserve">A efecto de llevar a cabo un cambio de modalidad el </w:t>
      </w:r>
      <w:r w:rsidR="00A76E99" w:rsidRPr="00A76E99">
        <w:rPr>
          <w:rFonts w:ascii="Palatino Linotype" w:eastAsiaTheme="minorHAnsi" w:hAnsi="Palatino Linotype" w:cs="Arial"/>
          <w:b/>
          <w:lang w:val="es-MX" w:eastAsia="en-US"/>
        </w:rPr>
        <w:t>Sujeto Obligado</w:t>
      </w:r>
      <w:r w:rsidR="00A76E99"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MX" w:eastAsia="en-US"/>
        </w:rPr>
        <w:t xml:space="preserve">debía además de solicitar incidencia a la Dirección General de Informática de este Instituto, demostrar porque cada </w:t>
      </w:r>
      <w:r w:rsidRPr="002F3269">
        <w:rPr>
          <w:rFonts w:ascii="Palatino Linotype" w:eastAsiaTheme="minorHAnsi" w:hAnsi="Palatino Linotype" w:cs="Arial"/>
          <w:lang w:val="es-419" w:eastAsia="en-US"/>
        </w:rPr>
        <w:t xml:space="preserve">documento que integran </w:t>
      </w:r>
      <w:r w:rsidRPr="002F3269">
        <w:rPr>
          <w:rFonts w:ascii="Palatino Linotype" w:eastAsiaTheme="minorHAnsi" w:hAnsi="Palatino Linotype" w:cs="Arial"/>
          <w:lang w:val="es-MX" w:eastAsia="en-US"/>
        </w:rPr>
        <w:t xml:space="preserve">los </w:t>
      </w:r>
      <w:r w:rsidR="00A76E99">
        <w:rPr>
          <w:rFonts w:ascii="Palatino Linotype" w:eastAsiaTheme="minorHAnsi" w:hAnsi="Palatino Linotype" w:cs="Arial"/>
          <w:lang w:val="es-MX" w:eastAsia="en-US"/>
        </w:rPr>
        <w:t>padrones de beneficiarios</w:t>
      </w:r>
      <w:r w:rsidRPr="002F3269">
        <w:rPr>
          <w:rFonts w:ascii="Palatino Linotype" w:eastAsiaTheme="minorHAnsi" w:hAnsi="Palatino Linotype" w:cs="Arial"/>
          <w:lang w:val="es-MX" w:eastAsia="en-US"/>
        </w:rPr>
        <w:t xml:space="preserve">, no podían cargarse al </w:t>
      </w:r>
      <w:r w:rsidR="00A76E99">
        <w:rPr>
          <w:rFonts w:ascii="Palatino Linotype" w:eastAsiaTheme="minorHAnsi" w:hAnsi="Palatino Linotype" w:cs="Arial"/>
          <w:lang w:val="es-MX" w:eastAsia="en-US"/>
        </w:rPr>
        <w:t xml:space="preserve">sistema </w:t>
      </w:r>
      <w:r w:rsidRPr="002F3269">
        <w:rPr>
          <w:rFonts w:ascii="Palatino Linotype" w:eastAsiaTheme="minorHAnsi" w:hAnsi="Palatino Linotype" w:cs="Arial"/>
          <w:lang w:val="es-MX" w:eastAsia="en-US"/>
        </w:rPr>
        <w:t>SAIMEX</w:t>
      </w:r>
      <w:r w:rsidRPr="002F3269">
        <w:rPr>
          <w:rFonts w:ascii="Palatino Linotype" w:eastAsiaTheme="minorHAnsi" w:hAnsi="Palatino Linotype" w:cs="Arial"/>
          <w:lang w:val="es-419" w:eastAsia="en-US"/>
        </w:rPr>
        <w:t>.</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Por otro lado no se refiere la cantidad de </w:t>
      </w:r>
      <w:r w:rsidRPr="002F3269">
        <w:rPr>
          <w:rFonts w:ascii="Palatino Linotype" w:eastAsiaTheme="minorHAnsi" w:hAnsi="Palatino Linotype" w:cs="Arial"/>
          <w:lang w:val="es-419" w:eastAsia="en-US"/>
        </w:rPr>
        <w:t>documentos</w:t>
      </w:r>
      <w:r w:rsidRPr="002F3269">
        <w:rPr>
          <w:rFonts w:ascii="Palatino Linotype" w:eastAsiaTheme="minorHAnsi" w:hAnsi="Palatino Linotype" w:cs="Arial"/>
          <w:lang w:val="es-MX" w:eastAsia="en-US"/>
        </w:rPr>
        <w:t xml:space="preserve"> que lo integran, ni se refiere cuánto pesa cada </w:t>
      </w:r>
      <w:r w:rsidRPr="002F3269">
        <w:rPr>
          <w:rFonts w:ascii="Palatino Linotype" w:eastAsiaTheme="minorHAnsi" w:hAnsi="Palatino Linotype" w:cs="Arial"/>
          <w:lang w:val="es-419" w:eastAsia="en-US"/>
        </w:rPr>
        <w:t>documento</w:t>
      </w:r>
      <w:r w:rsidRPr="002F3269">
        <w:rPr>
          <w:rFonts w:ascii="Palatino Linotype" w:eastAsiaTheme="minorHAnsi" w:hAnsi="Palatino Linotype" w:cs="Arial"/>
          <w:lang w:val="es-MX" w:eastAsia="en-US"/>
        </w:rPr>
        <w:t xml:space="preserve">, tampoco se refieren las circunstancias específicas de lo acontecido al momento de intentar subir </w:t>
      </w:r>
      <w:r w:rsidRPr="002F3269">
        <w:rPr>
          <w:rFonts w:ascii="Palatino Linotype" w:eastAsiaTheme="minorHAnsi" w:hAnsi="Palatino Linotype" w:cs="Arial"/>
          <w:lang w:val="es-419" w:eastAsia="en-US"/>
        </w:rPr>
        <w:t xml:space="preserve">alguno de éstos </w:t>
      </w:r>
      <w:r w:rsidRPr="002F3269">
        <w:rPr>
          <w:rFonts w:ascii="Palatino Linotype" w:eastAsiaTheme="minorHAnsi" w:hAnsi="Palatino Linotype" w:cs="Arial"/>
          <w:lang w:val="es-MX" w:eastAsia="en-US"/>
        </w:rPr>
        <w:t>al SAIMEX y que técnicamente no se haya podido subir, no, el sujeto habilitado se limita a referir: “…</w:t>
      </w:r>
      <w:r w:rsidRPr="002F3269">
        <w:rPr>
          <w:rFonts w:ascii="Palatino Linotype" w:eastAsiaTheme="minorHAnsi" w:hAnsi="Palatino Linotype" w:cs="Arial"/>
          <w:i/>
          <w:iCs/>
          <w:color w:val="222222"/>
          <w:lang w:val="es-MX" w:eastAsia="en-US"/>
        </w:rPr>
        <w:t>no se cuenta con una estructura humana y material para dar atención exclusivamente a dichas solicitudes</w:t>
      </w:r>
      <w:r w:rsidRPr="002F3269">
        <w:rPr>
          <w:rFonts w:ascii="Palatino Linotype" w:eastAsia="Arial Unicode MS" w:hAnsi="Palatino Linotype" w:cs="Arial"/>
          <w:lang w:val="es-MX" w:eastAsia="en-US"/>
        </w:rPr>
        <w:t>.”</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Entonces, no hay incidencia emitida por la Dirección General de Informática de este Órgano Garante (a petición de ese </w:t>
      </w:r>
      <w:r w:rsidR="00A76E99"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no se corrobora por qué no se pudo escanear</w:t>
      </w:r>
      <w:r w:rsidRPr="002F3269">
        <w:rPr>
          <w:rFonts w:ascii="Palatino Linotype" w:eastAsiaTheme="minorHAnsi" w:hAnsi="Palatino Linotype" w:cs="Arial"/>
          <w:lang w:val="es-419" w:eastAsia="en-US"/>
        </w:rPr>
        <w:t xml:space="preserve"> y guardar</w:t>
      </w:r>
      <w:r w:rsidRPr="002F3269">
        <w:rPr>
          <w:rFonts w:ascii="Palatino Linotype" w:eastAsiaTheme="minorHAnsi" w:hAnsi="Palatino Linotype" w:cs="Arial"/>
          <w:lang w:val="es-MX" w:eastAsia="en-US"/>
        </w:rPr>
        <w:t xml:space="preserve"> los documentos, no se demuestra que una vez escaneado</w:t>
      </w:r>
      <w:r w:rsidRPr="002F3269">
        <w:rPr>
          <w:rFonts w:ascii="Palatino Linotype" w:eastAsiaTheme="minorHAnsi" w:hAnsi="Palatino Linotype" w:cs="Arial"/>
          <w:lang w:val="es-419" w:eastAsia="en-US"/>
        </w:rPr>
        <w:t>s</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419" w:eastAsia="en-US"/>
        </w:rPr>
        <w:t>los</w:t>
      </w:r>
      <w:r w:rsidRPr="002F3269">
        <w:rPr>
          <w:rFonts w:ascii="Palatino Linotype" w:eastAsiaTheme="minorHAnsi" w:hAnsi="Palatino Linotype" w:cs="Arial"/>
          <w:lang w:val="es-MX" w:eastAsia="en-US"/>
        </w:rPr>
        <w:t xml:space="preserve"> archivos no se pudieron cargar en el SAIMEX.</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Bajo tal premisa, el numeral 158 de la Ley de Transparencia y Acceso a la Información Pública del Estado de México y Municipios, señala que cuando lo determine el </w:t>
      </w:r>
      <w:r w:rsidR="00A76E99"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2F3269">
        <w:rPr>
          <w:rFonts w:ascii="Palatino Linotype" w:eastAsiaTheme="minorHAnsi" w:hAnsi="Palatino Linotype" w:cs="Arial"/>
          <w:b/>
          <w:lang w:val="es-MX" w:eastAsia="en-US"/>
        </w:rPr>
        <w:t xml:space="preserve"> no siendo óbice mencionar que dicho cambio de </w:t>
      </w:r>
      <w:r w:rsidRPr="002F3269">
        <w:rPr>
          <w:rFonts w:ascii="Palatino Linotype" w:eastAsiaTheme="minorHAnsi" w:hAnsi="Palatino Linotype" w:cs="Arial"/>
          <w:b/>
          <w:lang w:val="es-MX" w:eastAsia="en-US"/>
        </w:rPr>
        <w:lastRenderedPageBreak/>
        <w:t>modalidad de entrega deberá de estar debidamente fundado y motivado</w:t>
      </w:r>
      <w:r w:rsidRPr="002F3269">
        <w:rPr>
          <w:rFonts w:ascii="Palatino Linotype" w:eastAsiaTheme="minorHAnsi" w:hAnsi="Palatino Linotype" w:cs="Arial"/>
          <w:lang w:val="es-MX" w:eastAsia="en-US"/>
        </w:rPr>
        <w:t xml:space="preserve">, en el cual se expliquen las razones o motivos del cambio, exceptuando la información clasificada, la cual se deberá de respaldar de igual manera por un acuerdo de clasificación, y que como hasta aquí se ha analizado, no se realizó por parte del </w:t>
      </w:r>
      <w:r w:rsidR="00A76E99"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no esgrimió las razones o motivos por los cuales la entrega o reproducción sobrepasó sus capacidades técnicas, administrativas y humanas.</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Por lo anterior, de la respuesta otorgada por el </w:t>
      </w:r>
      <w:r w:rsidRPr="00A76E9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no se denota que se actualicen los supuestos establecidos en el numeral 158 y 164 de la Ley de Transparencia local vigente.</w:t>
      </w:r>
      <w:r w:rsidR="00A76E9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MX" w:eastAsia="en-US"/>
        </w:rPr>
        <w:t>Asimismo, no se aprecia que el sujeto obligado haya aportado mayores elementos para justificar el cambio de modalidad.</w:t>
      </w:r>
    </w:p>
    <w:p w:rsidR="00B140D6"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075F0A" w:rsidRDefault="00B140D6" w:rsidP="005330DC">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t>Luego entonces, en virtud de que mediante respuesta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a la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solicitud</w:t>
      </w:r>
      <w:r>
        <w:rPr>
          <w:rFonts w:ascii="Palatino Linotype" w:eastAsiaTheme="minorHAnsi" w:hAnsi="Palatino Linotype" w:cs="Arial"/>
          <w:lang w:eastAsia="en-US"/>
        </w:rPr>
        <w:t>es</w:t>
      </w:r>
      <w:r w:rsidRPr="00075F0A">
        <w:rPr>
          <w:rFonts w:ascii="Palatino Linotype" w:eastAsiaTheme="minorHAnsi" w:hAnsi="Palatino Linotype" w:cs="Arial"/>
          <w:lang w:eastAsia="en-US"/>
        </w:rPr>
        <w:t xml:space="preserve"> de  información,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propuso un cambio de modalidad de entrega, poniendo a disposición del </w:t>
      </w:r>
      <w:r w:rsidRPr="00075F0A">
        <w:rPr>
          <w:rFonts w:ascii="Palatino Linotype" w:eastAsiaTheme="minorHAnsi" w:hAnsi="Palatino Linotype" w:cs="Arial"/>
          <w:b/>
          <w:lang w:eastAsia="en-US"/>
        </w:rPr>
        <w:t>Recurrente</w:t>
      </w:r>
      <w:r w:rsidRPr="00075F0A">
        <w:rPr>
          <w:rFonts w:ascii="Palatino Linotype" w:eastAsiaTheme="minorHAnsi" w:hAnsi="Palatino Linotype" w:cs="Arial"/>
          <w:lang w:eastAsia="en-US"/>
        </w:rPr>
        <w:t xml:space="preserve"> la información en consulta directa, argumentando que lo requerido representa un volumen considerable de información; en fecha dieciséis de agosto de dos mil veintidós, a través de correo institucional, esta Ponencia invitó al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(SAIMEX), atendiendo a que mediante respuesta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no se precisa el volumen de la información que acredite sus aseveraciones.</w:t>
      </w:r>
    </w:p>
    <w:p w:rsidR="00B140D6" w:rsidRPr="00075F0A" w:rsidRDefault="00B140D6" w:rsidP="005330DC">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lastRenderedPageBreak/>
        <w:t xml:space="preserve">En ese tenor de ideas, se solicitó mediante correo electrónico oficial a la Dirección General de Informática de este Instituto, el informe respecto a si existió reporte de incidencias realizado por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en los recursos de revisión que nos ocupan, por lo que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w:t>
      </w:r>
      <w:r w:rsidRPr="00075F0A">
        <w:rPr>
          <w:rFonts w:ascii="Palatino Linotype" w:eastAsiaTheme="minorHAnsi" w:hAnsi="Palatino Linotype" w:cs="Arial"/>
          <w:b/>
          <w:lang w:eastAsia="en-US"/>
        </w:rPr>
        <w:t>no se tiene reporte de llamada alguna, ni tampoco se tiene registro de incidencia</w:t>
      </w:r>
      <w:r w:rsidRPr="00075F0A">
        <w:rPr>
          <w:rFonts w:ascii="Palatino Linotype" w:eastAsiaTheme="minorHAnsi" w:hAnsi="Palatino Linotype" w:cs="Arial"/>
          <w:lang w:eastAsia="en-US"/>
        </w:rPr>
        <w:t xml:space="preserve"> por parte del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en ninguno de los recursos que nos ocupan.</w:t>
      </w:r>
    </w:p>
    <w:p w:rsidR="00B140D6" w:rsidRDefault="00B140D6" w:rsidP="005330DC">
      <w:pPr>
        <w:tabs>
          <w:tab w:val="left" w:pos="7938"/>
        </w:tabs>
        <w:spacing w:line="360" w:lineRule="auto"/>
        <w:jc w:val="both"/>
        <w:rPr>
          <w:rFonts w:ascii="Palatino Linotype" w:eastAsiaTheme="minorHAnsi" w:hAnsi="Palatino Linotype" w:cs="Arial"/>
          <w:lang w:eastAsia="en-US"/>
        </w:rPr>
      </w:pPr>
    </w:p>
    <w:p w:rsidR="00B140D6" w:rsidRPr="00075F0A" w:rsidRDefault="00B140D6" w:rsidP="005330DC">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t xml:space="preserve">Asimismo informó que en relación al peso máximo de archivos que soporta el </w:t>
      </w:r>
      <w:r w:rsidRPr="00075F0A">
        <w:rPr>
          <w:rFonts w:ascii="Palatino Linotype" w:eastAsiaTheme="minorHAnsi" w:hAnsi="Palatino Linotype" w:cs="Arial"/>
          <w:b/>
          <w:lang w:eastAsia="en-US"/>
        </w:rPr>
        <w:t>SAIMEX</w:t>
      </w:r>
      <w:r w:rsidRPr="00075F0A">
        <w:rPr>
          <w:rFonts w:ascii="Palatino Linotype" w:eastAsiaTheme="minorHAnsi" w:hAnsi="Palatino Linotype" w:cs="Arial"/>
          <w:lang w:eastAsia="en-US"/>
        </w:rPr>
        <w:t xml:space="preserve">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00B140D6" w:rsidRDefault="00B140D6" w:rsidP="005330DC">
      <w:pPr>
        <w:tabs>
          <w:tab w:val="left" w:pos="7938"/>
        </w:tabs>
        <w:spacing w:line="360" w:lineRule="auto"/>
        <w:jc w:val="both"/>
        <w:rPr>
          <w:rFonts w:ascii="Palatino Linotype" w:eastAsiaTheme="minorHAnsi" w:hAnsi="Palatino Linotype" w:cs="Arial"/>
          <w:lang w:eastAsia="en-US"/>
        </w:rPr>
      </w:pPr>
    </w:p>
    <w:p w:rsidR="00B140D6" w:rsidRPr="002F3269" w:rsidRDefault="00B140D6" w:rsidP="005330DC">
      <w:pPr>
        <w:tabs>
          <w:tab w:val="left" w:pos="7938"/>
        </w:tabs>
        <w:spacing w:line="360" w:lineRule="auto"/>
        <w:jc w:val="both"/>
        <w:rPr>
          <w:rFonts w:ascii="Palatino Linotype" w:eastAsiaTheme="minorHAnsi" w:hAnsi="Palatino Linotype" w:cs="Arial"/>
          <w:lang w:val="es-419" w:eastAsia="en-US"/>
        </w:rPr>
      </w:pPr>
      <w:r w:rsidRPr="00075F0A">
        <w:rPr>
          <w:rFonts w:ascii="Palatino Linotype" w:eastAsiaTheme="minorHAnsi" w:hAnsi="Palatino Linotype" w:cs="Arial"/>
          <w:lang w:eastAsia="en-US"/>
        </w:rPr>
        <w:t xml:space="preserve">Por lo anterior, es de concluirse en este punto, que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no acredita la necesidad del cambio de modalidad de la entrega de información, </w:t>
      </w:r>
      <w:r>
        <w:rPr>
          <w:rFonts w:ascii="Palatino Linotype" w:eastAsiaTheme="minorHAnsi" w:hAnsi="Palatino Linotype" w:cs="Arial"/>
          <w:lang w:eastAsia="en-US"/>
        </w:rPr>
        <w:t>e</w:t>
      </w:r>
      <w:r w:rsidRPr="002F3269">
        <w:rPr>
          <w:rFonts w:ascii="Palatino Linotype" w:eastAsiaTheme="minorHAnsi" w:hAnsi="Palatino Linotype" w:cs="Arial"/>
          <w:lang w:val="es-MX" w:eastAsia="en-US"/>
        </w:rPr>
        <w:t xml:space="preserve">n consecuencia el sujeto obligado deberá entregar la información solicitada </w:t>
      </w:r>
      <w:r w:rsidRPr="002F3269">
        <w:rPr>
          <w:rFonts w:ascii="Palatino Linotype" w:eastAsiaTheme="minorHAnsi" w:hAnsi="Palatino Linotype" w:cs="Arial"/>
          <w:b/>
          <w:u w:val="single"/>
          <w:lang w:val="es-MX" w:eastAsia="en-US"/>
        </w:rPr>
        <w:t>a través del SAIMEX</w:t>
      </w:r>
      <w:r w:rsidRPr="002F3269">
        <w:rPr>
          <w:rFonts w:ascii="Palatino Linotype" w:eastAsiaTheme="minorHAnsi" w:hAnsi="Palatino Linotype" w:cs="Arial"/>
          <w:lang w:val="es-MX" w:eastAsia="en-US"/>
        </w:rPr>
        <w:t xml:space="preserve">, en versión pública al no justificar las razones por las cuales le haría entrega de la información en las oficinas de la dependencia, en su caso, </w:t>
      </w:r>
      <w:r w:rsidRPr="002F3269">
        <w:rPr>
          <w:rFonts w:ascii="Palatino Linotype" w:eastAsiaTheme="minorHAnsi" w:hAnsi="Palatino Linotype" w:cs="Arial"/>
          <w:lang w:val="es-419" w:eastAsia="en-US"/>
        </w:rPr>
        <w:t>en versión</w:t>
      </w:r>
      <w:r w:rsidRPr="002F3269">
        <w:rPr>
          <w:rFonts w:ascii="Palatino Linotype" w:eastAsiaTheme="minorHAnsi" w:hAnsi="Palatino Linotype" w:cs="Arial"/>
          <w:lang w:val="es-MX" w:eastAsia="en-US"/>
        </w:rPr>
        <w:t xml:space="preserve"> pública</w:t>
      </w:r>
      <w:r w:rsidRPr="002F3269">
        <w:rPr>
          <w:rFonts w:ascii="Palatino Linotype" w:eastAsiaTheme="minorHAnsi" w:hAnsi="Palatino Linotype" w:cs="Arial"/>
          <w:lang w:val="es-419" w:eastAsia="en-US"/>
        </w:rPr>
        <w:t xml:space="preserve"> acompañadas de su respectivo acuerdo de clasificación.</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color w:val="000000" w:themeColor="text1"/>
          <w:lang w:val="es-MX" w:eastAsia="en-US"/>
        </w:rPr>
        <w:lastRenderedPageBreak/>
        <w:t xml:space="preserve">Finalmente, </w:t>
      </w:r>
      <w:r w:rsidRPr="002F3269">
        <w:rPr>
          <w:rFonts w:ascii="Palatino Linotype" w:eastAsia="Calibri" w:hAnsi="Palatino Linotype" w:cs="Arial"/>
          <w:color w:val="000000" w:themeColor="text1"/>
          <w:lang w:val="es-MX" w:eastAsia="en-US"/>
        </w:rPr>
        <w:t>respecto de las manifestaciones</w:t>
      </w:r>
      <w:r w:rsidRPr="002F3269">
        <w:rPr>
          <w:rFonts w:ascii="Palatino Linotype" w:eastAsia="Arial Unicode MS" w:hAnsi="Palatino Linotype" w:cs="Arial"/>
          <w:color w:val="000000" w:themeColor="text1"/>
          <w:lang w:val="es-MX" w:eastAsia="en-US"/>
        </w:rPr>
        <w:t xml:space="preserve"> realizadas por el</w:t>
      </w:r>
      <w:r w:rsidRPr="002F3269">
        <w:rPr>
          <w:rFonts w:ascii="Palatino Linotype" w:eastAsia="Arial Unicode MS" w:hAnsi="Palatino Linotype" w:cs="Arial"/>
          <w:b/>
          <w:color w:val="000000" w:themeColor="text1"/>
          <w:lang w:val="es-MX" w:eastAsia="en-US"/>
        </w:rPr>
        <w:t xml:space="preserve"> </w:t>
      </w:r>
      <w:r w:rsidRPr="002F3269">
        <w:rPr>
          <w:rFonts w:ascii="Palatino Linotype" w:eastAsiaTheme="minorHAnsi" w:hAnsi="Palatino Linotype" w:cstheme="minorBidi"/>
          <w:b/>
          <w:color w:val="000000" w:themeColor="text1"/>
          <w:lang w:val="es-MX" w:eastAsia="en-US"/>
        </w:rPr>
        <w:t>Recurrente</w:t>
      </w:r>
      <w:r w:rsidRPr="002F3269">
        <w:rPr>
          <w:rFonts w:ascii="Palatino Linotype" w:eastAsia="Arial Unicode MS" w:hAnsi="Palatino Linotype" w:cs="Arial"/>
          <w:b/>
          <w:color w:val="000000" w:themeColor="text1"/>
          <w:lang w:val="es-MX" w:eastAsia="en-US"/>
        </w:rPr>
        <w:t xml:space="preserve"> </w:t>
      </w:r>
      <w:r w:rsidRPr="002F3269">
        <w:rPr>
          <w:rFonts w:ascii="Palatino Linotype" w:eastAsia="Arial Unicode MS" w:hAnsi="Palatino Linotype" w:cs="Arial"/>
          <w:color w:val="000000" w:themeColor="text1"/>
          <w:lang w:val="es-MX" w:eastAsia="en-US"/>
        </w:rPr>
        <w:t xml:space="preserve">como razones o motivos de </w:t>
      </w:r>
      <w:r w:rsidRPr="002F3269">
        <w:rPr>
          <w:rFonts w:ascii="Palatino Linotype" w:eastAsiaTheme="minorHAnsi" w:hAnsi="Palatino Linotype" w:cs="Arial"/>
          <w:color w:val="000000" w:themeColor="text1"/>
          <w:lang w:val="es-MX" w:eastAsia="es-CO"/>
        </w:rPr>
        <w:t>inconformidad</w:t>
      </w:r>
      <w:r w:rsidRPr="002F3269">
        <w:rPr>
          <w:rFonts w:ascii="Palatino Linotype" w:eastAsia="Arial Unicode MS" w:hAnsi="Palatino Linotype" w:cs="Arial"/>
          <w:color w:val="000000" w:themeColor="text1"/>
          <w:lang w:val="es-MX" w:eastAsia="en-US"/>
        </w:rPr>
        <w:t xml:space="preserve">, consistentes en </w:t>
      </w:r>
      <w:r w:rsidRPr="002F3269">
        <w:rPr>
          <w:rFonts w:ascii="Palatino Linotype" w:eastAsiaTheme="minorHAnsi" w:hAnsi="Palatino Linotype" w:cs="Arial"/>
          <w:i/>
          <w:color w:val="000000" w:themeColor="text1"/>
          <w:lang w:val="es-MX"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2F3269">
        <w:rPr>
          <w:rFonts w:ascii="Palatino Linotype" w:eastAsiaTheme="minorHAnsi" w:hAnsi="Palatino Linotype" w:cstheme="minorBidi"/>
          <w:color w:val="000000" w:themeColor="text1"/>
          <w:lang w:val="es-MX" w:eastAsia="en-US"/>
        </w:rPr>
        <w:t xml:space="preserve">y derivado que </w:t>
      </w:r>
      <w:r>
        <w:rPr>
          <w:rFonts w:ascii="Palatino Linotype" w:eastAsiaTheme="minorHAnsi" w:hAnsi="Palatino Linotype" w:cstheme="minorBidi"/>
          <w:color w:val="000000" w:themeColor="text1"/>
          <w:lang w:val="es-MX" w:eastAsia="en-US"/>
        </w:rPr>
        <w:t>los r</w:t>
      </w:r>
      <w:r w:rsidRPr="002F3269">
        <w:rPr>
          <w:rFonts w:ascii="Palatino Linotype" w:eastAsiaTheme="minorHAnsi" w:hAnsi="Palatino Linotype" w:cstheme="minorBidi"/>
          <w:color w:val="000000" w:themeColor="text1"/>
          <w:lang w:val="es-MX" w:eastAsia="en-US"/>
        </w:rPr>
        <w:t>ecurso</w:t>
      </w:r>
      <w:r>
        <w:rPr>
          <w:rFonts w:ascii="Palatino Linotype" w:eastAsiaTheme="minorHAnsi" w:hAnsi="Palatino Linotype" w:cstheme="minorBidi"/>
          <w:color w:val="000000" w:themeColor="text1"/>
          <w:lang w:val="es-MX" w:eastAsia="en-US"/>
        </w:rPr>
        <w:t>s</w:t>
      </w:r>
      <w:r w:rsidRPr="002F3269">
        <w:rPr>
          <w:rFonts w:ascii="Palatino Linotype" w:eastAsiaTheme="minorHAnsi" w:hAnsi="Palatino Linotype" w:cstheme="minorBidi"/>
          <w:color w:val="000000" w:themeColor="text1"/>
          <w:lang w:val="es-MX" w:eastAsia="en-US"/>
        </w:rPr>
        <w:t xml:space="preserve"> de </w:t>
      </w:r>
      <w:r>
        <w:rPr>
          <w:rFonts w:ascii="Palatino Linotype" w:eastAsiaTheme="minorHAnsi" w:hAnsi="Palatino Linotype" w:cstheme="minorBidi"/>
          <w:color w:val="000000" w:themeColor="text1"/>
          <w:lang w:val="es-MX" w:eastAsia="en-US"/>
        </w:rPr>
        <w:t>r</w:t>
      </w:r>
      <w:r w:rsidRPr="002F3269">
        <w:rPr>
          <w:rFonts w:ascii="Palatino Linotype" w:eastAsiaTheme="minorHAnsi" w:hAnsi="Palatino Linotype" w:cstheme="minorBidi"/>
          <w:color w:val="000000" w:themeColor="text1"/>
          <w:lang w:val="es-MX" w:eastAsia="en-US"/>
        </w:rPr>
        <w:t xml:space="preserve">evisión no </w:t>
      </w:r>
      <w:r>
        <w:rPr>
          <w:rFonts w:ascii="Palatino Linotype" w:eastAsiaTheme="minorHAnsi" w:hAnsi="Palatino Linotype" w:cstheme="minorBidi"/>
          <w:color w:val="000000" w:themeColor="text1"/>
          <w:lang w:val="es-MX" w:eastAsia="en-US"/>
        </w:rPr>
        <w:t xml:space="preserve">son </w:t>
      </w:r>
      <w:r w:rsidRPr="002F3269">
        <w:rPr>
          <w:rFonts w:ascii="Palatino Linotype" w:eastAsiaTheme="minorHAnsi" w:hAnsi="Palatino Linotype" w:cstheme="minorBidi"/>
          <w:color w:val="000000" w:themeColor="text1"/>
          <w:lang w:val="es-MX" w:eastAsia="en-US"/>
        </w:rPr>
        <w:t>el medio para sancionar, este Órgano Garante</w:t>
      </w:r>
      <w:r w:rsidRPr="002F3269">
        <w:rPr>
          <w:rFonts w:ascii="Palatino Linotype" w:eastAsiaTheme="minorHAnsi" w:hAnsi="Palatino Linotype" w:cs="Arial"/>
          <w:lang w:val="es-MX" w:eastAsia="en-US"/>
        </w:rPr>
        <w:t xml:space="preserve"> sugiere al solicitante, interponer su queja o denuncia ante la autoridad competente</w:t>
      </w:r>
      <w:r w:rsidRPr="002F3269">
        <w:rPr>
          <w:rFonts w:ascii="Palatino Linotype" w:eastAsiaTheme="minorHAnsi" w:hAnsi="Palatino Linotype" w:cs="Arial"/>
          <w:color w:val="000000" w:themeColor="text1"/>
          <w:lang w:val="es-MX" w:eastAsia="en-US"/>
        </w:rPr>
        <w:t>.</w:t>
      </w:r>
    </w:p>
    <w:p w:rsidR="00B140D6" w:rsidRPr="002F3269" w:rsidRDefault="00B140D6" w:rsidP="005330DC">
      <w:pPr>
        <w:spacing w:line="360" w:lineRule="auto"/>
        <w:jc w:val="both"/>
        <w:rPr>
          <w:rFonts w:ascii="Palatino Linotype" w:hAnsi="Palatino Linotype"/>
          <w:lang w:val="es-MX"/>
        </w:rPr>
      </w:pPr>
    </w:p>
    <w:p w:rsidR="00B140D6" w:rsidRPr="002F3269" w:rsidRDefault="00B140D6" w:rsidP="005330DC">
      <w:pPr>
        <w:numPr>
          <w:ilvl w:val="0"/>
          <w:numId w:val="13"/>
        </w:numPr>
        <w:shd w:val="clear" w:color="auto" w:fill="FFFFFF"/>
        <w:spacing w:line="360" w:lineRule="auto"/>
        <w:ind w:left="426"/>
        <w:jc w:val="both"/>
        <w:rPr>
          <w:rFonts w:ascii="Palatino Linotype" w:hAnsi="Palatino Linotype"/>
          <w:color w:val="222222"/>
          <w:sz w:val="28"/>
          <w:lang w:eastAsia="es-MX"/>
        </w:rPr>
      </w:pPr>
      <w:r w:rsidRPr="002F3269">
        <w:rPr>
          <w:rFonts w:ascii="Palatino Linotype" w:hAnsi="Palatino Linotype"/>
          <w:b/>
          <w:bCs/>
          <w:i/>
          <w:iCs/>
          <w:color w:val="222222"/>
          <w:sz w:val="28"/>
          <w:lang w:eastAsia="es-MX"/>
        </w:rPr>
        <w:t>De la versión pública.</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Theme="minorHAnsi" w:hAnsi="Palatino Linotype" w:cstheme="minorBidi"/>
          <w:b/>
          <w:bCs/>
          <w:i/>
          <w:iCs/>
          <w:color w:val="222222"/>
          <w:lang w:val="es-MX" w:eastAsia="es-MX"/>
        </w:rPr>
        <w:t> </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B140D6" w:rsidRDefault="00B140D6" w:rsidP="005330DC">
      <w:pPr>
        <w:tabs>
          <w:tab w:val="left" w:pos="7938"/>
        </w:tabs>
        <w:spacing w:line="360" w:lineRule="auto"/>
        <w:jc w:val="both"/>
        <w:rPr>
          <w:rFonts w:ascii="Palatino Linotype" w:eastAsia="Arial Unicode MS" w:hAnsi="Palatino Linotype" w:cs="Arial"/>
          <w:szCs w:val="22"/>
          <w:lang w:val="es-MX" w:eastAsia="en-US"/>
        </w:rPr>
      </w:pPr>
    </w:p>
    <w:p w:rsidR="00DD2466" w:rsidRPr="002F3269" w:rsidRDefault="00DD2466" w:rsidP="005330DC">
      <w:pPr>
        <w:tabs>
          <w:tab w:val="left" w:pos="7938"/>
        </w:tabs>
        <w:spacing w:line="360" w:lineRule="auto"/>
        <w:jc w:val="both"/>
        <w:rPr>
          <w:rFonts w:ascii="Palatino Linotype" w:eastAsia="Arial Unicode MS" w:hAnsi="Palatino Linotype" w:cs="Arial"/>
          <w:szCs w:val="22"/>
          <w:lang w:val="es-MX" w:eastAsia="en-US"/>
        </w:rPr>
      </w:pP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lastRenderedPageBreak/>
        <w:t>Artículo 3. Para los efectos de la presente Ley se entenderá por:</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IX. Datos personales: La información concerniente a una persona, identificada o identificable según lo dispuesto por la Ley de Protección de Datos Personales del Estado de México;</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XLV. Versión pública: Documento en el que se elimine, suprime o borra la información clasificada como reservada o confidencial para permitir su acceso.</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122.</w:t>
      </w:r>
      <w:r w:rsidRPr="002F3269">
        <w:rPr>
          <w:rFonts w:ascii="Palatino Linotype" w:eastAsiaTheme="minorHAnsi" w:hAnsi="Palatino Linotype" w:cstheme="minorBidi"/>
          <w:i/>
          <w:iCs/>
          <w:color w:val="222222"/>
          <w:sz w:val="22"/>
          <w:szCs w:val="22"/>
          <w:lang w:val="es-MX" w:eastAsia="es-MX"/>
        </w:rPr>
        <w:t> La clasificación es el proceso mediante el cual el sujeto obligado determina que la información en su poder actualiza alguno de los supuestos de reserva o confidencialidad, de conformidad con lo dispuesto en el presente título.</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p>
    <w:p w:rsidR="00A76E99" w:rsidRDefault="00A76E99" w:rsidP="005330DC">
      <w:pPr>
        <w:shd w:val="clear" w:color="auto" w:fill="FFFFFF"/>
        <w:ind w:left="567" w:right="567"/>
        <w:jc w:val="both"/>
        <w:rPr>
          <w:rFonts w:ascii="Palatino Linotype" w:eastAsiaTheme="minorHAnsi" w:hAnsi="Palatino Linotype" w:cstheme="minorBidi"/>
          <w:bCs/>
          <w:i/>
          <w:iCs/>
          <w:color w:val="222222"/>
          <w:sz w:val="22"/>
          <w:szCs w:val="22"/>
          <w:lang w:val="es-MX" w:eastAsia="es-MX"/>
        </w:rPr>
      </w:pP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132.</w:t>
      </w:r>
      <w:r w:rsidRPr="002F3269">
        <w:rPr>
          <w:rFonts w:ascii="Palatino Linotype" w:eastAsiaTheme="minorHAnsi" w:hAnsi="Palatino Linotype" w:cstheme="minorBidi"/>
          <w:i/>
          <w:iCs/>
          <w:color w:val="222222"/>
          <w:sz w:val="22"/>
          <w:szCs w:val="22"/>
          <w:lang w:val="es-MX" w:eastAsia="es-MX"/>
        </w:rPr>
        <w:t> La clasificación de la información se llevará a cabo en el momento en que:</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II. Se determine mediante resolución de autoridad competente; o</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2F3269">
        <w:rPr>
          <w:rFonts w:ascii="Palatino Linotype" w:eastAsiaTheme="minorHAnsi" w:hAnsi="Palatino Linotype" w:cstheme="minorBidi"/>
          <w:b/>
          <w:bCs/>
          <w:i/>
          <w:iCs/>
          <w:color w:val="222222"/>
          <w:sz w:val="22"/>
          <w:szCs w:val="22"/>
          <w:u w:val="single"/>
          <w:lang w:val="es-MX" w:eastAsia="es-MX"/>
        </w:rPr>
        <w:t>de manera genérica y fundando y motivando su clasificación.”</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B140D6" w:rsidRPr="002F3269" w:rsidRDefault="00B140D6" w:rsidP="005330DC">
      <w:pPr>
        <w:shd w:val="clear" w:color="auto" w:fill="FFFFFF"/>
        <w:ind w:left="567" w:right="567"/>
        <w:jc w:val="right"/>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color w:val="222222"/>
          <w:sz w:val="22"/>
          <w:szCs w:val="22"/>
          <w:lang w:val="es-MX" w:eastAsia="es-MX"/>
        </w:rPr>
        <w:t>(Énfasis añadido)</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Lo anterior, es compartido por el Instituto Nacional de Transparencia, Acceso a la Información Pública y Protección de Datos Personales (INAI), a través del Criterio 19/17, de la segunda época, el cual es del tenor literal siguiente:</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r w:rsidRPr="002F3269">
        <w:rPr>
          <w:rFonts w:ascii="Palatino Linotype" w:eastAsiaTheme="minorHAnsi" w:hAnsi="Palatino Linotype" w:cstheme="minorBidi"/>
          <w:b/>
          <w:bCs/>
          <w:i/>
          <w:iCs/>
          <w:color w:val="222222"/>
          <w:sz w:val="22"/>
          <w:szCs w:val="22"/>
          <w:lang w:val="es-MX" w:eastAsia="es-MX"/>
        </w:rPr>
        <w:t>Registro Federal de Contribuyentes (RFC) de personas físicas. </w:t>
      </w:r>
      <w:r w:rsidRPr="002F3269">
        <w:rPr>
          <w:rFonts w:ascii="Palatino Linotype" w:eastAsiaTheme="minorHAnsi" w:hAnsi="Palatino Linotype" w:cstheme="minorBidi"/>
          <w:i/>
          <w:iCs/>
          <w:color w:val="222222"/>
          <w:sz w:val="22"/>
          <w:szCs w:val="22"/>
          <w:lang w:val="es-MX" w:eastAsia="es-MX"/>
        </w:rPr>
        <w:t>El RFC es una clave de carácter fiscal, única e irrepetible, que permite identificar al titular, su edad y fecha de nacimiento, por lo que es un dato personal de carácter confidencial.</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Resoluciones:</w:t>
      </w:r>
    </w:p>
    <w:p w:rsidR="00B140D6" w:rsidRPr="00DD2466" w:rsidRDefault="00B140D6" w:rsidP="005330D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2F3269">
        <w:rPr>
          <w:rFonts w:ascii="Palatino Linotype" w:eastAsiaTheme="minorHAnsi" w:hAnsi="Palatino Linotype" w:cstheme="minorBidi"/>
          <w:i/>
          <w:iCs/>
          <w:color w:val="222222"/>
          <w:sz w:val="22"/>
          <w:szCs w:val="22"/>
          <w:lang w:val="es-MX" w:eastAsia="es-MX"/>
        </w:rPr>
        <w:t xml:space="preserve">• </w:t>
      </w:r>
      <w:r w:rsidRPr="00DD2466">
        <w:rPr>
          <w:rFonts w:ascii="Palatino Linotype" w:eastAsiaTheme="minorHAnsi" w:hAnsi="Palatino Linotype" w:cstheme="minorBidi"/>
          <w:i/>
          <w:iCs/>
          <w:color w:val="222222"/>
          <w:sz w:val="20"/>
          <w:szCs w:val="22"/>
          <w:lang w:val="es-MX" w:eastAsia="es-MX"/>
        </w:rPr>
        <w:t>RRA 0189/17. Morena. 08 de febrero de 2017. Por unanimidad. Comisionado Ponente Joel Salas Suárez.</w:t>
      </w:r>
    </w:p>
    <w:p w:rsidR="00B140D6" w:rsidRPr="00DD2466" w:rsidRDefault="00B140D6" w:rsidP="005330D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 RRA 0677/17. Universidad Nacional Autónoma de México. 08 de marzo de 2017. Por unanimidad. Comisionado Ponente Rosendoevgueni Monterrey Chepov.</w:t>
      </w:r>
    </w:p>
    <w:p w:rsidR="00B140D6" w:rsidRPr="00DD2466" w:rsidRDefault="00B140D6" w:rsidP="005330D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 RRA 1564/17. Tribunal Electoral del Poder Judicial de la Federación. 26 de abril de 2017. Por unanimidad. Comisionado Ponente Oscar Mauricio Guerra Ford.”</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Theme="minorHAnsi" w:hAnsi="Palatino Linotype" w:cstheme="minorBidi"/>
          <w:i/>
          <w:iCs/>
          <w:color w:val="222222"/>
          <w:sz w:val="22"/>
          <w:szCs w:val="22"/>
          <w:lang w:val="es-MX" w:eastAsia="es-MX"/>
        </w:rPr>
        <w:t> </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2F3269">
        <w:rPr>
          <w:rFonts w:ascii="Palatino Linotype" w:eastAsia="Arial Unicode MS" w:hAnsi="Palatino Linotype" w:cs="Arial"/>
          <w:szCs w:val="22"/>
          <w:lang w:val="es-MX" w:eastAsia="en-US"/>
        </w:rPr>
        <w:lastRenderedPageBreak/>
        <w:t>que éste constituye un dato personal que concierne a una persona física identificada e identificable.</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Argumento que es compartido por el Instituto Nacional de Transparencia, Acceso a la Información Pública y Protección de Datos Personales, conforme al criterio número 18/17 de la segunda época, el cual refiere:</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r w:rsidRPr="002F3269">
        <w:rPr>
          <w:rFonts w:ascii="Palatino Linotype" w:eastAsiaTheme="minorHAnsi" w:hAnsi="Palatino Linotype" w:cstheme="minorBidi"/>
          <w:b/>
          <w:bCs/>
          <w:i/>
          <w:iCs/>
          <w:color w:val="222222"/>
          <w:sz w:val="22"/>
          <w:szCs w:val="22"/>
          <w:lang w:val="es-MX" w:eastAsia="es-MX"/>
        </w:rPr>
        <w:t>Clave Única de Registro de Población (CURP). </w:t>
      </w:r>
      <w:r w:rsidRPr="002F3269">
        <w:rPr>
          <w:rFonts w:ascii="Palatino Linotype" w:eastAsiaTheme="minorHAnsi" w:hAnsi="Palatino Linotype" w:cstheme="minorBidi"/>
          <w:i/>
          <w:iCs/>
          <w:color w:val="222222"/>
          <w:sz w:val="22"/>
          <w:szCs w:val="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140D6" w:rsidRPr="00DD2466" w:rsidRDefault="00B140D6" w:rsidP="005330D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lastRenderedPageBreak/>
        <w:t>Resoluciones:</w:t>
      </w:r>
    </w:p>
    <w:p w:rsidR="00B140D6" w:rsidRPr="00DD2466" w:rsidRDefault="00B140D6" w:rsidP="005330D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 RRA 3995/16. Secretaría de la Defensa Nacional. 1 de febrero de 2017. Por unanimidad. Comisionado Ponente Rosendoevgueni Monterrey Chepov.</w:t>
      </w:r>
    </w:p>
    <w:p w:rsidR="00B140D6" w:rsidRPr="00DD2466" w:rsidRDefault="00B140D6" w:rsidP="005330D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 RRA 0937/17. Senado de la República. 15 de marzo de 2017. Por unanimidad. Comisionada Ponente Ximena Puente de la Mora.</w:t>
      </w:r>
    </w:p>
    <w:p w:rsidR="00B140D6" w:rsidRPr="00DD2466" w:rsidRDefault="00B140D6" w:rsidP="005330DC">
      <w:pPr>
        <w:shd w:val="clear" w:color="auto" w:fill="FFFFFF"/>
        <w:ind w:left="567" w:right="567"/>
        <w:jc w:val="both"/>
        <w:rPr>
          <w:rFonts w:ascii="Palatino Linotype" w:eastAsiaTheme="minorHAnsi" w:hAnsi="Palatino Linotype" w:cstheme="minorBidi"/>
          <w:color w:val="222222"/>
          <w:sz w:val="20"/>
          <w:szCs w:val="22"/>
          <w:lang w:val="es-MX" w:eastAsia="es-MX"/>
        </w:rPr>
      </w:pPr>
      <w:r w:rsidRPr="00DD2466">
        <w:rPr>
          <w:rFonts w:ascii="Palatino Linotype" w:eastAsiaTheme="minorHAnsi" w:hAnsi="Palatino Linotype" w:cstheme="minorBidi"/>
          <w:i/>
          <w:iCs/>
          <w:color w:val="222222"/>
          <w:sz w:val="20"/>
          <w:szCs w:val="22"/>
          <w:lang w:val="es-MX" w:eastAsia="es-MX"/>
        </w:rPr>
        <w:t>RRA 0478/17. Secretaría de Relaciones Exteriores. 26 de abril de 2017. Por unanimidad. Comisionada Ponente Areli Cano Guadiana.” (sic)</w:t>
      </w:r>
    </w:p>
    <w:p w:rsidR="00B140D6" w:rsidRPr="002F3269" w:rsidRDefault="00B140D6" w:rsidP="005330DC">
      <w:pPr>
        <w:tabs>
          <w:tab w:val="left" w:pos="7938"/>
        </w:tabs>
        <w:jc w:val="both"/>
        <w:rPr>
          <w:rFonts w:ascii="Palatino Linotype" w:eastAsiaTheme="minorHAnsi" w:hAnsi="Palatino Linotype" w:cstheme="minorBidi"/>
          <w:color w:val="222222"/>
          <w:sz w:val="22"/>
          <w:szCs w:val="22"/>
          <w:lang w:val="es-MX" w:eastAsia="es-MX"/>
        </w:rPr>
      </w:pP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b/>
          <w:bCs/>
          <w:i/>
          <w:iCs/>
          <w:color w:val="000000"/>
          <w:sz w:val="22"/>
          <w:szCs w:val="22"/>
          <w:lang w:val="es-ES_tradnl" w:eastAsia="es-MX"/>
        </w:rPr>
        <w:t>“FUNDAMENTACIÓN Y MOTIVACIÓN.</w:t>
      </w:r>
      <w:r w:rsidR="00DD2466">
        <w:rPr>
          <w:rFonts w:ascii="Palatino Linotype" w:eastAsiaTheme="minorHAnsi" w:hAnsi="Palatino Linotype" w:cs="Arial"/>
          <w:i/>
          <w:iCs/>
          <w:color w:val="000000"/>
          <w:sz w:val="22"/>
          <w:szCs w:val="22"/>
          <w:lang w:val="es-ES_tradnl" w:eastAsia="es-MX"/>
        </w:rPr>
        <w:t xml:space="preserve"> </w:t>
      </w:r>
      <w:r w:rsidRPr="002F3269">
        <w:rPr>
          <w:rFonts w:ascii="Palatino Linotype" w:eastAsiaTheme="minorHAnsi" w:hAnsi="Palatino Linotype" w:cs="Arial"/>
          <w:i/>
          <w:iCs/>
          <w:color w:val="000000"/>
          <w:sz w:val="22"/>
          <w:szCs w:val="22"/>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B140D6" w:rsidRPr="00DD2466" w:rsidRDefault="00B140D6" w:rsidP="005330DC">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SEGUNDO TRIBUNAL COLEGIADO DEL SEXTO CIRCUITO.</w:t>
      </w:r>
    </w:p>
    <w:p w:rsidR="00B140D6" w:rsidRPr="00DD2466" w:rsidRDefault="00B140D6" w:rsidP="005330DC">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Amparo directo 194/88. Bufete Industrial Construcciones, S.A. de C.V. 28 de junio de 1988. Unanimidad de votos. Ponente: Gustavo Calvillo Rangel. Secretario: Jorge Alberto González Álvarez.</w:t>
      </w:r>
    </w:p>
    <w:p w:rsidR="00B140D6" w:rsidRPr="00DD2466" w:rsidRDefault="00B140D6" w:rsidP="005330DC">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Revisión fiscal 103/88. Instituto Mexicano del Seguro Social. 18 de octubre de 1988. Unanimidad de votos. Ponente: Arnoldo Nájera Virgen. Secretario: Alejandro Esponda Rincón.</w:t>
      </w:r>
    </w:p>
    <w:p w:rsidR="00B140D6" w:rsidRPr="00DD2466" w:rsidRDefault="00B140D6" w:rsidP="005330DC">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Amparo en revisión 333/88. Adilia Romero. 26 de octubre de 1988. Unanimidad de votos. Ponente: Arnoldo Nájera Virgen. Secretario: Enrique Crispín Campos Ramírez.</w:t>
      </w:r>
    </w:p>
    <w:p w:rsidR="00B140D6" w:rsidRPr="00DD2466" w:rsidRDefault="00B140D6" w:rsidP="005330DC">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Amparo en revisión 597/95. Emilio Maurer Bretón. 15 de noviembre de 1995. Unanimidad de votos. Ponente: Clementina Ramírez Moguel Goyzueta. Secretario: Gonzalo Carrera Molina.</w:t>
      </w:r>
    </w:p>
    <w:p w:rsidR="00B140D6" w:rsidRPr="00DD2466" w:rsidRDefault="00B140D6" w:rsidP="005330DC">
      <w:pPr>
        <w:shd w:val="clear" w:color="auto" w:fill="FFFFFF"/>
        <w:ind w:left="567" w:right="567"/>
        <w:jc w:val="both"/>
        <w:rPr>
          <w:rFonts w:ascii="Palatino Linotype" w:eastAsiaTheme="minorHAnsi" w:hAnsi="Palatino Linotype" w:cs="Arial"/>
          <w:color w:val="222222"/>
          <w:sz w:val="20"/>
          <w:szCs w:val="22"/>
          <w:lang w:val="es-MX" w:eastAsia="es-MX"/>
        </w:rPr>
      </w:pPr>
      <w:r w:rsidRPr="00DD2466">
        <w:rPr>
          <w:rFonts w:ascii="Palatino Linotype" w:eastAsiaTheme="minorHAnsi" w:hAnsi="Palatino Linotype" w:cs="Arial"/>
          <w:i/>
          <w:iCs/>
          <w:color w:val="000000"/>
          <w:sz w:val="20"/>
          <w:szCs w:val="22"/>
          <w:lang w:val="es-ES_tradnl" w:eastAsia="es-MX"/>
        </w:rPr>
        <w:t>Amparo directo 7/96. Pedro Vicente López Miro. 21 de febrero de 1996. Unanimidad de votos. Ponente: María Eugenia Estela Martínez Cardiel. Secretario: Enrique Baigts Muñoz.” (sic)</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xml:space="preserve">Así, en un acto de autoridad se cumple con la debida fundamentación cuando se cita el precepto legal aplicable al caso concreto y la debida motivación cuando se expresan </w:t>
      </w:r>
      <w:r w:rsidRPr="002F3269">
        <w:rPr>
          <w:rFonts w:ascii="Palatino Linotype" w:eastAsia="Arial Unicode MS" w:hAnsi="Palatino Linotype" w:cs="Arial"/>
          <w:szCs w:val="22"/>
          <w:lang w:val="es-MX" w:eastAsia="en-US"/>
        </w:rPr>
        <w:lastRenderedPageBreak/>
        <w:t>las razones, motivos o circunstancias que tomó en cuenta la autoridad para adecuar el hecho a los fundamentos de derecho.</w:t>
      </w:r>
    </w:p>
    <w:p w:rsidR="00B140D6" w:rsidRDefault="00B140D6" w:rsidP="005330DC">
      <w:pPr>
        <w:tabs>
          <w:tab w:val="left" w:pos="7938"/>
        </w:tabs>
        <w:spacing w:line="360" w:lineRule="auto"/>
        <w:jc w:val="both"/>
        <w:rPr>
          <w:rFonts w:ascii="Palatino Linotype" w:eastAsia="Arial Unicode MS" w:hAnsi="Palatino Linotype" w:cs="Arial"/>
          <w:szCs w:val="22"/>
          <w:lang w:val="es-MX" w:eastAsia="en-US"/>
        </w:rPr>
      </w:pP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B140D6" w:rsidRPr="002F3269" w:rsidRDefault="00B140D6" w:rsidP="005330DC">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este sentido, el numeral trigésimo tercero fracción V de los Lineamientos Generales, precisa que para motivar la clasificación se deben acreditar las circunstancias de tiempo, modo y lugar.</w:t>
      </w:r>
    </w:p>
    <w:p w:rsidR="00B140D6" w:rsidRPr="002F3269" w:rsidRDefault="00B140D6" w:rsidP="005330DC">
      <w:pPr>
        <w:spacing w:line="360" w:lineRule="auto"/>
        <w:jc w:val="both"/>
        <w:rPr>
          <w:rFonts w:ascii="Palatino Linotype" w:hAnsi="Palatino Linotype" w:cs="Arial"/>
          <w:lang w:val="es-MX"/>
        </w:rPr>
      </w:pPr>
    </w:p>
    <w:p w:rsidR="00B140D6" w:rsidRPr="002F3269" w:rsidRDefault="00B140D6" w:rsidP="005330DC">
      <w:pPr>
        <w:spacing w:line="360" w:lineRule="auto"/>
        <w:ind w:right="51"/>
        <w:jc w:val="both"/>
        <w:rPr>
          <w:rFonts w:ascii="Palatino Linotype" w:eastAsiaTheme="minorHAnsi" w:hAnsi="Palatino Linotype" w:cs="Arial"/>
          <w:lang w:val="es-MX" w:eastAsia="en-US"/>
        </w:rPr>
      </w:pPr>
      <w:r w:rsidRPr="002F3269">
        <w:rPr>
          <w:rFonts w:ascii="Palatino Linotype" w:eastAsia="Arial Unicode MS" w:hAnsi="Palatino Linotype" w:cs="Arial"/>
          <w:lang w:val="es-MX" w:eastAsia="en-US"/>
        </w:rPr>
        <w:t>En mérito de lo ex</w:t>
      </w:r>
      <w:r w:rsidRPr="002F3269">
        <w:rPr>
          <w:rFonts w:ascii="Palatino Linotype" w:eastAsiaTheme="minorHAnsi" w:hAnsi="Palatino Linotype" w:cs="Arial"/>
          <w:lang w:val="es-MX" w:eastAsia="en-US"/>
        </w:rPr>
        <w:t xml:space="preserve">puesto en líneas anteriores con fundamento en la fracción III del artículo 186, de la Ley de Transparencia y Acceso a la Información Pública del Estado de México y Municipios, se </w:t>
      </w:r>
      <w:r w:rsidRPr="002F3269">
        <w:rPr>
          <w:rFonts w:ascii="Palatino Linotype" w:eastAsiaTheme="minorHAnsi" w:hAnsi="Palatino Linotype" w:cs="Arial"/>
          <w:b/>
          <w:lang w:val="es-MX" w:eastAsia="en-US"/>
        </w:rPr>
        <w:t>REVOCA</w:t>
      </w:r>
      <w:r>
        <w:rPr>
          <w:rFonts w:ascii="Palatino Linotype" w:eastAsiaTheme="minorHAnsi" w:hAnsi="Palatino Linotype" w:cs="Arial"/>
          <w:b/>
          <w:lang w:val="es-MX" w:eastAsia="en-US"/>
        </w:rPr>
        <w:t>N</w:t>
      </w:r>
      <w:r w:rsidRPr="002F3269">
        <w:rPr>
          <w:rFonts w:ascii="Palatino Linotype" w:eastAsiaTheme="minorHAnsi" w:hAnsi="Palatino Linotype" w:cs="Arial"/>
          <w:lang w:val="es-MX" w:eastAsia="en-US"/>
        </w:rPr>
        <w:t xml:space="preserve"> la</w:t>
      </w:r>
      <w:r>
        <w:rPr>
          <w:rFonts w:ascii="Palatino Linotype" w:eastAsiaTheme="minorHAnsi" w:hAnsi="Palatino Linotype" w:cs="Arial"/>
          <w:lang w:val="es-MX" w:eastAsia="en-US"/>
        </w:rPr>
        <w:t>s</w:t>
      </w:r>
      <w:r w:rsidRPr="002F3269">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2F3269">
        <w:rPr>
          <w:rFonts w:ascii="Palatino Linotype" w:eastAsiaTheme="minorHAnsi" w:hAnsi="Palatino Linotype" w:cs="Arial"/>
          <w:lang w:val="es-MX" w:eastAsia="en-US"/>
        </w:rPr>
        <w:t xml:space="preserve"> del </w:t>
      </w:r>
      <w:r w:rsidRPr="002F326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a la solicitud</w:t>
      </w:r>
      <w:r>
        <w:rPr>
          <w:rFonts w:ascii="Palatino Linotype" w:eastAsiaTheme="minorHAnsi" w:hAnsi="Palatino Linotype" w:cs="Arial"/>
          <w:lang w:val="es-MX" w:eastAsia="en-US"/>
        </w:rPr>
        <w:t>es</w:t>
      </w:r>
      <w:r w:rsidRPr="002F3269">
        <w:rPr>
          <w:rFonts w:ascii="Palatino Linotype" w:eastAsiaTheme="minorHAnsi" w:hAnsi="Palatino Linotype" w:cs="Arial"/>
          <w:lang w:val="es-MX" w:eastAsia="en-US"/>
        </w:rPr>
        <w:t xml:space="preserve"> de información</w:t>
      </w:r>
      <w:r w:rsidR="00DD2466">
        <w:rPr>
          <w:rFonts w:ascii="Palatino Linotype" w:eastAsiaTheme="minorHAnsi" w:hAnsi="Palatino Linotype" w:cs="Arial"/>
          <w:lang w:val="es-MX" w:eastAsia="en-US"/>
        </w:rPr>
        <w:t xml:space="preserve"> </w:t>
      </w:r>
      <w:r w:rsidR="00DD2466" w:rsidRPr="00A76E99">
        <w:rPr>
          <w:rFonts w:ascii="Palatino Linotype" w:eastAsiaTheme="minorHAnsi" w:hAnsi="Palatino Linotype" w:cs="Arial"/>
          <w:b/>
          <w:bCs/>
          <w:lang w:val="es-MX" w:eastAsia="es-MX"/>
        </w:rPr>
        <w:t>04587/DIFMETEPEC/IP/2022</w:t>
      </w:r>
      <w:r w:rsidR="00DD2466">
        <w:rPr>
          <w:rFonts w:ascii="Palatino Linotype" w:eastAsiaTheme="minorHAnsi" w:hAnsi="Palatino Linotype" w:cs="Arial"/>
          <w:b/>
          <w:bCs/>
          <w:lang w:val="es-MX" w:eastAsia="es-MX"/>
        </w:rPr>
        <w:t xml:space="preserve">, </w:t>
      </w:r>
      <w:r w:rsidR="00DD2466" w:rsidRPr="00A76E99">
        <w:rPr>
          <w:rFonts w:ascii="Palatino Linotype" w:eastAsiaTheme="minorHAnsi" w:hAnsi="Palatino Linotype" w:cs="Arial"/>
          <w:b/>
          <w:bCs/>
          <w:lang w:val="es-MX" w:eastAsia="es-MX"/>
        </w:rPr>
        <w:t>04586/DIFMETEPEC/IP/2022</w:t>
      </w:r>
      <w:r w:rsidR="00DD2466">
        <w:rPr>
          <w:rFonts w:ascii="Palatino Linotype" w:eastAsiaTheme="minorHAnsi" w:hAnsi="Palatino Linotype" w:cs="Arial"/>
          <w:b/>
          <w:bCs/>
          <w:lang w:val="es-MX" w:eastAsia="es-MX"/>
        </w:rPr>
        <w:t xml:space="preserve"> y </w:t>
      </w:r>
      <w:r w:rsidR="00DD2466" w:rsidRPr="00A76E99">
        <w:rPr>
          <w:rFonts w:ascii="Palatino Linotype" w:eastAsiaTheme="minorHAnsi" w:hAnsi="Palatino Linotype" w:cs="Arial"/>
          <w:b/>
          <w:bCs/>
          <w:lang w:val="es-MX" w:eastAsia="es-MX"/>
        </w:rPr>
        <w:t>04585/DIFMETEPEC/IP/2022</w:t>
      </w:r>
      <w:r w:rsidRPr="002F3269">
        <w:rPr>
          <w:rFonts w:ascii="Palatino Linotype" w:eastAsiaTheme="minorHAnsi" w:hAnsi="Palatino Linotype" w:cs="Arial"/>
          <w:b/>
          <w:sz w:val="22"/>
          <w:szCs w:val="22"/>
          <w:lang w:val="es-419" w:eastAsia="en-US"/>
        </w:rPr>
        <w:t xml:space="preserve">, </w:t>
      </w:r>
      <w:r w:rsidRPr="002F3269">
        <w:rPr>
          <w:rFonts w:ascii="Palatino Linotype" w:eastAsiaTheme="minorHAnsi" w:hAnsi="Palatino Linotype" w:cs="Arial"/>
          <w:lang w:val="es-MX" w:eastAsia="en-US"/>
        </w:rPr>
        <w:t>que ha</w:t>
      </w:r>
      <w:r>
        <w:rPr>
          <w:rFonts w:ascii="Palatino Linotype" w:eastAsiaTheme="minorHAnsi" w:hAnsi="Palatino Linotype" w:cs="Arial"/>
          <w:lang w:val="es-MX" w:eastAsia="en-US"/>
        </w:rPr>
        <w:t>n</w:t>
      </w:r>
      <w:r w:rsidRPr="002F3269">
        <w:rPr>
          <w:rFonts w:ascii="Palatino Linotype" w:eastAsiaTheme="minorHAnsi" w:hAnsi="Palatino Linotype" w:cs="Arial"/>
          <w:lang w:val="es-MX" w:eastAsia="en-US"/>
        </w:rPr>
        <w:t xml:space="preserve"> sido materia del presente fallo.</w:t>
      </w:r>
    </w:p>
    <w:p w:rsidR="00B140D6" w:rsidRPr="002F3269" w:rsidRDefault="00B140D6" w:rsidP="005330DC">
      <w:pPr>
        <w:spacing w:line="360" w:lineRule="auto"/>
        <w:ind w:right="51"/>
        <w:jc w:val="both"/>
        <w:rPr>
          <w:rFonts w:ascii="Palatino Linotype" w:eastAsiaTheme="minorHAnsi" w:hAnsi="Palatino Linotype" w:cs="Arial"/>
          <w:lang w:val="es-MX" w:eastAsia="en-US"/>
        </w:rPr>
      </w:pPr>
    </w:p>
    <w:p w:rsidR="00B140D6" w:rsidRPr="002F3269" w:rsidRDefault="00B140D6" w:rsidP="005330DC">
      <w:pPr>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Por lo antes expuesto y fundado es de resolverse y;</w:t>
      </w:r>
    </w:p>
    <w:p w:rsidR="00B140D6" w:rsidRPr="002F3269" w:rsidRDefault="00B140D6" w:rsidP="005330DC">
      <w:pPr>
        <w:tabs>
          <w:tab w:val="left" w:pos="7938"/>
        </w:tabs>
        <w:spacing w:line="360" w:lineRule="auto"/>
        <w:jc w:val="both"/>
        <w:rPr>
          <w:rFonts w:ascii="Palatino Linotype" w:eastAsiaTheme="minorHAnsi" w:hAnsi="Palatino Linotype" w:cs="Arial"/>
          <w:lang w:val="es-MX" w:eastAsia="en-US"/>
        </w:rPr>
      </w:pPr>
    </w:p>
    <w:p w:rsidR="00B140D6" w:rsidRPr="002F3269" w:rsidRDefault="00B140D6" w:rsidP="005330DC">
      <w:pPr>
        <w:spacing w:line="360" w:lineRule="auto"/>
        <w:jc w:val="center"/>
        <w:rPr>
          <w:rFonts w:ascii="Palatino Linotype" w:eastAsiaTheme="minorHAnsi" w:hAnsi="Palatino Linotype" w:cstheme="minorBidi"/>
          <w:b/>
          <w:bCs/>
          <w:spacing w:val="60"/>
          <w:lang w:val="es-ES_tradnl" w:eastAsia="en-US"/>
        </w:rPr>
      </w:pPr>
      <w:r w:rsidRPr="002F3269">
        <w:rPr>
          <w:rFonts w:ascii="Palatino Linotype" w:eastAsiaTheme="minorHAnsi" w:hAnsi="Palatino Linotype" w:cstheme="minorBidi"/>
          <w:b/>
          <w:bCs/>
          <w:spacing w:val="60"/>
          <w:lang w:val="es-ES_tradnl" w:eastAsia="en-US"/>
        </w:rPr>
        <w:t>SE    RESUELVE</w:t>
      </w:r>
    </w:p>
    <w:p w:rsidR="00B140D6" w:rsidRPr="002F3269" w:rsidRDefault="00B140D6" w:rsidP="005330DC">
      <w:pPr>
        <w:spacing w:line="360" w:lineRule="auto"/>
        <w:jc w:val="both"/>
        <w:rPr>
          <w:rFonts w:ascii="Palatino Linotype" w:eastAsiaTheme="minorHAnsi" w:hAnsi="Palatino Linotype" w:cs="Arial"/>
          <w:lang w:val="es-MX" w:eastAsia="en-US"/>
        </w:rPr>
      </w:pPr>
    </w:p>
    <w:p w:rsidR="00B140D6" w:rsidRPr="002F3269" w:rsidRDefault="00B140D6" w:rsidP="005330DC">
      <w:pPr>
        <w:spacing w:line="360" w:lineRule="auto"/>
        <w:jc w:val="both"/>
        <w:rPr>
          <w:rFonts w:ascii="Palatino Linotype" w:eastAsiaTheme="minorHAnsi" w:hAnsi="Palatino Linotype" w:cs="Arial"/>
          <w:b/>
          <w:lang w:val="es-MX" w:eastAsia="en-US"/>
        </w:rPr>
      </w:pPr>
      <w:r w:rsidRPr="002F3269">
        <w:rPr>
          <w:rFonts w:ascii="Palatino Linotype" w:eastAsiaTheme="minorHAnsi" w:hAnsi="Palatino Linotype" w:cs="Arial"/>
          <w:b/>
          <w:lang w:val="es-ES_tradnl" w:eastAsia="en-US"/>
        </w:rPr>
        <w:t>PRIMERO.</w:t>
      </w:r>
      <w:r w:rsidRPr="002F3269">
        <w:rPr>
          <w:rFonts w:ascii="Palatino Linotype" w:eastAsiaTheme="minorHAnsi" w:hAnsi="Palatino Linotype" w:cs="Arial"/>
          <w:lang w:val="es-ES_tradnl" w:eastAsia="en-US"/>
        </w:rPr>
        <w:t xml:space="preserve"> </w:t>
      </w:r>
      <w:r w:rsidRPr="002F3269">
        <w:rPr>
          <w:rFonts w:ascii="Palatino Linotype" w:eastAsia="Arial Unicode MS" w:hAnsi="Palatino Linotype" w:cs="Arial"/>
          <w:lang w:val="es-MX" w:eastAsia="en-US"/>
        </w:rPr>
        <w:t>Se</w:t>
      </w:r>
      <w:r w:rsidRPr="002F3269">
        <w:rPr>
          <w:rFonts w:ascii="Palatino Linotype" w:eastAsiaTheme="minorHAnsi" w:hAnsi="Palatino Linotype" w:cs="Arial"/>
          <w:lang w:val="es-ES_tradnl" w:eastAsia="en-US"/>
        </w:rPr>
        <w:t xml:space="preserve"> </w:t>
      </w:r>
      <w:r w:rsidRPr="002F3269">
        <w:rPr>
          <w:rFonts w:ascii="Palatino Linotype" w:eastAsiaTheme="minorHAnsi" w:hAnsi="Palatino Linotype" w:cs="Arial"/>
          <w:b/>
          <w:lang w:val="es-ES_tradnl" w:eastAsia="en-US"/>
        </w:rPr>
        <w:t>REVOCA</w:t>
      </w:r>
      <w:r>
        <w:rPr>
          <w:rFonts w:ascii="Palatino Linotype" w:eastAsiaTheme="minorHAnsi" w:hAnsi="Palatino Linotype" w:cs="Arial"/>
          <w:b/>
          <w:lang w:val="es-ES_tradnl" w:eastAsia="en-US"/>
        </w:rPr>
        <w:t>N</w:t>
      </w:r>
      <w:r w:rsidRPr="002F3269">
        <w:rPr>
          <w:rFonts w:ascii="Palatino Linotype" w:eastAsiaTheme="minorHAnsi" w:hAnsi="Palatino Linotype" w:cs="Arial"/>
          <w:lang w:val="es-ES_tradnl" w:eastAsia="en-US"/>
        </w:rPr>
        <w:t xml:space="preserve"> </w:t>
      </w:r>
      <w:r w:rsidRPr="002F3269">
        <w:rPr>
          <w:rFonts w:ascii="Palatino Linotype" w:eastAsia="Arial Unicode MS" w:hAnsi="Palatino Linotype" w:cs="Arial"/>
          <w:lang w:val="es-MX" w:eastAsia="en-US"/>
        </w:rPr>
        <w:t>la</w:t>
      </w:r>
      <w:r>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respuesta</w:t>
      </w:r>
      <w:r>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entregada</w:t>
      </w:r>
      <w:r>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por </w:t>
      </w:r>
      <w:r w:rsidRPr="002F3269">
        <w:rPr>
          <w:rFonts w:ascii="Palatino Linotype" w:eastAsia="Arial Unicode MS" w:hAnsi="Palatino Linotype" w:cs="Arial"/>
          <w:b/>
          <w:lang w:val="es-MX" w:eastAsia="en-US"/>
        </w:rPr>
        <w:t xml:space="preserve">el Sujeto Obligado </w:t>
      </w:r>
      <w:r w:rsidRPr="002F3269">
        <w:rPr>
          <w:rFonts w:ascii="Palatino Linotype" w:eastAsia="Arial Unicode MS" w:hAnsi="Palatino Linotype" w:cs="Arial"/>
          <w:lang w:val="es-MX" w:eastAsia="en-US"/>
        </w:rPr>
        <w:t>a la solicitud</w:t>
      </w:r>
      <w:r>
        <w:rPr>
          <w:rFonts w:ascii="Palatino Linotype" w:eastAsia="Arial Unicode MS" w:hAnsi="Palatino Linotype" w:cs="Arial"/>
          <w:lang w:val="es-MX" w:eastAsia="en-US"/>
        </w:rPr>
        <w:t>es</w:t>
      </w:r>
      <w:r w:rsidRPr="002F3269">
        <w:rPr>
          <w:rFonts w:ascii="Palatino Linotype" w:eastAsia="Arial Unicode MS" w:hAnsi="Palatino Linotype" w:cs="Arial"/>
          <w:lang w:val="es-MX" w:eastAsia="en-US"/>
        </w:rPr>
        <w:t xml:space="preserve"> de información número</w:t>
      </w:r>
      <w:r>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w:t>
      </w:r>
      <w:r w:rsidR="00A76E99" w:rsidRPr="00A76E99">
        <w:rPr>
          <w:rFonts w:ascii="Palatino Linotype" w:eastAsiaTheme="minorHAnsi" w:hAnsi="Palatino Linotype" w:cs="Arial"/>
          <w:b/>
          <w:bCs/>
          <w:lang w:val="es-MX" w:eastAsia="es-MX"/>
        </w:rPr>
        <w:t>04587/DIFMETEPEC/IP/2022</w:t>
      </w:r>
      <w:r>
        <w:rPr>
          <w:rFonts w:ascii="Palatino Linotype" w:eastAsiaTheme="minorHAnsi" w:hAnsi="Palatino Linotype" w:cs="Arial"/>
          <w:b/>
          <w:bCs/>
          <w:lang w:val="es-MX" w:eastAsia="es-MX"/>
        </w:rPr>
        <w:t xml:space="preserve">, </w:t>
      </w:r>
      <w:r w:rsidR="00A76E99" w:rsidRPr="00A76E99">
        <w:rPr>
          <w:rFonts w:ascii="Palatino Linotype" w:eastAsiaTheme="minorHAnsi" w:hAnsi="Palatino Linotype" w:cs="Arial"/>
          <w:b/>
          <w:bCs/>
          <w:lang w:val="es-MX" w:eastAsia="es-MX"/>
        </w:rPr>
        <w:lastRenderedPageBreak/>
        <w:t>04586/DIFMETEPEC/IP/2022</w:t>
      </w:r>
      <w:r w:rsidR="00A76E99">
        <w:rPr>
          <w:rFonts w:ascii="Palatino Linotype" w:eastAsiaTheme="minorHAnsi" w:hAnsi="Palatino Linotype" w:cs="Arial"/>
          <w:b/>
          <w:bCs/>
          <w:lang w:val="es-MX" w:eastAsia="es-MX"/>
        </w:rPr>
        <w:t xml:space="preserve"> y </w:t>
      </w:r>
      <w:r w:rsidR="00A76E99" w:rsidRPr="00A76E99">
        <w:rPr>
          <w:rFonts w:ascii="Palatino Linotype" w:eastAsiaTheme="minorHAnsi" w:hAnsi="Palatino Linotype" w:cs="Arial"/>
          <w:b/>
          <w:bCs/>
          <w:lang w:val="es-MX" w:eastAsia="es-MX"/>
        </w:rPr>
        <w:t>04585/DIFMETEPEC/IP/2022</w:t>
      </w:r>
      <w:r>
        <w:rPr>
          <w:rFonts w:ascii="Palatino Linotype" w:eastAsiaTheme="minorHAnsi" w:hAnsi="Palatino Linotype" w:cs="Arial"/>
          <w:b/>
          <w:bCs/>
          <w:lang w:val="es-MX" w:eastAsia="es-MX"/>
        </w:rPr>
        <w:t xml:space="preserve">, </w:t>
      </w:r>
      <w:r w:rsidRPr="002F3269">
        <w:rPr>
          <w:rFonts w:ascii="Palatino Linotype" w:eastAsiaTheme="minorHAnsi" w:hAnsi="Palatino Linotype" w:cs="Arial"/>
          <w:lang w:val="es-MX" w:eastAsia="en-US"/>
        </w:rPr>
        <w:t xml:space="preserve">al resultar fundadas las razones o motivos de inconformidad que manifestó la recurrente, </w:t>
      </w:r>
      <w:r w:rsidRPr="002F3269">
        <w:rPr>
          <w:rFonts w:ascii="Palatino Linotype" w:eastAsia="Arial Unicode MS" w:hAnsi="Palatino Linotype" w:cs="Arial"/>
          <w:lang w:val="es-MX" w:eastAsia="en-US"/>
        </w:rPr>
        <w:t xml:space="preserve">en términos del </w:t>
      </w:r>
      <w:r w:rsidRPr="002F3269">
        <w:rPr>
          <w:rFonts w:ascii="Palatino Linotype" w:eastAsiaTheme="minorHAnsi" w:hAnsi="Palatino Linotype" w:cs="Arial"/>
          <w:lang w:val="es-MX" w:eastAsia="en-US"/>
        </w:rPr>
        <w:t xml:space="preserve">Considerando </w:t>
      </w:r>
      <w:r w:rsidRPr="002F3269">
        <w:rPr>
          <w:rFonts w:ascii="Palatino Linotype" w:eastAsiaTheme="minorHAnsi" w:hAnsi="Palatino Linotype" w:cs="Arial"/>
          <w:b/>
          <w:lang w:val="es-419" w:eastAsia="en-US"/>
        </w:rPr>
        <w:t>CUARTO</w:t>
      </w:r>
      <w:r w:rsidRPr="002F3269">
        <w:rPr>
          <w:rFonts w:ascii="Palatino Linotype" w:eastAsiaTheme="minorHAnsi" w:hAnsi="Palatino Linotype" w:cs="Arial"/>
          <w:lang w:val="es-MX" w:eastAsia="en-US"/>
        </w:rPr>
        <w:t xml:space="preserve"> de la presente resolución.</w:t>
      </w:r>
    </w:p>
    <w:p w:rsidR="00B140D6" w:rsidRPr="002F3269" w:rsidRDefault="00B140D6" w:rsidP="005330DC">
      <w:pPr>
        <w:spacing w:line="360" w:lineRule="auto"/>
        <w:jc w:val="both"/>
        <w:rPr>
          <w:rFonts w:ascii="Palatino Linotype" w:eastAsiaTheme="minorHAnsi" w:hAnsi="Palatino Linotype" w:cs="Arial"/>
          <w:lang w:val="es-MX" w:eastAsia="en-US"/>
        </w:rPr>
      </w:pPr>
    </w:p>
    <w:p w:rsidR="00B140D6" w:rsidRPr="002F3269" w:rsidRDefault="00B140D6" w:rsidP="005330DC">
      <w:pPr>
        <w:tabs>
          <w:tab w:val="left" w:pos="8647"/>
        </w:tabs>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theme="minorBidi"/>
          <w:b/>
          <w:lang w:val="es-MX" w:eastAsia="en-US"/>
        </w:rPr>
        <w:t>SEGUNDO.</w:t>
      </w:r>
      <w:r w:rsidRPr="002F3269">
        <w:rPr>
          <w:rFonts w:ascii="Palatino Linotype" w:eastAsiaTheme="minorHAnsi" w:hAnsi="Palatino Linotype" w:cs="Arial"/>
          <w:lang w:val="es-MX" w:eastAsia="en-US"/>
        </w:rPr>
        <w:t xml:space="preserve"> Se ordena al Sujeto Obligado, haga entrega al </w:t>
      </w:r>
      <w:r w:rsidRPr="002F3269">
        <w:rPr>
          <w:rFonts w:ascii="Palatino Linotype" w:eastAsiaTheme="minorHAnsi" w:hAnsi="Palatino Linotype" w:cs="Arial"/>
          <w:b/>
          <w:lang w:val="es-MX" w:eastAsia="en-US"/>
        </w:rPr>
        <w:t>Recurrente</w:t>
      </w:r>
      <w:r w:rsidRPr="002F3269">
        <w:rPr>
          <w:rFonts w:ascii="Palatino Linotype" w:eastAsiaTheme="minorHAnsi" w:hAnsi="Palatino Linotype" w:cs="Arial"/>
          <w:lang w:val="es-MX" w:eastAsia="en-US"/>
        </w:rPr>
        <w:t xml:space="preserve"> en términos del Considerando </w:t>
      </w:r>
      <w:r w:rsidRPr="002F3269">
        <w:rPr>
          <w:rFonts w:ascii="Palatino Linotype" w:eastAsiaTheme="minorHAnsi" w:hAnsi="Palatino Linotype" w:cs="Arial"/>
          <w:b/>
          <w:lang w:val="es-419" w:eastAsia="en-US"/>
        </w:rPr>
        <w:t>CUARTO</w:t>
      </w:r>
      <w:r w:rsidRPr="002F3269">
        <w:rPr>
          <w:rFonts w:ascii="Palatino Linotype" w:eastAsiaTheme="minorHAnsi" w:hAnsi="Palatino Linotype" w:cs="Arial"/>
          <w:lang w:val="es-MX" w:eastAsia="en-US"/>
        </w:rPr>
        <w:t xml:space="preserve"> de la presente resolución, a través del Sistema de Acceso a la Información Mexiquense </w:t>
      </w:r>
      <w:r w:rsidRPr="002F3269">
        <w:rPr>
          <w:rFonts w:ascii="Palatino Linotype" w:eastAsiaTheme="minorHAnsi" w:hAnsi="Palatino Linotype" w:cs="Arial"/>
          <w:b/>
          <w:lang w:val="es-MX" w:eastAsia="en-US"/>
        </w:rPr>
        <w:t>(SAIMEX)</w:t>
      </w:r>
      <w:r w:rsidRPr="002F3269">
        <w:rPr>
          <w:rFonts w:ascii="Palatino Linotype" w:eastAsiaTheme="minorHAnsi" w:hAnsi="Palatino Linotype" w:cs="Arial"/>
          <w:lang w:val="es-MX" w:eastAsia="en-US"/>
        </w:rPr>
        <w:t>, en versión pública de ser procedente, de lo siguiente:</w:t>
      </w:r>
    </w:p>
    <w:p w:rsidR="00B140D6" w:rsidRDefault="00B140D6" w:rsidP="005330DC">
      <w:pPr>
        <w:autoSpaceDE w:val="0"/>
        <w:autoSpaceDN w:val="0"/>
        <w:adjustRightInd w:val="0"/>
        <w:spacing w:line="360" w:lineRule="auto"/>
        <w:jc w:val="both"/>
        <w:rPr>
          <w:rFonts w:ascii="Palatino Linotype" w:eastAsiaTheme="minorHAnsi" w:hAnsi="Palatino Linotype" w:cs="Arial"/>
        </w:rPr>
      </w:pPr>
    </w:p>
    <w:p w:rsidR="00A76E99" w:rsidRDefault="00A76E99" w:rsidP="005330DC">
      <w:pPr>
        <w:pStyle w:val="Prrafodelista"/>
        <w:numPr>
          <w:ilvl w:val="0"/>
          <w:numId w:val="17"/>
        </w:numPr>
        <w:spacing w:line="360" w:lineRule="auto"/>
        <w:jc w:val="both"/>
        <w:rPr>
          <w:rFonts w:ascii="Palatino Linotype" w:hAnsi="Palatino Linotype" w:cs="Arial"/>
        </w:rPr>
      </w:pPr>
      <w:r>
        <w:rPr>
          <w:rFonts w:ascii="Palatino Linotype" w:hAnsi="Palatino Linotype" w:cs="Arial"/>
        </w:rPr>
        <w:t>P</w:t>
      </w:r>
      <w:r w:rsidRPr="00A76E99">
        <w:rPr>
          <w:rFonts w:ascii="Palatino Linotype" w:hAnsi="Palatino Linotype" w:cs="Arial"/>
        </w:rPr>
        <w:t>adrón de beneficiarios de las donaciones otorgadas durante la primer</w:t>
      </w:r>
      <w:r>
        <w:rPr>
          <w:rFonts w:ascii="Palatino Linotype" w:hAnsi="Palatino Linotype" w:cs="Arial"/>
        </w:rPr>
        <w:t>a y segunda</w:t>
      </w:r>
      <w:r w:rsidRPr="00A76E99">
        <w:rPr>
          <w:rFonts w:ascii="Palatino Linotype" w:hAnsi="Palatino Linotype" w:cs="Arial"/>
        </w:rPr>
        <w:t xml:space="preserve"> quincena de marzo</w:t>
      </w:r>
      <w:r>
        <w:rPr>
          <w:rFonts w:ascii="Palatino Linotype" w:hAnsi="Palatino Linotype" w:cs="Arial"/>
        </w:rPr>
        <w:t xml:space="preserve"> de 2022; y </w:t>
      </w:r>
    </w:p>
    <w:p w:rsidR="00A76E99" w:rsidRPr="00A76E99" w:rsidRDefault="00A76E99" w:rsidP="005330DC">
      <w:pPr>
        <w:pStyle w:val="Prrafodelista"/>
        <w:numPr>
          <w:ilvl w:val="0"/>
          <w:numId w:val="17"/>
        </w:numPr>
        <w:spacing w:line="360" w:lineRule="auto"/>
        <w:jc w:val="both"/>
        <w:rPr>
          <w:rFonts w:ascii="Palatino Linotype" w:hAnsi="Palatino Linotype" w:cs="Arial"/>
        </w:rPr>
      </w:pPr>
      <w:r>
        <w:rPr>
          <w:rFonts w:ascii="Palatino Linotype" w:hAnsi="Palatino Linotype" w:cs="Arial"/>
        </w:rPr>
        <w:t>P</w:t>
      </w:r>
      <w:r w:rsidRPr="00A76E99">
        <w:rPr>
          <w:rFonts w:ascii="Palatino Linotype" w:hAnsi="Palatino Linotype" w:cs="Arial"/>
        </w:rPr>
        <w:t>adrón de beneficiarios en cualquiera de sus programas en la segunda quincena de marzo</w:t>
      </w:r>
      <w:r>
        <w:rPr>
          <w:rFonts w:ascii="Palatino Linotype" w:hAnsi="Palatino Linotype" w:cs="Arial"/>
        </w:rPr>
        <w:t xml:space="preserve"> de 2022.</w:t>
      </w:r>
    </w:p>
    <w:p w:rsidR="00B140D6" w:rsidRDefault="00B140D6" w:rsidP="005330DC">
      <w:pPr>
        <w:autoSpaceDE w:val="0"/>
        <w:autoSpaceDN w:val="0"/>
        <w:adjustRightInd w:val="0"/>
        <w:spacing w:line="360" w:lineRule="auto"/>
        <w:jc w:val="both"/>
        <w:rPr>
          <w:rFonts w:ascii="Palatino Linotype" w:eastAsiaTheme="minorHAnsi" w:hAnsi="Palatino Linotype" w:cs="Arial"/>
        </w:rPr>
      </w:pPr>
    </w:p>
    <w:p w:rsidR="00B140D6" w:rsidRPr="002F3269" w:rsidRDefault="00B140D6" w:rsidP="005330DC">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Pr>
          <w:rFonts w:ascii="Palatino Linotype" w:eastAsia="Palatino Linotype" w:hAnsi="Palatino Linotype" w:cs="Palatino Linotype"/>
          <w:iCs/>
          <w:color w:val="000000"/>
          <w:szCs w:val="22"/>
          <w:lang w:val="es-ES_tradnl" w:eastAsia="en-US"/>
        </w:rPr>
        <w:t xml:space="preserve">De ser procedente </w:t>
      </w:r>
      <w:r w:rsidRPr="002F3269">
        <w:rPr>
          <w:rFonts w:ascii="Palatino Linotype" w:eastAsia="Palatino Linotype" w:hAnsi="Palatino Linotype" w:cs="Palatino Linotype"/>
          <w:iCs/>
          <w:color w:val="000000"/>
          <w:szCs w:val="22"/>
          <w:lang w:val="es-ES_tradnl" w:eastAsia="en-US"/>
        </w:rPr>
        <w:t>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B140D6" w:rsidRPr="002F3269" w:rsidRDefault="00B140D6" w:rsidP="005330DC">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B140D6" w:rsidRDefault="00B140D6" w:rsidP="005330DC">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sidRPr="002F3269">
        <w:rPr>
          <w:rFonts w:ascii="Palatino Linotype" w:eastAsia="Palatino Linotype" w:hAnsi="Palatino Linotype" w:cs="Palatino Linotype"/>
          <w:iCs/>
          <w:color w:val="000000"/>
          <w:szCs w:val="22"/>
          <w:lang w:val="es-ES_tradnl" w:eastAsia="en-US"/>
        </w:rPr>
        <w:t xml:space="preserve">Para el caso de que exista impedimento justificado de entregar la información vía </w:t>
      </w:r>
      <w:r w:rsidRPr="002F3269">
        <w:rPr>
          <w:rFonts w:ascii="Palatino Linotype" w:eastAsia="Palatino Linotype" w:hAnsi="Palatino Linotype" w:cs="Palatino Linotype"/>
          <w:bCs/>
          <w:iCs/>
          <w:color w:val="000000"/>
          <w:szCs w:val="22"/>
          <w:lang w:val="es-ES_tradnl" w:eastAsia="en-US"/>
        </w:rPr>
        <w:t>SAIMEX, el Sujeto Obligado deberá proponer diversos medios electrónicos como</w:t>
      </w:r>
      <w:r w:rsidRPr="002F3269">
        <w:rPr>
          <w:rFonts w:ascii="Palatino Linotype" w:eastAsia="Palatino Linotype" w:hAnsi="Palatino Linotype" w:cs="Palatino Linotype"/>
          <w:iCs/>
          <w:color w:val="000000"/>
          <w:szCs w:val="22"/>
          <w:lang w:val="es-ES_tradnl" w:eastAsia="en-US"/>
        </w:rPr>
        <w:t xml:space="preserve"> habilitar una liga electrónica que deberá proporcionarle para que descargue los </w:t>
      </w:r>
      <w:r w:rsidRPr="002F3269">
        <w:rPr>
          <w:rFonts w:ascii="Palatino Linotype" w:eastAsia="Palatino Linotype" w:hAnsi="Palatino Linotype" w:cs="Palatino Linotype"/>
          <w:iCs/>
          <w:color w:val="000000"/>
          <w:szCs w:val="22"/>
          <w:lang w:val="es-ES_tradnl" w:eastAsia="en-US"/>
        </w:rPr>
        <w:lastRenderedPageBreak/>
        <w:t>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BE1449" w:rsidRDefault="00BE1449" w:rsidP="005330DC">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BE1449" w:rsidRDefault="00BE1449" w:rsidP="005330DC">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sidRPr="00BE1449">
        <w:rPr>
          <w:rFonts w:ascii="Palatino Linotype" w:eastAsia="Palatino Linotype" w:hAnsi="Palatino Linotype" w:cs="Palatino Linotype"/>
          <w:iCs/>
          <w:color w:val="000000"/>
          <w:szCs w:val="22"/>
          <w:lang w:val="es-ES_tradnl" w:eastAsia="en-US"/>
        </w:rPr>
        <w:t>En el supuesto que una vez agotada la búsqueda de la información, no se advierta haber generado la información, en alguno de los días señalados, deberá hacerlo del conocimiento en términos del segundo párrafo del artículo 19 de la Ley de Transparencia y Acceso a la Información Pública del Estado de México y Municipios.</w:t>
      </w:r>
    </w:p>
    <w:p w:rsidR="00B140D6" w:rsidRDefault="00B140D6" w:rsidP="005330DC">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B140D6" w:rsidRPr="002F3269" w:rsidRDefault="00B140D6" w:rsidP="005330DC">
      <w:pPr>
        <w:tabs>
          <w:tab w:val="left" w:pos="8647"/>
        </w:tabs>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Arial"/>
          <w:b/>
          <w:sz w:val="28"/>
          <w:lang w:val="es-MX" w:eastAsia="en-US"/>
        </w:rPr>
        <w:t>TERCERO</w:t>
      </w:r>
      <w:r w:rsidRPr="002F3269">
        <w:rPr>
          <w:rFonts w:ascii="Palatino Linotype" w:eastAsiaTheme="minorHAnsi" w:hAnsi="Palatino Linotype" w:cs="Arial"/>
          <w:b/>
          <w:lang w:val="es-MX" w:eastAsia="en-US"/>
        </w:rPr>
        <w:t>.</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b/>
          <w:lang w:val="es-MX" w:eastAsia="en-US"/>
        </w:rPr>
        <w:t>Notifíquese</w:t>
      </w:r>
      <w:r w:rsidRPr="002F3269">
        <w:rPr>
          <w:rFonts w:ascii="Palatino Linotype" w:eastAsiaTheme="minorHAnsi" w:hAnsi="Palatino Linotype" w:cs="Arial"/>
          <w:b/>
          <w:i/>
          <w:lang w:val="es-MX" w:eastAsia="en-US"/>
        </w:rPr>
        <w:t xml:space="preserve"> </w:t>
      </w:r>
      <w:r w:rsidRPr="002F3269">
        <w:rPr>
          <w:rFonts w:ascii="Palatino Linotype" w:eastAsiaTheme="minorHAnsi" w:hAnsi="Palatino Linotype" w:cs="Arial"/>
          <w:lang w:val="es-MX" w:eastAsia="en-US"/>
        </w:rPr>
        <w:t>al Titular de la Unidad de Transparencia del</w:t>
      </w:r>
      <w:r w:rsidRPr="002F3269">
        <w:rPr>
          <w:rFonts w:ascii="Palatino Linotype" w:eastAsiaTheme="minorHAnsi" w:hAnsi="Palatino Linotype" w:cs="Arial"/>
          <w:b/>
          <w:lang w:val="es-MX" w:eastAsia="en-US"/>
        </w:rPr>
        <w:t xml:space="preserve"> Sujeto Obligado</w:t>
      </w:r>
      <w:r w:rsidRPr="002F3269">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140D6" w:rsidRPr="002F3269" w:rsidRDefault="00B140D6" w:rsidP="005330DC">
      <w:pPr>
        <w:tabs>
          <w:tab w:val="left" w:pos="8647"/>
        </w:tabs>
        <w:spacing w:line="360" w:lineRule="auto"/>
        <w:ind w:right="51"/>
        <w:jc w:val="both"/>
        <w:rPr>
          <w:rFonts w:ascii="Palatino Linotype" w:eastAsiaTheme="minorHAnsi" w:hAnsi="Palatino Linotype" w:cs="Arial"/>
          <w:lang w:val="es-MX" w:eastAsia="en-US"/>
        </w:rPr>
      </w:pPr>
    </w:p>
    <w:p w:rsidR="00B140D6" w:rsidRPr="002F3269" w:rsidRDefault="00B140D6" w:rsidP="005330DC">
      <w:pPr>
        <w:spacing w:line="360" w:lineRule="auto"/>
        <w:jc w:val="both"/>
        <w:rPr>
          <w:rFonts w:ascii="Palatino Linotype" w:eastAsia="Calibri" w:hAnsi="Palatino Linotype"/>
          <w:lang w:val="es-MX" w:eastAsia="es-ES_tradnl"/>
        </w:rPr>
      </w:pPr>
      <w:r w:rsidRPr="002F3269">
        <w:rPr>
          <w:rFonts w:ascii="Palatino Linotype" w:hAnsi="Palatino Linotype" w:cs="Arial"/>
          <w:b/>
          <w:sz w:val="28"/>
        </w:rPr>
        <w:t>CUARTO</w:t>
      </w:r>
      <w:r w:rsidRPr="002F3269">
        <w:rPr>
          <w:rFonts w:ascii="Palatino Linotype" w:hAnsi="Palatino Linotype" w:cs="Arial"/>
          <w:b/>
        </w:rPr>
        <w:t xml:space="preserve">. </w:t>
      </w:r>
      <w:r w:rsidRPr="002F3269">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2F3269">
        <w:rPr>
          <w:rFonts w:ascii="Palatino Linotype" w:eastAsia="Calibri" w:hAnsi="Palatino Linotype"/>
          <w:lang w:val="es-MX" w:eastAsia="es-ES_tradnl"/>
        </w:rPr>
        <w:t>.</w:t>
      </w:r>
    </w:p>
    <w:p w:rsidR="00B140D6" w:rsidRPr="002F3269" w:rsidRDefault="00B140D6" w:rsidP="005330DC">
      <w:pPr>
        <w:autoSpaceDE w:val="0"/>
        <w:autoSpaceDN w:val="0"/>
        <w:adjustRightInd w:val="0"/>
        <w:spacing w:line="360" w:lineRule="auto"/>
        <w:jc w:val="both"/>
        <w:rPr>
          <w:rFonts w:ascii="Palatino Linotype" w:hAnsi="Palatino Linotype" w:cs="Arial"/>
        </w:rPr>
      </w:pPr>
      <w:r w:rsidRPr="002F3269">
        <w:rPr>
          <w:rFonts w:ascii="Palatino Linotype" w:eastAsiaTheme="minorHAnsi" w:hAnsi="Palatino Linotype" w:cstheme="minorBidi"/>
          <w:b/>
          <w:sz w:val="28"/>
          <w:szCs w:val="28"/>
          <w:lang w:val="es-MX" w:eastAsia="en-US"/>
        </w:rPr>
        <w:lastRenderedPageBreak/>
        <w:t>QUINTO</w:t>
      </w:r>
      <w:r w:rsidRPr="002F3269">
        <w:rPr>
          <w:rFonts w:ascii="Palatino Linotype" w:eastAsiaTheme="minorHAnsi" w:hAnsi="Palatino Linotype" w:cstheme="minorBidi"/>
          <w:b/>
          <w:lang w:val="es-MX" w:eastAsia="en-US"/>
        </w:rPr>
        <w:t xml:space="preserve">. </w:t>
      </w:r>
      <w:r w:rsidRPr="002F3269">
        <w:rPr>
          <w:rFonts w:ascii="Palatino Linotype" w:hAnsi="Palatino Linotype" w:cs="Arial"/>
          <w:b/>
        </w:rPr>
        <w:t>Notifíquese</w:t>
      </w:r>
      <w:r w:rsidRPr="00905D2C">
        <w:rPr>
          <w:rFonts w:ascii="Palatino Linotype" w:hAnsi="Palatino Linotype" w:cs="Arial"/>
        </w:rPr>
        <w:t xml:space="preserve"> al </w:t>
      </w:r>
      <w:r w:rsidRPr="002F3269">
        <w:rPr>
          <w:rFonts w:ascii="Palatino Linotype" w:hAnsi="Palatino Linotype" w:cs="Arial"/>
          <w:b/>
        </w:rPr>
        <w:t>Recurrente</w:t>
      </w:r>
      <w:r w:rsidRPr="002F3269">
        <w:rPr>
          <w:rFonts w:ascii="Palatino Linotype" w:hAnsi="Palatino Linotype" w:cs="Arial"/>
        </w:rPr>
        <w:t xml:space="preserve"> la presente resolución a través del </w:t>
      </w:r>
      <w:r w:rsidRPr="002F3269">
        <w:rPr>
          <w:rFonts w:ascii="Palatino Linotype" w:eastAsiaTheme="minorHAnsi" w:hAnsi="Palatino Linotype" w:cs="Arial"/>
          <w:lang w:val="es-MX" w:eastAsia="en-US"/>
        </w:rPr>
        <w:t xml:space="preserve">Sistema de Acceso a la Información Mexiquense </w:t>
      </w:r>
      <w:r w:rsidRPr="002F3269">
        <w:rPr>
          <w:rFonts w:ascii="Palatino Linotype" w:eastAsiaTheme="minorHAnsi" w:hAnsi="Palatino Linotype" w:cs="Arial"/>
          <w:b/>
          <w:lang w:val="es-MX" w:eastAsia="en-US"/>
        </w:rPr>
        <w:t>(SAIMEX)</w:t>
      </w:r>
      <w:r w:rsidRPr="002F3269">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B140D6" w:rsidRPr="002F3269" w:rsidRDefault="00B140D6" w:rsidP="005330DC">
      <w:pPr>
        <w:spacing w:line="360" w:lineRule="auto"/>
        <w:jc w:val="both"/>
        <w:rPr>
          <w:rFonts w:ascii="Palatino Linotype" w:hAnsi="Palatino Linotype"/>
        </w:rPr>
      </w:pPr>
    </w:p>
    <w:p w:rsidR="00B140D6" w:rsidRPr="00CB45F6" w:rsidRDefault="00B140D6" w:rsidP="005330DC">
      <w:pPr>
        <w:spacing w:line="360" w:lineRule="auto"/>
        <w:jc w:val="both"/>
        <w:rPr>
          <w:rFonts w:ascii="Palatino Linotype" w:hAnsi="Palatino Linotype" w:cs="Arial"/>
        </w:rPr>
      </w:pPr>
      <w:r w:rsidRPr="00CB45F6">
        <w:rPr>
          <w:rFonts w:ascii="Palatino Linotype" w:hAnsi="Palatino Linotype" w:cs="Arial"/>
        </w:rPr>
        <w:t>ASÍ LO RESUELVE, POR MAYORIA DE VOTOS EL PLENO DEL</w:t>
      </w:r>
      <w:r w:rsidRPr="00CB45F6">
        <w:rPr>
          <w:rFonts w:ascii="Palatino Linotype" w:eastAsia="Arial Unicode MS" w:hAnsi="Palatino Linotype" w:cs="Arial"/>
        </w:rPr>
        <w:t xml:space="preserve"> INSTITUTO DE TRANSPARENCIA, ACCESO A LA INFORMACIÓN PÚBLICA Y PROTECCIÓN DE DATOS PERSONALES DEL ESTADO DE MÉXICO Y MUNICIPIOS</w:t>
      </w:r>
      <w:r w:rsidRPr="00CB45F6">
        <w:rPr>
          <w:rFonts w:ascii="Palatino Linotype" w:hAnsi="Palatino Linotype" w:cs="Arial"/>
        </w:rPr>
        <w:t>, CONFORMADO POR LOS COMISIONADOS JOSÉ MARTÍ</w:t>
      </w:r>
      <w:r>
        <w:rPr>
          <w:rFonts w:ascii="Palatino Linotype" w:hAnsi="Palatino Linotype" w:cs="Arial"/>
        </w:rPr>
        <w:t xml:space="preserve">NEZ VILCHIS, </w:t>
      </w:r>
      <w:r w:rsidRPr="00CB45F6">
        <w:rPr>
          <w:rFonts w:ascii="Palatino Linotype" w:hAnsi="Palatino Linotype" w:cs="Arial"/>
        </w:rPr>
        <w:t>MARÍA DEL ROSARIO MEJÍA AYALA, S</w:t>
      </w:r>
      <w:r>
        <w:rPr>
          <w:rFonts w:ascii="Palatino Linotype" w:hAnsi="Palatino Linotype" w:cs="Arial"/>
        </w:rPr>
        <w:t>HARON CRISTINA MORALES MARTÍNEZ, LUIS GUSTAVO PARRA NORIEGA</w:t>
      </w:r>
      <w:r w:rsidRPr="00CB45F6">
        <w:rPr>
          <w:rFonts w:ascii="Palatino Linotype" w:hAnsi="Palatino Linotype" w:cs="Arial"/>
        </w:rPr>
        <w:t xml:space="preserve"> Y GUADALUPE RAMÍREZ PEÑA, EN LA </w:t>
      </w:r>
      <w:r>
        <w:rPr>
          <w:rFonts w:ascii="Palatino Linotype" w:hAnsi="Palatino Linotype" w:cs="Arial"/>
        </w:rPr>
        <w:t xml:space="preserve">TRIGÉSIMA TERCERA </w:t>
      </w:r>
      <w:r w:rsidRPr="00CB45F6">
        <w:rPr>
          <w:rFonts w:ascii="Palatino Linotype" w:hAnsi="Palatino Linotype" w:cs="Arial"/>
        </w:rPr>
        <w:t xml:space="preserve">SESIÓN ORDINARIA CELEBRADA EL </w:t>
      </w:r>
      <w:r w:rsidR="00A76E99">
        <w:rPr>
          <w:rFonts w:ascii="Palatino Linotype" w:hAnsi="Palatino Linotype" w:cs="Arial"/>
        </w:rPr>
        <w:t>CATORCE</w:t>
      </w:r>
      <w:r>
        <w:rPr>
          <w:rFonts w:ascii="Palatino Linotype" w:hAnsi="Palatino Linotype" w:cs="Arial"/>
        </w:rPr>
        <w:t xml:space="preserve"> DE SEPTIEMBRE</w:t>
      </w:r>
      <w:r w:rsidRPr="00CB45F6">
        <w:rPr>
          <w:rFonts w:ascii="Palatino Linotype" w:hAnsi="Palatino Linotype" w:cs="Arial"/>
        </w:rPr>
        <w:t xml:space="preserve"> DE DOS MIL VEINTIDÓS, ANTE EL ANTE EL SECRETARIO TÉCNICO DEL PLENO, ALEXIS TAPIA RAMÍREZ. -------------------------------</w:t>
      </w:r>
      <w:r>
        <w:rPr>
          <w:rFonts w:ascii="Palatino Linotype" w:hAnsi="Palatino Linotype" w:cs="Arial"/>
        </w:rPr>
        <w:t>---------------------------------------------------------</w:t>
      </w:r>
    </w:p>
    <w:p w:rsidR="00B140D6" w:rsidRDefault="00B140D6" w:rsidP="005330DC">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B140D6" w:rsidRDefault="00B140D6" w:rsidP="005330DC">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DD2466" w:rsidRPr="00CB45F6" w:rsidRDefault="00DD2466" w:rsidP="00DD246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DD2466" w:rsidRPr="00CB45F6" w:rsidRDefault="00DD2466" w:rsidP="00DD246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DD2466" w:rsidRPr="00CB45F6" w:rsidRDefault="00DD2466" w:rsidP="00DD246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DD2466" w:rsidRPr="00CB45F6" w:rsidRDefault="00DD2466" w:rsidP="00DD246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DD2466" w:rsidRPr="00CB45F6" w:rsidRDefault="00DD2466" w:rsidP="00DD2466">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B140D6" w:rsidRPr="00434661" w:rsidRDefault="00B140D6" w:rsidP="005330DC">
      <w:pPr>
        <w:spacing w:line="360" w:lineRule="auto"/>
        <w:jc w:val="both"/>
        <w:rPr>
          <w:rFonts w:ascii="Palatino Linotype" w:hAnsi="Palatino Linotype" w:cs="Arial"/>
          <w:sz w:val="20"/>
        </w:rPr>
      </w:pPr>
      <w:r>
        <w:rPr>
          <w:rFonts w:ascii="Palatino Linotype" w:hAnsi="Palatino Linotype" w:cs="Arial"/>
          <w:sz w:val="20"/>
        </w:rPr>
        <w:t>CCR/</w:t>
      </w:r>
    </w:p>
    <w:p w:rsidR="004849CE" w:rsidRDefault="001A37C7" w:rsidP="005330DC"/>
    <w:sectPr w:rsidR="004849CE" w:rsidSect="00550BFD">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E25" w:rsidRDefault="00487E25" w:rsidP="00B140D6">
      <w:r>
        <w:separator/>
      </w:r>
    </w:p>
  </w:endnote>
  <w:endnote w:type="continuationSeparator" w:id="0">
    <w:p w:rsidR="00487E25" w:rsidRDefault="00487E25" w:rsidP="00B1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F42" w:rsidRPr="00A2780F" w:rsidRDefault="00AC27C1" w:rsidP="00550BF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A37C7">
      <w:rPr>
        <w:rFonts w:ascii="Arial" w:hAnsi="Arial" w:cs="Arial"/>
        <w:b/>
        <w:bCs/>
        <w:noProof/>
        <w:sz w:val="20"/>
        <w:szCs w:val="20"/>
      </w:rPr>
      <w:t>37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A37C7">
      <w:rPr>
        <w:rFonts w:ascii="Arial" w:hAnsi="Arial" w:cs="Arial"/>
        <w:b/>
        <w:bCs/>
        <w:noProof/>
        <w:sz w:val="20"/>
        <w:szCs w:val="20"/>
      </w:rPr>
      <w:t>42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F42" w:rsidRPr="00070856" w:rsidRDefault="00AC27C1" w:rsidP="00550BF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A37C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A37C7">
      <w:rPr>
        <w:rFonts w:ascii="Arial" w:hAnsi="Arial" w:cs="Arial"/>
        <w:b/>
        <w:bCs/>
        <w:noProof/>
        <w:sz w:val="20"/>
        <w:szCs w:val="20"/>
      </w:rPr>
      <w:t>42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E25" w:rsidRDefault="00487E25" w:rsidP="00B140D6">
      <w:r>
        <w:separator/>
      </w:r>
    </w:p>
  </w:footnote>
  <w:footnote w:type="continuationSeparator" w:id="0">
    <w:p w:rsidR="00487E25" w:rsidRDefault="00487E25" w:rsidP="00B140D6">
      <w:r>
        <w:continuationSeparator/>
      </w:r>
    </w:p>
  </w:footnote>
  <w:footnote w:id="1">
    <w:p w:rsidR="00B140D6" w:rsidRDefault="00B140D6" w:rsidP="00B140D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B140D6" w:rsidRDefault="00B140D6" w:rsidP="00B140D6">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B140D6" w:rsidRDefault="00B140D6" w:rsidP="00B140D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B140D6" w:rsidRDefault="00B140D6" w:rsidP="00B140D6">
      <w:pPr>
        <w:jc w:val="both"/>
        <w:rPr>
          <w:rFonts w:ascii="Palatino Linotype" w:eastAsia="Palatino Linotype" w:hAnsi="Palatino Linotype" w:cs="Palatino Linotype"/>
          <w:b/>
          <w:i/>
          <w:sz w:val="20"/>
          <w:szCs w:val="20"/>
        </w:rPr>
      </w:pPr>
    </w:p>
    <w:p w:rsidR="00B140D6" w:rsidRDefault="00B140D6" w:rsidP="00B140D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8A6F42" w:rsidRPr="008F2CCC" w:rsidTr="00550BFD">
      <w:tc>
        <w:tcPr>
          <w:tcW w:w="3620" w:type="dxa"/>
          <w:shd w:val="clear" w:color="auto" w:fill="auto"/>
        </w:tcPr>
        <w:p w:rsidR="008A6F42" w:rsidRPr="007E5FC4" w:rsidRDefault="00AC27C1" w:rsidP="00550BF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8A6F42" w:rsidRPr="00664658" w:rsidRDefault="00AC27C1" w:rsidP="00B140D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B140D6">
            <w:rPr>
              <w:rFonts w:ascii="Palatino Linotype" w:hAnsi="Palatino Linotype"/>
              <w:b/>
              <w:sz w:val="22"/>
              <w:szCs w:val="22"/>
              <w:lang w:val="es-ES_tradnl"/>
            </w:rPr>
            <w:t>10830</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8A6F42" w:rsidRPr="008F2CCC" w:rsidTr="00550BFD">
      <w:tc>
        <w:tcPr>
          <w:tcW w:w="3620" w:type="dxa"/>
          <w:shd w:val="clear" w:color="auto" w:fill="auto"/>
        </w:tcPr>
        <w:p w:rsidR="008A6F42" w:rsidRPr="007E5FC4" w:rsidRDefault="00AC27C1" w:rsidP="00550BF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8A6F42" w:rsidRPr="00664658" w:rsidRDefault="00AC27C1" w:rsidP="00550BFD">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8A6F42" w:rsidRPr="008F2CCC" w:rsidTr="00550BFD">
      <w:trPr>
        <w:trHeight w:val="228"/>
      </w:trPr>
      <w:tc>
        <w:tcPr>
          <w:tcW w:w="3620" w:type="dxa"/>
          <w:shd w:val="clear" w:color="auto" w:fill="auto"/>
        </w:tcPr>
        <w:p w:rsidR="008A6F42" w:rsidRPr="007E5FC4" w:rsidRDefault="00AC27C1" w:rsidP="00550BF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8A6F42" w:rsidRPr="00664658" w:rsidRDefault="00AC27C1" w:rsidP="00550BF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A6F42" w:rsidRPr="001779E0" w:rsidRDefault="00AC27C1" w:rsidP="00550BF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C913C05" wp14:editId="3AB844F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A6F42" w:rsidRPr="008F2CCC" w:rsidTr="00550BFD">
      <w:tc>
        <w:tcPr>
          <w:tcW w:w="2977" w:type="dxa"/>
          <w:shd w:val="clear" w:color="auto" w:fill="auto"/>
        </w:tcPr>
        <w:p w:rsidR="008A6F42" w:rsidRPr="007E5FC4" w:rsidRDefault="00AC27C1" w:rsidP="00550BF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8A6F42" w:rsidRPr="008F2CCC" w:rsidRDefault="00AC27C1" w:rsidP="00B140D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B140D6">
            <w:rPr>
              <w:rFonts w:ascii="Palatino Linotype" w:hAnsi="Palatino Linotype"/>
              <w:b/>
              <w:sz w:val="22"/>
              <w:szCs w:val="22"/>
              <w:lang w:val="es-ES_tradnl"/>
            </w:rPr>
            <w:t>10830</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8A6F42" w:rsidRPr="008F2CCC" w:rsidTr="00550BFD">
      <w:tc>
        <w:tcPr>
          <w:tcW w:w="2977" w:type="dxa"/>
          <w:shd w:val="clear" w:color="auto" w:fill="auto"/>
          <w:vAlign w:val="center"/>
        </w:tcPr>
        <w:p w:rsidR="008A6F42" w:rsidRPr="007E5FC4" w:rsidRDefault="00AC27C1" w:rsidP="00550BF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8A6F42" w:rsidRPr="008F2CCC" w:rsidRDefault="001A37C7" w:rsidP="00550BF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8A6F42" w:rsidRPr="008F2CCC" w:rsidTr="00550BFD">
      <w:trPr>
        <w:trHeight w:val="228"/>
      </w:trPr>
      <w:tc>
        <w:tcPr>
          <w:tcW w:w="2977" w:type="dxa"/>
          <w:shd w:val="clear" w:color="auto" w:fill="auto"/>
        </w:tcPr>
        <w:p w:rsidR="008A6F42" w:rsidRPr="007E5FC4" w:rsidRDefault="00AC27C1" w:rsidP="00550BF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8A6F42" w:rsidRPr="00DC41C8" w:rsidRDefault="00AC27C1" w:rsidP="00550BFD">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8A6F42" w:rsidRPr="008F2CCC" w:rsidTr="00550BFD">
      <w:tc>
        <w:tcPr>
          <w:tcW w:w="2977" w:type="dxa"/>
          <w:shd w:val="clear" w:color="auto" w:fill="auto"/>
        </w:tcPr>
        <w:p w:rsidR="008A6F42" w:rsidRPr="007E5FC4" w:rsidRDefault="00AC27C1" w:rsidP="00550BF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8A6F42" w:rsidRPr="008F2CCC" w:rsidRDefault="00AC27C1" w:rsidP="00550BF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A6F42" w:rsidRPr="009F1AB6" w:rsidRDefault="00AC27C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3B6817" wp14:editId="64150D7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604"/>
    <w:multiLevelType w:val="hybridMultilevel"/>
    <w:tmpl w:val="D5723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6"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6EE2B79"/>
    <w:multiLevelType w:val="hybridMultilevel"/>
    <w:tmpl w:val="D5723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CE205A7"/>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223E97"/>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1"/>
  </w:num>
  <w:num w:numId="5">
    <w:abstractNumId w:val="6"/>
  </w:num>
  <w:num w:numId="6">
    <w:abstractNumId w:val="16"/>
  </w:num>
  <w:num w:numId="7">
    <w:abstractNumId w:val="7"/>
  </w:num>
  <w:num w:numId="8">
    <w:abstractNumId w:val="3"/>
  </w:num>
  <w:num w:numId="9">
    <w:abstractNumId w:val="5"/>
  </w:num>
  <w:num w:numId="10">
    <w:abstractNumId w:val="4"/>
  </w:num>
  <w:num w:numId="11">
    <w:abstractNumId w:val="1"/>
  </w:num>
  <w:num w:numId="12">
    <w:abstractNumId w:val="8"/>
  </w:num>
  <w:num w:numId="13">
    <w:abstractNumId w:val="9"/>
  </w:num>
  <w:num w:numId="14">
    <w:abstractNumId w:val="13"/>
  </w:num>
  <w:num w:numId="15">
    <w:abstractNumId w:val="12"/>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D6"/>
    <w:rsid w:val="001A37C7"/>
    <w:rsid w:val="001F7E0C"/>
    <w:rsid w:val="00334773"/>
    <w:rsid w:val="00487E25"/>
    <w:rsid w:val="005330DC"/>
    <w:rsid w:val="00654464"/>
    <w:rsid w:val="007E2BAA"/>
    <w:rsid w:val="00830B55"/>
    <w:rsid w:val="009D3512"/>
    <w:rsid w:val="00A76E99"/>
    <w:rsid w:val="00AC27C1"/>
    <w:rsid w:val="00B140D6"/>
    <w:rsid w:val="00BC4749"/>
    <w:rsid w:val="00BE1449"/>
    <w:rsid w:val="00C467F2"/>
    <w:rsid w:val="00CC3A7B"/>
    <w:rsid w:val="00DD2466"/>
    <w:rsid w:val="00E87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811D6-1050-46DB-9B1A-04992CC5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0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0D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140D6"/>
    <w:rPr>
      <w:rFonts w:eastAsiaTheme="minorEastAsia"/>
      <w:sz w:val="24"/>
      <w:szCs w:val="24"/>
      <w:lang w:val="es-ES_tradnl" w:eastAsia="es-ES"/>
    </w:rPr>
  </w:style>
  <w:style w:type="paragraph" w:styleId="Piedepgina">
    <w:name w:val="footer"/>
    <w:basedOn w:val="Normal"/>
    <w:link w:val="PiedepginaCar"/>
    <w:uiPriority w:val="99"/>
    <w:unhideWhenUsed/>
    <w:rsid w:val="00B140D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140D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40D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140D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140D6"/>
    <w:pPr>
      <w:spacing w:after="0" w:line="240" w:lineRule="auto"/>
    </w:pPr>
  </w:style>
  <w:style w:type="character" w:customStyle="1" w:styleId="SinespaciadoCar">
    <w:name w:val="Sin espaciado Car"/>
    <w:aliases w:val="Francesa Car,INAI Car"/>
    <w:link w:val="Sinespaciado"/>
    <w:uiPriority w:val="1"/>
    <w:locked/>
    <w:rsid w:val="00B140D6"/>
  </w:style>
  <w:style w:type="paragraph" w:customStyle="1" w:styleId="Citas">
    <w:name w:val="Citas"/>
    <w:basedOn w:val="Normal"/>
    <w:qFormat/>
    <w:rsid w:val="00B140D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B1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140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B140D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140D6"/>
    <w:rPr>
      <w:vertAlign w:val="superscript"/>
    </w:rPr>
  </w:style>
  <w:style w:type="paragraph" w:styleId="Textonotapie">
    <w:name w:val="footnote text"/>
    <w:basedOn w:val="Normal"/>
    <w:link w:val="TextonotapieCar"/>
    <w:uiPriority w:val="99"/>
    <w:unhideWhenUsed/>
    <w:rsid w:val="00B140D6"/>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B140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42</Pages>
  <Words>11085</Words>
  <Characters>60969</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7</cp:revision>
  <dcterms:created xsi:type="dcterms:W3CDTF">2022-09-01T00:12:00Z</dcterms:created>
  <dcterms:modified xsi:type="dcterms:W3CDTF">2022-10-10T03:21:00Z</dcterms:modified>
</cp:coreProperties>
</file>