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85D" w:rsidRDefault="00171BE8">
      <w:pPr>
        <w:spacing w:before="120" w:after="12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Resolución del Pleno del Instituto de Transparencia, Acceso a la Información Pública y Protección de Datos Personales del Estado de México y Municipios, con domicilio en Metepec, Estado de México, a s</w:t>
      </w:r>
      <w:r>
        <w:rPr>
          <w:rFonts w:ascii="Palatino Linotype" w:eastAsia="Palatino Linotype" w:hAnsi="Palatino Linotype" w:cs="Palatino Linotype"/>
          <w:sz w:val="24"/>
          <w:szCs w:val="24"/>
        </w:rPr>
        <w:t>iete</w:t>
      </w:r>
      <w:r>
        <w:rPr>
          <w:rFonts w:ascii="Palatino Linotype" w:eastAsia="Palatino Linotype" w:hAnsi="Palatino Linotype" w:cs="Palatino Linotype"/>
          <w:color w:val="000000"/>
          <w:sz w:val="24"/>
          <w:szCs w:val="24"/>
        </w:rPr>
        <w:t xml:space="preserve"> de abril de dos mil veintidós.</w:t>
      </w:r>
    </w:p>
    <w:p w:rsidR="00EF585D" w:rsidRDefault="00171BE8">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Visto </w:t>
      </w:r>
      <w:r>
        <w:rPr>
          <w:rFonts w:ascii="Palatino Linotype" w:eastAsia="Palatino Linotype" w:hAnsi="Palatino Linotype" w:cs="Palatino Linotype"/>
          <w:color w:val="000000"/>
          <w:sz w:val="24"/>
          <w:szCs w:val="24"/>
        </w:rPr>
        <w:t xml:space="preserve">el expediente relativo al recurso de revisión </w:t>
      </w:r>
      <w:r>
        <w:rPr>
          <w:rFonts w:ascii="Palatino Linotype" w:eastAsia="Palatino Linotype" w:hAnsi="Palatino Linotype" w:cs="Palatino Linotype"/>
          <w:b/>
          <w:color w:val="000000"/>
          <w:sz w:val="24"/>
          <w:szCs w:val="24"/>
        </w:rPr>
        <w:t>00064/INFOEM/IP/RR/2022</w:t>
      </w:r>
      <w:r>
        <w:rPr>
          <w:rFonts w:ascii="Palatino Linotype" w:eastAsia="Palatino Linotype" w:hAnsi="Palatino Linotype" w:cs="Palatino Linotype"/>
          <w:color w:val="000000"/>
          <w:sz w:val="24"/>
          <w:szCs w:val="24"/>
        </w:rPr>
        <w:t xml:space="preserve">, interpuesto por </w:t>
      </w:r>
      <w:r w:rsidR="002979FF">
        <w:rPr>
          <w:rFonts w:ascii="Palatino Linotype" w:eastAsia="Palatino Linotype" w:hAnsi="Palatino Linotype" w:cs="Palatino Linotype"/>
          <w:sz w:val="24"/>
          <w:szCs w:val="24"/>
        </w:rPr>
        <w:t>xxxxxx xxxxxxx xxxxxxxxx</w:t>
      </w:r>
      <w:r>
        <w:rPr>
          <w:rFonts w:ascii="Palatino Linotype" w:eastAsia="Palatino Linotype" w:hAnsi="Palatino Linotype" w:cs="Palatino Linotype"/>
          <w:color w:val="000000"/>
          <w:sz w:val="24"/>
          <w:szCs w:val="24"/>
        </w:rPr>
        <w:t xml:space="preserve">, al cual en lo sucesivo se le denominara </w:t>
      </w:r>
      <w:r>
        <w:rPr>
          <w:rFonts w:ascii="Palatino Linotype" w:eastAsia="Palatino Linotype" w:hAnsi="Palatino Linotype" w:cs="Palatino Linotype"/>
          <w:b/>
          <w:color w:val="000000"/>
          <w:sz w:val="24"/>
          <w:szCs w:val="24"/>
        </w:rPr>
        <w:t>LA RECURRENTE</w:t>
      </w:r>
      <w:r>
        <w:rPr>
          <w:rFonts w:ascii="Palatino Linotype" w:eastAsia="Palatino Linotype" w:hAnsi="Palatino Linotype" w:cs="Palatino Linotype"/>
          <w:color w:val="000000"/>
          <w:sz w:val="24"/>
          <w:szCs w:val="24"/>
        </w:rPr>
        <w:t xml:space="preserve">, en contra de la respuesta a la solicitud de información con número de folio </w:t>
      </w:r>
      <w:r>
        <w:rPr>
          <w:rFonts w:ascii="Palatino Linotype" w:eastAsia="Palatino Linotype" w:hAnsi="Palatino Linotype" w:cs="Palatino Linotype"/>
          <w:b/>
          <w:color w:val="000000"/>
          <w:sz w:val="24"/>
          <w:szCs w:val="24"/>
        </w:rPr>
        <w:t>00922/PJUDICI/IP/2021,</w:t>
      </w:r>
      <w:r>
        <w:rPr>
          <w:rFonts w:ascii="Palatino Linotype" w:eastAsia="Palatino Linotype" w:hAnsi="Palatino Linotype" w:cs="Palatino Linotype"/>
          <w:color w:val="000000"/>
          <w:sz w:val="24"/>
          <w:szCs w:val="24"/>
        </w:rPr>
        <w:t xml:space="preserve"> por parte del Poder Judicial, en lo sucesivo </w:t>
      </w:r>
      <w:r>
        <w:rPr>
          <w:rFonts w:ascii="Palatino Linotype" w:eastAsia="Palatino Linotype" w:hAnsi="Palatino Linotype" w:cs="Palatino Linotype"/>
          <w:b/>
          <w:color w:val="000000"/>
          <w:sz w:val="24"/>
          <w:szCs w:val="24"/>
        </w:rPr>
        <w:t>EL</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se procede a dictar la presente resolución, con base en lo siguiente.</w:t>
      </w:r>
    </w:p>
    <w:p w:rsidR="00EF585D" w:rsidRDefault="00171BE8">
      <w:pPr>
        <w:spacing w:line="360" w:lineRule="auto"/>
        <w:ind w:right="49"/>
        <w:jc w:val="center"/>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AN T E C E D E N T E S</w:t>
      </w:r>
    </w:p>
    <w:p w:rsidR="00EF585D" w:rsidRDefault="00171BE8">
      <w:pPr>
        <w:spacing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1. SOLICITUD.</w:t>
      </w:r>
      <w:r>
        <w:rPr>
          <w:rFonts w:ascii="Palatino Linotype" w:eastAsia="Palatino Linotype" w:hAnsi="Palatino Linotype" w:cs="Palatino Linotype"/>
          <w:color w:val="000000"/>
          <w:sz w:val="24"/>
          <w:szCs w:val="24"/>
        </w:rPr>
        <w:t xml:space="preserve"> Con fecha dieciséis de noviembre de dos mil veintiuno, </w:t>
      </w:r>
      <w:r>
        <w:rPr>
          <w:rFonts w:ascii="Palatino Linotype" w:eastAsia="Palatino Linotype" w:hAnsi="Palatino Linotype" w:cs="Palatino Linotype"/>
          <w:b/>
          <w:color w:val="000000"/>
          <w:sz w:val="24"/>
          <w:szCs w:val="24"/>
        </w:rPr>
        <w:t>LA RECURRENTE</w:t>
      </w:r>
      <w:r>
        <w:rPr>
          <w:rFonts w:ascii="Palatino Linotype" w:eastAsia="Palatino Linotype" w:hAnsi="Palatino Linotype" w:cs="Palatino Linotype"/>
          <w:color w:val="000000"/>
          <w:sz w:val="24"/>
          <w:szCs w:val="24"/>
        </w:rPr>
        <w:t xml:space="preserve">, presentó de manera física en las oficinas del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la solicitud de acceso a la información, misma que fue registrada por el</w:t>
      </w:r>
      <w:r>
        <w:rPr>
          <w:rFonts w:ascii="Palatino Linotype" w:eastAsia="Palatino Linotype" w:hAnsi="Palatino Linotype" w:cs="Palatino Linotype"/>
          <w:b/>
          <w:color w:val="000000"/>
          <w:sz w:val="24"/>
          <w:szCs w:val="24"/>
        </w:rPr>
        <w:t xml:space="preserve"> SUJETO OBLIGADO </w:t>
      </w:r>
      <w:r>
        <w:rPr>
          <w:rFonts w:ascii="Palatino Linotype" w:eastAsia="Palatino Linotype" w:hAnsi="Palatino Linotype" w:cs="Palatino Linotype"/>
          <w:color w:val="000000"/>
          <w:sz w:val="24"/>
          <w:szCs w:val="24"/>
        </w:rPr>
        <w:t>en el Sistema de Acceso a la Información Mexiquense (</w:t>
      </w:r>
      <w:r>
        <w:rPr>
          <w:rFonts w:ascii="Palatino Linotype" w:eastAsia="Palatino Linotype" w:hAnsi="Palatino Linotype" w:cs="Palatino Linotype"/>
          <w:b/>
          <w:color w:val="000000"/>
          <w:sz w:val="24"/>
          <w:szCs w:val="24"/>
        </w:rPr>
        <w:t>SAIMEX)</w:t>
      </w:r>
      <w:r>
        <w:rPr>
          <w:rFonts w:ascii="Palatino Linotype" w:eastAsia="Palatino Linotype" w:hAnsi="Palatino Linotype" w:cs="Palatino Linotype"/>
          <w:color w:val="000000"/>
          <w:sz w:val="24"/>
          <w:szCs w:val="24"/>
        </w:rPr>
        <w:t>, el día dieciocho de noviembre de dos mil veintiuno, dicha solicitud fue registrada bajo el número de expediente</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b/>
          <w:color w:val="000000"/>
        </w:rPr>
        <w:t> </w:t>
      </w:r>
      <w:r>
        <w:rPr>
          <w:rFonts w:ascii="Palatino Linotype" w:eastAsia="Palatino Linotype" w:hAnsi="Palatino Linotype" w:cs="Palatino Linotype"/>
          <w:b/>
          <w:color w:val="000000"/>
          <w:sz w:val="24"/>
          <w:szCs w:val="24"/>
        </w:rPr>
        <w:t>00922/PJUDICI/IP/2021</w:t>
      </w:r>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mediante la cual solicitó información en el tenor siguiente:</w:t>
      </w:r>
    </w:p>
    <w:p w:rsidR="00EF585D" w:rsidRDefault="00171BE8">
      <w:pPr>
        <w:spacing w:before="120" w:after="120" w:line="360" w:lineRule="auto"/>
        <w:ind w:left="709" w:right="75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“Se adjunta archivo” (Sic).</w:t>
      </w:r>
    </w:p>
    <w:p w:rsidR="00EF585D" w:rsidRDefault="00171BE8">
      <w:pPr>
        <w:spacing w:before="120" w:after="12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la parte medular del documento se advierte que la ahora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solicitó lo siguiente: </w:t>
      </w:r>
    </w:p>
    <w:p w:rsidR="00EF585D" w:rsidRDefault="00171BE8">
      <w:pPr>
        <w:spacing w:before="120" w:after="120" w:line="360" w:lineRule="auto"/>
        <w:ind w:right="758"/>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lastRenderedPageBreak/>
        <w:drawing>
          <wp:inline distT="0" distB="0" distL="0" distR="0">
            <wp:extent cx="5288309" cy="6241206"/>
            <wp:effectExtent l="0" t="0" r="0" b="0"/>
            <wp:docPr id="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42037" t="18780" r="26489" b="16657"/>
                    <a:stretch>
                      <a:fillRect/>
                    </a:stretch>
                  </pic:blipFill>
                  <pic:spPr>
                    <a:xfrm>
                      <a:off x="0" y="0"/>
                      <a:ext cx="5288309" cy="6241206"/>
                    </a:xfrm>
                    <a:prstGeom prst="rect">
                      <a:avLst/>
                    </a:prstGeom>
                    <a:ln/>
                  </pic:spPr>
                </pic:pic>
              </a:graphicData>
            </a:graphic>
          </wp:inline>
        </w:drawing>
      </w:r>
    </w:p>
    <w:p w:rsidR="00EF585D" w:rsidRDefault="00171BE8">
      <w:pPr>
        <w:spacing w:before="240" w:after="240" w:line="360" w:lineRule="auto"/>
        <w:ind w:right="49"/>
        <w:jc w:val="both"/>
        <w:rPr>
          <w:rFonts w:ascii="Palatino Linotype" w:eastAsia="Palatino Linotype" w:hAnsi="Palatino Linotype" w:cs="Palatino Linotype"/>
          <w:sz w:val="24"/>
          <w:szCs w:val="24"/>
        </w:rPr>
      </w:pPr>
      <w:bookmarkStart w:id="0" w:name="_heading=h.2et92p0" w:colFirst="0" w:colLast="0"/>
      <w:bookmarkEnd w:id="0"/>
      <w:r>
        <w:rPr>
          <w:rFonts w:ascii="Palatino Linotype" w:eastAsia="Palatino Linotype" w:hAnsi="Palatino Linotype" w:cs="Palatino Linotype"/>
          <w:sz w:val="24"/>
          <w:szCs w:val="24"/>
        </w:rPr>
        <w:lastRenderedPageBreak/>
        <w:t xml:space="preserve">Modalidad de entrega: A través del </w:t>
      </w:r>
      <w:r>
        <w:rPr>
          <w:rFonts w:ascii="Palatino Linotype" w:eastAsia="Palatino Linotype" w:hAnsi="Palatino Linotype" w:cs="Palatino Linotype"/>
          <w:b/>
          <w:sz w:val="24"/>
          <w:szCs w:val="24"/>
        </w:rPr>
        <w:t xml:space="preserve">SAIMEX </w:t>
      </w:r>
      <w:r>
        <w:rPr>
          <w:rFonts w:ascii="Palatino Linotype" w:eastAsia="Palatino Linotype" w:hAnsi="Palatino Linotype" w:cs="Palatino Linotype"/>
          <w:sz w:val="24"/>
          <w:szCs w:val="24"/>
        </w:rPr>
        <w:t xml:space="preserve">y correo electrónico precisado, en el desahogo </w:t>
      </w:r>
      <w:bookmarkStart w:id="1" w:name="_GoBack"/>
      <w:bookmarkEnd w:id="1"/>
      <w:r>
        <w:rPr>
          <w:rFonts w:ascii="Palatino Linotype" w:eastAsia="Palatino Linotype" w:hAnsi="Palatino Linotype" w:cs="Palatino Linotype"/>
          <w:sz w:val="24"/>
          <w:szCs w:val="24"/>
        </w:rPr>
        <w:t xml:space="preserve">de la </w:t>
      </w:r>
      <w:r w:rsidRPr="00171BE8">
        <w:rPr>
          <w:rFonts w:ascii="Palatino Linotype" w:eastAsia="Palatino Linotype" w:hAnsi="Palatino Linotype" w:cs="Palatino Linotype"/>
          <w:b/>
          <w:sz w:val="24"/>
          <w:szCs w:val="24"/>
        </w:rPr>
        <w:t>RECURRENTE</w:t>
      </w:r>
      <w:r>
        <w:rPr>
          <w:rFonts w:ascii="Palatino Linotype" w:eastAsia="Palatino Linotype" w:hAnsi="Palatino Linotype" w:cs="Palatino Linotype"/>
          <w:b/>
          <w:sz w:val="24"/>
          <w:szCs w:val="24"/>
        </w:rPr>
        <w:t xml:space="preserve"> </w:t>
      </w:r>
      <w:r w:rsidRPr="00171BE8">
        <w:rPr>
          <w:rFonts w:ascii="Palatino Linotype" w:eastAsia="Palatino Linotype" w:hAnsi="Palatino Linotype" w:cs="Palatino Linotype"/>
          <w:sz w:val="24"/>
          <w:szCs w:val="24"/>
        </w:rPr>
        <w:t>en</w:t>
      </w:r>
      <w:r>
        <w:rPr>
          <w:rFonts w:ascii="Palatino Linotype" w:eastAsia="Palatino Linotype" w:hAnsi="Palatino Linotype" w:cs="Palatino Linotype"/>
          <w:sz w:val="24"/>
          <w:szCs w:val="24"/>
        </w:rPr>
        <w:t xml:space="preserve"> atención a que el </w:t>
      </w:r>
      <w:r w:rsidRPr="00171BE8">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solicito se señalara el medio por el cual se llevara a cabo la notificación. </w:t>
      </w:r>
    </w:p>
    <w:p w:rsidR="00EF585D" w:rsidRDefault="00171BE8">
      <w:pPr>
        <w:spacing w:before="24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2. DE LA RESPUESTA DEL SUJETO OBLIGADO. </w:t>
      </w:r>
      <w:r>
        <w:rPr>
          <w:rFonts w:ascii="Palatino Linotype" w:eastAsia="Palatino Linotype" w:hAnsi="Palatino Linotype" w:cs="Palatino Linotype"/>
          <w:color w:val="000000"/>
          <w:sz w:val="24"/>
          <w:szCs w:val="24"/>
        </w:rPr>
        <w:t xml:space="preserve">Con fechas seis de diciembre y veinte de diciembre del dos mil veintiuno,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respectivamente otorgó, a través del SAIMEX, respuestas a la solicitud de acceso a la información de la siguiente manera:</w:t>
      </w:r>
      <w:r>
        <w:rPr>
          <w:rFonts w:ascii="Palatino Linotype" w:eastAsia="Palatino Linotype" w:hAnsi="Palatino Linotype" w:cs="Palatino Linotype"/>
          <w:color w:val="000000"/>
        </w:rPr>
        <w:t xml:space="preserve"> </w:t>
      </w:r>
    </w:p>
    <w:p w:rsidR="00EF585D" w:rsidRDefault="00171BE8">
      <w:pPr>
        <w:spacing w:before="120" w:after="12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1° Se hace de su conocimiento que de conformidad con el artículo 178 de la Ley de Transparencia y Acceso a la Información Pública del Estado de México y Municipios cuenta con un plazo de 15 días hábiles posteriores a la notificación de la respuesta para interponer recurso de revisión.</w:t>
      </w:r>
    </w:p>
    <w:p w:rsidR="00EF585D" w:rsidRDefault="00171BE8">
      <w:pPr>
        <w:spacing w:before="120" w:after="12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ATENTAMENTE</w:t>
      </w:r>
    </w:p>
    <w:p w:rsidR="00EF585D" w:rsidRDefault="00171BE8">
      <w:pPr>
        <w:spacing w:before="120" w:after="12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Lic. NORMA ANGÉLICA ZETINA MARTÍNEZ</w:t>
      </w:r>
    </w:p>
    <w:p w:rsidR="00EF585D" w:rsidRDefault="00171BE8">
      <w:pPr>
        <w:spacing w:line="360" w:lineRule="auto"/>
        <w:jc w:val="both"/>
        <w:rPr>
          <w:rFonts w:ascii="Palatino Linotype" w:eastAsia="Palatino Linotype" w:hAnsi="Palatino Linotype" w:cs="Palatino Linotype"/>
          <w:color w:val="000000"/>
          <w:sz w:val="24"/>
          <w:szCs w:val="24"/>
        </w:rPr>
      </w:pPr>
      <w:bookmarkStart w:id="2" w:name="_heading=h.gjdgxs" w:colFirst="0" w:colLast="0"/>
      <w:bookmarkEnd w:id="2"/>
      <w:r>
        <w:rPr>
          <w:rFonts w:ascii="Palatino Linotype" w:eastAsia="Palatino Linotype" w:hAnsi="Palatino Linotype" w:cs="Palatino Linotype"/>
          <w:color w:val="000000"/>
          <w:sz w:val="24"/>
          <w:szCs w:val="24"/>
        </w:rPr>
        <w:t>El</w:t>
      </w:r>
      <w:r>
        <w:rPr>
          <w:rFonts w:ascii="Palatino Linotype" w:eastAsia="Palatino Linotype" w:hAnsi="Palatino Linotype" w:cs="Palatino Linotype"/>
          <w:b/>
          <w:color w:val="000000"/>
          <w:sz w:val="24"/>
          <w:szCs w:val="24"/>
        </w:rPr>
        <w:t xml:space="preserve"> SUJETO OBLIGADO</w:t>
      </w:r>
      <w:r>
        <w:rPr>
          <w:rFonts w:ascii="Palatino Linotype" w:eastAsia="Palatino Linotype" w:hAnsi="Palatino Linotype" w:cs="Palatino Linotype"/>
          <w:color w:val="000000"/>
          <w:sz w:val="24"/>
          <w:szCs w:val="24"/>
        </w:rPr>
        <w:t xml:space="preserve"> adjuntó para tal efecto los archivos electrónicos “</w:t>
      </w:r>
      <w:hyperlink r:id="rId9">
        <w:r>
          <w:rPr>
            <w:rFonts w:ascii="Palatino Linotype" w:eastAsia="Palatino Linotype" w:hAnsi="Palatino Linotype" w:cs="Palatino Linotype"/>
            <w:b/>
            <w:color w:val="000000"/>
            <w:sz w:val="24"/>
            <w:szCs w:val="24"/>
          </w:rPr>
          <w:t>ACUSE DE RESPUESTA POR CORRE.pdf</w:t>
        </w:r>
      </w:hyperlink>
      <w:r>
        <w:rPr>
          <w:rFonts w:ascii="Palatino Linotype" w:eastAsia="Palatino Linotype" w:hAnsi="Palatino Linotype" w:cs="Palatino Linotype"/>
          <w:color w:val="000000"/>
          <w:sz w:val="24"/>
          <w:szCs w:val="24"/>
        </w:rPr>
        <w:t>” del cual se observa la notificación de la de la respuesta de la solicitud de información brindada mediante el correo electrónico señalado por la particular,  y “</w:t>
      </w:r>
      <w:hyperlink r:id="rId10">
        <w:r>
          <w:rPr>
            <w:rFonts w:ascii="Palatino Linotype" w:eastAsia="Palatino Linotype" w:hAnsi="Palatino Linotype" w:cs="Palatino Linotype"/>
            <w:b/>
            <w:color w:val="000000"/>
            <w:sz w:val="24"/>
            <w:szCs w:val="24"/>
          </w:rPr>
          <w:t>Respuesta 0922-2021.pdf</w:t>
        </w:r>
      </w:hyperlink>
      <w:r>
        <w:rPr>
          <w:rFonts w:ascii="Palatino Linotype" w:eastAsia="Palatino Linotype" w:hAnsi="Palatino Linotype" w:cs="Palatino Linotype"/>
          <w:color w:val="000000"/>
          <w:sz w:val="24"/>
          <w:szCs w:val="24"/>
        </w:rPr>
        <w:t xml:space="preserve">” el cual contiene lo siguiente: </w:t>
      </w:r>
    </w:p>
    <w:p w:rsidR="00EF585D" w:rsidRDefault="00EF585D">
      <w:pPr>
        <w:spacing w:line="360" w:lineRule="auto"/>
        <w:jc w:val="both"/>
        <w:rPr>
          <w:rFonts w:ascii="Palatino Linotype" w:eastAsia="Palatino Linotype" w:hAnsi="Palatino Linotype" w:cs="Palatino Linotype"/>
          <w:color w:val="000000"/>
          <w:sz w:val="24"/>
          <w:szCs w:val="24"/>
        </w:rPr>
      </w:pPr>
    </w:p>
    <w:p w:rsidR="00EF585D" w:rsidRDefault="00EF585D">
      <w:pPr>
        <w:spacing w:line="360" w:lineRule="auto"/>
        <w:jc w:val="both"/>
        <w:rPr>
          <w:rFonts w:ascii="Palatino Linotype" w:eastAsia="Palatino Linotype" w:hAnsi="Palatino Linotype" w:cs="Palatino Linotype"/>
          <w:color w:val="000000"/>
          <w:sz w:val="24"/>
          <w:szCs w:val="24"/>
        </w:rPr>
      </w:pPr>
    </w:p>
    <w:p w:rsidR="00EF585D" w:rsidRDefault="00EF585D">
      <w:pPr>
        <w:spacing w:line="360" w:lineRule="auto"/>
        <w:jc w:val="both"/>
        <w:rPr>
          <w:rFonts w:ascii="Palatino Linotype" w:eastAsia="Palatino Linotype" w:hAnsi="Palatino Linotype" w:cs="Palatino Linotype"/>
          <w:color w:val="000000"/>
          <w:sz w:val="24"/>
          <w:szCs w:val="24"/>
        </w:rPr>
      </w:pPr>
    </w:p>
    <w:p w:rsidR="00EF585D" w:rsidRDefault="00EF585D">
      <w:pPr>
        <w:spacing w:line="360" w:lineRule="auto"/>
        <w:jc w:val="both"/>
        <w:rPr>
          <w:rFonts w:ascii="Palatino Linotype" w:eastAsia="Palatino Linotype" w:hAnsi="Palatino Linotype" w:cs="Palatino Linotype"/>
          <w:color w:val="000000"/>
          <w:sz w:val="24"/>
          <w:szCs w:val="24"/>
        </w:rPr>
      </w:pPr>
    </w:p>
    <w:p w:rsidR="00EF585D" w:rsidRDefault="00171BE8">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rPr>
        <w:lastRenderedPageBreak/>
        <w:drawing>
          <wp:inline distT="0" distB="0" distL="0" distR="0">
            <wp:extent cx="5499926" cy="1153155"/>
            <wp:effectExtent l="0" t="0" r="0" b="0"/>
            <wp:docPr id="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l="41848" t="64047" r="26850" b="24281"/>
                    <a:stretch>
                      <a:fillRect/>
                    </a:stretch>
                  </pic:blipFill>
                  <pic:spPr>
                    <a:xfrm>
                      <a:off x="0" y="0"/>
                      <a:ext cx="5499926" cy="1153155"/>
                    </a:xfrm>
                    <a:prstGeom prst="rect">
                      <a:avLst/>
                    </a:prstGeom>
                    <a:ln/>
                  </pic:spPr>
                </pic:pic>
              </a:graphicData>
            </a:graphic>
          </wp:inline>
        </w:drawing>
      </w:r>
    </w:p>
    <w:p w:rsidR="00EF585D" w:rsidRDefault="00171BE8">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rPr>
        <w:drawing>
          <wp:inline distT="0" distB="0" distL="0" distR="0">
            <wp:extent cx="5356793" cy="5192819"/>
            <wp:effectExtent l="0" t="0" r="0" b="0"/>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41921" t="32414" r="27189" b="14349"/>
                    <a:stretch>
                      <a:fillRect/>
                    </a:stretch>
                  </pic:blipFill>
                  <pic:spPr>
                    <a:xfrm>
                      <a:off x="0" y="0"/>
                      <a:ext cx="5356793" cy="5192819"/>
                    </a:xfrm>
                    <a:prstGeom prst="rect">
                      <a:avLst/>
                    </a:prstGeom>
                    <a:ln/>
                  </pic:spPr>
                </pic:pic>
              </a:graphicData>
            </a:graphic>
          </wp:inline>
        </w:drawing>
      </w:r>
    </w:p>
    <w:p w:rsidR="00EF585D" w:rsidRDefault="00171BE8">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rPr>
        <w:lastRenderedPageBreak/>
        <w:drawing>
          <wp:inline distT="0" distB="0" distL="0" distR="0">
            <wp:extent cx="5350496" cy="6934721"/>
            <wp:effectExtent l="0" t="0" r="0" b="0"/>
            <wp:docPr id="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41750" t="22631" r="27868" b="7362"/>
                    <a:stretch>
                      <a:fillRect/>
                    </a:stretch>
                  </pic:blipFill>
                  <pic:spPr>
                    <a:xfrm>
                      <a:off x="0" y="0"/>
                      <a:ext cx="5350496" cy="6934721"/>
                    </a:xfrm>
                    <a:prstGeom prst="rect">
                      <a:avLst/>
                    </a:prstGeom>
                    <a:ln/>
                  </pic:spPr>
                </pic:pic>
              </a:graphicData>
            </a:graphic>
          </wp:inline>
        </w:drawing>
      </w:r>
    </w:p>
    <w:p w:rsidR="00EF585D" w:rsidRDefault="00171BE8">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rPr>
        <w:lastRenderedPageBreak/>
        <w:drawing>
          <wp:inline distT="0" distB="0" distL="0" distR="0">
            <wp:extent cx="5435414" cy="7128412"/>
            <wp:effectExtent l="0" t="0" r="0" b="0"/>
            <wp:docPr id="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41921" t="13277" r="27019" b="14300"/>
                    <a:stretch>
                      <a:fillRect/>
                    </a:stretch>
                  </pic:blipFill>
                  <pic:spPr>
                    <a:xfrm>
                      <a:off x="0" y="0"/>
                      <a:ext cx="5435414" cy="7128412"/>
                    </a:xfrm>
                    <a:prstGeom prst="rect">
                      <a:avLst/>
                    </a:prstGeom>
                    <a:ln/>
                  </pic:spPr>
                </pic:pic>
              </a:graphicData>
            </a:graphic>
          </wp:inline>
        </w:drawing>
      </w:r>
    </w:p>
    <w:p w:rsidR="00EF585D" w:rsidRDefault="00171BE8">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rPr>
        <w:lastRenderedPageBreak/>
        <w:drawing>
          <wp:inline distT="0" distB="0" distL="0" distR="0">
            <wp:extent cx="5628134" cy="7157519"/>
            <wp:effectExtent l="0" t="0" r="0" b="0"/>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41582" t="22329" r="27189" b="7059"/>
                    <a:stretch>
                      <a:fillRect/>
                    </a:stretch>
                  </pic:blipFill>
                  <pic:spPr>
                    <a:xfrm>
                      <a:off x="0" y="0"/>
                      <a:ext cx="5628134" cy="7157519"/>
                    </a:xfrm>
                    <a:prstGeom prst="rect">
                      <a:avLst/>
                    </a:prstGeom>
                    <a:ln/>
                  </pic:spPr>
                </pic:pic>
              </a:graphicData>
            </a:graphic>
          </wp:inline>
        </w:drawing>
      </w:r>
    </w:p>
    <w:p w:rsidR="00EF585D" w:rsidRDefault="00171BE8">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rPr>
        <w:lastRenderedPageBreak/>
        <w:drawing>
          <wp:inline distT="0" distB="0" distL="0" distR="0">
            <wp:extent cx="5426322" cy="7371015"/>
            <wp:effectExtent l="0" t="0" r="0" b="0"/>
            <wp:docPr id="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42092" t="13881" r="28547" b="15205"/>
                    <a:stretch>
                      <a:fillRect/>
                    </a:stretch>
                  </pic:blipFill>
                  <pic:spPr>
                    <a:xfrm>
                      <a:off x="0" y="0"/>
                      <a:ext cx="5426322" cy="7371015"/>
                    </a:xfrm>
                    <a:prstGeom prst="rect">
                      <a:avLst/>
                    </a:prstGeom>
                    <a:ln/>
                  </pic:spPr>
                </pic:pic>
              </a:graphicData>
            </a:graphic>
          </wp:inline>
        </w:drawing>
      </w:r>
    </w:p>
    <w:p w:rsidR="00EF585D" w:rsidRDefault="00171BE8">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rPr>
        <w:lastRenderedPageBreak/>
        <w:drawing>
          <wp:inline distT="0" distB="0" distL="0" distR="0">
            <wp:extent cx="5416486" cy="3864741"/>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l="41750" t="23838" r="27359" b="36976"/>
                    <a:stretch>
                      <a:fillRect/>
                    </a:stretch>
                  </pic:blipFill>
                  <pic:spPr>
                    <a:xfrm>
                      <a:off x="0" y="0"/>
                      <a:ext cx="5416486" cy="3864741"/>
                    </a:xfrm>
                    <a:prstGeom prst="rect">
                      <a:avLst/>
                    </a:prstGeom>
                    <a:ln/>
                  </pic:spPr>
                </pic:pic>
              </a:graphicData>
            </a:graphic>
          </wp:inline>
        </w:drawing>
      </w:r>
    </w:p>
    <w:p w:rsidR="00EF585D" w:rsidRDefault="00171BE8">
      <w:pPr>
        <w:spacing w:before="120" w:after="120" w:line="360" w:lineRule="auto"/>
        <w:ind w:right="-234"/>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3. RECURSO DE REVISIÓN. </w:t>
      </w:r>
      <w:r>
        <w:rPr>
          <w:rFonts w:ascii="Palatino Linotype" w:eastAsia="Palatino Linotype" w:hAnsi="Palatino Linotype" w:cs="Palatino Linotype"/>
          <w:color w:val="000000"/>
          <w:sz w:val="24"/>
          <w:szCs w:val="24"/>
        </w:rPr>
        <w:t>Inconforme con la respuesta del</w:t>
      </w:r>
      <w:r>
        <w:rPr>
          <w:rFonts w:ascii="Palatino Linotype" w:eastAsia="Palatino Linotype" w:hAnsi="Palatino Linotype" w:cs="Palatino Linotype"/>
          <w:b/>
          <w:color w:val="000000"/>
          <w:sz w:val="24"/>
          <w:szCs w:val="24"/>
        </w:rPr>
        <w:t xml:space="preserve"> SUJETO OBLIGADO, LA RECURRENTE </w:t>
      </w:r>
      <w:r>
        <w:rPr>
          <w:rFonts w:ascii="Palatino Linotype" w:eastAsia="Palatino Linotype" w:hAnsi="Palatino Linotype" w:cs="Palatino Linotype"/>
          <w:color w:val="000000"/>
          <w:sz w:val="24"/>
          <w:szCs w:val="24"/>
        </w:rPr>
        <w:t>interpuso el recurso de revisión, en fecha nueve de enero de dos mil veintidós, el cual fue registrado</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en el sistema electrónico el día diez de enero de dos mil veintidós con el expediente número </w:t>
      </w:r>
      <w:r>
        <w:rPr>
          <w:rFonts w:ascii="Palatino Linotype" w:eastAsia="Palatino Linotype" w:hAnsi="Palatino Linotype" w:cs="Palatino Linotype"/>
          <w:b/>
          <w:color w:val="000000"/>
          <w:sz w:val="24"/>
          <w:szCs w:val="24"/>
        </w:rPr>
        <w:t>00064/INFOEM/IP/RR/2022</w:t>
      </w:r>
      <w:r>
        <w:rPr>
          <w:rFonts w:ascii="Palatino Linotype" w:eastAsia="Palatino Linotype" w:hAnsi="Palatino Linotype" w:cs="Palatino Linotype"/>
          <w:color w:val="000000"/>
          <w:sz w:val="24"/>
          <w:szCs w:val="24"/>
        </w:rPr>
        <w:t>, en el cual manifiesta, lo siguiente:</w:t>
      </w:r>
    </w:p>
    <w:p w:rsidR="00EF585D" w:rsidRDefault="00171BE8">
      <w:pPr>
        <w:numPr>
          <w:ilvl w:val="0"/>
          <w:numId w:val="2"/>
        </w:numPr>
        <w:pBdr>
          <w:top w:val="nil"/>
          <w:left w:val="nil"/>
          <w:bottom w:val="nil"/>
          <w:right w:val="nil"/>
          <w:between w:val="nil"/>
        </w:pBdr>
        <w:spacing w:before="120" w:after="12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rsidR="00EF585D" w:rsidRDefault="00171BE8">
      <w:pPr>
        <w:spacing w:before="120" w:after="120" w:line="276" w:lineRule="auto"/>
        <w:ind w:lef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“Solicitud de información pública folio núm. 00922/PJUDICI/IP/2021. L. EN D. NORMA ANGÉLICA ZETINA MARTÍNEZ TITULAR DE LA UNIDAD DE TRANSPARENCIA. C. </w:t>
      </w:r>
      <w:r w:rsidR="002979FF" w:rsidRPr="002979FF">
        <w:rPr>
          <w:rFonts w:ascii="Palatino Linotype" w:eastAsia="Palatino Linotype" w:hAnsi="Palatino Linotype" w:cs="Palatino Linotype"/>
          <w:i/>
          <w:color w:val="000000"/>
        </w:rPr>
        <w:t>xxxxxx xxxxxxx xxxxxxxxx</w:t>
      </w:r>
      <w:r>
        <w:rPr>
          <w:rFonts w:ascii="Palatino Linotype" w:eastAsia="Palatino Linotype" w:hAnsi="Palatino Linotype" w:cs="Palatino Linotype"/>
          <w:i/>
          <w:color w:val="000000"/>
        </w:rPr>
        <w:t xml:space="preserve">, con la personalidad que tengo debidamente acreditada en la solicitud de información pública que al rubro se indica, ante Usted, respetuosamente manifiesto y expongo: Que estando en tiempo y forma vengo a </w:t>
      </w:r>
      <w:r>
        <w:rPr>
          <w:rFonts w:ascii="Palatino Linotype" w:eastAsia="Palatino Linotype" w:hAnsi="Palatino Linotype" w:cs="Palatino Linotype"/>
          <w:i/>
          <w:color w:val="000000"/>
        </w:rPr>
        <w:lastRenderedPageBreak/>
        <w:t xml:space="preserve">interponer el recurso de revisión de mi solicitud de información pública señalada anteriormente en las siguientes: CONSIDERACIONES. En cuanto a lo siguiente puntos del informe que se emite: 1.- Se informe a esta suscrita por escrito; que facultades tiene el Director de Investigaciones Judiciales de la Escuela Judicial del Estado de México, como responsable de la Convocatoria para ocupar la plaza de Investigador de Tiempo completo adscrito al Centro de Investigaciones Judiciales de la Escuela Judicial del Estado de México, para subsanar incidentes que se presente durante el proceso de selección. Respecto a este punto queda comprendido que la autoridad facultada para resolver todo lo no previsto en esta Convocatoria es el Director General Adjunto de la Escuela Judicial. 3.- Se me informe por escrito de manera lógica racional ¿por qué el folio de preregistro número 42986/2021, de las tantas veces mencionada convocatoria no me permitió el acceso para realizar los trámites correspondientes? Solo se tomarán en cuenta las solicitudes de inscripción que se reciban dentro del periodo señalado. Por cuanto hace al numeral tres, se le informa que el tiempo de pre-registro fue excedido, pues no se completó el llenado de la información sino hasta tres horas después de haber iniciado el trámite; por lo que el folio no quedó registrado adecuadamente en la base de datos, en consecuencia, al ingresar con él para adjuntar los documentos, el sistema mostró el mensaje "No existen datos para el folio ingresado, verifique su información". A esto me resulta importante manifestar que los sistemas de internet no son autónomos, ya que existe personal capacitado que revisa la información que se obtiene, en este caso fue la dirección académica de dicha Escuela Judicial, que estuvo apoyando para verificar la información proporcionada para la realización de los expedientes electrónicos que se iban a conformar por motivo de partición de las personas interesada en la convocatoria que nos ocupa, así mismo en dicha convocatoria el periodo de registro para inscripción fue comprendido de las 12:00 horas del día 13 de septiembre de 2021, a las 12:00 horas del 30 del mismo mes y año, siendo que la suscrita se inscribió el día 16 de septiembre, si efectivamente mi registro no se efectuó adecuadamente, como lo deduce por simple analogía el Señor Director de la Escuela Judicial del Estado de México, ésta suscrita tenía el derecho de ser informada que mi registro no se efectúo adecuadamente, por lo tanto la autoridad responsable tenía la obligación de informar a la suscrita de dicha inconsistencia, toda vez que estaba en tiempo y forma de realizar dicho registro de manera correcta para así poder participar en dicho evento, cuestión que la autoridad no notifico a la suscrita de dicha información que me era importante, así mismo de la fecha del 16 de septiembre al 30 de septiembre, tiempo respectivo señalado para la preinscripción de los interesados, hubo </w:t>
      </w:r>
      <w:r>
        <w:rPr>
          <w:rFonts w:ascii="Palatino Linotype" w:eastAsia="Palatino Linotype" w:hAnsi="Palatino Linotype" w:cs="Palatino Linotype"/>
          <w:i/>
          <w:color w:val="000000"/>
        </w:rPr>
        <w:lastRenderedPageBreak/>
        <w:t xml:space="preserve">tiempo suficiente para poder informarme y realizar la inscripción correctamente. Por otra parte resulta falsa la información emitida por el Mencionado Director General Adjunto de la Escuela Judicial del Estado de México al manifestar que: “se le informa que el tiempo de pre-registro fue excedido, pues no se completó el llenado de la información sino hasta tres horas después de haber iniciado el trámite; por lo que el folio no quedó registrado adecuadamente en la base de datos, en consecuencia, al ingresar con él para adjuntar los documentos, el sistema mostró el mensaje "No existen datos para el folio ingresado, verifique su información". Es falso lo que se señala dicho Director, en virtud de que la suscrita recibió un documento de Confirmación de Preinscripción donde se me especifica el folio 42986 con fecha 16 de Septiembre del año próximo pasado en donde venían registrados los datos aportados, ahora si nos vamos al supuesto que el director señala, la suscrita no hubiese recibido dicho documento, así mismo, si la suscrita se hubiese excedido del tiempo el mismo sistema me hubiese marcado el error y no hubiese permitido que se me enviará un documento de confirmación, mismo que anexé a mi escrito inicial de solicitud de información como anexo número I, en el cual señala “CONFIRMACIÓN DE PRE-REGISTRO A LA CONVOCATORIA”, así mismo en todas las páginas webs que ocupan las Instituciones de gobierno o cualquier empresa, existe un sistema denominado Seguimiento Web, en donde por parte de terceros se refiere a la práctica en la cual entidades de seguimiento llamados rastreadores están integrados en un sitio web y tiene como propósito re-identificar a los usuarios en el momento que se navega por internet, recolectando información sobre el sitio que se visita, en donde se nos especifica la hora que se ingresa y el tiempo en que se navega en dicha página, y contiene la información que se emite, documento que no me adjunta el señalado director para acreditar que efectivamente ésta suscrita se excedió de horas como lo señala por simple analogía, a lo cual solicito se me sea entregado dicho documento, toda vez que como el mismo Director General Adjunto me señala tiene un sistema Electrónico infalible que no permite margen de error al señalar “Merece la pena advertir que el sistema de registro funcionó correctamente pues pudieron hacer uso del mismo 24 aspirantes más de los cuales ninguno reportó incidentes durante su inscripción.”, ahora bien, dicho director no solo lesiona mi Dignidad Humana, también pretende lesionar mi Inteligencia, al manifestar que la única persona que no pudo ingresar al sistema fui yo, ya que como lo señale anteriormente tiene un sistema digital infalible que no permite margen de error, pero como el mismo reconoce si no se efectuó correctamente mi pre inscripción por los motivos que hubiese habido, la autoridad responsable tenía la </w:t>
      </w:r>
      <w:r>
        <w:rPr>
          <w:rFonts w:ascii="Palatino Linotype" w:eastAsia="Palatino Linotype" w:hAnsi="Palatino Linotype" w:cs="Palatino Linotype"/>
          <w:i/>
          <w:color w:val="000000"/>
        </w:rPr>
        <w:lastRenderedPageBreak/>
        <w:t xml:space="preserve">obligación de informarme que dicha inscripción o preinscripción no se llevó correctamente en tiempo y forma, porque omitió informarme de dicha inconsistencia, fundo la presente petición en el artículo 3º fracciones XII y XV de la Señalada Ley de Transparencia y Acceso a la Información Pública del Estado de México y Municipios: XII. Documento electrónico: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 XV. Expediente digital: Al conjunto de documentos electrónicos que, sujetos a los requisitos de esta ley, se utilicen en la gestión electrónica de trámites, servicios, procesos y procedimientos administrativos y jurisdiccionales. 4.- De igual modo, se me informe por escrito, de manera lógica racional ¿por qué el folio de pre-registro número 44400/2021, de la mencionada convocatoria, no me permitió el acceso para realizar los trámites correspondientes? En relación al numeral cuatro, se hace de su conocimiento que el folio en mención, se encontró registrado y activado correctamente, sin embargo, inició el registro de su documentación el día 11 de octubre del presente a las 11:47 horas y el sistema cerró automáticamente a las 12:00 horas por así establecerlo la Convocatoria de mérito. Merece la pena advertir que el sistema de registro funcionó correctamente pues pudieron hacer uso del mismo 24 aspirantes más de los cuales ninguno reportó incidentes durante su inscripción. Es importante advertir que, en el escrito del 15 de noviembre, se menciona que procedió a subsanar las omisiones en cuanto a la presentación de los documentos apenas el sistema se lo notificó, pero se aclara que entonces estaba fuera del plazo establecido en la Convocatoria para presentar los documentos, es decir, estaba en condición EXTEMPORÁNEA, siendo que el plazo de recepción de documentos fue el mismo para todos los aspirantes. Respecto a este numeral manifiesto lo siguiente: Al parecer el Señor Director General Adjunto de la Escuela Judicial del Estado de México, selecciona información para dar una respuesta a modo, toda vez que la suscrita en su escrito inicial especifique las siguientes consideraciones señaladas: 6.- Posteriormente en la misma fecha siendo las 11 horas con 11 minutos, después de haber checado que paso con mi folio de pre-registro anterior, recibí nuevamente un correo de confirmación de pre-registro a la convocatoria con un nuevo folio de pre-registro otorgándome el número 44400/2021. Para acreditar el siguiente hecho se anexa copia de correo como anexo número 3. 7.- Posteriormente me dirigí al establecimiento de internet, que se encuentra ubicado en las </w:t>
      </w:r>
      <w:r>
        <w:rPr>
          <w:rFonts w:ascii="Palatino Linotype" w:eastAsia="Palatino Linotype" w:hAnsi="Palatino Linotype" w:cs="Palatino Linotype"/>
          <w:i/>
          <w:color w:val="000000"/>
        </w:rPr>
        <w:lastRenderedPageBreak/>
        <w:t xml:space="preserve">afueras de la Escuela Judicial para continuar con el registro de la documentación, quise ingresar a la página de internet de la Escuela Judicial señalada en la mencionada convocatoria con el número de folio del pre-registro que me fue otorgado y no pude acceder nuevamente a él, en donde aparecía la siguiente leyenda. Aviso! No existen datos para el folio ingresado, verifique su información, me dirigir nuevamente a las instalaciones de la señalada institución y me dirigí a la Dirección del Centro de Investigaciones Judiciales en donde fui atendida por el subdirector de dicho centro, para hacerle del conocimiento de las anomalías que se estaban presentándome, manifestándome que me esperara que el Director del Centro de Investigaciones era el encargado de dicha convocatoria para que él le hiciera saber de lo que estaba pasando que por el momento se encontraba atendiendo a otra persona, cabe aclarar que para esto ya eran aproximadamente las 11 horas con treinta minutos. 8.- Fui atendida por el director del Centro de Investigaciones, manifestándole la problemática que se había venido suscitando con mi proceso de registro de documentación, manifestándome que no era problema de esa área que lo tenía que ver con el área de tecnologías, así mismo le mencione que el tempo vencía para el cierre del convocatoria mencionándole que le entregaba por escrito mi solicitud y le anexaba mi memoria en donde se encontraba guardados los documentos requeridos mencionándome quien no estaba autorizado para recibir ningún tipo de documentación de manera física, cabe aclarar que acudí con él, en virtud de que él era el responsable de la señalada convocatoria. 8.- Me dirigí al departamento de tecnologías como me lo había indicado el mencionado Director, donde me atendió un joven, manifestándole ésta suscrita el motivo de mi presencia y fue quien me apoyo al ver la urgencia en virtud de que el tiempo se me estaba agotando y se cerraría la convocatoria, cabe señalar que fue él el que amablemente me apoyo al envió de la documentación requerida. En este numeral hablamos de dos supuestos el primero fue el señalado como número 7 de mi escrito inicial manifesté que a la suscrita no le permitió el acceso al número de folio 44400/2021 y en el punto señalado como número 9 manifesté que una persona del departamento de tecnología fue quien me ayudo a realizar él envió de la documentación requerida. El C. Director General Adjunto de la Escuela Judicial, da respuesta al término en donde una persona del área de tecnologías me apoyo, es obvio que el tenia modo de acceder al sistema de manera directa, mientras que el número de folio que a mí me habían otorgado no habría, cuestión que la suscrita no entiende las razones que bloquearon mi acceso al folio otorgado, ya que como lo señale anteriormente el señalado director dice que tiene un sistema de internet infalible, que no permite margen de error toda </w:t>
      </w:r>
      <w:r>
        <w:rPr>
          <w:rFonts w:ascii="Palatino Linotype" w:eastAsia="Palatino Linotype" w:hAnsi="Palatino Linotype" w:cs="Palatino Linotype"/>
          <w:i/>
          <w:color w:val="000000"/>
        </w:rPr>
        <w:lastRenderedPageBreak/>
        <w:t xml:space="preserve">vez que 24 personas utilizaron sin ningún problema su sistema y a la suscrita no le funciono, esa es precisamente mi solicitud de información porqué a otras personas si le funciono el uso de su folio de preinscripción y a la suscrita no, con sus respuestas pretende dar a entender que ésta suscrita solamente ésta fingiendo de manera repetitiva que no se permitió entrar al sistema. Resulta muy sencillo de averiguar desde que sistema IP, se mandó mi documentación que fue del sistema del área de tecnologías y tal y como lo señala el mencionado Director fue a las 11:47 horas del día 11 de octubre del año próximo pasado, situación que causo un daño a mi persona y a la aspiración de participar en la obtención de la plaza señalada, así mismo dicho director señala enfáticamente “Es importante advertir que, en el escrito del 15 de noviembre, se menciona que procedió a subsanar las omisiones en cuanto a la presentación de los documentos apenas el sistema se lo notificó, pero se aclara que entonces estaba fuera del plazo establecido en la Convocatoria para presentar los documentos, es decir, estaba en condición EXTEMPORÁNEA, siendo que el plazo de recepción de documentos fue el mismo para todos los aspirantes.”, es falso que todos los aspirantes hayan tenido el mismo, plazo de recepción de documentos, la prueba es que para la suscrita solo fueron 13 minutos en todo el procedimiento, debido a toda la serie de irregularidades que se marcaron durante el proceso en que la suscrita debió haber recibido información oportuna para poder subsanar las anomalías que se presentaron al emitir mi documentación, coartando con ello la oportunidad de poder participar en dicha selección. Así mismo solicito para acreditar este hecho se me informe de que sistema electrónico IP, se envió la documentación, en virtud del seguimiento puntual de la dirección IP. La dirección IP, es una serie de números con los que su dispositivo o red se identifican en internet. Todos los dispositivos en línea, no solo los equipos, teléfonos y routers, sino también los servidores que alojan los sitios web y los servicios que se utilizan cuenta con una dirección IP. Las direcciones IP, son un componente integral de la estructura de internet, ya que garantizan que el trafico web se entregue en su destino previsto. La actividad en Internet es una serie de comunicaciones bilaterales entre clientes (una aplicación de software, como un navegador web, que solicita datos) y servidores, que responden a los clientes. Cada cliente tiene una dirección IP que indica a los servidores el equipo que está haciendo la solicitud. Así es como se sabe dónde debe enviar los resultados de una búsqueda, como recibe correos electrónicos dirigidos a una persona y como funciona internet en general. Es sencillo conocer la dirección IP en caso de que se requiera información 5.- Se me proporcione por escrito, información de los integrantes que conformaron la Comisión Dictaminadora para evaluar los proyectos de </w:t>
      </w:r>
      <w:r>
        <w:rPr>
          <w:rFonts w:ascii="Palatino Linotype" w:eastAsia="Palatino Linotype" w:hAnsi="Palatino Linotype" w:cs="Palatino Linotype"/>
          <w:i/>
          <w:color w:val="000000"/>
        </w:rPr>
        <w:lastRenderedPageBreak/>
        <w:t xml:space="preserve">investigación presentados por motivo de la convocatoria en cuestión, dichos datos deben ser referentes a: Su Grado Académico, Experiencia Laboral, Antigüedad en investigación, desempeño y experiencia en dictámenes de Proyectos de Investigación. Respecto a este punto cabe señalar que la suscrita no ésta solicitando información que pudiera clasificarse como reservada, ni tampoco ésta solicitando información que comprometa la seguridad pública de las personas en cuestión, mucho menos se ha solicitado información ponga en peligro la integridad de los derechos de las personas, ni tampoco se ha solicitado información que ataque la moral, la vida privada o los derechos de terceros, simplemente es conocer información que es considerada publica puesto que lo que la suscrita ésta solicitando es: ¿cuál es el grado académico? información misma que es de carácter público, toda vez que dicha información la podemos encontrar en el registro relativo al ejercicio de las funciones profesionales, en donde uno de los principales objetivos de la Ley Reglamentaria del Ejercicio de Profesiones, es autorizar el ejercicio de una o varias especialidades, debiendo comprobarse previamente que dicha persona ha obtenido un título relativo de una profesión y comprobar en forma idónea, haber realizados estudios especiales de perfeccionamiento técnico científico, en la ciencia o rama de la ciencia que se trate. tal y como lo estipula el artículo 5º de dicha Ley Reglamentaria, así mismo dicha ley establece en su artículo 6º, que dicho registro de profesión tiene como objeto dirimir conflictos entre los intereses individuales de los profesionistas y los de la sociedad, la presente ley será interpretada en favor de esta última, si no hubiere precepto expreso para resolver el conflicto. Por lo que se refiere a las leyes que regulan su actividad, en lo que no se oponga a este ordenamiento. Si dicha información fuera considerada como clasificada y contraria a la ley por ser violatoria de los derechos humanos de las personas, sería anticonstitucional y no tendría razón de ser el hecho de que los profesionistas registremos nuestros títulos de grados académicos y que dicha información puede ser consultada por cualquier persona que así lo requiera, así mismo en el mismo tenor resulta incongruente que el hecho de saber experiencia Laboral, Antigüedad en investigación, desempeño y experiencia en dictámenes de Proyectos de Investigación, son datos primarios o sin procesar, mismos que se encuentran en formatos estándar como lo es una solicitud de empleo, referencia de datos que otorga un profesionista en el desempeño de su profesión individual, sin que esto genere un peligro grave a su persona o a su integridad corporal o que sea información que violente con gravedad sus derechos humanos, puesto que esos datos los utiliza cualquier persona común en una solicitud de empleo, y si dichos datos fueran clasificados como violatorios de derechos humanos, ninguna empresa, institución de </w:t>
      </w:r>
      <w:r>
        <w:rPr>
          <w:rFonts w:ascii="Palatino Linotype" w:eastAsia="Palatino Linotype" w:hAnsi="Palatino Linotype" w:cs="Palatino Linotype"/>
          <w:i/>
          <w:color w:val="000000"/>
        </w:rPr>
        <w:lastRenderedPageBreak/>
        <w:t xml:space="preserve">gobierno o de cualquier otra naturaleza donde se solicite empleo, estaría en posición de solicitar referencias laborales porque sería violatorio de la ley y de los derechos humanos fundamentales de las personas y sería declarada como información clasificada, inclusive cuando emitimos un documento como el que hoy se contesta, utilizamos nuestro grado académico, ejemplo L. EN D. NORMA ANGELICA ZETINA MARTINEZ, TITULAR DE LA UNIDAD DE TRANSPARENCIA, dicho párrafo me manifiesta de manera expresa, que el grado académico de la titular es Licenciada en Derecho, si esto implicara poner en peligro la integridad y seguridad de las personas no lo haríamos, así mismo siguiendo con el análisis, la misma Titular de la Unidad de Transparencia Angélica Zetina Martínez, estaría violando Derechos Humanos al referirse en su escrito lo siguiente: Visto el contenido de la solicitud de acorde a lo rendido por el Doctor Jime López Rayón Reyes, Director adjunto de la Escuela Judicial del Estado de México, se da respuesta en los siguientes términos: toda vez que sin solicitárselo me ésta proporcionando el grado académico que ostenta dicho Director, así mismo cuando nos ostentamos con el prefijo, Doctor, Licenciado, estamos dando nuestro grado académico, y bajo la lógica de interpretación jurídica del señalado Doctor Jime López Rayón Reyes, estaríamos ante el supuesto de estar proporcionando información que para él es considerada como clasificada. incluso, va más allá de lo especulado, al manifestar que dichos datos: han dado origen a la figura jurídica del secreto de información que se conoce en la doctrina como "reserva de información" o "secreto burocrático". Este supuesto en el caso que nos ocupa no se da como lo plantea dicho Director Adjunto de la mencionada Escuela, puesto que desde el momento en que hacemos uso de dicha información de manera cotidiana pierde el estatus de Reserva o de Secreto. El hecho de que no se me proporcione dicha información que solicito en este punto, me hace confirmar que dicha comisión dictaminadora nunca existió y además dicha negativa viola en mi perjuicio mi derecho a la información y lo establecido en los artículos que a continuación transcribo: 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Pr>
          <w:rFonts w:ascii="Palatino Linotype" w:eastAsia="Palatino Linotype" w:hAnsi="Palatino Linotype" w:cs="Palatino Linotype"/>
          <w:i/>
          <w:color w:val="000000"/>
        </w:rPr>
        <w:lastRenderedPageBreak/>
        <w:t>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 Por lo anteriormente expuesto y fundado; a Usted, atentamente pido: UNICO. Tenerme por presentada en términos del presente escrito, interponiendo el recurso de revisión.” [sic]</w:t>
      </w:r>
    </w:p>
    <w:p w:rsidR="00EF585D" w:rsidRDefault="00171BE8">
      <w:pPr>
        <w:numPr>
          <w:ilvl w:val="0"/>
          <w:numId w:val="2"/>
        </w:numPr>
        <w:pBdr>
          <w:top w:val="nil"/>
          <w:left w:val="nil"/>
          <w:bottom w:val="nil"/>
          <w:right w:val="nil"/>
          <w:between w:val="nil"/>
        </w:pBdr>
        <w:spacing w:before="120" w:after="12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rsidR="00EF585D" w:rsidRDefault="00171BE8">
      <w:pPr>
        <w:spacing w:line="276" w:lineRule="auto"/>
        <w:ind w:lef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“Solicitud de información pública folio núm. 00922/PJUDICI/IP/2021. L. EN D. NORMA ANGÉLICA ZETINA MARTÍNEZ TITULAR DE LA UNIDAD DE TRANSPARENCIA. C. </w:t>
      </w:r>
      <w:r w:rsidR="002979FF" w:rsidRPr="002979FF">
        <w:rPr>
          <w:rFonts w:ascii="Palatino Linotype" w:eastAsia="Palatino Linotype" w:hAnsi="Palatino Linotype" w:cs="Palatino Linotype"/>
          <w:i/>
          <w:color w:val="000000"/>
        </w:rPr>
        <w:t>xxxxxx xxxxxxx xxxxxxxxx</w:t>
      </w:r>
      <w:r>
        <w:rPr>
          <w:rFonts w:ascii="Palatino Linotype" w:eastAsia="Palatino Linotype" w:hAnsi="Palatino Linotype" w:cs="Palatino Linotype"/>
          <w:i/>
          <w:color w:val="000000"/>
        </w:rPr>
        <w:t xml:space="preserve">, con la personalidad que tengo debidamente acreditada en la solicitud de información pública que al rubro se indica, ante Usted, respetuosamente manifiesto y expongo: Que estando en tiempo y forma vengo a interponer el recurso de revisión de mi solicitud de información pública señalada anteriormente en las siguientes: CONSIDERACIONES. En cuanto a lo siguiente puntos del informe que se emite: 1.- Se informe a esta suscrita por escrito; que facultades tiene el Director de Investigaciones Judiciales de la Escuela Judicial del Estado de México, como responsable de la Convocatoria para ocupar la plaza de Investigador de Tiempo completo adscrito al Centro de Investigaciones Judiciales de la Escuela Judicial del Estado de México, para subsanar incidentes que se presente durante el proceso de selección. Respecto a este punto queda comprendido que la autoridad facultada para resolver todo lo no previsto en esta Convocatoria es el Director General Adjunto de la Escuela Judicial. 3.- Se me informe por escrito de manera lógica racional ¿por qué el folio de preregistro número 42986/2021, de las tantas veces mencionada convocatoria no me permitió el acceso para realizar los trámites correspondientes? Solo se tomarán en cuenta las solicitudes de inscripción que se reciban dentro del periodo señalado. Por cuanto hace al numeral tres, se le informa que el tiempo de pre-registro fue excedido, pues no se completó el llenado de la información sino hasta tres horas después de haber iniciado el trámite; por lo que el folio no quedó registrado adecuadamente en la base de datos, en consecuencia, al ingresar con él para adjuntar los documentos, el sistema mostró el mensaje "No existen datos para el folio ingresado, verifique su información". A esto me resulta importante manifestar que los sistemas de internet no son autónomos, ya que existe personal capacitado que revisa la información que </w:t>
      </w:r>
      <w:r>
        <w:rPr>
          <w:rFonts w:ascii="Palatino Linotype" w:eastAsia="Palatino Linotype" w:hAnsi="Palatino Linotype" w:cs="Palatino Linotype"/>
          <w:i/>
          <w:color w:val="000000"/>
        </w:rPr>
        <w:lastRenderedPageBreak/>
        <w:t xml:space="preserve">se obtiene, en este caso fue la dirección académica de dicha Escuela Judicial, que estuvo apoyando para verificar la información proporcionada para la realización de los expedientes electrónicos que se iban a conformar por motivo de partición de las personas interesada en la convocatoria que nos ocupa, así mismo en dicha convocatoria el periodo de registro para inscripción fue comprendido de las 12:00 horas del día 13 de septiembre de 2021, a las 12:00 horas del 30 del mismo mes y año, siendo que la suscrita se inscribió el día 16 de septiembre, si efectivamente mi registro no se efectuó adecuadamente, como lo deduce por simple analogía el Señor Director de la Escuela Judicial del Estado de México, ésta suscrita tenía el derecho de ser informada que mi registro no se efectúo adecuadamente, por lo tanto la autoridad responsable tenía la obligación de informar a la suscrita de dicha inconsistencia, toda vez que estaba en tiempo y forma de realizar dicho registro de manera correcta para así poder participar en dicho evento, cuestión que la autoridad no notifico a la suscrita de dicha información que me era importante, así mismo de la fecha del 16 de septiembre al 30 de septiembre, tiempo respectivo señalado para la preinscripción de los interesados, hubo tiempo suficiente para poder informarme y realizar la inscripción correctamente. Por otra parte resulta falsa la información emitida por el Mencionado Director General Adjunto de la Escuela Judicial del Estado de México al manifestar que: “se le informa que el tiempo de pre-registro fue excedido, pues no se completó el llenado de la información sino hasta tres horas después de haber iniciado el trámite; por lo que el folio no quedó registrado adecuadamente en la base de datos, en consecuencia, al ingresar con él para adjuntar los documentos, el sistema mostró el mensaje "No existen datos para el folio ingresado, verifique su información". Es falso lo que se señala dicho Director, en virtud de que la suscrita recibió un documento de Confirmación de Preinscripción donde se me especifica el folio 42986 con fecha 16 de Septiembre del año próximo pasado en donde venían registrados los datos aportados, ahora si nos vamos al supuesto que el director señala, la suscrita no hubiese recibido dicho documento, así mismo, si la suscrita se hubiese excedido del tiempo el mismo sistema me hubiese marcado el error y no hubiese permitido que se me enviará un documento de confirmación, mismo que anexé a mi escrito inicial de solicitud de información como anexo número I, en el cual señala “CONFIRMACIÓN DE PRE-REGISTRO A LA CONVOCATORIA”, así mismo en todas las páginas webs que ocupan las Instituciones de gobierno o cualquier empresa, existe un sistema denominado Seguimiento Web, en donde por parte de terceros se refiere a la práctica en la cual entidades de seguimiento llamados rastreadores están integrados en un sitio web y tiene como </w:t>
      </w:r>
      <w:r>
        <w:rPr>
          <w:rFonts w:ascii="Palatino Linotype" w:eastAsia="Palatino Linotype" w:hAnsi="Palatino Linotype" w:cs="Palatino Linotype"/>
          <w:i/>
          <w:color w:val="000000"/>
        </w:rPr>
        <w:lastRenderedPageBreak/>
        <w:t xml:space="preserve">propósito re-identificar a los usuarios en el momento que se navega por internet, recolectando información sobre el sitio que se visita, en donde se nos especifica la hora que se ingresa y el tiempo en que se navega en dicha página, y contiene la información que se emite, documento que no me adjunta el señalado director para acreditar que efectivamente ésta suscrita se excedió de horas como lo señala por simple analogía, a lo cual solicito se me sea entregado dicho documento, toda vez que como el mismo Director General Adjunto me señala tiene un sistema Electrónico infalible que no permite margen de error al señalar “Merece la pena advertir que el sistema de registro funcionó correctamente pues pudieron hacer uso del mismo 24 aspirantes más de los cuales ninguno reportó incidentes durante su inscripción.”, ahora bien, dicho director no solo lesiona mi Dignidad Humana, también pretende lesionar mi Inteligencia, al manifestar que la única persona que no pudo ingresar al sistema fui yo, ya que como lo señale anteriormente tiene un sistema digital infalible que no permite margen de error, pero como el mismo reconoce si no se efectuó correctamente mi pre inscripción por los motivos que hubiese habido, la autoridad responsable tenía la obligación de informarme que dicha inscripción o preinscripción no se llevó correctamente en tiempo y forma, porque omitió informarme de dicha inconsistencia, fundo la presente petición en el artículo 3º fracciones XII y XV de la Señalada Ley de Transparencia y Acceso a la Información Pública del Estado de México y Municipios: XII. Documento electrónico: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 XV. Expediente digital: Al conjunto de documentos electrónicos que, sujetos a los requisitos de esta ley, se utilicen en la gestión electrónica de trámites, servicios, procesos y procedimientos administrativos y jurisdiccionales. 4.- De igual modo, se me informe por escrito, de manera lógica racional ¿por qué el folio de pre-registro número 44400/2021, de la mencionada convocatoria, no me permitió el acceso para realizar los trámites correspondientes? En relación al numeral cuatro, se hace de su conocimiento que el folio en mención, se encontró registrado y activado correctamente, sin embargo, inició el registro de su documentación el día 11 de octubre del presente a las 11:47 horas y el sistema cerró automáticamente a las 12:00 horas por así establecerlo la Convocatoria de mérito. Merece la pena advertir que el sistema de registro funcionó correctamente pues pudieron hacer uso del mismo 24 aspirantes más de los cuales ninguno </w:t>
      </w:r>
      <w:r>
        <w:rPr>
          <w:rFonts w:ascii="Palatino Linotype" w:eastAsia="Palatino Linotype" w:hAnsi="Palatino Linotype" w:cs="Palatino Linotype"/>
          <w:i/>
          <w:color w:val="000000"/>
        </w:rPr>
        <w:lastRenderedPageBreak/>
        <w:t xml:space="preserve">reportó incidentes durante su inscripción. Es importante advertir que, en el escrito del 15 de noviembre, se menciona que procedió a subsanar las omisiones en cuanto a la presentación de los documentos apenas el sistema se lo notificó, pero se aclara que entonces estaba fuera del plazo establecido en la Convocatoria para presentar los documentos, es decir, estaba en condición EXTEMPORÁNEA, siendo que el plazo de recepción de documentos fue el mismo para todos los aspirantes. Respecto a este numeral manifiesto lo siguiente: Al parecer el Señor Director General Adjunto de la Escuela Judicial del Estado de México, selecciona información para dar una respuesta a modo, toda vez que la suscrita en su escrito inicial especifique las siguientes consideraciones señaladas: 6.- Posteriormente en la misma fecha siendo las 11 horas con 11 minutos, después de haber checado que paso con mi folio de pre-registro anterior, recibí nuevamente un correo de confirmación de pre-registro a la convocatoria con un nuevo folio de pre-registro otorgándome el número 44400/2021. Para acreditar el siguiente hecho se anexa copia de correo como anexo número 3. 7.- Posteriormente me dirigí al establecimiento de internet, que se encuentra ubicado en las afueras de la Escuela Judicial para continuar con el registro de la documentación, quise ingresar a la página de internet de la Escuela Judicial señalada en la mencionada convocatoria con el número de folio del pre-registro que me fue otorgado y no pude acceder nuevamente a él, en donde aparecía la siguiente leyenda. Aviso! No existen datos para el folio ingresado, verifique su información, me dirigir nuevamente a las instalaciones de la señalada institución y me dirigí a la Dirección del Centro de Investigaciones Judiciales en donde fui atendida por el subdirector de dicho centro, para hacerle del conocimiento de las anomalías que se estaban presentándome, manifestándome que me esperara que el Director del Centro de Investigaciones era el encargado de dicha convocatoria para que él le hiciera saber de lo que estaba pasando que por el momento se encontraba atendiendo a otra persona, cabe aclarar que para esto ya eran aproximadamente las 11 horas con treinta minutos. 8.- Fui atendida por el director del Centro de Investigaciones, manifestándole la problemática que se había venido suscitando con mi proceso de registro de documentación, manifestándome que no era problema de esa área que lo tenía que ver con el área de tecnologías, así mismo le mencione que el tempo vencía para el cierre del convocatoria mencionándole que le entregaba por escrito mi solicitud y le anexaba mi memoria en donde se encontraba guardados los documentos requeridos mencionándome quien no estaba autorizado para recibir ningún tipo de documentación de manera física, cabe aclarar que acudí con él, en virtud de que él era el responsable de la señalada convocatoria. 8.- Me dirigí </w:t>
      </w:r>
      <w:r>
        <w:rPr>
          <w:rFonts w:ascii="Palatino Linotype" w:eastAsia="Palatino Linotype" w:hAnsi="Palatino Linotype" w:cs="Palatino Linotype"/>
          <w:i/>
          <w:color w:val="000000"/>
        </w:rPr>
        <w:lastRenderedPageBreak/>
        <w:t xml:space="preserve">al departamento de tecnologías como me lo había indicado el mencionado Director, donde me atendió un joven, manifestándole ésta suscrita el motivo de mi presencia y fue quien me apoyo al ver la urgencia en virtud de que el tiempo se me estaba agotando y se cerraría la convocatoria, cabe señalar que fue él el que amablemente me apoyo al envió de la documentación requerida. En este numeral hablamos de dos supuestos el primero fue el señalado como número 7 de mi escrito inicial manifesté que a la suscrita no le permitió el acceso al número de folio 44400/2021 y en el punto señalado como número 9 manifesté que una persona del departamento de tecnología fue quien me ayudo a realizar él envió de la documentación requerida. El C. Director General Adjunto de la Escuela Judicial, da respuesta al término en donde una persona del área de tecnologías me apoyo, es obvio que el tenia modo de acceder al sistema de manera directa, mientras que el número de folio que a mí me habían otorgado no habría, cuestión que la suscrita no entiende las razones que bloquearon mi acceso al folio otorgado, ya que como lo señale anteriormente el señalado director dice que tiene un sistema de internet infalible, que no permite margen de error toda vez que 24 personas utilizaron sin ningún problema su sistema y a la suscrita no le funciono, esa es precisamente mi solicitud de información porqué a otras personas si le funciono el uso de su folio de preinscripción y a la suscrita no, con sus respuestas pretende dar a entender que ésta suscrita solamente ésta fingiendo de manera repetitiva que no se permitió entrar al sistema. Resulta muy sencillo de averiguar desde que sistema IP, se mandó mi documentación que fue del sistema del área de tecnologías y tal y como lo señala el mencionado Director fue a las 11:47 horas del día 11 de octubre del año próximo pasado, situación que causo un daño a mi persona y a la aspiración de participar en la obtención de la plaza señalada, así mismo dicho director señala enfáticamente “Es importante advertir que, en el escrito del 15 de noviembre, se menciona que procedió a subsanar las omisiones en cuanto a la presentación de los documentos apenas el sistema se lo notificó, pero se aclara que entonces estaba fuera del plazo establecido en la Convocatoria para presentar los documentos, es decir, estaba en condición EXTEMPORÁNEA, siendo que el plazo de recepción de documentos fue el mismo para todos los aspirantes.”, es falso que todos los aspirantes hayan tenido el mismo, plazo de recepción de documentos, la prueba es que para la suscrita solo fueron 13 minutos en todo el procedimiento, debido a toda la serie de irregularidades que se marcaron durante el proceso en que la suscrita debió haber recibido información oportuna para poder subsanar las anomalías que se presentaron al emitir mi documentación, coartando con ello la oportunidad de poder participar en dicha selección. </w:t>
      </w:r>
      <w:r>
        <w:rPr>
          <w:rFonts w:ascii="Palatino Linotype" w:eastAsia="Palatino Linotype" w:hAnsi="Palatino Linotype" w:cs="Palatino Linotype"/>
          <w:i/>
          <w:color w:val="000000"/>
        </w:rPr>
        <w:lastRenderedPageBreak/>
        <w:t xml:space="preserve">Así mismo solicito para acreditar este hecho se me informe de que sistema electrónico IP, se envió la documentación, en virtud del seguimiento puntual de la dirección IP. La dirección IP, es una serie de números con los que su dispositivo o red se identifican en internet. Todos los dispositivos en línea, no solo los equipos, teléfonos y routers, sino también los servidores que alojan los sitios web y los servicios que se utilizan cuenta con una dirección IP. Las direcciones IP, son un componente integral de la estructura de internet, ya que garantizan que el trafico web se entregue en su destino previsto. La actividad en Internet es una serie de comunicaciones bilaterales entre clientes (una aplicación de software, como un navegador web, que solicita datos) y servidores, que responden a los clientes. Cada cliente tiene una dirección IP que indica a los servidores el equipo que está haciendo la solicitud. Así es como se sabe dónde debe enviar los resultados de una búsqueda, como recibe correos electrónicos dirigidos a una persona y como funciona internet en general. Es sencillo conocer la dirección IP en caso de que se requiera información 5.- Se me proporcione por escrito, información de los integrantes que conformaron la Comisión Dictaminadora para evaluar los proyectos de investigación presentados por motivo de la convocatoria en cuestión, dichos datos deben ser referentes a: Su Grado Académico, Experiencia Laboral, Antigüedad en investigación, desempeño y experiencia en dictámenes de Proyectos de Investigación. Respecto a este punto cabe señalar que la suscrita no ésta solicitando información que pudiera clasificarse como reservada, ni tampoco ésta solicitando información que comprometa la seguridad pública de las personas en cuestión, mucho menos se ha solicitado información ponga en peligro la integridad de los derechos de las personas, ni tampoco se ha solicitado información que ataque la moral, la vida privada o los derechos de terceros, simplemente es conocer información que es considerada publica puesto que lo que la suscrita ésta solicitando es: ¿cuál es el grado académico? información misma que es de carácter público, toda vez que dicha información la podemos encontrar en el registro relativo al ejercicio de las funciones profesionales, en donde uno de los principales objetivos de la Ley Reglamentaria del Ejercicio de Profesiones, es autorizar el ejercicio de una o varias especialidades, debiendo comprobarse previamente que dicha persona ha obtenido un título relativo de una profesión y comprobar en forma idónea, haber realizados estudios especiales de perfeccionamiento técnico científico, en la ciencia o rama de la ciencia que se trate. tal y como lo estipula el artículo 5º de dicha Ley Reglamentaria, así mismo dicha ley establece en su artículo 6º, que dicho registro de profesión tiene como objeto dirimir conflictos entre los intereses individuales de los profesionistas y los de la sociedad, la presente ley será interpretada en favor de esta última, </w:t>
      </w:r>
      <w:r>
        <w:rPr>
          <w:rFonts w:ascii="Palatino Linotype" w:eastAsia="Palatino Linotype" w:hAnsi="Palatino Linotype" w:cs="Palatino Linotype"/>
          <w:i/>
          <w:color w:val="000000"/>
        </w:rPr>
        <w:lastRenderedPageBreak/>
        <w:t xml:space="preserve">si no hubiere precepto expreso para resolver el conflicto. Por lo que se refiere a las leyes que regulan su actividad, en lo que no se oponga a este ordenamiento. Si dicha información fuera considerada como clasificada y contraria a la ley por ser violatoria de los derechos humanos de las personas, sería anticonstitucional y no tendría razón de ser el hecho de que los profesionistas registremos nuestros títulos de grados académicos y que dicha información puede ser consultada por cualquier persona que así lo requiera, así mismo en el mismo tenor resulta incongruente que el hecho de saber experiencia Laboral, Antigüedad en investigación, desempeño y experiencia en dictámenes de Proyectos de Investigación, son datos primarios o sin procesar, mismos que se encuentran en formatos estándar como lo es una solicitud de empleo, referencia de datos que otorga un profesionista en el desempeño de su profesión individual, sin que esto genere un peligro grave a su persona o a su integridad corporal o que sea información que violente con gravedad sus derechos humanos, puesto que esos datos los utiliza cualquier persona común en una solicitud de empleo, y si dichos datos fueran clasificados como violatorios de derechos humanos, ninguna empresa, institución de gobierno o de cualquier otra naturaleza donde se solicite empleo, estaría en posición de solicitar referencias laborales porque sería violatorio de la ley y de los derechos humanos fundamentales de las personas y sería declarada como información clasificada, inclusive cuando emitimos un documento como el que hoy se contesta, utilizamos nuestro grado académico, ejemplo L. EN D. NORMA ANGELICA ZETINA MARTINEZ, TITULAR DE LA UNIDAD DE TRANSPARENCIA, dicho párrafo me manifiesta de manera expresa, que el grado académico de la titular es Licenciada en Derecho, si esto implicara poner en peligro la integridad y seguridad de las personas no lo haríamos, así mismo siguiendo con el análisis, la misma Titular de la Unidad de Transparencia Angélica Zetina Martínez, estaría violando Derechos Humanos al referirse en su escrito lo siguiente: Visto el contenido de la solicitud de acorde a lo rendido por el Doctor Jime López Rayón Reyes, Director adjunto de la Escuela Judicial del Estado de México, se da respuesta en los siguientes términos: toda vez que sin solicitárselo me ésta proporcionando el grado académico que ostenta dicho Director, así mismo cuando nos ostentamos con el prefijo, Doctor, Licenciado, estamos dando nuestro grado académico, y bajo la lógica de interpretación jurídica del señalado Doctor Jime López Rayón Reyes, estaríamos ante el supuesto de estar proporcionando información que para él es considerada como clasificada. incluso, va más allá de lo especulado, al manifestar que dichos datos: han dado origen a la figura jurídica del secreto de información que se conoce en la doctrina como "reserva de </w:t>
      </w:r>
      <w:r>
        <w:rPr>
          <w:rFonts w:ascii="Palatino Linotype" w:eastAsia="Palatino Linotype" w:hAnsi="Palatino Linotype" w:cs="Palatino Linotype"/>
          <w:i/>
          <w:color w:val="000000"/>
        </w:rPr>
        <w:lastRenderedPageBreak/>
        <w:t>información" o "secreto burocrático". Este supuesto en el caso que nos ocupa no se da como lo plantea dicho Director Adjunto de la mencionada Escuela, puesto que desde el momento en que hacemos uso de dicha información de manera cotidiana pierde el estatus de Reserva o de Secreto. El hecho de que no se me proporcione dicha información que solicito en este punto, me hace confirmar que dicha comisión dictaminadora nunca existió y además dicha negativa viola en mi perjuicio mi derecho a la información y lo establecido en los artículos que a continuación transcribo: 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 Por lo anteriormente expuesto y fundado; a Usted, atentamente pido: UNICO. Tenerme por presentada en términos del presente escrito, interponiendo el recurso de revisión.” [sic]</w:t>
      </w:r>
    </w:p>
    <w:p w:rsidR="00EF585D" w:rsidRDefault="00171BE8">
      <w:pPr>
        <w:spacing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color w:val="000000"/>
          <w:sz w:val="24"/>
          <w:szCs w:val="24"/>
        </w:rPr>
        <w:t xml:space="preserve">Resulta preciso señalar que la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adjuntó el documento electrónico “</w:t>
      </w:r>
      <w:hyperlink r:id="rId18">
        <w:r>
          <w:rPr>
            <w:rFonts w:ascii="Palatino Linotype" w:eastAsia="Palatino Linotype" w:hAnsi="Palatino Linotype" w:cs="Palatino Linotype"/>
            <w:b/>
            <w:color w:val="000000"/>
            <w:sz w:val="24"/>
            <w:szCs w:val="24"/>
            <w:u w:val="single"/>
          </w:rPr>
          <w:t>ESCRITO DE RECURSO DE REVISIÓN.pdf</w:t>
        </w:r>
      </w:hyperlink>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color w:val="000000"/>
          <w:sz w:val="24"/>
          <w:szCs w:val="24"/>
        </w:rPr>
        <w:t xml:space="preserve"> resultando ser el mismo texto plasmado en el formato de recurso de revisión registrado en el SAIMEX. </w:t>
      </w:r>
    </w:p>
    <w:p w:rsidR="00EF585D" w:rsidRDefault="00171BE8">
      <w:pPr>
        <w:spacing w:before="120" w:after="12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4. TURNO. </w:t>
      </w:r>
      <w:r>
        <w:rPr>
          <w:rFonts w:ascii="Palatino Linotype" w:eastAsia="Palatino Linotype" w:hAnsi="Palatino Linotype" w:cs="Palatino Linotype"/>
          <w:color w:val="000000"/>
          <w:sz w:val="24"/>
          <w:szCs w:val="24"/>
        </w:rPr>
        <w:t xml:space="preserve">De conformidad con el artículo 185 Fracción I </w:t>
      </w:r>
      <w:r>
        <w:rPr>
          <w:rFonts w:ascii="Palatino Linotype" w:eastAsia="Palatino Linotype" w:hAnsi="Palatino Linotype" w:cs="Palatino Linotype"/>
          <w:color w:val="000000"/>
          <w:sz w:val="24"/>
          <w:szCs w:val="24"/>
          <w:highlight w:val="white"/>
        </w:rPr>
        <w:t>de la Ley Transparencia y Acceso a la Información Pública</w:t>
      </w:r>
      <w:r>
        <w:rPr>
          <w:rFonts w:ascii="Palatino Linotype" w:eastAsia="Palatino Linotype" w:hAnsi="Palatino Linotype" w:cs="Palatino Linotype"/>
          <w:color w:val="000000"/>
          <w:sz w:val="24"/>
          <w:szCs w:val="24"/>
        </w:rPr>
        <w:t>, el recurso de revisión número</w:t>
      </w:r>
      <w:r>
        <w:rPr>
          <w:rFonts w:ascii="Palatino Linotype" w:eastAsia="Palatino Linotype" w:hAnsi="Palatino Linotype" w:cs="Palatino Linotype"/>
          <w:b/>
          <w:color w:val="000000"/>
          <w:sz w:val="24"/>
          <w:szCs w:val="24"/>
        </w:rPr>
        <w:t xml:space="preserve"> 00064/INFOEM/IP/RR/2022 </w:t>
      </w:r>
      <w:r>
        <w:rPr>
          <w:rFonts w:ascii="Palatino Linotype" w:eastAsia="Palatino Linotype" w:hAnsi="Palatino Linotype" w:cs="Palatino Linotype"/>
          <w:color w:val="000000"/>
          <w:sz w:val="24"/>
          <w:szCs w:val="24"/>
        </w:rPr>
        <w:t xml:space="preserve">fue turnado en fecha diez de enero de dos mil veintidós a la Comisionada Ponente </w:t>
      </w:r>
      <w:r>
        <w:rPr>
          <w:rFonts w:ascii="Palatino Linotype" w:eastAsia="Palatino Linotype" w:hAnsi="Palatino Linotype" w:cs="Palatino Linotype"/>
          <w:b/>
          <w:color w:val="000000"/>
          <w:sz w:val="24"/>
          <w:szCs w:val="24"/>
        </w:rPr>
        <w:t>Guadalupe Ramírez Peña</w:t>
      </w:r>
      <w:r>
        <w:rPr>
          <w:rFonts w:ascii="Palatino Linotype" w:eastAsia="Palatino Linotype" w:hAnsi="Palatino Linotype" w:cs="Palatino Linotype"/>
          <w:color w:val="000000"/>
          <w:sz w:val="24"/>
          <w:szCs w:val="24"/>
        </w:rPr>
        <w:t>; a efecto de presentar al Pleno el proyecto de resolución correspondiente.</w:t>
      </w:r>
    </w:p>
    <w:p w:rsidR="00EF585D" w:rsidRDefault="00171BE8">
      <w:pPr>
        <w:spacing w:before="120" w:after="12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lastRenderedPageBreak/>
        <w:t xml:space="preserve">5. ADMISIÓN. </w:t>
      </w:r>
      <w:r>
        <w:rPr>
          <w:rFonts w:ascii="Palatino Linotype" w:eastAsia="Palatino Linotype" w:hAnsi="Palatino Linotype" w:cs="Palatino Linotype"/>
          <w:color w:val="000000"/>
          <w:sz w:val="24"/>
          <w:szCs w:val="24"/>
        </w:rPr>
        <w:t>En fecha trece de enero del año dos mil veintidós, en términos de lo dispuesto en el artículo 185 fracciones I, II y IV de la Ley de Transparencia y Acceso a la Información Pública del Estado de México y Municipios, se admitió a trámite el recurso de revisión al rubro indicado.</w:t>
      </w:r>
    </w:p>
    <w:p w:rsidR="00EF585D" w:rsidRDefault="00171BE8">
      <w:pPr>
        <w:spacing w:before="120" w:after="120" w:line="360" w:lineRule="auto"/>
        <w:ind w:right="-234"/>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6. INFORME JUSTIFICADO O MANIFESTACIONES. </w:t>
      </w:r>
      <w:r>
        <w:rPr>
          <w:rFonts w:ascii="Palatino Linotype" w:eastAsia="Palatino Linotype" w:hAnsi="Palatino Linotype" w:cs="Palatino Linotype"/>
          <w:color w:val="000000"/>
          <w:sz w:val="24"/>
          <w:szCs w:val="24"/>
        </w:rPr>
        <w:t xml:space="preserve">De las constancias que integran el expediente en que se actúa se advierte que la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fue omisa en ofrecer pruebas o expresar alegatos; en términos del artículo 185 fracciones II de la ley que nos ocupa. Por su parte,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rindió su Informe Justificado mediante los archivos: </w:t>
      </w:r>
    </w:p>
    <w:p w:rsidR="00EF585D" w:rsidRDefault="002979FF">
      <w:pPr>
        <w:numPr>
          <w:ilvl w:val="0"/>
          <w:numId w:val="1"/>
        </w:numPr>
        <w:pBdr>
          <w:top w:val="nil"/>
          <w:left w:val="nil"/>
          <w:bottom w:val="nil"/>
          <w:right w:val="nil"/>
          <w:between w:val="nil"/>
        </w:pBdr>
        <w:spacing w:before="120" w:after="0" w:line="360" w:lineRule="auto"/>
        <w:ind w:right="-234"/>
        <w:jc w:val="both"/>
        <w:rPr>
          <w:rFonts w:ascii="Palatino Linotype" w:eastAsia="Palatino Linotype" w:hAnsi="Palatino Linotype" w:cs="Palatino Linotype"/>
          <w:color w:val="000000"/>
          <w:sz w:val="24"/>
          <w:szCs w:val="24"/>
        </w:rPr>
      </w:pPr>
      <w:hyperlink r:id="rId19">
        <w:r w:rsidR="00171BE8">
          <w:rPr>
            <w:rFonts w:ascii="Palatino Linotype" w:eastAsia="Palatino Linotype" w:hAnsi="Palatino Linotype" w:cs="Palatino Linotype"/>
            <w:b/>
            <w:color w:val="000000"/>
            <w:sz w:val="24"/>
            <w:szCs w:val="24"/>
          </w:rPr>
          <w:t>INFORME JUSTIFICADO 64-2022.pdf</w:t>
        </w:r>
      </w:hyperlink>
      <w:r w:rsidR="00171BE8">
        <w:rPr>
          <w:rFonts w:ascii="Palatino Linotype" w:eastAsia="Palatino Linotype" w:hAnsi="Palatino Linotype" w:cs="Palatino Linotype"/>
          <w:color w:val="000000"/>
          <w:sz w:val="24"/>
          <w:szCs w:val="24"/>
        </w:rPr>
        <w:t xml:space="preserve">: Oficio de fecha veinticinco de enero de dos mil veintidós, suscrito por la L. en D. Norma Angélica Zetina Martínez, Titular de la Unidad de Transparencia, dirigido a la Comisionada Guadalupe Ramírez Peña a través del cual se observa que contiene su informe justificado derivado de los puntos recurridos por parte de la </w:t>
      </w:r>
      <w:r w:rsidR="00171BE8">
        <w:rPr>
          <w:rFonts w:ascii="Palatino Linotype" w:eastAsia="Palatino Linotype" w:hAnsi="Palatino Linotype" w:cs="Palatino Linotype"/>
          <w:b/>
          <w:color w:val="000000"/>
          <w:sz w:val="24"/>
          <w:szCs w:val="24"/>
        </w:rPr>
        <w:t xml:space="preserve">RECURRENTE, </w:t>
      </w:r>
      <w:r w:rsidR="00171BE8">
        <w:rPr>
          <w:rFonts w:ascii="Palatino Linotype" w:eastAsia="Palatino Linotype" w:hAnsi="Palatino Linotype" w:cs="Palatino Linotype"/>
          <w:color w:val="000000"/>
          <w:sz w:val="24"/>
          <w:szCs w:val="24"/>
        </w:rPr>
        <w:t xml:space="preserve">por lo cual solicita se sobresea el presente recursos de revisión. </w:t>
      </w:r>
      <w:r w:rsidR="00171BE8">
        <w:fldChar w:fldCharType="begin"/>
      </w:r>
      <w:r w:rsidR="00171BE8">
        <w:instrText xml:space="preserve"> HYPERLINK "https://www.saimex.org.mx/saimex/solicitud/downloadAttach/1311648.page" </w:instrText>
      </w:r>
      <w:r w:rsidR="00171BE8">
        <w:fldChar w:fldCharType="separate"/>
      </w:r>
    </w:p>
    <w:p w:rsidR="00EF585D" w:rsidRDefault="00171BE8">
      <w:pPr>
        <w:numPr>
          <w:ilvl w:val="0"/>
          <w:numId w:val="1"/>
        </w:numPr>
        <w:pBdr>
          <w:top w:val="nil"/>
          <w:left w:val="nil"/>
          <w:bottom w:val="nil"/>
          <w:right w:val="nil"/>
          <w:between w:val="nil"/>
        </w:pBdr>
        <w:spacing w:before="120" w:after="0" w:line="360" w:lineRule="auto"/>
        <w:ind w:right="-234"/>
        <w:jc w:val="both"/>
        <w:rPr>
          <w:rFonts w:ascii="Palatino Linotype" w:eastAsia="Palatino Linotype" w:hAnsi="Palatino Linotype" w:cs="Palatino Linotype"/>
          <w:color w:val="000000"/>
          <w:sz w:val="24"/>
          <w:szCs w:val="24"/>
        </w:rPr>
      </w:pPr>
      <w:r>
        <w:fldChar w:fldCharType="end"/>
      </w:r>
      <w:hyperlink r:id="rId20">
        <w:r>
          <w:rPr>
            <w:rFonts w:ascii="Palatino Linotype" w:eastAsia="Palatino Linotype" w:hAnsi="Palatino Linotype" w:cs="Palatino Linotype"/>
            <w:b/>
            <w:color w:val="000000"/>
            <w:sz w:val="24"/>
            <w:szCs w:val="24"/>
          </w:rPr>
          <w:t>Solicitud Física Noviembre 2021.pdf</w:t>
        </w:r>
      </w:hyperlink>
      <w:r>
        <w:rPr>
          <w:rFonts w:ascii="Palatino Linotype" w:eastAsia="Palatino Linotype" w:hAnsi="Palatino Linotype" w:cs="Palatino Linotype"/>
          <w:color w:val="000000"/>
          <w:sz w:val="24"/>
          <w:szCs w:val="24"/>
        </w:rPr>
        <w:t>: escrito inicial de la solicitud de información presentada de manera física por la Recurrente.</w:t>
      </w:r>
    </w:p>
    <w:p w:rsidR="00EF585D" w:rsidRDefault="002979FF">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hyperlink r:id="rId21">
        <w:r w:rsidR="00171BE8">
          <w:rPr>
            <w:rFonts w:ascii="Palatino Linotype" w:eastAsia="Palatino Linotype" w:hAnsi="Palatino Linotype" w:cs="Palatino Linotype"/>
            <w:b/>
            <w:color w:val="000000"/>
            <w:sz w:val="24"/>
            <w:szCs w:val="24"/>
          </w:rPr>
          <w:t>Acuse de solicitud.pdf</w:t>
        </w:r>
      </w:hyperlink>
      <w:r w:rsidR="00171BE8">
        <w:rPr>
          <w:rFonts w:ascii="Palatino Linotype" w:eastAsia="Palatino Linotype" w:hAnsi="Palatino Linotype" w:cs="Palatino Linotype"/>
          <w:color w:val="000000"/>
          <w:sz w:val="24"/>
          <w:szCs w:val="24"/>
        </w:rPr>
        <w:t>: Acuse de la solicitud 00922/PJUDICI/IP/2021</w:t>
      </w:r>
    </w:p>
    <w:p w:rsidR="00EF585D" w:rsidRDefault="00171BE8">
      <w:pPr>
        <w:spacing w:before="120" w:after="12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Mismos que fueron puestos a la vista la</w:t>
      </w:r>
      <w:r>
        <w:rPr>
          <w:rFonts w:ascii="Palatino Linotype" w:eastAsia="Palatino Linotype" w:hAnsi="Palatino Linotype" w:cs="Palatino Linotype"/>
          <w:b/>
          <w:color w:val="000000"/>
          <w:sz w:val="24"/>
          <w:szCs w:val="24"/>
        </w:rPr>
        <w:t xml:space="preserve"> RECURRENTE</w:t>
      </w:r>
      <w:r>
        <w:rPr>
          <w:rFonts w:ascii="Palatino Linotype" w:eastAsia="Palatino Linotype" w:hAnsi="Palatino Linotype" w:cs="Palatino Linotype"/>
          <w:color w:val="000000"/>
          <w:sz w:val="24"/>
          <w:szCs w:val="24"/>
        </w:rPr>
        <w:t xml:space="preserve"> en fecha tres de febrero de dos mil veintidós.</w:t>
      </w:r>
    </w:p>
    <w:p w:rsidR="00EF585D" w:rsidRDefault="00171BE8">
      <w:pPr>
        <w:spacing w:before="120" w:after="12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7. DEL CIERRE DE INSTRUCCIÓN. </w:t>
      </w:r>
      <w:r>
        <w:rPr>
          <w:rFonts w:ascii="Palatino Linotype" w:eastAsia="Palatino Linotype" w:hAnsi="Palatino Linotype" w:cs="Palatino Linotype"/>
          <w:color w:val="000000"/>
          <w:sz w:val="24"/>
          <w:szCs w:val="24"/>
        </w:rPr>
        <w:t xml:space="preserve">El veintiuno de febrero de dos mil veintidós, al no existir diligencias pendientes por desahogar, se emitió el acuerdo por medio del </w:t>
      </w:r>
      <w:r>
        <w:rPr>
          <w:rFonts w:ascii="Palatino Linotype" w:eastAsia="Palatino Linotype" w:hAnsi="Palatino Linotype" w:cs="Palatino Linotype"/>
          <w:color w:val="000000"/>
          <w:sz w:val="24"/>
          <w:szCs w:val="24"/>
        </w:rPr>
        <w:lastRenderedPageBreak/>
        <w:t>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EF585D" w:rsidRDefault="00EF585D">
      <w:pPr>
        <w:pBdr>
          <w:top w:val="nil"/>
          <w:left w:val="nil"/>
          <w:bottom w:val="nil"/>
          <w:right w:val="nil"/>
          <w:between w:val="nil"/>
        </w:pBdr>
        <w:spacing w:before="120" w:after="0" w:line="360" w:lineRule="auto"/>
        <w:ind w:right="-234" w:hanging="22"/>
        <w:jc w:val="both"/>
        <w:rPr>
          <w:rFonts w:ascii="Palatino Linotype" w:eastAsia="Palatino Linotype" w:hAnsi="Palatino Linotype" w:cs="Palatino Linotype"/>
          <w:b/>
          <w:color w:val="000000"/>
        </w:rPr>
      </w:pPr>
    </w:p>
    <w:p w:rsidR="00EF585D" w:rsidRDefault="00171BE8">
      <w:pPr>
        <w:pBdr>
          <w:top w:val="nil"/>
          <w:left w:val="nil"/>
          <w:bottom w:val="nil"/>
          <w:right w:val="nil"/>
          <w:between w:val="nil"/>
        </w:pBdr>
        <w:spacing w:after="120" w:line="360" w:lineRule="auto"/>
        <w:ind w:right="-234" w:hanging="2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8. ALCANCE AL INFORME JUSTIFICADO.  </w:t>
      </w: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mediante correo electrónico en fecha veintitrés de marzo de dos mil veintidós, remitió al correo electrónico proporcionado por la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en su solicitud de acceso a la información los archivos denominados:</w:t>
      </w:r>
    </w:p>
    <w:p w:rsidR="00EF585D" w:rsidRDefault="00171BE8">
      <w:pPr>
        <w:pBdr>
          <w:top w:val="nil"/>
          <w:left w:val="nil"/>
          <w:bottom w:val="nil"/>
          <w:right w:val="nil"/>
          <w:between w:val="nil"/>
        </w:pBdr>
        <w:spacing w:after="120" w:line="360" w:lineRule="auto"/>
        <w:ind w:right="-234" w:hanging="2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 xml:space="preserve">“INFORME DE EJEM PARA RECURSO DE REVISIÓN.pdf”  </w:t>
      </w:r>
      <w:r>
        <w:rPr>
          <w:rFonts w:ascii="Palatino Linotype" w:eastAsia="Palatino Linotype" w:hAnsi="Palatino Linotype" w:cs="Palatino Linotype"/>
          <w:color w:val="000000"/>
          <w:sz w:val="24"/>
          <w:szCs w:val="24"/>
        </w:rPr>
        <w:t xml:space="preserve">del cual se observa el oficio 3013510000/023/2022 de fecha catorce de enero de dos mil veintidós, signado por el Dr. Jaime López Reyes, Director General de la Escuela del Poder Judicial del Estado de México, mediante el cual rinde el informe justificado respecto al recurso de revisión en cuestión. </w:t>
      </w:r>
    </w:p>
    <w:p w:rsidR="00EF585D" w:rsidRDefault="00171BE8">
      <w:pPr>
        <w:pBdr>
          <w:top w:val="nil"/>
          <w:left w:val="nil"/>
          <w:bottom w:val="nil"/>
          <w:right w:val="nil"/>
          <w:between w:val="nil"/>
        </w:pBdr>
        <w:spacing w:after="120" w:line="360" w:lineRule="auto"/>
        <w:ind w:right="-234" w:hanging="2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“RESPUESTA DE EJEM A SIP.pdf”</w:t>
      </w:r>
      <w:r>
        <w:rPr>
          <w:rFonts w:ascii="Palatino Linotype" w:eastAsia="Palatino Linotype" w:hAnsi="Palatino Linotype" w:cs="Palatino Linotype"/>
          <w:color w:val="000000"/>
          <w:sz w:val="24"/>
          <w:szCs w:val="24"/>
        </w:rPr>
        <w:t xml:space="preserve"> el cual se observa el oficio 3013510000/482/2021 de fecha veintitrés de noviembre de dos mil veintiuno, signado por el Dr. Jaime López Reyes, Director General de la Escuela del Poder Judicial del Estado de México, mediante el cual signado por el Dr. Jaime López Reyes, Director General de la Escuela del Poder Judicial del Estado de México, mediante el cual otorga su respuesta a la solicitud de acceso a la información pública a cada uno de los requerimientos señalados por la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w:t>
      </w:r>
    </w:p>
    <w:p w:rsidR="00EF585D" w:rsidRDefault="00171BE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4"/>
          <w:szCs w:val="24"/>
        </w:rPr>
        <w:lastRenderedPageBreak/>
        <w:t>9. DE LA AMPLIACIÓN DE PLAZO.</w:t>
      </w:r>
      <w:r>
        <w:rPr>
          <w:rFonts w:ascii="Palatino Linotype" w:eastAsia="Palatino Linotype" w:hAnsi="Palatino Linotype" w:cs="Palatino Linotype"/>
          <w:color w:val="202124"/>
          <w:highlight w:val="white"/>
        </w:rPr>
        <w:t xml:space="preserve"> En fecha treinta de marzo del dos mil veintidós,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rsidR="00EF585D" w:rsidRDefault="00EF585D">
      <w:pPr>
        <w:spacing w:after="0" w:line="360" w:lineRule="auto"/>
        <w:jc w:val="center"/>
        <w:rPr>
          <w:rFonts w:ascii="Palatino Linotype" w:eastAsia="Palatino Linotype" w:hAnsi="Palatino Linotype" w:cs="Palatino Linotype"/>
          <w:color w:val="000000"/>
          <w:sz w:val="24"/>
          <w:szCs w:val="24"/>
        </w:rPr>
      </w:pPr>
    </w:p>
    <w:p w:rsidR="00EF585D" w:rsidRDefault="00171BE8">
      <w:pPr>
        <w:spacing w:after="0" w:line="360" w:lineRule="auto"/>
        <w:jc w:val="center"/>
        <w:rPr>
          <w:rFonts w:ascii="Palatino Linotype" w:eastAsia="Palatino Linotype" w:hAnsi="Palatino Linotype" w:cs="Palatino Linotype"/>
          <w:b/>
          <w:color w:val="000000"/>
          <w:sz w:val="24"/>
          <w:szCs w:val="24"/>
        </w:rPr>
      </w:pPr>
      <w:bookmarkStart w:id="3" w:name="_heading=h.3znysh7" w:colFirst="0" w:colLast="0"/>
      <w:bookmarkEnd w:id="3"/>
      <w:r>
        <w:rPr>
          <w:rFonts w:ascii="Palatino Linotype" w:eastAsia="Palatino Linotype" w:hAnsi="Palatino Linotype" w:cs="Palatino Linotype"/>
          <w:b/>
          <w:color w:val="000000"/>
          <w:sz w:val="24"/>
          <w:szCs w:val="24"/>
        </w:rPr>
        <w:t>CONSIDERANDOS:</w:t>
      </w:r>
    </w:p>
    <w:p w:rsidR="00EF585D" w:rsidRDefault="00EF585D">
      <w:pPr>
        <w:spacing w:after="0" w:line="360" w:lineRule="auto"/>
        <w:jc w:val="both"/>
        <w:rPr>
          <w:rFonts w:ascii="Palatino Linotype" w:eastAsia="Palatino Linotype" w:hAnsi="Palatino Linotype" w:cs="Palatino Linotype"/>
          <w:b/>
          <w:color w:val="000000"/>
          <w:sz w:val="24"/>
          <w:szCs w:val="24"/>
        </w:rPr>
      </w:pPr>
    </w:p>
    <w:p w:rsidR="00EF585D" w:rsidRDefault="00171BE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PRIMERO. COMPETENCIA. </w:t>
      </w:r>
      <w:r>
        <w:rPr>
          <w:rFonts w:ascii="Palatino Linotype" w:eastAsia="Palatino Linotype" w:hAnsi="Palatino Linotype" w:cs="Palatino Linotype"/>
          <w:color w:val="000000"/>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EF585D" w:rsidRDefault="00EF585D">
      <w:pPr>
        <w:spacing w:after="0" w:line="360" w:lineRule="auto"/>
        <w:jc w:val="both"/>
        <w:rPr>
          <w:rFonts w:ascii="Palatino Linotype" w:eastAsia="Palatino Linotype" w:hAnsi="Palatino Linotype" w:cs="Palatino Linotype"/>
          <w:b/>
          <w:color w:val="000000"/>
          <w:sz w:val="24"/>
          <w:szCs w:val="24"/>
        </w:rPr>
      </w:pPr>
    </w:p>
    <w:p w:rsidR="00EF585D" w:rsidRDefault="00171BE8">
      <w:pPr>
        <w:spacing w:after="0" w:line="360" w:lineRule="auto"/>
        <w:jc w:val="both"/>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 xml:space="preserve">SEGUNDO. Oportunidad y Procedibilidad. </w:t>
      </w:r>
      <w:r>
        <w:rPr>
          <w:rFonts w:ascii="Palatino Linotype" w:eastAsia="Palatino Linotype" w:hAnsi="Palatino Linotype" w:cs="Palatino Linotype"/>
          <w:color w:val="000000"/>
          <w:sz w:val="24"/>
          <w:szCs w:val="24"/>
        </w:rPr>
        <w:t xml:space="preserve">Previo al estudio del fondo del asunto, se procede a analizar los requisitos de oportunidad y procedibilidad que </w:t>
      </w:r>
      <w:r>
        <w:rPr>
          <w:rFonts w:ascii="Palatino Linotype" w:eastAsia="Palatino Linotype" w:hAnsi="Palatino Linotype" w:cs="Palatino Linotype"/>
          <w:color w:val="000000"/>
          <w:sz w:val="24"/>
          <w:szCs w:val="24"/>
        </w:rPr>
        <w:lastRenderedPageBreak/>
        <w:t>debe reunir el recurso de revisión interpuesto, previstos en los artículos 178 y 180 de la Ley de Transparencia y Acceso a la Información Pública del Estado de México y Municipios.</w:t>
      </w:r>
    </w:p>
    <w:p w:rsidR="00EF585D" w:rsidRDefault="00171BE8">
      <w:pPr>
        <w:spacing w:before="120" w:after="12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recurso de revisión fue interpuesto dentro del plazo de quince días hábiles previsto en el artículo 178 de la Ley de Transparencia y Acceso a la Información Pública del Estado de México y Municipios, contados a partir de la fecha en que </w:t>
      </w:r>
      <w:r>
        <w:rPr>
          <w:rFonts w:ascii="Palatino Linotype" w:eastAsia="Palatino Linotype" w:hAnsi="Palatino Linotype" w:cs="Palatino Linotype"/>
          <w:b/>
          <w:color w:val="000000"/>
          <w:sz w:val="24"/>
          <w:szCs w:val="24"/>
        </w:rPr>
        <w:t xml:space="preserve">EL SUJETO OBLIGADO </w:t>
      </w:r>
      <w:r>
        <w:rPr>
          <w:rFonts w:ascii="Palatino Linotype" w:eastAsia="Palatino Linotype" w:hAnsi="Palatino Linotype" w:cs="Palatino Linotype"/>
          <w:color w:val="000000"/>
          <w:sz w:val="24"/>
          <w:szCs w:val="24"/>
        </w:rPr>
        <w:t xml:space="preserve">emitió la respuesta, toda vez que ésta fue pronunciada el día seis y veinte de diciembre de dos mil veintiuno, mientras que </w:t>
      </w:r>
      <w:r>
        <w:rPr>
          <w:rFonts w:ascii="Palatino Linotype" w:eastAsia="Palatino Linotype" w:hAnsi="Palatino Linotype" w:cs="Palatino Linotype"/>
          <w:b/>
          <w:color w:val="000000"/>
          <w:sz w:val="24"/>
          <w:szCs w:val="24"/>
        </w:rPr>
        <w:t>LA RECURRENTE</w:t>
      </w:r>
      <w:r>
        <w:rPr>
          <w:rFonts w:ascii="Palatino Linotype" w:eastAsia="Palatino Linotype" w:hAnsi="Palatino Linotype" w:cs="Palatino Linotype"/>
          <w:color w:val="000000"/>
          <w:sz w:val="24"/>
          <w:szCs w:val="24"/>
        </w:rPr>
        <w:t xml:space="preserve"> interpuso el recurso de revisión el diez de enero de dos mil veintidós, esto es al décimo tercer día hábil de haber recibido la respuesta. </w:t>
      </w:r>
    </w:p>
    <w:p w:rsidR="00EF585D" w:rsidRDefault="00171BE8">
      <w:pPr>
        <w:spacing w:before="120" w:after="12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ese sentido, al considerar la fecha en que se formuló la solicitud y la fecha en la que respondió a ésta</w:t>
      </w:r>
      <w:r>
        <w:rPr>
          <w:rFonts w:ascii="Palatino Linotype" w:eastAsia="Palatino Linotype" w:hAnsi="Palatino Linotype" w:cs="Palatino Linotype"/>
          <w:b/>
          <w:color w:val="000000"/>
          <w:sz w:val="24"/>
          <w:szCs w:val="24"/>
        </w:rPr>
        <w:t xml:space="preserve"> EL SUJETO OBLIGADO</w:t>
      </w:r>
      <w:r>
        <w:rPr>
          <w:rFonts w:ascii="Palatino Linotype" w:eastAsia="Palatino Linotype" w:hAnsi="Palatino Linotype" w:cs="Palatino Linotype"/>
          <w:color w:val="000000"/>
          <w:sz w:val="24"/>
          <w:szCs w:val="24"/>
        </w:rPr>
        <w:t>; así como, en la que se interpuso el recurso de revisión, éste se encuentra dentro de los márgenes temporales previstos en el citado precepto legal.</w:t>
      </w:r>
    </w:p>
    <w:p w:rsidR="00EF585D" w:rsidRDefault="00171BE8">
      <w:pPr>
        <w:spacing w:before="120" w:after="12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Así también,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EF585D" w:rsidRDefault="00171BE8">
      <w:pPr>
        <w:pBdr>
          <w:top w:val="nil"/>
          <w:left w:val="nil"/>
          <w:bottom w:val="nil"/>
          <w:right w:val="nil"/>
          <w:between w:val="nil"/>
        </w:pBdr>
        <w:spacing w:after="0" w:line="360" w:lineRule="auto"/>
        <w:ind w:right="-147"/>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Finalmente, resulta procedente la interposición del recurso, según lo aducido por el recurrente en sus razones o motivos de inconformidad, de acuerdo al artículo 179, </w:t>
      </w:r>
      <w:r>
        <w:rPr>
          <w:rFonts w:ascii="Palatino Linotype" w:eastAsia="Palatino Linotype" w:hAnsi="Palatino Linotype" w:cs="Palatino Linotype"/>
          <w:color w:val="000000"/>
          <w:sz w:val="24"/>
          <w:szCs w:val="24"/>
        </w:rPr>
        <w:lastRenderedPageBreak/>
        <w:t>fracción V de la Ley de Transparencia y Acceso a la Información Pública del Estado de México y Municipios; que a la letra dice:</w:t>
      </w:r>
    </w:p>
    <w:p w:rsidR="00EF585D" w:rsidRDefault="00EF585D">
      <w:pPr>
        <w:pBdr>
          <w:top w:val="nil"/>
          <w:left w:val="nil"/>
          <w:bottom w:val="nil"/>
          <w:right w:val="nil"/>
          <w:between w:val="nil"/>
        </w:pBdr>
        <w:spacing w:after="0" w:line="360" w:lineRule="auto"/>
        <w:ind w:right="-147"/>
        <w:jc w:val="both"/>
        <w:rPr>
          <w:rFonts w:ascii="Palatino Linotype" w:eastAsia="Palatino Linotype" w:hAnsi="Palatino Linotype" w:cs="Palatino Linotype"/>
          <w:color w:val="000000"/>
        </w:rPr>
      </w:pPr>
    </w:p>
    <w:p w:rsidR="00EF585D" w:rsidRDefault="00171BE8">
      <w:pPr>
        <w:pBdr>
          <w:top w:val="nil"/>
          <w:left w:val="nil"/>
          <w:bottom w:val="nil"/>
          <w:right w:val="nil"/>
          <w:between w:val="nil"/>
        </w:pBdr>
        <w:spacing w:after="0"/>
        <w:ind w:left="992" w:right="1043"/>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179</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El recurso de revisión</w:t>
      </w:r>
      <w:r>
        <w:rPr>
          <w:rFonts w:ascii="Palatino Linotype" w:eastAsia="Palatino Linotype" w:hAnsi="Palatino Linotype" w:cs="Palatino Linotype"/>
          <w:i/>
          <w:color w:val="000000"/>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rPr>
        <w:t>, y procederá en contra de las siguientes causas</w:t>
      </w:r>
      <w:r>
        <w:rPr>
          <w:rFonts w:ascii="Palatino Linotype" w:eastAsia="Palatino Linotype" w:hAnsi="Palatino Linotype" w:cs="Palatino Linotype"/>
          <w:i/>
          <w:color w:val="000000"/>
        </w:rPr>
        <w:t>:</w:t>
      </w:r>
    </w:p>
    <w:p w:rsidR="00EF585D" w:rsidRDefault="00171BE8">
      <w:pPr>
        <w:pBdr>
          <w:top w:val="nil"/>
          <w:left w:val="nil"/>
          <w:bottom w:val="nil"/>
          <w:right w:val="nil"/>
          <w:between w:val="nil"/>
        </w:pBdr>
        <w:spacing w:after="0"/>
        <w:ind w:left="992" w:right="1043"/>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rsidR="00EF585D" w:rsidRDefault="00171BE8">
      <w:pPr>
        <w:pBdr>
          <w:top w:val="nil"/>
          <w:left w:val="nil"/>
          <w:bottom w:val="nil"/>
          <w:right w:val="nil"/>
          <w:between w:val="nil"/>
        </w:pBdr>
        <w:spacing w:after="0"/>
        <w:ind w:left="992" w:right="1043"/>
        <w:jc w:val="both"/>
        <w:rPr>
          <w:rFonts w:ascii="Palatino Linotype" w:eastAsia="Palatino Linotype" w:hAnsi="Palatino Linotype" w:cs="Palatino Linotype"/>
          <w:i/>
          <w:color w:val="000000"/>
        </w:rPr>
      </w:pPr>
      <w:bookmarkStart w:id="4" w:name="_heading=h.30j0zll" w:colFirst="0" w:colLast="0"/>
      <w:bookmarkEnd w:id="4"/>
      <w:r>
        <w:rPr>
          <w:rFonts w:ascii="Palatino Linotype" w:eastAsia="Palatino Linotype" w:hAnsi="Palatino Linotype" w:cs="Palatino Linotype"/>
          <w:i/>
          <w:color w:val="000000"/>
        </w:rPr>
        <w:t>V. La entrega de información incompleta;</w:t>
      </w:r>
    </w:p>
    <w:p w:rsidR="00EF585D" w:rsidRDefault="00171BE8">
      <w:pPr>
        <w:pBdr>
          <w:top w:val="nil"/>
          <w:left w:val="nil"/>
          <w:bottom w:val="nil"/>
          <w:right w:val="nil"/>
          <w:between w:val="nil"/>
        </w:pBdr>
        <w:spacing w:after="0"/>
        <w:ind w:left="992" w:right="1043"/>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(Sic)</w:t>
      </w:r>
    </w:p>
    <w:p w:rsidR="00EF585D" w:rsidRDefault="00EF585D">
      <w:pPr>
        <w:spacing w:after="120" w:line="360" w:lineRule="auto"/>
        <w:ind w:right="-234"/>
        <w:jc w:val="both"/>
        <w:rPr>
          <w:rFonts w:ascii="Palatino Linotype" w:eastAsia="Palatino Linotype" w:hAnsi="Palatino Linotype" w:cs="Palatino Linotype"/>
          <w:color w:val="000000"/>
          <w:sz w:val="24"/>
          <w:szCs w:val="24"/>
        </w:rPr>
      </w:pPr>
    </w:p>
    <w:p w:rsidR="00EF585D" w:rsidRDefault="00171BE8">
      <w:pPr>
        <w:spacing w:before="240" w:after="24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TERCERO. ANÁLISIS DE LAS CAUSALES DE SOBRESEIMIENTO. </w:t>
      </w:r>
      <w:r>
        <w:rPr>
          <w:rFonts w:ascii="Palatino Linotype" w:eastAsia="Palatino Linotype" w:hAnsi="Palatino Linotype" w:cs="Palatino Linotype"/>
          <w:color w:val="000000"/>
          <w:sz w:val="24"/>
          <w:szCs w:val="24"/>
        </w:rPr>
        <w:t xml:space="preserve">Antes de entrar al análisis de los pronunciamientos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en la respuesta proporcionada </w:t>
      </w:r>
      <w:r>
        <w:rPr>
          <w:rFonts w:ascii="Palatino Linotype" w:eastAsia="Palatino Linotype" w:hAnsi="Palatino Linotype" w:cs="Palatino Linotype"/>
          <w:sz w:val="24"/>
          <w:szCs w:val="24"/>
        </w:rPr>
        <w:t>y en el informe justificado</w:t>
      </w:r>
      <w:r>
        <w:rPr>
          <w:rFonts w:ascii="Palatino Linotype" w:eastAsia="Palatino Linotype" w:hAnsi="Palatino Linotype" w:cs="Palatino Linotype"/>
          <w:color w:val="000000"/>
          <w:sz w:val="24"/>
          <w:szCs w:val="24"/>
        </w:rPr>
        <w:t>,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EF585D" w:rsidRDefault="00171BE8">
      <w:pPr>
        <w:tabs>
          <w:tab w:val="left" w:pos="709"/>
        </w:tabs>
        <w:spacing w:after="0" w:line="240" w:lineRule="auto"/>
        <w:ind w:left="851" w:right="850"/>
        <w:jc w:val="both"/>
        <w:rPr>
          <w:rFonts w:ascii="Palatino Linotype" w:eastAsia="Palatino Linotype" w:hAnsi="Palatino Linotype" w:cs="Palatino Linotype"/>
          <w:i/>
          <w:color w:val="000000"/>
          <w:sz w:val="21"/>
          <w:szCs w:val="21"/>
        </w:rPr>
      </w:pPr>
      <w:r>
        <w:rPr>
          <w:rFonts w:ascii="Palatino Linotype" w:eastAsia="Palatino Linotype" w:hAnsi="Palatino Linotype" w:cs="Palatino Linotype"/>
          <w:b/>
          <w:i/>
          <w:color w:val="000000"/>
          <w:sz w:val="21"/>
          <w:szCs w:val="21"/>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color w:val="000000"/>
          <w:sz w:val="21"/>
          <w:szCs w:val="21"/>
        </w:rPr>
        <w:t>, así como de las garantías para su protección, cuyo ejercicio no podrá restringirse ni suspenderse, salvo en los casos y bajo las condiciones que esta Constitución establece.</w:t>
      </w:r>
    </w:p>
    <w:p w:rsidR="00EF585D" w:rsidRDefault="00171BE8">
      <w:pPr>
        <w:tabs>
          <w:tab w:val="left" w:pos="709"/>
        </w:tabs>
        <w:spacing w:after="0" w:line="240" w:lineRule="auto"/>
        <w:ind w:left="851" w:right="850"/>
        <w:jc w:val="both"/>
        <w:rPr>
          <w:rFonts w:ascii="Palatino Linotype" w:eastAsia="Palatino Linotype" w:hAnsi="Palatino Linotype" w:cs="Palatino Linotype"/>
          <w:b/>
          <w:i/>
          <w:color w:val="000000"/>
          <w:sz w:val="21"/>
          <w:szCs w:val="21"/>
        </w:rPr>
      </w:pPr>
      <w:r>
        <w:rPr>
          <w:rFonts w:ascii="Palatino Linotype" w:eastAsia="Palatino Linotype" w:hAnsi="Palatino Linotype" w:cs="Palatino Linotype"/>
          <w:b/>
          <w:i/>
          <w:color w:val="000000"/>
          <w:sz w:val="21"/>
          <w:szCs w:val="21"/>
        </w:rPr>
        <w:t>Las normas relativas a los derechos humanos se interpretarán de conformidad con esta Constitución y con los tratados internacionales de la materia favoreciendo en todo tiempo a las personas la protección más amplia.</w:t>
      </w:r>
    </w:p>
    <w:p w:rsidR="00EF585D" w:rsidRDefault="00171BE8">
      <w:pPr>
        <w:tabs>
          <w:tab w:val="left" w:pos="709"/>
        </w:tabs>
        <w:spacing w:after="0" w:line="240" w:lineRule="auto"/>
        <w:ind w:left="851" w:right="850"/>
        <w:jc w:val="both"/>
        <w:rPr>
          <w:rFonts w:ascii="Palatino Linotype" w:eastAsia="Palatino Linotype" w:hAnsi="Palatino Linotype" w:cs="Palatino Linotype"/>
          <w:i/>
          <w:color w:val="000000"/>
          <w:sz w:val="21"/>
          <w:szCs w:val="21"/>
        </w:rPr>
      </w:pPr>
      <w:r>
        <w:rPr>
          <w:rFonts w:ascii="Palatino Linotype" w:eastAsia="Palatino Linotype" w:hAnsi="Palatino Linotype" w:cs="Palatino Linotype"/>
          <w:b/>
          <w:i/>
          <w:color w:val="000000"/>
          <w:sz w:val="21"/>
          <w:szCs w:val="21"/>
          <w:u w:val="single"/>
        </w:rPr>
        <w:t xml:space="preserve">Todas las autoridades, en el ámbito de sus competencias, tienen la obligación de promover, respetar, proteger y garantizar los derechos humanos de </w:t>
      </w:r>
      <w:r>
        <w:rPr>
          <w:rFonts w:ascii="Palatino Linotype" w:eastAsia="Palatino Linotype" w:hAnsi="Palatino Linotype" w:cs="Palatino Linotype"/>
          <w:b/>
          <w:i/>
          <w:color w:val="000000"/>
          <w:sz w:val="21"/>
          <w:szCs w:val="21"/>
          <w:u w:val="single"/>
        </w:rPr>
        <w:lastRenderedPageBreak/>
        <w:t>conformidad con los principios de universalidad, interdependencia, indivisibilidad y progresividad.</w:t>
      </w:r>
      <w:r>
        <w:rPr>
          <w:rFonts w:ascii="Palatino Linotype" w:eastAsia="Palatino Linotype" w:hAnsi="Palatino Linotype" w:cs="Palatino Linotype"/>
          <w:i/>
          <w:color w:val="000000"/>
          <w:sz w:val="21"/>
          <w:szCs w:val="21"/>
        </w:rPr>
        <w:t xml:space="preserve"> En consecuencia, el Estado deberá prevenir, investigar, sancionar y reparar las violaciones a los derechos humanos, en los términos que establezca la ley</w:t>
      </w:r>
    </w:p>
    <w:p w:rsidR="00EF585D" w:rsidRDefault="00171BE8">
      <w:pPr>
        <w:tabs>
          <w:tab w:val="left" w:pos="709"/>
        </w:tabs>
        <w:spacing w:after="0" w:line="240" w:lineRule="auto"/>
        <w:ind w:left="851" w:right="850"/>
        <w:jc w:val="both"/>
        <w:rPr>
          <w:rFonts w:ascii="Palatino Linotype" w:eastAsia="Palatino Linotype" w:hAnsi="Palatino Linotype" w:cs="Palatino Linotype"/>
          <w:i/>
          <w:color w:val="000000"/>
          <w:sz w:val="21"/>
          <w:szCs w:val="21"/>
        </w:rPr>
      </w:pPr>
      <w:r>
        <w:rPr>
          <w:rFonts w:ascii="Palatino Linotype" w:eastAsia="Palatino Linotype" w:hAnsi="Palatino Linotype" w:cs="Palatino Linotype"/>
          <w:i/>
          <w:color w:val="000000"/>
          <w:sz w:val="21"/>
          <w:szCs w:val="21"/>
        </w:rPr>
        <w:t>[…]</w:t>
      </w:r>
    </w:p>
    <w:p w:rsidR="00EF585D" w:rsidRDefault="00171BE8">
      <w:pPr>
        <w:spacing w:after="0" w:line="240" w:lineRule="auto"/>
        <w:ind w:left="851" w:right="901"/>
        <w:jc w:val="both"/>
        <w:rPr>
          <w:rFonts w:ascii="Palatino Linotype" w:eastAsia="Palatino Linotype" w:hAnsi="Palatino Linotype" w:cs="Palatino Linotype"/>
          <w:i/>
          <w:color w:val="000000"/>
          <w:sz w:val="21"/>
          <w:szCs w:val="21"/>
        </w:rPr>
      </w:pPr>
      <w:r>
        <w:rPr>
          <w:rFonts w:ascii="Palatino Linotype" w:eastAsia="Palatino Linotype" w:hAnsi="Palatino Linotype" w:cs="Palatino Linotype"/>
          <w:b/>
          <w:i/>
          <w:color w:val="000000"/>
          <w:sz w:val="21"/>
          <w:szCs w:val="21"/>
        </w:rPr>
        <w:t>“Artículo 6o.</w:t>
      </w:r>
    </w:p>
    <w:p w:rsidR="00EF585D" w:rsidRDefault="00171BE8">
      <w:pPr>
        <w:spacing w:after="0" w:line="240" w:lineRule="auto"/>
        <w:ind w:left="851" w:right="901"/>
        <w:jc w:val="both"/>
        <w:rPr>
          <w:rFonts w:ascii="Palatino Linotype" w:eastAsia="Palatino Linotype" w:hAnsi="Palatino Linotype" w:cs="Palatino Linotype"/>
          <w:i/>
          <w:color w:val="000000"/>
          <w:sz w:val="21"/>
          <w:szCs w:val="21"/>
        </w:rPr>
      </w:pPr>
      <w:r>
        <w:rPr>
          <w:rFonts w:ascii="Palatino Linotype" w:eastAsia="Palatino Linotype" w:hAnsi="Palatino Linotype" w:cs="Palatino Linotype"/>
          <w:i/>
          <w:color w:val="000000"/>
          <w:sz w:val="21"/>
          <w:szCs w:val="21"/>
        </w:rPr>
        <w:t>[...]</w:t>
      </w:r>
    </w:p>
    <w:p w:rsidR="00EF585D" w:rsidRDefault="00171BE8">
      <w:pPr>
        <w:spacing w:after="0" w:line="240" w:lineRule="auto"/>
        <w:ind w:left="851" w:right="851"/>
        <w:jc w:val="both"/>
        <w:rPr>
          <w:rFonts w:ascii="Palatino Linotype" w:eastAsia="Palatino Linotype" w:hAnsi="Palatino Linotype" w:cs="Palatino Linotype"/>
          <w:i/>
          <w:color w:val="000000"/>
          <w:sz w:val="21"/>
          <w:szCs w:val="21"/>
        </w:rPr>
      </w:pPr>
      <w:r>
        <w:rPr>
          <w:rFonts w:ascii="Palatino Linotype" w:eastAsia="Palatino Linotype" w:hAnsi="Palatino Linotype" w:cs="Palatino Linotype"/>
          <w:b/>
          <w:i/>
          <w:color w:val="000000"/>
          <w:sz w:val="21"/>
          <w:szCs w:val="21"/>
        </w:rPr>
        <w:t xml:space="preserve">A. Para el ejercicio del derecho de acceso a la información, la Federación y </w:t>
      </w:r>
      <w:r>
        <w:rPr>
          <w:rFonts w:ascii="Palatino Linotype" w:eastAsia="Palatino Linotype" w:hAnsi="Palatino Linotype" w:cs="Palatino Linotype"/>
          <w:b/>
          <w:i/>
          <w:color w:val="000000"/>
          <w:sz w:val="21"/>
          <w:szCs w:val="21"/>
          <w:u w:val="single"/>
        </w:rPr>
        <w:t>las entidades federativas</w:t>
      </w:r>
      <w:r>
        <w:rPr>
          <w:rFonts w:ascii="Palatino Linotype" w:eastAsia="Palatino Linotype" w:hAnsi="Palatino Linotype" w:cs="Palatino Linotype"/>
          <w:b/>
          <w:i/>
          <w:color w:val="000000"/>
          <w:sz w:val="21"/>
          <w:szCs w:val="21"/>
        </w:rPr>
        <w:t>,</w:t>
      </w:r>
      <w:r>
        <w:rPr>
          <w:rFonts w:ascii="Palatino Linotype" w:eastAsia="Palatino Linotype" w:hAnsi="Palatino Linotype" w:cs="Palatino Linotype"/>
          <w:i/>
          <w:color w:val="000000"/>
          <w:sz w:val="21"/>
          <w:szCs w:val="21"/>
        </w:rPr>
        <w:t xml:space="preserve"> en el ámbito de sus respectivas competencias, se regirán por los siguientes principios y bases:</w:t>
      </w:r>
    </w:p>
    <w:p w:rsidR="00EF585D" w:rsidRDefault="00171BE8">
      <w:pPr>
        <w:spacing w:after="0" w:line="240" w:lineRule="auto"/>
        <w:ind w:left="851" w:right="851"/>
        <w:jc w:val="both"/>
        <w:rPr>
          <w:rFonts w:ascii="Palatino Linotype" w:eastAsia="Palatino Linotype" w:hAnsi="Palatino Linotype" w:cs="Palatino Linotype"/>
          <w:i/>
          <w:color w:val="000000"/>
          <w:sz w:val="21"/>
          <w:szCs w:val="21"/>
        </w:rPr>
      </w:pPr>
      <w:r>
        <w:rPr>
          <w:rFonts w:ascii="Palatino Linotype" w:eastAsia="Palatino Linotype" w:hAnsi="Palatino Linotype" w:cs="Palatino Linotype"/>
          <w:i/>
          <w:color w:val="000000"/>
          <w:sz w:val="21"/>
          <w:szCs w:val="21"/>
        </w:rPr>
        <w:t> </w:t>
      </w:r>
    </w:p>
    <w:p w:rsidR="00EF585D" w:rsidRDefault="00171BE8">
      <w:pPr>
        <w:spacing w:after="0" w:line="240" w:lineRule="auto"/>
        <w:ind w:left="851" w:right="851"/>
        <w:jc w:val="both"/>
        <w:rPr>
          <w:rFonts w:ascii="Palatino Linotype" w:eastAsia="Palatino Linotype" w:hAnsi="Palatino Linotype" w:cs="Palatino Linotype"/>
          <w:i/>
          <w:color w:val="000000"/>
          <w:sz w:val="21"/>
          <w:szCs w:val="21"/>
        </w:rPr>
      </w:pPr>
      <w:r>
        <w:rPr>
          <w:rFonts w:ascii="Palatino Linotype" w:eastAsia="Palatino Linotype" w:hAnsi="Palatino Linotype" w:cs="Palatino Linotype"/>
          <w:b/>
          <w:i/>
          <w:color w:val="000000"/>
          <w:sz w:val="21"/>
          <w:szCs w:val="21"/>
        </w:rPr>
        <w:t xml:space="preserve">I. </w:t>
      </w:r>
      <w:r>
        <w:rPr>
          <w:rFonts w:ascii="Palatino Linotype" w:eastAsia="Palatino Linotype" w:hAnsi="Palatino Linotype" w:cs="Palatino Linotype"/>
          <w:b/>
          <w:i/>
          <w:color w:val="000000"/>
          <w:sz w:val="21"/>
          <w:szCs w:val="21"/>
          <w:u w:val="single"/>
        </w:rPr>
        <w:t>Toda la información en posesión de cualquier autoridad, entidad, órgano y organismo de los Poderes</w:t>
      </w:r>
      <w:r>
        <w:rPr>
          <w:rFonts w:ascii="Palatino Linotype" w:eastAsia="Palatino Linotype" w:hAnsi="Palatino Linotype" w:cs="Palatino Linotype"/>
          <w:i/>
          <w:color w:val="000000"/>
          <w:sz w:val="21"/>
          <w:szCs w:val="21"/>
        </w:rPr>
        <w:t xml:space="preserve"> Ejecutivo, Legislativo </w:t>
      </w:r>
      <w:r>
        <w:rPr>
          <w:rFonts w:ascii="Palatino Linotype" w:eastAsia="Palatino Linotype" w:hAnsi="Palatino Linotype" w:cs="Palatino Linotype"/>
          <w:b/>
          <w:i/>
          <w:color w:val="000000"/>
          <w:sz w:val="21"/>
          <w:szCs w:val="21"/>
          <w:u w:val="single"/>
        </w:rPr>
        <w:t>y Judicial</w:t>
      </w:r>
      <w:r>
        <w:rPr>
          <w:rFonts w:ascii="Palatino Linotype" w:eastAsia="Palatino Linotype" w:hAnsi="Palatino Linotype" w:cs="Palatino Linotype"/>
          <w:i/>
          <w:color w:val="000000"/>
          <w:sz w:val="21"/>
          <w:szCs w:val="21"/>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color w:val="000000"/>
          <w:sz w:val="21"/>
          <w:szCs w:val="21"/>
        </w:rPr>
        <w:t>es pública y sólo podrá ser reservada temporalmente por razones de interés público y seguridad nacional,</w:t>
      </w:r>
      <w:r>
        <w:rPr>
          <w:rFonts w:ascii="Palatino Linotype" w:eastAsia="Palatino Linotype" w:hAnsi="Palatino Linotype" w:cs="Palatino Linotype"/>
          <w:i/>
          <w:color w:val="000000"/>
          <w:sz w:val="21"/>
          <w:szCs w:val="21"/>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F585D" w:rsidRDefault="00171BE8">
      <w:pPr>
        <w:spacing w:after="0" w:line="240" w:lineRule="auto"/>
        <w:ind w:left="851" w:right="851"/>
        <w:jc w:val="both"/>
        <w:rPr>
          <w:rFonts w:ascii="Palatino Linotype" w:eastAsia="Palatino Linotype" w:hAnsi="Palatino Linotype" w:cs="Palatino Linotype"/>
          <w:i/>
          <w:color w:val="000000"/>
          <w:sz w:val="21"/>
          <w:szCs w:val="21"/>
        </w:rPr>
      </w:pPr>
      <w:r>
        <w:rPr>
          <w:rFonts w:ascii="Palatino Linotype" w:eastAsia="Palatino Linotype" w:hAnsi="Palatino Linotype" w:cs="Palatino Linotype"/>
          <w:i/>
          <w:color w:val="000000"/>
          <w:sz w:val="21"/>
          <w:szCs w:val="21"/>
        </w:rPr>
        <w:t> </w:t>
      </w:r>
    </w:p>
    <w:p w:rsidR="00EF585D" w:rsidRDefault="00171BE8">
      <w:pPr>
        <w:spacing w:after="0" w:line="240" w:lineRule="auto"/>
        <w:ind w:left="851" w:right="851"/>
        <w:jc w:val="both"/>
        <w:rPr>
          <w:rFonts w:ascii="Palatino Linotype" w:eastAsia="Palatino Linotype" w:hAnsi="Palatino Linotype" w:cs="Palatino Linotype"/>
          <w:b/>
          <w:i/>
          <w:color w:val="000000"/>
          <w:sz w:val="21"/>
          <w:szCs w:val="21"/>
        </w:rPr>
      </w:pPr>
      <w:r>
        <w:rPr>
          <w:rFonts w:ascii="Palatino Linotype" w:eastAsia="Palatino Linotype" w:hAnsi="Palatino Linotype" w:cs="Palatino Linotype"/>
          <w:b/>
          <w:i/>
          <w:color w:val="000000"/>
          <w:sz w:val="21"/>
          <w:szCs w:val="21"/>
        </w:rPr>
        <w:t>II. La información que se refiere a la vida privada y los datos personales será protegida en los términos y con las excepciones que fijen las leyes.</w:t>
      </w:r>
    </w:p>
    <w:p w:rsidR="00EF585D" w:rsidRDefault="00171BE8">
      <w:pPr>
        <w:spacing w:after="0" w:line="240" w:lineRule="auto"/>
        <w:ind w:left="851" w:right="851"/>
        <w:jc w:val="both"/>
        <w:rPr>
          <w:rFonts w:ascii="Palatino Linotype" w:eastAsia="Palatino Linotype" w:hAnsi="Palatino Linotype" w:cs="Palatino Linotype"/>
          <w:i/>
          <w:color w:val="000000"/>
          <w:sz w:val="21"/>
          <w:szCs w:val="21"/>
        </w:rPr>
      </w:pPr>
      <w:r>
        <w:rPr>
          <w:rFonts w:ascii="Palatino Linotype" w:eastAsia="Palatino Linotype" w:hAnsi="Palatino Linotype" w:cs="Palatino Linotype"/>
          <w:i/>
          <w:color w:val="000000"/>
          <w:sz w:val="21"/>
          <w:szCs w:val="21"/>
        </w:rPr>
        <w:t> </w:t>
      </w:r>
    </w:p>
    <w:p w:rsidR="00EF585D" w:rsidRDefault="00171BE8">
      <w:pPr>
        <w:spacing w:after="0" w:line="240" w:lineRule="auto"/>
        <w:ind w:left="851" w:right="851"/>
        <w:jc w:val="both"/>
        <w:rPr>
          <w:rFonts w:ascii="Palatino Linotype" w:eastAsia="Palatino Linotype" w:hAnsi="Palatino Linotype" w:cs="Palatino Linotype"/>
          <w:i/>
          <w:color w:val="000000"/>
          <w:sz w:val="21"/>
          <w:szCs w:val="21"/>
        </w:rPr>
      </w:pPr>
      <w:r>
        <w:rPr>
          <w:rFonts w:ascii="Palatino Linotype" w:eastAsia="Palatino Linotype" w:hAnsi="Palatino Linotype" w:cs="Palatino Linotype"/>
          <w:b/>
          <w:i/>
          <w:color w:val="000000"/>
          <w:sz w:val="21"/>
          <w:szCs w:val="21"/>
        </w:rPr>
        <w:t xml:space="preserve">III. </w:t>
      </w:r>
      <w:r>
        <w:rPr>
          <w:rFonts w:ascii="Palatino Linotype" w:eastAsia="Palatino Linotype" w:hAnsi="Palatino Linotype" w:cs="Palatino Linotype"/>
          <w:b/>
          <w:i/>
          <w:color w:val="000000"/>
          <w:sz w:val="21"/>
          <w:szCs w:val="21"/>
          <w:u w:val="single"/>
        </w:rPr>
        <w:t>Toda persona, sin necesidad de acreditar interés alguno o justificar su utilización, tendrá acceso gratuito a la información pública,</w:t>
      </w:r>
      <w:r>
        <w:rPr>
          <w:rFonts w:ascii="Palatino Linotype" w:eastAsia="Palatino Linotype" w:hAnsi="Palatino Linotype" w:cs="Palatino Linotype"/>
          <w:i/>
          <w:color w:val="000000"/>
          <w:sz w:val="21"/>
          <w:szCs w:val="21"/>
        </w:rPr>
        <w:t xml:space="preserve"> a sus datos personales o a la rectificación de éstos.</w:t>
      </w:r>
    </w:p>
    <w:p w:rsidR="00EF585D" w:rsidRDefault="00171BE8">
      <w:pPr>
        <w:spacing w:after="0" w:line="240" w:lineRule="auto"/>
        <w:ind w:left="851" w:right="851"/>
        <w:jc w:val="both"/>
        <w:rPr>
          <w:rFonts w:ascii="Palatino Linotype" w:eastAsia="Palatino Linotype" w:hAnsi="Palatino Linotype" w:cs="Palatino Linotype"/>
          <w:i/>
          <w:color w:val="000000"/>
          <w:sz w:val="21"/>
          <w:szCs w:val="21"/>
        </w:rPr>
      </w:pPr>
      <w:r>
        <w:rPr>
          <w:rFonts w:ascii="Palatino Linotype" w:eastAsia="Palatino Linotype" w:hAnsi="Palatino Linotype" w:cs="Palatino Linotype"/>
          <w:i/>
          <w:color w:val="000000"/>
          <w:sz w:val="21"/>
          <w:szCs w:val="21"/>
        </w:rPr>
        <w:t> </w:t>
      </w:r>
    </w:p>
    <w:p w:rsidR="00EF585D" w:rsidRDefault="00171BE8">
      <w:pPr>
        <w:spacing w:after="0" w:line="240" w:lineRule="auto"/>
        <w:ind w:left="851" w:right="851"/>
        <w:jc w:val="both"/>
        <w:rPr>
          <w:rFonts w:ascii="Palatino Linotype" w:eastAsia="Palatino Linotype" w:hAnsi="Palatino Linotype" w:cs="Palatino Linotype"/>
          <w:i/>
          <w:color w:val="000000"/>
          <w:sz w:val="21"/>
          <w:szCs w:val="21"/>
        </w:rPr>
      </w:pPr>
      <w:r>
        <w:rPr>
          <w:rFonts w:ascii="Palatino Linotype" w:eastAsia="Palatino Linotype" w:hAnsi="Palatino Linotype" w:cs="Palatino Linotype"/>
          <w:b/>
          <w:i/>
          <w:color w:val="000000"/>
          <w:sz w:val="21"/>
          <w:szCs w:val="21"/>
        </w:rPr>
        <w:t xml:space="preserve">IV. </w:t>
      </w:r>
      <w:r>
        <w:rPr>
          <w:rFonts w:ascii="Palatino Linotype" w:eastAsia="Palatino Linotype" w:hAnsi="Palatino Linotype" w:cs="Palatino Linotype"/>
          <w:i/>
          <w:color w:val="000000"/>
          <w:sz w:val="21"/>
          <w:szCs w:val="21"/>
        </w:rPr>
        <w:t>Se establecerán mecanismos de acceso a la información y procedimientos de revisión expeditos que se sustanciarán ante los organismos autónomos especializados e imparciales que establece esta Constitución.</w:t>
      </w:r>
    </w:p>
    <w:p w:rsidR="00EF585D" w:rsidRDefault="00EF585D">
      <w:pPr>
        <w:spacing w:after="0" w:line="240" w:lineRule="auto"/>
        <w:ind w:left="851" w:right="851"/>
        <w:jc w:val="both"/>
        <w:rPr>
          <w:rFonts w:ascii="Palatino Linotype" w:eastAsia="Palatino Linotype" w:hAnsi="Palatino Linotype" w:cs="Palatino Linotype"/>
          <w:i/>
          <w:color w:val="000000"/>
          <w:sz w:val="21"/>
          <w:szCs w:val="21"/>
        </w:rPr>
      </w:pPr>
    </w:p>
    <w:p w:rsidR="00EF585D" w:rsidRDefault="00171BE8">
      <w:pPr>
        <w:spacing w:after="0" w:line="240" w:lineRule="auto"/>
        <w:ind w:left="851" w:right="851"/>
        <w:jc w:val="both"/>
        <w:rPr>
          <w:rFonts w:ascii="Palatino Linotype" w:eastAsia="Palatino Linotype" w:hAnsi="Palatino Linotype" w:cs="Palatino Linotype"/>
          <w:i/>
          <w:color w:val="000000"/>
          <w:sz w:val="21"/>
          <w:szCs w:val="21"/>
        </w:rPr>
      </w:pPr>
      <w:r>
        <w:rPr>
          <w:rFonts w:ascii="Palatino Linotype" w:eastAsia="Palatino Linotype" w:hAnsi="Palatino Linotype" w:cs="Palatino Linotype"/>
          <w:b/>
          <w:i/>
          <w:color w:val="000000"/>
          <w:sz w:val="21"/>
          <w:szCs w:val="21"/>
        </w:rPr>
        <w:t xml:space="preserve">V. </w:t>
      </w:r>
      <w:r>
        <w:rPr>
          <w:rFonts w:ascii="Palatino Linotype" w:eastAsia="Palatino Linotype" w:hAnsi="Palatino Linotype" w:cs="Palatino Linotype"/>
          <w:i/>
          <w:color w:val="000000"/>
          <w:sz w:val="21"/>
          <w:szCs w:val="21"/>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F585D" w:rsidRDefault="00171BE8">
      <w:pPr>
        <w:spacing w:after="0" w:line="240" w:lineRule="auto"/>
        <w:ind w:left="851" w:right="851"/>
        <w:jc w:val="both"/>
        <w:rPr>
          <w:rFonts w:ascii="Palatino Linotype" w:eastAsia="Palatino Linotype" w:hAnsi="Palatino Linotype" w:cs="Palatino Linotype"/>
          <w:i/>
          <w:color w:val="000000"/>
          <w:sz w:val="21"/>
          <w:szCs w:val="21"/>
        </w:rPr>
      </w:pPr>
      <w:r>
        <w:rPr>
          <w:rFonts w:ascii="Palatino Linotype" w:eastAsia="Palatino Linotype" w:hAnsi="Palatino Linotype" w:cs="Palatino Linotype"/>
          <w:i/>
          <w:color w:val="000000"/>
          <w:sz w:val="21"/>
          <w:szCs w:val="21"/>
        </w:rPr>
        <w:lastRenderedPageBreak/>
        <w:t> </w:t>
      </w:r>
    </w:p>
    <w:p w:rsidR="00EF585D" w:rsidRDefault="00171BE8">
      <w:pPr>
        <w:spacing w:after="0" w:line="240" w:lineRule="auto"/>
        <w:ind w:left="851" w:right="851"/>
        <w:jc w:val="both"/>
        <w:rPr>
          <w:rFonts w:ascii="Palatino Linotype" w:eastAsia="Palatino Linotype" w:hAnsi="Palatino Linotype" w:cs="Palatino Linotype"/>
          <w:i/>
          <w:color w:val="000000"/>
          <w:sz w:val="21"/>
          <w:szCs w:val="21"/>
        </w:rPr>
      </w:pPr>
      <w:r>
        <w:rPr>
          <w:rFonts w:ascii="Palatino Linotype" w:eastAsia="Palatino Linotype" w:hAnsi="Palatino Linotype" w:cs="Palatino Linotype"/>
          <w:b/>
          <w:i/>
          <w:color w:val="000000"/>
          <w:sz w:val="21"/>
          <w:szCs w:val="21"/>
        </w:rPr>
        <w:t xml:space="preserve">VI. </w:t>
      </w:r>
      <w:r>
        <w:rPr>
          <w:rFonts w:ascii="Palatino Linotype" w:eastAsia="Palatino Linotype" w:hAnsi="Palatino Linotype" w:cs="Palatino Linotype"/>
          <w:i/>
          <w:color w:val="000000"/>
          <w:sz w:val="21"/>
          <w:szCs w:val="21"/>
        </w:rPr>
        <w:t>Las leyes determinarán la manera en que los sujetos obligados deberán hacer pública la información relativa a los recursos públicos que entreguen a personas físicas o morales.</w:t>
      </w:r>
    </w:p>
    <w:p w:rsidR="00EF585D" w:rsidRDefault="00171BE8">
      <w:pPr>
        <w:spacing w:after="0" w:line="240" w:lineRule="auto"/>
        <w:ind w:left="851" w:right="851"/>
        <w:jc w:val="both"/>
        <w:rPr>
          <w:rFonts w:ascii="Palatino Linotype" w:eastAsia="Palatino Linotype" w:hAnsi="Palatino Linotype" w:cs="Palatino Linotype"/>
          <w:i/>
          <w:color w:val="000000"/>
          <w:sz w:val="21"/>
          <w:szCs w:val="21"/>
        </w:rPr>
      </w:pPr>
      <w:r>
        <w:rPr>
          <w:rFonts w:ascii="Palatino Linotype" w:eastAsia="Palatino Linotype" w:hAnsi="Palatino Linotype" w:cs="Palatino Linotype"/>
          <w:i/>
          <w:color w:val="000000"/>
          <w:sz w:val="21"/>
          <w:szCs w:val="21"/>
        </w:rPr>
        <w:t> </w:t>
      </w:r>
    </w:p>
    <w:p w:rsidR="00EF585D" w:rsidRDefault="00171BE8">
      <w:pPr>
        <w:spacing w:after="0" w:line="240" w:lineRule="auto"/>
        <w:ind w:left="851" w:right="851"/>
        <w:jc w:val="both"/>
        <w:rPr>
          <w:rFonts w:ascii="Palatino Linotype" w:eastAsia="Palatino Linotype" w:hAnsi="Palatino Linotype" w:cs="Palatino Linotype"/>
          <w:i/>
          <w:color w:val="000000"/>
          <w:sz w:val="21"/>
          <w:szCs w:val="21"/>
        </w:rPr>
      </w:pPr>
      <w:r>
        <w:rPr>
          <w:rFonts w:ascii="Palatino Linotype" w:eastAsia="Palatino Linotype" w:hAnsi="Palatino Linotype" w:cs="Palatino Linotype"/>
          <w:b/>
          <w:i/>
          <w:color w:val="000000"/>
          <w:sz w:val="21"/>
          <w:szCs w:val="21"/>
        </w:rPr>
        <w:t xml:space="preserve">VII. </w:t>
      </w:r>
      <w:r>
        <w:rPr>
          <w:rFonts w:ascii="Palatino Linotype" w:eastAsia="Palatino Linotype" w:hAnsi="Palatino Linotype" w:cs="Palatino Linotype"/>
          <w:i/>
          <w:color w:val="000000"/>
          <w:sz w:val="21"/>
          <w:szCs w:val="21"/>
        </w:rPr>
        <w:t>La inobservancia a las disposiciones en materia de acceso a la información pública será sancionada en los términos que dispongan las leyes. [...]</w:t>
      </w:r>
    </w:p>
    <w:p w:rsidR="00EF585D" w:rsidRDefault="00EF585D">
      <w:pPr>
        <w:spacing w:after="0" w:line="240" w:lineRule="auto"/>
        <w:ind w:right="851"/>
        <w:jc w:val="both"/>
        <w:rPr>
          <w:rFonts w:ascii="Palatino Linotype" w:eastAsia="Palatino Linotype" w:hAnsi="Palatino Linotype" w:cs="Palatino Linotype"/>
          <w:i/>
          <w:color w:val="000000"/>
          <w:sz w:val="21"/>
          <w:szCs w:val="21"/>
        </w:rPr>
      </w:pPr>
    </w:p>
    <w:p w:rsidR="00EF585D" w:rsidRDefault="00171BE8">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w:t>
      </w:r>
      <w:r>
        <w:rPr>
          <w:rFonts w:ascii="Palatino Linotype" w:eastAsia="Palatino Linotype" w:hAnsi="Palatino Linotype" w:cs="Palatino Linotype"/>
          <w:sz w:val="24"/>
          <w:szCs w:val="24"/>
        </w:rPr>
        <w:t>transcribe</w:t>
      </w:r>
      <w:r>
        <w:rPr>
          <w:rFonts w:ascii="Palatino Linotype" w:eastAsia="Palatino Linotype" w:hAnsi="Palatino Linotype" w:cs="Palatino Linotype"/>
          <w:color w:val="000000"/>
          <w:sz w:val="24"/>
          <w:szCs w:val="24"/>
        </w:rPr>
        <w:t xml:space="preserve"> para un mejor entendimiento:</w:t>
      </w:r>
    </w:p>
    <w:p w:rsidR="00EF585D" w:rsidRDefault="00171BE8">
      <w:pPr>
        <w:spacing w:before="240" w:after="0" w:line="240" w:lineRule="auto"/>
        <w:ind w:left="709" w:right="76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4</w:t>
      </w:r>
      <w:r>
        <w:rPr>
          <w:rFonts w:ascii="Palatino Linotype" w:eastAsia="Palatino Linotype" w:hAnsi="Palatino Linotype" w:cs="Palatino Linotype"/>
          <w:i/>
          <w:color w:val="00000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EF585D" w:rsidRDefault="00EF585D">
      <w:pPr>
        <w:spacing w:before="240" w:after="0" w:line="240" w:lineRule="auto"/>
        <w:ind w:left="709" w:right="760"/>
        <w:jc w:val="both"/>
        <w:rPr>
          <w:rFonts w:ascii="Palatino Linotype" w:eastAsia="Palatino Linotype" w:hAnsi="Palatino Linotype" w:cs="Palatino Linotype"/>
          <w:i/>
          <w:color w:val="000000"/>
        </w:rPr>
      </w:pPr>
    </w:p>
    <w:p w:rsidR="00EF585D" w:rsidRDefault="00171BE8">
      <w:pPr>
        <w:spacing w:after="0" w:line="240" w:lineRule="auto"/>
        <w:ind w:left="709" w:right="760"/>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Pr>
          <w:rFonts w:ascii="Palatino Linotype" w:eastAsia="Palatino Linotype" w:hAnsi="Palatino Linotype" w:cs="Palatino Linotype"/>
          <w:b/>
          <w:i/>
          <w:color w:val="000000"/>
        </w:rPr>
        <w:lastRenderedPageBreak/>
        <w:t>público, en los términos de las causas legítimas y estrictamente necesarias previstas por esta Ley.</w:t>
      </w:r>
    </w:p>
    <w:p w:rsidR="00EF585D" w:rsidRDefault="00EF585D">
      <w:pPr>
        <w:spacing w:after="0" w:line="240" w:lineRule="auto"/>
        <w:ind w:left="709" w:right="760"/>
        <w:jc w:val="both"/>
        <w:rPr>
          <w:rFonts w:ascii="Palatino Linotype" w:eastAsia="Palatino Linotype" w:hAnsi="Palatino Linotype" w:cs="Palatino Linotype"/>
          <w:b/>
          <w:i/>
          <w:color w:val="000000"/>
        </w:rPr>
      </w:pPr>
    </w:p>
    <w:p w:rsidR="00EF585D" w:rsidRDefault="00171BE8">
      <w:pPr>
        <w:spacing w:after="0" w:line="240" w:lineRule="auto"/>
        <w:ind w:left="709" w:right="76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Los sujetos obligados deben poner en práctica, políticas y programas de acceso a la información que se apeguen a criterios de publicidad, veracidad, oportunidad, precisión y suficiencia en beneficio de los solicitantes.”(Sic)</w:t>
      </w:r>
    </w:p>
    <w:p w:rsidR="00EF585D" w:rsidRDefault="00EF585D">
      <w:pPr>
        <w:spacing w:after="0" w:line="240" w:lineRule="auto"/>
        <w:jc w:val="both"/>
        <w:rPr>
          <w:rFonts w:ascii="Palatino Linotype" w:eastAsia="Palatino Linotype" w:hAnsi="Palatino Linotype" w:cs="Palatino Linotype"/>
          <w:color w:val="000000"/>
          <w:sz w:val="24"/>
          <w:szCs w:val="24"/>
        </w:rPr>
      </w:pPr>
    </w:p>
    <w:p w:rsidR="00EF585D" w:rsidRDefault="00171BE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EF585D" w:rsidRDefault="00EF585D">
      <w:pPr>
        <w:spacing w:after="0" w:line="240" w:lineRule="auto"/>
        <w:jc w:val="both"/>
        <w:rPr>
          <w:rFonts w:ascii="Palatino Linotype" w:eastAsia="Palatino Linotype" w:hAnsi="Palatino Linotype" w:cs="Palatino Linotype"/>
          <w:color w:val="000000"/>
          <w:sz w:val="24"/>
          <w:szCs w:val="24"/>
        </w:rPr>
      </w:pPr>
    </w:p>
    <w:p w:rsidR="00EF585D" w:rsidRDefault="00171BE8">
      <w:pPr>
        <w:spacing w:after="0" w:line="240" w:lineRule="auto"/>
        <w:ind w:left="567" w:right="75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12</w:t>
      </w:r>
      <w:r>
        <w:rPr>
          <w:rFonts w:ascii="Palatino Linotype" w:eastAsia="Palatino Linotype" w:hAnsi="Palatino Linotype" w:cs="Palatino Linotype"/>
          <w:i/>
          <w:color w:val="000000"/>
        </w:rPr>
        <w:t xml:space="preserve">. Quienes generen, recopilen, administren, manejen, procesen, archiven o conserven información pública serán responsables de la misma en los términos de las disposiciones jurídicas aplicables. </w:t>
      </w:r>
    </w:p>
    <w:p w:rsidR="00EF585D" w:rsidRDefault="00EF585D">
      <w:pPr>
        <w:spacing w:after="0" w:line="240" w:lineRule="auto"/>
        <w:ind w:left="567" w:right="758"/>
        <w:jc w:val="both"/>
        <w:rPr>
          <w:rFonts w:ascii="Palatino Linotype" w:eastAsia="Palatino Linotype" w:hAnsi="Palatino Linotype" w:cs="Palatino Linotype"/>
          <w:i/>
          <w:color w:val="000000"/>
        </w:rPr>
      </w:pPr>
    </w:p>
    <w:p w:rsidR="00EF585D" w:rsidRDefault="00171BE8">
      <w:pPr>
        <w:spacing w:after="0" w:line="240" w:lineRule="auto"/>
        <w:ind w:left="567" w:right="75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EF585D" w:rsidRDefault="00EF585D">
      <w:pPr>
        <w:spacing w:after="0" w:line="360" w:lineRule="auto"/>
        <w:jc w:val="both"/>
        <w:rPr>
          <w:rFonts w:ascii="Palatino Linotype" w:eastAsia="Palatino Linotype" w:hAnsi="Palatino Linotype" w:cs="Palatino Linotype"/>
          <w:color w:val="000000"/>
          <w:sz w:val="24"/>
          <w:szCs w:val="24"/>
        </w:rPr>
      </w:pPr>
    </w:p>
    <w:p w:rsidR="00EF585D" w:rsidRDefault="00171BE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sz w:val="24"/>
          <w:szCs w:val="24"/>
        </w:rPr>
        <w:t>ad hoc</w:t>
      </w:r>
      <w:r>
        <w:rPr>
          <w:rFonts w:ascii="Palatino Linotype" w:eastAsia="Palatino Linotype" w:hAnsi="Palatino Linotype" w:cs="Palatino Linotype"/>
          <w:color w:val="000000"/>
          <w:sz w:val="24"/>
          <w:szCs w:val="24"/>
        </w:rPr>
        <w:t xml:space="preserve">, para satisfacer el derecho de acceso a la información pública, como así lo establece los criterios 09/10 y 03/17 emitidos por el </w:t>
      </w:r>
      <w:r>
        <w:rPr>
          <w:rFonts w:ascii="Palatino Linotype" w:eastAsia="Palatino Linotype" w:hAnsi="Palatino Linotype" w:cs="Palatino Linotype"/>
          <w:color w:val="000000"/>
          <w:sz w:val="24"/>
          <w:szCs w:val="24"/>
        </w:rPr>
        <w:lastRenderedPageBreak/>
        <w:t>Instituto Nacional de Transparencia, Acceso a la Información Pública y Protección de Datos Personales, los cuales señalan lo siguiente:</w:t>
      </w:r>
    </w:p>
    <w:p w:rsidR="00EF585D" w:rsidRDefault="00171BE8">
      <w:pPr>
        <w:spacing w:before="120" w:after="240" w:line="240" w:lineRule="auto"/>
        <w:ind w:left="1134" w:right="902"/>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09/10</w:t>
      </w:r>
    </w:p>
    <w:p w:rsidR="00EF585D" w:rsidRDefault="00171BE8">
      <w:pPr>
        <w:spacing w:before="120" w:after="240" w:line="240" w:lineRule="auto"/>
        <w:ind w:left="1134" w:right="902"/>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"LAS DEPENDENCIAS Y ENTIDADES NO ESTÁN OBLIGADAS A GENERAR DOCUMENTOS AD HOC PARA RESPONDER UNA SOLICITUD DE ACC ESO A LA INFORMACIÓN.</w:t>
      </w:r>
    </w:p>
    <w:p w:rsidR="00EF585D" w:rsidRDefault="00171BE8">
      <w:pPr>
        <w:spacing w:before="120" w:after="240" w:line="240" w:lineRule="auto"/>
        <w:ind w:left="1134" w:right="902"/>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EF585D" w:rsidRDefault="00171BE8">
      <w:pPr>
        <w:spacing w:before="120" w:after="240" w:line="240" w:lineRule="auto"/>
        <w:ind w:left="1134" w:right="902"/>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03/17</w:t>
      </w:r>
    </w:p>
    <w:p w:rsidR="00EF585D" w:rsidRDefault="00171BE8">
      <w:pPr>
        <w:spacing w:before="120" w:after="240" w:line="240" w:lineRule="auto"/>
        <w:ind w:left="1134" w:right="902"/>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b/>
          <w:i/>
          <w:color w:val="000000"/>
          <w:sz w:val="20"/>
          <w:szCs w:val="20"/>
        </w:rPr>
        <w:t>“NO EXISTE OBLIGACIÓN DE ELABORAR DOCUMENTOS AD HOC PARA ATENDER LAS SOLICITUDES DE ACCESO A LA INFORMACIÓN.</w:t>
      </w:r>
    </w:p>
    <w:p w:rsidR="00EF585D" w:rsidRDefault="00171BE8">
      <w:pPr>
        <w:spacing w:before="120" w:after="240" w:line="240" w:lineRule="auto"/>
        <w:ind w:left="1134" w:right="902"/>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EF585D" w:rsidRDefault="00171BE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w:t>
      </w:r>
      <w:r>
        <w:rPr>
          <w:rFonts w:ascii="Palatino Linotype" w:eastAsia="Palatino Linotype" w:hAnsi="Palatino Linotype" w:cs="Palatino Linotype"/>
          <w:color w:val="000000"/>
          <w:sz w:val="24"/>
          <w:szCs w:val="24"/>
        </w:rPr>
        <w:lastRenderedPageBreak/>
        <w:t>persona, lo que implica que es deber de los Sujetos Obligados, garantizar el Derecho de Acceso a la Información Pública.</w:t>
      </w:r>
    </w:p>
    <w:p w:rsidR="00EF585D" w:rsidRDefault="00EF585D">
      <w:pPr>
        <w:spacing w:after="0" w:line="360" w:lineRule="auto"/>
        <w:ind w:right="49"/>
        <w:jc w:val="both"/>
        <w:rPr>
          <w:rFonts w:ascii="Palatino Linotype" w:eastAsia="Palatino Linotype" w:hAnsi="Palatino Linotype" w:cs="Palatino Linotype"/>
          <w:color w:val="000000"/>
          <w:sz w:val="24"/>
          <w:szCs w:val="24"/>
        </w:rPr>
      </w:pPr>
    </w:p>
    <w:p w:rsidR="00EF585D" w:rsidRDefault="00171BE8">
      <w:pP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EF585D" w:rsidRDefault="00EF585D">
      <w:pPr>
        <w:spacing w:after="0" w:line="240" w:lineRule="auto"/>
        <w:jc w:val="both"/>
        <w:rPr>
          <w:rFonts w:ascii="Palatino Linotype" w:eastAsia="Palatino Linotype" w:hAnsi="Palatino Linotype" w:cs="Palatino Linotype"/>
          <w:color w:val="000000"/>
          <w:sz w:val="24"/>
          <w:szCs w:val="24"/>
        </w:rPr>
      </w:pPr>
    </w:p>
    <w:p w:rsidR="00EF585D" w:rsidRDefault="00171BE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EF585D" w:rsidRDefault="00EF585D">
      <w:pPr>
        <w:spacing w:after="0" w:line="240" w:lineRule="auto"/>
        <w:ind w:left="1134" w:right="899"/>
        <w:jc w:val="both"/>
        <w:rPr>
          <w:rFonts w:ascii="Palatino Linotype" w:eastAsia="Palatino Linotype" w:hAnsi="Palatino Linotype" w:cs="Palatino Linotype"/>
          <w:i/>
          <w:color w:val="000000"/>
        </w:rPr>
      </w:pPr>
    </w:p>
    <w:p w:rsidR="00EF585D" w:rsidRDefault="00171BE8">
      <w:pPr>
        <w:spacing w:after="0" w:line="240" w:lineRule="auto"/>
        <w:ind w:left="1134" w:right="89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 xml:space="preserve">Artículo 3. </w:t>
      </w:r>
      <w:r>
        <w:rPr>
          <w:rFonts w:ascii="Palatino Linotype" w:eastAsia="Palatino Linotype" w:hAnsi="Palatino Linotype" w:cs="Palatino Linotype"/>
          <w:i/>
          <w:color w:val="000000"/>
        </w:rPr>
        <w:t>Para los efectos de la presente Ley se entenderá por:</w:t>
      </w:r>
    </w:p>
    <w:p w:rsidR="00EF585D" w:rsidRDefault="00171BE8">
      <w:pPr>
        <w:spacing w:after="0" w:line="240" w:lineRule="auto"/>
        <w:ind w:left="1134" w:right="89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rsidR="00EF585D" w:rsidRDefault="00171BE8">
      <w:pPr>
        <w:spacing w:after="0" w:line="240" w:lineRule="auto"/>
        <w:ind w:left="1134" w:right="89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XI. Documento:</w:t>
      </w:r>
      <w:r>
        <w:rPr>
          <w:rFonts w:ascii="Palatino Linotype" w:eastAsia="Palatino Linotype" w:hAnsi="Palatino Linotype" w:cs="Palatino Linotype"/>
          <w:i/>
          <w:color w:val="000000"/>
        </w:rPr>
        <w:t xml:space="preserve"> Los expedientes, reportes, estudios, </w:t>
      </w:r>
      <w:r>
        <w:rPr>
          <w:rFonts w:ascii="Palatino Linotype" w:eastAsia="Palatino Linotype" w:hAnsi="Palatino Linotype" w:cs="Palatino Linotype"/>
          <w:b/>
          <w:i/>
          <w:color w:val="000000"/>
        </w:rPr>
        <w:t>actas,</w:t>
      </w:r>
      <w:r>
        <w:rPr>
          <w:rFonts w:ascii="Palatino Linotype" w:eastAsia="Palatino Linotype" w:hAnsi="Palatino Linotype" w:cs="Palatino Linotype"/>
          <w:i/>
          <w:color w:val="000000"/>
        </w:rPr>
        <w:t xml:space="preserve"> resoluciones, oficios, correspondencia, acuerdos, directivas, directrices, circulares, </w:t>
      </w:r>
      <w:r>
        <w:rPr>
          <w:rFonts w:ascii="Palatino Linotype" w:eastAsia="Palatino Linotype" w:hAnsi="Palatino Linotype" w:cs="Palatino Linotype"/>
          <w:i/>
          <w:color w:val="000000"/>
        </w:rPr>
        <w:lastRenderedPageBreak/>
        <w:t>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rPr>
        <w:t>…</w:t>
      </w:r>
      <w:r>
        <w:rPr>
          <w:rFonts w:ascii="Palatino Linotype" w:eastAsia="Palatino Linotype" w:hAnsi="Palatino Linotype" w:cs="Palatino Linotype"/>
          <w:i/>
          <w:color w:val="000000"/>
        </w:rPr>
        <w:t>” (Sic)</w:t>
      </w:r>
    </w:p>
    <w:p w:rsidR="00EF585D" w:rsidRDefault="00EF585D">
      <w:pPr>
        <w:spacing w:after="0" w:line="240" w:lineRule="auto"/>
        <w:ind w:left="851" w:right="899"/>
        <w:jc w:val="both"/>
        <w:rPr>
          <w:rFonts w:ascii="Palatino Linotype" w:eastAsia="Palatino Linotype" w:hAnsi="Palatino Linotype" w:cs="Palatino Linotype"/>
          <w:i/>
          <w:color w:val="000000"/>
        </w:rPr>
      </w:pPr>
    </w:p>
    <w:p w:rsidR="00EF585D" w:rsidRDefault="00171BE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EF585D" w:rsidRDefault="00EF585D">
      <w:pPr>
        <w:spacing w:after="0" w:line="240" w:lineRule="auto"/>
        <w:ind w:left="851" w:right="899"/>
        <w:jc w:val="both"/>
        <w:rPr>
          <w:rFonts w:ascii="Palatino Linotype" w:eastAsia="Palatino Linotype" w:hAnsi="Palatino Linotype" w:cs="Palatino Linotype"/>
          <w:color w:val="000000"/>
          <w:sz w:val="24"/>
          <w:szCs w:val="24"/>
        </w:rPr>
      </w:pPr>
    </w:p>
    <w:p w:rsidR="00EF585D" w:rsidRDefault="00171BE8">
      <w:pPr>
        <w:spacing w:after="0" w:line="240" w:lineRule="auto"/>
        <w:ind w:left="1134" w:right="899"/>
        <w:jc w:val="both"/>
        <w:rPr>
          <w:rFonts w:ascii="Palatino Linotype" w:eastAsia="Palatino Linotype" w:hAnsi="Palatino Linotype" w:cs="Palatino Linotype"/>
          <w:b/>
          <w:i/>
          <w:color w:val="000000"/>
        </w:rPr>
      </w:pPr>
      <w:r>
        <w:rPr>
          <w:rFonts w:ascii="Palatino Linotype" w:eastAsia="Palatino Linotype" w:hAnsi="Palatino Linotype" w:cs="Palatino Linotype"/>
          <w:b/>
          <w:color w:val="000000"/>
        </w:rPr>
        <w:t>“</w:t>
      </w:r>
      <w:r>
        <w:rPr>
          <w:rFonts w:ascii="Palatino Linotype" w:eastAsia="Palatino Linotype" w:hAnsi="Palatino Linotype" w:cs="Palatino Linotype"/>
          <w:b/>
          <w:i/>
          <w:color w:val="000000"/>
        </w:rPr>
        <w:t>CRITERIO 0002-11</w:t>
      </w:r>
    </w:p>
    <w:p w:rsidR="00EF585D" w:rsidRDefault="00171BE8">
      <w:pPr>
        <w:spacing w:after="0" w:line="240" w:lineRule="auto"/>
        <w:ind w:left="1134" w:right="899"/>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INFORMACIÓN PÚBLICA, CONCEPTO DE, EN MATERIA DE TRANSPARENCIA. INTERPRETACIÓN SISTEMÁTICA DE LOS ARTÍCULOS 2°, FRACCIÓN V, XV, Y XVI, 3°, 4°, 11 Y 41.</w:t>
      </w:r>
      <w:r>
        <w:rPr>
          <w:rFonts w:ascii="Palatino Linotype" w:eastAsia="Palatino Linotype" w:hAnsi="Palatino Linotype" w:cs="Palatino Linotype"/>
          <w:i/>
          <w:color w:val="00000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F585D" w:rsidRDefault="00EF585D">
      <w:pPr>
        <w:spacing w:after="0" w:line="240" w:lineRule="auto"/>
        <w:ind w:left="1134" w:right="899"/>
        <w:jc w:val="both"/>
        <w:rPr>
          <w:rFonts w:ascii="Palatino Linotype" w:eastAsia="Palatino Linotype" w:hAnsi="Palatino Linotype" w:cs="Palatino Linotype"/>
          <w:i/>
          <w:color w:val="000000"/>
        </w:rPr>
      </w:pPr>
    </w:p>
    <w:p w:rsidR="00EF585D" w:rsidRDefault="00171BE8">
      <w:pPr>
        <w:spacing w:after="0" w:line="240" w:lineRule="auto"/>
        <w:ind w:left="1134" w:right="89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 consecuencia el acceso a la información se refiere a que se cumplan cualquiera de los siguientes tres supuestos:</w:t>
      </w:r>
    </w:p>
    <w:p w:rsidR="00EF585D" w:rsidRDefault="00EF585D">
      <w:pPr>
        <w:spacing w:after="0" w:line="240" w:lineRule="auto"/>
        <w:ind w:left="1134" w:right="899"/>
        <w:jc w:val="both"/>
        <w:rPr>
          <w:rFonts w:ascii="Palatino Linotype" w:eastAsia="Palatino Linotype" w:hAnsi="Palatino Linotype" w:cs="Palatino Linotype"/>
          <w:i/>
          <w:color w:val="000000"/>
        </w:rPr>
      </w:pPr>
    </w:p>
    <w:p w:rsidR="00EF585D" w:rsidRDefault="00171BE8">
      <w:pPr>
        <w:numPr>
          <w:ilvl w:val="0"/>
          <w:numId w:val="3"/>
        </w:numPr>
        <w:spacing w:after="0" w:line="240" w:lineRule="auto"/>
        <w:ind w:right="89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Que se trate de información registrada en cualquier soporte documental, que en ejercicio de las atribuciones conferidas, sea generada por los Sujetos Obligados;</w:t>
      </w:r>
    </w:p>
    <w:p w:rsidR="00EF585D" w:rsidRDefault="00EF585D">
      <w:pPr>
        <w:spacing w:after="0" w:line="240" w:lineRule="auto"/>
        <w:ind w:left="1494" w:right="899"/>
        <w:jc w:val="both"/>
        <w:rPr>
          <w:rFonts w:ascii="Palatino Linotype" w:eastAsia="Palatino Linotype" w:hAnsi="Palatino Linotype" w:cs="Palatino Linotype"/>
          <w:b/>
          <w:i/>
          <w:color w:val="000000"/>
        </w:rPr>
      </w:pPr>
    </w:p>
    <w:p w:rsidR="00EF585D" w:rsidRDefault="00171BE8">
      <w:pPr>
        <w:numPr>
          <w:ilvl w:val="0"/>
          <w:numId w:val="3"/>
        </w:numPr>
        <w:spacing w:after="0" w:line="240" w:lineRule="auto"/>
        <w:ind w:right="89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Que se trate de información registrada en cualquier soporte documental, que en ejercicio de las atribuciones conferidas, sea administrada por los Sujetos Obligados, y</w:t>
      </w:r>
    </w:p>
    <w:p w:rsidR="00EF585D" w:rsidRDefault="00EF585D">
      <w:pPr>
        <w:spacing w:after="0" w:line="240" w:lineRule="auto"/>
        <w:ind w:left="720"/>
        <w:rPr>
          <w:rFonts w:ascii="Palatino Linotype" w:eastAsia="Palatino Linotype" w:hAnsi="Palatino Linotype" w:cs="Palatino Linotype"/>
          <w:i/>
          <w:color w:val="000000"/>
        </w:rPr>
      </w:pPr>
    </w:p>
    <w:p w:rsidR="00EF585D" w:rsidRDefault="00EF585D">
      <w:pPr>
        <w:spacing w:after="0" w:line="240" w:lineRule="auto"/>
        <w:ind w:left="1494" w:right="899"/>
        <w:jc w:val="both"/>
        <w:rPr>
          <w:rFonts w:ascii="Palatino Linotype" w:eastAsia="Palatino Linotype" w:hAnsi="Palatino Linotype" w:cs="Palatino Linotype"/>
          <w:i/>
          <w:color w:val="000000"/>
        </w:rPr>
      </w:pPr>
    </w:p>
    <w:p w:rsidR="00EF585D" w:rsidRDefault="00171BE8">
      <w:pPr>
        <w:spacing w:after="0" w:line="240" w:lineRule="auto"/>
        <w:ind w:left="1418" w:right="899" w:hanging="284"/>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3) Que se trate de información registrada en cualquier soporte documental, que en ejercicio de las atribuciones conferidas, se encuentre en posesión de los Sujetos Obligados.” (Sic)</w:t>
      </w:r>
    </w:p>
    <w:p w:rsidR="00EF585D" w:rsidRDefault="00EF585D">
      <w:pPr>
        <w:spacing w:after="0" w:line="240" w:lineRule="auto"/>
        <w:ind w:left="1134" w:right="1041"/>
        <w:jc w:val="both"/>
        <w:rPr>
          <w:rFonts w:ascii="Palatino Linotype" w:eastAsia="Palatino Linotype" w:hAnsi="Palatino Linotype" w:cs="Palatino Linotype"/>
          <w:color w:val="000000"/>
        </w:rPr>
      </w:pPr>
    </w:p>
    <w:p w:rsidR="00EF585D" w:rsidRDefault="00171BE8">
      <w:pPr>
        <w:spacing w:before="280" w:after="28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ahí que </w:t>
      </w:r>
      <w:r>
        <w:rPr>
          <w:rFonts w:ascii="Palatino Linotype" w:eastAsia="Palatino Linotype" w:hAnsi="Palatino Linotype" w:cs="Palatino Linotype"/>
          <w:b/>
          <w:color w:val="000000"/>
          <w:sz w:val="24"/>
          <w:szCs w:val="24"/>
        </w:rPr>
        <w:t>EL</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color w:val="000000"/>
          <w:sz w:val="24"/>
          <w:szCs w:val="24"/>
          <w:vertAlign w:val="superscript"/>
        </w:rPr>
        <w:footnoteReference w:id="1"/>
      </w:r>
      <w:r>
        <w:rPr>
          <w:rFonts w:ascii="Palatino Linotype" w:eastAsia="Palatino Linotype" w:hAnsi="Palatino Linotype" w:cs="Palatino Linotype"/>
          <w:color w:val="000000"/>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color w:val="000000"/>
          <w:sz w:val="24"/>
          <w:szCs w:val="24"/>
          <w:vertAlign w:val="superscript"/>
        </w:rPr>
        <w:footnoteReference w:id="2"/>
      </w:r>
      <w:r>
        <w:rPr>
          <w:rFonts w:ascii="Palatino Linotype" w:eastAsia="Palatino Linotype" w:hAnsi="Palatino Linotype" w:cs="Palatino Linotype"/>
          <w:color w:val="000000"/>
          <w:sz w:val="24"/>
          <w:szCs w:val="24"/>
        </w:rPr>
        <w:t>.</w:t>
      </w:r>
    </w:p>
    <w:p w:rsidR="00EF585D" w:rsidRDefault="00171BE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Una vez precisado lo anterior del análisis al recurso de revisión que ahora se resuelve, se tiene que se actualiza la causal de sobreseimiento del recurso de revisión establecido en la fracción III del artículo 192 en relación con el diverso 186 fracción I, ambos de la Ley de Transparencia y Acceso a la Información Pública del Estado de México y Municipios, derivado del contenido del </w:t>
      </w:r>
      <w:r>
        <w:rPr>
          <w:rFonts w:ascii="Palatino Linotype" w:eastAsia="Palatino Linotype" w:hAnsi="Palatino Linotype" w:cs="Palatino Linotype"/>
          <w:sz w:val="24"/>
          <w:szCs w:val="24"/>
        </w:rPr>
        <w:t xml:space="preserve">informe justificado remitido </w:t>
      </w:r>
      <w:r>
        <w:rPr>
          <w:rFonts w:ascii="Palatino Linotype" w:eastAsia="Palatino Linotype" w:hAnsi="Palatino Linotype" w:cs="Palatino Linotype"/>
          <w:color w:val="000000"/>
          <w:sz w:val="24"/>
          <w:szCs w:val="24"/>
        </w:rPr>
        <w:t xml:space="preserve">por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w:t>
      </w:r>
    </w:p>
    <w:p w:rsidR="00EF585D" w:rsidRDefault="00171BE8">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Bajo ese contexto, el Pleno de este Instituto considera necesario mencionar que, por cuestiones de técnica jurídica, así como para determinar si la respuesta e informe justificado </w:t>
      </w:r>
      <w:r>
        <w:rPr>
          <w:rFonts w:ascii="Palatino Linotype" w:eastAsia="Palatino Linotype" w:hAnsi="Palatino Linotype" w:cs="Palatino Linotype"/>
          <w:sz w:val="24"/>
          <w:szCs w:val="24"/>
        </w:rPr>
        <w:t>emitidos</w:t>
      </w:r>
      <w:r>
        <w:rPr>
          <w:rFonts w:ascii="Palatino Linotype" w:eastAsia="Palatino Linotype" w:hAnsi="Palatino Linotype" w:cs="Palatino Linotype"/>
          <w:color w:val="000000"/>
          <w:sz w:val="24"/>
          <w:szCs w:val="24"/>
        </w:rPr>
        <w:t xml:space="preserve"> por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atendi</w:t>
      </w:r>
      <w:r>
        <w:rPr>
          <w:rFonts w:ascii="Palatino Linotype" w:eastAsia="Palatino Linotype" w:hAnsi="Palatino Linotype" w:cs="Palatino Linotype"/>
          <w:sz w:val="24"/>
          <w:szCs w:val="24"/>
        </w:rPr>
        <w:t>eron</w:t>
      </w:r>
      <w:r>
        <w:rPr>
          <w:rFonts w:ascii="Palatino Linotype" w:eastAsia="Palatino Linotype" w:hAnsi="Palatino Linotype" w:cs="Palatino Linotype"/>
          <w:color w:val="000000"/>
          <w:sz w:val="24"/>
          <w:szCs w:val="24"/>
        </w:rPr>
        <w:t xml:space="preserve"> de manera puntual a todos y cada uno de los requerimientos formulados por la particular, se considera pertinente el análisis de cada uno de los puntos de la solicitud de información, la respuesta brindada a cada uno de ellos por parte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w:t>
      </w:r>
    </w:p>
    <w:tbl>
      <w:tblPr>
        <w:tblStyle w:val="a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1"/>
        <w:gridCol w:w="2179"/>
        <w:gridCol w:w="2179"/>
        <w:gridCol w:w="2179"/>
      </w:tblGrid>
      <w:tr w:rsidR="00EF585D">
        <w:tc>
          <w:tcPr>
            <w:tcW w:w="2291" w:type="dxa"/>
            <w:shd w:val="clear" w:color="auto" w:fill="BFBFBF"/>
          </w:tcPr>
          <w:p w:rsidR="00EF585D" w:rsidRDefault="00171BE8">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Información requerida.</w:t>
            </w:r>
          </w:p>
        </w:tc>
        <w:tc>
          <w:tcPr>
            <w:tcW w:w="2179" w:type="dxa"/>
            <w:shd w:val="clear" w:color="auto" w:fill="BFBFBF"/>
          </w:tcPr>
          <w:p w:rsidR="00EF585D" w:rsidRDefault="00171BE8">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Respuesta</w:t>
            </w:r>
          </w:p>
        </w:tc>
        <w:tc>
          <w:tcPr>
            <w:tcW w:w="2179" w:type="dxa"/>
            <w:shd w:val="clear" w:color="auto" w:fill="BFBFBF"/>
          </w:tcPr>
          <w:p w:rsidR="00EF585D" w:rsidRDefault="00171BE8">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Motivos de inconformidad</w:t>
            </w:r>
          </w:p>
        </w:tc>
        <w:tc>
          <w:tcPr>
            <w:tcW w:w="2179" w:type="dxa"/>
            <w:shd w:val="clear" w:color="auto" w:fill="BFBFBF"/>
          </w:tcPr>
          <w:p w:rsidR="00EF585D" w:rsidRDefault="00171BE8">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Informe justificado</w:t>
            </w:r>
          </w:p>
        </w:tc>
      </w:tr>
      <w:tr w:rsidR="00EF585D">
        <w:tc>
          <w:tcPr>
            <w:tcW w:w="2291" w:type="dxa"/>
          </w:tcPr>
          <w:p w:rsidR="00EF585D" w:rsidRDefault="00171BE8">
            <w:pPr>
              <w:spacing w:before="240" w:after="240"/>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color w:val="000000"/>
                <w:sz w:val="20"/>
                <w:szCs w:val="20"/>
              </w:rPr>
              <w:t xml:space="preserve">1) </w:t>
            </w:r>
            <w:r>
              <w:rPr>
                <w:rFonts w:ascii="Palatino Linotype" w:eastAsia="Palatino Linotype" w:hAnsi="Palatino Linotype" w:cs="Palatino Linotype"/>
                <w:b/>
                <w:color w:val="000000"/>
                <w:sz w:val="20"/>
                <w:szCs w:val="20"/>
              </w:rPr>
              <w:t>Facultades que tiene el Director</w:t>
            </w:r>
            <w:r>
              <w:rPr>
                <w:rFonts w:ascii="Palatino Linotype" w:eastAsia="Palatino Linotype" w:hAnsi="Palatino Linotype" w:cs="Palatino Linotype"/>
                <w:color w:val="000000"/>
                <w:sz w:val="20"/>
                <w:szCs w:val="20"/>
              </w:rPr>
              <w:t xml:space="preserve"> de Investigaciones Judiciales de la Escuela Judicial del Estado de México como responsable de la Convocatoria para ocupar la plaza de investigador de tiempo completo adscrito al Centro de Investigaciones Judiciales de la Escuela Judicial del Estado de México, </w:t>
            </w:r>
            <w:r>
              <w:rPr>
                <w:rFonts w:ascii="Palatino Linotype" w:eastAsia="Palatino Linotype" w:hAnsi="Palatino Linotype" w:cs="Palatino Linotype"/>
                <w:b/>
                <w:color w:val="000000"/>
                <w:sz w:val="20"/>
                <w:szCs w:val="20"/>
              </w:rPr>
              <w:t>para subsanar incidentes que se procesen durante el proceso de selección.</w:t>
            </w:r>
          </w:p>
        </w:tc>
        <w:tc>
          <w:tcPr>
            <w:tcW w:w="2179" w:type="dxa"/>
          </w:tcPr>
          <w:p w:rsidR="00EF585D" w:rsidRDefault="00171BE8">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Director del Centro de Investigaciones Judiciales </w:t>
            </w:r>
            <w:r>
              <w:rPr>
                <w:rFonts w:ascii="Palatino Linotype" w:eastAsia="Palatino Linotype" w:hAnsi="Palatino Linotype" w:cs="Palatino Linotype"/>
                <w:b/>
                <w:color w:val="000000"/>
                <w:sz w:val="20"/>
                <w:szCs w:val="20"/>
                <w:u w:val="single"/>
              </w:rPr>
              <w:t>se encuentra impedido para subsanar incidentes</w:t>
            </w:r>
            <w:r>
              <w:rPr>
                <w:rFonts w:ascii="Palatino Linotype" w:eastAsia="Palatino Linotype" w:hAnsi="Palatino Linotype" w:cs="Palatino Linotype"/>
                <w:color w:val="000000"/>
                <w:sz w:val="20"/>
                <w:szCs w:val="20"/>
              </w:rPr>
              <w:t xml:space="preserve"> que se presenten durante el proceso de selección.</w:t>
            </w:r>
          </w:p>
          <w:p w:rsidR="00EF585D" w:rsidRDefault="00EF585D">
            <w:pPr>
              <w:spacing w:before="240" w:after="240"/>
              <w:jc w:val="both"/>
              <w:rPr>
                <w:rFonts w:ascii="Palatino Linotype" w:eastAsia="Palatino Linotype" w:hAnsi="Palatino Linotype" w:cs="Palatino Linotype"/>
                <w:b/>
                <w:color w:val="000000"/>
                <w:sz w:val="18"/>
                <w:szCs w:val="18"/>
              </w:rPr>
            </w:pPr>
          </w:p>
        </w:tc>
        <w:tc>
          <w:tcPr>
            <w:tcW w:w="2179" w:type="dxa"/>
          </w:tcPr>
          <w:p w:rsidR="00EF585D" w:rsidRDefault="00171BE8">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No presenta motivos de inconformidad.</w:t>
            </w:r>
          </w:p>
        </w:tc>
        <w:tc>
          <w:tcPr>
            <w:tcW w:w="2179" w:type="dxa"/>
            <w:vAlign w:val="center"/>
          </w:tcPr>
          <w:p w:rsidR="00EF585D" w:rsidRDefault="00171BE8">
            <w:pPr>
              <w:spacing w:before="240" w:after="240"/>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N/A</w:t>
            </w:r>
          </w:p>
        </w:tc>
      </w:tr>
      <w:tr w:rsidR="00EF585D">
        <w:tc>
          <w:tcPr>
            <w:tcW w:w="2291" w:type="dxa"/>
          </w:tcPr>
          <w:p w:rsidR="00EF585D" w:rsidRDefault="00171BE8">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2) Si el señalado Director de Investigaciones Judiciales, tiene </w:t>
            </w:r>
            <w:r>
              <w:rPr>
                <w:rFonts w:ascii="Palatino Linotype" w:eastAsia="Palatino Linotype" w:hAnsi="Palatino Linotype" w:cs="Palatino Linotype"/>
                <w:b/>
                <w:color w:val="000000"/>
                <w:sz w:val="20"/>
                <w:szCs w:val="20"/>
              </w:rPr>
              <w:lastRenderedPageBreak/>
              <w:t>facultades de manera unilateral e individual para dictaminar</w:t>
            </w:r>
            <w:r>
              <w:rPr>
                <w:rFonts w:ascii="Palatino Linotype" w:eastAsia="Palatino Linotype" w:hAnsi="Palatino Linotype" w:cs="Palatino Linotype"/>
                <w:color w:val="000000"/>
                <w:sz w:val="20"/>
                <w:szCs w:val="20"/>
              </w:rPr>
              <w:t>, ¿si el proyecto presentado por la suscrita era idóneo o no para participar en el proceso de selección de la convocatoria que nos ocupa?</w:t>
            </w:r>
          </w:p>
          <w:p w:rsidR="00EF585D" w:rsidRDefault="00171BE8">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color w:val="000000"/>
                <w:sz w:val="20"/>
                <w:szCs w:val="20"/>
              </w:rPr>
              <w:t xml:space="preserve"> ¿Si tenía facultades de emitir los resultados de manera anticipada a las fechas establecidas en el proceso de selección y dictaminar los proyectos participantes?</w:t>
            </w:r>
          </w:p>
        </w:tc>
        <w:tc>
          <w:tcPr>
            <w:tcW w:w="2179" w:type="dxa"/>
          </w:tcPr>
          <w:p w:rsidR="00EF585D" w:rsidRDefault="00171BE8">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 xml:space="preserve">En relación al numeral dos y de conformidad con la BASE III, inciso </w:t>
            </w:r>
            <w:r>
              <w:rPr>
                <w:rFonts w:ascii="Palatino Linotype" w:eastAsia="Palatino Linotype" w:hAnsi="Palatino Linotype" w:cs="Palatino Linotype"/>
                <w:color w:val="000000"/>
                <w:sz w:val="20"/>
                <w:szCs w:val="20"/>
              </w:rPr>
              <w:lastRenderedPageBreak/>
              <w:t>d), de la Convocatoria antes citada, l</w:t>
            </w:r>
            <w:r>
              <w:rPr>
                <w:rFonts w:ascii="Palatino Linotype" w:eastAsia="Palatino Linotype" w:hAnsi="Palatino Linotype" w:cs="Palatino Linotype"/>
                <w:b/>
                <w:color w:val="000000"/>
                <w:sz w:val="20"/>
                <w:szCs w:val="20"/>
                <w:u w:val="single"/>
              </w:rPr>
              <w:t>a evaluación del proyecto de los aspirantes que presentaron su documentación completa estuvo a cargo de un comité</w:t>
            </w:r>
            <w:r>
              <w:rPr>
                <w:rFonts w:ascii="Palatino Linotype" w:eastAsia="Palatino Linotype" w:hAnsi="Palatino Linotype" w:cs="Palatino Linotype"/>
                <w:color w:val="000000"/>
                <w:sz w:val="20"/>
                <w:szCs w:val="20"/>
              </w:rPr>
              <w:t xml:space="preserve"> formado por la Escuela Judicial, por lo que </w:t>
            </w:r>
            <w:r>
              <w:rPr>
                <w:rFonts w:ascii="Palatino Linotype" w:eastAsia="Palatino Linotype" w:hAnsi="Palatino Linotype" w:cs="Palatino Linotype"/>
                <w:b/>
                <w:color w:val="000000"/>
                <w:sz w:val="20"/>
                <w:szCs w:val="20"/>
                <w:u w:val="single"/>
              </w:rPr>
              <w:t>la dictaminación y selección de los trabajos enviados por los aspirantes derivó del análisis de dicho órgano colegiado</w:t>
            </w:r>
            <w:r>
              <w:rPr>
                <w:rFonts w:ascii="Palatino Linotype" w:eastAsia="Palatino Linotype" w:hAnsi="Palatino Linotype" w:cs="Palatino Linotype"/>
                <w:color w:val="000000"/>
                <w:sz w:val="20"/>
                <w:szCs w:val="20"/>
              </w:rPr>
              <w:t xml:space="preserve">; en este sentido, </w:t>
            </w:r>
            <w:r>
              <w:rPr>
                <w:rFonts w:ascii="Palatino Linotype" w:eastAsia="Palatino Linotype" w:hAnsi="Palatino Linotype" w:cs="Palatino Linotype"/>
                <w:b/>
                <w:color w:val="000000"/>
                <w:sz w:val="20"/>
                <w:szCs w:val="20"/>
                <w:u w:val="single"/>
              </w:rPr>
              <w:t>el Director del Centro de Investigaciones Judiciales no fungió como autoridad con facultades unilaterale</w:t>
            </w:r>
            <w:r>
              <w:rPr>
                <w:rFonts w:ascii="Palatino Linotype" w:eastAsia="Palatino Linotype" w:hAnsi="Palatino Linotype" w:cs="Palatino Linotype"/>
                <w:color w:val="000000"/>
                <w:sz w:val="20"/>
                <w:szCs w:val="20"/>
              </w:rPr>
              <w:t>s e individuales para dictaminar proyecto alguno.</w:t>
            </w:r>
          </w:p>
          <w:p w:rsidR="00EF585D" w:rsidRDefault="00171BE8">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En relación a si el proyecto que presentó era idóneo o no para participar en el proceso de selección, informo a Usted que la multicitada Convocatoria impone una serie de requisitos que deben acreditarse </w:t>
            </w:r>
            <w:r>
              <w:rPr>
                <w:rFonts w:ascii="Palatino Linotype" w:eastAsia="Palatino Linotype" w:hAnsi="Palatino Linotype" w:cs="Palatino Linotype"/>
                <w:color w:val="000000"/>
                <w:sz w:val="20"/>
                <w:szCs w:val="20"/>
              </w:rPr>
              <w:lastRenderedPageBreak/>
              <w:t>mediante el conjunto de documentos dispuestos en la BASE II, y cuyo incumplimiento comporta la descalificación automática de los participantes en términos de la BASE III, inciso e), último párrafo; de tal suerte que los aspirantes que subieron de manera incompleta los documentos al micrositio de página de la Escuela Judicial, quedaron descalificados automáticamente.</w:t>
            </w:r>
          </w:p>
          <w:p w:rsidR="00EF585D" w:rsidRDefault="00EF585D">
            <w:pPr>
              <w:spacing w:before="240" w:after="240"/>
              <w:jc w:val="both"/>
              <w:rPr>
                <w:rFonts w:ascii="Palatino Linotype" w:eastAsia="Palatino Linotype" w:hAnsi="Palatino Linotype" w:cs="Palatino Linotype"/>
                <w:color w:val="000000"/>
                <w:sz w:val="20"/>
                <w:szCs w:val="20"/>
              </w:rPr>
            </w:pPr>
          </w:p>
          <w:p w:rsidR="00EF585D" w:rsidRDefault="00171BE8">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Respecto a, si el Director del Centro de Investigaciones Judiciales tenía facultades de emitir los resultados de manera anticipada a las fechas establecidas en el proceso de selección, me permito reiterar a Usted que en términos de lo dispuesto por la Base III, de la Convocatoria a ocupar una plaza de </w:t>
            </w:r>
            <w:r>
              <w:rPr>
                <w:rFonts w:ascii="Palatino Linotype" w:eastAsia="Palatino Linotype" w:hAnsi="Palatino Linotype" w:cs="Palatino Linotype"/>
                <w:color w:val="000000"/>
                <w:sz w:val="20"/>
                <w:szCs w:val="20"/>
              </w:rPr>
              <w:lastRenderedPageBreak/>
              <w:t>Investigador de Tiempo Completo adscrito al Centro de</w:t>
            </w:r>
          </w:p>
          <w:p w:rsidR="00EF585D" w:rsidRDefault="00171BE8">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Investigaciones Judiciales de la Escuela Judicial del Estado de México, publicada en el Periódico Oficial "Gaceta del</w:t>
            </w:r>
          </w:p>
          <w:p w:rsidR="00EF585D" w:rsidRDefault="00171BE8">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Gobierno" el día 23 de agosto de la anualidad, la autoridad facultada para resolver todo lo no previsto en esta Convocatoria es el Director General Adjunto de la Escuela Judicial, por lo que el Director del Centro de Investigaciones Judiciales se encontró impedido para emitir dicha publicación, motivo por el cual, ésta fue realizada por la autoridad competente, misma</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color w:val="000000"/>
                <w:sz w:val="20"/>
                <w:szCs w:val="20"/>
              </w:rPr>
              <w:t>que por sí no causa afectación alguna.</w:t>
            </w:r>
          </w:p>
        </w:tc>
        <w:tc>
          <w:tcPr>
            <w:tcW w:w="2179" w:type="dxa"/>
          </w:tcPr>
          <w:p w:rsidR="00EF585D" w:rsidRDefault="00171BE8">
            <w:pP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No presenta motivos de inconformidad.</w:t>
            </w:r>
          </w:p>
        </w:tc>
        <w:tc>
          <w:tcPr>
            <w:tcW w:w="2179" w:type="dxa"/>
            <w:vAlign w:val="center"/>
          </w:tcPr>
          <w:p w:rsidR="00EF585D" w:rsidRDefault="00171BE8">
            <w:pPr>
              <w:spacing w:before="240" w:after="240"/>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N/A</w:t>
            </w:r>
          </w:p>
        </w:tc>
      </w:tr>
      <w:tr w:rsidR="00EF585D">
        <w:tc>
          <w:tcPr>
            <w:tcW w:w="2291" w:type="dxa"/>
          </w:tcPr>
          <w:p w:rsidR="00EF585D" w:rsidRDefault="00171BE8">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color w:val="000000"/>
                <w:sz w:val="20"/>
                <w:szCs w:val="20"/>
              </w:rPr>
              <w:lastRenderedPageBreak/>
              <w:t xml:space="preserve">3) ¿Por qué el folio de pre-registro número 42986/2021, de la tanta veces mencionada convocatoria no me permitió el acceso para </w:t>
            </w:r>
            <w:r>
              <w:rPr>
                <w:rFonts w:ascii="Palatino Linotype" w:eastAsia="Palatino Linotype" w:hAnsi="Palatino Linotype" w:cs="Palatino Linotype"/>
                <w:color w:val="000000"/>
                <w:sz w:val="20"/>
                <w:szCs w:val="20"/>
              </w:rPr>
              <w:lastRenderedPageBreak/>
              <w:t>realizar los trámites correspondientes?</w:t>
            </w:r>
          </w:p>
        </w:tc>
        <w:tc>
          <w:tcPr>
            <w:tcW w:w="2179" w:type="dxa"/>
          </w:tcPr>
          <w:p w:rsidR="00EF585D" w:rsidRDefault="00171BE8">
            <w:pPr>
              <w:spacing w:before="240" w:after="240"/>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color w:val="000000"/>
                <w:sz w:val="20"/>
                <w:szCs w:val="20"/>
              </w:rPr>
              <w:lastRenderedPageBreak/>
              <w:t xml:space="preserve">El tiempo de pre-registro fue excedido, pues no se completó el llenado de la información sino hasta tres horas después de </w:t>
            </w:r>
            <w:r>
              <w:rPr>
                <w:rFonts w:ascii="Palatino Linotype" w:eastAsia="Palatino Linotype" w:hAnsi="Palatino Linotype" w:cs="Palatino Linotype"/>
                <w:color w:val="000000"/>
                <w:sz w:val="20"/>
                <w:szCs w:val="20"/>
              </w:rPr>
              <w:lastRenderedPageBreak/>
              <w:t>haber iniciado el trámite; por lo que el folio no quedó registrado adecuadamente en la base de datos, en consecuencia, al ingresar con él para adjuntar los documentos, el sistema mostró el mensaje "No existen datos para el folio ingresado, verifique su información".</w:t>
            </w:r>
          </w:p>
        </w:tc>
        <w:tc>
          <w:tcPr>
            <w:tcW w:w="2179" w:type="dxa"/>
          </w:tcPr>
          <w:p w:rsidR="00EF585D" w:rsidRDefault="00171BE8">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u w:val="single"/>
              </w:rPr>
              <w:lastRenderedPageBreak/>
              <w:t>Resulta falsa la información emitida</w:t>
            </w:r>
            <w:r>
              <w:rPr>
                <w:rFonts w:ascii="Palatino Linotype" w:eastAsia="Palatino Linotype" w:hAnsi="Palatino Linotype" w:cs="Palatino Linotype"/>
                <w:color w:val="000000"/>
                <w:sz w:val="20"/>
                <w:szCs w:val="20"/>
              </w:rPr>
              <w:t xml:space="preserve"> por el Mencionado Director General Adjunto de la Escuela </w:t>
            </w:r>
            <w:r>
              <w:rPr>
                <w:rFonts w:ascii="Palatino Linotype" w:eastAsia="Palatino Linotype" w:hAnsi="Palatino Linotype" w:cs="Palatino Linotype"/>
                <w:color w:val="000000"/>
                <w:sz w:val="20"/>
                <w:szCs w:val="20"/>
              </w:rPr>
              <w:lastRenderedPageBreak/>
              <w:t>Judicial del Estado de México</w:t>
            </w:r>
            <w:r>
              <w:rPr>
                <w:rFonts w:ascii="Palatino Linotype" w:eastAsia="Palatino Linotype" w:hAnsi="Palatino Linotype" w:cs="Palatino Linotype"/>
                <w:sz w:val="20"/>
                <w:szCs w:val="20"/>
              </w:rPr>
              <w:t xml:space="preserve">. </w:t>
            </w:r>
          </w:p>
        </w:tc>
        <w:tc>
          <w:tcPr>
            <w:tcW w:w="2179" w:type="dxa"/>
            <w:vAlign w:val="center"/>
          </w:tcPr>
          <w:p w:rsidR="00EF585D" w:rsidRDefault="00171BE8">
            <w:pPr>
              <w:spacing w:before="240" w:after="240"/>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 xml:space="preserve">Confirma su respuesta inicial </w:t>
            </w:r>
          </w:p>
        </w:tc>
      </w:tr>
      <w:tr w:rsidR="00EF585D">
        <w:tc>
          <w:tcPr>
            <w:tcW w:w="2291" w:type="dxa"/>
          </w:tcPr>
          <w:p w:rsidR="00EF585D" w:rsidRDefault="00171BE8">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color w:val="000000"/>
                <w:sz w:val="20"/>
                <w:szCs w:val="20"/>
              </w:rPr>
              <w:t>4) ¿Por qué el folio de pre-registro número 44400/2021, de la mencionada convocatoria, no me permitió el acceso para realizar los trámites correspondientes?</w:t>
            </w:r>
          </w:p>
        </w:tc>
        <w:tc>
          <w:tcPr>
            <w:tcW w:w="2179" w:type="dxa"/>
          </w:tcPr>
          <w:p w:rsidR="00EF585D" w:rsidRDefault="00171BE8">
            <w:pPr>
              <w:spacing w:before="240" w:after="240"/>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color w:val="000000"/>
                <w:sz w:val="20"/>
                <w:szCs w:val="20"/>
              </w:rPr>
              <w:t xml:space="preserve">El folio en mención, se encontró registrado y activado correctamente, sin embargo, inició el registro de su documentación el día 11 de octubre del presente a las 11:47 horas y el sistema cerró automáticamente a las 12:00 horas por así establecerlo la Convocatoria de mérito. Merece la pena advertir que el sistema de registro funcionó correctamente pues pudieron hacer uso del mismo 24 aspirantes más de los cuales ninguno reportó </w:t>
            </w:r>
            <w:r>
              <w:rPr>
                <w:rFonts w:ascii="Palatino Linotype" w:eastAsia="Palatino Linotype" w:hAnsi="Palatino Linotype" w:cs="Palatino Linotype"/>
                <w:color w:val="000000"/>
                <w:sz w:val="20"/>
                <w:szCs w:val="20"/>
              </w:rPr>
              <w:lastRenderedPageBreak/>
              <w:t>incidentes durante su inscripción. Es importante advertir que, en el escrito del 15 de noviembre, se menciona que procedió a subsanar las omisiones en cuanto a la presentación de los documentos apenas el sistema se lo notificó, pero</w:t>
            </w:r>
            <w:r>
              <w:rPr>
                <w:rFonts w:ascii="Palatino Linotype" w:eastAsia="Palatino Linotype" w:hAnsi="Palatino Linotype" w:cs="Palatino Linotype"/>
                <w:b/>
                <w:color w:val="000000"/>
                <w:sz w:val="20"/>
                <w:szCs w:val="20"/>
                <w:u w:val="single"/>
              </w:rPr>
              <w:t xml:space="preserve"> se aclara que entonces estaba fuera del plazo establecido en la Convocatoria para presentar los documentos, es decir, estaba en condición EXTEMPORÁNEA</w:t>
            </w:r>
            <w:r>
              <w:rPr>
                <w:rFonts w:ascii="Palatino Linotype" w:eastAsia="Palatino Linotype" w:hAnsi="Palatino Linotype" w:cs="Palatino Linotype"/>
                <w:color w:val="000000"/>
                <w:sz w:val="20"/>
                <w:szCs w:val="20"/>
              </w:rPr>
              <w:t>, siendo que el plazo de recepción de documentos fue el mismo para todos los aspirantes.</w:t>
            </w:r>
          </w:p>
        </w:tc>
        <w:tc>
          <w:tcPr>
            <w:tcW w:w="2179" w:type="dxa"/>
          </w:tcPr>
          <w:p w:rsidR="00EF585D" w:rsidRDefault="00171BE8">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 xml:space="preserve">La veracidad de la información, toda vez que la </w:t>
            </w:r>
            <w:r>
              <w:rPr>
                <w:rFonts w:ascii="Palatino Linotype" w:eastAsia="Palatino Linotype" w:hAnsi="Palatino Linotype" w:cs="Palatino Linotype"/>
                <w:b/>
                <w:color w:val="000000"/>
                <w:sz w:val="20"/>
                <w:szCs w:val="20"/>
              </w:rPr>
              <w:t xml:space="preserve">RECURRENTE </w:t>
            </w:r>
            <w:r>
              <w:rPr>
                <w:rFonts w:ascii="Palatino Linotype" w:eastAsia="Palatino Linotype" w:hAnsi="Palatino Linotype" w:cs="Palatino Linotype"/>
                <w:color w:val="000000"/>
                <w:sz w:val="20"/>
                <w:szCs w:val="20"/>
              </w:rPr>
              <w:t>refirió en lo medular lo siguiente: al parecer el Señor Director General Adjunto de la Escuela Judicial del Estado de México, selecciona información para dar una respuesta a modo.</w:t>
            </w:r>
          </w:p>
        </w:tc>
        <w:tc>
          <w:tcPr>
            <w:tcW w:w="2179" w:type="dxa"/>
            <w:vAlign w:val="center"/>
          </w:tcPr>
          <w:p w:rsidR="00EF585D" w:rsidRDefault="00171BE8">
            <w:pPr>
              <w:spacing w:before="240" w:after="240"/>
              <w:jc w:val="center"/>
              <w:rPr>
                <w:rFonts w:ascii="Palatino Linotype" w:eastAsia="Palatino Linotype" w:hAnsi="Palatino Linotype" w:cs="Palatino Linotype"/>
                <w:color w:val="000000"/>
                <w:sz w:val="20"/>
                <w:szCs w:val="20"/>
                <w:highlight w:val="yellow"/>
              </w:rPr>
            </w:pPr>
            <w:r>
              <w:rPr>
                <w:rFonts w:ascii="Palatino Linotype" w:eastAsia="Palatino Linotype" w:hAnsi="Palatino Linotype" w:cs="Palatino Linotype"/>
                <w:color w:val="000000"/>
                <w:sz w:val="20"/>
                <w:szCs w:val="20"/>
              </w:rPr>
              <w:t xml:space="preserve">Confirma su respuesta inicial </w:t>
            </w:r>
          </w:p>
        </w:tc>
      </w:tr>
      <w:tr w:rsidR="00EF585D">
        <w:tc>
          <w:tcPr>
            <w:tcW w:w="2291" w:type="dxa"/>
          </w:tcPr>
          <w:p w:rsidR="00EF585D" w:rsidRDefault="00171BE8">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color w:val="000000"/>
                <w:sz w:val="20"/>
                <w:szCs w:val="20"/>
              </w:rPr>
              <w:t xml:space="preserve">5) Información de los integrantes que conformaron la Comisión Dictaminadora para evaluar los proyectos de investigación presentados por motivo de la convocatoria en cuestión, dichos datos deben ser referentes a: Su Grado Académico, Experiencia Laboral, </w:t>
            </w:r>
            <w:r>
              <w:rPr>
                <w:rFonts w:ascii="Palatino Linotype" w:eastAsia="Palatino Linotype" w:hAnsi="Palatino Linotype" w:cs="Palatino Linotype"/>
                <w:color w:val="000000"/>
                <w:sz w:val="20"/>
                <w:szCs w:val="20"/>
              </w:rPr>
              <w:lastRenderedPageBreak/>
              <w:t>Antigüedad en investigación, desempeño y experiencia en dictámenes de Proyectos de Investigación.</w:t>
            </w:r>
          </w:p>
        </w:tc>
        <w:tc>
          <w:tcPr>
            <w:tcW w:w="2179" w:type="dxa"/>
          </w:tcPr>
          <w:p w:rsidR="00EF585D" w:rsidRDefault="00171BE8">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 xml:space="preserve">De la Convocatoria a ocupar una plaza de Investigador de Tiempo Completo adscrito al Centro de Investigaciones Judiciales de la Escuela Judicial del Estado de México publicada en el Periódico Oficial "Gaceta del Gobierno" el día 23 de agosto de la anualidad, no se </w:t>
            </w:r>
            <w:r>
              <w:rPr>
                <w:rFonts w:ascii="Palatino Linotype" w:eastAsia="Palatino Linotype" w:hAnsi="Palatino Linotype" w:cs="Palatino Linotype"/>
                <w:color w:val="000000"/>
                <w:sz w:val="20"/>
                <w:szCs w:val="20"/>
              </w:rPr>
              <w:lastRenderedPageBreak/>
              <w:t xml:space="preserve">desprende la existencia de Comisión alguna, por lo que no se cuentan con datos existentes sobre los posibles integrantes de la misma. </w:t>
            </w:r>
          </w:p>
          <w:p w:rsidR="00EF585D" w:rsidRDefault="00171BE8">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No obstante, así mismo se considera información confidencial, la clasificada como tal, de manera permanente, por su naturaleza, cuando se refiera a la información privada y los datos personales concernientes a una persona física o </w:t>
            </w:r>
            <w:r>
              <w:rPr>
                <w:rFonts w:ascii="Palatino Linotype" w:eastAsia="Palatino Linotype" w:hAnsi="Palatino Linotype" w:cs="Palatino Linotype"/>
                <w:sz w:val="20"/>
                <w:szCs w:val="20"/>
              </w:rPr>
              <w:t>jurídica</w:t>
            </w:r>
            <w:r>
              <w:rPr>
                <w:rFonts w:ascii="Palatino Linotype" w:eastAsia="Palatino Linotype" w:hAnsi="Palatino Linotype" w:cs="Palatino Linotype"/>
                <w:color w:val="000000"/>
                <w:sz w:val="20"/>
                <w:szCs w:val="20"/>
              </w:rPr>
              <w:t xml:space="preserve"> colectiva identificada o identificable.</w:t>
            </w:r>
          </w:p>
        </w:tc>
        <w:tc>
          <w:tcPr>
            <w:tcW w:w="2179" w:type="dxa"/>
          </w:tcPr>
          <w:p w:rsidR="00EF585D" w:rsidRDefault="00171BE8">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 xml:space="preserve">Respecto a este punto cabe señalar que la suscrita no ésta solicitando información que pudiera clasificarse como reservada, ni tampoco ésta solicitando información que comprometa la seguridad pública de las personas en </w:t>
            </w:r>
            <w:r>
              <w:rPr>
                <w:rFonts w:ascii="Palatino Linotype" w:eastAsia="Palatino Linotype" w:hAnsi="Palatino Linotype" w:cs="Palatino Linotype"/>
                <w:color w:val="000000"/>
                <w:sz w:val="20"/>
                <w:szCs w:val="20"/>
              </w:rPr>
              <w:lastRenderedPageBreak/>
              <w:t xml:space="preserve">cuestión, mucho menos se ha solicitado información ponga en peligro la integridad de los derechos de las personas, ni tampoco se ha solicitado información que ataque la moral, la vida privada o los derechos de terceros, simplemente es conocer información que es considerada </w:t>
            </w:r>
            <w:r>
              <w:rPr>
                <w:rFonts w:ascii="Palatino Linotype" w:eastAsia="Palatino Linotype" w:hAnsi="Palatino Linotype" w:cs="Palatino Linotype"/>
                <w:sz w:val="20"/>
                <w:szCs w:val="20"/>
              </w:rPr>
              <w:t>pública</w:t>
            </w:r>
            <w:r>
              <w:rPr>
                <w:rFonts w:ascii="Palatino Linotype" w:eastAsia="Palatino Linotype" w:hAnsi="Palatino Linotype" w:cs="Palatino Linotype"/>
                <w:color w:val="000000"/>
                <w:sz w:val="20"/>
                <w:szCs w:val="20"/>
              </w:rPr>
              <w:t xml:space="preserve"> puesto que lo que la suscrita ésta solicitando es: ¿cuál es el</w:t>
            </w:r>
          </w:p>
          <w:p w:rsidR="00EF585D" w:rsidRDefault="00171BE8">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grado académico? información misma que es de carácter público, toda vez que dicha información la podemos encontrar en el registro relativo al ejercicio de las funciones profesionales, en donde uno de los principales objetivos de la Ley Reglamentaria del Ejercicio de Profesiones, es autorizar el ejercicio de una o varias especialidades, </w:t>
            </w:r>
            <w:r>
              <w:rPr>
                <w:rFonts w:ascii="Palatino Linotype" w:eastAsia="Palatino Linotype" w:hAnsi="Palatino Linotype" w:cs="Palatino Linotype"/>
                <w:color w:val="000000"/>
                <w:sz w:val="20"/>
                <w:szCs w:val="20"/>
              </w:rPr>
              <w:lastRenderedPageBreak/>
              <w:t>debiendo comprobarse previamente que dicha persona ha obtenido un título relativo de una profesión y comprobar en forma idónea, haber realizados estudios especiales de perfeccionamiento técnico científico, en la ciencia o rama de la ciencia que se trate.</w:t>
            </w:r>
          </w:p>
        </w:tc>
        <w:tc>
          <w:tcPr>
            <w:tcW w:w="2179" w:type="dxa"/>
          </w:tcPr>
          <w:p w:rsidR="00EF585D" w:rsidRDefault="00171BE8">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sz w:val="20"/>
                <w:szCs w:val="20"/>
              </w:rPr>
              <w:lastRenderedPageBreak/>
              <w:t>Reiteró</w:t>
            </w:r>
            <w:r>
              <w:rPr>
                <w:rFonts w:ascii="Palatino Linotype" w:eastAsia="Palatino Linotype" w:hAnsi="Palatino Linotype" w:cs="Palatino Linotype"/>
                <w:color w:val="000000"/>
                <w:sz w:val="20"/>
                <w:szCs w:val="20"/>
              </w:rPr>
              <w:t xml:space="preserve"> que no se desprende la existencia de Comisión alguna, por lo que no se cuentan con datos existentes sobre los posibles integrantes de la</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color w:val="000000"/>
                <w:sz w:val="20"/>
                <w:szCs w:val="20"/>
              </w:rPr>
              <w:t>misma.</w:t>
            </w:r>
          </w:p>
          <w:p w:rsidR="00EF585D" w:rsidRDefault="00171BE8">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 xml:space="preserve">No obstante, a lo anterior, informo que en términos de lo dispuesto por la BASE </w:t>
            </w:r>
            <w:r>
              <w:rPr>
                <w:rFonts w:ascii="Palatino Linotype" w:eastAsia="Palatino Linotype" w:hAnsi="Palatino Linotype" w:cs="Palatino Linotype"/>
                <w:color w:val="000000"/>
                <w:sz w:val="20"/>
                <w:szCs w:val="20"/>
              </w:rPr>
              <w:lastRenderedPageBreak/>
              <w:t xml:space="preserve">III, inciso e), de la multicitada Convocatoria, la revisión de los proyectos de investigación </w:t>
            </w:r>
            <w:r>
              <w:rPr>
                <w:rFonts w:ascii="Palatino Linotype" w:eastAsia="Palatino Linotype" w:hAnsi="Palatino Linotype" w:cs="Palatino Linotype"/>
                <w:b/>
                <w:color w:val="000000"/>
                <w:sz w:val="20"/>
                <w:szCs w:val="20"/>
                <w:u w:val="single"/>
              </w:rPr>
              <w:t>estuvo a cargo de un Comité formado por la Escuela Judicia</w:t>
            </w:r>
            <w:r>
              <w:rPr>
                <w:rFonts w:ascii="Palatino Linotype" w:eastAsia="Palatino Linotype" w:hAnsi="Palatino Linotype" w:cs="Palatino Linotype"/>
                <w:color w:val="000000"/>
                <w:sz w:val="20"/>
                <w:szCs w:val="20"/>
              </w:rPr>
              <w:t>l, mismo que se conformó por</w:t>
            </w:r>
            <w:r>
              <w:rPr>
                <w:rFonts w:ascii="Palatino Linotype" w:eastAsia="Palatino Linotype" w:hAnsi="Palatino Linotype" w:cs="Palatino Linotype"/>
                <w:sz w:val="20"/>
                <w:szCs w:val="20"/>
              </w:rPr>
              <w:t xml:space="preserve">: </w:t>
            </w:r>
          </w:p>
          <w:p w:rsidR="00EF585D" w:rsidRDefault="00171BE8">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color w:val="000000"/>
                <w:sz w:val="20"/>
                <w:szCs w:val="20"/>
              </w:rPr>
              <w:t>Ramón Ortega García, Enrique Uribe Arzate y Rodrigo Brito Melgarejo</w:t>
            </w:r>
          </w:p>
          <w:p w:rsidR="00EF585D" w:rsidRDefault="00171BE8">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sz w:val="20"/>
                <w:szCs w:val="20"/>
              </w:rPr>
              <w:t>D</w:t>
            </w:r>
            <w:r>
              <w:rPr>
                <w:rFonts w:ascii="Palatino Linotype" w:eastAsia="Palatino Linotype" w:hAnsi="Palatino Linotype" w:cs="Palatino Linotype"/>
                <w:color w:val="000000"/>
                <w:sz w:val="20"/>
                <w:szCs w:val="20"/>
              </w:rPr>
              <w:t xml:space="preserve">e los cuales </w:t>
            </w:r>
            <w:r>
              <w:rPr>
                <w:rFonts w:ascii="Palatino Linotype" w:eastAsia="Palatino Linotype" w:hAnsi="Palatino Linotype" w:cs="Palatino Linotype"/>
                <w:sz w:val="20"/>
                <w:szCs w:val="20"/>
              </w:rPr>
              <w:t>remitió</w:t>
            </w:r>
            <w:r>
              <w:rPr>
                <w:rFonts w:ascii="Palatino Linotype" w:eastAsia="Palatino Linotype" w:hAnsi="Palatino Linotype" w:cs="Palatino Linotype"/>
                <w:color w:val="000000"/>
                <w:sz w:val="20"/>
                <w:szCs w:val="20"/>
              </w:rPr>
              <w:t xml:space="preserve"> sus </w:t>
            </w:r>
            <w:r>
              <w:rPr>
                <w:rFonts w:ascii="Palatino Linotype" w:eastAsia="Palatino Linotype" w:hAnsi="Palatino Linotype" w:cs="Palatino Linotype"/>
                <w:sz w:val="20"/>
                <w:szCs w:val="20"/>
              </w:rPr>
              <w:t xml:space="preserve">semblanzas curriculares de las cuales </w:t>
            </w:r>
            <w:r>
              <w:rPr>
                <w:rFonts w:ascii="Palatino Linotype" w:eastAsia="Palatino Linotype" w:hAnsi="Palatino Linotype" w:cs="Palatino Linotype"/>
                <w:color w:val="000000"/>
                <w:sz w:val="20"/>
                <w:szCs w:val="20"/>
              </w:rPr>
              <w:t xml:space="preserve"> se desprende información referente a su grado académico, experiencia laboral, antigüedad en investigación, desempeño y experiencia en dictámenes de proyectos de investigación.</w:t>
            </w:r>
          </w:p>
        </w:tc>
      </w:tr>
      <w:tr w:rsidR="00EF585D">
        <w:tc>
          <w:tcPr>
            <w:tcW w:w="2291" w:type="dxa"/>
          </w:tcPr>
          <w:p w:rsidR="00EF585D" w:rsidRDefault="00171BE8">
            <w:pPr>
              <w:spacing w:before="240" w:after="240"/>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color w:val="000000"/>
                <w:sz w:val="20"/>
                <w:szCs w:val="20"/>
              </w:rPr>
              <w:lastRenderedPageBreak/>
              <w:t>6) Copia certificada del oficio de evaluación y Dictamen del proyecto denominado "Fortalecimiento de Carrera Judicial en México" presentado por la suscrita, emitido por la Comisión Dictaminadora.</w:t>
            </w:r>
          </w:p>
        </w:tc>
        <w:tc>
          <w:tcPr>
            <w:tcW w:w="2179" w:type="dxa"/>
          </w:tcPr>
          <w:p w:rsidR="00EF585D" w:rsidRDefault="00171BE8">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Le informó que una vez actualizada la descalificación correspondiente, era del todo inconsecuente que el proyecto antes referido fuese revisado y evaluado por el comité formado por la Escuela Judicial en términos del inciso d) de la Base III , "PROCESO DE SELECCIÓN", de la Convocatoria, dado que dicho cuerpo debía revisar únicamente el proyecto de investigación de aquellos aspirantes que hubiesen presentado su documentación de manera completa y </w:t>
            </w:r>
            <w:r>
              <w:rPr>
                <w:rFonts w:ascii="Palatino Linotype" w:eastAsia="Palatino Linotype" w:hAnsi="Palatino Linotype" w:cs="Palatino Linotype"/>
                <w:color w:val="000000"/>
                <w:sz w:val="20"/>
                <w:szCs w:val="20"/>
              </w:rPr>
              <w:lastRenderedPageBreak/>
              <w:t>correcta, por ende, no existe el documento requerido. aunado a lo anterior, derivado de las atribuciones que la Ley Orgánica del Poder Judicial del Estado de México, así como del Reglamento de la Escuela</w:t>
            </w:r>
          </w:p>
          <w:p w:rsidR="00EF585D" w:rsidRDefault="00171BE8">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Judicial del Estado de México, y la multicitada Convocatoria, imponen a esta institución educativa, no se desprende la de expedir copias certificadas de ninguna índole, motivo por el cual esta Escuela Judicial del Estado de México se encuentra impedida para obsequiar lo solicitado.</w:t>
            </w:r>
          </w:p>
        </w:tc>
        <w:tc>
          <w:tcPr>
            <w:tcW w:w="2179" w:type="dxa"/>
          </w:tcPr>
          <w:p w:rsidR="00EF585D" w:rsidRDefault="00171BE8">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 xml:space="preserve">No </w:t>
            </w:r>
            <w:r>
              <w:rPr>
                <w:rFonts w:ascii="Palatino Linotype" w:eastAsia="Palatino Linotype" w:hAnsi="Palatino Linotype" w:cs="Palatino Linotype"/>
                <w:sz w:val="20"/>
                <w:szCs w:val="20"/>
              </w:rPr>
              <w:t>presentó</w:t>
            </w:r>
            <w:r>
              <w:rPr>
                <w:rFonts w:ascii="Palatino Linotype" w:eastAsia="Palatino Linotype" w:hAnsi="Palatino Linotype" w:cs="Palatino Linotype"/>
                <w:color w:val="000000"/>
                <w:sz w:val="20"/>
                <w:szCs w:val="20"/>
              </w:rPr>
              <w:t xml:space="preserve"> inconformidad</w:t>
            </w:r>
          </w:p>
        </w:tc>
        <w:tc>
          <w:tcPr>
            <w:tcW w:w="2179" w:type="dxa"/>
            <w:vAlign w:val="center"/>
          </w:tcPr>
          <w:p w:rsidR="00EF585D" w:rsidRDefault="00171BE8">
            <w:pPr>
              <w:spacing w:before="240" w:after="240"/>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N/A</w:t>
            </w:r>
          </w:p>
        </w:tc>
      </w:tr>
      <w:tr w:rsidR="00EF585D">
        <w:tc>
          <w:tcPr>
            <w:tcW w:w="2291" w:type="dxa"/>
          </w:tcPr>
          <w:p w:rsidR="00EF585D" w:rsidRDefault="00171BE8">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7. </w:t>
            </w:r>
          </w:p>
        </w:tc>
        <w:tc>
          <w:tcPr>
            <w:tcW w:w="2179" w:type="dxa"/>
          </w:tcPr>
          <w:p w:rsidR="00EF585D" w:rsidRDefault="00EF585D">
            <w:pPr>
              <w:spacing w:before="240" w:after="240"/>
              <w:jc w:val="both"/>
              <w:rPr>
                <w:rFonts w:ascii="Palatino Linotype" w:eastAsia="Palatino Linotype" w:hAnsi="Palatino Linotype" w:cs="Palatino Linotype"/>
                <w:color w:val="000000"/>
                <w:sz w:val="20"/>
                <w:szCs w:val="20"/>
              </w:rPr>
            </w:pPr>
          </w:p>
        </w:tc>
        <w:tc>
          <w:tcPr>
            <w:tcW w:w="2179" w:type="dxa"/>
          </w:tcPr>
          <w:p w:rsidR="00EF585D" w:rsidRDefault="00171BE8">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 "porqué a otras personas si /es funciono el uso de su folio de preinscripción y a la suscrita no (sic)" </w:t>
            </w:r>
          </w:p>
          <w:p w:rsidR="00EF585D" w:rsidRDefault="00171BE8">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"Así mismo solicito para acreditar este hecho se me informe de que sistema </w:t>
            </w:r>
            <w:r>
              <w:rPr>
                <w:rFonts w:ascii="Palatino Linotype" w:eastAsia="Palatino Linotype" w:hAnsi="Palatino Linotype" w:cs="Palatino Linotype"/>
                <w:color w:val="000000"/>
                <w:sz w:val="20"/>
                <w:szCs w:val="20"/>
              </w:rPr>
              <w:lastRenderedPageBreak/>
              <w:t>electrónico IP, se envió la documentación, en virtud del seguimiento puntual de la dirección /P (sic)"</w:t>
            </w:r>
          </w:p>
        </w:tc>
        <w:tc>
          <w:tcPr>
            <w:tcW w:w="2179" w:type="dxa"/>
          </w:tcPr>
          <w:p w:rsidR="00EF585D" w:rsidRDefault="00171BE8">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 xml:space="preserve">No se incorporan en los supuestos descritos en el artículo 179, fracciones VI, VIl y IX, de la Ley de Transparencia antes citada, por virtud de entregarse la información requerida, correspondiente a la </w:t>
            </w:r>
            <w:r>
              <w:rPr>
                <w:rFonts w:ascii="Palatino Linotype" w:eastAsia="Palatino Linotype" w:hAnsi="Palatino Linotype" w:cs="Palatino Linotype"/>
                <w:color w:val="000000"/>
                <w:sz w:val="20"/>
                <w:szCs w:val="20"/>
              </w:rPr>
              <w:lastRenderedPageBreak/>
              <w:t>solicitud de origen, así como en formato comprensible y accesible a la solicitante, por lo que dichas premisas, son materia de actos jurídicos diversos al que nos ocupa.</w:t>
            </w:r>
          </w:p>
        </w:tc>
      </w:tr>
    </w:tbl>
    <w:p w:rsidR="00EF585D" w:rsidRDefault="00EF585D">
      <w:pPr>
        <w:spacing w:line="360" w:lineRule="auto"/>
        <w:jc w:val="both"/>
        <w:rPr>
          <w:rFonts w:ascii="Palatino Linotype" w:eastAsia="Palatino Linotype" w:hAnsi="Palatino Linotype" w:cs="Palatino Linotype"/>
          <w:color w:val="000000"/>
        </w:rPr>
      </w:pPr>
    </w:p>
    <w:p w:rsidR="00EF585D" w:rsidRDefault="00171BE8">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resulta oportuno mencionar que de los motivos de inconformidad, se advierte que, la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solo se inconforma, por los puntos 3), 4) y 5) por consiguiente, la parte de la respuesta que no fue impugnada debe declararse consentida por la hoy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en razón de que no se realizaron manifestaciones de inconformidad a los puntos 1), 2) y 6), por lo que no pueden producirse efectos jurídicos tendentes a revocar, confirmar o modificar el acto reclamado ya que se infiere un consentimiento de la</w:t>
      </w:r>
      <w:r>
        <w:rPr>
          <w:rFonts w:ascii="Palatino Linotype" w:eastAsia="Palatino Linotype" w:hAnsi="Palatino Linotype" w:cs="Palatino Linotype"/>
          <w:b/>
          <w:color w:val="000000"/>
          <w:sz w:val="24"/>
          <w:szCs w:val="24"/>
        </w:rPr>
        <w:t xml:space="preserve"> RECURRENTE</w:t>
      </w:r>
      <w:r>
        <w:rPr>
          <w:rFonts w:ascii="Palatino Linotype" w:eastAsia="Palatino Linotype" w:hAnsi="Palatino Linotype" w:cs="Palatino Linotype"/>
          <w:color w:val="000000"/>
          <w:sz w:val="24"/>
          <w:szCs w:val="24"/>
        </w:rPr>
        <w:t xml:space="preserve"> ante la falta de impugnación eficaz. </w:t>
      </w:r>
    </w:p>
    <w:p w:rsidR="00EF585D" w:rsidRDefault="00171BE8">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Sirve de sustento a lo anterior, por analogía, la tesis jurisprudencial número VI.3o.C. J/60, publicada en el Semanario Judicial de la Federación y su Gaceta bajo el número de registro 176,608 que a la letra dice:</w:t>
      </w:r>
    </w:p>
    <w:p w:rsidR="00EF585D" w:rsidRDefault="00171BE8">
      <w:pPr>
        <w:shd w:val="clear" w:color="auto" w:fill="FFFFFF"/>
        <w:spacing w:before="120" w:after="120" w:line="276" w:lineRule="auto"/>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ACTOS CONSENTIDOS. SON LOS QUE NO SE IMPUGNAN MEDIANTE EL RECURSO IDÓNEO</w:t>
      </w:r>
      <w:r>
        <w:rPr>
          <w:rFonts w:ascii="Palatino Linotype" w:eastAsia="Palatino Linotype" w:hAnsi="Palatino Linotype" w:cs="Palatino Linotype"/>
          <w:i/>
          <w:color w:val="000000"/>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w:t>
      </w:r>
      <w:r>
        <w:rPr>
          <w:rFonts w:ascii="Palatino Linotype" w:eastAsia="Palatino Linotype" w:hAnsi="Palatino Linotype" w:cs="Palatino Linotype"/>
          <w:i/>
          <w:color w:val="000000"/>
        </w:rPr>
        <w:lastRenderedPageBreak/>
        <w:t>modificar el acto reclamado en amparo, lo que significa consentimiento del mismo por falta de impugnación eficaz.”</w:t>
      </w:r>
    </w:p>
    <w:p w:rsidR="00EF585D" w:rsidRDefault="00171BE8">
      <w:pPr>
        <w:spacing w:before="280"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Lo anterior es así, debido a que, cuando la </w:t>
      </w:r>
      <w:r>
        <w:rPr>
          <w:rFonts w:ascii="Palatino Linotype" w:eastAsia="Palatino Linotype" w:hAnsi="Palatino Linotype" w:cs="Palatino Linotype"/>
          <w:b/>
          <w:color w:val="000000"/>
          <w:sz w:val="24"/>
          <w:szCs w:val="24"/>
        </w:rPr>
        <w:t xml:space="preserve">RECURRENTE </w:t>
      </w:r>
      <w:r>
        <w:rPr>
          <w:rFonts w:ascii="Palatino Linotype" w:eastAsia="Palatino Linotype" w:hAnsi="Palatino Linotype" w:cs="Palatino Linotype"/>
          <w:color w:val="000000"/>
          <w:sz w:val="24"/>
          <w:szCs w:val="24"/>
        </w:rPr>
        <w:t xml:space="preserve">impugnó la respuesta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no expresó razón o motivo de inconformidad en contra de todos los rubros solicitados; por lo que, debe declararse atendido pues se entiende que la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está conforme con la información al no contravenir la misma.</w:t>
      </w:r>
    </w:p>
    <w:p w:rsidR="00EF585D" w:rsidRDefault="00171BE8">
      <w:pPr>
        <w:spacing w:before="280"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Consecuentemente, la parte de la respuesta que no fue impugnada debe declararse consentida, toda vez que, la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no realizó manifestaciones de inconformidad; por lo que, no pueden producirse efectos jurídicos tendentes a revocar, confirmar o modificar el acto reclamado, ya que se infiere su consentimiento ante la falta de impugnación eficaz.</w:t>
      </w:r>
    </w:p>
    <w:p w:rsidR="00EF585D" w:rsidRDefault="00EF585D">
      <w:pPr>
        <w:spacing w:after="0" w:line="360" w:lineRule="auto"/>
        <w:ind w:right="49"/>
        <w:jc w:val="both"/>
        <w:rPr>
          <w:rFonts w:ascii="Palatino Linotype" w:eastAsia="Palatino Linotype" w:hAnsi="Palatino Linotype" w:cs="Palatino Linotype"/>
          <w:color w:val="000000"/>
          <w:sz w:val="18"/>
          <w:szCs w:val="18"/>
        </w:rPr>
      </w:pPr>
    </w:p>
    <w:p w:rsidR="00EF585D" w:rsidRDefault="00171BE8">
      <w:pPr>
        <w:spacing w:after="280" w:line="360" w:lineRule="auto"/>
        <w:ind w:right="49"/>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24"/>
          <w:szCs w:val="24"/>
        </w:rPr>
        <w:t>Sirve como apoyo a lo anterior, por analogía, la Tesis Jurisprudencial Número 3ª./J.7/91, Publicada en el Semanario Judicial de la Federación y su Gaceta bajo el número de registro 174,177, que establece lo siguiente:</w:t>
      </w:r>
    </w:p>
    <w:p w:rsidR="00EF585D" w:rsidRDefault="00171BE8">
      <w:pPr>
        <w:spacing w:after="0" w:line="240" w:lineRule="auto"/>
        <w:ind w:left="1080" w:right="918"/>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000000"/>
        </w:rPr>
        <w:t xml:space="preserve">“REVISIÓN EN AMPARO. LOS RESOLUTIVOS NO COMBATIDOS DEBEN DECLARARSE FIRMES. </w:t>
      </w:r>
      <w:r>
        <w:rPr>
          <w:rFonts w:ascii="Palatino Linotype" w:eastAsia="Palatino Linotype" w:hAnsi="Palatino Linotype" w:cs="Palatino Linotype"/>
          <w:i/>
          <w:color w:val="000000"/>
        </w:rPr>
        <w:t xml:space="preserve">Cuando algún resolutivo de la sentencia impugnada afecta a la </w:t>
      </w:r>
      <w:r>
        <w:rPr>
          <w:rFonts w:ascii="Palatino Linotype" w:eastAsia="Palatino Linotype" w:hAnsi="Palatino Linotype" w:cs="Palatino Linotype"/>
          <w:b/>
          <w:i/>
          <w:color w:val="000000"/>
        </w:rPr>
        <w:t>RECURRENTE</w:t>
      </w:r>
      <w:r>
        <w:rPr>
          <w:rFonts w:ascii="Palatino Linotype" w:eastAsia="Palatino Linotype" w:hAnsi="Palatino Linotype" w:cs="Palatino Linotype"/>
          <w:i/>
          <w:color w:val="000000"/>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Pr>
          <w:rFonts w:ascii="Palatino Linotype" w:eastAsia="Palatino Linotype" w:hAnsi="Palatino Linotype" w:cs="Palatino Linotype"/>
          <w:b/>
          <w:i/>
          <w:color w:val="000000"/>
        </w:rPr>
        <w:t>RECURRENTE</w:t>
      </w:r>
      <w:r>
        <w:rPr>
          <w:rFonts w:ascii="Palatino Linotype" w:eastAsia="Palatino Linotype" w:hAnsi="Palatino Linotype" w:cs="Palatino Linotype"/>
          <w:i/>
          <w:color w:val="000000"/>
        </w:rPr>
        <w:t>, deben declararse firmes aquéllos en contra de los cuales no se formuló agravio y dicha declaración de firmeza debe reflejarse en la parte considerativa y en los resolutivos debe confirmarse la sentencia recurrida en la parte correspondiente.”</w:t>
      </w:r>
    </w:p>
    <w:p w:rsidR="00EF585D" w:rsidRDefault="00171BE8">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Asimismo, también se advierte que la particular dentro de sus motivos de inconformidad señalados en el numeral </w:t>
      </w:r>
      <w:r>
        <w:rPr>
          <w:rFonts w:ascii="Palatino Linotype" w:eastAsia="Palatino Linotype" w:hAnsi="Palatino Linotype" w:cs="Palatino Linotype"/>
          <w:b/>
          <w:color w:val="000000"/>
          <w:sz w:val="24"/>
          <w:szCs w:val="24"/>
        </w:rPr>
        <w:t>7)</w:t>
      </w:r>
      <w:r>
        <w:rPr>
          <w:rFonts w:ascii="Palatino Linotype" w:eastAsia="Palatino Linotype" w:hAnsi="Palatino Linotype" w:cs="Palatino Linotype"/>
          <w:color w:val="000000"/>
          <w:sz w:val="24"/>
          <w:szCs w:val="24"/>
        </w:rPr>
        <w:t xml:space="preserve"> del cuadro que nos antecede, al respecto de la confronta a la solicitud de información y el acto impugnado y las razones o motivos de informidad de la ahora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se advierte q</w:t>
      </w:r>
      <w:r>
        <w:rPr>
          <w:rFonts w:ascii="Palatino Linotype" w:eastAsia="Palatino Linotype" w:hAnsi="Palatino Linotype" w:cs="Palatino Linotype"/>
          <w:sz w:val="24"/>
          <w:szCs w:val="24"/>
        </w:rPr>
        <w:t>ue este constituye</w:t>
      </w:r>
      <w:r>
        <w:rPr>
          <w:rFonts w:ascii="Palatino Linotype" w:eastAsia="Palatino Linotype" w:hAnsi="Palatino Linotype" w:cs="Palatino Linotype"/>
          <w:color w:val="000000"/>
          <w:sz w:val="24"/>
          <w:szCs w:val="24"/>
        </w:rPr>
        <w:t xml:space="preserve"> nuevos requerimientos de información, configurándose así lo que se conoce como </w:t>
      </w:r>
      <w:r>
        <w:rPr>
          <w:rFonts w:ascii="Palatino Linotype" w:eastAsia="Palatino Linotype" w:hAnsi="Palatino Linotype" w:cs="Palatino Linotype"/>
          <w:i/>
          <w:color w:val="000000"/>
          <w:sz w:val="24"/>
          <w:szCs w:val="24"/>
        </w:rPr>
        <w:t>Plus Petitio</w:t>
      </w:r>
      <w:r>
        <w:rPr>
          <w:rFonts w:ascii="Palatino Linotype" w:eastAsia="Palatino Linotype" w:hAnsi="Palatino Linotype" w:cs="Palatino Linotype"/>
          <w:color w:val="000000"/>
          <w:sz w:val="24"/>
          <w:szCs w:val="24"/>
        </w:rPr>
        <w:t>, que consiste en una ampliación a su requerimiento informativo, de los cuales no se entrará al análisis, toda vez que se ha sostenido que  una vez formulada su solicitud inicial,</w:t>
      </w:r>
      <w:r>
        <w:rPr>
          <w:rFonts w:ascii="Palatino Linotype" w:eastAsia="Palatino Linotype" w:hAnsi="Palatino Linotype" w:cs="Palatino Linotype"/>
          <w:i/>
          <w:color w:val="000000"/>
          <w:sz w:val="24"/>
          <w:szCs w:val="24"/>
        </w:rPr>
        <w:t xml:space="preserve"> </w:t>
      </w:r>
      <w:r>
        <w:rPr>
          <w:rFonts w:ascii="Palatino Linotype" w:eastAsia="Palatino Linotype" w:hAnsi="Palatino Linotype" w:cs="Palatino Linotype"/>
          <w:color w:val="000000"/>
          <w:sz w:val="24"/>
          <w:szCs w:val="24"/>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rsidR="00EF585D" w:rsidRDefault="00171BE8">
      <w:pPr>
        <w:shd w:val="clear" w:color="auto" w:fill="FFFFFF"/>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Robustece lo anterior lo plasmado en el criterio número 27/10 emitido por el entonces Instituto Federal de Acceso a la Información y Protección de Datos (IFAI) ahora Instituto Nacional de Transparencia, Acceso a la Información y Protección de Datos Personales (INAI), que lleva por rubro y texto lo que a continuación se transcribe:</w:t>
      </w:r>
    </w:p>
    <w:p w:rsidR="00EF585D" w:rsidRDefault="00171BE8">
      <w:pPr>
        <w:shd w:val="clear" w:color="auto" w:fill="FFFFFF"/>
        <w:spacing w:before="240" w:after="240" w:line="360" w:lineRule="auto"/>
        <w:ind w:left="860"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Es improcedente ampliar las solicitudes de acceso a información pública o datos personales</w:t>
      </w:r>
      <w:r>
        <w:rPr>
          <w:rFonts w:ascii="Palatino Linotype" w:eastAsia="Palatino Linotype" w:hAnsi="Palatino Linotype" w:cs="Palatino Linotype"/>
          <w:i/>
          <w:color w:val="000000"/>
        </w:rPr>
        <w:t xml:space="preserve">, a través de la interposición del recurso de revisión.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w:t>
      </w:r>
      <w:r>
        <w:rPr>
          <w:rFonts w:ascii="Palatino Linotype" w:eastAsia="Palatino Linotype" w:hAnsi="Palatino Linotype" w:cs="Palatino Linotype"/>
          <w:i/>
          <w:color w:val="000000"/>
        </w:rPr>
        <w:lastRenderedPageBreak/>
        <w:t>sin perjuicio de que los recurrentes puedan ejercer su derecho a realizar una nueva solicitud en términos de la Ley de la materia.”</w:t>
      </w:r>
    </w:p>
    <w:p w:rsidR="00EF585D" w:rsidRDefault="00171BE8">
      <w:pPr>
        <w:shd w:val="clear" w:color="auto" w:fill="FFFFFF"/>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No obstante dejándose a salvo sus derechos,  de la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para que en una solicitud diversa si es su deseo los haga valer,  no se omite mencionar </w:t>
      </w:r>
      <w:r>
        <w:rPr>
          <w:rFonts w:ascii="Palatino Linotype" w:eastAsia="Palatino Linotype" w:hAnsi="Palatino Linotype" w:cs="Palatino Linotype"/>
          <w:sz w:val="24"/>
          <w:szCs w:val="24"/>
        </w:rPr>
        <w:t xml:space="preserve">a </w:t>
      </w:r>
      <w:r>
        <w:rPr>
          <w:rFonts w:ascii="Palatino Linotype" w:eastAsia="Palatino Linotype" w:hAnsi="Palatino Linotype" w:cs="Palatino Linotype"/>
          <w:color w:val="000000"/>
          <w:sz w:val="24"/>
          <w:szCs w:val="24"/>
        </w:rPr>
        <w:t xml:space="preserve">la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que </w:t>
      </w:r>
      <w:r>
        <w:rPr>
          <w:rFonts w:ascii="Palatino Linotype" w:eastAsia="Palatino Linotype" w:hAnsi="Palatino Linotype" w:cs="Palatino Linotype"/>
          <w:sz w:val="24"/>
          <w:szCs w:val="24"/>
        </w:rPr>
        <w:t>el</w:t>
      </w:r>
      <w:r>
        <w:rPr>
          <w:rFonts w:ascii="Palatino Linotype" w:eastAsia="Palatino Linotype" w:hAnsi="Palatino Linotype" w:cs="Palatino Linotype"/>
          <w:color w:val="000000"/>
          <w:sz w:val="24"/>
          <w:szCs w:val="24"/>
        </w:rPr>
        <w:t xml:space="preserve"> Sistema de Acceso a la Información Pública (SAIMEX) es el medio electrónico a través del cual se formulan las solicitudes de información pública y por medio del S</w:t>
      </w:r>
      <w:r>
        <w:rPr>
          <w:rFonts w:ascii="Palatino Linotype" w:eastAsia="Palatino Linotype" w:hAnsi="Palatino Linotype" w:cs="Palatino Linotype"/>
          <w:color w:val="000000"/>
          <w:sz w:val="24"/>
          <w:szCs w:val="24"/>
          <w:highlight w:val="white"/>
        </w:rPr>
        <w:t>istema de Acceso, Rectificación, Cancelación y Oposición del Estado de México (SARCOEM) es posible formular solicitudes de derechos ARCO (Se refiere a aquel derecho que tiene un titular de datos personales, para solicitar el acceso, rectificación, cancelación u oposición sobre el tratamiento de sus datos, ante el Sujeto Obligado que esté en posesión de los mismos</w:t>
      </w:r>
      <w:r>
        <w:rPr>
          <w:rFonts w:ascii="Palatino Linotype" w:eastAsia="Palatino Linotype" w:hAnsi="Palatino Linotype" w:cs="Palatino Linotype"/>
          <w:sz w:val="24"/>
          <w:szCs w:val="24"/>
          <w:highlight w:val="white"/>
        </w:rPr>
        <w:t>, por lo que se le invita a hacer uso de estos sistemas para el ejercicio de sus derechos.</w:t>
      </w:r>
    </w:p>
    <w:p w:rsidR="00EF585D" w:rsidRDefault="00171BE8">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Continuando con el análisis de las constancias que integran el expediente particularmente de las relativas a</w:t>
      </w:r>
      <w:r>
        <w:rPr>
          <w:rFonts w:ascii="Palatino Linotype" w:eastAsia="Palatino Linotype" w:hAnsi="Palatino Linotype" w:cs="Palatino Linotype"/>
          <w:color w:val="000000"/>
          <w:sz w:val="24"/>
          <w:szCs w:val="24"/>
        </w:rPr>
        <w:t xml:space="preserve"> los numerales 3) y 4) de </w:t>
      </w:r>
      <w:r>
        <w:rPr>
          <w:rFonts w:ascii="Palatino Linotype" w:eastAsia="Palatino Linotype" w:hAnsi="Palatino Linotype" w:cs="Palatino Linotype"/>
          <w:sz w:val="24"/>
          <w:szCs w:val="24"/>
        </w:rPr>
        <w:t>la solicitud de información</w:t>
      </w:r>
      <w:r>
        <w:rPr>
          <w:rFonts w:ascii="Palatino Linotype" w:eastAsia="Palatino Linotype" w:hAnsi="Palatino Linotype" w:cs="Palatino Linotype"/>
          <w:color w:val="000000"/>
          <w:sz w:val="24"/>
          <w:szCs w:val="24"/>
        </w:rPr>
        <w:t xml:space="preserve">, se observa que la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se adolece en lo medular en sus motivos de inconformidad por la veracidad de la información proporcionada por el </w:t>
      </w:r>
      <w:r>
        <w:rPr>
          <w:rFonts w:ascii="Palatino Linotype" w:eastAsia="Palatino Linotype" w:hAnsi="Palatino Linotype" w:cs="Palatino Linotype"/>
          <w:b/>
          <w:color w:val="000000"/>
          <w:sz w:val="24"/>
          <w:szCs w:val="24"/>
        </w:rPr>
        <w:t>SUJETO OBLOGADO</w:t>
      </w:r>
      <w:r>
        <w:rPr>
          <w:rFonts w:ascii="Palatino Linotype" w:eastAsia="Palatino Linotype" w:hAnsi="Palatino Linotype" w:cs="Palatino Linotype"/>
          <w:color w:val="000000"/>
          <w:sz w:val="24"/>
          <w:szCs w:val="24"/>
        </w:rPr>
        <w:t>, al res</w:t>
      </w:r>
      <w:r>
        <w:rPr>
          <w:rFonts w:ascii="Palatino Linotype" w:eastAsia="Palatino Linotype" w:hAnsi="Palatino Linotype" w:cs="Palatino Linotype"/>
          <w:sz w:val="24"/>
          <w:szCs w:val="24"/>
        </w:rPr>
        <w:t xml:space="preserve">pecto, </w:t>
      </w:r>
      <w:r>
        <w:rPr>
          <w:rFonts w:ascii="Palatino Linotype" w:eastAsia="Palatino Linotype" w:hAnsi="Palatino Linotype" w:cs="Palatino Linotype"/>
          <w:color w:val="000000"/>
          <w:sz w:val="24"/>
          <w:szCs w:val="24"/>
        </w:rPr>
        <w:t xml:space="preserve">este Pleno considera necesario </w:t>
      </w:r>
      <w:r>
        <w:rPr>
          <w:rFonts w:ascii="Palatino Linotype" w:eastAsia="Palatino Linotype" w:hAnsi="Palatino Linotype" w:cs="Palatino Linotype"/>
          <w:sz w:val="24"/>
          <w:szCs w:val="24"/>
        </w:rPr>
        <w:t>precisar</w:t>
      </w:r>
      <w:r>
        <w:rPr>
          <w:rFonts w:ascii="Palatino Linotype" w:eastAsia="Palatino Linotype" w:hAnsi="Palatino Linotype" w:cs="Palatino Linotype"/>
          <w:color w:val="000000"/>
          <w:sz w:val="24"/>
          <w:szCs w:val="24"/>
        </w:rPr>
        <w:t xml:space="preserve"> que éste no está facultado para manifestarse sobre la veracidad de la información proporcionada, pues no existe precepto legal alguno en la Ley de la Materia que permita que, vía recurso de revisión, se pronuncie al respecto. </w:t>
      </w:r>
    </w:p>
    <w:p w:rsidR="00EF585D" w:rsidRDefault="00171BE8">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Más </w:t>
      </w:r>
      <w:r>
        <w:rPr>
          <w:rFonts w:ascii="Palatino Linotype" w:eastAsia="Palatino Linotype" w:hAnsi="Palatino Linotype" w:cs="Palatino Linotype"/>
          <w:sz w:val="24"/>
          <w:szCs w:val="24"/>
        </w:rPr>
        <w:t>aún</w:t>
      </w:r>
      <w:r>
        <w:rPr>
          <w:rFonts w:ascii="Palatino Linotype" w:eastAsia="Palatino Linotype" w:hAnsi="Palatino Linotype" w:cs="Palatino Linotype"/>
          <w:color w:val="000000"/>
          <w:sz w:val="24"/>
          <w:szCs w:val="24"/>
        </w:rPr>
        <w:t xml:space="preserve"> cuando dicha respuesta fue emitida por el servidor público habilitado competente, siendo el siguiente, en términos del artículo 10 fracciones IV y XIII del  Reglamento de la Escuela Judicial del Estado de México, que señala:</w:t>
      </w:r>
    </w:p>
    <w:p w:rsidR="00EF585D" w:rsidRDefault="00171BE8">
      <w:pPr>
        <w:spacing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Artículo 10. Son facultades y obligaciones del Director General:</w:t>
      </w:r>
    </w:p>
    <w:p w:rsidR="00EF585D" w:rsidRDefault="00171BE8">
      <w:pPr>
        <w:spacing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rsidR="00EF585D" w:rsidRDefault="00171BE8">
      <w:pPr>
        <w:spacing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IV. Coordinar los cursos y concursos de oposición relativos a la Carrera Judicial;</w:t>
      </w:r>
    </w:p>
    <w:p w:rsidR="00EF585D" w:rsidRDefault="00171BE8">
      <w:pPr>
        <w:spacing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XIII. Presentar al Consejo propuestas de los candidatos para incorporarse a laborar en la Escuela, como investigadores, docentes o para la ocupación de cargos administrativos;</w:t>
      </w:r>
    </w:p>
    <w:p w:rsidR="00EF585D" w:rsidRDefault="00171BE8">
      <w:pPr>
        <w:pBdr>
          <w:top w:val="nil"/>
          <w:left w:val="nil"/>
          <w:bottom w:val="nil"/>
          <w:right w:val="nil"/>
          <w:between w:val="nil"/>
        </w:pBdr>
        <w:spacing w:before="120" w:after="12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lo que al haber realizado la búsqueda exhaustiva y razonable en los archivos y al haberse pronunciado el Servidor Público, este Órgano Garante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EF585D" w:rsidRDefault="00171BE8">
      <w:pPr>
        <w:spacing w:before="120" w:after="120"/>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color w:val="00000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w:t>
      </w:r>
      <w:r>
        <w:rPr>
          <w:rFonts w:ascii="Palatino Linotype" w:eastAsia="Palatino Linotype" w:hAnsi="Palatino Linotype" w:cs="Palatino Linotype"/>
          <w:i/>
          <w:color w:val="000000"/>
        </w:rPr>
        <w:lastRenderedPageBreak/>
        <w:t>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EF585D" w:rsidRDefault="00EF585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EF585D" w:rsidRDefault="00171BE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 se confirma la respuesta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respecto a los </w:t>
      </w:r>
      <w:r>
        <w:rPr>
          <w:rFonts w:ascii="Palatino Linotype" w:eastAsia="Palatino Linotype" w:hAnsi="Palatino Linotype" w:cs="Palatino Linotype"/>
          <w:sz w:val="24"/>
          <w:szCs w:val="24"/>
        </w:rPr>
        <w:t>numerales</w:t>
      </w:r>
      <w:r>
        <w:rPr>
          <w:rFonts w:ascii="Palatino Linotype" w:eastAsia="Palatino Linotype" w:hAnsi="Palatino Linotype" w:cs="Palatino Linotype"/>
          <w:color w:val="000000"/>
          <w:sz w:val="24"/>
          <w:szCs w:val="24"/>
        </w:rPr>
        <w:t xml:space="preserve"> 3) y 4).</w:t>
      </w:r>
    </w:p>
    <w:p w:rsidR="00EF585D" w:rsidRDefault="00EF585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EF585D" w:rsidRDefault="00171BE8">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otra parte</w:t>
      </w:r>
      <w:r>
        <w:rPr>
          <w:rFonts w:ascii="Palatino Linotype" w:eastAsia="Palatino Linotype" w:hAnsi="Palatino Linotype" w:cs="Palatino Linotype"/>
          <w:sz w:val="24"/>
          <w:szCs w:val="24"/>
        </w:rPr>
        <w:t xml:space="preserve">, respecto </w:t>
      </w:r>
      <w:r>
        <w:rPr>
          <w:rFonts w:ascii="Palatino Linotype" w:eastAsia="Palatino Linotype" w:hAnsi="Palatino Linotype" w:cs="Palatino Linotype"/>
          <w:color w:val="000000"/>
          <w:sz w:val="24"/>
          <w:szCs w:val="24"/>
        </w:rPr>
        <w:t xml:space="preserve">al punto 5) relativo a la información referentes al grado académico, experiencia laboral, antigüedad en investigación, desempeño y experiencia en dictámenes de proyectos de investigación de los integrantes que conformaron la Comisión Dictaminadora, </w:t>
      </w:r>
      <w:r>
        <w:rPr>
          <w:rFonts w:ascii="Palatino Linotype" w:eastAsia="Palatino Linotype" w:hAnsi="Palatino Linotype" w:cs="Palatino Linotype"/>
          <w:sz w:val="24"/>
          <w:szCs w:val="24"/>
        </w:rPr>
        <w:t>la</w:t>
      </w:r>
      <w:r>
        <w:rPr>
          <w:rFonts w:ascii="Palatino Linotype" w:eastAsia="Palatino Linotype" w:hAnsi="Palatino Linotype" w:cs="Palatino Linotype"/>
          <w:color w:val="000000"/>
          <w:sz w:val="24"/>
          <w:szCs w:val="24"/>
        </w:rPr>
        <w:t xml:space="preserve"> respuesta original de</w:t>
      </w:r>
      <w:r>
        <w:rPr>
          <w:rFonts w:ascii="Palatino Linotype" w:eastAsia="Palatino Linotype" w:hAnsi="Palatino Linotype" w:cs="Palatino Linotype"/>
          <w:sz w:val="24"/>
          <w:szCs w:val="24"/>
        </w:rPr>
        <w:t>l Sujeto Obligado</w:t>
      </w:r>
      <w:r>
        <w:rPr>
          <w:rFonts w:ascii="Palatino Linotype" w:eastAsia="Palatino Linotype" w:hAnsi="Palatino Linotype" w:cs="Palatino Linotype"/>
          <w:color w:val="000000"/>
          <w:sz w:val="24"/>
          <w:szCs w:val="24"/>
        </w:rPr>
        <w:t xml:space="preserve"> fue que no contaba con dicha comisión, sino por un comité, así mismo que en su caso de tener su posesión se pretendió clasificar la información como confidencial, no obstante mediant</w:t>
      </w:r>
      <w:r>
        <w:rPr>
          <w:rFonts w:ascii="Palatino Linotype" w:eastAsia="Palatino Linotype" w:hAnsi="Palatino Linotype" w:cs="Palatino Linotype"/>
          <w:sz w:val="24"/>
          <w:szCs w:val="24"/>
        </w:rPr>
        <w:t xml:space="preserve">e informe justificado </w:t>
      </w:r>
      <w:r>
        <w:rPr>
          <w:rFonts w:ascii="Palatino Linotype" w:eastAsia="Palatino Linotype" w:hAnsi="Palatino Linotype" w:cs="Palatino Linotype"/>
          <w:color w:val="000000"/>
          <w:sz w:val="24"/>
          <w:szCs w:val="24"/>
        </w:rPr>
        <w:t xml:space="preserve">remitió los Curriculum Vitae de los integrantes del </w:t>
      </w:r>
      <w:r>
        <w:rPr>
          <w:rFonts w:ascii="Palatino Linotype" w:eastAsia="Palatino Linotype" w:hAnsi="Palatino Linotype" w:cs="Palatino Linotype"/>
          <w:sz w:val="24"/>
          <w:szCs w:val="24"/>
        </w:rPr>
        <w:t>C</w:t>
      </w:r>
      <w:r>
        <w:rPr>
          <w:rFonts w:ascii="Palatino Linotype" w:eastAsia="Palatino Linotype" w:hAnsi="Palatino Linotype" w:cs="Palatino Linotype"/>
          <w:color w:val="000000"/>
          <w:sz w:val="24"/>
          <w:szCs w:val="24"/>
        </w:rPr>
        <w:t>omité  formado por la Escuela Judicial.</w:t>
      </w:r>
    </w:p>
    <w:p w:rsidR="00EF585D" w:rsidRDefault="00171BE8">
      <w:pPr>
        <w:pBdr>
          <w:top w:val="nil"/>
          <w:left w:val="nil"/>
          <w:bottom w:val="nil"/>
          <w:right w:val="nil"/>
          <w:between w:val="nil"/>
        </w:pBdr>
        <w:spacing w:before="240"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Al respecto</w:t>
      </w:r>
      <w:r>
        <w:rPr>
          <w:rFonts w:ascii="Palatino Linotype" w:eastAsia="Palatino Linotype" w:hAnsi="Palatino Linotype" w:cs="Palatino Linotype"/>
          <w:color w:val="000000"/>
          <w:sz w:val="24"/>
          <w:szCs w:val="24"/>
        </w:rPr>
        <w:t xml:space="preserve">, es de señalar que el curriculum es el documento que las personas elaboran con los datos principalmente de preparación académica y experiencia profesional con la finalidad de presentarlo ante un posible empleador, por lo que, dicho documento </w:t>
      </w:r>
      <w:r>
        <w:rPr>
          <w:rFonts w:ascii="Palatino Linotype" w:eastAsia="Palatino Linotype" w:hAnsi="Palatino Linotype" w:cs="Palatino Linotype"/>
          <w:color w:val="000000"/>
          <w:sz w:val="24"/>
          <w:szCs w:val="24"/>
        </w:rPr>
        <w:lastRenderedPageBreak/>
        <w:t xml:space="preserve">permite identificar el nivel de conocimiento de su titular, su perfil profesional y/o laboral. </w:t>
      </w:r>
    </w:p>
    <w:p w:rsidR="00EF585D" w:rsidRDefault="00171BE8">
      <w:pPr>
        <w:pBdr>
          <w:top w:val="nil"/>
          <w:left w:val="nil"/>
          <w:bottom w:val="nil"/>
          <w:right w:val="nil"/>
          <w:between w:val="nil"/>
        </w:pBdr>
        <w:spacing w:before="240"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ese orden de ideas, si bien, el documento referido es elaborado por cada persona sin ninguna validez oficial, también lo es que como se mencionó, este tiene como objetivo que las personas conozcan la trayectoria de quien lo presenta, situación que toma mayor relevancia al tratarse de aquel que ostenta un cargo en la administración; por lo que, existe un interés público para dar a conocer su contenido, pues transparenta que el personal que labora para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cuenta con las capacidades, conocimientos y experiencia necesaria para el cabal cumplimiento de sus funciones. </w:t>
      </w:r>
    </w:p>
    <w:p w:rsidR="00EF585D" w:rsidRDefault="00171BE8">
      <w:pPr>
        <w:pBdr>
          <w:top w:val="nil"/>
          <w:left w:val="nil"/>
          <w:bottom w:val="nil"/>
          <w:right w:val="nil"/>
          <w:between w:val="nil"/>
        </w:pBdr>
        <w:spacing w:before="240"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Es por lo anterior que el artículo 92, fracción XXI de la Ley de Transparencia y Acceso a la Información Pública del Estado de México y Municipios, establece que la información curricular es considerada como obligación de transparencia también para el Instituto de Transparencia, Acceso a la Información Pública y Protección de Datos Personales del Estado de México y Municipios. </w:t>
      </w:r>
    </w:p>
    <w:p w:rsidR="00EF585D" w:rsidRDefault="00171BE8">
      <w:pPr>
        <w:pBdr>
          <w:top w:val="nil"/>
          <w:left w:val="nil"/>
          <w:bottom w:val="nil"/>
          <w:right w:val="nil"/>
          <w:between w:val="nil"/>
        </w:pBdr>
        <w:spacing w:before="240"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 mayor abundamiento conviene mencionar, el Criterio 03/09 emitido por el Pleno del entonces Instituto Federal de Acceso a la Información y Protección de Datos establece que: </w:t>
      </w:r>
    </w:p>
    <w:p w:rsidR="00EF585D" w:rsidRDefault="00171BE8">
      <w:pPr>
        <w:pBdr>
          <w:top w:val="nil"/>
          <w:left w:val="nil"/>
          <w:bottom w:val="nil"/>
          <w:right w:val="nil"/>
          <w:between w:val="nil"/>
        </w:pBd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“Curriculum Vitae de servidores públicos.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w:t>
      </w:r>
      <w:r>
        <w:rPr>
          <w:rFonts w:ascii="Palatino Linotype" w:eastAsia="Palatino Linotype" w:hAnsi="Palatino Linotype" w:cs="Palatino Linotype"/>
          <w:i/>
          <w:color w:val="000000"/>
        </w:rPr>
        <w:lastRenderedPageBreak/>
        <w:t xml:space="preserve">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w:t>
      </w:r>
    </w:p>
    <w:p w:rsidR="00EF585D" w:rsidRDefault="00171BE8">
      <w:pPr>
        <w:pBdr>
          <w:top w:val="nil"/>
          <w:left w:val="nil"/>
          <w:bottom w:val="nil"/>
          <w:right w:val="nil"/>
          <w:between w:val="nil"/>
        </w:pBdr>
        <w:spacing w:before="240"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 lo anterior, se desprende que una de las formas en que los ciudadanos pueden evaluar las aptitudes para desempeñar un cargo público determinado, es mediante la publicidad de ciertos datos contenidos en el currículum vitae, tales como: la trayectoria académica, profesional, laboral, así como todos aquellos que acrediten su capacidad, habilidades y pericia para ocupar el puesto público. Lo anterior, para favorecer la rendición de cuentas, pues la publicidad de lo anterior tiene como fin verificar el correcto desempeño de los sujetos obligados.</w:t>
      </w:r>
    </w:p>
    <w:p w:rsidR="00EF585D" w:rsidRDefault="00171BE8">
      <w:pPr>
        <w:pBdr>
          <w:top w:val="nil"/>
          <w:left w:val="nil"/>
          <w:bottom w:val="nil"/>
          <w:right w:val="nil"/>
          <w:between w:val="nil"/>
        </w:pBdr>
        <w:spacing w:before="240"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Conforme a ello, se considera que con la información proporcionada por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en este punto de la solicitud de información se satisface  la pretensión del ahora </w:t>
      </w:r>
      <w:r>
        <w:rPr>
          <w:rFonts w:ascii="Palatino Linotype" w:eastAsia="Palatino Linotype" w:hAnsi="Palatino Linotype" w:cs="Palatino Linotype"/>
          <w:b/>
          <w:color w:val="000000"/>
          <w:sz w:val="24"/>
          <w:szCs w:val="24"/>
        </w:rPr>
        <w:t xml:space="preserve">RECURRENTE </w:t>
      </w:r>
      <w:r>
        <w:rPr>
          <w:rFonts w:ascii="Palatino Linotype" w:eastAsia="Palatino Linotype" w:hAnsi="Palatino Linotype" w:cs="Palatino Linotype"/>
          <w:color w:val="000000"/>
          <w:sz w:val="24"/>
          <w:szCs w:val="24"/>
        </w:rPr>
        <w:t>pues como se ha podido advertir en efecto</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proporcionó la información curricular de los integrantes del comité formado por la Escuela Judicial, </w:t>
      </w:r>
      <w:r>
        <w:rPr>
          <w:rFonts w:ascii="Palatino Linotype" w:eastAsia="Palatino Linotype" w:hAnsi="Palatino Linotype" w:cs="Palatino Linotype"/>
          <w:color w:val="000000"/>
          <w:sz w:val="24"/>
          <w:szCs w:val="24"/>
        </w:rPr>
        <w:lastRenderedPageBreak/>
        <w:t xml:space="preserve">misma que contiene información de su preparación académica y trayectoria profesional. </w:t>
      </w:r>
    </w:p>
    <w:p w:rsidR="00EF585D" w:rsidRDefault="00171BE8">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 xml:space="preserve">Tomando en consideración dicha circunstancia, así como el hecho de que la información proporcionada mediante informe justificado por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fue puesta a la vista de la parte </w:t>
      </w:r>
      <w:r>
        <w:rPr>
          <w:rFonts w:ascii="Palatino Linotype" w:eastAsia="Palatino Linotype" w:hAnsi="Palatino Linotype" w:cs="Palatino Linotype"/>
          <w:b/>
          <w:color w:val="000000"/>
          <w:sz w:val="24"/>
          <w:szCs w:val="24"/>
        </w:rPr>
        <w:t xml:space="preserve">RECURRENTE </w:t>
      </w:r>
      <w:r>
        <w:rPr>
          <w:rFonts w:ascii="Palatino Linotype" w:eastAsia="Palatino Linotype" w:hAnsi="Palatino Linotype" w:cs="Palatino Linotype"/>
          <w:color w:val="000000"/>
          <w:sz w:val="24"/>
          <w:szCs w:val="24"/>
        </w:rPr>
        <w:t xml:space="preserve">con la finalidad de que manifestara lo que a su derecho conviniera, sin que obre constancia en el expediente electrónico de que dicho derecho se hiciera valer, así mismo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remitió información, en alcance remitido vía correo electrónico a la cuenta registrada por la </w:t>
      </w:r>
      <w:r>
        <w:rPr>
          <w:rFonts w:ascii="Palatino Linotype" w:eastAsia="Palatino Linotype" w:hAnsi="Palatino Linotype" w:cs="Palatino Linotype"/>
          <w:b/>
          <w:color w:val="000000"/>
          <w:sz w:val="24"/>
          <w:szCs w:val="24"/>
        </w:rPr>
        <w:t xml:space="preserve">RECURRENTE, </w:t>
      </w:r>
      <w:r>
        <w:rPr>
          <w:rFonts w:ascii="Palatino Linotype" w:eastAsia="Palatino Linotype" w:hAnsi="Palatino Linotype" w:cs="Palatino Linotype"/>
          <w:color w:val="000000"/>
          <w:sz w:val="24"/>
          <w:szCs w:val="24"/>
        </w:rPr>
        <w:t>los siguientes archivos</w:t>
      </w:r>
      <w:r>
        <w:rPr>
          <w:rFonts w:ascii="Palatino Linotype" w:eastAsia="Palatino Linotype" w:hAnsi="Palatino Linotype" w:cs="Palatino Linotype"/>
          <w:b/>
          <w:color w:val="000000"/>
          <w:sz w:val="24"/>
          <w:szCs w:val="24"/>
        </w:rPr>
        <w:t>:</w:t>
      </w:r>
    </w:p>
    <w:p w:rsidR="00EF585D" w:rsidRDefault="00171BE8">
      <w:pPr>
        <w:pBdr>
          <w:top w:val="nil"/>
          <w:left w:val="nil"/>
          <w:bottom w:val="nil"/>
          <w:right w:val="nil"/>
          <w:between w:val="nil"/>
        </w:pBdr>
        <w:spacing w:after="120" w:line="360" w:lineRule="auto"/>
        <w:ind w:right="-234" w:hanging="2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“RESPUESTA DE EJEM A SIP.pdf”</w:t>
      </w:r>
      <w:r>
        <w:rPr>
          <w:rFonts w:ascii="Palatino Linotype" w:eastAsia="Palatino Linotype" w:hAnsi="Palatino Linotype" w:cs="Palatino Linotype"/>
          <w:color w:val="000000"/>
          <w:sz w:val="24"/>
          <w:szCs w:val="24"/>
        </w:rPr>
        <w:t xml:space="preserve"> el cual se observa el oficio 3013510000/482/2021 de fecha veintitrés de noviembre de dos mil veintiuno, signado por el Dr. Jaime López Reyes, Director General de la Escuela del Poder Judicial del Estado de México, mediante el cual signado por el Dr. Jaime López Reyes, Director General de la Escuela del Poder Judicial del Estado de México, mediante el cual otorga su respuesta a la solicitud de acceso a la información pública a cada uno de los requerimientos señalados por la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resultando ser los mismos datos precisados mediante la respuesta primigenia emitida por la Titular de la Unidad de Transparencia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de acuerdo a las constancias electrónicas que forma parte del presente expediente.</w:t>
      </w:r>
    </w:p>
    <w:p w:rsidR="00EF585D" w:rsidRDefault="00171BE8">
      <w:pPr>
        <w:pBdr>
          <w:top w:val="nil"/>
          <w:left w:val="nil"/>
          <w:bottom w:val="nil"/>
          <w:right w:val="nil"/>
          <w:between w:val="nil"/>
        </w:pBdr>
        <w:spacing w:after="120" w:line="360" w:lineRule="auto"/>
        <w:ind w:right="-234" w:hanging="2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 “INFORME DE EJEM PARA RECURSO DE REVISIÓN.pdf”  </w:t>
      </w:r>
      <w:r>
        <w:rPr>
          <w:rFonts w:ascii="Palatino Linotype" w:eastAsia="Palatino Linotype" w:hAnsi="Palatino Linotype" w:cs="Palatino Linotype"/>
          <w:color w:val="000000"/>
          <w:sz w:val="24"/>
          <w:szCs w:val="24"/>
        </w:rPr>
        <w:t xml:space="preserve">del cual se observa el oficio 3013510000/023/2022 de fecha catorce de enero de dos mil veintidós, signado por el Dr. Jaime López Reyes, Director General de la Escuela del Poder Judicial del Estado </w:t>
      </w:r>
      <w:r>
        <w:rPr>
          <w:rFonts w:ascii="Palatino Linotype" w:eastAsia="Palatino Linotype" w:hAnsi="Palatino Linotype" w:cs="Palatino Linotype"/>
          <w:color w:val="000000"/>
          <w:sz w:val="24"/>
          <w:szCs w:val="24"/>
        </w:rPr>
        <w:lastRenderedPageBreak/>
        <w:t xml:space="preserve">de México, mediante el cual rinde el informe justificado respecto al recurso de revisión en cuestión, resultando ser los mismos datos precisados mediante la etapa de manifestaciones por la Titular de la Unidad de Transparencia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w:t>
      </w:r>
    </w:p>
    <w:p w:rsidR="00EF585D" w:rsidRDefault="00171BE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ese sentido se puede inferir  que la misma ya es del conocimiento de </w:t>
      </w:r>
      <w:r>
        <w:rPr>
          <w:rFonts w:ascii="Palatino Linotype" w:eastAsia="Palatino Linotype" w:hAnsi="Palatino Linotype" w:cs="Palatino Linotype"/>
          <w:b/>
          <w:color w:val="000000"/>
          <w:sz w:val="24"/>
          <w:szCs w:val="24"/>
        </w:rPr>
        <w:t>LA RECURRENTE</w:t>
      </w:r>
      <w:r>
        <w:rPr>
          <w:rFonts w:ascii="Palatino Linotype" w:eastAsia="Palatino Linotype" w:hAnsi="Palatino Linotype" w:cs="Palatino Linotype"/>
          <w:color w:val="000000"/>
          <w:sz w:val="24"/>
          <w:szCs w:val="24"/>
        </w:rPr>
        <w:t xml:space="preserve">; no obstante para asegurar que la particular tenga acceso a la misma, al notificar la presente resolución a la </w:t>
      </w:r>
      <w:r>
        <w:rPr>
          <w:rFonts w:ascii="Palatino Linotype" w:eastAsia="Palatino Linotype" w:hAnsi="Palatino Linotype" w:cs="Palatino Linotype"/>
          <w:b/>
          <w:color w:val="000000"/>
          <w:sz w:val="24"/>
          <w:szCs w:val="24"/>
        </w:rPr>
        <w:t xml:space="preserve">RECURRENTE </w:t>
      </w:r>
      <w:r>
        <w:rPr>
          <w:rFonts w:ascii="Palatino Linotype" w:eastAsia="Palatino Linotype" w:hAnsi="Palatino Linotype" w:cs="Palatino Linotype"/>
          <w:color w:val="000000"/>
          <w:sz w:val="24"/>
          <w:szCs w:val="24"/>
        </w:rPr>
        <w:t xml:space="preserve">se le hará de su conocimiento los archivos que contienen la información que solicitó, para los efectos legales conducentes. </w:t>
      </w:r>
    </w:p>
    <w:p w:rsidR="00EF585D" w:rsidRDefault="00171BE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lo anterior debe entenderse que ha quedado satisfecha la solicitud planteada, quedando sin materia el presente recurso de revisión, consecuentemente se actualiza la causal prevista en la fracción III del artículo 192 de la Ley de la Materia vigente en la Entidad, que dispone lo siguiente:</w:t>
      </w:r>
    </w:p>
    <w:p w:rsidR="00EF585D" w:rsidRDefault="00171BE8">
      <w:pPr>
        <w:spacing w:before="240" w:after="0"/>
        <w:ind w:left="992" w:right="1043"/>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“Artículo 192. </w:t>
      </w:r>
      <w:r>
        <w:rPr>
          <w:rFonts w:ascii="Palatino Linotype" w:eastAsia="Palatino Linotype" w:hAnsi="Palatino Linotype" w:cs="Palatino Linotype"/>
          <w:i/>
          <w:color w:val="000000"/>
        </w:rPr>
        <w:t>El recurso será sobreseído en todo o en parte cuando una vez admitido, se actualicen alguno de los siguientes supuestos:</w:t>
      </w:r>
    </w:p>
    <w:p w:rsidR="00EF585D" w:rsidRDefault="00171BE8">
      <w:pPr>
        <w:spacing w:after="0"/>
        <w:ind w:left="992" w:right="1043"/>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w:t>
      </w:r>
    </w:p>
    <w:p w:rsidR="00EF585D" w:rsidRDefault="00171BE8">
      <w:pPr>
        <w:spacing w:after="0"/>
        <w:ind w:left="992" w:right="1043"/>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III. El sujeto obligado responsable del acto lo modifique o revoque de tal manera que el recurso de revisión quede sin materia…”. (Sic)</w:t>
      </w:r>
    </w:p>
    <w:p w:rsidR="00EF585D" w:rsidRDefault="00EF585D">
      <w:pPr>
        <w:spacing w:after="0" w:line="360" w:lineRule="auto"/>
        <w:jc w:val="both"/>
        <w:rPr>
          <w:rFonts w:ascii="Palatino Linotype" w:eastAsia="Palatino Linotype" w:hAnsi="Palatino Linotype" w:cs="Palatino Linotype"/>
          <w:b/>
          <w:i/>
          <w:color w:val="000000"/>
          <w:highlight w:val="yellow"/>
        </w:rPr>
      </w:pPr>
    </w:p>
    <w:p w:rsidR="00EF585D" w:rsidRDefault="00171BE8">
      <w:pPr>
        <w:spacing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 lo establecido en el precepto legal citado se advierte que el sobreseimiento del recurso de revisión procede en los siguientes casos:</w:t>
      </w:r>
    </w:p>
    <w:p w:rsidR="00EF585D" w:rsidRDefault="00171BE8">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 Cuando el sujeto obligado modifique el acto impugnado.</w:t>
      </w:r>
    </w:p>
    <w:p w:rsidR="00EF585D" w:rsidRDefault="00171BE8">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b) Cuando el sujeto obligado revoque el acto impugnado.</w:t>
      </w:r>
    </w:p>
    <w:p w:rsidR="00EF585D" w:rsidRDefault="00171BE8">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Quedando en ambos casos el acto combatido sin materia o sin efectos.</w:t>
      </w:r>
    </w:p>
    <w:p w:rsidR="00EF585D" w:rsidRDefault="00171BE8">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Como se observa de lo anterior, un acto impugnado es modificado en aquellos casos en los que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después de haber otorgado una respuesta, emite una diversa de manera posterior y en ésta subsana las deficiencias que hubiera tenido, quedando satisfecho el derecho subjetivo accionado por la parte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w:t>
      </w:r>
    </w:p>
    <w:p w:rsidR="00EF585D" w:rsidRDefault="00171BE8">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Por lo que hace a la revocación, </w:t>
      </w:r>
      <w:r>
        <w:rPr>
          <w:rFonts w:ascii="Palatino Linotype" w:eastAsia="Palatino Linotype" w:hAnsi="Palatino Linotype" w:cs="Palatino Linotype"/>
          <w:sz w:val="24"/>
          <w:szCs w:val="24"/>
        </w:rPr>
        <w:t>ésta</w:t>
      </w:r>
      <w:r>
        <w:rPr>
          <w:rFonts w:ascii="Palatino Linotype" w:eastAsia="Palatino Linotype" w:hAnsi="Palatino Linotype" w:cs="Palatino Linotype"/>
          <w:color w:val="000000"/>
          <w:sz w:val="24"/>
          <w:szCs w:val="24"/>
        </w:rPr>
        <w:t xml:space="preserve"> se actualiza cuando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deja sin efectos la primera respuesta y en su lugar emite otra con las características y cualidades suficientes para dejar satisfecho el ejercicio del derecho al acceso a la información pública.</w:t>
      </w:r>
    </w:p>
    <w:p w:rsidR="00EF585D" w:rsidRDefault="00171BE8">
      <w:pPr>
        <w:spacing w:before="240"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ese tenor, un acto impugnado queda sin efectos, cuando aun existiendo jurídicamente (esto es, que no se ha modificado, ni revocado) ya no genera ninguna consecuencia legal.</w:t>
      </w:r>
    </w:p>
    <w:p w:rsidR="00EF585D" w:rsidRDefault="00EF585D">
      <w:pPr>
        <w:spacing w:after="0" w:line="360" w:lineRule="auto"/>
        <w:jc w:val="both"/>
        <w:rPr>
          <w:rFonts w:ascii="Palatino Linotype" w:eastAsia="Palatino Linotype" w:hAnsi="Palatino Linotype" w:cs="Palatino Linotype"/>
          <w:color w:val="000000"/>
          <w:highlight w:val="yellow"/>
        </w:rPr>
      </w:pPr>
    </w:p>
    <w:p w:rsidR="00EF585D" w:rsidRDefault="00171BE8">
      <w:pPr>
        <w:spacing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tal manera, es evidente que con ello queda sin materia el presente recurso de revisión, ya que la inconformidad sobre la información incompleta, se subsanó con la información entregada en alcance al informe justificado mediante el correo electrónico registrado por la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ya no cobraría sentido; y si respecto de la misma no formuló alegato alguno dentro del plazo concedido para tal efecto se entiende que se encuentra satisfecho.</w:t>
      </w:r>
    </w:p>
    <w:p w:rsidR="00EF585D" w:rsidRDefault="00171BE8">
      <w:pPr>
        <w:spacing w:before="240" w:after="240" w:line="360" w:lineRule="auto"/>
        <w:jc w:val="both"/>
        <w:rPr>
          <w:rFonts w:ascii="Palatino Linotype" w:eastAsia="Palatino Linotype" w:hAnsi="Palatino Linotype" w:cs="Palatino Linotype"/>
          <w:color w:val="000000"/>
          <w:sz w:val="24"/>
          <w:szCs w:val="24"/>
        </w:rPr>
      </w:pPr>
      <w:bookmarkStart w:id="5" w:name="_heading=h.1fob9te" w:colFirst="0" w:colLast="0"/>
      <w:bookmarkEnd w:id="5"/>
      <w:r>
        <w:rPr>
          <w:rFonts w:ascii="Palatino Linotype" w:eastAsia="Palatino Linotype" w:hAnsi="Palatino Linotype" w:cs="Palatino Linotype"/>
          <w:color w:val="000000"/>
          <w:sz w:val="24"/>
          <w:szCs w:val="24"/>
        </w:rPr>
        <w:lastRenderedPageBreak/>
        <w:t xml:space="preserve">En resumen,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dio respuesta completa a la solicitud de acceso a la información pública del ahora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rsidR="00EF585D" w:rsidRDefault="00171BE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Así, siendo el </w:t>
      </w:r>
      <w:r>
        <w:rPr>
          <w:rFonts w:ascii="Palatino Linotype" w:eastAsia="Palatino Linotype" w:hAnsi="Palatino Linotype" w:cs="Palatino Linotype"/>
          <w:i/>
          <w:color w:val="000000"/>
          <w:sz w:val="24"/>
          <w:szCs w:val="24"/>
        </w:rPr>
        <w:t>sobreseimiento</w:t>
      </w:r>
      <w:r>
        <w:rPr>
          <w:rFonts w:ascii="Palatino Linotype" w:eastAsia="Palatino Linotype" w:hAnsi="Palatino Linotype" w:cs="Palatino Linotype"/>
          <w:color w:val="000000"/>
          <w:sz w:val="24"/>
          <w:szCs w:val="24"/>
        </w:rPr>
        <w:t xml:space="preserve"> un acto que da por terminado el procedimiento administrativo de impugnación por alguna causa sobreviniente en el juicio de que se trate, que impide a la autoridad referirse a lo sustancial de lo planteado por la parte Recurrente, este Instituto se encuentra imposibilitado para entrar al estudio de fondo del recurso de revisión, lo anterior con apoyo en la Tesis Aislada del Segundo Tribunal Colegiado del Segundo Distrito, de la Suprema Corte de Justicia de la Nación, registrada con el rubro: </w:t>
      </w:r>
      <w:r>
        <w:rPr>
          <w:rFonts w:ascii="Palatino Linotype" w:eastAsia="Palatino Linotype" w:hAnsi="Palatino Linotype" w:cs="Palatino Linotype"/>
          <w:b/>
          <w:color w:val="000000"/>
          <w:sz w:val="24"/>
          <w:szCs w:val="24"/>
        </w:rPr>
        <w:t>SOBRESEIMIENTO, NO PERMITE ENTRAR AL ESTUDIO DE LAS CUESTIONES DE FONDO.</w:t>
      </w:r>
    </w:p>
    <w:p w:rsidR="00EF585D" w:rsidRDefault="00171BE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Así, con fundamento en lo prescrito en los artículos 5 párrafos trigésimo, trigésimo primero y trigésimo segundo</w:t>
      </w:r>
      <w:r>
        <w:rPr>
          <w:rFonts w:ascii="Palatino Linotype" w:eastAsia="Palatino Linotype" w:hAnsi="Palatino Linotype" w:cs="Palatino Linotype"/>
          <w:color w:val="000000"/>
          <w:sz w:val="24"/>
          <w:szCs w:val="24"/>
          <w:highlight w:val="white"/>
        </w:rPr>
        <w:t xml:space="preserve"> fracciones IV y V de la </w:t>
      </w:r>
      <w:r>
        <w:rPr>
          <w:rFonts w:ascii="Palatino Linotype" w:eastAsia="Palatino Linotype" w:hAnsi="Palatino Linotype" w:cs="Palatino Linotype"/>
          <w:color w:val="000000"/>
          <w:sz w:val="24"/>
          <w:szCs w:val="24"/>
        </w:rPr>
        <w:t>Constitución Política del Estado Libre y Soberano de México; 2, fracción II; 29, 36 fracciones I y II; 176, 178, 181, 185, fracción I, 186 y 188 de la Ley de Transparencia y Acceso a la Información Pública del Estado de México y Municipios, este Pleno:</w:t>
      </w:r>
    </w:p>
    <w:p w:rsidR="00EF585D" w:rsidRDefault="00171BE8">
      <w:pPr>
        <w:spacing w:line="360" w:lineRule="auto"/>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RESUELVE</w:t>
      </w:r>
    </w:p>
    <w:p w:rsidR="00EF585D" w:rsidRDefault="00171BE8">
      <w:pPr>
        <w:spacing w:before="160"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highlight w:val="white"/>
        </w:rPr>
        <w:lastRenderedPageBreak/>
        <w:t>PRIMERO</w:t>
      </w:r>
      <w:r>
        <w:rPr>
          <w:rFonts w:ascii="Palatino Linotype" w:eastAsia="Palatino Linotype" w:hAnsi="Palatino Linotype" w:cs="Palatino Linotype"/>
          <w:color w:val="000000"/>
          <w:sz w:val="24"/>
          <w:szCs w:val="24"/>
          <w:highlight w:val="white"/>
        </w:rPr>
        <w:t xml:space="preserve">. Se </w:t>
      </w:r>
      <w:r>
        <w:rPr>
          <w:rFonts w:ascii="Palatino Linotype" w:eastAsia="Palatino Linotype" w:hAnsi="Palatino Linotype" w:cs="Palatino Linotype"/>
          <w:b/>
          <w:color w:val="000000"/>
          <w:sz w:val="24"/>
          <w:szCs w:val="24"/>
          <w:highlight w:val="white"/>
        </w:rPr>
        <w:t>SOBRESEE</w:t>
      </w:r>
      <w:r>
        <w:rPr>
          <w:rFonts w:ascii="Palatino Linotype" w:eastAsia="Palatino Linotype" w:hAnsi="Palatino Linotype" w:cs="Palatino Linotype"/>
          <w:color w:val="000000"/>
          <w:sz w:val="24"/>
          <w:szCs w:val="24"/>
          <w:highlight w:val="white"/>
        </w:rPr>
        <w:t xml:space="preserve"> el recurso de revisión número </w:t>
      </w:r>
      <w:r>
        <w:rPr>
          <w:rFonts w:ascii="Palatino Linotype" w:eastAsia="Palatino Linotype" w:hAnsi="Palatino Linotype" w:cs="Palatino Linotype"/>
          <w:b/>
          <w:color w:val="000000"/>
          <w:sz w:val="24"/>
          <w:szCs w:val="24"/>
          <w:highlight w:val="white"/>
        </w:rPr>
        <w:t>000</w:t>
      </w:r>
      <w:r>
        <w:rPr>
          <w:rFonts w:ascii="Palatino Linotype" w:eastAsia="Palatino Linotype" w:hAnsi="Palatino Linotype" w:cs="Palatino Linotype"/>
          <w:b/>
          <w:sz w:val="24"/>
          <w:szCs w:val="24"/>
          <w:highlight w:val="white"/>
        </w:rPr>
        <w:t>64</w:t>
      </w:r>
      <w:r>
        <w:rPr>
          <w:rFonts w:ascii="Palatino Linotype" w:eastAsia="Palatino Linotype" w:hAnsi="Palatino Linotype" w:cs="Palatino Linotype"/>
          <w:b/>
          <w:color w:val="000000"/>
          <w:sz w:val="24"/>
          <w:szCs w:val="24"/>
          <w:highlight w:val="white"/>
        </w:rPr>
        <w:t>/INFOEM/IP/RR/2022</w:t>
      </w: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color w:val="000000"/>
          <w:sz w:val="24"/>
          <w:szCs w:val="24"/>
        </w:rPr>
        <w:t xml:space="preserve"> porque al modificar la respuesta el recurso de revisión quedó sin materia en términos del Considerando Tercero de la presente resolución.</w:t>
      </w:r>
    </w:p>
    <w:p w:rsidR="00EF585D" w:rsidRDefault="00EF585D">
      <w:pPr>
        <w:spacing w:after="0" w:line="360" w:lineRule="auto"/>
        <w:jc w:val="both"/>
        <w:rPr>
          <w:rFonts w:ascii="Palatino Linotype" w:eastAsia="Palatino Linotype" w:hAnsi="Palatino Linotype" w:cs="Palatino Linotype"/>
          <w:b/>
          <w:color w:val="000000"/>
          <w:sz w:val="24"/>
          <w:szCs w:val="24"/>
          <w:highlight w:val="white"/>
        </w:rPr>
      </w:pPr>
    </w:p>
    <w:p w:rsidR="00EF585D" w:rsidRDefault="00171BE8">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highlight w:val="white"/>
        </w:rPr>
        <w:t xml:space="preserve">SEGUNDO. </w:t>
      </w:r>
      <w:r>
        <w:rPr>
          <w:rFonts w:ascii="Palatino Linotype" w:eastAsia="Palatino Linotype" w:hAnsi="Palatino Linotype" w:cs="Palatino Linotype"/>
          <w:b/>
          <w:color w:val="000000"/>
          <w:sz w:val="24"/>
          <w:szCs w:val="24"/>
        </w:rPr>
        <w:t xml:space="preserve">Notifíquese, </w:t>
      </w:r>
      <w:r>
        <w:rPr>
          <w:rFonts w:ascii="Palatino Linotype" w:eastAsia="Palatino Linotype" w:hAnsi="Palatino Linotype" w:cs="Palatino Linotype"/>
          <w:color w:val="000000"/>
          <w:sz w:val="24"/>
          <w:szCs w:val="24"/>
        </w:rPr>
        <w:t xml:space="preserve">vía </w:t>
      </w:r>
      <w:r>
        <w:rPr>
          <w:rFonts w:ascii="Palatino Linotype" w:eastAsia="Palatino Linotype" w:hAnsi="Palatino Linotype" w:cs="Palatino Linotype"/>
          <w:b/>
          <w:color w:val="000000"/>
          <w:sz w:val="24"/>
          <w:szCs w:val="24"/>
        </w:rPr>
        <w:t xml:space="preserve">SAIMEX, </w:t>
      </w:r>
      <w:r>
        <w:rPr>
          <w:rFonts w:ascii="Palatino Linotype" w:eastAsia="Palatino Linotype" w:hAnsi="Palatino Linotype" w:cs="Palatino Linotype"/>
          <w:color w:val="000000"/>
          <w:sz w:val="24"/>
          <w:szCs w:val="24"/>
        </w:rPr>
        <w:t xml:space="preserve">al Responsable de la Unidad de Transparencia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la presente resolución, para su conocimiento.</w:t>
      </w:r>
    </w:p>
    <w:p w:rsidR="00EF585D" w:rsidRDefault="00EF585D">
      <w:pPr>
        <w:spacing w:after="0" w:line="360" w:lineRule="auto"/>
        <w:jc w:val="both"/>
        <w:rPr>
          <w:rFonts w:ascii="Palatino Linotype" w:eastAsia="Palatino Linotype" w:hAnsi="Palatino Linotype" w:cs="Palatino Linotype"/>
          <w:color w:val="000000"/>
          <w:sz w:val="24"/>
          <w:szCs w:val="24"/>
        </w:rPr>
      </w:pPr>
    </w:p>
    <w:p w:rsidR="00EF585D" w:rsidRDefault="00171BE8">
      <w:pPr>
        <w:spacing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TERCERO. Notifíquese </w:t>
      </w:r>
      <w:r>
        <w:rPr>
          <w:rFonts w:ascii="Palatino Linotype" w:eastAsia="Palatino Linotype" w:hAnsi="Palatino Linotype" w:cs="Palatino Linotype"/>
          <w:b/>
          <w:color w:val="000000"/>
          <w:sz w:val="24"/>
          <w:szCs w:val="24"/>
          <w:highlight w:val="white"/>
        </w:rPr>
        <w:t xml:space="preserve">vía SAIMEX </w:t>
      </w:r>
      <w:r>
        <w:rPr>
          <w:rFonts w:ascii="Palatino Linotype" w:eastAsia="Palatino Linotype" w:hAnsi="Palatino Linotype" w:cs="Palatino Linotype"/>
          <w:color w:val="000000"/>
          <w:sz w:val="24"/>
          <w:szCs w:val="24"/>
          <w:highlight w:val="white"/>
        </w:rPr>
        <w:t xml:space="preserve">y </w:t>
      </w:r>
      <w:r>
        <w:rPr>
          <w:rFonts w:ascii="Palatino Linotype" w:eastAsia="Palatino Linotype" w:hAnsi="Palatino Linotype" w:cs="Palatino Linotype"/>
          <w:b/>
          <w:color w:val="000000"/>
          <w:sz w:val="24"/>
          <w:szCs w:val="24"/>
          <w:highlight w:val="white"/>
        </w:rPr>
        <w:t>correo electrónico</w:t>
      </w:r>
      <w:r>
        <w:rPr>
          <w:rFonts w:ascii="Palatino Linotype" w:eastAsia="Palatino Linotype" w:hAnsi="Palatino Linotype" w:cs="Palatino Linotype"/>
          <w:color w:val="000000"/>
          <w:sz w:val="24"/>
          <w:szCs w:val="24"/>
        </w:rPr>
        <w:t>, a la</w:t>
      </w:r>
      <w:r>
        <w:rPr>
          <w:rFonts w:ascii="Palatino Linotype" w:eastAsia="Palatino Linotype" w:hAnsi="Palatino Linotype" w:cs="Palatino Linotype"/>
          <w:b/>
          <w:color w:val="000000"/>
          <w:sz w:val="24"/>
          <w:szCs w:val="24"/>
        </w:rPr>
        <w:t xml:space="preserve"> RECURRENTE</w:t>
      </w:r>
      <w:r>
        <w:rPr>
          <w:rFonts w:ascii="Palatino Linotype" w:eastAsia="Palatino Linotype" w:hAnsi="Palatino Linotype" w:cs="Palatino Linotype"/>
          <w:color w:val="000000"/>
          <w:sz w:val="24"/>
          <w:szCs w:val="24"/>
        </w:rPr>
        <w:t xml:space="preserve"> la presente resolución; así como, que de conformidad con lo establecido en el artículo 196 de la Ley de Transparencia y Acceso a la Información Pública del Estado de México y Municipios, podrá </w:t>
      </w:r>
      <w:r>
        <w:rPr>
          <w:rFonts w:ascii="Palatino Linotype" w:eastAsia="Palatino Linotype" w:hAnsi="Palatino Linotype" w:cs="Palatino Linotype"/>
          <w:sz w:val="24"/>
          <w:szCs w:val="24"/>
        </w:rPr>
        <w:t>impugnar vía</w:t>
      </w:r>
      <w:r>
        <w:rPr>
          <w:rFonts w:ascii="Palatino Linotype" w:eastAsia="Palatino Linotype" w:hAnsi="Palatino Linotype" w:cs="Palatino Linotype"/>
          <w:color w:val="000000"/>
          <w:sz w:val="24"/>
          <w:szCs w:val="24"/>
        </w:rPr>
        <w:t xml:space="preserve"> Juicio de Amparo en los términos de las leyes aplicables.</w:t>
      </w:r>
    </w:p>
    <w:p w:rsidR="00EF585D" w:rsidRDefault="00171BE8">
      <w:pPr>
        <w:spacing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DÉCIMO TERCERA SESIÓN ORDINARIA CELEBRADA EL S</w:t>
      </w:r>
      <w:r>
        <w:rPr>
          <w:rFonts w:ascii="Palatino Linotype" w:eastAsia="Palatino Linotype" w:hAnsi="Palatino Linotype" w:cs="Palatino Linotype"/>
          <w:sz w:val="24"/>
          <w:szCs w:val="24"/>
        </w:rPr>
        <w:t>IETE</w:t>
      </w:r>
      <w:r>
        <w:rPr>
          <w:rFonts w:ascii="Palatino Linotype" w:eastAsia="Palatino Linotype" w:hAnsi="Palatino Linotype" w:cs="Palatino Linotype"/>
          <w:color w:val="000000"/>
          <w:sz w:val="24"/>
          <w:szCs w:val="24"/>
        </w:rPr>
        <w:t xml:space="preserve"> DE ABRIL DEL DOS MIL VEINTIDÓS, ANTE EL SECRETARIO TÉCNICO DEL PLENO ALEXIS TAPIA RAMÍREZ.</w:t>
      </w:r>
    </w:p>
    <w:p w:rsidR="00EF585D" w:rsidRDefault="00EF585D">
      <w:pPr>
        <w:spacing w:after="240" w:line="360" w:lineRule="auto"/>
        <w:jc w:val="both"/>
        <w:rPr>
          <w:rFonts w:ascii="Palatino Linotype" w:eastAsia="Palatino Linotype" w:hAnsi="Palatino Linotype" w:cs="Palatino Linotype"/>
          <w:color w:val="000000"/>
          <w:sz w:val="24"/>
          <w:szCs w:val="24"/>
        </w:rPr>
      </w:pPr>
    </w:p>
    <w:p w:rsidR="00EF585D" w:rsidRDefault="00EF585D">
      <w:pPr>
        <w:spacing w:line="360" w:lineRule="auto"/>
        <w:jc w:val="both"/>
        <w:rPr>
          <w:rFonts w:ascii="Palatino Linotype" w:eastAsia="Palatino Linotype" w:hAnsi="Palatino Linotype" w:cs="Palatino Linotype"/>
          <w:color w:val="000000"/>
          <w:sz w:val="24"/>
          <w:szCs w:val="24"/>
        </w:rPr>
      </w:pPr>
    </w:p>
    <w:p w:rsidR="00EF585D" w:rsidRDefault="00EF585D">
      <w:pPr>
        <w:spacing w:line="360" w:lineRule="auto"/>
        <w:ind w:left="851" w:right="900"/>
        <w:jc w:val="both"/>
        <w:rPr>
          <w:rFonts w:ascii="Palatino Linotype" w:eastAsia="Palatino Linotype" w:hAnsi="Palatino Linotype" w:cs="Palatino Linotype"/>
          <w:i/>
          <w:color w:val="000000"/>
        </w:rPr>
      </w:pPr>
    </w:p>
    <w:sectPr w:rsidR="00EF585D">
      <w:headerReference w:type="default" r:id="rId22"/>
      <w:footerReference w:type="default" r:id="rId23"/>
      <w:headerReference w:type="first" r:id="rId24"/>
      <w:footerReference w:type="first" r:id="rId25"/>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4EC" w:rsidRDefault="00171BE8">
      <w:pPr>
        <w:spacing w:after="0" w:line="240" w:lineRule="auto"/>
      </w:pPr>
      <w:r>
        <w:separator/>
      </w:r>
    </w:p>
  </w:endnote>
  <w:endnote w:type="continuationSeparator" w:id="0">
    <w:p w:rsidR="00EB04EC" w:rsidRDefault="00171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85D" w:rsidRDefault="00171BE8">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979FF">
      <w:rPr>
        <w:rFonts w:ascii="Arial" w:eastAsia="Arial" w:hAnsi="Arial" w:cs="Arial"/>
        <w:b/>
        <w:noProof/>
        <w:color w:val="000000"/>
        <w:sz w:val="20"/>
        <w:szCs w:val="20"/>
      </w:rPr>
      <w:t>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979FF">
      <w:rPr>
        <w:rFonts w:ascii="Arial" w:eastAsia="Arial" w:hAnsi="Arial" w:cs="Arial"/>
        <w:b/>
        <w:noProof/>
        <w:color w:val="000000"/>
        <w:sz w:val="20"/>
        <w:szCs w:val="20"/>
      </w:rPr>
      <w:t>59</w:t>
    </w:r>
    <w:r>
      <w:rPr>
        <w:rFonts w:ascii="Arial" w:eastAsia="Arial" w:hAnsi="Arial" w:cs="Arial"/>
        <w:b/>
        <w:color w:val="000000"/>
        <w:sz w:val="20"/>
        <w:szCs w:val="20"/>
      </w:rPr>
      <w:fldChar w:fldCharType="end"/>
    </w:r>
  </w:p>
  <w:p w:rsidR="00EF585D" w:rsidRDefault="00EF585D">
    <w:pPr>
      <w:pBdr>
        <w:top w:val="nil"/>
        <w:left w:val="nil"/>
        <w:bottom w:val="nil"/>
        <w:right w:val="nil"/>
        <w:between w:val="nil"/>
      </w:pBdr>
      <w:tabs>
        <w:tab w:val="center" w:pos="4419"/>
        <w:tab w:val="right" w:pos="8838"/>
      </w:tabs>
      <w:spacing w:after="0" w:line="240" w:lineRule="auto"/>
      <w:rPr>
        <w:color w:val="000000"/>
      </w:rPr>
    </w:pPr>
  </w:p>
  <w:p w:rsidR="00EF585D" w:rsidRDefault="00EF585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85D" w:rsidRDefault="00171BE8">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979FF">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979FF">
      <w:rPr>
        <w:rFonts w:ascii="Arial" w:eastAsia="Arial" w:hAnsi="Arial" w:cs="Arial"/>
        <w:b/>
        <w:noProof/>
        <w:color w:val="000000"/>
        <w:sz w:val="20"/>
        <w:szCs w:val="20"/>
      </w:rPr>
      <w:t>59</w:t>
    </w:r>
    <w:r>
      <w:rPr>
        <w:rFonts w:ascii="Arial" w:eastAsia="Arial" w:hAnsi="Arial" w:cs="Arial"/>
        <w:b/>
        <w:color w:val="000000"/>
        <w:sz w:val="20"/>
        <w:szCs w:val="20"/>
      </w:rPr>
      <w:fldChar w:fldCharType="end"/>
    </w:r>
  </w:p>
  <w:p w:rsidR="00EF585D" w:rsidRDefault="00EF585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4EC" w:rsidRDefault="00171BE8">
      <w:pPr>
        <w:spacing w:after="0" w:line="240" w:lineRule="auto"/>
      </w:pPr>
      <w:r>
        <w:separator/>
      </w:r>
    </w:p>
  </w:footnote>
  <w:footnote w:type="continuationSeparator" w:id="0">
    <w:p w:rsidR="00EB04EC" w:rsidRDefault="00171BE8">
      <w:pPr>
        <w:spacing w:after="0" w:line="240" w:lineRule="auto"/>
      </w:pPr>
      <w:r>
        <w:continuationSeparator/>
      </w:r>
    </w:p>
  </w:footnote>
  <w:footnote w:id="1">
    <w:p w:rsidR="00EF585D" w:rsidRDefault="00171BE8">
      <w:pPr>
        <w:spacing w:after="0" w:line="240" w:lineRule="auto"/>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sz w:val="20"/>
          <w:szCs w:val="20"/>
        </w:rPr>
        <w:t xml:space="preserve"> (…)</w:t>
      </w:r>
    </w:p>
  </w:footnote>
  <w:footnote w:id="2">
    <w:p w:rsidR="00EF585D" w:rsidRDefault="00171BE8">
      <w:pPr>
        <w:spacing w:after="0" w:line="240" w:lineRule="auto"/>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9"/>
          <w:szCs w:val="19"/>
        </w:rPr>
        <w:t xml:space="preserve"> </w:t>
      </w:r>
      <w:r>
        <w:rPr>
          <w:rFonts w:ascii="Palatino Linotype" w:eastAsia="Palatino Linotype" w:hAnsi="Palatino Linotype" w:cs="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85D" w:rsidRDefault="00EF585D">
    <w:pPr>
      <w:widowControl w:val="0"/>
      <w:pBdr>
        <w:top w:val="nil"/>
        <w:left w:val="nil"/>
        <w:bottom w:val="nil"/>
        <w:right w:val="nil"/>
        <w:between w:val="nil"/>
      </w:pBdr>
      <w:spacing w:after="0" w:line="276" w:lineRule="auto"/>
      <w:rPr>
        <w:color w:val="000000"/>
      </w:rPr>
    </w:pPr>
  </w:p>
  <w:tbl>
    <w:tblPr>
      <w:tblStyle w:val="a7"/>
      <w:tblW w:w="10381" w:type="dxa"/>
      <w:tblInd w:w="-1281" w:type="dxa"/>
      <w:tblLayout w:type="fixed"/>
      <w:tblLook w:val="0400" w:firstRow="0" w:lastRow="0" w:firstColumn="0" w:lastColumn="0" w:noHBand="0" w:noVBand="1"/>
    </w:tblPr>
    <w:tblGrid>
      <w:gridCol w:w="5524"/>
      <w:gridCol w:w="4857"/>
    </w:tblGrid>
    <w:tr w:rsidR="00EF585D">
      <w:trPr>
        <w:trHeight w:val="251"/>
      </w:trPr>
      <w:tc>
        <w:tcPr>
          <w:tcW w:w="5524" w:type="dxa"/>
        </w:tcPr>
        <w:p w:rsidR="00EF585D" w:rsidRDefault="00171BE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857" w:type="dxa"/>
        </w:tcPr>
        <w:p w:rsidR="00EF585D" w:rsidRDefault="00171BE8">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00064/INFOEM/IP/RR/2022</w:t>
          </w:r>
        </w:p>
      </w:tc>
    </w:tr>
    <w:tr w:rsidR="00EF585D">
      <w:trPr>
        <w:trHeight w:val="216"/>
      </w:trPr>
      <w:tc>
        <w:tcPr>
          <w:tcW w:w="5524" w:type="dxa"/>
        </w:tcPr>
        <w:p w:rsidR="00EF585D" w:rsidRDefault="00171BE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857" w:type="dxa"/>
        </w:tcPr>
        <w:p w:rsidR="00EF585D" w:rsidRDefault="00EF585D">
          <w:pPr>
            <w:spacing w:after="120"/>
            <w:ind w:left="-486" w:right="214" w:firstLine="567"/>
            <w:jc w:val="right"/>
            <w:rPr>
              <w:rFonts w:ascii="Palatino Linotype" w:eastAsia="Palatino Linotype" w:hAnsi="Palatino Linotype" w:cs="Palatino Linotype"/>
              <w:sz w:val="24"/>
              <w:szCs w:val="24"/>
            </w:rPr>
          </w:pPr>
        </w:p>
      </w:tc>
    </w:tr>
    <w:tr w:rsidR="00EF585D">
      <w:trPr>
        <w:trHeight w:val="268"/>
      </w:trPr>
      <w:tc>
        <w:tcPr>
          <w:tcW w:w="5524" w:type="dxa"/>
        </w:tcPr>
        <w:p w:rsidR="00EF585D" w:rsidRDefault="00171BE8">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857" w:type="dxa"/>
        </w:tcPr>
        <w:p w:rsidR="00EF585D" w:rsidRDefault="00171BE8">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Poder Judicial</w:t>
          </w:r>
        </w:p>
      </w:tc>
    </w:tr>
    <w:tr w:rsidR="00EF585D">
      <w:trPr>
        <w:trHeight w:val="379"/>
      </w:trPr>
      <w:tc>
        <w:tcPr>
          <w:tcW w:w="5524" w:type="dxa"/>
        </w:tcPr>
        <w:p w:rsidR="00EF585D" w:rsidRDefault="00171BE8">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857" w:type="dxa"/>
        </w:tcPr>
        <w:p w:rsidR="00EF585D" w:rsidRDefault="00171BE8">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EF585D" w:rsidRDefault="00171BE8">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-1079497</wp:posOffset>
          </wp:positionH>
          <wp:positionV relativeFrom="paragraph">
            <wp:posOffset>-1578607</wp:posOffset>
          </wp:positionV>
          <wp:extent cx="7867650" cy="10133330"/>
          <wp:effectExtent l="0" t="0" r="0" b="0"/>
          <wp:wrapNone/>
          <wp:docPr id="6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85D" w:rsidRDefault="00EF585D">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bl>
    <w:tblPr>
      <w:tblStyle w:val="a6"/>
      <w:tblW w:w="10637" w:type="dxa"/>
      <w:tblInd w:w="-1281" w:type="dxa"/>
      <w:tblLayout w:type="fixed"/>
      <w:tblLook w:val="0400" w:firstRow="0" w:lastRow="0" w:firstColumn="0" w:lastColumn="0" w:noHBand="0" w:noVBand="1"/>
    </w:tblPr>
    <w:tblGrid>
      <w:gridCol w:w="5660"/>
      <w:gridCol w:w="4977"/>
    </w:tblGrid>
    <w:tr w:rsidR="00EF585D">
      <w:trPr>
        <w:trHeight w:val="260"/>
      </w:trPr>
      <w:tc>
        <w:tcPr>
          <w:tcW w:w="5660" w:type="dxa"/>
        </w:tcPr>
        <w:p w:rsidR="00EF585D" w:rsidRDefault="00171BE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977" w:type="dxa"/>
        </w:tcPr>
        <w:p w:rsidR="00EF585D" w:rsidRDefault="00171BE8">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00064/INFOEM/IP/RR/2022</w:t>
          </w:r>
        </w:p>
      </w:tc>
    </w:tr>
    <w:tr w:rsidR="00EF585D">
      <w:trPr>
        <w:trHeight w:val="224"/>
      </w:trPr>
      <w:tc>
        <w:tcPr>
          <w:tcW w:w="5660" w:type="dxa"/>
        </w:tcPr>
        <w:p w:rsidR="00EF585D" w:rsidRDefault="00171BE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977" w:type="dxa"/>
        </w:tcPr>
        <w:p w:rsidR="00EF585D" w:rsidRDefault="002979FF" w:rsidP="002979FF">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w:t>
          </w:r>
          <w:r w:rsidR="00171BE8">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xxxxxxx</w:t>
          </w:r>
          <w:r w:rsidR="00171BE8">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xxxxxxxxx</w:t>
          </w:r>
        </w:p>
      </w:tc>
    </w:tr>
    <w:tr w:rsidR="00EF585D">
      <w:trPr>
        <w:trHeight w:val="278"/>
      </w:trPr>
      <w:tc>
        <w:tcPr>
          <w:tcW w:w="5660" w:type="dxa"/>
        </w:tcPr>
        <w:p w:rsidR="00EF585D" w:rsidRDefault="00171BE8">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977" w:type="dxa"/>
        </w:tcPr>
        <w:p w:rsidR="00EF585D" w:rsidRDefault="00171BE8">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Poder Judicial</w:t>
          </w:r>
        </w:p>
      </w:tc>
    </w:tr>
    <w:tr w:rsidR="00EF585D">
      <w:trPr>
        <w:trHeight w:val="393"/>
      </w:trPr>
      <w:tc>
        <w:tcPr>
          <w:tcW w:w="5660" w:type="dxa"/>
        </w:tcPr>
        <w:p w:rsidR="00EF585D" w:rsidRDefault="00171BE8">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977" w:type="dxa"/>
        </w:tcPr>
        <w:p w:rsidR="00EF585D" w:rsidRDefault="00171BE8">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EF585D" w:rsidRDefault="00171BE8">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simplePos x="0" y="0"/>
          <wp:positionH relativeFrom="column">
            <wp:posOffset>-1108072</wp:posOffset>
          </wp:positionH>
          <wp:positionV relativeFrom="paragraph">
            <wp:posOffset>-1616707</wp:posOffset>
          </wp:positionV>
          <wp:extent cx="7867650" cy="10133330"/>
          <wp:effectExtent l="0" t="0" r="0" b="0"/>
          <wp:wrapNone/>
          <wp:docPr id="5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126829"/>
    <w:multiLevelType w:val="multilevel"/>
    <w:tmpl w:val="5AB672E4"/>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326C297B"/>
    <w:multiLevelType w:val="multilevel"/>
    <w:tmpl w:val="3676D0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C8570AC"/>
    <w:multiLevelType w:val="multilevel"/>
    <w:tmpl w:val="A27C1B3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85D"/>
    <w:rsid w:val="00171BE8"/>
    <w:rsid w:val="002979FF"/>
    <w:rsid w:val="00EB04EC"/>
    <w:rsid w:val="00EF58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7A384B-56BF-417D-B6F7-7D066BFC3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C31"/>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318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180F"/>
  </w:style>
  <w:style w:type="paragraph" w:styleId="Piedepgina">
    <w:name w:val="footer"/>
    <w:basedOn w:val="Normal"/>
    <w:link w:val="PiedepginaCar"/>
    <w:uiPriority w:val="99"/>
    <w:unhideWhenUsed/>
    <w:rsid w:val="007318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180F"/>
  </w:style>
  <w:style w:type="character" w:styleId="Hipervnculo">
    <w:name w:val="Hyperlink"/>
    <w:basedOn w:val="Fuentedeprrafopredeter"/>
    <w:uiPriority w:val="99"/>
    <w:unhideWhenUsed/>
    <w:rsid w:val="0061563F"/>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D17F6C"/>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17F6C"/>
  </w:style>
  <w:style w:type="paragraph" w:styleId="Textoindependiente">
    <w:name w:val="Body Text"/>
    <w:basedOn w:val="Normal"/>
    <w:link w:val="TextoindependienteCar"/>
    <w:uiPriority w:val="99"/>
    <w:unhideWhenUsed/>
    <w:rsid w:val="00484441"/>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484441"/>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047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76984"/>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C8669F"/>
    <w:rPr>
      <w:b/>
      <w:bCs/>
    </w:rPr>
  </w:style>
  <w:style w:type="paragraph" w:styleId="Sinespaciado">
    <w:name w:val="No Spacing"/>
    <w:aliases w:val="Francesa,INAI"/>
    <w:link w:val="SinespaciadoCar"/>
    <w:uiPriority w:val="1"/>
    <w:qFormat/>
    <w:rsid w:val="00A8433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A8433B"/>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B66AC1"/>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saimex.org.mx/saimex/solicitud/downloadAttach/1302285.pag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saimex.org.mx/saimex/solicitud/downloadAttach/1311650.page"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saimex.org.mx/saimex/solicitud/downloadAttach/1311648.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https://www.saimex.org.mx/saimex/solicitud/downloadAttach/1284672.page" TargetMode="External"/><Relationship Id="rId19" Type="http://schemas.openxmlformats.org/officeDocument/2006/relationships/hyperlink" Target="https://www.saimex.org.mx/saimex/solicitud/downloadAttach/1311633.page" TargetMode="External"/><Relationship Id="rId4" Type="http://schemas.openxmlformats.org/officeDocument/2006/relationships/settings" Target="settings.xml"/><Relationship Id="rId9" Type="http://schemas.openxmlformats.org/officeDocument/2006/relationships/hyperlink" Target="https://www.saimex.org.mx/saimex/solicitud/downloadAttach/1284671.page"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29sgxQBFMyBKAUliJVvWRIpT1g==">AMUW2mUlnDPp2D586WUkvZnxVHVfBNeGRDxn90iJ5pm5e58BDRUFX7nEmEWPt1OgqQQEgjzs/msFzq4eeRRwqyHoQo6YpirYC4gHqO1Mes0ERcGGSZy5YQOOZom5Tyf4lsF/VAZSTszuObYw5XindOyKwgodtSI1TF2YS6HL6ZBplbA+3aWOV/OB92pSHjGHsxP3UyCmWInW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15107</Words>
  <Characters>83094</Characters>
  <Application>Microsoft Office Word</Application>
  <DocSecurity>0</DocSecurity>
  <Lines>692</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dcterms:created xsi:type="dcterms:W3CDTF">2022-04-06T17:51:00Z</dcterms:created>
  <dcterms:modified xsi:type="dcterms:W3CDTF">2022-05-12T16:38:00Z</dcterms:modified>
</cp:coreProperties>
</file>