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5E547" w14:textId="6E06F583" w:rsidR="000A5354" w:rsidRDefault="000A5354" w:rsidP="00022B40">
      <w:pPr>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w:t>
      </w:r>
      <w:r w:rsidRPr="00022F87">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a </w:t>
      </w:r>
      <w:r w:rsidR="005D4A6E" w:rsidRPr="008D49D5">
        <w:rPr>
          <w:rFonts w:ascii="Palatino Linotype" w:eastAsia="Times New Roman" w:hAnsi="Palatino Linotype" w:cs="Arial"/>
          <w:color w:val="000000"/>
          <w:sz w:val="24"/>
          <w:szCs w:val="24"/>
          <w:lang w:eastAsia="es-MX"/>
        </w:rPr>
        <w:t>veintitrés de febrero</w:t>
      </w:r>
      <w:r w:rsidR="00022B40" w:rsidRPr="008D49D5">
        <w:rPr>
          <w:rFonts w:ascii="Palatino Linotype" w:eastAsia="Times New Roman" w:hAnsi="Palatino Linotype" w:cs="Arial"/>
          <w:color w:val="000000"/>
          <w:sz w:val="24"/>
          <w:szCs w:val="24"/>
          <w:lang w:eastAsia="es-MX"/>
        </w:rPr>
        <w:t xml:space="preserve"> de dos mil veintidós.</w:t>
      </w:r>
      <w:r w:rsidR="00022B40">
        <w:rPr>
          <w:rFonts w:ascii="Palatino Linotype" w:eastAsia="Times New Roman" w:hAnsi="Palatino Linotype" w:cs="Arial"/>
          <w:color w:val="000000"/>
          <w:sz w:val="24"/>
          <w:szCs w:val="24"/>
          <w:lang w:eastAsia="es-MX"/>
        </w:rPr>
        <w:t xml:space="preserve"> </w:t>
      </w:r>
      <w:r w:rsidR="000B5F4B">
        <w:rPr>
          <w:rFonts w:ascii="Palatino Linotype" w:eastAsia="Times New Roman" w:hAnsi="Palatino Linotype" w:cs="Arial"/>
          <w:color w:val="000000"/>
          <w:sz w:val="24"/>
          <w:szCs w:val="24"/>
          <w:lang w:eastAsia="es-MX"/>
        </w:rPr>
        <w:t xml:space="preserve"> </w:t>
      </w:r>
      <w:r w:rsidR="008277B8">
        <w:rPr>
          <w:rFonts w:ascii="Palatino Linotype" w:eastAsia="Times New Roman" w:hAnsi="Palatino Linotype" w:cs="Arial"/>
          <w:color w:val="000000"/>
          <w:sz w:val="24"/>
          <w:szCs w:val="24"/>
          <w:lang w:eastAsia="es-MX"/>
        </w:rPr>
        <w:t xml:space="preserve"> </w:t>
      </w:r>
      <w:r w:rsidR="00CB1EB2">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3AE664AC" w14:textId="77777777" w:rsidR="00022B40" w:rsidRPr="008277B8" w:rsidRDefault="000A5354" w:rsidP="00022B40">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022B40">
        <w:rPr>
          <w:rFonts w:ascii="Palatino Linotype" w:hAnsi="Palatino Linotype" w:cs="Arial"/>
          <w:b/>
          <w:sz w:val="24"/>
        </w:rPr>
        <w:t xml:space="preserve">00290/INFOEM/IP/RR/2022 </w:t>
      </w:r>
      <w:r w:rsidR="00022B40">
        <w:rPr>
          <w:rFonts w:ascii="Palatino Linotype" w:hAnsi="Palatino Linotype" w:cs="Arial"/>
          <w:sz w:val="24"/>
        </w:rPr>
        <w:t xml:space="preserve">y </w:t>
      </w:r>
      <w:r w:rsidR="00022B40">
        <w:rPr>
          <w:rFonts w:ascii="Palatino Linotype" w:hAnsi="Palatino Linotype" w:cs="Arial"/>
          <w:b/>
          <w:sz w:val="24"/>
        </w:rPr>
        <w:t xml:space="preserve">00291/INFOEM/IP/RR/2022, </w:t>
      </w:r>
      <w:r w:rsidR="00022B40">
        <w:rPr>
          <w:rFonts w:ascii="Palatino Linotype" w:hAnsi="Palatino Linotype" w:cs="Arial"/>
          <w:sz w:val="24"/>
        </w:rPr>
        <w:t xml:space="preserve">interpuestos por </w:t>
      </w:r>
      <w:bookmarkStart w:id="0" w:name="_GoBack"/>
      <w:bookmarkEnd w:id="0"/>
      <w:r w:rsidR="00022B40">
        <w:rPr>
          <w:rFonts w:ascii="Palatino Linotype" w:hAnsi="Palatino Linotype" w:cs="Arial"/>
          <w:sz w:val="24"/>
        </w:rPr>
        <w:t xml:space="preserve">un particular que no señaló nombre, en lo sucesivo </w:t>
      </w:r>
      <w:r w:rsidR="00022B40">
        <w:rPr>
          <w:rFonts w:ascii="Palatino Linotype" w:hAnsi="Palatino Linotype" w:cs="Arial"/>
          <w:b/>
          <w:sz w:val="24"/>
        </w:rPr>
        <w:t xml:space="preserve">El Recurrente, </w:t>
      </w:r>
      <w:r w:rsidR="00022B40">
        <w:rPr>
          <w:rFonts w:ascii="Palatino Linotype" w:hAnsi="Palatino Linotype" w:cs="Arial"/>
          <w:sz w:val="24"/>
        </w:rPr>
        <w:t xml:space="preserve">en contra de las respuestas de la </w:t>
      </w:r>
      <w:r w:rsidR="00022B40">
        <w:rPr>
          <w:rFonts w:ascii="Palatino Linotype" w:hAnsi="Palatino Linotype" w:cs="Arial"/>
          <w:b/>
          <w:sz w:val="24"/>
        </w:rPr>
        <w:t xml:space="preserve">Comisión de Conciliación y Arbitraje Médico del Estado de México, </w:t>
      </w:r>
      <w:r w:rsidR="00022B40">
        <w:rPr>
          <w:rFonts w:ascii="Palatino Linotype" w:hAnsi="Palatino Linotype" w:cs="Arial"/>
          <w:sz w:val="24"/>
        </w:rPr>
        <w:t xml:space="preserve">en lo subsecuente </w:t>
      </w:r>
      <w:r w:rsidR="00022B40">
        <w:rPr>
          <w:rFonts w:ascii="Palatino Linotype" w:hAnsi="Palatino Linotype" w:cs="Arial"/>
          <w:b/>
          <w:sz w:val="24"/>
        </w:rPr>
        <w:t xml:space="preserve">El Sujeto Obligado, </w:t>
      </w:r>
      <w:r w:rsidR="00022B40">
        <w:rPr>
          <w:rFonts w:ascii="Palatino Linotype" w:hAnsi="Palatino Linotype" w:cs="Arial"/>
          <w:sz w:val="24"/>
        </w:rPr>
        <w:t xml:space="preserve">se procede a dictar la presente resolución. </w:t>
      </w:r>
    </w:p>
    <w:p w14:paraId="14B490B5" w14:textId="77777777" w:rsidR="008277B8" w:rsidRDefault="008277B8" w:rsidP="000A5354">
      <w:pPr>
        <w:spacing w:before="240" w:after="240" w:line="360" w:lineRule="auto"/>
        <w:jc w:val="center"/>
        <w:rPr>
          <w:rFonts w:ascii="Palatino Linotype" w:hAnsi="Palatino Linotype"/>
          <w:b/>
          <w:sz w:val="28"/>
        </w:rPr>
      </w:pPr>
    </w:p>
    <w:p w14:paraId="1785F883" w14:textId="77777777" w:rsidR="000A5354" w:rsidRPr="00D3218F" w:rsidRDefault="000A5354" w:rsidP="000A5354">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99B84E5" w14:textId="60C09AA0" w:rsidR="000A5354" w:rsidRPr="00D3218F" w:rsidRDefault="000A5354" w:rsidP="000A5354">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w:t>
      </w:r>
      <w:r w:rsidR="00B81C4B">
        <w:rPr>
          <w:rFonts w:ascii="Palatino Linotype" w:hAnsi="Palatino Linotype"/>
          <w:b/>
          <w:sz w:val="28"/>
          <w:szCs w:val="28"/>
        </w:rPr>
        <w:t>s</w:t>
      </w:r>
      <w:r w:rsidRPr="00D3218F">
        <w:rPr>
          <w:rFonts w:ascii="Palatino Linotype" w:hAnsi="Palatino Linotype"/>
          <w:b/>
          <w:sz w:val="28"/>
          <w:szCs w:val="28"/>
        </w:rPr>
        <w:t xml:space="preserve"> Solicitud</w:t>
      </w:r>
      <w:r w:rsidR="00B81C4B">
        <w:rPr>
          <w:rFonts w:ascii="Palatino Linotype" w:hAnsi="Palatino Linotype"/>
          <w:b/>
          <w:sz w:val="28"/>
          <w:szCs w:val="28"/>
        </w:rPr>
        <w:t>es</w:t>
      </w:r>
      <w:r w:rsidRPr="00D3218F">
        <w:rPr>
          <w:rFonts w:ascii="Palatino Linotype" w:hAnsi="Palatino Linotype"/>
          <w:b/>
          <w:sz w:val="28"/>
          <w:szCs w:val="28"/>
        </w:rPr>
        <w:t xml:space="preserve"> de Información.</w:t>
      </w:r>
    </w:p>
    <w:p w14:paraId="26CAC3A1" w14:textId="70660A9A" w:rsidR="00022B40" w:rsidRPr="00022B40" w:rsidRDefault="000A5354" w:rsidP="000A5354">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022B40">
        <w:rPr>
          <w:rFonts w:ascii="Palatino Linotype" w:hAnsi="Palatino Linotype" w:cs="Arial"/>
          <w:sz w:val="24"/>
        </w:rPr>
        <w:t xml:space="preserve"> trece de diciembre de dos mil veintiuno, </w:t>
      </w:r>
      <w:r w:rsidR="00022B40">
        <w:rPr>
          <w:rFonts w:ascii="Palatino Linotype" w:hAnsi="Palatino Linotype" w:cs="Arial"/>
          <w:b/>
          <w:sz w:val="24"/>
        </w:rPr>
        <w:t xml:space="preserve">El Recurrente, </w:t>
      </w:r>
      <w:r w:rsidR="00022B40">
        <w:rPr>
          <w:rFonts w:ascii="Palatino Linotype" w:hAnsi="Palatino Linotype" w:cs="Arial"/>
          <w:sz w:val="24"/>
        </w:rPr>
        <w:t xml:space="preserve">presentó a través del </w:t>
      </w:r>
      <w:r w:rsidR="00022B40" w:rsidRPr="00D3218F">
        <w:rPr>
          <w:rFonts w:ascii="Palatino Linotype" w:hAnsi="Palatino Linotype" w:cs="Arial"/>
          <w:sz w:val="24"/>
        </w:rPr>
        <w:t>Sistema de Acceso a la Información Mexiquense (</w:t>
      </w:r>
      <w:r w:rsidR="00022B40" w:rsidRPr="00D3218F">
        <w:rPr>
          <w:rFonts w:ascii="Palatino Linotype" w:hAnsi="Palatino Linotype" w:cs="Arial"/>
          <w:b/>
          <w:sz w:val="24"/>
        </w:rPr>
        <w:t>SAIMEX)</w:t>
      </w:r>
      <w:r w:rsidR="00022B40" w:rsidRPr="00D3218F">
        <w:rPr>
          <w:rFonts w:ascii="Palatino Linotype" w:hAnsi="Palatino Linotype" w:cs="Arial"/>
          <w:sz w:val="24"/>
        </w:rPr>
        <w:t xml:space="preserve"> ante </w:t>
      </w:r>
      <w:r w:rsidR="00022B40" w:rsidRPr="00D3218F">
        <w:rPr>
          <w:rFonts w:ascii="Palatino Linotype" w:hAnsi="Palatino Linotype" w:cs="Arial"/>
          <w:b/>
          <w:sz w:val="24"/>
        </w:rPr>
        <w:t>El Sujeto Obligado</w:t>
      </w:r>
      <w:r w:rsidR="00022B40" w:rsidRPr="00D3218F">
        <w:rPr>
          <w:rFonts w:ascii="Palatino Linotype" w:hAnsi="Palatino Linotype" w:cs="Arial"/>
          <w:sz w:val="24"/>
        </w:rPr>
        <w:t>, las solicitudes de acceso a la información pública, registradas bajo</w:t>
      </w:r>
      <w:r w:rsidR="00022B40">
        <w:rPr>
          <w:rFonts w:ascii="Palatino Linotype" w:hAnsi="Palatino Linotype" w:cs="Arial"/>
          <w:sz w:val="24"/>
        </w:rPr>
        <w:t xml:space="preserve"> los números de expediente </w:t>
      </w:r>
      <w:r w:rsidR="00022B40">
        <w:rPr>
          <w:rFonts w:ascii="Palatino Linotype" w:hAnsi="Palatino Linotype" w:cs="Arial"/>
          <w:b/>
          <w:sz w:val="24"/>
        </w:rPr>
        <w:t xml:space="preserve">00311/CAMEM/IP/2021 </w:t>
      </w:r>
      <w:r w:rsidR="00022B40">
        <w:rPr>
          <w:rFonts w:ascii="Palatino Linotype" w:hAnsi="Palatino Linotype" w:cs="Arial"/>
          <w:sz w:val="24"/>
        </w:rPr>
        <w:t xml:space="preserve">y </w:t>
      </w:r>
      <w:r w:rsidR="00022B40">
        <w:rPr>
          <w:rFonts w:ascii="Palatino Linotype" w:hAnsi="Palatino Linotype" w:cs="Arial"/>
          <w:b/>
          <w:sz w:val="24"/>
        </w:rPr>
        <w:t xml:space="preserve">00310/CAMEM/IP/2021, </w:t>
      </w:r>
      <w:r w:rsidR="00022B40">
        <w:rPr>
          <w:rFonts w:ascii="Palatino Linotype" w:hAnsi="Palatino Linotype" w:cs="Arial"/>
          <w:sz w:val="24"/>
        </w:rPr>
        <w:t>mediante las cuales solicitó información en el tenor siguiente:</w:t>
      </w:r>
    </w:p>
    <w:p w14:paraId="252ABB8C" w14:textId="77777777" w:rsidR="00022B40" w:rsidRDefault="00022B40" w:rsidP="000A5354">
      <w:pPr>
        <w:spacing w:before="240" w:line="360" w:lineRule="auto"/>
        <w:jc w:val="both"/>
        <w:rPr>
          <w:rFonts w:ascii="Palatino Linotype" w:hAnsi="Palatino Linotype" w:cs="Arial"/>
          <w:b/>
          <w:sz w:val="24"/>
        </w:rPr>
      </w:pPr>
    </w:p>
    <w:p w14:paraId="6BE85C5D" w14:textId="77777777" w:rsidR="00022B40" w:rsidRDefault="00022B40" w:rsidP="000A5354">
      <w:pPr>
        <w:spacing w:before="240" w:line="360" w:lineRule="auto"/>
        <w:jc w:val="both"/>
        <w:rPr>
          <w:rFonts w:ascii="Palatino Linotype" w:hAnsi="Palatino Linotype" w:cs="Arial"/>
          <w:b/>
          <w:sz w:val="24"/>
        </w:rPr>
      </w:pPr>
      <w:r>
        <w:rPr>
          <w:rFonts w:ascii="Palatino Linotype" w:hAnsi="Palatino Linotype" w:cs="Arial"/>
          <w:b/>
          <w:sz w:val="24"/>
        </w:rPr>
        <w:lastRenderedPageBreak/>
        <w:t xml:space="preserve">00311/CAMEM/IP/2021 </w:t>
      </w:r>
    </w:p>
    <w:p w14:paraId="59B58E8E" w14:textId="3A856493" w:rsidR="00022B40" w:rsidRPr="00022B40" w:rsidRDefault="00022B40" w:rsidP="00022B40">
      <w:pPr>
        <w:pStyle w:val="Citas"/>
        <w:rPr>
          <w:b/>
          <w:sz w:val="24"/>
        </w:rPr>
      </w:pPr>
      <w:r>
        <w:t xml:space="preserve">“Las dimensiones de las inmuebles donde radican las Delegaciones de Ixtapan de la Sal, Texcoco y Naucalpan de ese centro de Trabajo, de cada oficina y por cuántas personas están ocupadas.” </w:t>
      </w:r>
      <w:r>
        <w:rPr>
          <w:b/>
        </w:rPr>
        <w:t xml:space="preserve">[Sic] </w:t>
      </w:r>
    </w:p>
    <w:p w14:paraId="2D3A45A1" w14:textId="77777777" w:rsidR="00022B40" w:rsidRDefault="00022B40" w:rsidP="000A5354">
      <w:pPr>
        <w:spacing w:before="240" w:line="360" w:lineRule="auto"/>
        <w:jc w:val="both"/>
        <w:rPr>
          <w:rFonts w:ascii="Palatino Linotype" w:hAnsi="Palatino Linotype" w:cs="Arial"/>
          <w:sz w:val="24"/>
        </w:rPr>
      </w:pPr>
    </w:p>
    <w:p w14:paraId="13FD2CAC" w14:textId="4C2C473B" w:rsidR="00022B40" w:rsidRDefault="00022B40" w:rsidP="000A5354">
      <w:pPr>
        <w:spacing w:before="240" w:line="360" w:lineRule="auto"/>
        <w:jc w:val="both"/>
        <w:rPr>
          <w:rFonts w:ascii="Palatino Linotype" w:hAnsi="Palatino Linotype" w:cs="Arial"/>
          <w:sz w:val="24"/>
        </w:rPr>
      </w:pPr>
      <w:r>
        <w:rPr>
          <w:rFonts w:ascii="Palatino Linotype" w:hAnsi="Palatino Linotype" w:cs="Arial"/>
          <w:sz w:val="24"/>
        </w:rPr>
        <w:t xml:space="preserve"> </w:t>
      </w:r>
      <w:r>
        <w:rPr>
          <w:rFonts w:ascii="Palatino Linotype" w:hAnsi="Palatino Linotype" w:cs="Arial"/>
          <w:b/>
          <w:sz w:val="24"/>
        </w:rPr>
        <w:t>00310/CAMEM/IP/2021</w:t>
      </w:r>
    </w:p>
    <w:p w14:paraId="007B05EC" w14:textId="7D61D521" w:rsidR="00022B40" w:rsidRPr="00022B40" w:rsidRDefault="00022B40" w:rsidP="00022B40">
      <w:pPr>
        <w:pStyle w:val="Citas"/>
        <w:rPr>
          <w:rFonts w:ascii="Times New Roman" w:hAnsi="Times New Roman"/>
          <w:b/>
          <w:sz w:val="24"/>
          <w:szCs w:val="24"/>
          <w:lang w:eastAsia="es-MX"/>
        </w:rPr>
      </w:pPr>
      <w:r>
        <w:rPr>
          <w:lang w:eastAsia="es-MX"/>
        </w:rPr>
        <w:t>“</w:t>
      </w:r>
      <w:r w:rsidRPr="00022B40">
        <w:rPr>
          <w:lang w:eastAsia="es-MX"/>
        </w:rPr>
        <w:t>Las dimensiones del edificio donde radica la institución en la Ciudad de Toluca de Lerdo, de cada oficina y por cuántas personas están ocupadas.</w:t>
      </w:r>
      <w:r>
        <w:rPr>
          <w:lang w:eastAsia="es-MX"/>
        </w:rPr>
        <w:t xml:space="preserve">” </w:t>
      </w:r>
      <w:r>
        <w:rPr>
          <w:b/>
          <w:lang w:eastAsia="es-MX"/>
        </w:rPr>
        <w:t xml:space="preserve">[Sic] </w:t>
      </w:r>
    </w:p>
    <w:p w14:paraId="784D6CE5" w14:textId="36343520" w:rsidR="000A5354" w:rsidRDefault="000A5354" w:rsidP="000A5354">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CB1EB2">
        <w:rPr>
          <w:rFonts w:ascii="Palatino Linotype" w:eastAsia="Times New Roman" w:hAnsi="Palatino Linotype" w:cs="Times New Roman"/>
          <w:sz w:val="24"/>
          <w:szCs w:val="24"/>
          <w:lang w:val="es-ES_tradnl" w:eastAsia="es-ES"/>
        </w:rPr>
        <w:t xml:space="preserve">dos casos. </w:t>
      </w:r>
    </w:p>
    <w:p w14:paraId="4D578D8B" w14:textId="77777777" w:rsidR="000A5354" w:rsidRDefault="000A5354" w:rsidP="000A5354">
      <w:pPr>
        <w:spacing w:before="240" w:line="360" w:lineRule="auto"/>
        <w:ind w:right="850"/>
        <w:jc w:val="both"/>
        <w:rPr>
          <w:rFonts w:ascii="Palatino Linotype" w:eastAsia="Times New Roman" w:hAnsi="Palatino Linotype" w:cs="Times New Roman"/>
          <w:sz w:val="24"/>
          <w:szCs w:val="24"/>
          <w:lang w:val="es-ES_tradnl" w:eastAsia="es-ES"/>
        </w:rPr>
      </w:pPr>
    </w:p>
    <w:p w14:paraId="66606018" w14:textId="7926D0AB" w:rsidR="000A5354" w:rsidRDefault="00CB1EB2" w:rsidP="000A5354">
      <w:pPr>
        <w:spacing w:before="240" w:line="360" w:lineRule="auto"/>
        <w:jc w:val="both"/>
        <w:rPr>
          <w:rFonts w:ascii="Palatino Linotype" w:hAnsi="Palatino Linotype" w:cs="Arial"/>
          <w:b/>
          <w:sz w:val="28"/>
        </w:rPr>
      </w:pPr>
      <w:r>
        <w:rPr>
          <w:rFonts w:ascii="Palatino Linotype" w:hAnsi="Palatino Linotype" w:cs="Arial"/>
          <w:b/>
          <w:sz w:val="28"/>
        </w:rPr>
        <w:t>SEGUNDO</w:t>
      </w:r>
      <w:r w:rsidR="000A5354">
        <w:rPr>
          <w:rFonts w:ascii="Palatino Linotype" w:hAnsi="Palatino Linotype" w:cs="Arial"/>
          <w:b/>
          <w:sz w:val="28"/>
        </w:rPr>
        <w:t xml:space="preserve">. </w:t>
      </w:r>
      <w:r w:rsidR="000A5354" w:rsidRPr="00165D6E">
        <w:rPr>
          <w:rFonts w:ascii="Palatino Linotype" w:hAnsi="Palatino Linotype" w:cs="Arial"/>
          <w:b/>
          <w:sz w:val="28"/>
          <w:szCs w:val="20"/>
        </w:rPr>
        <w:t>De la</w:t>
      </w:r>
      <w:r w:rsidR="00B60929">
        <w:rPr>
          <w:rFonts w:ascii="Palatino Linotype" w:hAnsi="Palatino Linotype" w:cs="Arial"/>
          <w:b/>
          <w:sz w:val="28"/>
          <w:szCs w:val="20"/>
        </w:rPr>
        <w:t>s</w:t>
      </w:r>
      <w:r w:rsidR="000A5354" w:rsidRPr="00165D6E">
        <w:rPr>
          <w:rFonts w:ascii="Palatino Linotype" w:hAnsi="Palatino Linotype" w:cs="Arial"/>
          <w:b/>
          <w:sz w:val="28"/>
          <w:szCs w:val="20"/>
        </w:rPr>
        <w:t xml:space="preserve"> respuesta</w:t>
      </w:r>
      <w:r w:rsidR="00B60929">
        <w:rPr>
          <w:rFonts w:ascii="Palatino Linotype" w:hAnsi="Palatino Linotype" w:cs="Arial"/>
          <w:b/>
          <w:sz w:val="28"/>
          <w:szCs w:val="20"/>
        </w:rPr>
        <w:t>s</w:t>
      </w:r>
      <w:r w:rsidR="000A5354" w:rsidRPr="00165D6E">
        <w:rPr>
          <w:rFonts w:ascii="Palatino Linotype" w:hAnsi="Palatino Linotype" w:cs="Arial"/>
          <w:b/>
          <w:sz w:val="28"/>
          <w:szCs w:val="20"/>
        </w:rPr>
        <w:t xml:space="preserve"> </w:t>
      </w:r>
      <w:r w:rsidR="000A5354">
        <w:rPr>
          <w:rFonts w:ascii="Palatino Linotype" w:hAnsi="Palatino Linotype" w:cs="Arial"/>
          <w:b/>
          <w:sz w:val="28"/>
          <w:szCs w:val="20"/>
        </w:rPr>
        <w:t>del Sujeto Obligado</w:t>
      </w:r>
      <w:r w:rsidR="000A5354" w:rsidRPr="00165D6E">
        <w:rPr>
          <w:rFonts w:ascii="Palatino Linotype" w:hAnsi="Palatino Linotype" w:cs="Arial"/>
          <w:b/>
          <w:sz w:val="28"/>
          <w:szCs w:val="20"/>
        </w:rPr>
        <w:t>.</w:t>
      </w:r>
    </w:p>
    <w:p w14:paraId="6105F8B0" w14:textId="156012EA" w:rsidR="00160545" w:rsidRDefault="000A5354" w:rsidP="000A5354">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 xml:space="preserve">emitió respuestas </w:t>
      </w:r>
      <w:r w:rsidR="00D2552A">
        <w:rPr>
          <w:rFonts w:ascii="Palatino Linotype" w:hAnsi="Palatino Linotype" w:cs="Arial"/>
        </w:rPr>
        <w:t xml:space="preserve">coincidentes </w:t>
      </w:r>
      <w:r>
        <w:rPr>
          <w:rFonts w:ascii="Palatino Linotype" w:hAnsi="Palatino Linotype" w:cs="Arial"/>
        </w:rPr>
        <w:t>a las solic</w:t>
      </w:r>
      <w:r w:rsidR="00A61B09">
        <w:rPr>
          <w:rFonts w:ascii="Palatino Linotype" w:hAnsi="Palatino Linotype" w:cs="Arial"/>
        </w:rPr>
        <w:t>i</w:t>
      </w:r>
      <w:r w:rsidR="00CB1EB2">
        <w:rPr>
          <w:rFonts w:ascii="Palatino Linotype" w:hAnsi="Palatino Linotype" w:cs="Arial"/>
        </w:rPr>
        <w:t>tudes de información, en fecha</w:t>
      </w:r>
      <w:r w:rsidR="00160545">
        <w:rPr>
          <w:rFonts w:ascii="Palatino Linotype" w:hAnsi="Palatino Linotype" w:cs="Arial"/>
        </w:rPr>
        <w:t xml:space="preserve"> </w:t>
      </w:r>
      <w:r w:rsidR="00D92363">
        <w:rPr>
          <w:rFonts w:ascii="Palatino Linotype" w:hAnsi="Palatino Linotype" w:cs="Arial"/>
        </w:rPr>
        <w:t>diecisiete de enero de dos mil veintidós</w:t>
      </w:r>
      <w:r w:rsidR="00160545">
        <w:rPr>
          <w:rFonts w:ascii="Palatino Linotype" w:hAnsi="Palatino Linotype" w:cs="Arial"/>
        </w:rPr>
        <w:t>, resultando de nuestro interés lo siguiente:</w:t>
      </w:r>
    </w:p>
    <w:p w14:paraId="548A2DBF" w14:textId="522AACD8" w:rsidR="00022B40" w:rsidRPr="00022B40" w:rsidRDefault="00022B40" w:rsidP="00022B40">
      <w:pPr>
        <w:pStyle w:val="Citas"/>
      </w:pPr>
      <w:r w:rsidRPr="00022B40">
        <w:t xml:space="preserve">“En respuesta a la solicitud recibida, nos permitimos hacer de su conocimiento que con fundamento en el artículo 53, Fracciones: II, V y VI de la Ley de Transparencia </w:t>
      </w:r>
      <w:r w:rsidRPr="00022B40">
        <w:lastRenderedPageBreak/>
        <w:t>y Acceso a la Información Pública del Estado de México y Municipios, le contestamos que:</w:t>
      </w:r>
    </w:p>
    <w:p w14:paraId="4A35CD8F" w14:textId="591830E0" w:rsidR="00022B40" w:rsidRPr="00022B40" w:rsidRDefault="00022B40" w:rsidP="00022B40">
      <w:pPr>
        <w:pStyle w:val="Citas"/>
        <w:rPr>
          <w:b/>
        </w:rPr>
      </w:pPr>
      <w:r w:rsidRPr="00022B40">
        <w:t xml:space="preserve">En atención a la Solicitud de Información con folio 00311/CAMEM/IP/2021, mediante la cual se requiere a la letra “Las dimensiones de las inmuebles donde radican las Delegaciones de Ixtapan de la Sal, Texcoco y Naucalpan de ese centro de trabajo, de cada oficina y por cuentas personas están ocupadas”, </w:t>
      </w:r>
      <w:r w:rsidRPr="00022B40">
        <w:rPr>
          <w:b/>
          <w:u w:val="single"/>
        </w:rPr>
        <w:t xml:space="preserve">se informa que, derivado del volumen de la información solicitada, los archivos se encuentran disponibles para su consulta en las instalaciones de la Comisión de Conciliación y Arbitraje Médico del Estado de México, ubicadas en la calle de Juan Aldama No. 215, Colonia Centro, Toluca de Lerdo, Estado de México, C.P. 50000, en la Unidad de Apoyo Administrativo, </w:t>
      </w:r>
      <w:r w:rsidRPr="00022B40">
        <w:t xml:space="preserve">debiéndose presentar con el titular de la Unidad de Apoyo Administrativo; lo anterior, con fundamento en la Ley de Transparencia y Acceso a la Información Pública del Estado de México y Municipios que establece lo siguiente: Lo anterior, con fundamento en los Artículos 12 y 24 en ambos últimos párrafos, de la Ley de Transparencia y Acceso a la Información Pública del Estado de México y Municipios, y que a la letra dicen: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w:t>
      </w:r>
      <w:r>
        <w:t xml:space="preserve">ejercicio de sus atribuciones.” </w:t>
      </w:r>
      <w:r>
        <w:rPr>
          <w:b/>
        </w:rPr>
        <w:t xml:space="preserve">[Sic] </w:t>
      </w:r>
    </w:p>
    <w:p w14:paraId="0E4E5F6C" w14:textId="7584C49F" w:rsidR="000A5354" w:rsidRDefault="002C6025" w:rsidP="000A5354">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0A5354">
        <w:rPr>
          <w:rFonts w:ascii="Palatino Linotype" w:hAnsi="Palatino Linotype" w:cs="Arial"/>
          <w:b/>
          <w:sz w:val="28"/>
        </w:rPr>
        <w:t xml:space="preserve">. </w:t>
      </w:r>
      <w:r w:rsidR="00236F35">
        <w:rPr>
          <w:rFonts w:ascii="Palatino Linotype" w:hAnsi="Palatino Linotype"/>
          <w:b/>
          <w:sz w:val="28"/>
        </w:rPr>
        <w:t xml:space="preserve">De los </w:t>
      </w:r>
      <w:r w:rsidR="000A5354">
        <w:rPr>
          <w:rFonts w:ascii="Palatino Linotype" w:hAnsi="Palatino Linotype"/>
          <w:b/>
          <w:sz w:val="28"/>
        </w:rPr>
        <w:t>recurso</w:t>
      </w:r>
      <w:r w:rsidR="00236F35">
        <w:rPr>
          <w:rFonts w:ascii="Palatino Linotype" w:hAnsi="Palatino Linotype"/>
          <w:b/>
          <w:sz w:val="28"/>
        </w:rPr>
        <w:t>s</w:t>
      </w:r>
      <w:r w:rsidR="000A5354">
        <w:rPr>
          <w:rFonts w:ascii="Palatino Linotype" w:hAnsi="Palatino Linotype"/>
          <w:b/>
          <w:sz w:val="28"/>
        </w:rPr>
        <w:t xml:space="preserve"> de revisión.</w:t>
      </w:r>
    </w:p>
    <w:p w14:paraId="37A20EE5" w14:textId="1975D1D5" w:rsidR="00AA183E" w:rsidRPr="00AA183E" w:rsidRDefault="000A5354" w:rsidP="000A5354">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sidR="002C6025">
        <w:rPr>
          <w:rFonts w:ascii="Palatino Linotype" w:hAnsi="Palatino Linotype" w:cs="Arial"/>
          <w:b/>
          <w:sz w:val="24"/>
          <w:szCs w:val="24"/>
        </w:rPr>
        <w:t>bligado,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sidR="00AA183E">
        <w:rPr>
          <w:rFonts w:ascii="Palatino Linotype" w:hAnsi="Palatino Linotype" w:cs="Arial"/>
          <w:sz w:val="24"/>
          <w:szCs w:val="24"/>
        </w:rPr>
        <w:t xml:space="preserve">fecha </w:t>
      </w:r>
      <w:r w:rsidR="004A0225">
        <w:rPr>
          <w:rFonts w:ascii="Palatino Linotype" w:hAnsi="Palatino Linotype" w:cs="Arial"/>
          <w:sz w:val="24"/>
          <w:szCs w:val="24"/>
        </w:rPr>
        <w:t>veinticuatro</w:t>
      </w:r>
      <w:r w:rsidR="00AA183E">
        <w:rPr>
          <w:rFonts w:ascii="Palatino Linotype" w:hAnsi="Palatino Linotype" w:cs="Arial"/>
          <w:sz w:val="24"/>
          <w:szCs w:val="24"/>
        </w:rPr>
        <w:t xml:space="preserve"> de enero de dos mil veintidós, los cuales fueron registrados en el sistema electrónico con los expedientes números </w:t>
      </w:r>
      <w:r w:rsidR="00AA183E">
        <w:rPr>
          <w:rFonts w:ascii="Palatino Linotype" w:hAnsi="Palatino Linotype" w:cs="Arial"/>
          <w:b/>
          <w:sz w:val="24"/>
          <w:szCs w:val="24"/>
        </w:rPr>
        <w:t xml:space="preserve">00290/INFOEM/IP/RR/2022 y 00291/INFOEM/IP/RR/2022, </w:t>
      </w:r>
      <w:r w:rsidR="00AA183E">
        <w:rPr>
          <w:rFonts w:ascii="Palatino Linotype" w:hAnsi="Palatino Linotype" w:cs="Arial"/>
          <w:sz w:val="24"/>
          <w:szCs w:val="24"/>
        </w:rPr>
        <w:t xml:space="preserve">en los cuales arguye las siguientes manifestaciones de carácter coincidente: </w:t>
      </w:r>
    </w:p>
    <w:p w14:paraId="641CFFE8" w14:textId="364F81AC" w:rsidR="00DC6CCE" w:rsidRDefault="00897415" w:rsidP="000A5354">
      <w:pPr>
        <w:spacing w:before="240" w:line="360" w:lineRule="auto"/>
        <w:jc w:val="both"/>
        <w:rPr>
          <w:rFonts w:ascii="Palatino Linotype" w:hAnsi="Palatino Linotype" w:cs="Arial"/>
          <w:b/>
          <w:sz w:val="24"/>
          <w:szCs w:val="24"/>
        </w:rPr>
      </w:pPr>
      <w:r>
        <w:rPr>
          <w:rFonts w:ascii="Palatino Linotype" w:hAnsi="Palatino Linotype" w:cs="Arial"/>
          <w:b/>
          <w:sz w:val="24"/>
          <w:szCs w:val="24"/>
        </w:rPr>
        <w:t>Acto impugnado</w:t>
      </w:r>
    </w:p>
    <w:p w14:paraId="31B63657" w14:textId="15A3B7A8" w:rsidR="00897415" w:rsidRDefault="00AA183E" w:rsidP="00897415">
      <w:pPr>
        <w:pStyle w:val="Citas"/>
        <w:rPr>
          <w:b/>
        </w:rPr>
      </w:pPr>
      <w:r w:rsidRPr="00AA183E">
        <w:t>“No entrega la información requerida.</w:t>
      </w:r>
      <w:r w:rsidR="00897415" w:rsidRPr="00AA183E">
        <w:t>”</w:t>
      </w:r>
      <w:r w:rsidR="00897415">
        <w:t xml:space="preserve"> </w:t>
      </w:r>
      <w:r w:rsidR="00897415">
        <w:rPr>
          <w:b/>
        </w:rPr>
        <w:t>[Sic]</w:t>
      </w:r>
    </w:p>
    <w:p w14:paraId="5AA3F862" w14:textId="77777777" w:rsidR="00AA183E" w:rsidRDefault="00AA183E" w:rsidP="00897415">
      <w:pPr>
        <w:pStyle w:val="Citas"/>
        <w:rPr>
          <w:b/>
        </w:rPr>
      </w:pPr>
    </w:p>
    <w:p w14:paraId="5CADC1FA" w14:textId="7EB00E28" w:rsidR="00AA183E" w:rsidRDefault="00AA183E" w:rsidP="00AA183E">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Razones o Motivos de inconformidad: </w:t>
      </w:r>
    </w:p>
    <w:p w14:paraId="44C96D57" w14:textId="27B80BA8" w:rsidR="00AA183E" w:rsidRPr="00AA183E" w:rsidRDefault="00AA183E" w:rsidP="00AA183E">
      <w:pPr>
        <w:pStyle w:val="Citas"/>
        <w:rPr>
          <w:b/>
        </w:rPr>
      </w:pPr>
      <w:r>
        <w:t>“</w:t>
      </w:r>
      <w:r w:rsidRPr="00AA183E">
        <w:t>No entrega la información siendo que la solicité por este medio, precisa que se encuentra en sus instalaciones pero tiene la obligación de entregarla como yo la pido.</w:t>
      </w:r>
      <w:r>
        <w:t xml:space="preserve">” </w:t>
      </w:r>
      <w:r>
        <w:rPr>
          <w:b/>
        </w:rPr>
        <w:t>[Sic]</w:t>
      </w:r>
    </w:p>
    <w:p w14:paraId="5F7CA4F6" w14:textId="77777777" w:rsidR="00AA183E" w:rsidRDefault="00AA183E" w:rsidP="000A5354">
      <w:pPr>
        <w:spacing w:before="240" w:line="360" w:lineRule="auto"/>
        <w:jc w:val="both"/>
        <w:rPr>
          <w:rFonts w:ascii="Palatino Linotype" w:hAnsi="Palatino Linotype" w:cs="Arial"/>
          <w:b/>
          <w:sz w:val="28"/>
        </w:rPr>
      </w:pPr>
    </w:p>
    <w:p w14:paraId="376C907A" w14:textId="1533E054" w:rsidR="000A5354" w:rsidRPr="00955C54" w:rsidRDefault="002C6025" w:rsidP="000A535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A5354" w:rsidRPr="00955C54">
        <w:rPr>
          <w:rFonts w:ascii="Palatino Linotype" w:hAnsi="Palatino Linotype" w:cs="Arial"/>
          <w:b/>
          <w:sz w:val="24"/>
          <w:szCs w:val="24"/>
        </w:rPr>
        <w:t xml:space="preserve">. </w:t>
      </w:r>
      <w:r w:rsidR="00B267CC">
        <w:rPr>
          <w:rFonts w:ascii="Palatino Linotype" w:hAnsi="Palatino Linotype" w:cs="Arial"/>
          <w:b/>
          <w:sz w:val="28"/>
          <w:szCs w:val="28"/>
        </w:rPr>
        <w:t>Del turno de los</w:t>
      </w:r>
      <w:r w:rsidR="000A5354" w:rsidRPr="00955C54">
        <w:rPr>
          <w:rFonts w:ascii="Palatino Linotype" w:hAnsi="Palatino Linotype" w:cs="Arial"/>
          <w:b/>
          <w:sz w:val="28"/>
          <w:szCs w:val="28"/>
        </w:rPr>
        <w:t xml:space="preserve"> recurso</w:t>
      </w:r>
      <w:r w:rsidR="00B267CC">
        <w:rPr>
          <w:rFonts w:ascii="Palatino Linotype" w:hAnsi="Palatino Linotype" w:cs="Arial"/>
          <w:b/>
          <w:sz w:val="28"/>
          <w:szCs w:val="28"/>
        </w:rPr>
        <w:t>s</w:t>
      </w:r>
      <w:r w:rsidR="000A5354" w:rsidRPr="00955C54">
        <w:rPr>
          <w:rFonts w:ascii="Palatino Linotype" w:hAnsi="Palatino Linotype" w:cs="Arial"/>
          <w:b/>
          <w:sz w:val="28"/>
          <w:szCs w:val="28"/>
        </w:rPr>
        <w:t xml:space="preserve"> de revisión.</w:t>
      </w:r>
    </w:p>
    <w:p w14:paraId="5AEF6E09" w14:textId="173B3D1E" w:rsidR="000A5354" w:rsidRDefault="000A5354" w:rsidP="000A5354">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Pr>
          <w:rFonts w:ascii="Palatino Linotype" w:hAnsi="Palatino Linotype" w:cs="Arial"/>
        </w:rPr>
        <w:t>electrónico a lo</w:t>
      </w:r>
      <w:r w:rsidRPr="00955C54">
        <w:rPr>
          <w:rFonts w:ascii="Palatino Linotype" w:hAnsi="Palatino Linotype" w:cs="Arial"/>
        </w:rPr>
        <w:t>s Comisi</w:t>
      </w:r>
      <w:r w:rsidR="002C6025">
        <w:rPr>
          <w:rFonts w:ascii="Palatino Linotype" w:hAnsi="Palatino Linotype" w:cs="Arial"/>
        </w:rPr>
        <w:t xml:space="preserve">onados José Martínez Vilchis y </w:t>
      </w:r>
      <w:r w:rsidR="00123324">
        <w:rPr>
          <w:rFonts w:ascii="Palatino Linotype" w:hAnsi="Palatino Linotype" w:cs="Arial"/>
        </w:rPr>
        <w:t xml:space="preserve"> Luis Gustavo Parra Noriega, </w:t>
      </w:r>
      <w:r>
        <w:rPr>
          <w:rFonts w:ascii="Palatino Linotype" w:hAnsi="Palatino Linotype" w:cs="Arial"/>
        </w:rPr>
        <w:t xml:space="preserve"> </w:t>
      </w:r>
      <w:r w:rsidRPr="00955C54">
        <w:rPr>
          <w:rFonts w:ascii="Palatino Linotype" w:hAnsi="Palatino Linotype" w:cs="Arial"/>
        </w:rPr>
        <w:t xml:space="preserve">en términos del arábigo 185 fracción I de la Ley de Transparencia y Acceso a la información Pública </w:t>
      </w:r>
      <w:r w:rsidRPr="00955C54">
        <w:rPr>
          <w:rFonts w:ascii="Palatino Linotype" w:hAnsi="Palatino Linotype" w:cs="Arial"/>
        </w:rPr>
        <w:lastRenderedPageBreak/>
        <w:t>del Estado de México y Municipios, de los cuales recayeron en acuerdos de admisión en fecha</w:t>
      </w:r>
      <w:r>
        <w:rPr>
          <w:rFonts w:ascii="Palatino Linotype" w:hAnsi="Palatino Linotype" w:cs="Arial"/>
        </w:rPr>
        <w:t xml:space="preserve">s </w:t>
      </w:r>
      <w:r w:rsidR="00AA183E">
        <w:rPr>
          <w:rFonts w:ascii="Palatino Linotype" w:hAnsi="Palatino Linotype" w:cs="Arial"/>
        </w:rPr>
        <w:t xml:space="preserve">veinticinco y veintiocho de enero de dos mil veintidós, </w:t>
      </w:r>
      <w:r>
        <w:rPr>
          <w:rFonts w:ascii="Palatino Linotype" w:hAnsi="Palatino Linotype" w:cs="Arial"/>
        </w:rPr>
        <w:t xml:space="preserve">determinándose, un plazo de siete días para que las partes manifestaran lo que a su derecho corresponda en términos de los numerales ya citados. </w:t>
      </w:r>
    </w:p>
    <w:p w14:paraId="2E5D47AE" w14:textId="77777777" w:rsidR="000A5354" w:rsidRDefault="000A5354" w:rsidP="000A5354">
      <w:pPr>
        <w:pStyle w:val="Prrafodelista"/>
        <w:spacing w:line="360" w:lineRule="auto"/>
        <w:ind w:left="0"/>
        <w:jc w:val="both"/>
        <w:rPr>
          <w:rFonts w:ascii="Palatino Linotype" w:hAnsi="Palatino Linotype" w:cs="Arial"/>
        </w:rPr>
      </w:pPr>
    </w:p>
    <w:p w14:paraId="4B93B414" w14:textId="77777777" w:rsidR="000A5354" w:rsidRDefault="000A5354" w:rsidP="000A5354">
      <w:pPr>
        <w:pStyle w:val="Prrafodelista"/>
        <w:spacing w:line="360" w:lineRule="auto"/>
        <w:ind w:left="0"/>
        <w:jc w:val="both"/>
        <w:rPr>
          <w:rFonts w:ascii="Palatino Linotype" w:hAnsi="Palatino Linotype" w:cs="Arial"/>
        </w:rPr>
      </w:pPr>
    </w:p>
    <w:p w14:paraId="7C70433F" w14:textId="2E131705" w:rsidR="000A5354" w:rsidRPr="00696379" w:rsidRDefault="002E2F03" w:rsidP="000A5354">
      <w:pPr>
        <w:pStyle w:val="Prrafodelista"/>
        <w:spacing w:line="360" w:lineRule="auto"/>
        <w:ind w:left="0"/>
        <w:jc w:val="both"/>
        <w:rPr>
          <w:rFonts w:ascii="Palatino Linotype" w:hAnsi="Palatino Linotype" w:cs="Arial"/>
          <w:b/>
          <w:sz w:val="28"/>
          <w:szCs w:val="28"/>
        </w:rPr>
      </w:pPr>
      <w:r w:rsidRPr="00AC6C93">
        <w:rPr>
          <w:rFonts w:ascii="Palatino Linotype" w:hAnsi="Palatino Linotype" w:cs="Arial"/>
          <w:b/>
          <w:sz w:val="28"/>
        </w:rPr>
        <w:t>QUINTO</w:t>
      </w:r>
      <w:r w:rsidR="000A5354" w:rsidRPr="00AC6C93">
        <w:rPr>
          <w:rFonts w:ascii="Palatino Linotype" w:hAnsi="Palatino Linotype" w:cs="Arial"/>
          <w:b/>
          <w:sz w:val="28"/>
          <w:szCs w:val="28"/>
        </w:rPr>
        <w:t>. De la acumulación.</w:t>
      </w:r>
    </w:p>
    <w:p w14:paraId="12D2F86E" w14:textId="77777777" w:rsidR="00AA183E" w:rsidRDefault="000A5354" w:rsidP="00AA183E">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AA183E">
        <w:rPr>
          <w:rFonts w:ascii="Palatino Linotype" w:hAnsi="Palatino Linotype" w:cs="Arial"/>
        </w:rPr>
        <w:t xml:space="preserve">Cuarta Sesión Ordinaria, de fecha cuatro de febrero de dos mil veintidós, se determinó acumular los recursos de revisión en estudio, ya que existe identidad del solicitante, del sujeto obligado y similitud de causas y objeto de solicitud. </w:t>
      </w:r>
    </w:p>
    <w:p w14:paraId="56A45B86" w14:textId="1DA690CA" w:rsidR="00AA183E" w:rsidRDefault="00AA183E" w:rsidP="000A5354">
      <w:pPr>
        <w:pStyle w:val="Prrafodelista"/>
        <w:spacing w:line="360" w:lineRule="auto"/>
        <w:ind w:left="0"/>
        <w:jc w:val="both"/>
        <w:rPr>
          <w:rFonts w:ascii="Palatino Linotype" w:hAnsi="Palatino Linotype" w:cs="Arial"/>
        </w:rPr>
      </w:pPr>
    </w:p>
    <w:p w14:paraId="23CE35D5" w14:textId="77777777" w:rsidR="000A5354" w:rsidRPr="00CA418F" w:rsidRDefault="000A5354" w:rsidP="000A5354">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8F3EADF" w14:textId="77777777" w:rsidR="000A5354" w:rsidRPr="007D54D0" w:rsidRDefault="000A5354" w:rsidP="000A5354">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00863339" w14:textId="77777777" w:rsidR="000A5354" w:rsidRPr="00A6274E" w:rsidRDefault="000A5354" w:rsidP="000A5354">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426C0B0" w14:textId="77777777" w:rsidR="000A5354" w:rsidRPr="001D1D00" w:rsidRDefault="000A5354" w:rsidP="000A5354">
      <w:pPr>
        <w:spacing w:before="240" w:line="360" w:lineRule="auto"/>
        <w:ind w:left="851" w:right="851"/>
        <w:jc w:val="center"/>
        <w:rPr>
          <w:rFonts w:ascii="Palatino Linotype" w:hAnsi="Palatino Linotype"/>
          <w:b/>
          <w:i/>
        </w:rPr>
      </w:pPr>
      <w:r w:rsidRPr="001D1D00">
        <w:rPr>
          <w:rFonts w:ascii="Palatino Linotype" w:hAnsi="Palatino Linotype"/>
          <w:b/>
          <w:i/>
        </w:rPr>
        <w:lastRenderedPageBreak/>
        <w:t>Código de Procedimientos Administrativos del Estado de México</w:t>
      </w:r>
    </w:p>
    <w:p w14:paraId="7DBAE432" w14:textId="77777777" w:rsidR="000A5354" w:rsidRPr="006F2470" w:rsidRDefault="000A5354" w:rsidP="000A5354">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05D13E37" w14:textId="77777777" w:rsidR="000A5354" w:rsidRDefault="000A5354" w:rsidP="000A5354">
      <w:pPr>
        <w:spacing w:before="240" w:line="360" w:lineRule="auto"/>
        <w:jc w:val="both"/>
        <w:rPr>
          <w:rFonts w:ascii="Palatino Linotype" w:hAnsi="Palatino Linotype" w:cs="Arial"/>
          <w:sz w:val="24"/>
          <w:szCs w:val="24"/>
        </w:rPr>
      </w:pPr>
    </w:p>
    <w:p w14:paraId="474C74C2" w14:textId="6B746E62" w:rsidR="000A5354" w:rsidRDefault="002E2F03" w:rsidP="000A5354">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0A5354" w:rsidRPr="008551ED">
        <w:rPr>
          <w:rFonts w:ascii="Palatino Linotype" w:hAnsi="Palatino Linotype" w:cs="Arial"/>
          <w:b/>
          <w:sz w:val="24"/>
          <w:szCs w:val="24"/>
        </w:rPr>
        <w:t>.</w:t>
      </w:r>
      <w:r w:rsidR="000A5354">
        <w:rPr>
          <w:rFonts w:ascii="Palatino Linotype" w:hAnsi="Palatino Linotype" w:cs="Arial"/>
          <w:b/>
          <w:sz w:val="24"/>
          <w:szCs w:val="24"/>
        </w:rPr>
        <w:t xml:space="preserve"> </w:t>
      </w:r>
      <w:r w:rsidR="000A5354" w:rsidRPr="0087163A">
        <w:rPr>
          <w:rFonts w:ascii="Palatino Linotype" w:hAnsi="Palatino Linotype" w:cs="Arial"/>
          <w:b/>
          <w:sz w:val="28"/>
          <w:szCs w:val="28"/>
        </w:rPr>
        <w:t>De la etapa de instrucción.</w:t>
      </w:r>
    </w:p>
    <w:p w14:paraId="2730D8EF" w14:textId="77777777" w:rsidR="00AA183E" w:rsidRDefault="00AA183E" w:rsidP="00AA183E">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17FF158E" w14:textId="6A30E56F" w:rsidR="00AA183E" w:rsidRPr="00C12209" w:rsidRDefault="00AA183E" w:rsidP="00AA183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catorce de febrero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1F3B76A7" w14:textId="77777777" w:rsidR="00AA183E" w:rsidRDefault="00AA183E" w:rsidP="000A5354">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lastRenderedPageBreak/>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48F2065B" w14:textId="77777777" w:rsidR="0050301F" w:rsidRDefault="0050301F" w:rsidP="0050301F">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0DEC7E9" w14:textId="77777777" w:rsidR="00AA183E" w:rsidRDefault="00AA183E" w:rsidP="0050301F">
      <w:pPr>
        <w:spacing w:after="0" w:line="360" w:lineRule="auto"/>
        <w:jc w:val="both"/>
        <w:rPr>
          <w:rFonts w:ascii="Palatino Linotype" w:eastAsia="Calibri" w:hAnsi="Palatino Linotype" w:cs="Arial"/>
          <w:b/>
          <w:color w:val="000000" w:themeColor="text1"/>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8C2A320" w14:textId="77777777" w:rsidR="005D4A6E" w:rsidRDefault="005D4A6E"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1BB0D7D3" w14:textId="77777777" w:rsidR="00657515" w:rsidRPr="00161CEB" w:rsidRDefault="00657515" w:rsidP="00657515">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2D384471" w14:textId="77777777" w:rsidR="00AA183E" w:rsidRPr="00187D70" w:rsidRDefault="00AA183E" w:rsidP="00AA183E">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62A672FF" w14:textId="77777777" w:rsidR="00AA183E" w:rsidRPr="00187D70" w:rsidRDefault="00AA183E" w:rsidP="00AA183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26969993" w14:textId="77777777" w:rsidR="00AA183E" w:rsidRPr="00187D70" w:rsidRDefault="00AA183E" w:rsidP="00AA183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7A8E5652" w14:textId="77777777" w:rsidR="00AA183E" w:rsidRPr="00187D70" w:rsidRDefault="00AA183E" w:rsidP="00AA183E">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192714A" w14:textId="77777777" w:rsidR="00AA183E" w:rsidRPr="00187D70" w:rsidRDefault="00AA183E" w:rsidP="00AA183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2A10F422" w14:textId="77777777" w:rsidR="00AA183E" w:rsidRPr="00187D70" w:rsidRDefault="00AA183E" w:rsidP="00AA183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772846E" w14:textId="77777777" w:rsidR="00AA183E" w:rsidRPr="00187D70" w:rsidRDefault="00AA183E" w:rsidP="00AA183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2F4F6620" w14:textId="77777777" w:rsidR="00AA183E" w:rsidRPr="00187D70" w:rsidRDefault="00AA183E" w:rsidP="00AA183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140D9E43" w14:textId="77777777" w:rsidR="00AA183E" w:rsidRPr="00187D70" w:rsidRDefault="00AA183E" w:rsidP="00AA183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VII. La copia de la respuesta que se impugna y, en su caso, de la notificación correspondiente, en el caso de respuesta de la solicitud; y</w:t>
      </w:r>
    </w:p>
    <w:p w14:paraId="697D3280" w14:textId="77777777" w:rsidR="00AA183E" w:rsidRPr="00187D70" w:rsidRDefault="00AA183E" w:rsidP="00AA183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3074141" w14:textId="77777777" w:rsidR="00AA183E" w:rsidRPr="00187D70" w:rsidRDefault="00AA183E" w:rsidP="00AA183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485F0B8B" w14:textId="77777777" w:rsidR="00AA183E" w:rsidRPr="00187D70" w:rsidRDefault="00AA183E" w:rsidP="00AA183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14A9E6E" w14:textId="77777777" w:rsidR="00AA183E" w:rsidRPr="009B74C2" w:rsidRDefault="00AA183E" w:rsidP="00AA183E">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26AC9EA8" w14:textId="77777777" w:rsidR="00AA183E" w:rsidRPr="00187D70" w:rsidRDefault="00AA183E" w:rsidP="00AA183E">
      <w:pPr>
        <w:spacing w:after="0" w:line="360" w:lineRule="auto"/>
        <w:jc w:val="both"/>
        <w:rPr>
          <w:rFonts w:ascii="Palatino Linotype" w:eastAsia="Times New Roman" w:hAnsi="Palatino Linotype" w:cs="Arial"/>
          <w:b/>
          <w:i/>
          <w:sz w:val="24"/>
          <w:szCs w:val="24"/>
          <w:lang w:eastAsia="es-ES"/>
        </w:rPr>
      </w:pPr>
    </w:p>
    <w:p w14:paraId="474F4B74" w14:textId="77777777" w:rsidR="00AA183E" w:rsidRPr="00187D70" w:rsidRDefault="00AA183E" w:rsidP="00AA183E">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80E7DDD" w14:textId="77777777" w:rsidR="00AA183E" w:rsidRDefault="00AA183E" w:rsidP="00AA183E">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7D8E7CD" w14:textId="77777777" w:rsidR="00AA183E" w:rsidRDefault="00AA183E" w:rsidP="00AA183E">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37419570" w14:textId="77777777" w:rsidR="00AA183E" w:rsidRPr="00187D70" w:rsidRDefault="00AA183E" w:rsidP="00AA183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A0ECE17" w14:textId="77777777" w:rsidR="00AA183E" w:rsidRPr="00187D70" w:rsidRDefault="00AA183E" w:rsidP="00AA183E">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505317B" w14:textId="77777777" w:rsidR="00AA183E" w:rsidRPr="00187D70" w:rsidRDefault="00AA183E" w:rsidP="00AA183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3480F74" w14:textId="77777777" w:rsidR="00AA183E" w:rsidRPr="00187D70" w:rsidRDefault="00AA183E" w:rsidP="00AA183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85B1D4" w14:textId="77777777" w:rsidR="00AA183E" w:rsidRPr="00187D70" w:rsidRDefault="00AA183E" w:rsidP="00AA183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2A03DFF1" w14:textId="77777777" w:rsidR="00AA183E" w:rsidRPr="00187D70" w:rsidRDefault="00AA183E" w:rsidP="00AA183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1B2F6CA" w14:textId="77777777" w:rsidR="00AA183E" w:rsidRPr="00187D70" w:rsidRDefault="00AA183E" w:rsidP="00AA183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9B2A634" w14:textId="77777777" w:rsidR="00AA183E" w:rsidRDefault="00AA183E" w:rsidP="00AA183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59F1EC9" w14:textId="77777777" w:rsidR="00AA183E" w:rsidRPr="00E71AB2" w:rsidRDefault="00AA183E" w:rsidP="00AA183E">
      <w:pPr>
        <w:spacing w:before="240" w:line="360" w:lineRule="auto"/>
        <w:ind w:left="851" w:right="851"/>
        <w:jc w:val="both"/>
        <w:rPr>
          <w:rFonts w:ascii="Palatino Linotype" w:eastAsia="Times New Roman" w:hAnsi="Palatino Linotype" w:cs="Times New Roman"/>
          <w:b/>
          <w:i/>
          <w:lang w:val="es-ES" w:eastAsia="es-ES"/>
        </w:rPr>
      </w:pPr>
    </w:p>
    <w:p w14:paraId="546CF5A3" w14:textId="77777777" w:rsidR="00AA183E" w:rsidRPr="00187D70" w:rsidRDefault="00AA183E" w:rsidP="00AA183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73184847" w14:textId="77777777" w:rsidR="00AA183E" w:rsidRPr="00187D70" w:rsidRDefault="00AA183E" w:rsidP="00AA183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599B260" w14:textId="77777777" w:rsidR="00AA183E" w:rsidRPr="00187D70" w:rsidRDefault="00AA183E" w:rsidP="00AA183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45CB39C" w14:textId="77777777" w:rsidR="00AA183E" w:rsidRPr="00187D70" w:rsidRDefault="00AA183E" w:rsidP="00AA183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363645B" w14:textId="77777777" w:rsidR="00AA183E" w:rsidRPr="00187D70" w:rsidRDefault="00AA183E" w:rsidP="00AA183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370DB420" w14:textId="77777777" w:rsidR="00AA183E" w:rsidRPr="00187D70" w:rsidRDefault="00AA183E" w:rsidP="00AA183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23C40AE4" w14:textId="77777777" w:rsidR="00AA183E" w:rsidRPr="00187D70" w:rsidRDefault="00AA183E" w:rsidP="00AA183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2E28972" w14:textId="77777777" w:rsidR="00AA183E" w:rsidRPr="00187D70" w:rsidRDefault="00AA183E" w:rsidP="00AA183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7BFB23B" w14:textId="77777777" w:rsidR="00AA183E" w:rsidRPr="00187D70" w:rsidRDefault="00AA183E" w:rsidP="00AA183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502556C7" w14:textId="77777777" w:rsidR="00AA183E" w:rsidRPr="00187D70" w:rsidRDefault="00AA183E" w:rsidP="00AA183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37EE5DC" w14:textId="77777777" w:rsidR="00AA183E" w:rsidRPr="00187D70" w:rsidRDefault="00AA183E" w:rsidP="00AA183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6451364" w14:textId="77777777" w:rsidR="00AA183E" w:rsidRPr="009B74C2" w:rsidRDefault="00AA183E" w:rsidP="00AA183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305E7CD" w14:textId="77777777" w:rsidR="00AA183E" w:rsidRDefault="00AA183E" w:rsidP="00AA183E">
      <w:pPr>
        <w:spacing w:after="0" w:line="360" w:lineRule="auto"/>
        <w:jc w:val="both"/>
        <w:rPr>
          <w:rFonts w:ascii="Palatino Linotype" w:eastAsia="Times New Roman" w:hAnsi="Palatino Linotype" w:cs="Times New Roman"/>
          <w:sz w:val="24"/>
          <w:szCs w:val="24"/>
          <w:lang w:val="es-ES" w:eastAsia="es-ES"/>
        </w:rPr>
      </w:pPr>
    </w:p>
    <w:p w14:paraId="249A82B5" w14:textId="77777777" w:rsidR="00AA183E" w:rsidRPr="00187D70" w:rsidRDefault="00AA183E" w:rsidP="00AA183E">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14:paraId="56952E6C" w14:textId="77777777" w:rsidR="00AA183E" w:rsidRPr="00187D70" w:rsidRDefault="00AA183E" w:rsidP="00AA183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422C8D1" w14:textId="77777777" w:rsidR="00AA183E" w:rsidRPr="00187D70" w:rsidRDefault="00AA183E" w:rsidP="00AA183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57EBCC3" w14:textId="77777777" w:rsidR="00AA183E" w:rsidRPr="009B74C2" w:rsidRDefault="00AA183E" w:rsidP="00AA183E">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A1C5F94" w14:textId="77777777" w:rsidR="00AA183E" w:rsidRDefault="00AA183E" w:rsidP="00AA183E">
      <w:pPr>
        <w:spacing w:after="0" w:line="360" w:lineRule="auto"/>
        <w:jc w:val="both"/>
        <w:rPr>
          <w:rFonts w:ascii="Palatino Linotype" w:eastAsia="Calibri" w:hAnsi="Palatino Linotype" w:cs="Arial"/>
          <w:sz w:val="24"/>
          <w:szCs w:val="24"/>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 xml:space="preserve">incluso, la solicitud de acceso a la información pueda ser </w:t>
      </w:r>
      <w:r w:rsidRPr="009B74C2">
        <w:rPr>
          <w:rFonts w:ascii="Palatino Linotype" w:eastAsia="Times New Roman" w:hAnsi="Palatino Linotype" w:cs="Times New Roman"/>
          <w:b/>
          <w:sz w:val="24"/>
          <w:szCs w:val="24"/>
          <w:u w:val="single"/>
          <w:lang w:val="es-ES" w:eastAsia="es-ES"/>
        </w:rPr>
        <w:lastRenderedPageBreak/>
        <w:t>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5DF8F87C" w14:textId="77777777" w:rsidR="005D4A6E" w:rsidRDefault="005D4A6E" w:rsidP="00AA183E">
      <w:pPr>
        <w:spacing w:after="0" w:line="360" w:lineRule="auto"/>
        <w:jc w:val="both"/>
        <w:rPr>
          <w:rFonts w:ascii="Palatino Linotype" w:hAnsi="Palatino Linotype"/>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30991F0D" w14:textId="77777777" w:rsidR="00D46910" w:rsidRDefault="00D46910" w:rsidP="00D469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D48FD0D" w14:textId="1FE01792" w:rsidR="00D46910" w:rsidRPr="002869E1" w:rsidRDefault="00D46910" w:rsidP="00D4691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w:t>
      </w:r>
      <w:r w:rsidR="008838D5">
        <w:rPr>
          <w:rFonts w:ascii="Palatino Linotype" w:eastAsia="Times New Roman" w:hAnsi="Palatino Linotype" w:cs="Times New Roman"/>
          <w:sz w:val="24"/>
          <w:szCs w:val="24"/>
          <w:lang w:eastAsia="es-ES"/>
        </w:rPr>
        <w:t>acceso a la información 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420D8E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2EEA0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48746"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15670E2"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C35498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3524EBA"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7A3267C" w14:textId="77777777" w:rsidR="00D46910" w:rsidRPr="006010FE"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90858FB"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504A91A4"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7C20F2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ACD1FF1"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A4F3E49" w14:textId="77777777" w:rsidR="00D46910"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D8B8956" w14:textId="77777777" w:rsidR="00AA183E" w:rsidRDefault="00AA183E" w:rsidP="00D46910">
      <w:pPr>
        <w:spacing w:after="0" w:line="360" w:lineRule="auto"/>
        <w:jc w:val="both"/>
        <w:rPr>
          <w:rFonts w:ascii="Palatino Linotype" w:eastAsia="Times New Roman" w:hAnsi="Palatino Linotype" w:cs="Times New Roman"/>
          <w:sz w:val="24"/>
          <w:szCs w:val="24"/>
          <w:lang w:eastAsia="es-ES"/>
        </w:rPr>
      </w:pPr>
    </w:p>
    <w:p w14:paraId="070EBBB5" w14:textId="77777777" w:rsidR="00D46910" w:rsidRPr="006010FE" w:rsidRDefault="00D46910" w:rsidP="00D4691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B43CA19" w14:textId="77777777" w:rsidR="00D46910" w:rsidRDefault="00D46910" w:rsidP="00D4691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33B35A3" w14:textId="062A2E05" w:rsidR="00907D27" w:rsidRDefault="007B5C07" w:rsidP="001F34DC">
      <w:pPr>
        <w:spacing w:before="240" w:line="360" w:lineRule="auto"/>
        <w:jc w:val="both"/>
        <w:rPr>
          <w:rFonts w:ascii="Palatino Linotype" w:hAnsi="Palatino Linotype" w:cs="Arial"/>
          <w:sz w:val="24"/>
          <w:szCs w:val="24"/>
        </w:rPr>
      </w:pPr>
      <w:r w:rsidRPr="006F7AF6">
        <w:rPr>
          <w:rFonts w:ascii="Palatino Linotype" w:hAnsi="Palatino Linotype"/>
          <w:bCs/>
          <w:sz w:val="24"/>
          <w:szCs w:val="24"/>
        </w:rPr>
        <w:lastRenderedPageBreak/>
        <w:t>Una vez sentado lo anterior, en una aproximación inicial, es procedente mencionar que mediante la</w:t>
      </w:r>
      <w:r w:rsidR="001F34DC" w:rsidRPr="006F7AF6">
        <w:rPr>
          <w:rFonts w:ascii="Palatino Linotype" w:hAnsi="Palatino Linotype"/>
          <w:bCs/>
          <w:sz w:val="24"/>
          <w:szCs w:val="24"/>
        </w:rPr>
        <w:t>s</w:t>
      </w:r>
      <w:r w:rsidRPr="006F7AF6">
        <w:rPr>
          <w:rFonts w:ascii="Palatino Linotype" w:hAnsi="Palatino Linotype"/>
          <w:bCs/>
          <w:sz w:val="24"/>
          <w:szCs w:val="24"/>
        </w:rPr>
        <w:t xml:space="preserve"> solicitud</w:t>
      </w:r>
      <w:r w:rsidR="001F34DC" w:rsidRPr="006F7AF6">
        <w:rPr>
          <w:rFonts w:ascii="Palatino Linotype" w:hAnsi="Palatino Linotype"/>
          <w:bCs/>
          <w:sz w:val="24"/>
          <w:szCs w:val="24"/>
        </w:rPr>
        <w:t>es</w:t>
      </w:r>
      <w:r w:rsidRPr="006F7AF6">
        <w:rPr>
          <w:rFonts w:ascii="Palatino Linotype" w:hAnsi="Palatino Linotype"/>
          <w:bCs/>
          <w:sz w:val="24"/>
          <w:szCs w:val="24"/>
        </w:rPr>
        <w:t xml:space="preserve"> de información </w:t>
      </w:r>
      <w:r w:rsidR="001F34DC" w:rsidRPr="006F7AF6">
        <w:rPr>
          <w:rFonts w:ascii="Palatino Linotype" w:hAnsi="Palatino Linotype" w:cs="Arial"/>
          <w:sz w:val="24"/>
          <w:szCs w:val="24"/>
        </w:rPr>
        <w:t xml:space="preserve">fueron formulados un total </w:t>
      </w:r>
      <w:r w:rsidR="00710FDA" w:rsidRPr="006F7AF6">
        <w:rPr>
          <w:rFonts w:ascii="Palatino Linotype" w:hAnsi="Palatino Linotype" w:cs="Arial"/>
          <w:sz w:val="24"/>
          <w:szCs w:val="24"/>
        </w:rPr>
        <w:t xml:space="preserve">de </w:t>
      </w:r>
      <w:r w:rsidR="00BF7F4B">
        <w:rPr>
          <w:rFonts w:ascii="Palatino Linotype" w:hAnsi="Palatino Linotype" w:cs="Arial"/>
          <w:b/>
          <w:sz w:val="24"/>
          <w:szCs w:val="24"/>
        </w:rPr>
        <w:t xml:space="preserve">4 </w:t>
      </w:r>
      <w:r w:rsidR="00BF7F4B" w:rsidRPr="00BF7F4B">
        <w:rPr>
          <w:rFonts w:ascii="Palatino Linotype" w:hAnsi="Palatino Linotype" w:cs="Arial"/>
          <w:b/>
          <w:sz w:val="24"/>
          <w:szCs w:val="24"/>
        </w:rPr>
        <w:t>–cuatro-</w:t>
      </w:r>
      <w:r w:rsidR="00BF7F4B">
        <w:rPr>
          <w:rFonts w:ascii="Palatino Linotype" w:hAnsi="Palatino Linotype" w:cs="Arial"/>
          <w:sz w:val="24"/>
          <w:szCs w:val="24"/>
        </w:rPr>
        <w:t xml:space="preserve"> </w:t>
      </w:r>
      <w:r w:rsidR="00907D27">
        <w:rPr>
          <w:rFonts w:ascii="Palatino Linotype" w:hAnsi="Palatino Linotype" w:cs="Arial"/>
          <w:sz w:val="24"/>
          <w:szCs w:val="24"/>
        </w:rPr>
        <w:t xml:space="preserve">requerimientos, respecto de los cuales </w:t>
      </w:r>
      <w:r w:rsidR="00AA183E">
        <w:rPr>
          <w:rFonts w:ascii="Palatino Linotype" w:hAnsi="Palatino Linotype" w:cs="Arial"/>
          <w:sz w:val="24"/>
          <w:szCs w:val="24"/>
        </w:rPr>
        <w:t xml:space="preserve">no se precisó temporalidad, debiendo de ser delimitada a la fecha en que se ejerció el derecho de acceso a la información pública, es decir, al trece de diciembre de dos mil veintiuno. </w:t>
      </w:r>
      <w:r w:rsidR="00907D27">
        <w:rPr>
          <w:rFonts w:ascii="Palatino Linotype" w:hAnsi="Palatino Linotype" w:cs="Arial"/>
          <w:sz w:val="24"/>
          <w:szCs w:val="24"/>
        </w:rPr>
        <w:t xml:space="preserve"> </w:t>
      </w:r>
    </w:p>
    <w:p w14:paraId="6F5096BC" w14:textId="6EE1D215" w:rsidR="00633203" w:rsidRPr="00653D2A" w:rsidRDefault="00AA183E" w:rsidP="00633203">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Dicha precisión</w:t>
      </w:r>
      <w:r w:rsidR="00633203">
        <w:rPr>
          <w:rFonts w:ascii="Palatino Linotype" w:hAnsi="Palatino Linotype"/>
        </w:rPr>
        <w:t xml:space="preserve">, con fundamento en los artículos </w:t>
      </w:r>
      <w:r w:rsidR="00633203" w:rsidRPr="00653D2A">
        <w:rPr>
          <w:rFonts w:ascii="Palatino Linotype" w:hAnsi="Palatino Linotype"/>
        </w:rPr>
        <w:t xml:space="preserve">13 y 181 cuarto párrafo de la Ley en materia, los cuales a la letra rezan: </w:t>
      </w:r>
    </w:p>
    <w:p w14:paraId="01B3AB07" w14:textId="77777777" w:rsidR="00633203" w:rsidRPr="009878C2" w:rsidRDefault="00633203" w:rsidP="00633203">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64B4E16A" w14:textId="77777777" w:rsidR="00633203" w:rsidRPr="009878C2" w:rsidRDefault="00633203" w:rsidP="0063320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0A38905B" w14:textId="77777777" w:rsidR="00633203" w:rsidRPr="009878C2" w:rsidRDefault="00633203" w:rsidP="0063320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16983DFE" w14:textId="77777777" w:rsidR="00114AFA" w:rsidRDefault="00114AFA" w:rsidP="002D70B0">
      <w:pPr>
        <w:pStyle w:val="Prrafodelista"/>
        <w:autoSpaceDE w:val="0"/>
        <w:autoSpaceDN w:val="0"/>
        <w:adjustRightInd w:val="0"/>
        <w:spacing w:before="240" w:after="160" w:line="360" w:lineRule="auto"/>
        <w:ind w:left="0"/>
        <w:jc w:val="both"/>
        <w:rPr>
          <w:rFonts w:ascii="Palatino Linotype" w:hAnsi="Palatino Linotype"/>
          <w:bCs/>
        </w:rPr>
      </w:pPr>
    </w:p>
    <w:p w14:paraId="36E4B6B7" w14:textId="3AA5655F" w:rsidR="00AA183E" w:rsidRDefault="00AA183E" w:rsidP="00AA183E">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w:t>
      </w:r>
      <w:r w:rsidR="00BF7F4B">
        <w:rPr>
          <w:rFonts w:ascii="Palatino Linotype" w:hAnsi="Palatino Linotype" w:cs="Arial"/>
          <w:sz w:val="24"/>
          <w:szCs w:val="24"/>
        </w:rPr>
        <w:t>n</w:t>
      </w:r>
      <w:r>
        <w:rPr>
          <w:rFonts w:ascii="Palatino Linotype" w:hAnsi="Palatino Linotype" w:cs="Arial"/>
          <w:sz w:val="24"/>
          <w:szCs w:val="24"/>
        </w:rPr>
        <w:t xml:space="preserve"> en conocer la siguiente información:</w:t>
      </w:r>
      <w:r>
        <w:rPr>
          <w:rFonts w:ascii="Palatino Linotype" w:hAnsi="Palatino Linotype" w:cs="Arial"/>
        </w:rPr>
        <w:t xml:space="preserve"> </w:t>
      </w:r>
    </w:p>
    <w:p w14:paraId="6A9062A2" w14:textId="60441930" w:rsidR="00BF377A" w:rsidRDefault="00BF377A" w:rsidP="00BF377A">
      <w:pPr>
        <w:pStyle w:val="Prrafodelista"/>
        <w:numPr>
          <w:ilvl w:val="0"/>
          <w:numId w:val="3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E</w:t>
      </w:r>
      <w:r w:rsidR="00010873">
        <w:rPr>
          <w:rFonts w:ascii="Palatino Linotype" w:hAnsi="Palatino Linotype" w:cs="Arial"/>
        </w:rPr>
        <w:t xml:space="preserve">l o los documentos donde consten </w:t>
      </w:r>
      <w:r w:rsidR="00BF7F4B">
        <w:rPr>
          <w:rFonts w:ascii="Palatino Linotype" w:hAnsi="Palatino Linotype" w:cs="Arial"/>
        </w:rPr>
        <w:t xml:space="preserve">las dimensiones de los inmuebles donde radican las Delegaciones de Ixtapan de la Sal, Texcoco, Naucalpan de Juárez, así como la sede de Toluca, al trece de diciembre de dos mil veintiuno. </w:t>
      </w:r>
    </w:p>
    <w:p w14:paraId="7AC9C393" w14:textId="77777777" w:rsidR="00BF7F4B" w:rsidRDefault="00BF7F4B" w:rsidP="00BF7F4B">
      <w:pPr>
        <w:pStyle w:val="Prrafodelista"/>
        <w:numPr>
          <w:ilvl w:val="0"/>
          <w:numId w:val="3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el número de servidores públicos adscritos a las Delegaciones de Ixtapan de la Sal, Texcoco, Naucalpan de Juárez, así como la sede de Toluca, al trece de diciembre de dos mil veintiuno. </w:t>
      </w:r>
    </w:p>
    <w:p w14:paraId="13708FAA" w14:textId="765637B3" w:rsidR="00BF7F4B" w:rsidRDefault="00BF7F4B" w:rsidP="00BF7F4B">
      <w:pPr>
        <w:pStyle w:val="Prrafodelista"/>
        <w:autoSpaceDE w:val="0"/>
        <w:autoSpaceDN w:val="0"/>
        <w:adjustRightInd w:val="0"/>
        <w:spacing w:before="240" w:after="160" w:line="360" w:lineRule="auto"/>
        <w:ind w:left="720"/>
        <w:jc w:val="both"/>
        <w:rPr>
          <w:rFonts w:ascii="Palatino Linotype" w:hAnsi="Palatino Linotype" w:cs="Arial"/>
        </w:rPr>
      </w:pPr>
    </w:p>
    <w:p w14:paraId="1753E67A" w14:textId="096D1D9E" w:rsidR="006608A2" w:rsidRDefault="00521F9C" w:rsidP="006608A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En este tenor, en alusión a los</w:t>
      </w:r>
      <w:r w:rsidRPr="008D038F">
        <w:rPr>
          <w:rFonts w:ascii="Palatino Linotype" w:hAnsi="Palatino Linotype" w:cs="Arial"/>
          <w:sz w:val="24"/>
          <w:szCs w:val="24"/>
        </w:rPr>
        <w:t xml:space="preserve"> requerimiento</w:t>
      </w:r>
      <w:r>
        <w:rPr>
          <w:rFonts w:ascii="Palatino Linotype" w:hAnsi="Palatino Linotype" w:cs="Arial"/>
          <w:sz w:val="24"/>
          <w:szCs w:val="24"/>
        </w:rPr>
        <w:t>s</w:t>
      </w:r>
      <w:r w:rsidRPr="008D038F">
        <w:rPr>
          <w:rFonts w:ascii="Palatino Linotype" w:hAnsi="Palatino Linotype" w:cs="Arial"/>
          <w:sz w:val="24"/>
          <w:szCs w:val="24"/>
        </w:rPr>
        <w:t xml:space="preserve"> formulado</w:t>
      </w:r>
      <w:r>
        <w:rPr>
          <w:rFonts w:ascii="Palatino Linotype" w:hAnsi="Palatino Linotype" w:cs="Arial"/>
          <w:sz w:val="24"/>
          <w:szCs w:val="24"/>
        </w:rPr>
        <w:t>s</w:t>
      </w:r>
      <w:r w:rsidRPr="008D038F">
        <w:rPr>
          <w:rFonts w:ascii="Palatino Linotype" w:hAnsi="Palatino Linotype" w:cs="Arial"/>
          <w:sz w:val="24"/>
          <w:szCs w:val="24"/>
        </w:rPr>
        <w:t xml:space="preserve"> por el particular, resulta oportuno traer a colación</w:t>
      </w:r>
      <w:r>
        <w:rPr>
          <w:rFonts w:ascii="Palatino Linotype" w:hAnsi="Palatino Linotype" w:cs="Arial"/>
          <w:sz w:val="24"/>
          <w:szCs w:val="24"/>
        </w:rPr>
        <w:t xml:space="preserve"> el organigrama del </w:t>
      </w:r>
      <w:r>
        <w:rPr>
          <w:rFonts w:ascii="Palatino Linotype" w:hAnsi="Palatino Linotype" w:cs="Arial"/>
          <w:b/>
          <w:sz w:val="24"/>
          <w:szCs w:val="24"/>
        </w:rPr>
        <w:t xml:space="preserve">Sujeto Obligado, </w:t>
      </w:r>
      <w:r>
        <w:rPr>
          <w:rFonts w:ascii="Palatino Linotype" w:hAnsi="Palatino Linotype" w:cs="Arial"/>
          <w:sz w:val="24"/>
          <w:szCs w:val="24"/>
        </w:rPr>
        <w:t>susceptible de ser consultado en la siguiente dirección electrónica:</w:t>
      </w:r>
    </w:p>
    <w:p w14:paraId="3A15DA71" w14:textId="4FE23AF3" w:rsidR="00521F9C" w:rsidRPr="00D92363" w:rsidRDefault="00F676DC" w:rsidP="006608A2">
      <w:pPr>
        <w:autoSpaceDE w:val="0"/>
        <w:autoSpaceDN w:val="0"/>
        <w:adjustRightInd w:val="0"/>
        <w:spacing w:before="240" w:line="360" w:lineRule="auto"/>
        <w:jc w:val="both"/>
        <w:rPr>
          <w:rFonts w:ascii="Palatino Linotype" w:hAnsi="Palatino Linotype" w:cs="Arial"/>
          <w:sz w:val="24"/>
          <w:szCs w:val="24"/>
        </w:rPr>
      </w:pPr>
      <w:hyperlink r:id="rId8" w:history="1">
        <w:r w:rsidR="00521F9C" w:rsidRPr="00D92363">
          <w:rPr>
            <w:rStyle w:val="Hipervnculo"/>
            <w:rFonts w:ascii="Palatino Linotype" w:hAnsi="Palatino Linotype" w:cs="Arial"/>
            <w:sz w:val="24"/>
            <w:szCs w:val="24"/>
          </w:rPr>
          <w:t>https://www.ipomex.org.mx/ipo3/lgt/indice/CCAMEM/art_92_ii_b/3.web</w:t>
        </w:r>
      </w:hyperlink>
      <w:r w:rsidR="00521F9C" w:rsidRPr="00D92363">
        <w:rPr>
          <w:rFonts w:ascii="Palatino Linotype" w:hAnsi="Palatino Linotype" w:cs="Arial"/>
          <w:sz w:val="24"/>
          <w:szCs w:val="24"/>
        </w:rPr>
        <w:t xml:space="preserve"> </w:t>
      </w:r>
    </w:p>
    <w:p w14:paraId="34FC55D1" w14:textId="3D0F9A44" w:rsidR="00521F9C" w:rsidRPr="00D92363" w:rsidRDefault="00521F9C" w:rsidP="006608A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rPr>
        <w:t>S</w:t>
      </w:r>
      <w:r w:rsidRPr="00D92363">
        <w:rPr>
          <w:rFonts w:ascii="Palatino Linotype" w:hAnsi="Palatino Linotype" w:cs="Arial"/>
          <w:sz w:val="24"/>
          <w:szCs w:val="24"/>
        </w:rPr>
        <w:t>irven de sustento las siguientes imágenes ilustrativas:</w:t>
      </w:r>
      <w:r w:rsidR="00F27472" w:rsidRPr="00D92363">
        <w:rPr>
          <w:rFonts w:ascii="Palatino Linotype" w:hAnsi="Palatino Linotype"/>
          <w:noProof/>
          <w:sz w:val="24"/>
          <w:szCs w:val="24"/>
          <w:lang w:eastAsia="es-MX"/>
        </w:rPr>
        <w:t xml:space="preserve"> </w:t>
      </w:r>
    </w:p>
    <w:p w14:paraId="2960D7CA" w14:textId="7BB41D56" w:rsidR="00BF7F4B" w:rsidRDefault="005D4A6E" w:rsidP="006608A2">
      <w:pPr>
        <w:autoSpaceDE w:val="0"/>
        <w:autoSpaceDN w:val="0"/>
        <w:adjustRightInd w:val="0"/>
        <w:spacing w:before="240" w:line="360" w:lineRule="auto"/>
        <w:jc w:val="both"/>
        <w:rPr>
          <w:rFonts w:ascii="Palatino Linotype" w:hAnsi="Palatino Linotype" w:cs="Arial"/>
          <w:b/>
        </w:rPr>
      </w:pPr>
      <w:r>
        <w:rPr>
          <w:rFonts w:ascii="Palatino Linotype" w:hAnsi="Palatino Linotype" w:cs="Arial"/>
          <w:b/>
          <w:noProof/>
          <w:lang w:eastAsia="es-MX"/>
        </w:rPr>
        <mc:AlternateContent>
          <mc:Choice Requires="wps">
            <w:drawing>
              <wp:anchor distT="0" distB="0" distL="114300" distR="114300" simplePos="0" relativeHeight="251794432" behindDoc="0" locked="0" layoutInCell="1" allowOverlap="1" wp14:anchorId="47D66028" wp14:editId="47870D75">
                <wp:simplePos x="0" y="0"/>
                <wp:positionH relativeFrom="column">
                  <wp:posOffset>93572</wp:posOffset>
                </wp:positionH>
                <wp:positionV relativeFrom="paragraph">
                  <wp:posOffset>91411</wp:posOffset>
                </wp:positionV>
                <wp:extent cx="5766180" cy="2422477"/>
                <wp:effectExtent l="0" t="0" r="25400" b="35560"/>
                <wp:wrapNone/>
                <wp:docPr id="2" name="Conector recto 2"/>
                <wp:cNvGraphicFramePr/>
                <a:graphic xmlns:a="http://schemas.openxmlformats.org/drawingml/2006/main">
                  <a:graphicData uri="http://schemas.microsoft.com/office/word/2010/wordprocessingShape">
                    <wps:wsp>
                      <wps:cNvCnPr/>
                      <wps:spPr>
                        <a:xfrm>
                          <a:off x="0" y="0"/>
                          <a:ext cx="5766180" cy="24224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4CB6AB" id="Conector recto 2"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7.35pt,7.2pt" to="461.4pt,1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MutwEAAMUDAAAOAAAAZHJzL2Uyb0RvYy54bWysU8uOEzEQvCPxD5bvZB5aktUokz1kBRcE&#10;EbAf4PW0M5b8UttkJn9P20lmESAhEBc/u6q7yu3tw2wNOwFG7V3Pm1XNGTjpB+2OPX/6+u7NPWcx&#10;CTcI4x30/AyRP+xev9pOoYPWj94MgIxIXOym0PMxpdBVVZQjWBFXPoCjS+XRikRbPFYDionYrana&#10;ul5Xk8choJcQI50+Xi75rvArBTJ9UipCYqbnVFsqI5bxOY/Vbiu6I4owanktQ/xDFVZoR0kXqkeR&#10;BPuG+hcqqyX66FVaSW8rr5SWUDSQmqb+Sc2XUQQoWsicGBab4v+jlR9PB2R66HnLmROWnmhPDyWT&#10;R4Z5Ym32aAqxo9C9O+B1F8MBs+BZoc0zSWFz8fW8+ApzYpIO327W6+ae7Jd019617d1mk1mrF3jA&#10;mN6Dtywvem60y8JFJ04fYrqE3kIIl8u5FFBW6WwgBxv3GRSJoZRNQZc2gr1BdhLUAEJKcKm5pi7R&#10;Gaa0MQuw/jPwGp+hUFrsb8ALomT2Li1gq53H32VP861kdYm/OXDRnS149sO5PE2xhnqlmHvt69yM&#10;P+4L/OX37b4DAAD//wMAUEsDBBQABgAIAAAAIQD395IS4QAAAAkBAAAPAAAAZHJzL2Rvd25yZXYu&#10;eG1sTI9PS8NAEMXvgt9hGcGb3Rjrn8RsSimItSDFKtTjNjsm0exs2N026bd3etLT8HiPN79XzEbb&#10;iQP60DpScD1JQCBVzrRUK/h4f7p6ABGiJqM7R6jgiAFm5flZoXPjBnrDwybWgkso5FpBE2OfSxmq&#10;Bq0OE9cjsfflvNWRpa+l8XrgctvJNEnupNUt8YdG97hosPrZ7K2CV79cLuar4zetP+2wTVfb9cv4&#10;rNTlxTh/BBFxjH9hOOEzOpTMtHN7MkF0rKf3nDzdKQj2szTlKTsFN9ltBrIs5P8F5S8AAAD//wMA&#10;UEsBAi0AFAAGAAgAAAAhALaDOJL+AAAA4QEAABMAAAAAAAAAAAAAAAAAAAAAAFtDb250ZW50X1R5&#10;cGVzXS54bWxQSwECLQAUAAYACAAAACEAOP0h/9YAAACUAQAACwAAAAAAAAAAAAAAAAAvAQAAX3Jl&#10;bHMvLnJlbHNQSwECLQAUAAYACAAAACEATngDLrcBAADFAwAADgAAAAAAAAAAAAAAAAAuAgAAZHJz&#10;L2Uyb0RvYy54bWxQSwECLQAUAAYACAAAACEA9/eSEuEAAAAJAQAADwAAAAAAAAAAAAAAAAARBAAA&#10;ZHJzL2Rvd25yZXYueG1sUEsFBgAAAAAEAAQA8wAAAB8FAAAAAA==&#10;" strokecolor="#5b9bd5 [3204]" strokeweight=".5pt">
                <v:stroke joinstyle="miter"/>
              </v:line>
            </w:pict>
          </mc:Fallback>
        </mc:AlternateContent>
      </w:r>
    </w:p>
    <w:p w14:paraId="03431DC1" w14:textId="44F89EC5" w:rsidR="00BF7F4B" w:rsidRDefault="00BF7F4B" w:rsidP="006608A2">
      <w:pPr>
        <w:autoSpaceDE w:val="0"/>
        <w:autoSpaceDN w:val="0"/>
        <w:adjustRightInd w:val="0"/>
        <w:spacing w:before="240" w:line="360" w:lineRule="auto"/>
        <w:jc w:val="both"/>
        <w:rPr>
          <w:rFonts w:ascii="Palatino Linotype" w:hAnsi="Palatino Linotype" w:cs="Arial"/>
          <w:b/>
        </w:rPr>
      </w:pPr>
    </w:p>
    <w:p w14:paraId="224FE5B9" w14:textId="175E0030" w:rsidR="00654A73" w:rsidRDefault="005D4A6E" w:rsidP="00654A73">
      <w:pPr>
        <w:spacing w:before="240" w:line="360" w:lineRule="auto"/>
        <w:ind w:right="72"/>
        <w:jc w:val="both"/>
        <w:rPr>
          <w:rFonts w:ascii="Palatino Linotype" w:hAnsi="Palatino Linotype" w:cs="Arial"/>
          <w:sz w:val="24"/>
          <w:szCs w:val="24"/>
        </w:rPr>
      </w:pPr>
      <w:r>
        <w:rPr>
          <w:rFonts w:ascii="Palatino Linotype" w:hAnsi="Palatino Linotype" w:cs="Arial"/>
          <w:b/>
          <w:noProof/>
          <w:lang w:eastAsia="es-MX"/>
        </w:rPr>
        <w:lastRenderedPageBreak/>
        <w:drawing>
          <wp:anchor distT="0" distB="0" distL="114300" distR="114300" simplePos="0" relativeHeight="251796480" behindDoc="0" locked="0" layoutInCell="1" allowOverlap="1" wp14:anchorId="23FB0851" wp14:editId="41B1877D">
            <wp:simplePos x="0" y="0"/>
            <wp:positionH relativeFrom="column">
              <wp:posOffset>1746914</wp:posOffset>
            </wp:positionH>
            <wp:positionV relativeFrom="paragraph">
              <wp:posOffset>3837229</wp:posOffset>
            </wp:positionV>
            <wp:extent cx="2380891" cy="1282428"/>
            <wp:effectExtent l="19050" t="19050" r="19685" b="13335"/>
            <wp:wrapThrough wrapText="bothSides">
              <wp:wrapPolygon edited="0">
                <wp:start x="-173" y="-321"/>
                <wp:lineTo x="-173" y="21504"/>
                <wp:lineTo x="21606" y="21504"/>
                <wp:lineTo x="21606" y="-321"/>
                <wp:lineTo x="-173" y="-321"/>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0891" cy="128242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85215" behindDoc="0" locked="0" layoutInCell="1" allowOverlap="1" wp14:anchorId="4E91B1D3" wp14:editId="01214154">
            <wp:simplePos x="0" y="0"/>
            <wp:positionH relativeFrom="column">
              <wp:posOffset>-86029</wp:posOffset>
            </wp:positionH>
            <wp:positionV relativeFrom="paragraph">
              <wp:posOffset>19372</wp:posOffset>
            </wp:positionV>
            <wp:extent cx="5753100" cy="3407410"/>
            <wp:effectExtent l="19050" t="19050" r="19050" b="21590"/>
            <wp:wrapThrough wrapText="bothSides">
              <wp:wrapPolygon edited="0">
                <wp:start x="-72" y="-121"/>
                <wp:lineTo x="-72" y="21616"/>
                <wp:lineTo x="21600" y="21616"/>
                <wp:lineTo x="21600" y="-121"/>
                <wp:lineTo x="-72" y="-121"/>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4074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654A73">
        <w:rPr>
          <w:rFonts w:ascii="Palatino Linotype" w:hAnsi="Palatino Linotype" w:cs="Arial"/>
          <w:sz w:val="24"/>
          <w:szCs w:val="24"/>
        </w:rPr>
        <w:t xml:space="preserve"> </w:t>
      </w:r>
    </w:p>
    <w:p w14:paraId="2FB28BEF" w14:textId="377179E4" w:rsidR="00654A73" w:rsidRDefault="00654A73" w:rsidP="000A7762">
      <w:pPr>
        <w:spacing w:before="240" w:line="360" w:lineRule="auto"/>
        <w:ind w:right="72"/>
        <w:jc w:val="both"/>
        <w:rPr>
          <w:rFonts w:ascii="Palatino Linotype" w:hAnsi="Palatino Linotype" w:cs="Arial"/>
          <w:sz w:val="24"/>
          <w:szCs w:val="24"/>
        </w:rPr>
      </w:pPr>
    </w:p>
    <w:p w14:paraId="67076684" w14:textId="07BC17D1" w:rsidR="00FB3A45" w:rsidRDefault="000A7762" w:rsidP="008838D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 </w:t>
      </w:r>
    </w:p>
    <w:p w14:paraId="52A7AA97" w14:textId="77777777" w:rsidR="005D4A6E" w:rsidRDefault="005D4A6E" w:rsidP="000A7762">
      <w:pPr>
        <w:autoSpaceDE w:val="0"/>
        <w:autoSpaceDN w:val="0"/>
        <w:adjustRightInd w:val="0"/>
        <w:spacing w:before="240" w:line="360" w:lineRule="auto"/>
        <w:jc w:val="both"/>
        <w:rPr>
          <w:rFonts w:ascii="Palatino Linotype" w:hAnsi="Palatino Linotype" w:cs="Arial"/>
          <w:sz w:val="24"/>
          <w:szCs w:val="24"/>
        </w:rPr>
      </w:pPr>
    </w:p>
    <w:p w14:paraId="5E748FD8" w14:textId="77777777" w:rsidR="00521F9C" w:rsidRDefault="000A7762" w:rsidP="000A7762">
      <w:pPr>
        <w:autoSpaceDE w:val="0"/>
        <w:autoSpaceDN w:val="0"/>
        <w:adjustRightInd w:val="0"/>
        <w:spacing w:before="240" w:line="360" w:lineRule="auto"/>
        <w:jc w:val="both"/>
        <w:rPr>
          <w:rFonts w:ascii="Palatino Linotype" w:hAnsi="Palatino Linotype" w:cs="Arial"/>
          <w:sz w:val="24"/>
          <w:szCs w:val="24"/>
        </w:rPr>
      </w:pPr>
      <w:r w:rsidRPr="006B403E">
        <w:rPr>
          <w:rFonts w:ascii="Palatino Linotype" w:hAnsi="Palatino Linotype" w:cs="Arial"/>
          <w:sz w:val="24"/>
          <w:szCs w:val="24"/>
        </w:rPr>
        <w:t xml:space="preserve">De lo expuesto con anterioridad, se desprende que </w:t>
      </w:r>
      <w:r w:rsidRPr="006B403E">
        <w:rPr>
          <w:rFonts w:ascii="Palatino Linotype" w:hAnsi="Palatino Linotype" w:cs="Arial"/>
          <w:b/>
          <w:sz w:val="24"/>
          <w:szCs w:val="24"/>
        </w:rPr>
        <w:t xml:space="preserve">El Sujeto Obligado </w:t>
      </w:r>
      <w:r w:rsidRPr="006B403E">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00521F9C">
        <w:rPr>
          <w:rFonts w:ascii="Palatino Linotype" w:hAnsi="Palatino Linotype" w:cs="Arial"/>
          <w:sz w:val="24"/>
          <w:szCs w:val="24"/>
        </w:rPr>
        <w:t xml:space="preserve">Unidad de Apoyo Administrativo. </w:t>
      </w:r>
    </w:p>
    <w:p w14:paraId="3C53B554" w14:textId="0DAD72B9" w:rsidR="0085410D" w:rsidRDefault="0085410D" w:rsidP="000A7762">
      <w:pPr>
        <w:autoSpaceDE w:val="0"/>
        <w:autoSpaceDN w:val="0"/>
        <w:adjustRightInd w:val="0"/>
        <w:spacing w:before="240" w:line="360" w:lineRule="auto"/>
        <w:jc w:val="both"/>
        <w:rPr>
          <w:rFonts w:ascii="Palatino Linotype" w:hAnsi="Palatino Linotype" w:cs="Arial"/>
          <w:sz w:val="24"/>
          <w:szCs w:val="24"/>
        </w:rPr>
      </w:pPr>
      <w:r w:rsidRPr="006B403E">
        <w:rPr>
          <w:rFonts w:ascii="Palatino Linotype" w:hAnsi="Palatino Linotype" w:cs="Arial"/>
          <w:sz w:val="24"/>
          <w:szCs w:val="24"/>
        </w:rPr>
        <w:lastRenderedPageBreak/>
        <w:t>A m</w:t>
      </w:r>
      <w:r w:rsidR="003C6F71">
        <w:rPr>
          <w:rFonts w:ascii="Palatino Linotype" w:hAnsi="Palatino Linotype" w:cs="Arial"/>
          <w:sz w:val="24"/>
          <w:szCs w:val="24"/>
        </w:rPr>
        <w:t>ayor abundamiento, en alusión a los</w:t>
      </w:r>
      <w:r w:rsidRPr="006B403E">
        <w:rPr>
          <w:rFonts w:ascii="Palatino Linotype" w:hAnsi="Palatino Linotype" w:cs="Arial"/>
          <w:sz w:val="24"/>
          <w:szCs w:val="24"/>
        </w:rPr>
        <w:t xml:space="preserve"> requerimiento</w:t>
      </w:r>
      <w:r w:rsidR="003C6F71">
        <w:rPr>
          <w:rFonts w:ascii="Palatino Linotype" w:hAnsi="Palatino Linotype" w:cs="Arial"/>
          <w:sz w:val="24"/>
          <w:szCs w:val="24"/>
        </w:rPr>
        <w:t>s</w:t>
      </w:r>
      <w:r w:rsidRPr="006B403E">
        <w:rPr>
          <w:rFonts w:ascii="Palatino Linotype" w:hAnsi="Palatino Linotype" w:cs="Arial"/>
          <w:sz w:val="24"/>
          <w:szCs w:val="24"/>
        </w:rPr>
        <w:t xml:space="preserve"> formulado</w:t>
      </w:r>
      <w:r w:rsidR="003C6F71">
        <w:rPr>
          <w:rFonts w:ascii="Palatino Linotype" w:hAnsi="Palatino Linotype" w:cs="Arial"/>
          <w:sz w:val="24"/>
          <w:szCs w:val="24"/>
        </w:rPr>
        <w:t>s</w:t>
      </w:r>
      <w:r w:rsidRPr="006B403E">
        <w:rPr>
          <w:rFonts w:ascii="Palatino Linotype" w:hAnsi="Palatino Linotype" w:cs="Arial"/>
          <w:sz w:val="24"/>
          <w:szCs w:val="24"/>
        </w:rPr>
        <w:t xml:space="preserve"> por el particular, resulta oportuno traer a colación </w:t>
      </w:r>
      <w:r>
        <w:rPr>
          <w:rFonts w:ascii="Palatino Linotype" w:hAnsi="Palatino Linotype" w:cs="Arial"/>
          <w:sz w:val="24"/>
          <w:szCs w:val="24"/>
        </w:rPr>
        <w:t xml:space="preserve">los artículos 6, 16, 17, fracción VII y 23 del Reglamento Interno de la Comisión de Conciliación y Arbitraje Médico del Estado de México, porciones normativas que disponen a la literalidad lo siguiente: </w:t>
      </w:r>
    </w:p>
    <w:p w14:paraId="52A3BD54" w14:textId="63EA4ED8" w:rsidR="0085410D" w:rsidRDefault="003C6F71" w:rsidP="0085410D">
      <w:pPr>
        <w:pStyle w:val="Citas"/>
      </w:pPr>
      <w:r>
        <w:t>“</w:t>
      </w:r>
      <w:r w:rsidR="0085410D">
        <w:t>Artículo 6.- Para el estudio, planeación y despacho de los asuntos de su competencia, el Comisionado se auxiliará de las unidades administrativas básicas siguientes:</w:t>
      </w:r>
    </w:p>
    <w:p w14:paraId="02F0BFA6" w14:textId="77777777" w:rsidR="0085410D" w:rsidRDefault="0085410D" w:rsidP="0085410D">
      <w:pPr>
        <w:pStyle w:val="Citas"/>
      </w:pPr>
      <w:r>
        <w:t xml:space="preserve"> I. Subcomisión de Recepción y Seguimiento de Quejas.</w:t>
      </w:r>
    </w:p>
    <w:p w14:paraId="3C34E410" w14:textId="77777777" w:rsidR="0085410D" w:rsidRDefault="0085410D" w:rsidP="0085410D">
      <w:pPr>
        <w:pStyle w:val="Citas"/>
      </w:pPr>
      <w:r>
        <w:t xml:space="preserve"> II. Subcomisión de Conciliación, Arbitraje e Igualdad de Género.</w:t>
      </w:r>
    </w:p>
    <w:p w14:paraId="1D866624" w14:textId="77777777" w:rsidR="0085410D" w:rsidRDefault="0085410D" w:rsidP="0085410D">
      <w:pPr>
        <w:pStyle w:val="Citas"/>
      </w:pPr>
      <w:r>
        <w:t xml:space="preserve"> III. Unidad de Calidad en el Servicio Médico.</w:t>
      </w:r>
    </w:p>
    <w:p w14:paraId="23551909" w14:textId="77777777" w:rsidR="0085410D" w:rsidRDefault="0085410D" w:rsidP="0085410D">
      <w:pPr>
        <w:pStyle w:val="Citas"/>
      </w:pPr>
      <w:r>
        <w:t xml:space="preserve"> IV. Unidad de Peritajes.</w:t>
      </w:r>
    </w:p>
    <w:p w14:paraId="3E4E62AE" w14:textId="77777777" w:rsidR="0085410D" w:rsidRPr="0085410D" w:rsidRDefault="0085410D" w:rsidP="0085410D">
      <w:pPr>
        <w:pStyle w:val="Citas"/>
        <w:rPr>
          <w:b/>
          <w:u w:val="single"/>
        </w:rPr>
      </w:pPr>
      <w:r w:rsidRPr="0085410D">
        <w:rPr>
          <w:b/>
          <w:u w:val="single"/>
        </w:rPr>
        <w:t xml:space="preserve"> V. Delegación Naucalpan.</w:t>
      </w:r>
    </w:p>
    <w:p w14:paraId="2499AE2D" w14:textId="77777777" w:rsidR="0085410D" w:rsidRPr="0085410D" w:rsidRDefault="0085410D" w:rsidP="0085410D">
      <w:pPr>
        <w:pStyle w:val="Citas"/>
        <w:rPr>
          <w:b/>
          <w:u w:val="single"/>
        </w:rPr>
      </w:pPr>
      <w:r w:rsidRPr="0085410D">
        <w:rPr>
          <w:b/>
          <w:u w:val="single"/>
        </w:rPr>
        <w:t xml:space="preserve"> VI. Delegación Texcoco.</w:t>
      </w:r>
    </w:p>
    <w:p w14:paraId="5B527698" w14:textId="77777777" w:rsidR="0085410D" w:rsidRPr="0085410D" w:rsidRDefault="0085410D" w:rsidP="0085410D">
      <w:pPr>
        <w:pStyle w:val="Citas"/>
        <w:rPr>
          <w:b/>
          <w:u w:val="single"/>
        </w:rPr>
      </w:pPr>
      <w:r w:rsidRPr="0085410D">
        <w:rPr>
          <w:b/>
          <w:u w:val="single"/>
        </w:rPr>
        <w:t xml:space="preserve"> VII. Delegación Ixtapan de la Sal. </w:t>
      </w:r>
    </w:p>
    <w:p w14:paraId="0DC0C94D" w14:textId="059C917E" w:rsidR="0085410D" w:rsidRPr="0085410D" w:rsidRDefault="0085410D" w:rsidP="0085410D">
      <w:pPr>
        <w:pStyle w:val="Citas"/>
        <w:rPr>
          <w:b/>
          <w:u w:val="single"/>
        </w:rPr>
      </w:pPr>
      <w:r w:rsidRPr="0085410D">
        <w:rPr>
          <w:b/>
          <w:u w:val="single"/>
        </w:rPr>
        <w:t>VIII. Unidad de Apoyo Administrativo.</w:t>
      </w:r>
    </w:p>
    <w:p w14:paraId="599ECA1B" w14:textId="77777777" w:rsidR="0085410D" w:rsidRDefault="00571CC3" w:rsidP="0085410D">
      <w:pPr>
        <w:pStyle w:val="Citas"/>
      </w:pPr>
      <w:r>
        <w:t xml:space="preserve">Artículo 16.- Al frente de cada Subcomisión, Unidad, y Delegación habrá una o un titular, quien se auxiliará de los servidores públicos que las necesidades del servicio </w:t>
      </w:r>
      <w:r>
        <w:lastRenderedPageBreak/>
        <w:t>requieran, de acuerdo con la organización interna autorizada a la Comisión y con el presupuesto de egresos respectivo.</w:t>
      </w:r>
    </w:p>
    <w:p w14:paraId="02F6B5FD" w14:textId="3BBC5D4D" w:rsidR="00571CC3" w:rsidRDefault="00571CC3" w:rsidP="0085410D">
      <w:pPr>
        <w:pStyle w:val="Citas"/>
      </w:pPr>
      <w:r>
        <w:t xml:space="preserve"> Artículo 17.- Corresponde a las y los titulares de las Subcomisiones, Unidades y Delegaciones, las atribuciones siguientes:</w:t>
      </w:r>
    </w:p>
    <w:p w14:paraId="4454379A" w14:textId="5D5E3DFC" w:rsidR="0085410D" w:rsidRDefault="0085410D" w:rsidP="0085410D">
      <w:pPr>
        <w:pStyle w:val="Citas"/>
      </w:pPr>
      <w:r>
        <w:t>(…)</w:t>
      </w:r>
    </w:p>
    <w:p w14:paraId="037CCF02" w14:textId="68F28E8D" w:rsidR="0085410D" w:rsidRDefault="0085410D" w:rsidP="0085410D">
      <w:pPr>
        <w:pStyle w:val="Citas"/>
        <w:rPr>
          <w:sz w:val="24"/>
          <w:szCs w:val="24"/>
        </w:rPr>
      </w:pPr>
      <w:r>
        <w:t>VII. Proponer al Comisionado el ingreso, licencia, promoción, remoción y cese del personal de la unidad administrativa a su cargo.</w:t>
      </w:r>
    </w:p>
    <w:p w14:paraId="6286544E" w14:textId="77777777" w:rsidR="0085410D" w:rsidRDefault="00571CC3" w:rsidP="0085410D">
      <w:pPr>
        <w:pStyle w:val="Citas"/>
      </w:pPr>
      <w:r>
        <w:t xml:space="preserve">Artículo 23.- Corresponde a la Unidad de Apoyo Administrativo: </w:t>
      </w:r>
    </w:p>
    <w:p w14:paraId="4E3180C6" w14:textId="77777777" w:rsidR="0085410D" w:rsidRDefault="00571CC3" w:rsidP="0085410D">
      <w:pPr>
        <w:pStyle w:val="Citas"/>
      </w:pPr>
      <w:r>
        <w:t>I. Aplicar las políticas, normas, sistemas y procedimientos para la programación, presupuestación y administración de los recursos asignados a la Comisión.</w:t>
      </w:r>
    </w:p>
    <w:p w14:paraId="06DC48B4" w14:textId="77777777" w:rsidR="0085410D" w:rsidRDefault="00571CC3" w:rsidP="0085410D">
      <w:pPr>
        <w:pStyle w:val="Citas"/>
      </w:pPr>
      <w:r>
        <w:t xml:space="preserve"> II. Elaborar y presentar a consideración del Comisionado el proyecto de presupuesto anual de egresos de la Comisión, de acuerdo con la normatividad en la materia. </w:t>
      </w:r>
    </w:p>
    <w:p w14:paraId="018A710C" w14:textId="77777777" w:rsidR="003C6F71" w:rsidRDefault="00571CC3" w:rsidP="0085410D">
      <w:pPr>
        <w:pStyle w:val="Citas"/>
      </w:pPr>
      <w:r>
        <w:t>III. Coordinar la integración y actualización de los manuales administrativos de la Comisión, previa aprobación del Consejo, y someterlos a la autorización de la Secretaría de Finanzas.</w:t>
      </w:r>
    </w:p>
    <w:p w14:paraId="4F230E28" w14:textId="77777777" w:rsidR="003C6F71" w:rsidRDefault="00571CC3" w:rsidP="0085410D">
      <w:pPr>
        <w:pStyle w:val="Citas"/>
      </w:pPr>
      <w:r>
        <w:t xml:space="preserve"> IV. Aplicar y vigilar el cumplimiento de las disposiciones legales en materia de adquisiciones, conservación, mantenimiento y reparación de bienes muebles e inmuebles. </w:t>
      </w:r>
    </w:p>
    <w:p w14:paraId="35F040E1" w14:textId="77777777" w:rsidR="003C6F71" w:rsidRDefault="00571CC3" w:rsidP="0085410D">
      <w:pPr>
        <w:pStyle w:val="Citas"/>
      </w:pPr>
      <w:r>
        <w:lastRenderedPageBreak/>
        <w:t xml:space="preserve">V. Revisar que los expedientes del archivo de la Comisión cumplan con la normatividad en la materia, previo a su concentración. </w:t>
      </w:r>
    </w:p>
    <w:p w14:paraId="5B84A2CF" w14:textId="77777777" w:rsidR="003C6F71" w:rsidRDefault="00571CC3" w:rsidP="0085410D">
      <w:pPr>
        <w:pStyle w:val="Citas"/>
      </w:pPr>
      <w:r>
        <w:t xml:space="preserve">VI. Diseñar y proponer conjuntamente con las o los titulares de las subcomisiones, el sistema para evaluar el desempeño de la Comisión. </w:t>
      </w:r>
    </w:p>
    <w:p w14:paraId="251FC06A" w14:textId="77777777" w:rsidR="003C6F71" w:rsidRDefault="00571CC3" w:rsidP="0085410D">
      <w:pPr>
        <w:pStyle w:val="Citas"/>
      </w:pPr>
      <w:r>
        <w:t xml:space="preserve">VII. Suscribir, previa autorización del Comisionado, los convenios, contratos y demás documentos que impliquen actos de administración relacionados con su competencia. </w:t>
      </w:r>
    </w:p>
    <w:p w14:paraId="0C547436" w14:textId="77777777" w:rsidR="003C6F71" w:rsidRDefault="00571CC3" w:rsidP="0085410D">
      <w:pPr>
        <w:pStyle w:val="Citas"/>
      </w:pPr>
      <w:r>
        <w:t xml:space="preserve">VIII. Expedir certificados y autentificar documentos relacionados con su competencia. </w:t>
      </w:r>
    </w:p>
    <w:p w14:paraId="1A2F2EDA" w14:textId="7CFB52E0" w:rsidR="003C6F71" w:rsidRPr="003C6F71" w:rsidRDefault="00571CC3" w:rsidP="0085410D">
      <w:pPr>
        <w:pStyle w:val="Citas"/>
        <w:rPr>
          <w:b/>
          <w:i w:val="0"/>
        </w:rPr>
      </w:pPr>
      <w:r w:rsidRPr="003C6F71">
        <w:rPr>
          <w:b/>
          <w:u w:val="single"/>
        </w:rPr>
        <w:t xml:space="preserve">IX. Realizar los movimientos de altas, bajas, cambios, permisos y licencias de los servidores públicos de la Comisión, en términos de la normatividad aplicable. </w:t>
      </w:r>
    </w:p>
    <w:p w14:paraId="6F685BB1" w14:textId="77777777" w:rsidR="003C6F71" w:rsidRPr="003C6F71" w:rsidRDefault="00571CC3" w:rsidP="0085410D">
      <w:pPr>
        <w:pStyle w:val="Citas"/>
        <w:rPr>
          <w:b/>
          <w:u w:val="single"/>
        </w:rPr>
      </w:pPr>
      <w:r w:rsidRPr="003C6F71">
        <w:rPr>
          <w:b/>
          <w:u w:val="single"/>
        </w:rPr>
        <w:t xml:space="preserve">X. Presidir los comités de Adquisiciones y Servicios; y de Arrendamientos, Adquisiciones de Inmuebles y Enajenaciones de la Comisión, de conformidad con la normatividad aplicable. </w:t>
      </w:r>
    </w:p>
    <w:p w14:paraId="3FA3A5DB" w14:textId="77777777" w:rsidR="003C6F71" w:rsidRPr="003C6F71" w:rsidRDefault="00571CC3" w:rsidP="0085410D">
      <w:pPr>
        <w:pStyle w:val="Citas"/>
        <w:rPr>
          <w:b/>
          <w:u w:val="single"/>
        </w:rPr>
      </w:pPr>
      <w:r w:rsidRPr="003C6F71">
        <w:rPr>
          <w:b/>
          <w:u w:val="single"/>
        </w:rPr>
        <w:t xml:space="preserve">XI. Coordinar y ejecutar los procedimientos de adquisiciones y servicios, arrendamientos, enajenaciones, obra pública y servicios relacionados con la misma que requiera la Comisión, de acuerdo con la normatividad aplicable. </w:t>
      </w:r>
    </w:p>
    <w:p w14:paraId="230A01C2" w14:textId="77777777" w:rsidR="003C6F71" w:rsidRDefault="00571CC3" w:rsidP="0085410D">
      <w:pPr>
        <w:pStyle w:val="Citas"/>
      </w:pPr>
      <w:r>
        <w:lastRenderedPageBreak/>
        <w:t xml:space="preserve">XII. Suscribir los contratos y convenios derivados de los procedimientos adquisitivos de bienes, arrendamientos, servicios, obra pública y servicios relacionados con la misma, con base en la normatividad aplicable, previo acuerdo del Comisionado. </w:t>
      </w:r>
    </w:p>
    <w:p w14:paraId="53BA7F37" w14:textId="77777777" w:rsidR="003C6F71" w:rsidRDefault="00571CC3" w:rsidP="0085410D">
      <w:pPr>
        <w:pStyle w:val="Citas"/>
      </w:pPr>
      <w:r>
        <w:t xml:space="preserve">XIII. Rescindir administrativamente los contratos y convenios derivados de los procedimientos que haya celebrado la Comisión e informar al Órgano Interno de Control de la Comisión de las posibles infracciones a que haya lugar. </w:t>
      </w:r>
    </w:p>
    <w:p w14:paraId="2532EF47" w14:textId="50A756C8" w:rsidR="00571CC3" w:rsidRDefault="00571CC3" w:rsidP="0085410D">
      <w:pPr>
        <w:pStyle w:val="Citas"/>
        <w:rPr>
          <w:sz w:val="24"/>
          <w:szCs w:val="24"/>
        </w:rPr>
      </w:pPr>
      <w:r>
        <w:t>XIV. Las demás que le confieran otras disposiciones legales y aquellas que le encomiende el Comisionado</w:t>
      </w:r>
      <w:r w:rsidR="003C6F71" w:rsidRPr="003C6F71">
        <w:t>“</w:t>
      </w:r>
      <w:r w:rsidR="003C6F71">
        <w:rPr>
          <w:b/>
          <w:u w:val="single"/>
        </w:rPr>
        <w:t>[</w:t>
      </w:r>
      <w:r w:rsidR="003C6F71" w:rsidRPr="003C6F71">
        <w:rPr>
          <w:b/>
        </w:rPr>
        <w:t>Sic]</w:t>
      </w:r>
    </w:p>
    <w:p w14:paraId="2E123E93" w14:textId="77777777" w:rsidR="00571CC3" w:rsidRDefault="00571CC3" w:rsidP="000A7762">
      <w:pPr>
        <w:autoSpaceDE w:val="0"/>
        <w:autoSpaceDN w:val="0"/>
        <w:adjustRightInd w:val="0"/>
        <w:spacing w:before="240" w:line="360" w:lineRule="auto"/>
        <w:jc w:val="both"/>
        <w:rPr>
          <w:rFonts w:ascii="Palatino Linotype" w:hAnsi="Palatino Linotype" w:cs="Arial"/>
          <w:sz w:val="24"/>
          <w:szCs w:val="24"/>
        </w:rPr>
      </w:pPr>
    </w:p>
    <w:p w14:paraId="0C5D7F1F" w14:textId="211395DD" w:rsidR="003C6F71" w:rsidRDefault="00100742" w:rsidP="00100742">
      <w:pPr>
        <w:autoSpaceDE w:val="0"/>
        <w:autoSpaceDN w:val="0"/>
        <w:adjustRightInd w:val="0"/>
        <w:spacing w:before="240" w:line="360" w:lineRule="auto"/>
        <w:jc w:val="both"/>
        <w:rPr>
          <w:rFonts w:ascii="Palatino Linotype" w:hAnsi="Palatino Linotype"/>
          <w:sz w:val="24"/>
          <w:szCs w:val="24"/>
        </w:rPr>
      </w:pPr>
      <w:r w:rsidRPr="00100742">
        <w:rPr>
          <w:rFonts w:ascii="Palatino Linotype" w:hAnsi="Palatino Linotype"/>
          <w:sz w:val="24"/>
          <w:szCs w:val="24"/>
        </w:rPr>
        <w:t xml:space="preserve">En efecto, </w:t>
      </w:r>
      <w:r>
        <w:rPr>
          <w:rFonts w:ascii="Palatino Linotype" w:hAnsi="Palatino Linotype"/>
          <w:sz w:val="24"/>
          <w:szCs w:val="24"/>
        </w:rPr>
        <w:t xml:space="preserve">de la normatividad plasmada con anterioridad se desprende </w:t>
      </w:r>
      <w:r w:rsidR="003C6F71">
        <w:rPr>
          <w:rFonts w:ascii="Palatino Linotype" w:hAnsi="Palatino Linotype"/>
          <w:sz w:val="24"/>
          <w:szCs w:val="24"/>
        </w:rPr>
        <w:t xml:space="preserve">que la Unidad de Apoyo Administrativo funge como la unidad administrativa competente para coordinar y ejecutar procedimientos en materia de </w:t>
      </w:r>
      <w:r w:rsidR="005A3D7E">
        <w:rPr>
          <w:rFonts w:ascii="Palatino Linotype" w:hAnsi="Palatino Linotype"/>
          <w:sz w:val="24"/>
          <w:szCs w:val="24"/>
        </w:rPr>
        <w:t xml:space="preserve">adquisiciones y arrendamientos, así como para realizar movimientos de altas, bajas, cambios, permisos, licencias, entre otros. </w:t>
      </w:r>
    </w:p>
    <w:p w14:paraId="1F1CBBBC" w14:textId="726E77C3" w:rsidR="005A3D7E" w:rsidRPr="00AA7EDD" w:rsidRDefault="005A3D7E" w:rsidP="005A3D7E">
      <w:pPr>
        <w:pStyle w:val="Sinespaciado"/>
        <w:spacing w:line="360" w:lineRule="auto"/>
        <w:jc w:val="both"/>
        <w:rPr>
          <w:rFonts w:ascii="Palatino Linotype" w:hAnsi="Palatino Linotype"/>
        </w:rPr>
      </w:pPr>
      <w:r>
        <w:rPr>
          <w:rFonts w:ascii="Palatino Linotype" w:hAnsi="Palatino Linotype"/>
        </w:rPr>
        <w:t xml:space="preserve">De ahí que deba arribarse a la premisa de que la información requerida es susceptible de ser generada, poseída y administrada por </w:t>
      </w:r>
      <w:r>
        <w:rPr>
          <w:rFonts w:ascii="Palatino Linotype" w:hAnsi="Palatino Linotype"/>
          <w:b/>
        </w:rPr>
        <w:t xml:space="preserve">El Sujeto Obligado. </w:t>
      </w:r>
      <w:r>
        <w:rPr>
          <w:rFonts w:ascii="Palatino Linotype" w:hAnsi="Palatino Linotype"/>
        </w:rPr>
        <w:t xml:space="preserve">Así las cosas, es óbice mencionar que la información requerida estriba parcialmente dentro de las obligaciones de transparencia común, robustece lo anterior los artículos 24, fracción XII y 92, fracciones VII y XXXVIII de la Ley de Transparencia y Acceso a la Información </w:t>
      </w:r>
      <w:r>
        <w:rPr>
          <w:rFonts w:ascii="Palatino Linotype" w:hAnsi="Palatino Linotype"/>
        </w:rPr>
        <w:lastRenderedPageBreak/>
        <w:t xml:space="preserve">Pública del Estado de México y Municipios, normatividad invocada cuyo contenido literal es el siguiente: </w:t>
      </w:r>
    </w:p>
    <w:p w14:paraId="2B3298AC" w14:textId="77777777" w:rsidR="005A3D7E" w:rsidRPr="00E66BD3" w:rsidRDefault="005A3D7E" w:rsidP="005A3D7E">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4F17D8C6" w14:textId="77777777" w:rsidR="005A3D7E" w:rsidRDefault="005A3D7E" w:rsidP="005A3D7E">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6F43DD6E" w14:textId="48679420" w:rsidR="00D27F87" w:rsidRPr="00D27F87" w:rsidRDefault="00D27F87" w:rsidP="005A3D7E">
      <w:pPr>
        <w:spacing w:before="240" w:line="360" w:lineRule="auto"/>
        <w:ind w:left="851" w:right="851"/>
        <w:jc w:val="both"/>
        <w:rPr>
          <w:rFonts w:ascii="Palatino Linotype" w:hAnsi="Palatino Linotype"/>
          <w:i/>
        </w:rPr>
      </w:pPr>
      <w:r>
        <w:rPr>
          <w:rFonts w:ascii="Palatino Linotype" w:hAnsi="Palatino Linotype"/>
          <w:i/>
        </w:rPr>
        <w:t>(…)</w:t>
      </w:r>
    </w:p>
    <w:p w14:paraId="60E3F90C" w14:textId="5786F3CD" w:rsidR="005A3D7E" w:rsidRDefault="00D27F87" w:rsidP="005A3D7E">
      <w:pPr>
        <w:spacing w:before="240" w:line="360" w:lineRule="auto"/>
        <w:ind w:left="851" w:right="851"/>
        <w:jc w:val="both"/>
        <w:rPr>
          <w:rFonts w:ascii="Palatino Linotype" w:hAnsi="Palatino Linotype"/>
          <w:i/>
        </w:rPr>
      </w:pPr>
      <w:r>
        <w:rPr>
          <w:rFonts w:ascii="Palatino Linotype" w:hAnsi="Palatino Linotype"/>
          <w:i/>
        </w:rPr>
        <w:t xml:space="preserve">Artículo 92. </w:t>
      </w:r>
      <w:r w:rsidR="005A3D7E" w:rsidRPr="00E66BD3">
        <w:rPr>
          <w:rFonts w:ascii="Palatino Linotype"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8AA6112" w14:textId="01B7B6BB" w:rsidR="00D27F87" w:rsidRDefault="00D27F87" w:rsidP="005A3D7E">
      <w:pPr>
        <w:spacing w:before="240" w:line="360" w:lineRule="auto"/>
        <w:ind w:left="851" w:right="851"/>
        <w:jc w:val="both"/>
        <w:rPr>
          <w:rFonts w:ascii="Palatino Linotype" w:hAnsi="Palatino Linotype"/>
          <w:i/>
        </w:rPr>
      </w:pPr>
      <w:r>
        <w:rPr>
          <w:rFonts w:ascii="Palatino Linotype" w:hAnsi="Palatino Linotype"/>
          <w:i/>
        </w:rPr>
        <w:t>(…)</w:t>
      </w:r>
    </w:p>
    <w:p w14:paraId="512C080E" w14:textId="77777777" w:rsidR="005A3D7E" w:rsidRPr="005A3D7E" w:rsidRDefault="005A3D7E" w:rsidP="005A3D7E">
      <w:pPr>
        <w:pStyle w:val="Citas"/>
        <w:rPr>
          <w:b/>
          <w:u w:val="single"/>
        </w:rPr>
      </w:pPr>
      <w:r w:rsidRPr="005A3D7E">
        <w:rPr>
          <w:b/>
          <w:u w:val="single"/>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24D62863" w14:textId="213DE3EB" w:rsidR="005A3D7E" w:rsidRDefault="005A3D7E" w:rsidP="005A3D7E">
      <w:pPr>
        <w:pStyle w:val="Citas"/>
      </w:pPr>
      <w:r w:rsidRPr="005A3D7E">
        <w:lastRenderedPageBreak/>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E5D7840" w14:textId="77990BEC" w:rsidR="005A3D7E" w:rsidRDefault="005A3D7E" w:rsidP="005A3D7E">
      <w:pPr>
        <w:pStyle w:val="Citas"/>
      </w:pPr>
      <w:r>
        <w:t>(…)</w:t>
      </w:r>
    </w:p>
    <w:p w14:paraId="456B54B2" w14:textId="2C5223A4" w:rsidR="005A3D7E" w:rsidRPr="00D27F87" w:rsidRDefault="005A3D7E" w:rsidP="005A3D7E">
      <w:pPr>
        <w:pStyle w:val="Citas"/>
        <w:rPr>
          <w:b/>
          <w:u w:val="single"/>
        </w:rPr>
      </w:pPr>
      <w:r w:rsidRPr="00D27F87">
        <w:rPr>
          <w:b/>
          <w:u w:val="single"/>
        </w:rPr>
        <w:t>XXXVIII. El inventario de bienes muebles e inmuebles en posesión y propiedad;</w:t>
      </w:r>
    </w:p>
    <w:p w14:paraId="662E06AB" w14:textId="1D450ED5" w:rsidR="005A3D7E" w:rsidRPr="005A3D7E" w:rsidRDefault="005A3D7E" w:rsidP="005A3D7E">
      <w:pPr>
        <w:pStyle w:val="Citas"/>
        <w:rPr>
          <w:b/>
        </w:rPr>
      </w:pPr>
      <w:r>
        <w:t xml:space="preserve">(…)” </w:t>
      </w:r>
      <w:r>
        <w:rPr>
          <w:b/>
        </w:rPr>
        <w:t xml:space="preserve">[Sic] </w:t>
      </w:r>
    </w:p>
    <w:p w14:paraId="5060F10D" w14:textId="77777777" w:rsidR="005A3D7E" w:rsidRDefault="005A3D7E" w:rsidP="005A3D7E">
      <w:pPr>
        <w:pStyle w:val="infoemcitas"/>
        <w:tabs>
          <w:tab w:val="left" w:pos="7655"/>
        </w:tabs>
        <w:ind w:left="0" w:right="0"/>
        <w:rPr>
          <w:i w:val="0"/>
          <w:sz w:val="24"/>
          <w:szCs w:val="24"/>
        </w:rPr>
      </w:pPr>
    </w:p>
    <w:p w14:paraId="0EA5AF18" w14:textId="77777777" w:rsidR="005A3D7E" w:rsidRPr="00303BAD" w:rsidRDefault="005A3D7E" w:rsidP="005A3D7E">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053AD250" w14:textId="77777777" w:rsidR="005A3D7E" w:rsidRPr="00303BAD" w:rsidRDefault="00F676DC" w:rsidP="005A3D7E">
      <w:pPr>
        <w:pStyle w:val="Prrafodelista"/>
        <w:autoSpaceDE w:val="0"/>
        <w:autoSpaceDN w:val="0"/>
        <w:adjustRightInd w:val="0"/>
        <w:spacing w:before="240" w:after="160" w:line="360" w:lineRule="auto"/>
        <w:ind w:left="0"/>
        <w:jc w:val="both"/>
        <w:rPr>
          <w:rFonts w:ascii="Palatino Linotype" w:hAnsi="Palatino Linotype"/>
          <w:bCs/>
        </w:rPr>
      </w:pPr>
      <w:hyperlink r:id="rId11" w:history="1">
        <w:r w:rsidR="005A3D7E" w:rsidRPr="00303BAD">
          <w:rPr>
            <w:rStyle w:val="Hipervnculo"/>
            <w:rFonts w:ascii="Palatino Linotype" w:hAnsi="Palatino Linotype"/>
            <w:bCs/>
          </w:rPr>
          <w:t>https://www.infoem.org.mx/es/contenido/transparencia/directorio-de-sujetos-obligados</w:t>
        </w:r>
      </w:hyperlink>
      <w:r w:rsidR="005A3D7E" w:rsidRPr="00303BAD">
        <w:rPr>
          <w:rFonts w:ascii="Palatino Linotype" w:hAnsi="Palatino Linotype"/>
          <w:bCs/>
        </w:rPr>
        <w:t xml:space="preserve"> </w:t>
      </w:r>
    </w:p>
    <w:p w14:paraId="05F43E3D" w14:textId="3FF724E1" w:rsidR="005A3D7E" w:rsidRDefault="00F27472" w:rsidP="00100742">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89312" behindDoc="0" locked="0" layoutInCell="1" allowOverlap="1" wp14:anchorId="2C67D7CE" wp14:editId="6CFCA9EA">
            <wp:simplePos x="0" y="0"/>
            <wp:positionH relativeFrom="column">
              <wp:posOffset>16954</wp:posOffset>
            </wp:positionH>
            <wp:positionV relativeFrom="paragraph">
              <wp:posOffset>3663303</wp:posOffset>
            </wp:positionV>
            <wp:extent cx="5751830" cy="3381375"/>
            <wp:effectExtent l="19050" t="19050" r="20320" b="28575"/>
            <wp:wrapThrough wrapText="bothSides">
              <wp:wrapPolygon edited="0">
                <wp:start x="-72" y="-122"/>
                <wp:lineTo x="-72" y="21661"/>
                <wp:lineTo x="21605" y="21661"/>
                <wp:lineTo x="21605" y="-122"/>
                <wp:lineTo x="-72" y="-122"/>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1830" cy="33813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788288" behindDoc="0" locked="0" layoutInCell="1" allowOverlap="1" wp14:anchorId="2C6E3BC9" wp14:editId="46DC4AD6">
            <wp:simplePos x="0" y="0"/>
            <wp:positionH relativeFrom="column">
              <wp:posOffset>15420</wp:posOffset>
            </wp:positionH>
            <wp:positionV relativeFrom="paragraph">
              <wp:posOffset>19135</wp:posOffset>
            </wp:positionV>
            <wp:extent cx="5753735" cy="3407434"/>
            <wp:effectExtent l="19050" t="19050" r="18415" b="21590"/>
            <wp:wrapThrough wrapText="bothSides">
              <wp:wrapPolygon edited="0">
                <wp:start x="-72" y="-121"/>
                <wp:lineTo x="-72" y="21616"/>
                <wp:lineTo x="21598" y="21616"/>
                <wp:lineTo x="21598" y="-121"/>
                <wp:lineTo x="-72" y="-121"/>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735" cy="340743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6045B3E" w14:textId="074E96D2" w:rsidR="005A3D7E" w:rsidRDefault="008569C0" w:rsidP="00100742">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90336" behindDoc="0" locked="0" layoutInCell="1" allowOverlap="1" wp14:anchorId="1F6C8857" wp14:editId="256F7143">
            <wp:simplePos x="0" y="0"/>
            <wp:positionH relativeFrom="column">
              <wp:posOffset>-53771</wp:posOffset>
            </wp:positionH>
            <wp:positionV relativeFrom="paragraph">
              <wp:posOffset>18679</wp:posOffset>
            </wp:positionV>
            <wp:extent cx="5761990" cy="3381375"/>
            <wp:effectExtent l="19050" t="19050" r="10160" b="28575"/>
            <wp:wrapThrough wrapText="bothSides">
              <wp:wrapPolygon edited="0">
                <wp:start x="-71" y="-122"/>
                <wp:lineTo x="-71" y="21661"/>
                <wp:lineTo x="21567" y="21661"/>
                <wp:lineTo x="21567" y="-122"/>
                <wp:lineTo x="-71" y="-122"/>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990" cy="33813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6F31EB3" w14:textId="3F58E5B7" w:rsidR="00100742" w:rsidRPr="008A3D66" w:rsidRDefault="009D383B" w:rsidP="00100742">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Con base en lo anteriormente expuesto, </w:t>
      </w:r>
      <w:r w:rsidR="008A3D66">
        <w:rPr>
          <w:rFonts w:ascii="Palatino Linotype" w:hAnsi="Palatino Linotype"/>
          <w:sz w:val="24"/>
          <w:szCs w:val="24"/>
        </w:rPr>
        <w:t xml:space="preserve">resulta inconcuso que la información que resulta de interés al particular es susceptible de ser generada, poseída y administrada por </w:t>
      </w:r>
      <w:r w:rsidR="008A3D66">
        <w:rPr>
          <w:rFonts w:ascii="Palatino Linotype" w:hAnsi="Palatino Linotype"/>
          <w:b/>
          <w:sz w:val="24"/>
          <w:szCs w:val="24"/>
        </w:rPr>
        <w:t xml:space="preserve">El Sujeto Obligado, </w:t>
      </w:r>
      <w:r w:rsidR="008A3D66">
        <w:rPr>
          <w:rFonts w:ascii="Palatino Linotype" w:hAnsi="Palatino Linotype"/>
          <w:sz w:val="24"/>
          <w:szCs w:val="24"/>
        </w:rPr>
        <w:t xml:space="preserve">asimismo, está estriba dentro de las fronteras conceptuales de la información pública. </w:t>
      </w:r>
    </w:p>
    <w:p w14:paraId="5071772B" w14:textId="199B30E4" w:rsidR="008569C0" w:rsidRDefault="008A3D66" w:rsidP="00100742">
      <w:pPr>
        <w:autoSpaceDE w:val="0"/>
        <w:autoSpaceDN w:val="0"/>
        <w:adjustRightInd w:val="0"/>
        <w:spacing w:before="240" w:line="360" w:lineRule="auto"/>
        <w:jc w:val="both"/>
        <w:rPr>
          <w:rFonts w:ascii="Palatino Linotype" w:hAnsi="Palatino Linotype"/>
          <w:sz w:val="24"/>
          <w:szCs w:val="24"/>
        </w:rPr>
      </w:pPr>
      <w:r w:rsidRPr="008A3D66">
        <w:rPr>
          <w:rFonts w:ascii="Palatino Linotype" w:hAnsi="Palatino Linotype"/>
          <w:sz w:val="24"/>
          <w:szCs w:val="24"/>
        </w:rPr>
        <w:t xml:space="preserve">Una vez sentado lo anterior, como se </w:t>
      </w:r>
      <w:r w:rsidR="004F1013">
        <w:rPr>
          <w:rFonts w:ascii="Palatino Linotype" w:hAnsi="Palatino Linotype"/>
          <w:sz w:val="24"/>
          <w:szCs w:val="24"/>
        </w:rPr>
        <w:t xml:space="preserve">mencionó en el antecedente segundo </w:t>
      </w:r>
      <w:r w:rsidR="004F1013">
        <w:rPr>
          <w:rFonts w:ascii="Palatino Linotype" w:hAnsi="Palatino Linotype"/>
          <w:b/>
          <w:sz w:val="24"/>
          <w:szCs w:val="24"/>
        </w:rPr>
        <w:t xml:space="preserve">El Sujeto Obligado </w:t>
      </w:r>
      <w:r w:rsidR="004F1013">
        <w:rPr>
          <w:rFonts w:ascii="Palatino Linotype" w:hAnsi="Palatino Linotype"/>
          <w:sz w:val="24"/>
          <w:szCs w:val="24"/>
        </w:rPr>
        <w:t xml:space="preserve">rindió respuestas </w:t>
      </w:r>
      <w:r w:rsidR="008569C0">
        <w:rPr>
          <w:rFonts w:ascii="Palatino Linotype" w:hAnsi="Palatino Linotype"/>
          <w:sz w:val="24"/>
          <w:szCs w:val="24"/>
        </w:rPr>
        <w:t xml:space="preserve">coincidentes </w:t>
      </w:r>
      <w:r w:rsidR="004F1013">
        <w:rPr>
          <w:rFonts w:ascii="Palatino Linotype" w:hAnsi="Palatino Linotype"/>
          <w:sz w:val="24"/>
          <w:szCs w:val="24"/>
        </w:rPr>
        <w:t xml:space="preserve">en fecha </w:t>
      </w:r>
      <w:r w:rsidR="008569C0">
        <w:rPr>
          <w:rFonts w:ascii="Palatino Linotype" w:hAnsi="Palatino Linotype"/>
          <w:sz w:val="24"/>
          <w:szCs w:val="24"/>
        </w:rPr>
        <w:t>diecisiete de enero de dos mil veintidós, resultando de nuestro interés lo siguiente:</w:t>
      </w:r>
    </w:p>
    <w:p w14:paraId="6F8F3EA8" w14:textId="77777777" w:rsidR="008569C0" w:rsidRPr="00022B40" w:rsidRDefault="008569C0" w:rsidP="008569C0">
      <w:pPr>
        <w:pStyle w:val="Citas"/>
      </w:pPr>
      <w:r w:rsidRPr="00022B40">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563B0D5" w14:textId="77777777" w:rsidR="008569C0" w:rsidRPr="00022B40" w:rsidRDefault="008569C0" w:rsidP="008569C0">
      <w:pPr>
        <w:pStyle w:val="Citas"/>
        <w:rPr>
          <w:b/>
        </w:rPr>
      </w:pPr>
      <w:r w:rsidRPr="00022B40">
        <w:t xml:space="preserve">En atención a la Solicitud de Información con folio 00311/CAMEM/IP/2021, mediante la cual se requiere a la letra “Las dimensiones de las inmuebles donde radican las Delegaciones de Ixtapan de la Sal, Texcoco y Naucalpan de ese centro de trabajo, de cada oficina y por cuentas personas están ocupadas”, </w:t>
      </w:r>
      <w:r w:rsidRPr="00022B40">
        <w:rPr>
          <w:b/>
          <w:u w:val="single"/>
        </w:rPr>
        <w:t xml:space="preserve">se informa que, derivado del volumen de la información solicitada, los archivos se encuentran disponibles para su consulta en las instalaciones de la Comisión de Conciliación y Arbitraje Médico del Estado de México, ubicadas en la calle de Juan Aldama No. 215, Colonia Centro, Toluca de Lerdo, Estado de México, C.P. 50000, en la Unidad de Apoyo Administrativo, </w:t>
      </w:r>
      <w:r w:rsidRPr="00022B40">
        <w:t xml:space="preserve">debiéndose presentar con el titular de la Unidad de Apoyo Administrativo; lo anterior, con fundamento en la Ley de Transparencia y Acceso a la Información Pública del Estado de México y Municipios que establece lo siguiente: Lo anterior, con fundamento en los Artículos 12 y 24 en ambos últimos párrafos, de la Ley de Transparencia y Acceso a la Información Pública del Estado de México y Municipios, y que a la letra dicen: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w:t>
      </w:r>
      <w:r w:rsidRPr="00022B40">
        <w:lastRenderedPageBreak/>
        <w:t xml:space="preserve">Los sujetos obligados solo proporcionarán la información pública que generen, administren o posean en el </w:t>
      </w:r>
      <w:r>
        <w:t xml:space="preserve">ejercicio de sus atribuciones.” </w:t>
      </w:r>
      <w:r>
        <w:rPr>
          <w:b/>
        </w:rPr>
        <w:t xml:space="preserve">[Sic] </w:t>
      </w:r>
    </w:p>
    <w:p w14:paraId="70438593" w14:textId="77777777" w:rsidR="009D383B" w:rsidRDefault="009D383B" w:rsidP="00100742">
      <w:pPr>
        <w:autoSpaceDE w:val="0"/>
        <w:autoSpaceDN w:val="0"/>
        <w:adjustRightInd w:val="0"/>
        <w:spacing w:before="240" w:line="360" w:lineRule="auto"/>
        <w:jc w:val="both"/>
      </w:pPr>
    </w:p>
    <w:p w14:paraId="1CE1B067" w14:textId="09C8ED05" w:rsidR="008569C0" w:rsidRDefault="008569C0" w:rsidP="008569C0">
      <w:pPr>
        <w:pStyle w:val="Citas"/>
        <w:ind w:left="0" w:right="0"/>
        <w:rPr>
          <w:i w:val="0"/>
          <w:sz w:val="24"/>
          <w:szCs w:val="24"/>
        </w:rPr>
      </w:pPr>
      <w:r>
        <w:rPr>
          <w:i w:val="0"/>
          <w:sz w:val="24"/>
          <w:szCs w:val="24"/>
        </w:rPr>
        <w:t xml:space="preserve">Inconforme con las respuestas del </w:t>
      </w:r>
      <w:r>
        <w:rPr>
          <w:b/>
          <w:i w:val="0"/>
          <w:sz w:val="24"/>
          <w:szCs w:val="24"/>
        </w:rPr>
        <w:t xml:space="preserve">Sujeto Obligado, </w:t>
      </w:r>
      <w:r w:rsidR="0073763B">
        <w:rPr>
          <w:b/>
          <w:i w:val="0"/>
          <w:sz w:val="24"/>
          <w:szCs w:val="24"/>
        </w:rPr>
        <w:t>El</w:t>
      </w:r>
      <w:r>
        <w:rPr>
          <w:b/>
          <w:i w:val="0"/>
          <w:sz w:val="24"/>
          <w:szCs w:val="24"/>
        </w:rPr>
        <w:t xml:space="preserve"> Recurrente </w:t>
      </w:r>
      <w:r>
        <w:rPr>
          <w:i w:val="0"/>
          <w:sz w:val="24"/>
          <w:szCs w:val="24"/>
        </w:rPr>
        <w:t>interpuso recursos de revisión en fecha veintidós de enero, admitiéndose los días veinticinco y veintiocho de enero, todos de dos mil veintidós. Señalando como razones o motivos de inconformidad:</w:t>
      </w:r>
    </w:p>
    <w:p w14:paraId="78A30DEA" w14:textId="77777777" w:rsidR="008569C0" w:rsidRPr="00AA183E" w:rsidRDefault="008569C0" w:rsidP="008569C0">
      <w:pPr>
        <w:pStyle w:val="Citas"/>
        <w:rPr>
          <w:b/>
        </w:rPr>
      </w:pPr>
      <w:r>
        <w:t>“</w:t>
      </w:r>
      <w:r w:rsidRPr="00AA183E">
        <w:t>No entrega la información siendo que la solicité por este medio, precisa que se encuentra en sus instalaciones pero tiene la obligación de entregarla como yo la pido.</w:t>
      </w:r>
      <w:r>
        <w:t xml:space="preserve">” </w:t>
      </w:r>
      <w:r>
        <w:rPr>
          <w:b/>
        </w:rPr>
        <w:t>[Sic]</w:t>
      </w:r>
    </w:p>
    <w:p w14:paraId="0F0E7831" w14:textId="77777777" w:rsidR="008569C0" w:rsidRDefault="008569C0" w:rsidP="008569C0">
      <w:pPr>
        <w:pStyle w:val="Citas"/>
        <w:ind w:left="0" w:right="0"/>
        <w:rPr>
          <w:i w:val="0"/>
          <w:sz w:val="24"/>
          <w:szCs w:val="24"/>
        </w:rPr>
      </w:pPr>
    </w:p>
    <w:p w14:paraId="423CB753" w14:textId="6953D5E9" w:rsidR="008569C0" w:rsidRDefault="008569C0" w:rsidP="008569C0">
      <w:pPr>
        <w:pStyle w:val="Citas"/>
        <w:ind w:left="0" w:right="0"/>
        <w:rPr>
          <w:i w:val="0"/>
          <w:sz w:val="24"/>
          <w:szCs w:val="24"/>
        </w:rPr>
      </w:pPr>
      <w:r w:rsidRPr="00864C69">
        <w:rPr>
          <w:i w:val="0"/>
          <w:sz w:val="24"/>
          <w:szCs w:val="24"/>
        </w:rPr>
        <w:t>Es decir, los motivos de inconformidad esgrimidos por el particular se encuentran encauzados a resaltar la actualización de la causal de procedencia inm</w:t>
      </w:r>
      <w:r w:rsidR="00864C69">
        <w:rPr>
          <w:i w:val="0"/>
          <w:sz w:val="24"/>
          <w:szCs w:val="24"/>
        </w:rPr>
        <w:t>ersa en el numeral 179, fracciones I y VIII de la Ley de Transparencia local, porciones normativas que disponen a la literalidad lo siguiente:</w:t>
      </w:r>
    </w:p>
    <w:p w14:paraId="1FCF286D" w14:textId="77777777" w:rsidR="00864C69" w:rsidRDefault="00864C69" w:rsidP="00864C69">
      <w:pPr>
        <w:pStyle w:val="Citas"/>
      </w:pPr>
      <w:r>
        <w:t>“</w:t>
      </w:r>
      <w:r w:rsidRPr="00864C69">
        <w:t xml:space="preserve">Artículo 179. El recurso de revisión es un medio de protección que la Ley otorga a los particulares, para hacer valer su derecho de acceso a la información pública, y procederá en contra de las siguientes causas: </w:t>
      </w:r>
    </w:p>
    <w:p w14:paraId="50422B07" w14:textId="694E9CD6" w:rsidR="00864C69" w:rsidRPr="00864C69" w:rsidRDefault="00864C69" w:rsidP="00864C69">
      <w:pPr>
        <w:pStyle w:val="Citas"/>
        <w:rPr>
          <w:b/>
          <w:u w:val="single"/>
        </w:rPr>
      </w:pPr>
      <w:r w:rsidRPr="00864C69">
        <w:rPr>
          <w:b/>
          <w:u w:val="single"/>
        </w:rPr>
        <w:t>I. La negativa a la información solicitada;</w:t>
      </w:r>
    </w:p>
    <w:p w14:paraId="2C0F214B" w14:textId="72BC763A" w:rsidR="00864C69" w:rsidRPr="00864C69" w:rsidRDefault="00864C69" w:rsidP="00864C69">
      <w:pPr>
        <w:pStyle w:val="Citas"/>
      </w:pPr>
      <w:r w:rsidRPr="00864C69">
        <w:lastRenderedPageBreak/>
        <w:t>(…)</w:t>
      </w:r>
    </w:p>
    <w:p w14:paraId="4310927F" w14:textId="56A50C29" w:rsidR="00864C69" w:rsidRPr="00864C69" w:rsidRDefault="00864C69" w:rsidP="00864C69">
      <w:pPr>
        <w:pStyle w:val="Citas"/>
        <w:rPr>
          <w:b/>
          <w:u w:val="single"/>
        </w:rPr>
      </w:pPr>
      <w:r w:rsidRPr="00864C69">
        <w:rPr>
          <w:b/>
          <w:u w:val="single"/>
        </w:rPr>
        <w:t>VIII. La notificación, entrega o puesta a disposición de información en una modalidad o formato distinto al solicitado;</w:t>
      </w:r>
    </w:p>
    <w:p w14:paraId="14D05771" w14:textId="7F3F6CA4" w:rsidR="00864C69" w:rsidRDefault="00864C69" w:rsidP="00864C69">
      <w:pPr>
        <w:pStyle w:val="Citas"/>
      </w:pPr>
      <w:r w:rsidRPr="00864C69">
        <w:t xml:space="preserve">(…)” [Sic] </w:t>
      </w:r>
    </w:p>
    <w:p w14:paraId="05483714" w14:textId="77777777" w:rsidR="005D4A6E" w:rsidRPr="00864C69" w:rsidRDefault="005D4A6E" w:rsidP="00864C69">
      <w:pPr>
        <w:pStyle w:val="Citas"/>
      </w:pPr>
    </w:p>
    <w:p w14:paraId="157766EF" w14:textId="77777777" w:rsidR="00864C69" w:rsidRDefault="00864C69" w:rsidP="00864C69">
      <w:pPr>
        <w:pStyle w:val="Citas"/>
        <w:ind w:left="0" w:right="0"/>
        <w:rPr>
          <w:i w:val="0"/>
          <w:sz w:val="24"/>
          <w:szCs w:val="24"/>
        </w:rPr>
      </w:pPr>
      <w:r>
        <w:rPr>
          <w:i w:val="0"/>
          <w:sz w:val="24"/>
          <w:szCs w:val="24"/>
        </w:rPr>
        <w:t xml:space="preserve">En virtud de lo anterior, se desprende que </w:t>
      </w:r>
      <w:r>
        <w:rPr>
          <w:b/>
          <w:i w:val="0"/>
          <w:sz w:val="24"/>
          <w:szCs w:val="24"/>
        </w:rPr>
        <w:t xml:space="preserve">El Sujeto Obligado </w:t>
      </w:r>
      <w:r>
        <w:rPr>
          <w:i w:val="0"/>
          <w:sz w:val="24"/>
          <w:szCs w:val="24"/>
        </w:rPr>
        <w:t xml:space="preserve">asume contar con la información, en este sentido, con relación al cambio de modalidad propuesto se desprenden las siguientes consideraciones: </w:t>
      </w:r>
    </w:p>
    <w:p w14:paraId="20B49380" w14:textId="2689352E" w:rsidR="00864C69" w:rsidRDefault="00864C69" w:rsidP="00864C69">
      <w:pPr>
        <w:spacing w:before="240" w:after="240" w:line="360" w:lineRule="auto"/>
        <w:contextualSpacing/>
        <w:jc w:val="both"/>
        <w:rPr>
          <w:rFonts w:ascii="Palatino Linotype" w:eastAsia="Times New Roman" w:hAnsi="Palatino Linotype" w:cs="Times New Roman"/>
          <w:sz w:val="24"/>
          <w:szCs w:val="24"/>
          <w:lang w:val="es-ES_tradnl" w:eastAsia="es-ES"/>
        </w:rPr>
      </w:pPr>
      <w:r>
        <w:rPr>
          <w:rFonts w:ascii="Palatino Linotype" w:hAnsi="Palatino Linotype" w:cs="Arial"/>
          <w:noProof/>
          <w:color w:val="000000"/>
          <w:sz w:val="24"/>
          <w:lang w:eastAsia="es-MX"/>
        </w:rPr>
        <w:t xml:space="preserve">En primer lugar, </w:t>
      </w:r>
      <w:r w:rsidRPr="00712BF6">
        <w:rPr>
          <w:rFonts w:ascii="Palatino Linotype" w:eastAsia="Times New Roman" w:hAnsi="Palatino Linotype" w:cs="Times New Roman"/>
          <w:sz w:val="24"/>
          <w:szCs w:val="24"/>
          <w:lang w:val="es-ES_tradnl" w:eastAsia="es-ES"/>
        </w:rPr>
        <w:t xml:space="preserve">es de destacar que la información fue requerida a través del </w:t>
      </w:r>
      <w:r w:rsidRPr="00712BF6">
        <w:rPr>
          <w:rFonts w:ascii="Palatino Linotype" w:eastAsia="Times New Roman" w:hAnsi="Palatino Linotype" w:cs="Times New Roman"/>
          <w:b/>
          <w:sz w:val="24"/>
          <w:szCs w:val="24"/>
          <w:lang w:val="es-ES_tradnl" w:eastAsia="es-ES"/>
        </w:rPr>
        <w:t>SAIMEX</w:t>
      </w:r>
      <w:r w:rsidRPr="00712BF6">
        <w:rPr>
          <w:rFonts w:ascii="Palatino Linotype" w:eastAsia="Times New Roman" w:hAnsi="Palatino Linotype" w:cs="Times New Roman"/>
          <w:sz w:val="24"/>
          <w:szCs w:val="24"/>
          <w:lang w:val="es-ES_tradnl" w:eastAsia="es-ES"/>
        </w:rPr>
        <w:t xml:space="preserve">; sin embargo, </w:t>
      </w:r>
      <w:r>
        <w:rPr>
          <w:rFonts w:ascii="Palatino Linotype" w:eastAsia="Times New Roman" w:hAnsi="Palatino Linotype" w:cs="Times New Roman"/>
          <w:b/>
          <w:sz w:val="24"/>
          <w:szCs w:val="24"/>
          <w:lang w:val="es-ES_tradnl" w:eastAsia="es-ES"/>
        </w:rPr>
        <w:t>El</w:t>
      </w:r>
      <w:r w:rsidRPr="00712BF6">
        <w:rPr>
          <w:rFonts w:ascii="Palatino Linotype" w:eastAsia="Times New Roman" w:hAnsi="Palatino Linotype" w:cs="Times New Roman"/>
          <w:sz w:val="24"/>
          <w:szCs w:val="24"/>
          <w:lang w:val="es-ES_tradnl" w:eastAsia="es-ES"/>
        </w:rPr>
        <w:t xml:space="preserve">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Times New Roman" w:hAnsi="Palatino Linotype" w:cs="Times New Roman"/>
          <w:sz w:val="24"/>
          <w:szCs w:val="24"/>
          <w:lang w:val="es-ES_tradnl" w:eastAsia="es-ES"/>
        </w:rPr>
        <w:t xml:space="preserve">en su </w:t>
      </w:r>
      <w:r>
        <w:rPr>
          <w:rFonts w:ascii="Palatino Linotype" w:eastAsia="Times New Roman" w:hAnsi="Palatino Linotype" w:cs="Times New Roman"/>
          <w:sz w:val="24"/>
          <w:szCs w:val="24"/>
          <w:lang w:val="es-ES_tradnl" w:eastAsia="es-ES"/>
        </w:rPr>
        <w:t xml:space="preserve">respuesta </w:t>
      </w:r>
      <w:r w:rsidRPr="00712BF6">
        <w:rPr>
          <w:rFonts w:ascii="Palatino Linotype" w:eastAsia="Times New Roman" w:hAnsi="Palatino Linotype" w:cs="Times New Roman"/>
          <w:sz w:val="24"/>
          <w:szCs w:val="24"/>
          <w:lang w:val="es-ES_tradnl" w:eastAsia="es-ES"/>
        </w:rPr>
        <w:t>al planteamiento formulado inform</w:t>
      </w:r>
      <w:r>
        <w:rPr>
          <w:rFonts w:ascii="Palatino Linotype" w:eastAsia="Times New Roman" w:hAnsi="Palatino Linotype" w:cs="Times New Roman"/>
          <w:sz w:val="24"/>
          <w:szCs w:val="24"/>
          <w:lang w:val="es-ES_tradnl" w:eastAsia="es-ES"/>
        </w:rPr>
        <w:t>ó que se ponía a disposición de la</w:t>
      </w:r>
      <w:r w:rsidRPr="00712BF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particular</w:t>
      </w:r>
      <w:r w:rsidRPr="00712BF6">
        <w:rPr>
          <w:rFonts w:ascii="Palatino Linotype" w:eastAsia="Times New Roman" w:hAnsi="Palatino Linotype" w:cs="Times New Roman"/>
          <w:sz w:val="24"/>
          <w:szCs w:val="24"/>
          <w:lang w:val="es-ES_tradnl" w:eastAsia="es-ES"/>
        </w:rPr>
        <w:t xml:space="preserve"> en la modalidad de </w:t>
      </w:r>
      <w:r w:rsidRPr="00130C5D">
        <w:rPr>
          <w:rFonts w:ascii="Palatino Linotype" w:eastAsia="Times New Roman" w:hAnsi="Palatino Linotype" w:cs="Times New Roman"/>
          <w:b/>
          <w:sz w:val="24"/>
          <w:szCs w:val="24"/>
          <w:lang w:val="es-ES_tradnl" w:eastAsia="es-ES"/>
        </w:rPr>
        <w:t>“</w:t>
      </w:r>
      <w:r w:rsidRPr="00130C5D">
        <w:rPr>
          <w:rFonts w:ascii="Palatino Linotype" w:eastAsia="Times New Roman" w:hAnsi="Palatino Linotype" w:cs="Times New Roman"/>
          <w:b/>
          <w:i/>
          <w:sz w:val="24"/>
          <w:szCs w:val="24"/>
          <w:lang w:val="es-ES_tradnl" w:eastAsia="es-ES"/>
        </w:rPr>
        <w:t>Consulta Directa</w:t>
      </w:r>
      <w:r w:rsidRPr="00130C5D">
        <w:rPr>
          <w:rFonts w:ascii="Palatino Linotype" w:eastAsia="Times New Roman" w:hAnsi="Palatino Linotype" w:cs="Times New Roman"/>
          <w:b/>
          <w:sz w:val="24"/>
          <w:szCs w:val="24"/>
          <w:lang w:val="es-ES_tradnl" w:eastAsia="es-ES"/>
        </w:rPr>
        <w:t>”,</w:t>
      </w:r>
      <w:r w:rsidRPr="00712BF6">
        <w:rPr>
          <w:rFonts w:ascii="Palatino Linotype" w:eastAsia="Times New Roman" w:hAnsi="Palatino Linotype" w:cs="Times New Roman"/>
          <w:sz w:val="24"/>
          <w:szCs w:val="24"/>
          <w:lang w:val="es-ES_tradnl" w:eastAsia="es-ES"/>
        </w:rPr>
        <w:t xml:space="preserve"> indicando que se pone a disposición la información, </w:t>
      </w:r>
      <w:r w:rsidRPr="006302B4">
        <w:rPr>
          <w:rFonts w:ascii="Palatino Linotype" w:eastAsia="Times New Roman" w:hAnsi="Palatino Linotype" w:cs="Times New Roman"/>
          <w:sz w:val="24"/>
          <w:szCs w:val="24"/>
          <w:lang w:val="es-ES_tradnl" w:eastAsia="es-ES"/>
        </w:rPr>
        <w:t xml:space="preserve">en las oficinas de la Unidad de Transparencia </w:t>
      </w:r>
      <w:r>
        <w:rPr>
          <w:rFonts w:ascii="Palatino Linotype" w:eastAsia="Times New Roman" w:hAnsi="Palatino Linotype" w:cs="Times New Roman"/>
          <w:sz w:val="24"/>
          <w:szCs w:val="24"/>
          <w:lang w:val="es-ES_tradnl" w:eastAsia="es-ES"/>
        </w:rPr>
        <w:t>del Sujeto Obligado</w:t>
      </w:r>
      <w:r w:rsidR="00D567F7">
        <w:rPr>
          <w:rFonts w:ascii="Palatino Linotype" w:eastAsia="Times New Roman" w:hAnsi="Palatino Linotype" w:cs="Times New Roman"/>
          <w:sz w:val="24"/>
          <w:szCs w:val="24"/>
          <w:lang w:val="es-ES_tradnl" w:eastAsia="es-ES"/>
        </w:rPr>
        <w:t>.</w:t>
      </w:r>
    </w:p>
    <w:p w14:paraId="4A8B6393" w14:textId="77777777" w:rsidR="00864C69" w:rsidRDefault="00864C69" w:rsidP="00864C69">
      <w:pPr>
        <w:spacing w:before="240" w:after="240" w:line="360" w:lineRule="auto"/>
        <w:contextualSpacing/>
        <w:jc w:val="both"/>
        <w:rPr>
          <w:rFonts w:ascii="Palatino Linotype" w:eastAsia="Times New Roman" w:hAnsi="Palatino Linotype" w:cs="Times New Roman"/>
          <w:sz w:val="24"/>
          <w:szCs w:val="24"/>
          <w:lang w:val="es-ES_tradnl" w:eastAsia="es-ES"/>
        </w:rPr>
      </w:pPr>
    </w:p>
    <w:p w14:paraId="6077E294" w14:textId="731692AD" w:rsidR="00864C69" w:rsidRPr="00712BF6" w:rsidRDefault="00864C69" w:rsidP="00864C69">
      <w:pPr>
        <w:spacing w:before="240" w:after="240" w:line="360" w:lineRule="auto"/>
        <w:contextualSpacing/>
        <w:jc w:val="both"/>
        <w:rPr>
          <w:rFonts w:ascii="Palatino Linotype" w:eastAsia="MS Mincho" w:hAnsi="Palatino Linotype" w:cs="Arial"/>
          <w:sz w:val="24"/>
          <w:szCs w:val="23"/>
          <w:lang w:val="es-ES_tradnl" w:eastAsia="es-ES"/>
        </w:rPr>
      </w:pPr>
      <w:r w:rsidRPr="00712BF6">
        <w:rPr>
          <w:rFonts w:ascii="Palatino Linotype" w:eastAsia="Times New Roman" w:hAnsi="Palatino Linotype" w:cs="Times New Roman"/>
          <w:sz w:val="24"/>
          <w:szCs w:val="24"/>
          <w:lang w:val="es-ES_tradnl" w:eastAsia="es-ES"/>
        </w:rPr>
        <w:t xml:space="preserve">Por lo tanto, la actuación del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712BF6">
        <w:rPr>
          <w:rFonts w:ascii="Palatino Linotype" w:hAnsi="Palatino Linotype" w:cs="Arial"/>
          <w:sz w:val="24"/>
          <w:szCs w:val="24"/>
        </w:rPr>
        <w:t xml:space="preserve">de esta forma, solamente intenta realizar el cambio de modalidad ya que como se ha dicho, </w:t>
      </w:r>
      <w:r w:rsidR="00D567F7">
        <w:rPr>
          <w:rFonts w:ascii="Palatino Linotype" w:hAnsi="Palatino Linotype" w:cs="Arial"/>
          <w:sz w:val="24"/>
          <w:szCs w:val="24"/>
        </w:rPr>
        <w:t>el</w:t>
      </w:r>
      <w:r w:rsidRPr="00712BF6">
        <w:rPr>
          <w:rFonts w:ascii="Palatino Linotype" w:hAnsi="Palatino Linotype" w:cs="Arial"/>
          <w:sz w:val="24"/>
          <w:szCs w:val="24"/>
        </w:rPr>
        <w:t xml:space="preserve"> particular mencionó que la manera de entrega de la información sería a través del </w:t>
      </w:r>
      <w:r w:rsidRPr="00712BF6">
        <w:rPr>
          <w:rFonts w:ascii="Palatino Linotype" w:hAnsi="Palatino Linotype" w:cs="Arial"/>
          <w:b/>
          <w:sz w:val="24"/>
          <w:szCs w:val="24"/>
        </w:rPr>
        <w:t>SAIMEX</w:t>
      </w:r>
      <w:r w:rsidRPr="00712BF6">
        <w:rPr>
          <w:rFonts w:ascii="Palatino Linotype" w:hAnsi="Palatino Linotype" w:cs="Arial"/>
          <w:sz w:val="24"/>
          <w:szCs w:val="24"/>
        </w:rPr>
        <w:t>, adicionalmente, en la actualidad existen medios electrónicos que facilita</w:t>
      </w:r>
      <w:r>
        <w:rPr>
          <w:rFonts w:ascii="Palatino Linotype" w:hAnsi="Palatino Linotype" w:cs="Arial"/>
          <w:sz w:val="24"/>
          <w:szCs w:val="24"/>
        </w:rPr>
        <w:t>n</w:t>
      </w:r>
      <w:r w:rsidRPr="00712BF6">
        <w:rPr>
          <w:rFonts w:ascii="Palatino Linotype" w:hAnsi="Palatino Linotype" w:cs="Arial"/>
          <w:sz w:val="24"/>
          <w:szCs w:val="24"/>
        </w:rPr>
        <w:t xml:space="preserve"> la entrega de información, que </w:t>
      </w:r>
      <w:r w:rsidRPr="00712BF6">
        <w:rPr>
          <w:rFonts w:ascii="Palatino Linotype" w:hAnsi="Palatino Linotype" w:cs="Arial"/>
          <w:sz w:val="24"/>
          <w:szCs w:val="24"/>
        </w:rPr>
        <w:lastRenderedPageBreak/>
        <w:t>a decir de éste Órgano Garante, el cambio de modalidad no es procedente, en virtud de lo establecido por el artículo 164, de la Ley de Transparencia y Acceso a la Información Pública del Estado de México y Municipios que contempla los siguiente:</w:t>
      </w:r>
    </w:p>
    <w:p w14:paraId="723C4258" w14:textId="77777777" w:rsidR="00864C69" w:rsidRPr="00712BF6" w:rsidRDefault="00864C69" w:rsidP="00864C69">
      <w:pPr>
        <w:pStyle w:val="CitasINFOEM"/>
      </w:pPr>
      <w:r w:rsidRPr="00712BF6">
        <w:rPr>
          <w:b/>
        </w:rPr>
        <w:t>“Artículo 164.</w:t>
      </w:r>
      <w:r w:rsidRPr="00712BF6">
        <w:t xml:space="preserve"> </w:t>
      </w:r>
      <w:r w:rsidRPr="00712BF6">
        <w:rPr>
          <w:b/>
          <w:u w:val="single"/>
        </w:rPr>
        <w:t>El acceso se dará en la modalidad de entrega y, en su caso, de envío elegidos por el solicitante.</w:t>
      </w:r>
      <w:r w:rsidRPr="00712BF6">
        <w:t xml:space="preserve"> Cuando la información no pueda entregarse o enviarse en la modalidad solicitada, el sujeto obligado deberá ofrecer otra u otras modalidades de entrega. </w:t>
      </w:r>
    </w:p>
    <w:p w14:paraId="0CCA3078" w14:textId="77777777" w:rsidR="00864C69" w:rsidRDefault="00864C69" w:rsidP="00864C69">
      <w:pPr>
        <w:pStyle w:val="CitasINFOEM"/>
        <w:rPr>
          <w:b/>
        </w:rPr>
      </w:pPr>
      <w:r w:rsidRPr="00712BF6">
        <w:rPr>
          <w:b/>
          <w:u w:val="single"/>
        </w:rPr>
        <w:t>En cualquier caso, se deberá fundar y motivar la necesidad de ofrecer otras modalidades.</w:t>
      </w:r>
      <w:r w:rsidRPr="00712BF6">
        <w:t>”</w:t>
      </w:r>
      <w:r>
        <w:t xml:space="preserve"> </w:t>
      </w:r>
      <w:r>
        <w:rPr>
          <w:b/>
        </w:rPr>
        <w:t>[Sic]</w:t>
      </w:r>
    </w:p>
    <w:p w14:paraId="43B220DE" w14:textId="77777777" w:rsidR="00864C69" w:rsidRPr="00354448" w:rsidRDefault="00864C69" w:rsidP="00864C69">
      <w:pPr>
        <w:pStyle w:val="CitasINFOEM"/>
        <w:rPr>
          <w:b/>
        </w:rPr>
      </w:pPr>
    </w:p>
    <w:p w14:paraId="23A3C41C" w14:textId="32974A0C" w:rsidR="00864C69" w:rsidRPr="00712BF6" w:rsidRDefault="00864C69" w:rsidP="00864C69">
      <w:pPr>
        <w:spacing w:before="240" w:after="240" w:line="360" w:lineRule="auto"/>
        <w:contextualSpacing/>
        <w:jc w:val="both"/>
        <w:rPr>
          <w:rFonts w:ascii="Palatino Linotype" w:hAnsi="Palatino Linotype"/>
          <w:b/>
          <w:sz w:val="24"/>
        </w:rPr>
      </w:pPr>
      <w:r w:rsidRPr="00712BF6">
        <w:rPr>
          <w:rFonts w:ascii="Palatino Linotype" w:hAnsi="Palatino Linotype"/>
          <w:sz w:val="24"/>
        </w:rPr>
        <w:t xml:space="preserve">La Ley de Transparencia en cita, busca privilegiar la entrega de la información solicitada en la modalidad requerida por </w:t>
      </w:r>
      <w:r w:rsidR="005D4A6E">
        <w:rPr>
          <w:rFonts w:ascii="Palatino Linotype" w:hAnsi="Palatino Linotype"/>
          <w:sz w:val="24"/>
        </w:rPr>
        <w:t>el</w:t>
      </w:r>
      <w:r w:rsidRPr="00712BF6">
        <w:rPr>
          <w:rFonts w:ascii="Palatino Linotype" w:hAnsi="Palatino Linotype"/>
          <w:sz w:val="24"/>
        </w:rPr>
        <w:t xml:space="preserve"> particular. Así el artículo establece que tanto la modalidad de entrega como la forma de envío de la información se hará preferentemente como lo haya señalado </w:t>
      </w:r>
      <w:r>
        <w:rPr>
          <w:rFonts w:ascii="Palatino Linotype" w:hAnsi="Palatino Linotype"/>
          <w:sz w:val="24"/>
        </w:rPr>
        <w:t>la</w:t>
      </w:r>
      <w:r w:rsidRPr="00712BF6">
        <w:rPr>
          <w:rFonts w:ascii="Palatino Linotype" w:hAnsi="Palatino Linotype"/>
          <w:sz w:val="24"/>
        </w:rPr>
        <w:t xml:space="preserve"> requirente. En los casos en que esto no sea posible, el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w:t>
      </w:r>
    </w:p>
    <w:p w14:paraId="5CA72962" w14:textId="77777777" w:rsidR="00864C69" w:rsidRPr="00712BF6" w:rsidRDefault="00864C69" w:rsidP="00864C69">
      <w:pPr>
        <w:spacing w:before="240" w:after="240" w:line="360" w:lineRule="auto"/>
        <w:contextualSpacing/>
        <w:jc w:val="both"/>
        <w:rPr>
          <w:rFonts w:ascii="Palatino Linotype" w:eastAsia="Times New Roman" w:hAnsi="Palatino Linotype" w:cs="Times New Roman"/>
          <w:b/>
          <w:sz w:val="24"/>
          <w:szCs w:val="24"/>
          <w:lang w:val="es-ES" w:eastAsia="es-ES"/>
        </w:rPr>
      </w:pPr>
    </w:p>
    <w:p w14:paraId="13EB6BD2" w14:textId="77777777" w:rsidR="00864C69" w:rsidRPr="00712BF6" w:rsidRDefault="00864C69" w:rsidP="00864C69">
      <w:pPr>
        <w:spacing w:before="240" w:after="240" w:line="360" w:lineRule="auto"/>
        <w:contextualSpacing/>
        <w:jc w:val="both"/>
        <w:rPr>
          <w:rFonts w:ascii="Palatino Linotype" w:hAnsi="Palatino Linotype"/>
          <w:sz w:val="24"/>
        </w:rPr>
      </w:pPr>
      <w:r w:rsidRPr="00712BF6">
        <w:rPr>
          <w:rFonts w:ascii="Palatino Linotype" w:hAnsi="Palatino Linotype"/>
          <w:sz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51E6366C" w14:textId="77777777" w:rsidR="00864C69" w:rsidRDefault="00864C69" w:rsidP="00864C69">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lastRenderedPageBreak/>
        <w:t xml:space="preserve">Han sido vastos los estudios doctrinarios relativos a estos derechos fundamentales y al principio de legalidad en ellos contenidos; como ejemplo, el procesalista José Ovalle Fabela, en su obra “Garantías Constitucionales del Proceso”, refiere que </w:t>
      </w:r>
    </w:p>
    <w:p w14:paraId="07C2B4B7" w14:textId="77777777" w:rsidR="00864C69" w:rsidRPr="00D85747" w:rsidRDefault="00864C69" w:rsidP="00864C69">
      <w:pPr>
        <w:pStyle w:val="CitasINFOEM"/>
        <w:rPr>
          <w:b/>
          <w:lang w:eastAsia="es-MX"/>
        </w:rPr>
      </w:pPr>
      <w:r w:rsidRPr="006302B4">
        <w:rPr>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lang w:eastAsia="es-MX"/>
        </w:rPr>
        <w:t>..</w:t>
      </w:r>
      <w:r w:rsidRPr="006302B4">
        <w:rPr>
          <w:lang w:eastAsia="es-MX"/>
        </w:rPr>
        <w:t>.”</w:t>
      </w:r>
      <w:r w:rsidRPr="00712BF6">
        <w:rPr>
          <w:vertAlign w:val="superscript"/>
        </w:rPr>
        <w:footnoteReference w:id="1"/>
      </w:r>
      <w:r>
        <w:rPr>
          <w:lang w:eastAsia="es-MX"/>
        </w:rPr>
        <w:t xml:space="preserve"> </w:t>
      </w:r>
      <w:r>
        <w:rPr>
          <w:b/>
          <w:lang w:eastAsia="es-MX"/>
        </w:rPr>
        <w:t>[Sic]</w:t>
      </w:r>
    </w:p>
    <w:p w14:paraId="539B7E09" w14:textId="77777777" w:rsidR="00864C69" w:rsidRPr="00712BF6" w:rsidRDefault="00864C69" w:rsidP="00864C69">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0F3F09E5" w14:textId="77777777" w:rsidR="00864C69" w:rsidRPr="00712BF6" w:rsidRDefault="00864C69" w:rsidP="00864C69">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006B5BE1" w14:textId="77777777" w:rsidR="00864C69" w:rsidRPr="00712BF6" w:rsidRDefault="00864C69" w:rsidP="00864C69">
      <w:pPr>
        <w:pStyle w:val="CitasINFOEM"/>
      </w:pPr>
      <w:r>
        <w:rPr>
          <w:b/>
        </w:rPr>
        <w:t>“</w:t>
      </w:r>
      <w:r w:rsidRPr="00712BF6">
        <w:rPr>
          <w:b/>
        </w:rPr>
        <w:t>FUNDAMENTACIÓN Y MOTIVACIÓN.</w:t>
      </w:r>
      <w:r w:rsidRPr="00712BF6">
        <w:t xml:space="preserve"> La debida fundamentación y motivación legal, deben entenderse, por lo primero, la cita del precepto legal aplicable al caso, y por lo segundo, las razones, motivos o circunstancias especiales que </w:t>
      </w:r>
      <w:r w:rsidRPr="00712BF6">
        <w:lastRenderedPageBreak/>
        <w:t>llevaron a la autoridad a concluir que el caso particular encuadra en el supuesto previsto por la norma legal invocada como fundamento.</w:t>
      </w:r>
    </w:p>
    <w:p w14:paraId="31B0775E" w14:textId="77777777" w:rsidR="00864C69" w:rsidRPr="00712BF6" w:rsidRDefault="00864C69" w:rsidP="00864C69">
      <w:pPr>
        <w:pStyle w:val="CitasINFOEM"/>
      </w:pPr>
      <w:r w:rsidRPr="00712BF6">
        <w:rPr>
          <w:b/>
        </w:rPr>
        <w:t>SEGUNDO TRIBUNAL COLEGIADO DEL SEXTO CIRCUITO</w:t>
      </w:r>
      <w:r w:rsidRPr="00712BF6">
        <w:t>.</w:t>
      </w:r>
    </w:p>
    <w:p w14:paraId="59E02691" w14:textId="77777777" w:rsidR="00864C69" w:rsidRPr="00712BF6" w:rsidRDefault="00864C69" w:rsidP="00864C69">
      <w:pPr>
        <w:pStyle w:val="CitasINFOEM"/>
      </w:pPr>
      <w:r w:rsidRPr="00712BF6">
        <w:t>Amparo directo 194/88. Bufete Industrial Construcciones, S.A. de C.V. 28 de junio de 1988. Unanimidad de votos. Ponente: Gustavo Calvillo Rangel. Secretario: Jorge Alberto González Álvarez.</w:t>
      </w:r>
    </w:p>
    <w:p w14:paraId="073470B8" w14:textId="77777777" w:rsidR="00864C69" w:rsidRPr="00712BF6" w:rsidRDefault="00864C69" w:rsidP="00864C69">
      <w:pPr>
        <w:pStyle w:val="CitasINFOEM"/>
      </w:pPr>
      <w:r w:rsidRPr="00712BF6">
        <w:t>Revisión fiscal 103/88. Instituto Mexicano del Seguro Social. 18 de octubre de 1988. Unanimidad de votos. Ponente: Arnoldo Nájera Virgen. Secretario: Alejandro Esponda Rincón.</w:t>
      </w:r>
    </w:p>
    <w:p w14:paraId="01D4EB29" w14:textId="77777777" w:rsidR="00864C69" w:rsidRPr="00712BF6" w:rsidRDefault="00864C69" w:rsidP="00864C69">
      <w:pPr>
        <w:pStyle w:val="CitasINFOEM"/>
      </w:pPr>
      <w:r w:rsidRPr="00712BF6">
        <w:t>Amparo en revisión 333/88. Adilia Romero. 26 de octubre de 1988. Unanimidad de votos. Ponente: Arnoldo Nájera Virgen. Secretario: Enrique Crispín Campos Ramírez.</w:t>
      </w:r>
    </w:p>
    <w:p w14:paraId="604E2CBB" w14:textId="77777777" w:rsidR="00864C69" w:rsidRPr="00712BF6" w:rsidRDefault="00864C69" w:rsidP="00864C69">
      <w:pPr>
        <w:pStyle w:val="CitasINFOEM"/>
      </w:pPr>
      <w:r w:rsidRPr="00712BF6">
        <w:t>Amparo en revisión 597/95. Emilio Maurer Bretón. 15 de noviembre de 1995. Unanimidad de votos. Ponente: Clementina Ramírez Moguel Goyzueta. Secretario: Gonzalo Carrera Molina.</w:t>
      </w:r>
    </w:p>
    <w:p w14:paraId="3216DB8D" w14:textId="77777777" w:rsidR="00864C69" w:rsidRPr="00D85747" w:rsidRDefault="00864C69" w:rsidP="00864C69">
      <w:pPr>
        <w:pStyle w:val="CitasINFOEM"/>
        <w:rPr>
          <w:b/>
        </w:rPr>
      </w:pPr>
      <w:r w:rsidRPr="00712BF6">
        <w:t>Amparo directo 7/96. Pedro Vicente López Miro. 21 de febrero de 1996. Unanimidad de votos. Ponente: María Eugenia Estela Martínez Cardiel. Secretario: Enrique Baigts Muñoz.</w:t>
      </w:r>
      <w:r>
        <w:t xml:space="preserve">” </w:t>
      </w:r>
      <w:r>
        <w:rPr>
          <w:b/>
        </w:rPr>
        <w:t>[Sic]</w:t>
      </w:r>
    </w:p>
    <w:p w14:paraId="31F183FE" w14:textId="77777777" w:rsidR="00864C69" w:rsidRDefault="00864C69" w:rsidP="00864C69">
      <w:pPr>
        <w:spacing w:before="240" w:after="240" w:line="360" w:lineRule="auto"/>
        <w:contextualSpacing/>
        <w:jc w:val="both"/>
        <w:rPr>
          <w:rFonts w:ascii="Palatino Linotype" w:hAnsi="Palatino Linotype" w:cs="Arial"/>
          <w:color w:val="222222"/>
          <w:sz w:val="24"/>
          <w:lang w:eastAsia="es-MX"/>
        </w:rPr>
      </w:pPr>
    </w:p>
    <w:p w14:paraId="196183F6" w14:textId="77777777" w:rsidR="00864C69" w:rsidRPr="00712BF6" w:rsidRDefault="00864C69" w:rsidP="00864C69">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3CC0D7E" w14:textId="77777777" w:rsidR="00864C69" w:rsidRPr="00712BF6" w:rsidRDefault="00864C69" w:rsidP="00864C69">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8C51F62" w14:textId="1EE51234" w:rsidR="00864C69" w:rsidRDefault="00864C69" w:rsidP="008569C0">
      <w:pPr>
        <w:pStyle w:val="Citas"/>
        <w:ind w:left="0" w:right="0"/>
        <w:rPr>
          <w:i w:val="0"/>
          <w:sz w:val="24"/>
          <w:szCs w:val="24"/>
        </w:rPr>
      </w:pPr>
      <w:r>
        <w:rPr>
          <w:i w:val="0"/>
          <w:noProof/>
          <w:sz w:val="24"/>
          <w:szCs w:val="24"/>
          <w:lang w:eastAsia="es-MX"/>
        </w:rPr>
        <w:drawing>
          <wp:anchor distT="0" distB="0" distL="114300" distR="114300" simplePos="0" relativeHeight="251791360" behindDoc="0" locked="0" layoutInCell="1" allowOverlap="1" wp14:anchorId="2271D73F" wp14:editId="1905084D">
            <wp:simplePos x="0" y="0"/>
            <wp:positionH relativeFrom="column">
              <wp:posOffset>15240</wp:posOffset>
            </wp:positionH>
            <wp:positionV relativeFrom="paragraph">
              <wp:posOffset>1742931</wp:posOffset>
            </wp:positionV>
            <wp:extent cx="5745480" cy="1630045"/>
            <wp:effectExtent l="19050" t="19050" r="26670" b="27305"/>
            <wp:wrapThrough wrapText="bothSides">
              <wp:wrapPolygon edited="0">
                <wp:start x="-72" y="-252"/>
                <wp:lineTo x="-72" y="21709"/>
                <wp:lineTo x="21629" y="21709"/>
                <wp:lineTo x="21629" y="-252"/>
                <wp:lineTo x="-72" y="-252"/>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5480" cy="16300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sz w:val="24"/>
          <w:szCs w:val="24"/>
        </w:rPr>
        <w:t>En este sentido, de las constancias que obran en el presente recurso de revisión, se advierte que el particular al momento de formular sus solicitudes de información, en los formatos previamente establecidos para tal efecto, señaló como modalidad de entrega a través del Sistema de Acceso a la Información Mexiquense (SAIMEX), tal como se advierte en las siguientes imágenes ilustrativas:</w:t>
      </w:r>
    </w:p>
    <w:p w14:paraId="4B20EBC1" w14:textId="5C0DB1BD" w:rsidR="00864C69" w:rsidRDefault="00864C69" w:rsidP="008569C0">
      <w:pPr>
        <w:pStyle w:val="Citas"/>
        <w:ind w:left="0" w:right="0"/>
        <w:rPr>
          <w:i w:val="0"/>
          <w:sz w:val="24"/>
          <w:szCs w:val="24"/>
        </w:rPr>
      </w:pPr>
    </w:p>
    <w:p w14:paraId="570F63EE" w14:textId="7899E63C" w:rsidR="00864C69" w:rsidRPr="00130C5D" w:rsidRDefault="005D4A6E" w:rsidP="00864C69">
      <w:pPr>
        <w:spacing w:before="240" w:after="240" w:line="360" w:lineRule="auto"/>
        <w:jc w:val="both"/>
        <w:rPr>
          <w:rFonts w:ascii="Palatino Linotype" w:hAnsi="Palatino Linotype"/>
          <w:sz w:val="24"/>
        </w:rPr>
      </w:pPr>
      <w:r>
        <w:rPr>
          <w:i/>
          <w:noProof/>
          <w:sz w:val="24"/>
          <w:szCs w:val="24"/>
          <w:lang w:eastAsia="es-MX"/>
        </w:rPr>
        <w:lastRenderedPageBreak/>
        <w:drawing>
          <wp:anchor distT="0" distB="0" distL="114300" distR="114300" simplePos="0" relativeHeight="251792384" behindDoc="0" locked="0" layoutInCell="1" allowOverlap="1" wp14:anchorId="41F11ED0" wp14:editId="380F686C">
            <wp:simplePos x="0" y="0"/>
            <wp:positionH relativeFrom="column">
              <wp:posOffset>55112</wp:posOffset>
            </wp:positionH>
            <wp:positionV relativeFrom="paragraph">
              <wp:posOffset>178663</wp:posOffset>
            </wp:positionV>
            <wp:extent cx="5745480" cy="1630045"/>
            <wp:effectExtent l="19050" t="19050" r="26670" b="27305"/>
            <wp:wrapThrough wrapText="bothSides">
              <wp:wrapPolygon edited="0">
                <wp:start x="-72" y="-252"/>
                <wp:lineTo x="-72" y="21709"/>
                <wp:lineTo x="21629" y="21709"/>
                <wp:lineTo x="21629" y="-252"/>
                <wp:lineTo x="-72" y="-252"/>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45480" cy="16300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64C69" w:rsidRPr="00712BF6">
        <w:rPr>
          <w:rFonts w:ascii="Palatino Linotype" w:hAnsi="Palatino Linotype"/>
          <w:sz w:val="24"/>
        </w:rPr>
        <w:t>En vista de las consideraciones señaladas, se advierte que el</w:t>
      </w:r>
      <w:r w:rsidR="00864C69" w:rsidRPr="00712BF6">
        <w:rPr>
          <w:rFonts w:ascii="Palatino Linotype" w:hAnsi="Palatino Linotype"/>
          <w:b/>
          <w:sz w:val="24"/>
        </w:rPr>
        <w:t xml:space="preserve"> Sujeto Obligado</w:t>
      </w:r>
      <w:r w:rsidR="00864C69" w:rsidRPr="00712BF6">
        <w:rPr>
          <w:rFonts w:ascii="Palatino Linotype" w:hAnsi="Palatino Linotype"/>
          <w:sz w:val="24"/>
        </w:rPr>
        <w:t>, no justifica en ningún momento de forma fundada y motiva</w:t>
      </w:r>
      <w:r w:rsidR="00280286">
        <w:rPr>
          <w:rFonts w:ascii="Palatino Linotype" w:hAnsi="Palatino Linotype"/>
          <w:sz w:val="24"/>
        </w:rPr>
        <w:t>da</w:t>
      </w:r>
      <w:r w:rsidR="00864C69" w:rsidRPr="00712BF6">
        <w:rPr>
          <w:rFonts w:ascii="Palatino Linotype" w:hAnsi="Palatino Linotype"/>
          <w:sz w:val="24"/>
        </w:rPr>
        <w:t xml:space="preserve"> su cambio de modalidad de entrega de la información de vía </w:t>
      </w:r>
      <w:r w:rsidR="00864C69" w:rsidRPr="00130C5D">
        <w:rPr>
          <w:rFonts w:ascii="Palatino Linotype" w:hAnsi="Palatino Linotype"/>
          <w:b/>
          <w:sz w:val="24"/>
        </w:rPr>
        <w:t>SAIMEX</w:t>
      </w:r>
      <w:r w:rsidR="00864C69" w:rsidRPr="00130C5D">
        <w:rPr>
          <w:rFonts w:ascii="Palatino Linotype" w:hAnsi="Palatino Linotype"/>
          <w:sz w:val="24"/>
        </w:rPr>
        <w:t xml:space="preserve"> a </w:t>
      </w:r>
      <w:r w:rsidR="00864C69" w:rsidRPr="00130C5D">
        <w:rPr>
          <w:rFonts w:ascii="Palatino Linotype" w:hAnsi="Palatino Linotype"/>
          <w:b/>
          <w:sz w:val="24"/>
        </w:rPr>
        <w:t>CONSULTA DIRECTA</w:t>
      </w:r>
      <w:r w:rsidR="00864C69" w:rsidRPr="00130C5D">
        <w:rPr>
          <w:rFonts w:ascii="Palatino Linotype" w:hAnsi="Palatino Linotype"/>
          <w:sz w:val="24"/>
        </w:rPr>
        <w:t xml:space="preserve">. </w:t>
      </w:r>
    </w:p>
    <w:p w14:paraId="0479911C" w14:textId="77777777" w:rsidR="00864C69" w:rsidRPr="00712BF6" w:rsidRDefault="00864C69" w:rsidP="00864C69">
      <w:pPr>
        <w:pStyle w:val="Sinespaciado"/>
        <w:rPr>
          <w:sz w:val="16"/>
        </w:rPr>
      </w:pPr>
    </w:p>
    <w:p w14:paraId="46C08503" w14:textId="77777777" w:rsidR="00864C69" w:rsidRPr="00712BF6" w:rsidRDefault="00864C69" w:rsidP="00864C69">
      <w:pPr>
        <w:tabs>
          <w:tab w:val="left" w:pos="709"/>
        </w:tabs>
        <w:spacing w:line="360" w:lineRule="auto"/>
        <w:jc w:val="both"/>
        <w:rPr>
          <w:rFonts w:ascii="Palatino Linotype" w:hAnsi="Palatino Linotype" w:cs="Arial"/>
          <w:sz w:val="24"/>
          <w:szCs w:val="24"/>
        </w:rPr>
      </w:pPr>
      <w:r w:rsidRPr="00712BF6">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712BF6">
        <w:rPr>
          <w:rFonts w:ascii="Palatino Linotype" w:hAnsi="Palatino Linotype" w:cs="Arial"/>
          <w:b/>
          <w:sz w:val="24"/>
          <w:szCs w:val="24"/>
        </w:rPr>
        <w:t>Sujeto Obligado</w:t>
      </w:r>
      <w:r w:rsidRPr="00712BF6">
        <w:rPr>
          <w:rFonts w:ascii="Palatino Linotype" w:hAnsi="Palatino Linotype" w:cs="Arial"/>
          <w:sz w:val="24"/>
          <w:szCs w:val="24"/>
        </w:rPr>
        <w:t xml:space="preserve"> de generar, poseer o administrarla, es decir, de tener conocimiento de lo requerido.</w:t>
      </w:r>
    </w:p>
    <w:p w14:paraId="62BB9383" w14:textId="77777777" w:rsidR="00864C69" w:rsidRPr="00712BF6" w:rsidRDefault="00864C69" w:rsidP="00864C69">
      <w:pPr>
        <w:pStyle w:val="Sinespaciado"/>
      </w:pPr>
    </w:p>
    <w:p w14:paraId="5116F71C" w14:textId="77777777" w:rsidR="00864C69" w:rsidRPr="006302B4" w:rsidRDefault="00864C69" w:rsidP="00864C69">
      <w:pPr>
        <w:tabs>
          <w:tab w:val="left" w:pos="709"/>
        </w:tabs>
        <w:spacing w:line="360" w:lineRule="auto"/>
        <w:jc w:val="both"/>
        <w:rPr>
          <w:rFonts w:ascii="Palatino Linotype" w:hAnsi="Palatino Linotype" w:cs="Arial"/>
          <w:sz w:val="24"/>
          <w:szCs w:val="24"/>
        </w:rPr>
      </w:pPr>
      <w:r w:rsidRPr="00712BF6">
        <w:rPr>
          <w:rFonts w:ascii="Palatino Linotype" w:hAnsi="Palatino Linotype"/>
          <w:sz w:val="24"/>
        </w:rPr>
        <w:t xml:space="preserve">Por consiguiente, tanto la modalidad de entrega como la forma de envío de la información se harán preferentemente como haya señalado </w:t>
      </w:r>
      <w:r>
        <w:rPr>
          <w:rFonts w:ascii="Palatino Linotype" w:hAnsi="Palatino Linotype"/>
          <w:sz w:val="24"/>
        </w:rPr>
        <w:t>la</w:t>
      </w:r>
      <w:r w:rsidRPr="00712BF6">
        <w:rPr>
          <w:rFonts w:ascii="Palatino Linotype" w:hAnsi="Palatino Linotype"/>
          <w:sz w:val="24"/>
        </w:rPr>
        <w:t xml:space="preserve"> requirente. En los casos en que esto no sea posible, </w:t>
      </w:r>
      <w:r>
        <w:rPr>
          <w:rFonts w:ascii="Palatino Linotype" w:hAnsi="Palatino Linotype"/>
          <w:b/>
          <w:sz w:val="24"/>
        </w:rPr>
        <w:t>El</w:t>
      </w:r>
      <w:r w:rsidRPr="00712BF6">
        <w:rPr>
          <w:rFonts w:ascii="Palatino Linotype" w:hAnsi="Palatino Linotype"/>
          <w:sz w:val="24"/>
        </w:rPr>
        <w:t xml:space="preserve">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7912C3F0" w14:textId="77777777" w:rsidR="00864C69" w:rsidRPr="00712BF6" w:rsidRDefault="00864C69" w:rsidP="00864C69">
      <w:pPr>
        <w:spacing w:before="240" w:after="240" w:line="360" w:lineRule="auto"/>
        <w:jc w:val="both"/>
        <w:rPr>
          <w:rFonts w:ascii="Palatino Linotype" w:hAnsi="Palatino Linotype"/>
          <w:sz w:val="24"/>
        </w:rPr>
      </w:pPr>
      <w:r w:rsidRPr="00712BF6">
        <w:rPr>
          <w:rFonts w:ascii="Palatino Linotype" w:hAnsi="Palatino Linotype"/>
          <w:sz w:val="24"/>
        </w:rPr>
        <w:lastRenderedPageBreak/>
        <w:t xml:space="preserve">Por lo que el cambio de modalidad que pretendió hacer </w:t>
      </w:r>
      <w:r>
        <w:rPr>
          <w:rFonts w:ascii="Palatino Linotype" w:hAnsi="Palatino Linotype"/>
          <w:b/>
          <w:sz w:val="24"/>
        </w:rPr>
        <w:t>El</w:t>
      </w:r>
      <w:r w:rsidRPr="00712BF6">
        <w:rPr>
          <w:rFonts w:ascii="Palatino Linotype" w:hAnsi="Palatino Linotype"/>
          <w:b/>
          <w:sz w:val="24"/>
        </w:rPr>
        <w:t xml:space="preserve"> Sujeto Obligado</w:t>
      </w:r>
      <w:r w:rsidRPr="00712BF6">
        <w:rPr>
          <w:rFonts w:ascii="Palatino Linotype" w:hAnsi="Palatino Linotype"/>
          <w:sz w:val="24"/>
        </w:rPr>
        <w:t xml:space="preserve"> constituye una restricción indirecta del derecho acceso a la información pública, dado que no proporciona la información que requirió </w:t>
      </w:r>
      <w:r>
        <w:rPr>
          <w:rFonts w:ascii="Palatino Linotype" w:hAnsi="Palatino Linotype"/>
          <w:sz w:val="24"/>
        </w:rPr>
        <w:t>la</w:t>
      </w:r>
      <w:r w:rsidRPr="00712BF6">
        <w:rPr>
          <w:rFonts w:ascii="Palatino Linotype" w:hAnsi="Palatino Linotype"/>
          <w:sz w:val="24"/>
        </w:rPr>
        <w:t xml:space="preserve">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5FF3B510" w14:textId="77777777" w:rsidR="00864C69" w:rsidRPr="00712BF6" w:rsidRDefault="00864C69" w:rsidP="00864C69">
      <w:pPr>
        <w:pStyle w:val="Sinespaciado"/>
        <w:rPr>
          <w:sz w:val="2"/>
        </w:rPr>
      </w:pPr>
    </w:p>
    <w:p w14:paraId="23760FCA" w14:textId="77777777" w:rsidR="00864C69" w:rsidRPr="00712BF6" w:rsidRDefault="00864C69" w:rsidP="00864C69">
      <w:pPr>
        <w:pStyle w:val="CitasINFOEM"/>
      </w:pPr>
      <w:r w:rsidRPr="00712BF6">
        <w:t>“</w:t>
      </w:r>
      <w:r w:rsidRPr="00712BF6">
        <w:rPr>
          <w:b/>
        </w:rPr>
        <w:t>Artículo 158.</w:t>
      </w:r>
      <w:r w:rsidRPr="00712BF6">
        <w:t xml:space="preserve"> De manera excepcional, cuando </w:t>
      </w:r>
      <w:r w:rsidRPr="00712BF6">
        <w:rPr>
          <w:b/>
          <w:u w:val="single"/>
        </w:rPr>
        <w:t>de forma fundada y motivada</w:t>
      </w:r>
      <w:r w:rsidRPr="00712BF6">
        <w:t xml:space="preserve"> así lo determine el sujeto obligado, en aquellos casos en que la información solicitada que ya se encuentre en su posesión implique análisis, estudio o procesamiento de documentos cuya entrega o reproducción sobrepase </w:t>
      </w:r>
      <w:r w:rsidRPr="00712BF6">
        <w:rPr>
          <w:b/>
          <w:u w:val="single"/>
        </w:rPr>
        <w:t>las capacidades técnicas administrativas</w:t>
      </w:r>
      <w:r w:rsidRPr="00712BF6">
        <w:t xml:space="preserve"> </w:t>
      </w:r>
      <w:r w:rsidRPr="00712BF6">
        <w:rPr>
          <w:b/>
          <w:u w:val="single"/>
        </w:rPr>
        <w:t>y humanas del sujeto obligado</w:t>
      </w:r>
      <w:r w:rsidRPr="00712BF6">
        <w:t xml:space="preserve"> para cumplir con la solicitud, en los plazos establecidos para dichos efectos, se podrá poner a disposición del solicitante los documentos en </w:t>
      </w:r>
      <w:r w:rsidRPr="00712BF6">
        <w:rPr>
          <w:b/>
        </w:rPr>
        <w:t>consulta directa,</w:t>
      </w:r>
      <w:r w:rsidRPr="00712BF6">
        <w:t xml:space="preserve"> salvo la información clasificada.</w:t>
      </w:r>
    </w:p>
    <w:p w14:paraId="03487E38" w14:textId="77777777" w:rsidR="00864C69" w:rsidRDefault="00864C69" w:rsidP="00864C69">
      <w:pPr>
        <w:pStyle w:val="CitasINFOEM"/>
        <w:rPr>
          <w:b/>
        </w:rPr>
      </w:pPr>
      <w:r w:rsidRPr="00712BF6">
        <w:t>En todo caso, se facilitará su copia simple o certificada, así como su reproducción por cualquier medio disponible en las instalaciones del sujeto obligado o que, en su caso, aporte el solicitante.”</w:t>
      </w:r>
      <w:r>
        <w:t xml:space="preserve"> </w:t>
      </w:r>
      <w:r>
        <w:rPr>
          <w:b/>
        </w:rPr>
        <w:t>[Sic]</w:t>
      </w:r>
    </w:p>
    <w:p w14:paraId="0F1EE8EA" w14:textId="77777777" w:rsidR="00864C69" w:rsidRPr="00D85747" w:rsidRDefault="00864C69" w:rsidP="00864C69">
      <w:pPr>
        <w:pStyle w:val="CitasINFOEM"/>
        <w:rPr>
          <w:b/>
        </w:rPr>
      </w:pPr>
    </w:p>
    <w:p w14:paraId="2FD9FFD3" w14:textId="77777777" w:rsidR="00864C69" w:rsidRPr="00712BF6" w:rsidRDefault="00864C69" w:rsidP="00864C69">
      <w:pPr>
        <w:pStyle w:val="Sinespaciado"/>
        <w:rPr>
          <w:sz w:val="4"/>
        </w:rPr>
      </w:pPr>
    </w:p>
    <w:p w14:paraId="59380F94" w14:textId="77777777" w:rsidR="00864C69" w:rsidRPr="008C5EC3" w:rsidRDefault="00864C69" w:rsidP="00864C69">
      <w:pPr>
        <w:spacing w:after="0" w:line="360" w:lineRule="auto"/>
        <w:jc w:val="both"/>
        <w:rPr>
          <w:rFonts w:ascii="Palatino Linotype" w:hAnsi="Palatino Linotype" w:cs="Arial"/>
          <w:b/>
          <w:bCs/>
          <w:i/>
          <w:iCs/>
          <w:noProof/>
          <w:color w:val="000000"/>
          <w:lang w:eastAsia="es-MX"/>
        </w:rPr>
      </w:pPr>
      <w:r w:rsidRPr="00712BF6">
        <w:rPr>
          <w:rFonts w:ascii="Palatino Linotype" w:hAnsi="Palatino Linotype"/>
          <w:sz w:val="24"/>
          <w:szCs w:val="24"/>
        </w:rPr>
        <w:t>De lo anterior se desprende que, el</w:t>
      </w:r>
      <w:r w:rsidRPr="00712BF6">
        <w:rPr>
          <w:rFonts w:ascii="Palatino Linotype" w:hAnsi="Palatino Linotype"/>
          <w:b/>
          <w:sz w:val="24"/>
          <w:szCs w:val="24"/>
        </w:rPr>
        <w:t xml:space="preserve"> Sujeto Obligado</w:t>
      </w:r>
      <w:r w:rsidRPr="00712BF6">
        <w:rPr>
          <w:rFonts w:ascii="Palatino Linotype" w:hAnsi="Palatino Linotype"/>
          <w:sz w:val="24"/>
          <w:szCs w:val="24"/>
        </w:rPr>
        <w:t xml:space="preserve"> no procedió al cambio de modalidad de manera fundada y motivada, y menos aún cambio la vía a consulta directa, que está fuera de la legalidad que establece la ley de la materia</w:t>
      </w:r>
      <w:r>
        <w:rPr>
          <w:rFonts w:ascii="Palatino Linotype" w:hAnsi="Palatino Linotype"/>
          <w:sz w:val="24"/>
          <w:szCs w:val="24"/>
        </w:rPr>
        <w:t xml:space="preserve">, </w:t>
      </w:r>
      <w:r w:rsidRPr="00B933D5">
        <w:rPr>
          <w:rFonts w:ascii="Palatino Linotype" w:hAnsi="Palatino Linotype"/>
          <w:b/>
          <w:sz w:val="24"/>
          <w:szCs w:val="24"/>
          <w:u w:val="single"/>
        </w:rPr>
        <w:t xml:space="preserve">particularmente  al tratarse </w:t>
      </w:r>
      <w:r>
        <w:rPr>
          <w:rFonts w:ascii="Palatino Linotype" w:hAnsi="Palatino Linotype"/>
          <w:b/>
          <w:sz w:val="24"/>
          <w:szCs w:val="24"/>
          <w:u w:val="single"/>
        </w:rPr>
        <w:t xml:space="preserve">parcialmente </w:t>
      </w:r>
      <w:r w:rsidRPr="00B933D5">
        <w:rPr>
          <w:rFonts w:ascii="Palatino Linotype" w:hAnsi="Palatino Linotype"/>
          <w:b/>
          <w:sz w:val="24"/>
          <w:szCs w:val="24"/>
          <w:u w:val="single"/>
        </w:rPr>
        <w:t xml:space="preserve">de información susceptible de publicarse </w:t>
      </w:r>
      <w:r w:rsidRPr="00B933D5">
        <w:rPr>
          <w:rFonts w:ascii="Palatino Linotype" w:hAnsi="Palatino Linotype"/>
          <w:b/>
          <w:sz w:val="24"/>
          <w:szCs w:val="24"/>
          <w:u w:val="single"/>
        </w:rPr>
        <w:lastRenderedPageBreak/>
        <w:t>oficiosamente</w:t>
      </w:r>
      <w:r>
        <w:rPr>
          <w:rFonts w:ascii="Palatino Linotype" w:hAnsi="Palatino Linotype"/>
          <w:b/>
          <w:sz w:val="24"/>
          <w:szCs w:val="24"/>
          <w:u w:val="single"/>
        </w:rPr>
        <w:t xml:space="preserve"> en el portal IPOMEX</w:t>
      </w:r>
      <w:r w:rsidRPr="00B933D5">
        <w:rPr>
          <w:rFonts w:ascii="Palatino Linotype" w:hAnsi="Palatino Linotype"/>
          <w:b/>
          <w:sz w:val="24"/>
          <w:szCs w:val="24"/>
          <w:u w:val="single"/>
        </w:rPr>
        <w:t xml:space="preserve">, </w:t>
      </w:r>
      <w:r w:rsidRPr="00712BF6">
        <w:rPr>
          <w:rFonts w:ascii="Palatino Linotype" w:hAnsi="Palatino Linotype"/>
          <w:sz w:val="24"/>
          <w:szCs w:val="24"/>
        </w:rPr>
        <w:t xml:space="preserve"> y es por ello, que en el presente asunto no se ju</w:t>
      </w:r>
      <w:r>
        <w:rPr>
          <w:rFonts w:ascii="Palatino Linotype" w:hAnsi="Palatino Linotype"/>
          <w:sz w:val="24"/>
          <w:szCs w:val="24"/>
        </w:rPr>
        <w:t>stifica el cambio de modalidad.</w:t>
      </w:r>
    </w:p>
    <w:p w14:paraId="4A98D99B" w14:textId="77777777" w:rsidR="00864C69" w:rsidRDefault="00864C69" w:rsidP="00864C69">
      <w:pPr>
        <w:spacing w:before="240" w:line="360" w:lineRule="auto"/>
        <w:jc w:val="both"/>
        <w:rPr>
          <w:rFonts w:ascii="Palatino Linotype" w:hAnsi="Palatino Linotype"/>
          <w:bCs/>
          <w:sz w:val="24"/>
          <w:szCs w:val="24"/>
        </w:rPr>
      </w:pPr>
      <w:r w:rsidRPr="00864C69">
        <w:rPr>
          <w:rFonts w:ascii="Palatino Linotype" w:hAnsi="Palatino Linotype"/>
          <w:sz w:val="24"/>
          <w:szCs w:val="24"/>
        </w:rPr>
        <w:t xml:space="preserve">Por otra parte, como fue mencionado en el antecedente </w:t>
      </w:r>
      <w:r w:rsidRPr="00864C69">
        <w:rPr>
          <w:sz w:val="24"/>
          <w:szCs w:val="24"/>
        </w:rPr>
        <w:t>sexto</w:t>
      </w:r>
      <w:r w:rsidRPr="00864C69">
        <w:rPr>
          <w:rFonts w:ascii="Palatino Linotype" w:hAnsi="Palatino Linotype"/>
          <w:sz w:val="24"/>
          <w:szCs w:val="24"/>
        </w:rPr>
        <w:t xml:space="preserve">, </w:t>
      </w:r>
      <w:r w:rsidRPr="00864C69">
        <w:rPr>
          <w:rFonts w:ascii="Palatino Linotype" w:hAnsi="Palatino Linotype"/>
          <w:b/>
          <w:sz w:val="24"/>
          <w:szCs w:val="24"/>
        </w:rPr>
        <w:t xml:space="preserve">El Sujeto Obligado </w:t>
      </w:r>
      <w:r w:rsidRPr="00864C69">
        <w:rPr>
          <w:rFonts w:ascii="Palatino Linotype" w:hAnsi="Palatino Linotype"/>
          <w:bCs/>
          <w:sz w:val="24"/>
          <w:szCs w:val="24"/>
        </w:rPr>
        <w:t>fue omiso en rendir su</w:t>
      </w:r>
      <w:r w:rsidRPr="00864C69">
        <w:rPr>
          <w:bCs/>
          <w:sz w:val="24"/>
          <w:szCs w:val="24"/>
        </w:rPr>
        <w:t>s</w:t>
      </w:r>
      <w:r w:rsidRPr="00864C69">
        <w:rPr>
          <w:rFonts w:ascii="Palatino Linotype" w:hAnsi="Palatino Linotype"/>
          <w:bCs/>
          <w:sz w:val="24"/>
          <w:szCs w:val="24"/>
        </w:rPr>
        <w:t xml:space="preserve"> informe</w:t>
      </w:r>
      <w:r w:rsidRPr="00864C69">
        <w:rPr>
          <w:bCs/>
          <w:sz w:val="24"/>
          <w:szCs w:val="24"/>
        </w:rPr>
        <w:t>s</w:t>
      </w:r>
      <w:r w:rsidRPr="00864C69">
        <w:rPr>
          <w:rFonts w:ascii="Palatino Linotype" w:hAnsi="Palatino Linotype"/>
          <w:bCs/>
          <w:sz w:val="24"/>
          <w:szCs w:val="24"/>
        </w:rPr>
        <w:t xml:space="preserve"> justificado</w:t>
      </w:r>
      <w:r w:rsidRPr="00864C69">
        <w:rPr>
          <w:bCs/>
          <w:sz w:val="24"/>
          <w:szCs w:val="24"/>
        </w:rPr>
        <w:t>s</w:t>
      </w:r>
      <w:r w:rsidRPr="00864C69">
        <w:rPr>
          <w:rFonts w:ascii="Palatino Linotype" w:hAnsi="Palatino Linotype"/>
          <w:bCs/>
          <w:sz w:val="24"/>
          <w:szCs w:val="24"/>
        </w:rPr>
        <w:t>.</w:t>
      </w:r>
      <w:r w:rsidRPr="00864C69">
        <w:rPr>
          <w:bCs/>
          <w:sz w:val="24"/>
          <w:szCs w:val="24"/>
        </w:rPr>
        <w:t xml:space="preserve"> </w:t>
      </w:r>
      <w:r w:rsidRPr="00864C69">
        <w:rPr>
          <w:rFonts w:ascii="Palatino Linotype" w:hAnsi="Palatino Linotype"/>
          <w:bCs/>
          <w:sz w:val="24"/>
          <w:szCs w:val="24"/>
        </w:rPr>
        <w:t xml:space="preserve">De ahí que deba arribarse a las siguientes consideraciones: </w:t>
      </w:r>
    </w:p>
    <w:p w14:paraId="7D538623" w14:textId="67FBD342" w:rsidR="00864C69" w:rsidRDefault="00864C69" w:rsidP="00864C69">
      <w:pPr>
        <w:pStyle w:val="Prrafodelista"/>
        <w:numPr>
          <w:ilvl w:val="0"/>
          <w:numId w:val="7"/>
        </w:numPr>
        <w:autoSpaceDE w:val="0"/>
        <w:autoSpaceDN w:val="0"/>
        <w:adjustRightInd w:val="0"/>
        <w:spacing w:before="240" w:after="160" w:line="360" w:lineRule="auto"/>
        <w:jc w:val="both"/>
        <w:rPr>
          <w:rFonts w:ascii="Palatino Linotype" w:hAnsi="Palatino Linotype"/>
          <w:bCs/>
        </w:rPr>
      </w:pPr>
      <w:r w:rsidRPr="008845A8">
        <w:rPr>
          <w:rFonts w:ascii="Palatino Linotype" w:hAnsi="Palatino Linotype"/>
          <w:bCs/>
        </w:rPr>
        <w:t xml:space="preserve">A través del derecho de acceso a la información pública </w:t>
      </w:r>
      <w:r>
        <w:rPr>
          <w:rFonts w:ascii="Palatino Linotype" w:hAnsi="Palatino Linotype"/>
          <w:bCs/>
        </w:rPr>
        <w:t>fueron requeridos los siguientes soportes documentales:</w:t>
      </w:r>
    </w:p>
    <w:p w14:paraId="5E696686" w14:textId="65D7D732" w:rsidR="00864C69" w:rsidRDefault="00864C69" w:rsidP="00864C69">
      <w:pPr>
        <w:pStyle w:val="Prrafodelista"/>
        <w:numPr>
          <w:ilvl w:val="0"/>
          <w:numId w:val="44"/>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consten las dimensiones de los inmuebles donde radican las Delegaciones de Ixtapan de la Sal, Texcoco, Naucalpan de Juárez, así como la sede de Toluca, al trece de diciembre de dos mil veintiuno. </w:t>
      </w:r>
    </w:p>
    <w:p w14:paraId="0C8F0AFC" w14:textId="1A5D9FA7" w:rsidR="00864C69" w:rsidRDefault="00864C69" w:rsidP="00864C69">
      <w:pPr>
        <w:pStyle w:val="Prrafodelista"/>
        <w:numPr>
          <w:ilvl w:val="0"/>
          <w:numId w:val="44"/>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el número de servidores públicos adscritos a las Delegaciones de Ixtapan de la Sal, Texcoco, Naucalpan de Juárez, así como la sede de Toluca, al trece de diciembre de dos mil veintiuno. </w:t>
      </w:r>
    </w:p>
    <w:p w14:paraId="5BB2E77E" w14:textId="09A0CE2F" w:rsidR="00864C69" w:rsidRPr="00864C69" w:rsidRDefault="00864C69" w:rsidP="00A06B10">
      <w:pPr>
        <w:pStyle w:val="Prrafodelista"/>
        <w:numPr>
          <w:ilvl w:val="0"/>
          <w:numId w:val="7"/>
        </w:numPr>
        <w:autoSpaceDE w:val="0"/>
        <w:autoSpaceDN w:val="0"/>
        <w:adjustRightInd w:val="0"/>
        <w:spacing w:before="240" w:after="160" w:line="360" w:lineRule="auto"/>
        <w:jc w:val="both"/>
        <w:rPr>
          <w:rFonts w:ascii="Palatino Linotype" w:hAnsi="Palatino Linotype"/>
          <w:bCs/>
        </w:rPr>
      </w:pPr>
      <w:r w:rsidRPr="00864C69">
        <w:rPr>
          <w:rFonts w:ascii="Palatino Linotype" w:hAnsi="Palatino Linotype"/>
          <w:bCs/>
        </w:rPr>
        <w:t xml:space="preserve">De una interpretación sistemática a los </w:t>
      </w:r>
      <w:r w:rsidRPr="00864C69">
        <w:rPr>
          <w:rFonts w:ascii="Palatino Linotype" w:hAnsi="Palatino Linotype"/>
        </w:rPr>
        <w:t xml:space="preserve"> </w:t>
      </w:r>
      <w:r w:rsidRPr="00864C69">
        <w:rPr>
          <w:rFonts w:ascii="Palatino Linotype" w:hAnsi="Palatino Linotype"/>
          <w:bCs/>
        </w:rPr>
        <w:t xml:space="preserve"> artículos </w:t>
      </w:r>
      <w:r w:rsidRPr="00864C69">
        <w:rPr>
          <w:rFonts w:ascii="Palatino Linotype" w:hAnsi="Palatino Linotype" w:cs="Arial"/>
        </w:rPr>
        <w:t>6, 16, 17, fracción VII y 23 del Reglamento Interno de la Comisión de Conciliación y Arbitraje Médico del Estado de México,</w:t>
      </w:r>
      <w:r w:rsidR="00087C70">
        <w:rPr>
          <w:rFonts w:ascii="Palatino Linotype" w:hAnsi="Palatino Linotype" w:cs="Arial"/>
        </w:rPr>
        <w:t xml:space="preserve"> es posible advertir que la Unidad de Apoyo Administrativo resulta competente para atender los requerimientos. </w:t>
      </w:r>
    </w:p>
    <w:p w14:paraId="2E3F3F4C" w14:textId="2718D0C2" w:rsidR="00864C69" w:rsidRDefault="00864C69" w:rsidP="00864C69">
      <w:pPr>
        <w:pStyle w:val="Prrafodelista"/>
        <w:numPr>
          <w:ilvl w:val="0"/>
          <w:numId w:val="7"/>
        </w:numPr>
        <w:spacing w:before="240" w:line="360" w:lineRule="auto"/>
        <w:jc w:val="both"/>
        <w:rPr>
          <w:rFonts w:ascii="Palatino Linotype" w:hAnsi="Palatino Linotype"/>
          <w:bCs/>
        </w:rPr>
      </w:pPr>
      <w:r>
        <w:rPr>
          <w:rFonts w:ascii="Palatino Linotype" w:hAnsi="Palatino Linotype"/>
          <w:bCs/>
        </w:rPr>
        <w:lastRenderedPageBreak/>
        <w:t xml:space="preserve">Mediante respuesta, </w:t>
      </w:r>
      <w:r>
        <w:rPr>
          <w:rFonts w:ascii="Palatino Linotype" w:hAnsi="Palatino Linotype"/>
          <w:b/>
          <w:bCs/>
        </w:rPr>
        <w:t xml:space="preserve">El Sujeto Obligado </w:t>
      </w:r>
      <w:r>
        <w:rPr>
          <w:rFonts w:ascii="Palatino Linotype" w:hAnsi="Palatino Linotype"/>
          <w:bCs/>
        </w:rPr>
        <w:t>se limitó a sustentar cambio de modalidad a consulta directa, no obstante, a toda luz carece de una debida fundamentación, motivación y justificación</w:t>
      </w:r>
      <w:r w:rsidR="00087C70">
        <w:rPr>
          <w:rFonts w:ascii="Palatino Linotype" w:hAnsi="Palatino Linotype"/>
          <w:bCs/>
        </w:rPr>
        <w:t xml:space="preserve"> ya que se limitó a señalar que lo anterior es derivado del volumen de la información. </w:t>
      </w:r>
    </w:p>
    <w:p w14:paraId="4B6C1895" w14:textId="1B81C28B" w:rsidR="00864C69" w:rsidRDefault="00864C69" w:rsidP="00864C69">
      <w:pPr>
        <w:pStyle w:val="Prrafodelista"/>
        <w:numPr>
          <w:ilvl w:val="0"/>
          <w:numId w:val="7"/>
        </w:numPr>
        <w:spacing w:before="240" w:line="360" w:lineRule="auto"/>
        <w:jc w:val="both"/>
        <w:rPr>
          <w:rFonts w:ascii="Palatino Linotype" w:hAnsi="Palatino Linotype"/>
          <w:bCs/>
        </w:rPr>
      </w:pPr>
      <w:r>
        <w:rPr>
          <w:rFonts w:ascii="Palatino Linotype" w:hAnsi="Palatino Linotype"/>
          <w:bCs/>
        </w:rPr>
        <w:t xml:space="preserve">En contraste, en etapa de manifestaciones, </w:t>
      </w:r>
      <w:r>
        <w:rPr>
          <w:rFonts w:ascii="Palatino Linotype" w:hAnsi="Palatino Linotype"/>
          <w:b/>
        </w:rPr>
        <w:t xml:space="preserve">El Sujeto Obligado </w:t>
      </w:r>
      <w:r>
        <w:rPr>
          <w:rFonts w:ascii="Palatino Linotype" w:hAnsi="Palatino Linotype"/>
          <w:bCs/>
        </w:rPr>
        <w:t>fue omiso en rendir su</w:t>
      </w:r>
      <w:r w:rsidR="00087C70">
        <w:rPr>
          <w:rFonts w:ascii="Palatino Linotype" w:hAnsi="Palatino Linotype"/>
          <w:bCs/>
        </w:rPr>
        <w:t>s</w:t>
      </w:r>
      <w:r>
        <w:rPr>
          <w:rFonts w:ascii="Palatino Linotype" w:hAnsi="Palatino Linotype"/>
          <w:bCs/>
        </w:rPr>
        <w:t xml:space="preserve"> informe</w:t>
      </w:r>
      <w:r w:rsidR="00087C70">
        <w:rPr>
          <w:rFonts w:ascii="Palatino Linotype" w:hAnsi="Palatino Linotype"/>
          <w:bCs/>
        </w:rPr>
        <w:t>s</w:t>
      </w:r>
      <w:r>
        <w:rPr>
          <w:rFonts w:ascii="Palatino Linotype" w:hAnsi="Palatino Linotype"/>
          <w:bCs/>
        </w:rPr>
        <w:t xml:space="preserve"> justificado</w:t>
      </w:r>
      <w:r w:rsidR="00087C70">
        <w:rPr>
          <w:rFonts w:ascii="Palatino Linotype" w:hAnsi="Palatino Linotype"/>
          <w:bCs/>
        </w:rPr>
        <w:t>s</w:t>
      </w:r>
      <w:r>
        <w:rPr>
          <w:rFonts w:ascii="Palatino Linotype" w:hAnsi="Palatino Linotype"/>
          <w:bCs/>
        </w:rPr>
        <w:t xml:space="preserve">, en consecuencia, en dicha etapa procesal no subsanó el derecho de acceso a la información pública. </w:t>
      </w:r>
    </w:p>
    <w:p w14:paraId="1B9A7FA6" w14:textId="69B8EC87" w:rsidR="00864C69" w:rsidRPr="004305EC" w:rsidRDefault="00864C69" w:rsidP="00087C70">
      <w:pPr>
        <w:pStyle w:val="Prrafodelista"/>
        <w:numPr>
          <w:ilvl w:val="0"/>
          <w:numId w:val="7"/>
        </w:numPr>
        <w:spacing w:before="240" w:line="360" w:lineRule="auto"/>
        <w:jc w:val="both"/>
        <w:rPr>
          <w:rFonts w:ascii="Palatino Linotype" w:hAnsi="Palatino Linotype" w:cs="Arial"/>
        </w:rPr>
      </w:pPr>
      <w:r w:rsidRPr="009614FD">
        <w:rPr>
          <w:rFonts w:ascii="Palatino Linotype" w:hAnsi="Palatino Linotype"/>
          <w:bCs/>
        </w:rPr>
        <w:t xml:space="preserve">Asimismo, no resulta desapercibido para este Órgano Resolutor que la información </w:t>
      </w:r>
      <w:r w:rsidR="00087C70">
        <w:rPr>
          <w:rFonts w:ascii="Palatino Linotype" w:hAnsi="Palatino Linotype"/>
          <w:bCs/>
        </w:rPr>
        <w:t xml:space="preserve">estriba dentro de las obligaciones de transparencia común inmersas en el artículo 92, fracciones VII y XXXVIII de la Ley de Transparencia y Acceso a la Información Pública del Estado de México y Municipios. </w:t>
      </w:r>
    </w:p>
    <w:p w14:paraId="252633EA" w14:textId="77777777" w:rsidR="00864C69" w:rsidRPr="00864C69" w:rsidRDefault="00864C69" w:rsidP="00864C69">
      <w:pPr>
        <w:spacing w:before="240" w:line="360" w:lineRule="auto"/>
        <w:jc w:val="both"/>
        <w:rPr>
          <w:rFonts w:ascii="Palatino Linotype" w:hAnsi="Palatino Linotype"/>
          <w:bCs/>
          <w:sz w:val="24"/>
          <w:szCs w:val="24"/>
        </w:rPr>
      </w:pPr>
    </w:p>
    <w:p w14:paraId="5AE559A3" w14:textId="77777777" w:rsidR="00087C70" w:rsidRDefault="00087C70" w:rsidP="00087C70">
      <w:pPr>
        <w:spacing w:before="240" w:after="240" w:line="360" w:lineRule="auto"/>
        <w:jc w:val="both"/>
        <w:rPr>
          <w:rFonts w:ascii="Palatino Linotype" w:hAnsi="Palatino Linotype"/>
          <w:sz w:val="24"/>
          <w:szCs w:val="24"/>
        </w:rPr>
      </w:pPr>
      <w:r w:rsidRPr="002975F6">
        <w:rPr>
          <w:rFonts w:ascii="Palatino Linotype" w:hAnsi="Palatino Linotype"/>
          <w:sz w:val="24"/>
          <w:szCs w:val="24"/>
        </w:rPr>
        <w:t xml:space="preserve">Con base en lo anteriormente expuesto, resulta procedente </w:t>
      </w:r>
      <w:r>
        <w:rPr>
          <w:rFonts w:ascii="Palatino Linotype" w:hAnsi="Palatino Linotype"/>
          <w:sz w:val="24"/>
          <w:szCs w:val="24"/>
        </w:rPr>
        <w:t xml:space="preserve">ordenar una búsqueda exhaustiva y razonable, a efecto de entregar en versión pública de ser procedente, de la siguiente información: </w:t>
      </w:r>
    </w:p>
    <w:p w14:paraId="7ED4C16B" w14:textId="77777777" w:rsidR="00087C70" w:rsidRDefault="00087C70" w:rsidP="00087C70">
      <w:pPr>
        <w:pStyle w:val="Prrafodelista"/>
        <w:numPr>
          <w:ilvl w:val="0"/>
          <w:numId w:val="46"/>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consten las dimensiones de los inmuebles donde radican las Delegaciones de Ixtapan de la Sal, Texcoco, Naucalpan de Juárez, así como la sede de Toluca, al trece de diciembre de dos mil veintiuno. </w:t>
      </w:r>
    </w:p>
    <w:p w14:paraId="430D0FE5" w14:textId="77777777" w:rsidR="00087C70" w:rsidRDefault="00087C70" w:rsidP="00087C70">
      <w:pPr>
        <w:pStyle w:val="Prrafodelista"/>
        <w:numPr>
          <w:ilvl w:val="0"/>
          <w:numId w:val="46"/>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El o los documentos donde conste el número de servidores públicos adscritos a las Delegaciones de Ixtapan de la Sal, Texcoco, Naucalpan de Juárez, así como la sede de Toluca, al trece de diciembre de dos mil veintiuno. </w:t>
      </w:r>
    </w:p>
    <w:p w14:paraId="49012A92" w14:textId="794E4805" w:rsidR="00864C69" w:rsidRPr="00864C69" w:rsidRDefault="00864C69" w:rsidP="008569C0">
      <w:pPr>
        <w:pStyle w:val="Citas"/>
        <w:ind w:left="0" w:right="0"/>
        <w:rPr>
          <w:i w:val="0"/>
          <w:sz w:val="24"/>
          <w:szCs w:val="24"/>
        </w:rPr>
      </w:pPr>
    </w:p>
    <w:p w14:paraId="10200ED8" w14:textId="26D49672" w:rsidR="00A00B32" w:rsidRPr="00C22506" w:rsidRDefault="003A007A" w:rsidP="00A00B32">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00A00B32" w:rsidRPr="00C22506">
        <w:rPr>
          <w:rFonts w:ascii="Palatino Linotype" w:hAnsi="Palatino Linotype"/>
          <w:b/>
          <w:sz w:val="28"/>
          <w:szCs w:val="28"/>
        </w:rPr>
        <w:t xml:space="preserve">Versión Pública </w:t>
      </w:r>
    </w:p>
    <w:p w14:paraId="38E61BBB" w14:textId="77777777" w:rsidR="00A00B32" w:rsidRPr="001571EB" w:rsidRDefault="00A00B32" w:rsidP="00A00B3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EC2B5AA" w14:textId="77777777" w:rsidR="00A00B32" w:rsidRPr="00E60DEF" w:rsidRDefault="00A00B32" w:rsidP="00A00B3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EC027B4" w14:textId="77777777" w:rsidR="00A00B32" w:rsidRPr="00E60DEF" w:rsidRDefault="00A00B32" w:rsidP="00A00B3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CC0026C" w14:textId="77777777" w:rsidR="00A00B32" w:rsidRPr="001571EB" w:rsidRDefault="00A00B32" w:rsidP="00A00B3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D29E7DE" w14:textId="77777777" w:rsidR="00A00B32" w:rsidRPr="001571EB" w:rsidRDefault="00A00B32" w:rsidP="00A00B32">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6BB0E239" w14:textId="77777777" w:rsidR="00A00B32" w:rsidRPr="001571EB" w:rsidRDefault="00A00B32" w:rsidP="00A00B3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BE395D8" w14:textId="77777777" w:rsidR="00A00B32" w:rsidRPr="001571EB" w:rsidRDefault="00A00B32" w:rsidP="00A00B3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64F88A75" w14:textId="77777777" w:rsidR="00A00B32" w:rsidRPr="001571EB" w:rsidRDefault="00A00B32" w:rsidP="00A00B3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DE4A89C" w14:textId="77777777" w:rsidR="00A00B32" w:rsidRPr="001571EB" w:rsidRDefault="00A00B32" w:rsidP="00A00B3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825370C" w14:textId="77777777" w:rsidR="00A00B32" w:rsidRPr="001571EB" w:rsidRDefault="00A00B32" w:rsidP="00A00B3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6BDA10D" w14:textId="77777777" w:rsidR="00A00B32" w:rsidRPr="00E60DEF" w:rsidRDefault="00A00B32" w:rsidP="00A00B3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3D83375" w14:textId="77777777" w:rsidR="00A00B32" w:rsidRPr="001571EB" w:rsidRDefault="00A00B32" w:rsidP="00A00B3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83AF124" w14:textId="77777777" w:rsidR="00A00B32" w:rsidRDefault="00A00B32" w:rsidP="00A00B3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480DBB9" w14:textId="77777777" w:rsidR="001B6494" w:rsidRDefault="001B6494" w:rsidP="00A00B32">
      <w:pPr>
        <w:spacing w:after="0" w:line="360" w:lineRule="auto"/>
        <w:ind w:right="51"/>
        <w:jc w:val="both"/>
        <w:rPr>
          <w:rFonts w:ascii="Palatino Linotype" w:eastAsia="Arial Unicode MS" w:hAnsi="Palatino Linotype" w:cs="Arial"/>
          <w:sz w:val="24"/>
          <w:szCs w:val="24"/>
        </w:rPr>
      </w:pPr>
    </w:p>
    <w:p w14:paraId="58419931" w14:textId="77777777" w:rsidR="00A00B32" w:rsidRPr="001571EB" w:rsidRDefault="00A00B32" w:rsidP="00A00B3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79EBF98" w14:textId="77777777" w:rsidR="00A00B32" w:rsidRPr="001571EB" w:rsidRDefault="00A00B32" w:rsidP="00A00B3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0291F68" w14:textId="77777777" w:rsidR="00A00B32" w:rsidRPr="001571EB" w:rsidRDefault="00A00B32" w:rsidP="00A00B3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4A6B5EB" w14:textId="77777777" w:rsidR="00A00B32" w:rsidRDefault="00A00B32" w:rsidP="00A00B3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A9DC9BF" w14:textId="77777777" w:rsidR="00A00B32" w:rsidRDefault="00A00B32" w:rsidP="00A00B3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25161E7" w14:textId="77777777" w:rsidR="00A00B32" w:rsidRPr="001571EB" w:rsidRDefault="00A00B32" w:rsidP="00A00B3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7725B9A0" w14:textId="77777777" w:rsidR="00A00B32" w:rsidRPr="001571EB" w:rsidRDefault="00A00B32" w:rsidP="00A00B3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D4F1FBD" w14:textId="77777777" w:rsidR="00A00B32" w:rsidRPr="001571EB" w:rsidRDefault="00A00B32" w:rsidP="00A00B3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F819629" w14:textId="77777777" w:rsidR="00A00B32" w:rsidRPr="001571EB" w:rsidRDefault="00A00B32" w:rsidP="00A00B3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96A9085" w14:textId="77777777" w:rsidR="00A00B32" w:rsidRPr="00EE0180" w:rsidRDefault="00A00B32" w:rsidP="00A00B3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836E7D3" w14:textId="77777777" w:rsidR="00A00B32" w:rsidRPr="001571EB" w:rsidRDefault="00A00B32" w:rsidP="00A00B32">
      <w:pPr>
        <w:autoSpaceDE w:val="0"/>
        <w:autoSpaceDN w:val="0"/>
        <w:adjustRightInd w:val="0"/>
        <w:spacing w:before="120" w:after="120"/>
        <w:ind w:left="567" w:right="850"/>
        <w:jc w:val="both"/>
        <w:rPr>
          <w:rFonts w:ascii="Palatino Linotype" w:eastAsia="Times New Roman" w:hAnsi="Palatino Linotype" w:cs="Arial"/>
          <w:i/>
        </w:rPr>
      </w:pPr>
    </w:p>
    <w:p w14:paraId="4D687B9E" w14:textId="77777777" w:rsidR="00A00B32" w:rsidRPr="001571EB" w:rsidRDefault="00A00B32" w:rsidP="00A00B3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3C5B40CE" w14:textId="77777777" w:rsidR="00A00B32" w:rsidRPr="001571EB" w:rsidRDefault="00A00B32" w:rsidP="00A00B3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13D1E19A" w14:textId="77777777" w:rsidR="00A00B32" w:rsidRDefault="00A00B32" w:rsidP="00A00B3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5C87E59" w14:textId="77777777" w:rsidR="00A00B32" w:rsidRDefault="00A00B32" w:rsidP="00A00B3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7A41F62" w14:textId="77777777" w:rsidR="00A00B32" w:rsidRPr="001571EB" w:rsidRDefault="00A00B32" w:rsidP="00A00B3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E54C09A" w14:textId="77777777" w:rsidR="00A00B32" w:rsidRPr="001571EB" w:rsidRDefault="00A00B32" w:rsidP="00A00B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46DB127" w14:textId="77777777" w:rsidR="00A00B32" w:rsidRPr="001571EB" w:rsidRDefault="00A00B32" w:rsidP="00A00B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2F3223E0" w14:textId="77777777" w:rsidR="00A00B32" w:rsidRPr="001571EB" w:rsidRDefault="00A00B32" w:rsidP="00A00B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19701D9" w14:textId="77777777" w:rsidR="00A00B32" w:rsidRDefault="00A00B32" w:rsidP="00A00B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C8B3AC7" w14:textId="77777777" w:rsidR="00E32CF2" w:rsidRDefault="00E32CF2" w:rsidP="00A00B32">
      <w:pPr>
        <w:spacing w:after="0" w:line="360" w:lineRule="auto"/>
        <w:ind w:right="51"/>
        <w:jc w:val="both"/>
        <w:rPr>
          <w:rFonts w:ascii="Palatino Linotype" w:hAnsi="Palatino Linotype" w:cs="Arial"/>
          <w:sz w:val="24"/>
          <w:szCs w:val="24"/>
        </w:rPr>
      </w:pPr>
    </w:p>
    <w:p w14:paraId="5CF7544A" w14:textId="77777777" w:rsidR="00A00B32" w:rsidRDefault="00A00B32" w:rsidP="00A00B3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9FC00D6" w14:textId="77777777" w:rsidR="00087C70" w:rsidRDefault="00087C70" w:rsidP="00A00B32">
      <w:pPr>
        <w:spacing w:after="0" w:line="360" w:lineRule="auto"/>
        <w:ind w:right="51"/>
        <w:jc w:val="both"/>
        <w:rPr>
          <w:rFonts w:ascii="Palatino Linotype" w:hAnsi="Palatino Linotype" w:cs="Arial"/>
          <w:sz w:val="24"/>
          <w:szCs w:val="24"/>
        </w:rPr>
      </w:pPr>
    </w:p>
    <w:p w14:paraId="306C712B" w14:textId="03C87D23" w:rsidR="00087C70" w:rsidRPr="00087C70" w:rsidRDefault="00E518A6" w:rsidP="00E518A6">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REVOCA</w:t>
      </w:r>
      <w:r w:rsidR="00087C70">
        <w:rPr>
          <w:rFonts w:ascii="Palatino Linotype" w:eastAsia="Times New Roman" w:hAnsi="Palatino Linotype" w:cs="Arial"/>
          <w:b/>
          <w:sz w:val="24"/>
          <w:szCs w:val="24"/>
          <w:lang w:eastAsia="es-ES"/>
        </w:rPr>
        <w:t>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la</w:t>
      </w:r>
      <w:r w:rsidR="00087C70">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respuesta</w:t>
      </w:r>
      <w:r w:rsidR="00087C70">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a la</w:t>
      </w:r>
      <w:r w:rsidR="00087C70">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solicitud</w:t>
      </w:r>
      <w:r w:rsidR="00087C70">
        <w:rPr>
          <w:rFonts w:ascii="Palatino Linotype" w:eastAsia="Times New Roman" w:hAnsi="Palatino Linotype" w:cs="Arial"/>
          <w:sz w:val="24"/>
          <w:szCs w:val="24"/>
          <w:lang w:eastAsia="es-ES"/>
        </w:rPr>
        <w:t>es</w:t>
      </w:r>
      <w:r w:rsidRPr="000F5B7E">
        <w:rPr>
          <w:rFonts w:ascii="Palatino Linotype" w:eastAsia="Times New Roman" w:hAnsi="Palatino Linotype" w:cs="Arial"/>
          <w:sz w:val="24"/>
          <w:szCs w:val="24"/>
          <w:lang w:eastAsia="es-ES"/>
        </w:rPr>
        <w:t xml:space="preserve"> de información número</w:t>
      </w:r>
      <w:r w:rsidR="00087C70">
        <w:rPr>
          <w:rFonts w:ascii="Palatino Linotype" w:eastAsia="Times New Roman" w:hAnsi="Palatino Linotype" w:cs="Arial"/>
          <w:sz w:val="24"/>
          <w:szCs w:val="24"/>
          <w:lang w:eastAsia="es-ES"/>
        </w:rPr>
        <w:t xml:space="preserve">s </w:t>
      </w:r>
      <w:r w:rsidR="00087C70">
        <w:rPr>
          <w:rFonts w:ascii="Palatino Linotype" w:eastAsia="Times New Roman" w:hAnsi="Palatino Linotype" w:cs="Arial"/>
          <w:b/>
          <w:sz w:val="24"/>
          <w:szCs w:val="24"/>
          <w:lang w:eastAsia="es-ES"/>
        </w:rPr>
        <w:t xml:space="preserve">00311/CAMEM/IP/2021 y 00310/CAMEM/IP/2021 </w:t>
      </w:r>
      <w:r w:rsidR="00087C70">
        <w:rPr>
          <w:rFonts w:ascii="Palatino Linotype" w:eastAsia="Times New Roman" w:hAnsi="Palatino Linotype" w:cs="Arial"/>
          <w:sz w:val="24"/>
          <w:szCs w:val="24"/>
          <w:lang w:eastAsia="es-ES"/>
        </w:rPr>
        <w:t xml:space="preserve">que han sido materia del presente fallo. </w:t>
      </w:r>
    </w:p>
    <w:p w14:paraId="4CCEB34A" w14:textId="77777777" w:rsidR="00087C70" w:rsidRDefault="00087C70" w:rsidP="00E518A6">
      <w:pPr>
        <w:spacing w:after="0" w:line="360" w:lineRule="auto"/>
        <w:jc w:val="both"/>
        <w:rPr>
          <w:rFonts w:ascii="Palatino Linotype" w:eastAsia="Times New Roman" w:hAnsi="Palatino Linotype" w:cs="Arial"/>
          <w:sz w:val="24"/>
          <w:szCs w:val="24"/>
          <w:lang w:eastAsia="es-ES"/>
        </w:rPr>
      </w:pPr>
    </w:p>
    <w:p w14:paraId="7CBD43D6" w14:textId="5BBA9AF9" w:rsidR="002512B4" w:rsidRPr="002512B4" w:rsidRDefault="002512B4" w:rsidP="00E518A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6095168F" w14:textId="77777777" w:rsidR="00114AFA" w:rsidRDefault="00114AFA" w:rsidP="00114AFA">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76F695C5" w14:textId="4E527527" w:rsidR="00087C70" w:rsidRDefault="00087C70" w:rsidP="00087C70">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Pr>
          <w:rFonts w:ascii="Palatino Linotype" w:hAnsi="Palatino Linotype" w:cs="Arial"/>
          <w:sz w:val="24"/>
          <w:szCs w:val="24"/>
        </w:rPr>
        <w:t>s</w:t>
      </w:r>
      <w:r w:rsidRPr="00413327">
        <w:rPr>
          <w:rFonts w:ascii="Palatino Linotype" w:hAnsi="Palatino Linotype" w:cs="Arial"/>
          <w:sz w:val="24"/>
          <w:szCs w:val="24"/>
        </w:rPr>
        <w:t xml:space="preserve"> respuesta</w:t>
      </w:r>
      <w:r>
        <w:rPr>
          <w:rFonts w:ascii="Palatino Linotype" w:hAnsi="Palatino Linotype" w:cs="Arial"/>
          <w:sz w:val="24"/>
          <w:szCs w:val="24"/>
        </w:rPr>
        <w:t>s</w:t>
      </w:r>
      <w:r w:rsidRPr="00413327">
        <w:rPr>
          <w:rFonts w:ascii="Palatino Linotype" w:hAnsi="Palatino Linotype" w:cs="Arial"/>
          <w:sz w:val="24"/>
          <w:szCs w:val="24"/>
        </w:rPr>
        <w:t xml:space="preserve"> entregada</w:t>
      </w:r>
      <w:r>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sidR="00D3317B">
        <w:rPr>
          <w:rFonts w:ascii="Palatino Linotype" w:eastAsia="Times New Roman" w:hAnsi="Palatino Linotype" w:cs="Arial"/>
          <w:b/>
          <w:sz w:val="24"/>
          <w:szCs w:val="24"/>
          <w:lang w:eastAsia="es-ES"/>
        </w:rPr>
        <w:t>00311/CAMEM/IP/2021 y 00310/CAMEM/IP/2021</w:t>
      </w:r>
      <w:r>
        <w:rPr>
          <w:rFonts w:ascii="Palatino Linotype" w:hAnsi="Palatino Linotype" w:cs="Arial"/>
          <w:b/>
          <w:sz w:val="24"/>
        </w:rPr>
        <w:t xml:space="preserve">, </w:t>
      </w:r>
      <w:r>
        <w:rPr>
          <w:rFonts w:ascii="Palatino Linotype" w:hAnsi="Palatino Linotype" w:cs="Arial"/>
          <w:sz w:val="24"/>
          <w:szCs w:val="24"/>
        </w:rPr>
        <w:t xml:space="preserve">por resultar fundados los motivos de inconformidad que arguye </w:t>
      </w:r>
      <w:r w:rsidR="00D3317B">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6CDCA019" w14:textId="77777777" w:rsidR="00087C70" w:rsidRDefault="00087C70" w:rsidP="00087C70">
      <w:pPr>
        <w:spacing w:before="240" w:line="360" w:lineRule="auto"/>
        <w:jc w:val="both"/>
        <w:rPr>
          <w:rFonts w:ascii="Palatino Linotype" w:hAnsi="Palatino Linotype" w:cs="Arial"/>
          <w:sz w:val="24"/>
          <w:szCs w:val="24"/>
        </w:rPr>
      </w:pPr>
    </w:p>
    <w:p w14:paraId="66F6D0E5" w14:textId="4FE82994" w:rsidR="00087C70" w:rsidRDefault="00087C70" w:rsidP="00087C70">
      <w:pPr>
        <w:pStyle w:val="Sinespaciado"/>
        <w:spacing w:line="360" w:lineRule="auto"/>
        <w:jc w:val="both"/>
        <w:rPr>
          <w:rFonts w:ascii="Palatino Linotype" w:hAnsi="Palatino Linotype" w:cs="Arial"/>
        </w:rPr>
      </w:pPr>
      <w:r w:rsidRPr="001C7462">
        <w:rPr>
          <w:rFonts w:ascii="Palatino Linotype" w:hAnsi="Palatino Linotype" w:cs="Arial"/>
          <w:b/>
          <w:sz w:val="28"/>
          <w:szCs w:val="28"/>
        </w:rPr>
        <w:t>SEGUNDO.</w:t>
      </w:r>
      <w:r w:rsidRPr="001C7462">
        <w:rPr>
          <w:rFonts w:ascii="Palatino Linotype" w:hAnsi="Palatino Linotype" w:cs="Arial"/>
        </w:rPr>
        <w:t xml:space="preserve"> Se </w:t>
      </w:r>
      <w:r w:rsidRPr="001C7462">
        <w:rPr>
          <w:rFonts w:ascii="Palatino Linotype" w:hAnsi="Palatino Linotype" w:cs="Arial"/>
          <w:b/>
        </w:rPr>
        <w:t>ORDENA</w:t>
      </w:r>
      <w:r w:rsidRPr="001C7462">
        <w:rPr>
          <w:rFonts w:ascii="Palatino Linotype" w:hAnsi="Palatino Linotype" w:cs="Arial"/>
        </w:rPr>
        <w:t xml:space="preserve"> al </w:t>
      </w:r>
      <w:r w:rsidRPr="001C7462">
        <w:rPr>
          <w:rFonts w:ascii="Palatino Linotype" w:hAnsi="Palatino Linotype" w:cs="Arial"/>
          <w:b/>
        </w:rPr>
        <w:t>SUJETO OBLIGADO</w:t>
      </w:r>
      <w:r w:rsidRPr="001C7462">
        <w:rPr>
          <w:rFonts w:ascii="Palatino Linotype" w:hAnsi="Palatino Linotype" w:cs="Arial"/>
        </w:rPr>
        <w:t xml:space="preserve"> haga entrega </w:t>
      </w:r>
      <w:r w:rsidR="00D3317B">
        <w:rPr>
          <w:rFonts w:ascii="Palatino Linotype" w:hAnsi="Palatino Linotype" w:cs="Arial"/>
        </w:rPr>
        <w:t>al</w:t>
      </w:r>
      <w:r w:rsidRPr="001C7462">
        <w:rPr>
          <w:rFonts w:ascii="Palatino Linotype" w:hAnsi="Palatino Linotype" w:cs="Arial"/>
        </w:rPr>
        <w:t xml:space="preserve"> </w:t>
      </w:r>
      <w:r w:rsidRPr="001C7462">
        <w:rPr>
          <w:rFonts w:ascii="Palatino Linotype" w:hAnsi="Palatino Linotype" w:cs="Arial"/>
          <w:b/>
        </w:rPr>
        <w:t xml:space="preserve">RECURRENTE </w:t>
      </w:r>
      <w:r w:rsidRPr="001C7462">
        <w:rPr>
          <w:rFonts w:ascii="Palatino Linotype" w:hAnsi="Palatino Linotype" w:cs="Arial"/>
        </w:rPr>
        <w:t xml:space="preserve">en términos del Considerando </w:t>
      </w:r>
      <w:r w:rsidRPr="001C7462">
        <w:rPr>
          <w:rFonts w:ascii="Palatino Linotype" w:hAnsi="Palatino Linotype" w:cs="Arial"/>
          <w:b/>
        </w:rPr>
        <w:t xml:space="preserve">CUARTO </w:t>
      </w:r>
      <w:r w:rsidRPr="001C7462">
        <w:rPr>
          <w:rFonts w:ascii="Palatino Linotype" w:hAnsi="Palatino Linotype" w:cs="Arial"/>
        </w:rPr>
        <w:t>de esta resolución,</w:t>
      </w:r>
      <w:r>
        <w:rPr>
          <w:rFonts w:ascii="Palatino Linotype" w:hAnsi="Palatino Linotype" w:cs="Arial"/>
        </w:rPr>
        <w:t xml:space="preserve"> previa búsqueda exhaustiva y razonable,</w:t>
      </w:r>
      <w:r w:rsidRPr="001C7462">
        <w:rPr>
          <w:rFonts w:ascii="Palatino Linotype" w:hAnsi="Palatino Linotype" w:cs="Arial"/>
        </w:rPr>
        <w:t xml:space="preserve"> a través del </w:t>
      </w:r>
      <w:r>
        <w:rPr>
          <w:rFonts w:ascii="Palatino Linotype" w:hAnsi="Palatino Linotype" w:cs="Arial"/>
        </w:rPr>
        <w:t>Sistema de Acceso a la Información Mexiquense (</w:t>
      </w:r>
      <w:r w:rsidRPr="001C7462">
        <w:rPr>
          <w:rFonts w:ascii="Palatino Linotype" w:hAnsi="Palatino Linotype" w:cs="Arial"/>
          <w:b/>
        </w:rPr>
        <w:t>SAIMEX</w:t>
      </w:r>
      <w:r>
        <w:rPr>
          <w:rFonts w:ascii="Palatino Linotype" w:hAnsi="Palatino Linotype" w:cs="Arial"/>
          <w:b/>
        </w:rPr>
        <w:t>)</w:t>
      </w:r>
      <w:r w:rsidRPr="001C7462">
        <w:rPr>
          <w:rFonts w:ascii="Palatino Linotype" w:hAnsi="Palatino Linotype" w:cs="Arial"/>
        </w:rPr>
        <w:t xml:space="preserve">, </w:t>
      </w:r>
      <w:r w:rsidRPr="00A116CF">
        <w:rPr>
          <w:rFonts w:ascii="Palatino Linotype" w:hAnsi="Palatino Linotype" w:cs="Arial"/>
        </w:rPr>
        <w:t>en versión pública</w:t>
      </w:r>
      <w:r>
        <w:rPr>
          <w:rFonts w:ascii="Palatino Linotype" w:hAnsi="Palatino Linotype" w:cs="Arial"/>
        </w:rPr>
        <w:t xml:space="preserve"> de ser procedente</w:t>
      </w:r>
      <w:r w:rsidRPr="00A116CF">
        <w:rPr>
          <w:rFonts w:ascii="Palatino Linotype" w:hAnsi="Palatino Linotype" w:cs="Arial"/>
        </w:rPr>
        <w:t xml:space="preserve">, </w:t>
      </w:r>
      <w:r>
        <w:rPr>
          <w:rFonts w:ascii="Palatino Linotype" w:hAnsi="Palatino Linotype" w:cs="Arial"/>
        </w:rPr>
        <w:t xml:space="preserve">de </w:t>
      </w:r>
      <w:r w:rsidRPr="00A116CF">
        <w:rPr>
          <w:rFonts w:ascii="Palatino Linotype" w:hAnsi="Palatino Linotype" w:cs="Arial"/>
        </w:rPr>
        <w:t>lo siguiente:</w:t>
      </w:r>
    </w:p>
    <w:p w14:paraId="2131B07B" w14:textId="77777777" w:rsidR="00D3317B" w:rsidRPr="00D3317B" w:rsidRDefault="00D3317B" w:rsidP="00D3317B">
      <w:pPr>
        <w:pStyle w:val="Prrafodelista"/>
        <w:numPr>
          <w:ilvl w:val="0"/>
          <w:numId w:val="16"/>
        </w:numPr>
        <w:autoSpaceDE w:val="0"/>
        <w:autoSpaceDN w:val="0"/>
        <w:adjustRightInd w:val="0"/>
        <w:spacing w:before="240" w:after="160" w:line="360" w:lineRule="auto"/>
        <w:jc w:val="both"/>
        <w:rPr>
          <w:rFonts w:ascii="Palatino Linotype" w:hAnsi="Palatino Linotype" w:cs="Arial"/>
          <w:i/>
        </w:rPr>
      </w:pPr>
      <w:r w:rsidRPr="00D3317B">
        <w:rPr>
          <w:rFonts w:ascii="Palatino Linotype" w:hAnsi="Palatino Linotype" w:cs="Arial"/>
          <w:i/>
        </w:rPr>
        <w:t xml:space="preserve">El o los documentos donde consten las dimensiones de los inmuebles donde radican las Delegaciones de Ixtapan de la Sal, Texcoco, Naucalpan de Juárez, así como la sede de Toluca, al trece de diciembre de dos mil veintiuno. </w:t>
      </w:r>
    </w:p>
    <w:p w14:paraId="0A4C1C34" w14:textId="77777777" w:rsidR="00D3317B" w:rsidRPr="00D3317B" w:rsidRDefault="00D3317B" w:rsidP="00D3317B">
      <w:pPr>
        <w:pStyle w:val="Prrafodelista"/>
        <w:numPr>
          <w:ilvl w:val="0"/>
          <w:numId w:val="16"/>
        </w:numPr>
        <w:autoSpaceDE w:val="0"/>
        <w:autoSpaceDN w:val="0"/>
        <w:adjustRightInd w:val="0"/>
        <w:spacing w:before="240" w:after="160" w:line="360" w:lineRule="auto"/>
        <w:jc w:val="both"/>
        <w:rPr>
          <w:rFonts w:ascii="Palatino Linotype" w:hAnsi="Palatino Linotype" w:cs="Arial"/>
          <w:i/>
        </w:rPr>
      </w:pPr>
      <w:r w:rsidRPr="00D3317B">
        <w:rPr>
          <w:rFonts w:ascii="Palatino Linotype" w:hAnsi="Palatino Linotype" w:cs="Arial"/>
          <w:i/>
        </w:rPr>
        <w:t xml:space="preserve">El o los documentos donde conste el número de servidores públicos adscritos a las Delegaciones de Ixtapan de la Sal, Texcoco, Naucalpan de Juárez, así como la sede de Toluca, al trece de diciembre de dos mil veintiuno. </w:t>
      </w:r>
    </w:p>
    <w:p w14:paraId="026EF0EC" w14:textId="3B1046A2" w:rsidR="00087C70" w:rsidRDefault="00087C70" w:rsidP="00087C70">
      <w:pPr>
        <w:pStyle w:val="Prrafodelista"/>
        <w:spacing w:before="240" w:line="360" w:lineRule="auto"/>
        <w:ind w:left="70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w:t>
      </w:r>
      <w:r>
        <w:rPr>
          <w:rFonts w:ascii="Palatino Linotype" w:hAnsi="Palatino Linotype" w:cs="Arial"/>
          <w:i/>
        </w:rPr>
        <w:lastRenderedPageBreak/>
        <w:t xml:space="preserve">de Transparencia y Acceso a la Información Pública del Estado de México y Municipios, en el que funde y motive las razones sobre los datos que se supriman o eliminen y se ponga a disposición </w:t>
      </w:r>
      <w:r w:rsidR="00880AB5">
        <w:rPr>
          <w:rFonts w:ascii="Palatino Linotype" w:hAnsi="Palatino Linotype" w:cs="Arial"/>
          <w:i/>
        </w:rPr>
        <w:t>del</w:t>
      </w:r>
      <w:r>
        <w:rPr>
          <w:rFonts w:ascii="Palatino Linotype" w:hAnsi="Palatino Linotype" w:cs="Arial"/>
          <w:i/>
        </w:rPr>
        <w:t xml:space="preserve"> recurrente.</w:t>
      </w:r>
    </w:p>
    <w:p w14:paraId="751D4BB2" w14:textId="77777777" w:rsidR="00087C70" w:rsidRDefault="00087C70" w:rsidP="00087C70">
      <w:pPr>
        <w:pStyle w:val="Prrafodelista"/>
        <w:spacing w:before="240" w:line="360" w:lineRule="auto"/>
        <w:ind w:left="1211" w:right="792"/>
        <w:jc w:val="both"/>
        <w:rPr>
          <w:rFonts w:ascii="Palatino Linotype" w:hAnsi="Palatino Linotype" w:cs="Arial"/>
          <w:i/>
        </w:rPr>
      </w:pPr>
    </w:p>
    <w:p w14:paraId="7FEDF42F" w14:textId="77777777" w:rsidR="00087C70" w:rsidRDefault="00087C70" w:rsidP="00087C70">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 xml:space="preserve">diez </w:t>
      </w:r>
      <w:r w:rsidRPr="00D05C83">
        <w:rPr>
          <w:rFonts w:ascii="Palatino Linotype" w:hAnsi="Palatino Linotype" w:cs="Arial"/>
          <w:sz w:val="24"/>
          <w:szCs w:val="24"/>
        </w:rPr>
        <w:t>días hábiles, debiendo informar a este Instituto en un plazo de tres días hábiles siguientes sobre el cumplimiento dado a la presente resolución.</w:t>
      </w:r>
    </w:p>
    <w:p w14:paraId="66BD9E0A" w14:textId="77777777" w:rsidR="00087C70" w:rsidRDefault="00087C70" w:rsidP="00087C70">
      <w:pPr>
        <w:autoSpaceDE w:val="0"/>
        <w:autoSpaceDN w:val="0"/>
        <w:adjustRightInd w:val="0"/>
        <w:spacing w:before="240" w:line="360" w:lineRule="auto"/>
        <w:jc w:val="both"/>
        <w:rPr>
          <w:rFonts w:ascii="Palatino Linotype" w:hAnsi="Palatino Linotype" w:cs="Arial"/>
          <w:sz w:val="24"/>
          <w:szCs w:val="24"/>
        </w:rPr>
      </w:pPr>
    </w:p>
    <w:p w14:paraId="1364E64A" w14:textId="77777777" w:rsidR="00087C70" w:rsidRDefault="00087C70" w:rsidP="00087C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35E4">
        <w:rPr>
          <w:rFonts w:ascii="Palatino Linotype" w:eastAsia="Times New Roman" w:hAnsi="Palatino Linotype" w:cs="Arial"/>
          <w:b/>
          <w:sz w:val="28"/>
          <w:szCs w:val="28"/>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A7293B5" w14:textId="77777777" w:rsidR="00880AB5" w:rsidRDefault="00880AB5" w:rsidP="00087C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C0C7B3E" w14:textId="77777777" w:rsidR="00087C70" w:rsidRPr="00F77047" w:rsidRDefault="00087C70" w:rsidP="00087C70">
      <w:pPr>
        <w:spacing w:after="0" w:line="360" w:lineRule="auto"/>
        <w:jc w:val="both"/>
        <w:rPr>
          <w:rFonts w:ascii="Palatino Linotype" w:eastAsia="Times New Roman" w:hAnsi="Palatino Linotype" w:cs="Arial"/>
          <w:b/>
          <w:sz w:val="18"/>
          <w:szCs w:val="24"/>
          <w:lang w:eastAsia="es-ES"/>
        </w:rPr>
      </w:pPr>
    </w:p>
    <w:p w14:paraId="15E0CA00" w14:textId="3186A33E" w:rsidR="00087C70" w:rsidRDefault="00087C70" w:rsidP="00087C70">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3535E4">
        <w:rPr>
          <w:rFonts w:ascii="Palatino Linotype" w:eastAsia="Times New Roman" w:hAnsi="Palatino Linotype" w:cs="Arial"/>
          <w:b/>
          <w:sz w:val="28"/>
          <w:szCs w:val="28"/>
          <w:lang w:eastAsia="es-ES"/>
        </w:rPr>
        <w:t>QUINTO.</w:t>
      </w:r>
      <w:r w:rsidRPr="008B7EDA">
        <w:rPr>
          <w:rFonts w:ascii="Palatino Linotype" w:eastAsia="Times New Roman" w:hAnsi="Palatino Linotype" w:cs="Arial"/>
          <w:b/>
          <w:sz w:val="24"/>
          <w:szCs w:val="24"/>
          <w:lang w:eastAsia="es-ES"/>
        </w:rPr>
        <w:t xml:space="preserve"> NOTIFÍQUESE </w:t>
      </w:r>
      <w:r>
        <w:rPr>
          <w:rFonts w:ascii="Palatino Linotype" w:eastAsia="Times New Roman" w:hAnsi="Palatino Linotype" w:cs="Arial"/>
          <w:sz w:val="24"/>
          <w:szCs w:val="24"/>
          <w:lang w:eastAsia="es-ES"/>
        </w:rPr>
        <w:t xml:space="preserve">la presente resolución </w:t>
      </w:r>
      <w:r w:rsidR="00D3317B">
        <w:rPr>
          <w:rFonts w:ascii="Palatino Linotype" w:eastAsia="Times New Roman" w:hAnsi="Palatino Linotype" w:cs="Arial"/>
          <w:sz w:val="24"/>
          <w:szCs w:val="24"/>
          <w:lang w:eastAsia="es-ES"/>
        </w:rPr>
        <w:t>al</w:t>
      </w:r>
      <w:r>
        <w:rPr>
          <w:rFonts w:ascii="Palatino Linotype" w:eastAsia="Times New Roman" w:hAnsi="Palatino Linotype" w:cs="Arial"/>
          <w:sz w:val="24"/>
          <w:szCs w:val="24"/>
          <w:lang w:eastAsia="es-ES"/>
        </w:rPr>
        <w:t xml:space="preserve"> </w:t>
      </w:r>
      <w:r w:rsidRPr="008B7EDA">
        <w:rPr>
          <w:rFonts w:ascii="Palatino Linotype" w:eastAsia="Times New Roman" w:hAnsi="Palatino Linotype" w:cs="Arial"/>
          <w:b/>
          <w:sz w:val="24"/>
          <w:szCs w:val="24"/>
          <w:lang w:eastAsia="es-ES"/>
        </w:rPr>
        <w:t>RECURRENTE</w:t>
      </w:r>
      <w:r w:rsidRPr="008B7EDA">
        <w:rPr>
          <w:rFonts w:ascii="Palatino Linotype" w:eastAsia="Times New Roman" w:hAnsi="Palatino Linotype" w:cs="Arial"/>
          <w:sz w:val="24"/>
          <w:szCs w:val="24"/>
          <w:lang w:eastAsia="es-ES"/>
        </w:rPr>
        <w:t xml:space="preserve"> </w:t>
      </w:r>
      <w:r>
        <w:rPr>
          <w:rFonts w:ascii="Palatino Linotype" w:eastAsia="Times New Roman" w:hAnsi="Palatino Linotype" w:cs="Arial"/>
          <w:sz w:val="24"/>
          <w:szCs w:val="24"/>
          <w:lang w:eastAsia="es-ES"/>
        </w:rPr>
        <w:t xml:space="preserve">vía </w:t>
      </w:r>
      <w:r>
        <w:rPr>
          <w:rFonts w:ascii="Palatino Linotype" w:hAnsi="Palatino Linotype" w:cs="Arial"/>
        </w:rPr>
        <w:t>Sistema de Acceso a la Información Mexiquense (</w:t>
      </w:r>
      <w:r w:rsidRPr="001C7462">
        <w:rPr>
          <w:rFonts w:ascii="Palatino Linotype" w:hAnsi="Palatino Linotype" w:cs="Arial"/>
          <w:b/>
        </w:rPr>
        <w:t>SAIMEX</w:t>
      </w:r>
      <w:r>
        <w:rPr>
          <w:rFonts w:ascii="Palatino Linotype" w:hAnsi="Palatino Linotype" w:cs="Arial"/>
          <w:b/>
        </w:rPr>
        <w:t>)</w:t>
      </w:r>
      <w:r>
        <w:rPr>
          <w:rFonts w:ascii="Palatino Linotype" w:hAnsi="Palatino Linotype" w:cs="Arial"/>
        </w:rPr>
        <w:t xml:space="preserve"> </w:t>
      </w:r>
      <w:r w:rsidRPr="008B7EDA">
        <w:rPr>
          <w:rFonts w:ascii="Palatino Linotype" w:eastAsia="Times New Roman" w:hAnsi="Palatino Linotype" w:cs="Arial"/>
          <w:sz w:val="24"/>
          <w:szCs w:val="24"/>
          <w:lang w:eastAsia="es-ES"/>
        </w:rPr>
        <w:t xml:space="preserve">y hágase de su conocimiento que, </w:t>
      </w:r>
      <w:r w:rsidRPr="008B7EDA">
        <w:rPr>
          <w:rFonts w:ascii="Palatino Linotype" w:eastAsia="Times New Roman" w:hAnsi="Palatino Linotype" w:cs="Times New Roman"/>
          <w:color w:val="222222"/>
          <w:sz w:val="24"/>
          <w:szCs w:val="24"/>
          <w:shd w:val="clear" w:color="auto" w:fill="FFFFFF"/>
          <w:lang w:eastAsia="es-ES"/>
        </w:rPr>
        <w:t xml:space="preserve">de conformidad con lo establecido en el artículo 196, de la Ley de Transparencia y Acceso </w:t>
      </w:r>
      <w:r w:rsidRPr="008B7EDA">
        <w:rPr>
          <w:rFonts w:ascii="Palatino Linotype" w:eastAsia="Times New Roman" w:hAnsi="Palatino Linotype" w:cs="Times New Roman"/>
          <w:color w:val="222222"/>
          <w:sz w:val="24"/>
          <w:szCs w:val="24"/>
          <w:shd w:val="clear" w:color="auto" w:fill="FFFFFF"/>
          <w:lang w:eastAsia="es-ES"/>
        </w:rPr>
        <w:lastRenderedPageBreak/>
        <w:t>a la Información Pública del Estado de México y Municipios, podrá promover el Juicio de Amparo en los términos de las leyes aplicables.</w:t>
      </w:r>
    </w:p>
    <w:p w14:paraId="4223F424" w14:textId="77777777" w:rsidR="0055431E" w:rsidRDefault="0055431E" w:rsidP="00114AFA">
      <w:pPr>
        <w:spacing w:after="0" w:line="360" w:lineRule="auto"/>
        <w:jc w:val="both"/>
        <w:rPr>
          <w:rFonts w:ascii="Palatino Linotype" w:eastAsia="Times New Roman" w:hAnsi="Palatino Linotype" w:cs="Times New Roman"/>
          <w:color w:val="222222"/>
          <w:szCs w:val="24"/>
          <w:shd w:val="clear" w:color="auto" w:fill="FFFFFF"/>
          <w:lang w:eastAsia="es-ES"/>
        </w:rPr>
      </w:pPr>
    </w:p>
    <w:p w14:paraId="4877049E" w14:textId="77777777" w:rsidR="00087C70" w:rsidRDefault="00087C70" w:rsidP="00114AFA">
      <w:pPr>
        <w:spacing w:after="0" w:line="360" w:lineRule="auto"/>
        <w:jc w:val="both"/>
        <w:rPr>
          <w:rFonts w:ascii="Palatino Linotype" w:eastAsia="Times New Roman" w:hAnsi="Palatino Linotype" w:cs="Times New Roman"/>
          <w:color w:val="222222"/>
          <w:szCs w:val="24"/>
          <w:shd w:val="clear" w:color="auto" w:fill="FFFFFF"/>
          <w:lang w:eastAsia="es-ES"/>
        </w:rPr>
      </w:pPr>
    </w:p>
    <w:p w14:paraId="42AE3C04" w14:textId="0A083AC1" w:rsidR="001C5C10" w:rsidRDefault="001C5C10" w:rsidP="001C5C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(AUSENCIA JUSTIFICADA), LUIS GUSTAVO PARRA NORIEGA Y GUADALUPE RAMÍREZ PEÑA; EN</w:t>
      </w:r>
      <w:r w:rsidRPr="00272CE0">
        <w:rPr>
          <w:rFonts w:ascii="Palatino Linotype" w:hAnsi="Palatino Linotype" w:cs="Arial"/>
        </w:rPr>
        <w:t xml:space="preserve"> LA </w:t>
      </w:r>
      <w:r w:rsidR="005D4A6E">
        <w:rPr>
          <w:rFonts w:ascii="Palatino Linotype" w:hAnsi="Palatino Linotype" w:cs="Arial"/>
        </w:rPr>
        <w:t xml:space="preserve">SÉPTIMA </w:t>
      </w:r>
      <w:r>
        <w:rPr>
          <w:rFonts w:ascii="Palatino Linotype" w:hAnsi="Palatino Linotype" w:cs="Arial"/>
        </w:rPr>
        <w:t xml:space="preserve">SESIÓN ORDINARIA CELEBRADA EL </w:t>
      </w:r>
      <w:r w:rsidR="005D4A6E">
        <w:rPr>
          <w:rFonts w:ascii="Palatino Linotype" w:hAnsi="Palatino Linotype" w:cs="Arial"/>
        </w:rPr>
        <w:t>VEINTITRÉS DE FEBRERO DE</w:t>
      </w:r>
      <w:r>
        <w:rPr>
          <w:rFonts w:ascii="Palatino Linotype" w:hAnsi="Palatino Linotype" w:cs="Arial"/>
        </w:rPr>
        <w:t xml:space="preserve"> DOS MIL VEINTIDÓS, ANTE EL SECRETARIO TÉCNICO DEL PLENO, ALEXIS TAPIA RAMÍREZ. </w:t>
      </w:r>
    </w:p>
    <w:p w14:paraId="6885B035" w14:textId="216D1948" w:rsidR="00A55414" w:rsidRPr="00280B8B" w:rsidRDefault="00A55414" w:rsidP="00A55414">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530B370" w14:textId="2E233D8F" w:rsidR="00C22506" w:rsidRDefault="001C5C10" w:rsidP="00C22506">
      <w:pPr>
        <w:spacing w:after="0" w:line="360" w:lineRule="auto"/>
        <w:jc w:val="both"/>
        <w:rPr>
          <w:rFonts w:ascii="Palatino Linotype" w:hAnsi="Palatino Linotype" w:cs="Arial"/>
          <w:sz w:val="16"/>
          <w:szCs w:val="16"/>
          <w:lang w:val="es-ES"/>
        </w:rPr>
      </w:pPr>
      <w:r>
        <w:rPr>
          <w:rFonts w:ascii="Palatino Linotype" w:hAnsi="Palatino Linotype" w:cs="Arial"/>
          <w:noProof/>
          <w:sz w:val="16"/>
          <w:szCs w:val="16"/>
          <w:lang w:eastAsia="es-MX"/>
        </w:rPr>
        <mc:AlternateContent>
          <mc:Choice Requires="wps">
            <w:drawing>
              <wp:anchor distT="0" distB="0" distL="114300" distR="114300" simplePos="0" relativeHeight="251793408" behindDoc="0" locked="0" layoutInCell="1" allowOverlap="1" wp14:anchorId="18FD639B" wp14:editId="47AC2B47">
                <wp:simplePos x="0" y="0"/>
                <wp:positionH relativeFrom="column">
                  <wp:posOffset>-70201</wp:posOffset>
                </wp:positionH>
                <wp:positionV relativeFrom="paragraph">
                  <wp:posOffset>108064</wp:posOffset>
                </wp:positionV>
                <wp:extent cx="6114197" cy="2183642"/>
                <wp:effectExtent l="0" t="0" r="20320" b="26670"/>
                <wp:wrapNone/>
                <wp:docPr id="15" name="Conector recto 15"/>
                <wp:cNvGraphicFramePr/>
                <a:graphic xmlns:a="http://schemas.openxmlformats.org/drawingml/2006/main">
                  <a:graphicData uri="http://schemas.microsoft.com/office/word/2010/wordprocessingShape">
                    <wps:wsp>
                      <wps:cNvCnPr/>
                      <wps:spPr>
                        <a:xfrm>
                          <a:off x="0" y="0"/>
                          <a:ext cx="6114197" cy="21836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463B1" id="Conector recto 15"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8.5pt" to="475.9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3ougEAAMcDAAAOAAAAZHJzL2Uyb0RvYy54bWysU9uO0zAQfUfiHyy/0yRlKbtR033oCl4Q&#10;VFw+wOuMG0u+aWya9O8ZO20WARJixYtvM2dmzpnx9n6yhp0Ao/au482q5gyc9L12x45/+/ru1S1n&#10;MQnXC+MddPwMkd/vXr7YjqGFtR+86QEZBXGxHUPHh5RCW1VRDmBFXPkAjozKoxWJrnisehQjRbem&#10;Wtf1pho99gG9hBjp9WE28l2JrxTI9EmpCImZjlNtqaxY1se8VrutaI8owqDlpQzxjCqs0I6SLqEe&#10;RBLsO+rfQlkt0Uev0kp6W3mltITCgdg09S9svgwiQOFC4sSwyBT/X1j58XRApnvq3RvOnLDUoz11&#10;SiaPDPPGyEAqjSG25Lx3B7zcYjhgpjwptHknMmwqyp4XZWFKTNLjpmlumru3nEmyrZvb15ubdY5a&#10;PcEDxvQevGX50HGjXaYuWnH6ENPsenUhXC5nLqCc0tlAdjbuMyiiQymbgi6DBHuD7CRoBISU4FJz&#10;SV28M0xpYxZg/XfgxT9DoQzZv4AXRMnsXVrAVjuPf8qepmvJava/KjDzzhI8+v5cWlOkoWkp4l4m&#10;O4/jz/cCf/p/ux8AAAD//wMAUEsDBBQABgAIAAAAIQBnQgEA4QAAAAoBAAAPAAAAZHJzL2Rvd25y&#10;ZXYueG1sTI9BS8NAEIXvgv9hGcFbu9mKtY3ZlFIQa0FKq1CP2+yYRLOzIbtt0n/veNLj8B5vvi9b&#10;DK4RZ+xC7UmDGicgkApvayo1vL89jWYgQjRkTeMJNVwwwCK/vspMan1POzzvYyl4hEJqNFQxtqmU&#10;oajQmTD2LRJnn75zJvLZldJ2pudx18hJkkylMzXxh8q0uKqw+N6fnIbXbr1eLTeXL9p+uP4w2Ry2&#10;L8Oz1rc3w/IRRMQh/pXhF5/RIWemoz+RDaLRMFJKcZWDB3biwvxesctRw900mYPMM/lfIf8BAAD/&#10;/wMAUEsBAi0AFAAGAAgAAAAhALaDOJL+AAAA4QEAABMAAAAAAAAAAAAAAAAAAAAAAFtDb250ZW50&#10;X1R5cGVzXS54bWxQSwECLQAUAAYACAAAACEAOP0h/9YAAACUAQAACwAAAAAAAAAAAAAAAAAvAQAA&#10;X3JlbHMvLnJlbHNQSwECLQAUAAYACAAAACEAhlL96LoBAADHAwAADgAAAAAAAAAAAAAAAAAuAgAA&#10;ZHJzL2Uyb0RvYy54bWxQSwECLQAUAAYACAAAACEAZ0IBAOEAAAAKAQAADwAAAAAAAAAAAAAAAAAU&#10;BAAAZHJzL2Rvd25yZXYueG1sUEsFBgAAAAAEAAQA8wAAACIFAAAAAA==&#10;" strokecolor="#5b9bd5 [3204]" strokeweight=".5pt">
                <v:stroke joinstyle="miter"/>
              </v:line>
            </w:pict>
          </mc:Fallback>
        </mc:AlternateContent>
      </w:r>
    </w:p>
    <w:p w14:paraId="4860BEA8" w14:textId="77777777" w:rsidR="00C22506" w:rsidRDefault="00C22506" w:rsidP="00C22506">
      <w:pPr>
        <w:spacing w:after="0" w:line="360" w:lineRule="auto"/>
        <w:jc w:val="both"/>
        <w:rPr>
          <w:rFonts w:ascii="Palatino Linotype" w:hAnsi="Palatino Linotype" w:cs="Arial"/>
          <w:sz w:val="16"/>
          <w:szCs w:val="16"/>
          <w:lang w:val="es-ES"/>
        </w:rPr>
      </w:pPr>
    </w:p>
    <w:p w14:paraId="427F0D3F" w14:textId="77777777" w:rsidR="00C22506" w:rsidRDefault="00C22506" w:rsidP="00C22506">
      <w:pPr>
        <w:spacing w:after="0" w:line="360" w:lineRule="auto"/>
        <w:jc w:val="both"/>
        <w:rPr>
          <w:rFonts w:ascii="Palatino Linotype" w:hAnsi="Palatino Linotype" w:cs="Arial"/>
          <w:sz w:val="16"/>
          <w:szCs w:val="16"/>
          <w:lang w:val="es-ES"/>
        </w:rPr>
      </w:pPr>
    </w:p>
    <w:p w14:paraId="1F2BF80A" w14:textId="77777777" w:rsidR="00C22506" w:rsidRDefault="00C22506" w:rsidP="00C22506">
      <w:pPr>
        <w:spacing w:after="0" w:line="360" w:lineRule="auto"/>
        <w:jc w:val="both"/>
        <w:rPr>
          <w:rFonts w:ascii="Palatino Linotype" w:hAnsi="Palatino Linotype" w:cs="Arial"/>
          <w:sz w:val="16"/>
          <w:szCs w:val="16"/>
          <w:lang w:val="es-ES"/>
        </w:rPr>
      </w:pPr>
    </w:p>
    <w:p w14:paraId="74D75C6A" w14:textId="77777777" w:rsidR="00C22506" w:rsidRDefault="00C22506" w:rsidP="00C22506">
      <w:pPr>
        <w:spacing w:after="0" w:line="360" w:lineRule="auto"/>
        <w:jc w:val="both"/>
        <w:rPr>
          <w:rFonts w:ascii="Palatino Linotype" w:hAnsi="Palatino Linotype" w:cs="Arial"/>
          <w:sz w:val="16"/>
          <w:szCs w:val="16"/>
          <w:lang w:val="es-ES"/>
        </w:rPr>
      </w:pPr>
    </w:p>
    <w:p w14:paraId="0BF50CFB" w14:textId="77777777" w:rsidR="00C22506" w:rsidRDefault="00C22506" w:rsidP="003D066F">
      <w:pPr>
        <w:tabs>
          <w:tab w:val="left" w:pos="5415"/>
        </w:tabs>
        <w:spacing w:before="240" w:line="360" w:lineRule="auto"/>
        <w:ind w:right="51"/>
        <w:jc w:val="both"/>
        <w:rPr>
          <w:rFonts w:ascii="Palatino Linotype" w:hAnsi="Palatino Linotype" w:cs="Arial"/>
          <w:sz w:val="16"/>
          <w:szCs w:val="16"/>
        </w:rPr>
      </w:pPr>
    </w:p>
    <w:p w14:paraId="77E7C2DE" w14:textId="77777777" w:rsidR="0065579B" w:rsidRDefault="0065579B" w:rsidP="003D066F">
      <w:pPr>
        <w:tabs>
          <w:tab w:val="left" w:pos="5415"/>
        </w:tabs>
        <w:spacing w:before="240" w:line="360" w:lineRule="auto"/>
        <w:ind w:right="51"/>
        <w:jc w:val="both"/>
        <w:rPr>
          <w:rFonts w:ascii="Palatino Linotype" w:hAnsi="Palatino Linotype" w:cs="Arial"/>
          <w:sz w:val="16"/>
          <w:szCs w:val="16"/>
        </w:rPr>
      </w:pPr>
    </w:p>
    <w:p w14:paraId="0EEBDB65" w14:textId="77777777" w:rsidR="00C059F4" w:rsidRDefault="00C059F4" w:rsidP="003D066F">
      <w:pPr>
        <w:tabs>
          <w:tab w:val="left" w:pos="5415"/>
        </w:tabs>
        <w:spacing w:before="240" w:line="360" w:lineRule="auto"/>
        <w:ind w:right="51"/>
        <w:jc w:val="both"/>
        <w:rPr>
          <w:rFonts w:ascii="Palatino Linotype" w:hAnsi="Palatino Linotype" w:cs="Arial"/>
          <w:sz w:val="16"/>
          <w:szCs w:val="16"/>
        </w:rPr>
      </w:pPr>
    </w:p>
    <w:p w14:paraId="094C701C" w14:textId="77777777" w:rsidR="00C059F4" w:rsidRDefault="00C059F4" w:rsidP="003D066F">
      <w:pPr>
        <w:tabs>
          <w:tab w:val="left" w:pos="5415"/>
        </w:tabs>
        <w:spacing w:before="240" w:line="360" w:lineRule="auto"/>
        <w:ind w:right="51"/>
        <w:jc w:val="both"/>
        <w:rPr>
          <w:rFonts w:ascii="Palatino Linotype" w:hAnsi="Palatino Linotype" w:cs="Arial"/>
          <w:sz w:val="16"/>
          <w:szCs w:val="16"/>
        </w:rPr>
      </w:pPr>
    </w:p>
    <w:p w14:paraId="10A5D46F" w14:textId="77777777" w:rsidR="00DF0A61" w:rsidRDefault="00DF0A61" w:rsidP="003D066F">
      <w:pPr>
        <w:tabs>
          <w:tab w:val="left" w:pos="5415"/>
        </w:tabs>
        <w:spacing w:before="240" w:line="360" w:lineRule="auto"/>
        <w:ind w:right="51"/>
        <w:jc w:val="both"/>
        <w:rPr>
          <w:rFonts w:ascii="Palatino Linotype" w:hAnsi="Palatino Linotype" w:cs="Arial"/>
          <w:sz w:val="16"/>
          <w:szCs w:val="16"/>
        </w:rPr>
      </w:pPr>
    </w:p>
    <w:p w14:paraId="44D358C0" w14:textId="77777777" w:rsidR="00DF0A61" w:rsidRDefault="00DF0A61" w:rsidP="003D066F">
      <w:pPr>
        <w:tabs>
          <w:tab w:val="left" w:pos="5415"/>
        </w:tabs>
        <w:spacing w:before="240" w:line="360" w:lineRule="auto"/>
        <w:ind w:right="51"/>
        <w:jc w:val="both"/>
        <w:rPr>
          <w:rFonts w:ascii="Palatino Linotype" w:hAnsi="Palatino Linotype" w:cs="Arial"/>
          <w:bCs/>
          <w:sz w:val="16"/>
          <w:szCs w:val="16"/>
          <w:lang w:eastAsia="es-MX"/>
        </w:rPr>
      </w:pPr>
    </w:p>
    <w:p w14:paraId="46D0EADA"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57CE927F"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2AD70228"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157A8137"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17BBD5CD"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1C05E381"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28F59106"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6FC95FC1"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1B6B6162"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0183A03B"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sectPr w:rsidR="00BA2D85"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1D913" w14:textId="77777777" w:rsidR="003C7DC4" w:rsidRDefault="003C7DC4" w:rsidP="006168E4">
      <w:pPr>
        <w:spacing w:after="0" w:line="240" w:lineRule="auto"/>
      </w:pPr>
      <w:r>
        <w:separator/>
      </w:r>
    </w:p>
  </w:endnote>
  <w:endnote w:type="continuationSeparator" w:id="0">
    <w:p w14:paraId="2EBAFCCC" w14:textId="77777777" w:rsidR="003C7DC4" w:rsidRDefault="003C7DC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5A3D7E" w:rsidRPr="000B69FA" w:rsidRDefault="005A3D7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76DC">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676DC">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5A3D7E" w:rsidRPr="000B69FA" w:rsidRDefault="005A3D7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76D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676DC">
      <w:rPr>
        <w:rFonts w:ascii="Palatino Linotype" w:hAnsi="Palatino Linotype"/>
        <w:bCs/>
        <w:noProof/>
        <w:sz w:val="20"/>
      </w:rPr>
      <w:t>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A0450" w14:textId="77777777" w:rsidR="003C7DC4" w:rsidRDefault="003C7DC4" w:rsidP="006168E4">
      <w:pPr>
        <w:spacing w:after="0" w:line="240" w:lineRule="auto"/>
      </w:pPr>
      <w:r>
        <w:separator/>
      </w:r>
    </w:p>
  </w:footnote>
  <w:footnote w:type="continuationSeparator" w:id="0">
    <w:p w14:paraId="03B8DC75" w14:textId="77777777" w:rsidR="003C7DC4" w:rsidRDefault="003C7DC4" w:rsidP="006168E4">
      <w:pPr>
        <w:spacing w:after="0" w:line="240" w:lineRule="auto"/>
      </w:pPr>
      <w:r>
        <w:continuationSeparator/>
      </w:r>
    </w:p>
  </w:footnote>
  <w:footnote w:id="1">
    <w:p w14:paraId="462E50DF" w14:textId="77777777" w:rsidR="00864C69" w:rsidRPr="00034B44" w:rsidRDefault="00864C69" w:rsidP="00864C6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9C9EAB8" w:rsidR="005A3D7E" w:rsidRDefault="005A3D7E">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7F6238D" wp14:editId="71618F3E">
          <wp:simplePos x="0" y="0"/>
          <wp:positionH relativeFrom="page">
            <wp:posOffset>29210</wp:posOffset>
          </wp:positionH>
          <wp:positionV relativeFrom="page">
            <wp:posOffset>19685</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A3D7E" w14:paraId="17981A04" w14:textId="77777777" w:rsidTr="001110EA">
      <w:trPr>
        <w:trHeight w:val="227"/>
      </w:trPr>
      <w:tc>
        <w:tcPr>
          <w:tcW w:w="5529" w:type="dxa"/>
          <w:hideMark/>
        </w:tcPr>
        <w:p w14:paraId="0E414BC5" w14:textId="6CE57517" w:rsidR="005A3D7E" w:rsidRDefault="005A3D7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48FAB16" w:rsidR="005A3D7E" w:rsidRPr="00B4142F" w:rsidRDefault="005A3D7E" w:rsidP="00925CD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00290/INFOEM/IP/RR/2022 y acumulado </w:t>
          </w:r>
        </w:p>
      </w:tc>
    </w:tr>
    <w:tr w:rsidR="005A3D7E" w14:paraId="637042F0" w14:textId="77777777" w:rsidTr="001110EA">
      <w:trPr>
        <w:trHeight w:val="242"/>
      </w:trPr>
      <w:tc>
        <w:tcPr>
          <w:tcW w:w="5529" w:type="dxa"/>
          <w:hideMark/>
        </w:tcPr>
        <w:p w14:paraId="412AD568" w14:textId="582E7AD7" w:rsidR="005A3D7E" w:rsidRDefault="005A3D7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56E0A38" w:rsidR="005A3D7E" w:rsidRPr="00F06FED" w:rsidRDefault="00B22205" w:rsidP="008277B8">
          <w:pPr>
            <w:spacing w:after="120" w:line="256" w:lineRule="auto"/>
            <w:ind w:left="639" w:right="214"/>
            <w:jc w:val="both"/>
            <w:rPr>
              <w:rFonts w:ascii="Palatino Linotype" w:hAnsi="Palatino Linotype" w:cs="Arial"/>
            </w:rPr>
          </w:pPr>
          <w:r>
            <w:rPr>
              <w:rFonts w:ascii="Palatino Linotype" w:hAnsi="Palatino Linotype" w:cs="Arial"/>
              <w:szCs w:val="20"/>
            </w:rPr>
            <w:t>Comisión de Conciliación y Arbitraje Médico del Estado de México</w:t>
          </w:r>
        </w:p>
      </w:tc>
    </w:tr>
    <w:tr w:rsidR="005A3D7E" w14:paraId="21BFE746" w14:textId="77777777" w:rsidTr="001110EA">
      <w:trPr>
        <w:trHeight w:val="342"/>
      </w:trPr>
      <w:tc>
        <w:tcPr>
          <w:tcW w:w="5529" w:type="dxa"/>
          <w:hideMark/>
        </w:tcPr>
        <w:p w14:paraId="64C4E314" w14:textId="13242FCE" w:rsidR="005A3D7E" w:rsidRDefault="005A3D7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7B19E02" w:rsidR="005A3D7E" w:rsidRDefault="005A3D7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5A3D7E" w:rsidRDefault="005A3D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A3D7E" w14:paraId="385FD437" w14:textId="77777777" w:rsidTr="001110EA">
      <w:trPr>
        <w:trHeight w:val="227"/>
      </w:trPr>
      <w:tc>
        <w:tcPr>
          <w:tcW w:w="5529" w:type="dxa"/>
          <w:hideMark/>
        </w:tcPr>
        <w:p w14:paraId="272860E8" w14:textId="3BD16B07" w:rsidR="005A3D7E" w:rsidRDefault="005A3D7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9C6F428" w:rsidR="005A3D7E" w:rsidRPr="00B4142F" w:rsidRDefault="005A3D7E" w:rsidP="00925CD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00290/INFOEM/IP/RR/2022 y acumulado</w:t>
          </w:r>
        </w:p>
      </w:tc>
    </w:tr>
    <w:tr w:rsidR="005A3D7E" w14:paraId="33FC5097" w14:textId="77777777" w:rsidTr="001110EA">
      <w:trPr>
        <w:trHeight w:val="196"/>
      </w:trPr>
      <w:tc>
        <w:tcPr>
          <w:tcW w:w="5529" w:type="dxa"/>
          <w:hideMark/>
        </w:tcPr>
        <w:p w14:paraId="4F5D01E5" w14:textId="77777777" w:rsidR="005A3D7E" w:rsidRDefault="005A3D7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FAAA575" w:rsidR="005A3D7E" w:rsidRPr="00F06FED" w:rsidRDefault="00F676DC" w:rsidP="002C63C1">
          <w:pPr>
            <w:spacing w:after="120" w:line="256" w:lineRule="auto"/>
            <w:ind w:left="639" w:right="214"/>
            <w:jc w:val="both"/>
            <w:rPr>
              <w:rFonts w:ascii="Palatino Linotype" w:hAnsi="Palatino Linotype" w:cs="Arial"/>
            </w:rPr>
          </w:pPr>
          <w:r>
            <w:rPr>
              <w:rFonts w:ascii="Palatino Linotype" w:hAnsi="Palatino Linotype" w:cs="Arial"/>
            </w:rPr>
            <w:t>xxxx</w:t>
          </w:r>
        </w:p>
      </w:tc>
    </w:tr>
    <w:tr w:rsidR="005A3D7E" w14:paraId="178280DE" w14:textId="77777777" w:rsidTr="001110EA">
      <w:trPr>
        <w:trHeight w:val="242"/>
      </w:trPr>
      <w:tc>
        <w:tcPr>
          <w:tcW w:w="5529" w:type="dxa"/>
          <w:hideMark/>
        </w:tcPr>
        <w:p w14:paraId="71AC708B" w14:textId="77777777" w:rsidR="005A3D7E" w:rsidRDefault="005A3D7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A97A845" w:rsidR="005A3D7E" w:rsidRDefault="005A3D7E" w:rsidP="008277B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Comisión de Conciliación y Arbitraje Médico del Estado de México </w:t>
          </w:r>
        </w:p>
      </w:tc>
    </w:tr>
    <w:tr w:rsidR="005A3D7E" w14:paraId="0518978B" w14:textId="77777777" w:rsidTr="001110EA">
      <w:trPr>
        <w:trHeight w:val="342"/>
      </w:trPr>
      <w:tc>
        <w:tcPr>
          <w:tcW w:w="5529" w:type="dxa"/>
          <w:hideMark/>
        </w:tcPr>
        <w:p w14:paraId="04968A43" w14:textId="0F3AF811" w:rsidR="005A3D7E" w:rsidRDefault="005A3D7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01050517" w:rsidR="005A3D7E" w:rsidRDefault="005A3D7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6C03CB13" w:rsidR="005A3D7E" w:rsidRDefault="005A3D7E" w:rsidP="002C63C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84446C8" wp14:editId="5B91E6EB">
          <wp:simplePos x="0" y="0"/>
          <wp:positionH relativeFrom="page">
            <wp:posOffset>67310</wp:posOffset>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E93DDC"/>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A754F7C"/>
    <w:multiLevelType w:val="hybridMultilevel"/>
    <w:tmpl w:val="2E84E6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0B4B67AE"/>
    <w:multiLevelType w:val="hybridMultilevel"/>
    <w:tmpl w:val="5F18A0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A154A0"/>
    <w:multiLevelType w:val="hybridMultilevel"/>
    <w:tmpl w:val="DF6CD8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640823"/>
    <w:multiLevelType w:val="hybridMultilevel"/>
    <w:tmpl w:val="CC9AB47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80C2B2E"/>
    <w:multiLevelType w:val="hybridMultilevel"/>
    <w:tmpl w:val="308247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3">
    <w:nsid w:val="2467330B"/>
    <w:multiLevelType w:val="hybridMultilevel"/>
    <w:tmpl w:val="EB2CA682"/>
    <w:lvl w:ilvl="0" w:tplc="4FD078A6">
      <w:start w:val="8"/>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26234D0D"/>
    <w:multiLevelType w:val="hybridMultilevel"/>
    <w:tmpl w:val="5EB498E8"/>
    <w:lvl w:ilvl="0" w:tplc="8E082A2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C863BAA"/>
    <w:multiLevelType w:val="hybridMultilevel"/>
    <w:tmpl w:val="978A21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EF5DC1"/>
    <w:multiLevelType w:val="hybridMultilevel"/>
    <w:tmpl w:val="E74283E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2ED674EF"/>
    <w:multiLevelType w:val="hybridMultilevel"/>
    <w:tmpl w:val="A800A98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064865"/>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F17853"/>
    <w:multiLevelType w:val="hybridMultilevel"/>
    <w:tmpl w:val="C37ACA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C3C1953"/>
    <w:multiLevelType w:val="hybridMultilevel"/>
    <w:tmpl w:val="0A628B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E0A46DE"/>
    <w:multiLevelType w:val="hybridMultilevel"/>
    <w:tmpl w:val="EF9CBF40"/>
    <w:lvl w:ilvl="0" w:tplc="D9F29CB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40071C19"/>
    <w:multiLevelType w:val="hybridMultilevel"/>
    <w:tmpl w:val="5C268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098568C"/>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A12520F"/>
    <w:multiLevelType w:val="hybridMultilevel"/>
    <w:tmpl w:val="1ABE34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4EDF1595"/>
    <w:multiLevelType w:val="hybridMultilevel"/>
    <w:tmpl w:val="1ABE34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54017591"/>
    <w:multiLevelType w:val="hybridMultilevel"/>
    <w:tmpl w:val="C1B863F4"/>
    <w:lvl w:ilvl="0" w:tplc="D2082E3A">
      <w:start w:val="8"/>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55B25EFF"/>
    <w:multiLevelType w:val="hybridMultilevel"/>
    <w:tmpl w:val="1ABE34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6B7E2D"/>
    <w:multiLevelType w:val="hybridMultilevel"/>
    <w:tmpl w:val="A9CC8932"/>
    <w:lvl w:ilvl="0" w:tplc="D9F29CB0">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E25985"/>
    <w:multiLevelType w:val="hybridMultilevel"/>
    <w:tmpl w:val="24BEDC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CEC04DB"/>
    <w:multiLevelType w:val="hybridMultilevel"/>
    <w:tmpl w:val="89DAF1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F187574"/>
    <w:multiLevelType w:val="hybridMultilevel"/>
    <w:tmpl w:val="15C230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47368FC"/>
    <w:multiLevelType w:val="hybridMultilevel"/>
    <w:tmpl w:val="C684701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48579A"/>
    <w:multiLevelType w:val="hybridMultilevel"/>
    <w:tmpl w:val="A2B2080E"/>
    <w:lvl w:ilvl="0" w:tplc="C9E27218">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C6E7BB9"/>
    <w:multiLevelType w:val="hybridMultilevel"/>
    <w:tmpl w:val="95266F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D615EFF"/>
    <w:multiLevelType w:val="hybridMultilevel"/>
    <w:tmpl w:val="5E0A3C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17200CF"/>
    <w:multiLevelType w:val="hybridMultilevel"/>
    <w:tmpl w:val="8C5E74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51B635D"/>
    <w:multiLevelType w:val="hybridMultilevel"/>
    <w:tmpl w:val="74648F4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C23D6E"/>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0"/>
  </w:num>
  <w:num w:numId="3">
    <w:abstractNumId w:val="43"/>
  </w:num>
  <w:num w:numId="4">
    <w:abstractNumId w:val="2"/>
  </w:num>
  <w:num w:numId="5">
    <w:abstractNumId w:val="36"/>
  </w:num>
  <w:num w:numId="6">
    <w:abstractNumId w:val="3"/>
  </w:num>
  <w:num w:numId="7">
    <w:abstractNumId w:val="44"/>
  </w:num>
  <w:num w:numId="8">
    <w:abstractNumId w:val="9"/>
  </w:num>
  <w:num w:numId="9">
    <w:abstractNumId w:val="11"/>
  </w:num>
  <w:num w:numId="10">
    <w:abstractNumId w:val="33"/>
  </w:num>
  <w:num w:numId="11">
    <w:abstractNumId w:val="18"/>
  </w:num>
  <w:num w:numId="12">
    <w:abstractNumId w:val="7"/>
  </w:num>
  <w:num w:numId="13">
    <w:abstractNumId w:val="23"/>
  </w:num>
  <w:num w:numId="14">
    <w:abstractNumId w:val="45"/>
  </w:num>
  <w:num w:numId="15">
    <w:abstractNumId w:val="10"/>
  </w:num>
  <w:num w:numId="16">
    <w:abstractNumId w:val="1"/>
  </w:num>
  <w:num w:numId="17">
    <w:abstractNumId w:val="39"/>
  </w:num>
  <w:num w:numId="18">
    <w:abstractNumId w:val="31"/>
  </w:num>
  <w:num w:numId="19">
    <w:abstractNumId w:val="5"/>
  </w:num>
  <w:num w:numId="20">
    <w:abstractNumId w:val="14"/>
  </w:num>
  <w:num w:numId="21">
    <w:abstractNumId w:val="27"/>
  </w:num>
  <w:num w:numId="22">
    <w:abstractNumId w:val="12"/>
  </w:num>
  <w:num w:numId="23">
    <w:abstractNumId w:val="41"/>
  </w:num>
  <w:num w:numId="24">
    <w:abstractNumId w:val="15"/>
  </w:num>
  <w:num w:numId="25">
    <w:abstractNumId w:val="19"/>
  </w:num>
  <w:num w:numId="26">
    <w:abstractNumId w:val="34"/>
  </w:num>
  <w:num w:numId="27">
    <w:abstractNumId w:val="40"/>
  </w:num>
  <w:num w:numId="28">
    <w:abstractNumId w:val="22"/>
  </w:num>
  <w:num w:numId="29">
    <w:abstractNumId w:val="37"/>
  </w:num>
  <w:num w:numId="30">
    <w:abstractNumId w:val="21"/>
  </w:num>
  <w:num w:numId="31">
    <w:abstractNumId w:val="30"/>
  </w:num>
  <w:num w:numId="32">
    <w:abstractNumId w:val="17"/>
  </w:num>
  <w:num w:numId="33">
    <w:abstractNumId w:val="32"/>
  </w:num>
  <w:num w:numId="34">
    <w:abstractNumId w:val="38"/>
  </w:num>
  <w:num w:numId="35">
    <w:abstractNumId w:val="24"/>
  </w:num>
  <w:num w:numId="36">
    <w:abstractNumId w:val="20"/>
  </w:num>
  <w:num w:numId="37">
    <w:abstractNumId w:val="4"/>
  </w:num>
  <w:num w:numId="38">
    <w:abstractNumId w:val="16"/>
  </w:num>
  <w:num w:numId="39">
    <w:abstractNumId w:val="35"/>
  </w:num>
  <w:num w:numId="40">
    <w:abstractNumId w:val="6"/>
  </w:num>
  <w:num w:numId="41">
    <w:abstractNumId w:val="29"/>
  </w:num>
  <w:num w:numId="42">
    <w:abstractNumId w:val="8"/>
  </w:num>
  <w:num w:numId="43">
    <w:abstractNumId w:val="28"/>
  </w:num>
  <w:num w:numId="44">
    <w:abstractNumId w:val="13"/>
  </w:num>
  <w:num w:numId="45">
    <w:abstractNumId w:val="26"/>
  </w:num>
  <w:num w:numId="46">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07DBA"/>
    <w:rsid w:val="00010873"/>
    <w:rsid w:val="0001248F"/>
    <w:rsid w:val="00012E56"/>
    <w:rsid w:val="00013269"/>
    <w:rsid w:val="0001366A"/>
    <w:rsid w:val="00013C75"/>
    <w:rsid w:val="000143F3"/>
    <w:rsid w:val="000171B7"/>
    <w:rsid w:val="00020E74"/>
    <w:rsid w:val="00022B40"/>
    <w:rsid w:val="00022F87"/>
    <w:rsid w:val="000240C8"/>
    <w:rsid w:val="0002560B"/>
    <w:rsid w:val="000306A7"/>
    <w:rsid w:val="00031915"/>
    <w:rsid w:val="00031B3B"/>
    <w:rsid w:val="00032896"/>
    <w:rsid w:val="000329BE"/>
    <w:rsid w:val="0004186E"/>
    <w:rsid w:val="000451BE"/>
    <w:rsid w:val="00045379"/>
    <w:rsid w:val="00045CB8"/>
    <w:rsid w:val="000508FA"/>
    <w:rsid w:val="0005171D"/>
    <w:rsid w:val="00054196"/>
    <w:rsid w:val="00055224"/>
    <w:rsid w:val="00055D33"/>
    <w:rsid w:val="00056380"/>
    <w:rsid w:val="000567C5"/>
    <w:rsid w:val="00061821"/>
    <w:rsid w:val="000623F9"/>
    <w:rsid w:val="00063A10"/>
    <w:rsid w:val="00063F09"/>
    <w:rsid w:val="00064EA6"/>
    <w:rsid w:val="000662F8"/>
    <w:rsid w:val="00067588"/>
    <w:rsid w:val="00070E99"/>
    <w:rsid w:val="00073E78"/>
    <w:rsid w:val="00073FC2"/>
    <w:rsid w:val="00076AE0"/>
    <w:rsid w:val="0007756F"/>
    <w:rsid w:val="0008033D"/>
    <w:rsid w:val="0008151E"/>
    <w:rsid w:val="000821BF"/>
    <w:rsid w:val="0008548C"/>
    <w:rsid w:val="00086AF1"/>
    <w:rsid w:val="00087C70"/>
    <w:rsid w:val="00090174"/>
    <w:rsid w:val="00091552"/>
    <w:rsid w:val="00091C3A"/>
    <w:rsid w:val="000944B9"/>
    <w:rsid w:val="00095659"/>
    <w:rsid w:val="00095CD4"/>
    <w:rsid w:val="0009704F"/>
    <w:rsid w:val="000A0968"/>
    <w:rsid w:val="000A18F1"/>
    <w:rsid w:val="000A2E75"/>
    <w:rsid w:val="000A3486"/>
    <w:rsid w:val="000A46EB"/>
    <w:rsid w:val="000A5195"/>
    <w:rsid w:val="000A5354"/>
    <w:rsid w:val="000A535D"/>
    <w:rsid w:val="000A5980"/>
    <w:rsid w:val="000A627A"/>
    <w:rsid w:val="000A7762"/>
    <w:rsid w:val="000A79DA"/>
    <w:rsid w:val="000B03E0"/>
    <w:rsid w:val="000B2D0E"/>
    <w:rsid w:val="000B4358"/>
    <w:rsid w:val="000B4B51"/>
    <w:rsid w:val="000B5864"/>
    <w:rsid w:val="000B5F4B"/>
    <w:rsid w:val="000B7158"/>
    <w:rsid w:val="000C0B33"/>
    <w:rsid w:val="000C2602"/>
    <w:rsid w:val="000C5B8B"/>
    <w:rsid w:val="000C708E"/>
    <w:rsid w:val="000D1A4E"/>
    <w:rsid w:val="000D1B55"/>
    <w:rsid w:val="000D3C75"/>
    <w:rsid w:val="000D4532"/>
    <w:rsid w:val="000D4A3A"/>
    <w:rsid w:val="000D5800"/>
    <w:rsid w:val="000D7523"/>
    <w:rsid w:val="000E0C4D"/>
    <w:rsid w:val="000E30C2"/>
    <w:rsid w:val="000E3AEA"/>
    <w:rsid w:val="000E6545"/>
    <w:rsid w:val="000E686B"/>
    <w:rsid w:val="000F08C0"/>
    <w:rsid w:val="000F2A5E"/>
    <w:rsid w:val="000F3F8D"/>
    <w:rsid w:val="000F464C"/>
    <w:rsid w:val="000F493A"/>
    <w:rsid w:val="00100742"/>
    <w:rsid w:val="00100C19"/>
    <w:rsid w:val="00106372"/>
    <w:rsid w:val="001110EA"/>
    <w:rsid w:val="00111DCD"/>
    <w:rsid w:val="00112C29"/>
    <w:rsid w:val="00113AF1"/>
    <w:rsid w:val="00114AFA"/>
    <w:rsid w:val="00114CF9"/>
    <w:rsid w:val="00120642"/>
    <w:rsid w:val="001228AB"/>
    <w:rsid w:val="00123324"/>
    <w:rsid w:val="00124855"/>
    <w:rsid w:val="001254F5"/>
    <w:rsid w:val="00127033"/>
    <w:rsid w:val="001358A3"/>
    <w:rsid w:val="00136FAD"/>
    <w:rsid w:val="00140557"/>
    <w:rsid w:val="001408A0"/>
    <w:rsid w:val="001439C9"/>
    <w:rsid w:val="00146F0A"/>
    <w:rsid w:val="00152193"/>
    <w:rsid w:val="00152AB2"/>
    <w:rsid w:val="00152C2B"/>
    <w:rsid w:val="001569AD"/>
    <w:rsid w:val="00160545"/>
    <w:rsid w:val="00161FBE"/>
    <w:rsid w:val="00164B26"/>
    <w:rsid w:val="0016613D"/>
    <w:rsid w:val="0016745C"/>
    <w:rsid w:val="001705AC"/>
    <w:rsid w:val="001710C0"/>
    <w:rsid w:val="00172FBA"/>
    <w:rsid w:val="001733A0"/>
    <w:rsid w:val="00175897"/>
    <w:rsid w:val="00180B9F"/>
    <w:rsid w:val="00181CC5"/>
    <w:rsid w:val="001829BE"/>
    <w:rsid w:val="00184E8E"/>
    <w:rsid w:val="001854E1"/>
    <w:rsid w:val="0018577F"/>
    <w:rsid w:val="00192041"/>
    <w:rsid w:val="00193784"/>
    <w:rsid w:val="00194549"/>
    <w:rsid w:val="00194676"/>
    <w:rsid w:val="00196DCE"/>
    <w:rsid w:val="001A02EC"/>
    <w:rsid w:val="001A1756"/>
    <w:rsid w:val="001A30F5"/>
    <w:rsid w:val="001A4643"/>
    <w:rsid w:val="001A5630"/>
    <w:rsid w:val="001A577E"/>
    <w:rsid w:val="001A7C9B"/>
    <w:rsid w:val="001B05B9"/>
    <w:rsid w:val="001B06B2"/>
    <w:rsid w:val="001B32C3"/>
    <w:rsid w:val="001B6494"/>
    <w:rsid w:val="001B7B88"/>
    <w:rsid w:val="001B7FA2"/>
    <w:rsid w:val="001C0663"/>
    <w:rsid w:val="001C1CAF"/>
    <w:rsid w:val="001C50EE"/>
    <w:rsid w:val="001C5C10"/>
    <w:rsid w:val="001C7319"/>
    <w:rsid w:val="001C7D87"/>
    <w:rsid w:val="001D23B4"/>
    <w:rsid w:val="001D27C1"/>
    <w:rsid w:val="001D3E87"/>
    <w:rsid w:val="001D49A2"/>
    <w:rsid w:val="001D627A"/>
    <w:rsid w:val="001D6B60"/>
    <w:rsid w:val="001D7B5D"/>
    <w:rsid w:val="001E0C3F"/>
    <w:rsid w:val="001E3D87"/>
    <w:rsid w:val="001E58D8"/>
    <w:rsid w:val="001E78AA"/>
    <w:rsid w:val="001F2101"/>
    <w:rsid w:val="001F34DC"/>
    <w:rsid w:val="001F3969"/>
    <w:rsid w:val="001F61DA"/>
    <w:rsid w:val="00204420"/>
    <w:rsid w:val="00205ACD"/>
    <w:rsid w:val="002068B2"/>
    <w:rsid w:val="002075A5"/>
    <w:rsid w:val="00212A9D"/>
    <w:rsid w:val="00212E31"/>
    <w:rsid w:val="0021440A"/>
    <w:rsid w:val="0021501E"/>
    <w:rsid w:val="00215192"/>
    <w:rsid w:val="002205C0"/>
    <w:rsid w:val="00221889"/>
    <w:rsid w:val="00222833"/>
    <w:rsid w:val="002248AC"/>
    <w:rsid w:val="00226A94"/>
    <w:rsid w:val="00226AF5"/>
    <w:rsid w:val="0023373D"/>
    <w:rsid w:val="0023423C"/>
    <w:rsid w:val="00236F35"/>
    <w:rsid w:val="002420E3"/>
    <w:rsid w:val="002448CB"/>
    <w:rsid w:val="002512B4"/>
    <w:rsid w:val="002525C7"/>
    <w:rsid w:val="002526E7"/>
    <w:rsid w:val="00254BA9"/>
    <w:rsid w:val="00254C59"/>
    <w:rsid w:val="002577FE"/>
    <w:rsid w:val="00261125"/>
    <w:rsid w:val="00263AA8"/>
    <w:rsid w:val="00264100"/>
    <w:rsid w:val="002659E9"/>
    <w:rsid w:val="00267074"/>
    <w:rsid w:val="00267244"/>
    <w:rsid w:val="00271282"/>
    <w:rsid w:val="002717B7"/>
    <w:rsid w:val="00273C63"/>
    <w:rsid w:val="00273D0E"/>
    <w:rsid w:val="00274159"/>
    <w:rsid w:val="00274BE8"/>
    <w:rsid w:val="002765A6"/>
    <w:rsid w:val="00280286"/>
    <w:rsid w:val="00283C5E"/>
    <w:rsid w:val="0028588E"/>
    <w:rsid w:val="00286784"/>
    <w:rsid w:val="00293D8E"/>
    <w:rsid w:val="0029431D"/>
    <w:rsid w:val="00295749"/>
    <w:rsid w:val="0029598B"/>
    <w:rsid w:val="002975F6"/>
    <w:rsid w:val="002A0ABA"/>
    <w:rsid w:val="002A2034"/>
    <w:rsid w:val="002A24F4"/>
    <w:rsid w:val="002A38BF"/>
    <w:rsid w:val="002A4319"/>
    <w:rsid w:val="002A5409"/>
    <w:rsid w:val="002A56AE"/>
    <w:rsid w:val="002A597E"/>
    <w:rsid w:val="002B113A"/>
    <w:rsid w:val="002B19E0"/>
    <w:rsid w:val="002B1A1F"/>
    <w:rsid w:val="002B5DBD"/>
    <w:rsid w:val="002B702C"/>
    <w:rsid w:val="002C07C4"/>
    <w:rsid w:val="002C1B76"/>
    <w:rsid w:val="002C47F1"/>
    <w:rsid w:val="002C57E3"/>
    <w:rsid w:val="002C6025"/>
    <w:rsid w:val="002C63C1"/>
    <w:rsid w:val="002C72D2"/>
    <w:rsid w:val="002D08E3"/>
    <w:rsid w:val="002D2347"/>
    <w:rsid w:val="002D30CB"/>
    <w:rsid w:val="002D310D"/>
    <w:rsid w:val="002D5074"/>
    <w:rsid w:val="002D70B0"/>
    <w:rsid w:val="002E2D7B"/>
    <w:rsid w:val="002E2F03"/>
    <w:rsid w:val="002E5A11"/>
    <w:rsid w:val="002E5E6A"/>
    <w:rsid w:val="002F0D3C"/>
    <w:rsid w:val="002F14AA"/>
    <w:rsid w:val="002F2198"/>
    <w:rsid w:val="002F37BE"/>
    <w:rsid w:val="002F3FA7"/>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72FB"/>
    <w:rsid w:val="00330193"/>
    <w:rsid w:val="003317CD"/>
    <w:rsid w:val="003349A5"/>
    <w:rsid w:val="0034179E"/>
    <w:rsid w:val="003418FB"/>
    <w:rsid w:val="00341AC3"/>
    <w:rsid w:val="0034299B"/>
    <w:rsid w:val="003430A8"/>
    <w:rsid w:val="003443B2"/>
    <w:rsid w:val="003535E4"/>
    <w:rsid w:val="0036127E"/>
    <w:rsid w:val="00361B9C"/>
    <w:rsid w:val="00365C45"/>
    <w:rsid w:val="00371031"/>
    <w:rsid w:val="00374444"/>
    <w:rsid w:val="00376114"/>
    <w:rsid w:val="00376CEC"/>
    <w:rsid w:val="00380758"/>
    <w:rsid w:val="00381C08"/>
    <w:rsid w:val="003827B4"/>
    <w:rsid w:val="00383C82"/>
    <w:rsid w:val="00386BBB"/>
    <w:rsid w:val="00386D84"/>
    <w:rsid w:val="0039245A"/>
    <w:rsid w:val="00393394"/>
    <w:rsid w:val="003935E6"/>
    <w:rsid w:val="00394A1E"/>
    <w:rsid w:val="003A007A"/>
    <w:rsid w:val="003A60CC"/>
    <w:rsid w:val="003A61F9"/>
    <w:rsid w:val="003A73D3"/>
    <w:rsid w:val="003B1A03"/>
    <w:rsid w:val="003B1C4E"/>
    <w:rsid w:val="003B1E88"/>
    <w:rsid w:val="003B5455"/>
    <w:rsid w:val="003B5B89"/>
    <w:rsid w:val="003B5FFE"/>
    <w:rsid w:val="003B63C0"/>
    <w:rsid w:val="003C2632"/>
    <w:rsid w:val="003C2A8E"/>
    <w:rsid w:val="003C6F71"/>
    <w:rsid w:val="003C7873"/>
    <w:rsid w:val="003C78F7"/>
    <w:rsid w:val="003C7DC4"/>
    <w:rsid w:val="003D066F"/>
    <w:rsid w:val="003D11E5"/>
    <w:rsid w:val="003D153C"/>
    <w:rsid w:val="003D5BC3"/>
    <w:rsid w:val="003D725A"/>
    <w:rsid w:val="003E0BC5"/>
    <w:rsid w:val="003E16E1"/>
    <w:rsid w:val="003E2624"/>
    <w:rsid w:val="003E34C9"/>
    <w:rsid w:val="003E4B54"/>
    <w:rsid w:val="003F0DF5"/>
    <w:rsid w:val="003F332C"/>
    <w:rsid w:val="003F4479"/>
    <w:rsid w:val="003F659A"/>
    <w:rsid w:val="00400E16"/>
    <w:rsid w:val="004012CF"/>
    <w:rsid w:val="004012E1"/>
    <w:rsid w:val="004028F5"/>
    <w:rsid w:val="00402FF3"/>
    <w:rsid w:val="00404627"/>
    <w:rsid w:val="00405D45"/>
    <w:rsid w:val="00405EAB"/>
    <w:rsid w:val="004069EB"/>
    <w:rsid w:val="004111DA"/>
    <w:rsid w:val="0041329B"/>
    <w:rsid w:val="00413327"/>
    <w:rsid w:val="00413F1C"/>
    <w:rsid w:val="0041440A"/>
    <w:rsid w:val="00420842"/>
    <w:rsid w:val="00423213"/>
    <w:rsid w:val="0042416D"/>
    <w:rsid w:val="004276C3"/>
    <w:rsid w:val="004305EC"/>
    <w:rsid w:val="00433507"/>
    <w:rsid w:val="00436C05"/>
    <w:rsid w:val="00437A0E"/>
    <w:rsid w:val="00443B76"/>
    <w:rsid w:val="004460C0"/>
    <w:rsid w:val="004502F1"/>
    <w:rsid w:val="0045100C"/>
    <w:rsid w:val="004516EB"/>
    <w:rsid w:val="004529B6"/>
    <w:rsid w:val="00453DBD"/>
    <w:rsid w:val="00454CE6"/>
    <w:rsid w:val="00457A9F"/>
    <w:rsid w:val="0046133D"/>
    <w:rsid w:val="00462881"/>
    <w:rsid w:val="00462B0D"/>
    <w:rsid w:val="0046475C"/>
    <w:rsid w:val="00464805"/>
    <w:rsid w:val="004702BF"/>
    <w:rsid w:val="0047057E"/>
    <w:rsid w:val="00470F88"/>
    <w:rsid w:val="00472649"/>
    <w:rsid w:val="00474653"/>
    <w:rsid w:val="0047555B"/>
    <w:rsid w:val="00475F48"/>
    <w:rsid w:val="0047718A"/>
    <w:rsid w:val="00477430"/>
    <w:rsid w:val="00477CC2"/>
    <w:rsid w:val="0048180A"/>
    <w:rsid w:val="00481C7A"/>
    <w:rsid w:val="004836B3"/>
    <w:rsid w:val="00485906"/>
    <w:rsid w:val="004906C8"/>
    <w:rsid w:val="0049459B"/>
    <w:rsid w:val="00495252"/>
    <w:rsid w:val="004964B5"/>
    <w:rsid w:val="0049675F"/>
    <w:rsid w:val="004967E2"/>
    <w:rsid w:val="0049785D"/>
    <w:rsid w:val="004A0225"/>
    <w:rsid w:val="004A08D7"/>
    <w:rsid w:val="004A1436"/>
    <w:rsid w:val="004A290F"/>
    <w:rsid w:val="004A5FFD"/>
    <w:rsid w:val="004A7195"/>
    <w:rsid w:val="004A7CE2"/>
    <w:rsid w:val="004B243A"/>
    <w:rsid w:val="004B376D"/>
    <w:rsid w:val="004B509C"/>
    <w:rsid w:val="004B5DEC"/>
    <w:rsid w:val="004B7F32"/>
    <w:rsid w:val="004C1DF1"/>
    <w:rsid w:val="004C2020"/>
    <w:rsid w:val="004C4E77"/>
    <w:rsid w:val="004D08EB"/>
    <w:rsid w:val="004D1045"/>
    <w:rsid w:val="004D6029"/>
    <w:rsid w:val="004D6C71"/>
    <w:rsid w:val="004E0679"/>
    <w:rsid w:val="004E0B32"/>
    <w:rsid w:val="004E1B1C"/>
    <w:rsid w:val="004E2371"/>
    <w:rsid w:val="004E6BE9"/>
    <w:rsid w:val="004E79A4"/>
    <w:rsid w:val="004F1013"/>
    <w:rsid w:val="004F26CF"/>
    <w:rsid w:val="004F29D4"/>
    <w:rsid w:val="004F4792"/>
    <w:rsid w:val="004F4DF1"/>
    <w:rsid w:val="005006FD"/>
    <w:rsid w:val="00502F50"/>
    <w:rsid w:val="0050301F"/>
    <w:rsid w:val="00503655"/>
    <w:rsid w:val="00504C6A"/>
    <w:rsid w:val="00505759"/>
    <w:rsid w:val="0050578D"/>
    <w:rsid w:val="00505AC4"/>
    <w:rsid w:val="0051107C"/>
    <w:rsid w:val="00514187"/>
    <w:rsid w:val="00515090"/>
    <w:rsid w:val="00521E57"/>
    <w:rsid w:val="00521F9C"/>
    <w:rsid w:val="00525E83"/>
    <w:rsid w:val="00527EBC"/>
    <w:rsid w:val="005305EA"/>
    <w:rsid w:val="00530E3E"/>
    <w:rsid w:val="005311BB"/>
    <w:rsid w:val="00532A8F"/>
    <w:rsid w:val="00532E98"/>
    <w:rsid w:val="005371E7"/>
    <w:rsid w:val="00540538"/>
    <w:rsid w:val="00540C92"/>
    <w:rsid w:val="0054391F"/>
    <w:rsid w:val="005478DE"/>
    <w:rsid w:val="005520FE"/>
    <w:rsid w:val="0055211D"/>
    <w:rsid w:val="00552FA7"/>
    <w:rsid w:val="00553610"/>
    <w:rsid w:val="00553E92"/>
    <w:rsid w:val="0055431E"/>
    <w:rsid w:val="0055445B"/>
    <w:rsid w:val="00554927"/>
    <w:rsid w:val="00556513"/>
    <w:rsid w:val="00560D4A"/>
    <w:rsid w:val="00562653"/>
    <w:rsid w:val="0056468F"/>
    <w:rsid w:val="00566E4B"/>
    <w:rsid w:val="00567F9A"/>
    <w:rsid w:val="005705E2"/>
    <w:rsid w:val="00570AC7"/>
    <w:rsid w:val="005714B9"/>
    <w:rsid w:val="00571CC3"/>
    <w:rsid w:val="005733EB"/>
    <w:rsid w:val="00573942"/>
    <w:rsid w:val="005756AE"/>
    <w:rsid w:val="00580802"/>
    <w:rsid w:val="00581A22"/>
    <w:rsid w:val="005833A8"/>
    <w:rsid w:val="0058661B"/>
    <w:rsid w:val="00593E91"/>
    <w:rsid w:val="00595600"/>
    <w:rsid w:val="00596DC4"/>
    <w:rsid w:val="00597589"/>
    <w:rsid w:val="005A0B49"/>
    <w:rsid w:val="005A3D7E"/>
    <w:rsid w:val="005A4493"/>
    <w:rsid w:val="005A52D9"/>
    <w:rsid w:val="005A5A6E"/>
    <w:rsid w:val="005A694B"/>
    <w:rsid w:val="005A6D57"/>
    <w:rsid w:val="005A775D"/>
    <w:rsid w:val="005B00A4"/>
    <w:rsid w:val="005B0424"/>
    <w:rsid w:val="005B37EF"/>
    <w:rsid w:val="005B5B70"/>
    <w:rsid w:val="005B5F05"/>
    <w:rsid w:val="005B6E66"/>
    <w:rsid w:val="005B77A6"/>
    <w:rsid w:val="005B79E7"/>
    <w:rsid w:val="005C0B4F"/>
    <w:rsid w:val="005C3E35"/>
    <w:rsid w:val="005C40CB"/>
    <w:rsid w:val="005C6982"/>
    <w:rsid w:val="005C7F95"/>
    <w:rsid w:val="005D0901"/>
    <w:rsid w:val="005D0C55"/>
    <w:rsid w:val="005D16DD"/>
    <w:rsid w:val="005D2B59"/>
    <w:rsid w:val="005D362F"/>
    <w:rsid w:val="005D370F"/>
    <w:rsid w:val="005D41A4"/>
    <w:rsid w:val="005D4A6E"/>
    <w:rsid w:val="005D5217"/>
    <w:rsid w:val="005D5E8C"/>
    <w:rsid w:val="005E4D7C"/>
    <w:rsid w:val="005E4EB4"/>
    <w:rsid w:val="005E54CA"/>
    <w:rsid w:val="005E5B92"/>
    <w:rsid w:val="005E6A46"/>
    <w:rsid w:val="005E7A49"/>
    <w:rsid w:val="005F00D5"/>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267B6"/>
    <w:rsid w:val="006300D6"/>
    <w:rsid w:val="0063265C"/>
    <w:rsid w:val="00633079"/>
    <w:rsid w:val="00633203"/>
    <w:rsid w:val="00635020"/>
    <w:rsid w:val="00635846"/>
    <w:rsid w:val="00637512"/>
    <w:rsid w:val="00640EE4"/>
    <w:rsid w:val="0064168D"/>
    <w:rsid w:val="00643161"/>
    <w:rsid w:val="006466F5"/>
    <w:rsid w:val="006468D6"/>
    <w:rsid w:val="006529A5"/>
    <w:rsid w:val="00654A73"/>
    <w:rsid w:val="00655735"/>
    <w:rsid w:val="0065579B"/>
    <w:rsid w:val="0065678E"/>
    <w:rsid w:val="00657515"/>
    <w:rsid w:val="006608A2"/>
    <w:rsid w:val="00661404"/>
    <w:rsid w:val="00661753"/>
    <w:rsid w:val="006646AC"/>
    <w:rsid w:val="00664D5B"/>
    <w:rsid w:val="00671D7C"/>
    <w:rsid w:val="00681802"/>
    <w:rsid w:val="00682225"/>
    <w:rsid w:val="006822F4"/>
    <w:rsid w:val="00682B6F"/>
    <w:rsid w:val="00683417"/>
    <w:rsid w:val="00684893"/>
    <w:rsid w:val="006848B7"/>
    <w:rsid w:val="00684CBE"/>
    <w:rsid w:val="00685150"/>
    <w:rsid w:val="00686FC2"/>
    <w:rsid w:val="00697281"/>
    <w:rsid w:val="006A2C7F"/>
    <w:rsid w:val="006B1953"/>
    <w:rsid w:val="006B1BF1"/>
    <w:rsid w:val="006B1C95"/>
    <w:rsid w:val="006B26E3"/>
    <w:rsid w:val="006B3302"/>
    <w:rsid w:val="006B37EA"/>
    <w:rsid w:val="006B403E"/>
    <w:rsid w:val="006B7444"/>
    <w:rsid w:val="006C0C3F"/>
    <w:rsid w:val="006C1288"/>
    <w:rsid w:val="006C32EE"/>
    <w:rsid w:val="006C6A05"/>
    <w:rsid w:val="006D23FC"/>
    <w:rsid w:val="006D27E1"/>
    <w:rsid w:val="006D3CD7"/>
    <w:rsid w:val="006D5719"/>
    <w:rsid w:val="006D78D2"/>
    <w:rsid w:val="006E01D1"/>
    <w:rsid w:val="006E036B"/>
    <w:rsid w:val="006F1B61"/>
    <w:rsid w:val="006F53A9"/>
    <w:rsid w:val="006F5A35"/>
    <w:rsid w:val="006F610D"/>
    <w:rsid w:val="006F6E0E"/>
    <w:rsid w:val="006F7AF6"/>
    <w:rsid w:val="00701033"/>
    <w:rsid w:val="007024E8"/>
    <w:rsid w:val="0070371E"/>
    <w:rsid w:val="00705F8F"/>
    <w:rsid w:val="007064F6"/>
    <w:rsid w:val="007078A3"/>
    <w:rsid w:val="00710FDA"/>
    <w:rsid w:val="00711536"/>
    <w:rsid w:val="007129C0"/>
    <w:rsid w:val="00713390"/>
    <w:rsid w:val="007142B5"/>
    <w:rsid w:val="007154E1"/>
    <w:rsid w:val="00716BFE"/>
    <w:rsid w:val="00720774"/>
    <w:rsid w:val="007234D1"/>
    <w:rsid w:val="00723959"/>
    <w:rsid w:val="00731428"/>
    <w:rsid w:val="0073157A"/>
    <w:rsid w:val="00735209"/>
    <w:rsid w:val="0073763B"/>
    <w:rsid w:val="00744E29"/>
    <w:rsid w:val="00744EEF"/>
    <w:rsid w:val="0075072F"/>
    <w:rsid w:val="007517D1"/>
    <w:rsid w:val="007524CA"/>
    <w:rsid w:val="00753ED3"/>
    <w:rsid w:val="00754CAE"/>
    <w:rsid w:val="007658D5"/>
    <w:rsid w:val="00772BA8"/>
    <w:rsid w:val="00772C73"/>
    <w:rsid w:val="007737E4"/>
    <w:rsid w:val="00774266"/>
    <w:rsid w:val="0078028A"/>
    <w:rsid w:val="007806CB"/>
    <w:rsid w:val="00781C64"/>
    <w:rsid w:val="007848FB"/>
    <w:rsid w:val="007851D5"/>
    <w:rsid w:val="00785698"/>
    <w:rsid w:val="0078693A"/>
    <w:rsid w:val="007906E0"/>
    <w:rsid w:val="007909B1"/>
    <w:rsid w:val="00794153"/>
    <w:rsid w:val="0079486A"/>
    <w:rsid w:val="00794E74"/>
    <w:rsid w:val="00794F80"/>
    <w:rsid w:val="0079666D"/>
    <w:rsid w:val="00797B4F"/>
    <w:rsid w:val="007A139A"/>
    <w:rsid w:val="007A1C9E"/>
    <w:rsid w:val="007A3BB5"/>
    <w:rsid w:val="007B0789"/>
    <w:rsid w:val="007B2C77"/>
    <w:rsid w:val="007B5C07"/>
    <w:rsid w:val="007B7749"/>
    <w:rsid w:val="007B7A6F"/>
    <w:rsid w:val="007C16C9"/>
    <w:rsid w:val="007C2C6B"/>
    <w:rsid w:val="007C4B55"/>
    <w:rsid w:val="007C7114"/>
    <w:rsid w:val="007C7353"/>
    <w:rsid w:val="007C7FF1"/>
    <w:rsid w:val="007D15EF"/>
    <w:rsid w:val="007D1A27"/>
    <w:rsid w:val="007D1B24"/>
    <w:rsid w:val="007D1F15"/>
    <w:rsid w:val="007D25B1"/>
    <w:rsid w:val="007D2878"/>
    <w:rsid w:val="007D300A"/>
    <w:rsid w:val="007D661B"/>
    <w:rsid w:val="007E26F8"/>
    <w:rsid w:val="007E3A35"/>
    <w:rsid w:val="007E5726"/>
    <w:rsid w:val="007E7BAB"/>
    <w:rsid w:val="007E7C17"/>
    <w:rsid w:val="007E7DCE"/>
    <w:rsid w:val="007F1347"/>
    <w:rsid w:val="007F20AC"/>
    <w:rsid w:val="007F43BD"/>
    <w:rsid w:val="007F53D4"/>
    <w:rsid w:val="00800927"/>
    <w:rsid w:val="008009AC"/>
    <w:rsid w:val="008010BD"/>
    <w:rsid w:val="008016F1"/>
    <w:rsid w:val="00801BF1"/>
    <w:rsid w:val="00802C56"/>
    <w:rsid w:val="0080447F"/>
    <w:rsid w:val="00804BD9"/>
    <w:rsid w:val="00805270"/>
    <w:rsid w:val="00806148"/>
    <w:rsid w:val="008111EB"/>
    <w:rsid w:val="00811205"/>
    <w:rsid w:val="00811D16"/>
    <w:rsid w:val="00812C48"/>
    <w:rsid w:val="008146F9"/>
    <w:rsid w:val="00814D55"/>
    <w:rsid w:val="0082155A"/>
    <w:rsid w:val="008230AE"/>
    <w:rsid w:val="00824DCD"/>
    <w:rsid w:val="008277B8"/>
    <w:rsid w:val="00831D3F"/>
    <w:rsid w:val="00832986"/>
    <w:rsid w:val="00833DB5"/>
    <w:rsid w:val="00835692"/>
    <w:rsid w:val="008419A8"/>
    <w:rsid w:val="00842165"/>
    <w:rsid w:val="008436AD"/>
    <w:rsid w:val="00844569"/>
    <w:rsid w:val="00844624"/>
    <w:rsid w:val="00846539"/>
    <w:rsid w:val="0084766D"/>
    <w:rsid w:val="00847D23"/>
    <w:rsid w:val="00851953"/>
    <w:rsid w:val="00852210"/>
    <w:rsid w:val="0085410D"/>
    <w:rsid w:val="00855544"/>
    <w:rsid w:val="008569C0"/>
    <w:rsid w:val="00856D15"/>
    <w:rsid w:val="0086020D"/>
    <w:rsid w:val="00863327"/>
    <w:rsid w:val="00864C69"/>
    <w:rsid w:val="00867B2F"/>
    <w:rsid w:val="00870F44"/>
    <w:rsid w:val="00871C8B"/>
    <w:rsid w:val="00874015"/>
    <w:rsid w:val="00876A75"/>
    <w:rsid w:val="0087786C"/>
    <w:rsid w:val="00880AB5"/>
    <w:rsid w:val="00883587"/>
    <w:rsid w:val="008838D5"/>
    <w:rsid w:val="00884054"/>
    <w:rsid w:val="008845A8"/>
    <w:rsid w:val="00886712"/>
    <w:rsid w:val="008868B6"/>
    <w:rsid w:val="00891715"/>
    <w:rsid w:val="00892771"/>
    <w:rsid w:val="00893C5F"/>
    <w:rsid w:val="00895089"/>
    <w:rsid w:val="008951ED"/>
    <w:rsid w:val="00896BBD"/>
    <w:rsid w:val="00897415"/>
    <w:rsid w:val="008A1129"/>
    <w:rsid w:val="008A17D5"/>
    <w:rsid w:val="008A322D"/>
    <w:rsid w:val="008A3D66"/>
    <w:rsid w:val="008A75BE"/>
    <w:rsid w:val="008B14D0"/>
    <w:rsid w:val="008B4E21"/>
    <w:rsid w:val="008C2150"/>
    <w:rsid w:val="008C2BCF"/>
    <w:rsid w:val="008C32A8"/>
    <w:rsid w:val="008C55A3"/>
    <w:rsid w:val="008C5EC3"/>
    <w:rsid w:val="008D06E0"/>
    <w:rsid w:val="008D1DFF"/>
    <w:rsid w:val="008D29A7"/>
    <w:rsid w:val="008D2F5B"/>
    <w:rsid w:val="008D49D5"/>
    <w:rsid w:val="008D6518"/>
    <w:rsid w:val="008E6375"/>
    <w:rsid w:val="008E7DB4"/>
    <w:rsid w:val="008F10A6"/>
    <w:rsid w:val="008F16D2"/>
    <w:rsid w:val="008F3674"/>
    <w:rsid w:val="008F4C65"/>
    <w:rsid w:val="008F5730"/>
    <w:rsid w:val="0090155A"/>
    <w:rsid w:val="009020E0"/>
    <w:rsid w:val="0090233A"/>
    <w:rsid w:val="00903410"/>
    <w:rsid w:val="0090445D"/>
    <w:rsid w:val="00905422"/>
    <w:rsid w:val="00907D27"/>
    <w:rsid w:val="00910B4E"/>
    <w:rsid w:val="009130C0"/>
    <w:rsid w:val="00913133"/>
    <w:rsid w:val="00913283"/>
    <w:rsid w:val="00915791"/>
    <w:rsid w:val="00916B04"/>
    <w:rsid w:val="00917869"/>
    <w:rsid w:val="0092113F"/>
    <w:rsid w:val="00921DB9"/>
    <w:rsid w:val="00922358"/>
    <w:rsid w:val="0092403D"/>
    <w:rsid w:val="00925CD1"/>
    <w:rsid w:val="00930FCE"/>
    <w:rsid w:val="009313E6"/>
    <w:rsid w:val="00932511"/>
    <w:rsid w:val="00932888"/>
    <w:rsid w:val="009331C2"/>
    <w:rsid w:val="009402DB"/>
    <w:rsid w:val="0094160B"/>
    <w:rsid w:val="009417EF"/>
    <w:rsid w:val="00943F2E"/>
    <w:rsid w:val="00944898"/>
    <w:rsid w:val="009449B8"/>
    <w:rsid w:val="00944DC9"/>
    <w:rsid w:val="0094795E"/>
    <w:rsid w:val="00951D52"/>
    <w:rsid w:val="00952187"/>
    <w:rsid w:val="00954369"/>
    <w:rsid w:val="00954916"/>
    <w:rsid w:val="00960A6D"/>
    <w:rsid w:val="00960A7F"/>
    <w:rsid w:val="009611E0"/>
    <w:rsid w:val="009614FD"/>
    <w:rsid w:val="00965FEE"/>
    <w:rsid w:val="0096643B"/>
    <w:rsid w:val="009706B5"/>
    <w:rsid w:val="00970CE3"/>
    <w:rsid w:val="009718BF"/>
    <w:rsid w:val="00972BDF"/>
    <w:rsid w:val="009731CB"/>
    <w:rsid w:val="0097390F"/>
    <w:rsid w:val="0098182D"/>
    <w:rsid w:val="00985C4C"/>
    <w:rsid w:val="0098704B"/>
    <w:rsid w:val="00993821"/>
    <w:rsid w:val="009940F6"/>
    <w:rsid w:val="00994280"/>
    <w:rsid w:val="009970B5"/>
    <w:rsid w:val="009A0D0A"/>
    <w:rsid w:val="009A0FAE"/>
    <w:rsid w:val="009A2418"/>
    <w:rsid w:val="009A2DB0"/>
    <w:rsid w:val="009A5677"/>
    <w:rsid w:val="009A64BD"/>
    <w:rsid w:val="009A686F"/>
    <w:rsid w:val="009A6ACC"/>
    <w:rsid w:val="009B1571"/>
    <w:rsid w:val="009B1636"/>
    <w:rsid w:val="009B33A8"/>
    <w:rsid w:val="009B3487"/>
    <w:rsid w:val="009B4510"/>
    <w:rsid w:val="009B5F5A"/>
    <w:rsid w:val="009B7C61"/>
    <w:rsid w:val="009C0DC9"/>
    <w:rsid w:val="009C3793"/>
    <w:rsid w:val="009C451F"/>
    <w:rsid w:val="009C5E96"/>
    <w:rsid w:val="009C726D"/>
    <w:rsid w:val="009C7CED"/>
    <w:rsid w:val="009D0E5F"/>
    <w:rsid w:val="009D3501"/>
    <w:rsid w:val="009D3697"/>
    <w:rsid w:val="009D383B"/>
    <w:rsid w:val="009D46DD"/>
    <w:rsid w:val="009D5F9E"/>
    <w:rsid w:val="009E1411"/>
    <w:rsid w:val="009E52F2"/>
    <w:rsid w:val="009E5717"/>
    <w:rsid w:val="009F01C0"/>
    <w:rsid w:val="009F1278"/>
    <w:rsid w:val="009F3C1F"/>
    <w:rsid w:val="009F5DB2"/>
    <w:rsid w:val="009F614E"/>
    <w:rsid w:val="009F762B"/>
    <w:rsid w:val="00A00A7B"/>
    <w:rsid w:val="00A00B32"/>
    <w:rsid w:val="00A0172D"/>
    <w:rsid w:val="00A02047"/>
    <w:rsid w:val="00A036BE"/>
    <w:rsid w:val="00A03C4B"/>
    <w:rsid w:val="00A04C52"/>
    <w:rsid w:val="00A0730E"/>
    <w:rsid w:val="00A07627"/>
    <w:rsid w:val="00A11AE6"/>
    <w:rsid w:val="00A12205"/>
    <w:rsid w:val="00A21876"/>
    <w:rsid w:val="00A233B1"/>
    <w:rsid w:val="00A30C44"/>
    <w:rsid w:val="00A328AE"/>
    <w:rsid w:val="00A347D8"/>
    <w:rsid w:val="00A4131E"/>
    <w:rsid w:val="00A41694"/>
    <w:rsid w:val="00A43501"/>
    <w:rsid w:val="00A438EE"/>
    <w:rsid w:val="00A453DC"/>
    <w:rsid w:val="00A46BDA"/>
    <w:rsid w:val="00A535E3"/>
    <w:rsid w:val="00A53EB8"/>
    <w:rsid w:val="00A548D4"/>
    <w:rsid w:val="00A55414"/>
    <w:rsid w:val="00A570A7"/>
    <w:rsid w:val="00A61B09"/>
    <w:rsid w:val="00A624BA"/>
    <w:rsid w:val="00A625E2"/>
    <w:rsid w:val="00A62AA3"/>
    <w:rsid w:val="00A62B55"/>
    <w:rsid w:val="00A62E25"/>
    <w:rsid w:val="00A64C80"/>
    <w:rsid w:val="00A661A9"/>
    <w:rsid w:val="00A67EF9"/>
    <w:rsid w:val="00A70C57"/>
    <w:rsid w:val="00A72465"/>
    <w:rsid w:val="00A80C92"/>
    <w:rsid w:val="00A81BCB"/>
    <w:rsid w:val="00A82461"/>
    <w:rsid w:val="00A840FB"/>
    <w:rsid w:val="00A84571"/>
    <w:rsid w:val="00A84CDC"/>
    <w:rsid w:val="00A851D8"/>
    <w:rsid w:val="00A85E37"/>
    <w:rsid w:val="00A860FD"/>
    <w:rsid w:val="00A86416"/>
    <w:rsid w:val="00A86C43"/>
    <w:rsid w:val="00A90202"/>
    <w:rsid w:val="00A908EE"/>
    <w:rsid w:val="00A9099E"/>
    <w:rsid w:val="00A9277F"/>
    <w:rsid w:val="00A940B5"/>
    <w:rsid w:val="00A95083"/>
    <w:rsid w:val="00A953BA"/>
    <w:rsid w:val="00A95A9B"/>
    <w:rsid w:val="00A96E60"/>
    <w:rsid w:val="00A97D27"/>
    <w:rsid w:val="00AA1687"/>
    <w:rsid w:val="00AA183E"/>
    <w:rsid w:val="00AA22DD"/>
    <w:rsid w:val="00AA285C"/>
    <w:rsid w:val="00AA5D62"/>
    <w:rsid w:val="00AB14BD"/>
    <w:rsid w:val="00AB1D6A"/>
    <w:rsid w:val="00AB32A4"/>
    <w:rsid w:val="00AB3710"/>
    <w:rsid w:val="00AB4B0F"/>
    <w:rsid w:val="00AB4FA1"/>
    <w:rsid w:val="00AB6C3B"/>
    <w:rsid w:val="00AB6D3E"/>
    <w:rsid w:val="00AC0516"/>
    <w:rsid w:val="00AC0D96"/>
    <w:rsid w:val="00AC48E0"/>
    <w:rsid w:val="00AC4BFC"/>
    <w:rsid w:val="00AC6C93"/>
    <w:rsid w:val="00AC78C0"/>
    <w:rsid w:val="00AC7A73"/>
    <w:rsid w:val="00AC7C82"/>
    <w:rsid w:val="00AD1553"/>
    <w:rsid w:val="00AD25F0"/>
    <w:rsid w:val="00AD2EBD"/>
    <w:rsid w:val="00AD436D"/>
    <w:rsid w:val="00AD461A"/>
    <w:rsid w:val="00AD6EAA"/>
    <w:rsid w:val="00AD7665"/>
    <w:rsid w:val="00AE008F"/>
    <w:rsid w:val="00AE04E8"/>
    <w:rsid w:val="00AE0D01"/>
    <w:rsid w:val="00AE2056"/>
    <w:rsid w:val="00AE43EE"/>
    <w:rsid w:val="00AE74E9"/>
    <w:rsid w:val="00AF16C8"/>
    <w:rsid w:val="00AF3DE6"/>
    <w:rsid w:val="00AF4514"/>
    <w:rsid w:val="00AF649F"/>
    <w:rsid w:val="00AF74DA"/>
    <w:rsid w:val="00B00C72"/>
    <w:rsid w:val="00B01443"/>
    <w:rsid w:val="00B04CF0"/>
    <w:rsid w:val="00B070A2"/>
    <w:rsid w:val="00B10E49"/>
    <w:rsid w:val="00B11D81"/>
    <w:rsid w:val="00B11E08"/>
    <w:rsid w:val="00B128A7"/>
    <w:rsid w:val="00B145FA"/>
    <w:rsid w:val="00B17DD9"/>
    <w:rsid w:val="00B2037B"/>
    <w:rsid w:val="00B22205"/>
    <w:rsid w:val="00B22762"/>
    <w:rsid w:val="00B23274"/>
    <w:rsid w:val="00B267CC"/>
    <w:rsid w:val="00B272A6"/>
    <w:rsid w:val="00B30856"/>
    <w:rsid w:val="00B32971"/>
    <w:rsid w:val="00B32CD3"/>
    <w:rsid w:val="00B333D8"/>
    <w:rsid w:val="00B34CA9"/>
    <w:rsid w:val="00B3541B"/>
    <w:rsid w:val="00B35797"/>
    <w:rsid w:val="00B35A93"/>
    <w:rsid w:val="00B3672D"/>
    <w:rsid w:val="00B40656"/>
    <w:rsid w:val="00B40F8A"/>
    <w:rsid w:val="00B417B3"/>
    <w:rsid w:val="00B42C01"/>
    <w:rsid w:val="00B44669"/>
    <w:rsid w:val="00B4745C"/>
    <w:rsid w:val="00B50AAA"/>
    <w:rsid w:val="00B544D9"/>
    <w:rsid w:val="00B564E0"/>
    <w:rsid w:val="00B60929"/>
    <w:rsid w:val="00B658D4"/>
    <w:rsid w:val="00B71780"/>
    <w:rsid w:val="00B75A2C"/>
    <w:rsid w:val="00B813AC"/>
    <w:rsid w:val="00B81C4B"/>
    <w:rsid w:val="00B8287F"/>
    <w:rsid w:val="00B831BF"/>
    <w:rsid w:val="00B8376C"/>
    <w:rsid w:val="00B84260"/>
    <w:rsid w:val="00B86811"/>
    <w:rsid w:val="00B8738D"/>
    <w:rsid w:val="00B91C3D"/>
    <w:rsid w:val="00B91F0B"/>
    <w:rsid w:val="00B9223B"/>
    <w:rsid w:val="00B923B7"/>
    <w:rsid w:val="00B92D47"/>
    <w:rsid w:val="00B93826"/>
    <w:rsid w:val="00B961A5"/>
    <w:rsid w:val="00BA18D5"/>
    <w:rsid w:val="00BA1FC4"/>
    <w:rsid w:val="00BA2D85"/>
    <w:rsid w:val="00BA49CC"/>
    <w:rsid w:val="00BA4D1F"/>
    <w:rsid w:val="00BA7AD1"/>
    <w:rsid w:val="00BB0B9D"/>
    <w:rsid w:val="00BB1CC2"/>
    <w:rsid w:val="00BB2250"/>
    <w:rsid w:val="00BB4F63"/>
    <w:rsid w:val="00BB744D"/>
    <w:rsid w:val="00BB7708"/>
    <w:rsid w:val="00BC0FDD"/>
    <w:rsid w:val="00BC1E30"/>
    <w:rsid w:val="00BC22E0"/>
    <w:rsid w:val="00BC475D"/>
    <w:rsid w:val="00BC4AA7"/>
    <w:rsid w:val="00BC5852"/>
    <w:rsid w:val="00BD5425"/>
    <w:rsid w:val="00BD6F2F"/>
    <w:rsid w:val="00BD705F"/>
    <w:rsid w:val="00BE28ED"/>
    <w:rsid w:val="00BE3927"/>
    <w:rsid w:val="00BE408E"/>
    <w:rsid w:val="00BE55D6"/>
    <w:rsid w:val="00BE61B8"/>
    <w:rsid w:val="00BF030A"/>
    <w:rsid w:val="00BF2EA1"/>
    <w:rsid w:val="00BF377A"/>
    <w:rsid w:val="00BF3B64"/>
    <w:rsid w:val="00BF543F"/>
    <w:rsid w:val="00BF5FD3"/>
    <w:rsid w:val="00BF6902"/>
    <w:rsid w:val="00BF7421"/>
    <w:rsid w:val="00BF7F4B"/>
    <w:rsid w:val="00C00769"/>
    <w:rsid w:val="00C01E2A"/>
    <w:rsid w:val="00C059F4"/>
    <w:rsid w:val="00C06E2B"/>
    <w:rsid w:val="00C07650"/>
    <w:rsid w:val="00C104DD"/>
    <w:rsid w:val="00C1189B"/>
    <w:rsid w:val="00C1331F"/>
    <w:rsid w:val="00C15275"/>
    <w:rsid w:val="00C15E31"/>
    <w:rsid w:val="00C16479"/>
    <w:rsid w:val="00C17E1F"/>
    <w:rsid w:val="00C2058D"/>
    <w:rsid w:val="00C22506"/>
    <w:rsid w:val="00C23DF0"/>
    <w:rsid w:val="00C2498F"/>
    <w:rsid w:val="00C25084"/>
    <w:rsid w:val="00C250CB"/>
    <w:rsid w:val="00C25158"/>
    <w:rsid w:val="00C261C7"/>
    <w:rsid w:val="00C2768B"/>
    <w:rsid w:val="00C316A8"/>
    <w:rsid w:val="00C337F9"/>
    <w:rsid w:val="00C3746F"/>
    <w:rsid w:val="00C3768A"/>
    <w:rsid w:val="00C37D9D"/>
    <w:rsid w:val="00C4139D"/>
    <w:rsid w:val="00C45DE7"/>
    <w:rsid w:val="00C46F31"/>
    <w:rsid w:val="00C5122B"/>
    <w:rsid w:val="00C52BA0"/>
    <w:rsid w:val="00C538D4"/>
    <w:rsid w:val="00C562FD"/>
    <w:rsid w:val="00C56C17"/>
    <w:rsid w:val="00C703B4"/>
    <w:rsid w:val="00C7153C"/>
    <w:rsid w:val="00C71CD1"/>
    <w:rsid w:val="00C73143"/>
    <w:rsid w:val="00C7422C"/>
    <w:rsid w:val="00C76C40"/>
    <w:rsid w:val="00C77685"/>
    <w:rsid w:val="00C77815"/>
    <w:rsid w:val="00C80ED6"/>
    <w:rsid w:val="00C82D1D"/>
    <w:rsid w:val="00C85259"/>
    <w:rsid w:val="00C85378"/>
    <w:rsid w:val="00C86808"/>
    <w:rsid w:val="00C87238"/>
    <w:rsid w:val="00C90CAB"/>
    <w:rsid w:val="00C9297C"/>
    <w:rsid w:val="00C961E8"/>
    <w:rsid w:val="00C967A3"/>
    <w:rsid w:val="00CA1C79"/>
    <w:rsid w:val="00CA30DB"/>
    <w:rsid w:val="00CA43D6"/>
    <w:rsid w:val="00CA491B"/>
    <w:rsid w:val="00CA5B30"/>
    <w:rsid w:val="00CA6D58"/>
    <w:rsid w:val="00CA6FDA"/>
    <w:rsid w:val="00CB1EB2"/>
    <w:rsid w:val="00CB3B6F"/>
    <w:rsid w:val="00CB3D57"/>
    <w:rsid w:val="00CC0329"/>
    <w:rsid w:val="00CC0C5F"/>
    <w:rsid w:val="00CC24B0"/>
    <w:rsid w:val="00CC2788"/>
    <w:rsid w:val="00CC2F3D"/>
    <w:rsid w:val="00CC3956"/>
    <w:rsid w:val="00CC5FF3"/>
    <w:rsid w:val="00CD7178"/>
    <w:rsid w:val="00CE2ADF"/>
    <w:rsid w:val="00CE2FEB"/>
    <w:rsid w:val="00CE33FC"/>
    <w:rsid w:val="00CE4B84"/>
    <w:rsid w:val="00CE74B0"/>
    <w:rsid w:val="00CF00DE"/>
    <w:rsid w:val="00CF052D"/>
    <w:rsid w:val="00CF1679"/>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07F15"/>
    <w:rsid w:val="00D1014B"/>
    <w:rsid w:val="00D108E6"/>
    <w:rsid w:val="00D11F97"/>
    <w:rsid w:val="00D1274B"/>
    <w:rsid w:val="00D12C6F"/>
    <w:rsid w:val="00D1312A"/>
    <w:rsid w:val="00D13159"/>
    <w:rsid w:val="00D13814"/>
    <w:rsid w:val="00D14BA9"/>
    <w:rsid w:val="00D17789"/>
    <w:rsid w:val="00D21565"/>
    <w:rsid w:val="00D2552A"/>
    <w:rsid w:val="00D2737E"/>
    <w:rsid w:val="00D274A9"/>
    <w:rsid w:val="00D27F87"/>
    <w:rsid w:val="00D30750"/>
    <w:rsid w:val="00D32644"/>
    <w:rsid w:val="00D33043"/>
    <w:rsid w:val="00D3317B"/>
    <w:rsid w:val="00D33619"/>
    <w:rsid w:val="00D40C02"/>
    <w:rsid w:val="00D427A6"/>
    <w:rsid w:val="00D42AFE"/>
    <w:rsid w:val="00D46910"/>
    <w:rsid w:val="00D475A2"/>
    <w:rsid w:val="00D5015D"/>
    <w:rsid w:val="00D52355"/>
    <w:rsid w:val="00D52AC7"/>
    <w:rsid w:val="00D53360"/>
    <w:rsid w:val="00D54CA9"/>
    <w:rsid w:val="00D563D9"/>
    <w:rsid w:val="00D567F7"/>
    <w:rsid w:val="00D569AF"/>
    <w:rsid w:val="00D56B6D"/>
    <w:rsid w:val="00D6188C"/>
    <w:rsid w:val="00D61959"/>
    <w:rsid w:val="00D62193"/>
    <w:rsid w:val="00D62F3F"/>
    <w:rsid w:val="00D6340F"/>
    <w:rsid w:val="00D64F36"/>
    <w:rsid w:val="00D6781D"/>
    <w:rsid w:val="00D67D98"/>
    <w:rsid w:val="00D72D16"/>
    <w:rsid w:val="00D7412C"/>
    <w:rsid w:val="00D75521"/>
    <w:rsid w:val="00D8195B"/>
    <w:rsid w:val="00D83503"/>
    <w:rsid w:val="00D8398B"/>
    <w:rsid w:val="00D84724"/>
    <w:rsid w:val="00D8554E"/>
    <w:rsid w:val="00D8619F"/>
    <w:rsid w:val="00D86764"/>
    <w:rsid w:val="00D91F4E"/>
    <w:rsid w:val="00D92363"/>
    <w:rsid w:val="00D930F3"/>
    <w:rsid w:val="00D93F28"/>
    <w:rsid w:val="00DA2E2B"/>
    <w:rsid w:val="00DA3DE4"/>
    <w:rsid w:val="00DA69DE"/>
    <w:rsid w:val="00DB0F8D"/>
    <w:rsid w:val="00DB5C0A"/>
    <w:rsid w:val="00DB685E"/>
    <w:rsid w:val="00DB6DAF"/>
    <w:rsid w:val="00DC0AF1"/>
    <w:rsid w:val="00DC1400"/>
    <w:rsid w:val="00DC2393"/>
    <w:rsid w:val="00DC588B"/>
    <w:rsid w:val="00DC5A2A"/>
    <w:rsid w:val="00DC64BF"/>
    <w:rsid w:val="00DC6CCE"/>
    <w:rsid w:val="00DD0123"/>
    <w:rsid w:val="00DD11EA"/>
    <w:rsid w:val="00DD13E2"/>
    <w:rsid w:val="00DD7977"/>
    <w:rsid w:val="00DE34FF"/>
    <w:rsid w:val="00DE44AB"/>
    <w:rsid w:val="00DE4F39"/>
    <w:rsid w:val="00DE596C"/>
    <w:rsid w:val="00DF003C"/>
    <w:rsid w:val="00DF00D4"/>
    <w:rsid w:val="00DF0A61"/>
    <w:rsid w:val="00DF37A6"/>
    <w:rsid w:val="00DF4501"/>
    <w:rsid w:val="00DF7233"/>
    <w:rsid w:val="00DF78AE"/>
    <w:rsid w:val="00E033F2"/>
    <w:rsid w:val="00E0462A"/>
    <w:rsid w:val="00E05436"/>
    <w:rsid w:val="00E07AAA"/>
    <w:rsid w:val="00E07CC2"/>
    <w:rsid w:val="00E11E2E"/>
    <w:rsid w:val="00E125CA"/>
    <w:rsid w:val="00E132E6"/>
    <w:rsid w:val="00E132EC"/>
    <w:rsid w:val="00E14B17"/>
    <w:rsid w:val="00E14EAE"/>
    <w:rsid w:val="00E16394"/>
    <w:rsid w:val="00E205B1"/>
    <w:rsid w:val="00E21687"/>
    <w:rsid w:val="00E22571"/>
    <w:rsid w:val="00E23016"/>
    <w:rsid w:val="00E248FD"/>
    <w:rsid w:val="00E25156"/>
    <w:rsid w:val="00E25242"/>
    <w:rsid w:val="00E25AAC"/>
    <w:rsid w:val="00E2730D"/>
    <w:rsid w:val="00E279B9"/>
    <w:rsid w:val="00E30B67"/>
    <w:rsid w:val="00E30CA9"/>
    <w:rsid w:val="00E32CF2"/>
    <w:rsid w:val="00E32FB3"/>
    <w:rsid w:val="00E33AAA"/>
    <w:rsid w:val="00E33C53"/>
    <w:rsid w:val="00E33CB8"/>
    <w:rsid w:val="00E33F0E"/>
    <w:rsid w:val="00E35DD8"/>
    <w:rsid w:val="00E36C8F"/>
    <w:rsid w:val="00E371EC"/>
    <w:rsid w:val="00E37EB7"/>
    <w:rsid w:val="00E404C5"/>
    <w:rsid w:val="00E40A10"/>
    <w:rsid w:val="00E42DA5"/>
    <w:rsid w:val="00E518A6"/>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85E58"/>
    <w:rsid w:val="00E86242"/>
    <w:rsid w:val="00E87C13"/>
    <w:rsid w:val="00E91EBF"/>
    <w:rsid w:val="00E97676"/>
    <w:rsid w:val="00EA0953"/>
    <w:rsid w:val="00EA1CE1"/>
    <w:rsid w:val="00EA1F89"/>
    <w:rsid w:val="00EB08A0"/>
    <w:rsid w:val="00EB117B"/>
    <w:rsid w:val="00EB40AD"/>
    <w:rsid w:val="00EB40D6"/>
    <w:rsid w:val="00EB5CDD"/>
    <w:rsid w:val="00EB5F75"/>
    <w:rsid w:val="00EB7852"/>
    <w:rsid w:val="00EB79CD"/>
    <w:rsid w:val="00EC060D"/>
    <w:rsid w:val="00EC1BA6"/>
    <w:rsid w:val="00EC2525"/>
    <w:rsid w:val="00ED253F"/>
    <w:rsid w:val="00ED3DE9"/>
    <w:rsid w:val="00EE0713"/>
    <w:rsid w:val="00EE07A6"/>
    <w:rsid w:val="00EE0F2E"/>
    <w:rsid w:val="00EE2A41"/>
    <w:rsid w:val="00EE4E10"/>
    <w:rsid w:val="00EE525B"/>
    <w:rsid w:val="00EE558B"/>
    <w:rsid w:val="00EE633C"/>
    <w:rsid w:val="00EF09FB"/>
    <w:rsid w:val="00EF0CFD"/>
    <w:rsid w:val="00EF0DE2"/>
    <w:rsid w:val="00EF0FFC"/>
    <w:rsid w:val="00EF3C24"/>
    <w:rsid w:val="00EF4DFA"/>
    <w:rsid w:val="00EF5F08"/>
    <w:rsid w:val="00F02923"/>
    <w:rsid w:val="00F0351B"/>
    <w:rsid w:val="00F04089"/>
    <w:rsid w:val="00F05F9B"/>
    <w:rsid w:val="00F06275"/>
    <w:rsid w:val="00F06472"/>
    <w:rsid w:val="00F123EC"/>
    <w:rsid w:val="00F156AC"/>
    <w:rsid w:val="00F16331"/>
    <w:rsid w:val="00F16803"/>
    <w:rsid w:val="00F22427"/>
    <w:rsid w:val="00F22566"/>
    <w:rsid w:val="00F22963"/>
    <w:rsid w:val="00F27472"/>
    <w:rsid w:val="00F378B2"/>
    <w:rsid w:val="00F403EA"/>
    <w:rsid w:val="00F40B51"/>
    <w:rsid w:val="00F40E4D"/>
    <w:rsid w:val="00F41DE4"/>
    <w:rsid w:val="00F42499"/>
    <w:rsid w:val="00F42753"/>
    <w:rsid w:val="00F4405F"/>
    <w:rsid w:val="00F46694"/>
    <w:rsid w:val="00F46CE7"/>
    <w:rsid w:val="00F510DB"/>
    <w:rsid w:val="00F604E0"/>
    <w:rsid w:val="00F6501E"/>
    <w:rsid w:val="00F676DC"/>
    <w:rsid w:val="00F70615"/>
    <w:rsid w:val="00F715C1"/>
    <w:rsid w:val="00F72722"/>
    <w:rsid w:val="00F727B0"/>
    <w:rsid w:val="00F7598B"/>
    <w:rsid w:val="00F83255"/>
    <w:rsid w:val="00F866A0"/>
    <w:rsid w:val="00F87ADD"/>
    <w:rsid w:val="00F914FD"/>
    <w:rsid w:val="00F9164E"/>
    <w:rsid w:val="00F93ED8"/>
    <w:rsid w:val="00F952BF"/>
    <w:rsid w:val="00F95515"/>
    <w:rsid w:val="00F9574E"/>
    <w:rsid w:val="00F9680E"/>
    <w:rsid w:val="00F974AA"/>
    <w:rsid w:val="00FA2425"/>
    <w:rsid w:val="00FA2545"/>
    <w:rsid w:val="00FA3622"/>
    <w:rsid w:val="00FA373B"/>
    <w:rsid w:val="00FA7CFC"/>
    <w:rsid w:val="00FB097C"/>
    <w:rsid w:val="00FB21C2"/>
    <w:rsid w:val="00FB2677"/>
    <w:rsid w:val="00FB2F78"/>
    <w:rsid w:val="00FB3A45"/>
    <w:rsid w:val="00FB4AAD"/>
    <w:rsid w:val="00FB4E3D"/>
    <w:rsid w:val="00FB5A22"/>
    <w:rsid w:val="00FB5B57"/>
    <w:rsid w:val="00FB5F2A"/>
    <w:rsid w:val="00FB732B"/>
    <w:rsid w:val="00FB78E1"/>
    <w:rsid w:val="00FC026C"/>
    <w:rsid w:val="00FC1407"/>
    <w:rsid w:val="00FC22E1"/>
    <w:rsid w:val="00FC2C8C"/>
    <w:rsid w:val="00FC4F9B"/>
    <w:rsid w:val="00FC59F0"/>
    <w:rsid w:val="00FD131E"/>
    <w:rsid w:val="00FD302E"/>
    <w:rsid w:val="00FD4599"/>
    <w:rsid w:val="00FD4784"/>
    <w:rsid w:val="00FD5753"/>
    <w:rsid w:val="00FD65FE"/>
    <w:rsid w:val="00FE00DA"/>
    <w:rsid w:val="00FE0FAF"/>
    <w:rsid w:val="00FE35B1"/>
    <w:rsid w:val="00FE376F"/>
    <w:rsid w:val="00FE3C36"/>
    <w:rsid w:val="00FE427F"/>
    <w:rsid w:val="00FE5689"/>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F2D6FB18-A72D-4DC4-9571-2B153794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D56B6D"/>
    <w:pPr>
      <w:keepNext/>
      <w:numPr>
        <w:numId w:val="2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D56B6D"/>
    <w:pPr>
      <w:keepNext/>
      <w:numPr>
        <w:ilvl w:val="1"/>
        <w:numId w:val="2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D56B6D"/>
    <w:pPr>
      <w:keepNext/>
      <w:numPr>
        <w:ilvl w:val="2"/>
        <w:numId w:val="2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D56B6D"/>
    <w:pPr>
      <w:keepNext/>
      <w:numPr>
        <w:ilvl w:val="3"/>
        <w:numId w:val="22"/>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D56B6D"/>
    <w:pPr>
      <w:numPr>
        <w:ilvl w:val="4"/>
        <w:numId w:val="22"/>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D56B6D"/>
    <w:pPr>
      <w:numPr>
        <w:ilvl w:val="5"/>
        <w:numId w:val="2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D56B6D"/>
    <w:pPr>
      <w:numPr>
        <w:ilvl w:val="6"/>
        <w:numId w:val="22"/>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D56B6D"/>
    <w:pPr>
      <w:numPr>
        <w:ilvl w:val="7"/>
        <w:numId w:val="22"/>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D56B6D"/>
    <w:pPr>
      <w:numPr>
        <w:ilvl w:val="8"/>
        <w:numId w:val="22"/>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2C63C1"/>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925CD1"/>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8845A8"/>
    <w:pPr>
      <w:spacing w:before="240" w:line="360" w:lineRule="auto"/>
      <w:ind w:left="851" w:right="851"/>
      <w:jc w:val="both"/>
    </w:pPr>
    <w:rPr>
      <w:rFonts w:ascii="Palatino Linotype" w:eastAsia="Times New Roman" w:hAnsi="Palatino Linotype" w:cs="Times New Roman"/>
      <w:i/>
      <w:szCs w:val="24"/>
    </w:rPr>
  </w:style>
  <w:style w:type="character" w:customStyle="1" w:styleId="Ttulo1Car">
    <w:name w:val="Título 1 Car"/>
    <w:basedOn w:val="Fuentedeprrafopredeter"/>
    <w:link w:val="Ttulo1"/>
    <w:uiPriority w:val="9"/>
    <w:rsid w:val="00D56B6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D56B6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D56B6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D56B6D"/>
    <w:rPr>
      <w:rFonts w:eastAsiaTheme="minorEastAsia"/>
      <w:b/>
      <w:bCs/>
      <w:sz w:val="28"/>
      <w:szCs w:val="28"/>
      <w:lang w:val="en-US"/>
    </w:rPr>
  </w:style>
  <w:style w:type="character" w:customStyle="1" w:styleId="Ttulo5Car">
    <w:name w:val="Título 5 Car"/>
    <w:basedOn w:val="Fuentedeprrafopredeter"/>
    <w:link w:val="Ttulo5"/>
    <w:uiPriority w:val="9"/>
    <w:semiHidden/>
    <w:rsid w:val="00D56B6D"/>
    <w:rPr>
      <w:rFonts w:eastAsiaTheme="minorEastAsia"/>
      <w:b/>
      <w:bCs/>
      <w:i/>
      <w:iCs/>
      <w:sz w:val="26"/>
      <w:szCs w:val="26"/>
      <w:lang w:val="en-US"/>
    </w:rPr>
  </w:style>
  <w:style w:type="character" w:customStyle="1" w:styleId="Ttulo6Car">
    <w:name w:val="Título 6 Car"/>
    <w:basedOn w:val="Fuentedeprrafopredeter"/>
    <w:link w:val="Ttulo6"/>
    <w:rsid w:val="00D56B6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D56B6D"/>
    <w:rPr>
      <w:rFonts w:eastAsiaTheme="minorEastAsia"/>
      <w:sz w:val="24"/>
      <w:szCs w:val="24"/>
      <w:lang w:val="en-US"/>
    </w:rPr>
  </w:style>
  <w:style w:type="character" w:customStyle="1" w:styleId="Ttulo8Car">
    <w:name w:val="Título 8 Car"/>
    <w:basedOn w:val="Fuentedeprrafopredeter"/>
    <w:link w:val="Ttulo8"/>
    <w:uiPriority w:val="9"/>
    <w:semiHidden/>
    <w:rsid w:val="00D56B6D"/>
    <w:rPr>
      <w:rFonts w:eastAsiaTheme="minorEastAsia"/>
      <w:i/>
      <w:iCs/>
      <w:sz w:val="24"/>
      <w:szCs w:val="24"/>
      <w:lang w:val="en-US"/>
    </w:rPr>
  </w:style>
  <w:style w:type="character" w:customStyle="1" w:styleId="Ttulo9Car">
    <w:name w:val="Título 9 Car"/>
    <w:basedOn w:val="Fuentedeprrafopredeter"/>
    <w:link w:val="Ttulo9"/>
    <w:uiPriority w:val="9"/>
    <w:semiHidden/>
    <w:rsid w:val="00D56B6D"/>
    <w:rPr>
      <w:rFonts w:asciiTheme="majorHAnsi" w:eastAsiaTheme="majorEastAsia" w:hAnsiTheme="majorHAnsi" w:cstheme="majorBidi"/>
      <w:lang w:val="en-US"/>
    </w:rPr>
  </w:style>
  <w:style w:type="paragraph" w:customStyle="1" w:styleId="infoemcitas">
    <w:name w:val="infoem citas"/>
    <w:basedOn w:val="Normal"/>
    <w:qFormat/>
    <w:rsid w:val="005A3D7E"/>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48347233">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5980738">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521419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684204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91911611">
      <w:bodyDiv w:val="1"/>
      <w:marLeft w:val="0"/>
      <w:marRight w:val="0"/>
      <w:marTop w:val="0"/>
      <w:marBottom w:val="0"/>
      <w:divBdr>
        <w:top w:val="none" w:sz="0" w:space="0" w:color="auto"/>
        <w:left w:val="none" w:sz="0" w:space="0" w:color="auto"/>
        <w:bottom w:val="none" w:sz="0" w:space="0" w:color="auto"/>
        <w:right w:val="none" w:sz="0" w:space="0" w:color="auto"/>
      </w:divBdr>
    </w:div>
    <w:div w:id="996761743">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3046346">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9574033">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88562725">
      <w:bodyDiv w:val="1"/>
      <w:marLeft w:val="0"/>
      <w:marRight w:val="0"/>
      <w:marTop w:val="0"/>
      <w:marBottom w:val="0"/>
      <w:divBdr>
        <w:top w:val="none" w:sz="0" w:space="0" w:color="auto"/>
        <w:left w:val="none" w:sz="0" w:space="0" w:color="auto"/>
        <w:bottom w:val="none" w:sz="0" w:space="0" w:color="auto"/>
        <w:right w:val="none" w:sz="0" w:space="0" w:color="auto"/>
      </w:divBdr>
    </w:div>
    <w:div w:id="174590846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CAMEM/art_92_ii_b/3.web"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es/contenido/transparencia/directorio-de-sujetos-obligados"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E84F1-4D74-4224-BA2A-912C6A7F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48</Pages>
  <Words>8323</Words>
  <Characters>45777</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60</cp:revision>
  <cp:lastPrinted>2018-12-04T20:35:00Z</cp:lastPrinted>
  <dcterms:created xsi:type="dcterms:W3CDTF">2021-12-16T19:10:00Z</dcterms:created>
  <dcterms:modified xsi:type="dcterms:W3CDTF">2022-03-05T03:52:00Z</dcterms:modified>
</cp:coreProperties>
</file>