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F5F" w:rsidRDefault="006D43CE">
      <w:pPr>
        <w:spacing w:before="240" w:after="240"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siete de abril de dos mil veintidós</w:t>
      </w:r>
      <w:r>
        <w:rPr>
          <w:rFonts w:ascii="Palatino Linotype" w:eastAsia="Palatino Linotype" w:hAnsi="Palatino Linotype" w:cs="Palatino Linotype"/>
        </w:rPr>
        <w:t xml:space="preserve">. </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 xml:space="preserve">00834/INFOEM/IP/RR/2022,  </w:t>
      </w:r>
      <w:r>
        <w:rPr>
          <w:rFonts w:ascii="Palatino Linotype" w:eastAsia="Palatino Linotype" w:hAnsi="Palatino Linotype" w:cs="Palatino Linotype"/>
        </w:rPr>
        <w:t>interpuesto por</w:t>
      </w:r>
      <w:r>
        <w:rPr>
          <w:rFonts w:ascii="Palatino Linotype" w:eastAsia="Palatino Linotype" w:hAnsi="Palatino Linotype" w:cs="Palatino Linotype"/>
          <w:b/>
        </w:rPr>
        <w:t xml:space="preserve"> un particular de manera anónima,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 Recurrente, </w:t>
      </w:r>
      <w:r>
        <w:rPr>
          <w:rFonts w:ascii="Palatino Linotype" w:eastAsia="Palatino Linotype" w:hAnsi="Palatino Linotype" w:cs="Palatino Linotype"/>
        </w:rPr>
        <w:t xml:space="preserve">en contra de la respuesta por parte del </w:t>
      </w:r>
      <w:r>
        <w:rPr>
          <w:rFonts w:ascii="Palatino Linotype" w:eastAsia="Palatino Linotype" w:hAnsi="Palatino Linotype" w:cs="Palatino Linotype"/>
          <w:b/>
        </w:rPr>
        <w:t xml:space="preserve">Ayuntamiento de Tlalnepantla de Baz,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3B4F5F" w:rsidRDefault="006D43CE">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3B4F5F" w:rsidRDefault="006D43C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veinticinco de enero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solicitud de acceso a la información pública, a la que se le asignó el número de folio </w:t>
      </w:r>
      <w:r>
        <w:rPr>
          <w:rFonts w:ascii="Palatino Linotype" w:eastAsia="Palatino Linotype" w:hAnsi="Palatino Linotype" w:cs="Palatino Linotype"/>
          <w:b/>
          <w:color w:val="000000"/>
        </w:rPr>
        <w:t>00103/TLALNEPA/IP/2022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rsidR="003B4F5F" w:rsidRDefault="006D43CE">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“Solicito me informe sobre las </w:t>
      </w:r>
      <w:r>
        <w:rPr>
          <w:rFonts w:ascii="Palatino Linotype" w:eastAsia="Palatino Linotype" w:hAnsi="Palatino Linotype" w:cs="Palatino Linotype"/>
          <w:b/>
          <w:i/>
          <w:sz w:val="22"/>
          <w:szCs w:val="22"/>
          <w:u w:val="single"/>
        </w:rPr>
        <w:t>acciones que realiza el Ayuntamiento de Tlalnepantla de Baz respecto al Programa insignia "Ciudades y espacio públicos seguros para mujeres y niñas"</w:t>
      </w:r>
      <w:r>
        <w:rPr>
          <w:rFonts w:ascii="Palatino Linotype" w:eastAsia="Palatino Linotype" w:hAnsi="Palatino Linotype" w:cs="Palatino Linotype"/>
          <w:i/>
          <w:sz w:val="22"/>
          <w:szCs w:val="22"/>
        </w:rPr>
        <w:t>, para crear un municipio digno para todas.” (Sic)</w:t>
      </w:r>
    </w:p>
    <w:p w:rsidR="003B4F5F" w:rsidRDefault="006D43C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Ninguno</w:t>
      </w:r>
    </w:p>
    <w:p w:rsidR="003B4F5F" w:rsidRDefault="006D43C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nueve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la respuesta a su solicitud en los términos siguientes: </w:t>
      </w:r>
    </w:p>
    <w:p w:rsidR="003B4F5F" w:rsidRDefault="006D43CE">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B4F5F" w:rsidRDefault="006D43CE">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anexa respuesta respectiva.” (Sic)</w:t>
      </w:r>
    </w:p>
    <w:p w:rsidR="003B4F5F" w:rsidRDefault="006D43CE">
      <w:pPr>
        <w:spacing w:before="240" w:after="240" w:line="360" w:lineRule="auto"/>
        <w:ind w:right="902"/>
        <w:jc w:val="both"/>
        <w:rPr>
          <w:rFonts w:ascii="Palatino Linotype" w:eastAsia="Palatino Linotype" w:hAnsi="Palatino Linotype" w:cs="Palatino Linotype"/>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archivo electrónico  denominado </w:t>
      </w:r>
      <w:r>
        <w:rPr>
          <w:rFonts w:ascii="Palatino Linotype" w:eastAsia="Palatino Linotype" w:hAnsi="Palatino Linotype" w:cs="Palatino Linotype"/>
          <w:b/>
          <w:i/>
        </w:rPr>
        <w:t xml:space="preserve">“RESP_SAIMEX_00103_MUJER.pdf”, </w:t>
      </w:r>
      <w:r>
        <w:rPr>
          <w:rFonts w:ascii="Palatino Linotype" w:eastAsia="Palatino Linotype" w:hAnsi="Palatino Linotype" w:cs="Palatino Linotype"/>
        </w:rPr>
        <w:t xml:space="preserve">el cual consta de una foja y consiste en el pronunciamiento de la Titular de la Dirección de la Mujer, quien medularmente refiere lo siguiente: </w:t>
      </w:r>
    </w:p>
    <w:p w:rsidR="003B4F5F" w:rsidRDefault="006D43CE">
      <w:pPr>
        <w:spacing w:before="240" w:after="240" w:line="360" w:lineRule="auto"/>
        <w:ind w:left="567" w:right="902"/>
        <w:jc w:val="both"/>
        <w:rPr>
          <w:rFonts w:ascii="Palatino Linotype" w:eastAsia="Palatino Linotype" w:hAnsi="Palatino Linotype" w:cs="Palatino Linotype"/>
        </w:rPr>
      </w:pPr>
      <w:r>
        <w:rPr>
          <w:noProof/>
          <w:lang w:val="es-MX"/>
        </w:rPr>
        <w:lastRenderedPageBreak/>
        <w:drawing>
          <wp:anchor distT="0" distB="0" distL="114300" distR="114300" simplePos="0" relativeHeight="251658240" behindDoc="0" locked="0" layoutInCell="1" hidden="0" allowOverlap="1">
            <wp:simplePos x="0" y="0"/>
            <wp:positionH relativeFrom="column">
              <wp:posOffset>62232</wp:posOffset>
            </wp:positionH>
            <wp:positionV relativeFrom="paragraph">
              <wp:posOffset>210184</wp:posOffset>
            </wp:positionV>
            <wp:extent cx="5586730" cy="6858000"/>
            <wp:effectExtent l="0" t="0" r="0" b="0"/>
            <wp:wrapTopAndBottom distT="0" dist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586730" cy="6858000"/>
                    </a:xfrm>
                    <a:prstGeom prst="rect">
                      <a:avLst/>
                    </a:prstGeom>
                    <a:ln/>
                  </pic:spPr>
                </pic:pic>
              </a:graphicData>
            </a:graphic>
          </wp:anchor>
        </w:drawing>
      </w:r>
    </w:p>
    <w:p w:rsidR="003B4F5F" w:rsidRDefault="003B4F5F">
      <w:pPr>
        <w:spacing w:before="240" w:after="240" w:line="360" w:lineRule="auto"/>
        <w:ind w:left="567" w:right="902"/>
        <w:jc w:val="both"/>
        <w:rPr>
          <w:rFonts w:ascii="Palatino Linotype" w:eastAsia="Palatino Linotype" w:hAnsi="Palatino Linotype" w:cs="Palatino Linotype"/>
        </w:rPr>
      </w:pP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Sujeto Obligado, en fecha </w:t>
      </w:r>
      <w:r>
        <w:rPr>
          <w:rFonts w:ascii="Palatino Linotype" w:eastAsia="Palatino Linotype" w:hAnsi="Palatino Linotype" w:cs="Palatino Linotype"/>
          <w:b/>
        </w:rPr>
        <w:t>catorce de febrero de dos mil veintidós,</w:t>
      </w:r>
      <w:r>
        <w:rPr>
          <w:rFonts w:ascii="Palatino Linotype" w:eastAsia="Palatino Linotype" w:hAnsi="Palatino Linotype" w:cs="Palatino Linotype"/>
        </w:rPr>
        <w:t xml:space="preserve"> la parte recurrente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rsidR="003B4F5F" w:rsidRDefault="006D43CE">
      <w:pPr>
        <w:numPr>
          <w:ilvl w:val="0"/>
          <w:numId w:val="3"/>
        </w:numPr>
        <w:pBdr>
          <w:top w:val="nil"/>
          <w:left w:val="nil"/>
          <w:bottom w:val="nil"/>
          <w:right w:val="nil"/>
          <w:between w:val="nil"/>
        </w:pBdr>
        <w:spacing w:before="240" w:line="360" w:lineRule="auto"/>
        <w:ind w:left="567" w:right="709" w:hanging="14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3B4F5F" w:rsidRDefault="006D43CE">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“No me están entregando la información solicitada, su respuesta refiere a acciones comunes y corrientes que es obligación del Ayuntamiento hacer, no me especifican las acciones realizadas para beneficio de las mujeres. </w:t>
      </w:r>
      <w:r>
        <w:rPr>
          <w:rFonts w:ascii="Palatino Linotype" w:eastAsia="Palatino Linotype" w:hAnsi="Palatino Linotype" w:cs="Palatino Linotype"/>
          <w:b/>
          <w:i/>
          <w:color w:val="000000"/>
          <w:sz w:val="22"/>
          <w:szCs w:val="22"/>
          <w:u w:val="single"/>
        </w:rPr>
        <w:t>Podar árboles, pintar banquetas, limpiar parques no tiene ningún beneficio para la seguridad de las mujeres</w:t>
      </w:r>
      <w:r>
        <w:rPr>
          <w:rFonts w:ascii="Palatino Linotype" w:eastAsia="Palatino Linotype" w:hAnsi="Palatino Linotype" w:cs="Palatino Linotype"/>
          <w:i/>
          <w:color w:val="000000"/>
          <w:sz w:val="22"/>
          <w:szCs w:val="22"/>
        </w:rPr>
        <w:t>.” (Sic)</w:t>
      </w:r>
    </w:p>
    <w:p w:rsidR="003B4F5F" w:rsidRDefault="003B4F5F">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rsidR="003B4F5F" w:rsidRDefault="006D43CE">
      <w:pPr>
        <w:numPr>
          <w:ilvl w:val="0"/>
          <w:numId w:val="3"/>
        </w:num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rPr>
        <w:t xml:space="preserve"> Razones o motivos de inconformidad: </w:t>
      </w:r>
    </w:p>
    <w:p w:rsidR="003B4F5F" w:rsidRDefault="003B4F5F">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b/>
          <w:color w:val="000000"/>
        </w:rPr>
      </w:pPr>
    </w:p>
    <w:p w:rsidR="003B4F5F" w:rsidRDefault="006D43CE">
      <w:pPr>
        <w:pBdr>
          <w:top w:val="nil"/>
          <w:left w:val="nil"/>
          <w:bottom w:val="nil"/>
          <w:right w:val="nil"/>
          <w:between w:val="nil"/>
        </w:pBdr>
        <w:tabs>
          <w:tab w:val="left" w:pos="567"/>
        </w:tabs>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u w:val="single"/>
        </w:rPr>
        <w:t>No me están entregando la información solicitada</w:t>
      </w:r>
      <w:r>
        <w:rPr>
          <w:rFonts w:ascii="Palatino Linotype" w:eastAsia="Palatino Linotype" w:hAnsi="Palatino Linotype" w:cs="Palatino Linotype"/>
          <w:i/>
          <w:color w:val="000000"/>
          <w:sz w:val="22"/>
          <w:szCs w:val="22"/>
        </w:rPr>
        <w:t>, su respuesta refiere a acciones comunes y corrientes que es obligación del Ayuntamiento hacer, no me especifican las acciones realizadas para beneficio de las mujeres. Podar árboles, pintar banquetas, limpiar parques no tiene ningún beneficio para la seguridad de las mujeres.” (Sic)</w:t>
      </w:r>
    </w:p>
    <w:p w:rsidR="003B4F5F" w:rsidRDefault="003B4F5F">
      <w:pPr>
        <w:pBdr>
          <w:top w:val="nil"/>
          <w:left w:val="nil"/>
          <w:bottom w:val="nil"/>
          <w:right w:val="nil"/>
          <w:between w:val="nil"/>
        </w:pBdr>
        <w:tabs>
          <w:tab w:val="left" w:pos="567"/>
        </w:tabs>
        <w:spacing w:after="240"/>
        <w:ind w:left="720" w:right="1041"/>
        <w:jc w:val="both"/>
        <w:rPr>
          <w:rFonts w:ascii="Palatino Linotype" w:eastAsia="Palatino Linotype" w:hAnsi="Palatino Linotype" w:cs="Palatino Linotype"/>
          <w:i/>
          <w:color w:val="000000"/>
          <w:sz w:val="22"/>
          <w:szCs w:val="22"/>
        </w:rPr>
      </w:pP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a efecto de que se analizara sobre su admisión o su desechamiento.</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diecisiete de febrero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Pr>
          <w:rFonts w:ascii="Palatino Linotype" w:eastAsia="Palatino Linotype" w:hAnsi="Palatino Linotype" w:cs="Palatino Linotype"/>
        </w:rPr>
        <w:lastRenderedPageBreak/>
        <w:t>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De las constancias que obran agregadas en el expediente electrónico al rubro citado, se 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 </w:t>
      </w:r>
      <w:r>
        <w:rPr>
          <w:rFonts w:ascii="Palatino Linotype" w:eastAsia="Palatino Linotype" w:hAnsi="Palatino Linotype" w:cs="Palatino Linotype"/>
          <w:b/>
          <w:i/>
        </w:rPr>
        <w:t>“RESP_SAIMEX_00103_RR_00834_D_MUJER.pdf”</w:t>
      </w:r>
      <w:r>
        <w:rPr>
          <w:rFonts w:ascii="Palatino Linotype" w:eastAsia="Palatino Linotype" w:hAnsi="Palatino Linotype" w:cs="Palatino Linotype"/>
        </w:rPr>
        <w:t xml:space="preserve">, el cual contiene siete fojas y medularmente refiere lo siguiente: </w:t>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76201</wp:posOffset>
                </wp:positionH>
                <wp:positionV relativeFrom="paragraph">
                  <wp:posOffset>1435100</wp:posOffset>
                </wp:positionV>
                <wp:extent cx="5105400" cy="4810125"/>
                <wp:effectExtent l="0" t="0" r="0" b="0"/>
                <wp:wrapNone/>
                <wp:docPr id="43" name=""/>
                <wp:cNvGraphicFramePr/>
                <a:graphic xmlns:a="http://schemas.openxmlformats.org/drawingml/2006/main">
                  <a:graphicData uri="http://schemas.microsoft.com/office/word/2010/wordprocessingShape">
                    <wps:wsp>
                      <wps:cNvCnPr/>
                      <wps:spPr>
                        <a:xfrm>
                          <a:off x="2802825" y="1384463"/>
                          <a:ext cx="5086350" cy="47910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76201</wp:posOffset>
                </wp:positionH>
                <wp:positionV relativeFrom="paragraph">
                  <wp:posOffset>1435100</wp:posOffset>
                </wp:positionV>
                <wp:extent cx="5105400" cy="4810125"/>
                <wp:effectExtent b="0" l="0" r="0" t="0"/>
                <wp:wrapNone/>
                <wp:docPr id="4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105400" cy="4810125"/>
                        </a:xfrm>
                        <a:prstGeom prst="rect"/>
                        <a:ln/>
                      </pic:spPr>
                    </pic:pic>
                  </a:graphicData>
                </a:graphic>
              </wp:anchor>
            </w:drawing>
          </mc:Fallback>
        </mc:AlternateContent>
      </w: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6D43CE">
      <w:pPr>
        <w:spacing w:before="240" w:after="240" w:line="360" w:lineRule="auto"/>
        <w:ind w:right="49"/>
        <w:jc w:val="both"/>
        <w:rPr>
          <w:rFonts w:ascii="Palatino Linotype" w:eastAsia="Palatino Linotype" w:hAnsi="Palatino Linotype" w:cs="Palatino Linotype"/>
        </w:rPr>
      </w:pPr>
      <w:r>
        <w:rPr>
          <w:noProof/>
          <w:lang w:val="es-MX"/>
        </w:rPr>
        <w:lastRenderedPageBreak/>
        <w:drawing>
          <wp:anchor distT="0" distB="0" distL="114300" distR="114300" simplePos="0" relativeHeight="251660288" behindDoc="0" locked="0" layoutInCell="1" hidden="0" allowOverlap="1">
            <wp:simplePos x="0" y="0"/>
            <wp:positionH relativeFrom="column">
              <wp:posOffset>129540</wp:posOffset>
            </wp:positionH>
            <wp:positionV relativeFrom="paragraph">
              <wp:posOffset>162560</wp:posOffset>
            </wp:positionV>
            <wp:extent cx="5674360" cy="6600825"/>
            <wp:effectExtent l="0" t="0" r="0" b="0"/>
            <wp:wrapTopAndBottom distT="0" distB="0"/>
            <wp:docPr id="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74360" cy="6600825"/>
                    </a:xfrm>
                    <a:prstGeom prst="rect">
                      <a:avLst/>
                    </a:prstGeom>
                    <a:ln/>
                  </pic:spPr>
                </pic:pic>
              </a:graphicData>
            </a:graphic>
          </wp:anchor>
        </w:drawing>
      </w:r>
    </w:p>
    <w:p w:rsidR="003B4F5F" w:rsidRDefault="006D43CE">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870029" cy="7092953"/>
            <wp:effectExtent l="0" t="0" r="0" b="0"/>
            <wp:docPr id="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70029" cy="7092953"/>
                    </a:xfrm>
                    <a:prstGeom prst="rect">
                      <a:avLst/>
                    </a:prstGeom>
                    <a:ln/>
                  </pic:spPr>
                </pic:pic>
              </a:graphicData>
            </a:graphic>
          </wp:inline>
        </w:drawing>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7029450"/>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86400" cy="7029450"/>
                    </a:xfrm>
                    <a:prstGeom prst="rect">
                      <a:avLst/>
                    </a:prstGeom>
                    <a:ln/>
                  </pic:spPr>
                </pic:pic>
              </a:graphicData>
            </a:graphic>
          </wp:inline>
        </w:drawing>
      </w:r>
    </w:p>
    <w:p w:rsidR="003B4F5F" w:rsidRDefault="006D43CE">
      <w:pPr>
        <w:spacing w:before="240" w:after="240" w:line="360" w:lineRule="auto"/>
        <w:ind w:right="49"/>
        <w:jc w:val="both"/>
        <w:rPr>
          <w:rFonts w:ascii="Palatino Linotype" w:eastAsia="Palatino Linotype" w:hAnsi="Palatino Linotype" w:cs="Palatino Linotype"/>
          <w:b/>
        </w:rPr>
      </w:pPr>
      <w:bookmarkStart w:id="1" w:name="_heading=h.2et92p0" w:colFirst="0" w:colLast="0"/>
      <w:bookmarkEnd w:id="1"/>
      <w:r>
        <w:rPr>
          <w:rFonts w:ascii="Palatino Linotype" w:eastAsia="Palatino Linotype" w:hAnsi="Palatino Linotype" w:cs="Palatino Linotype"/>
        </w:rPr>
        <w:lastRenderedPageBreak/>
        <w:t xml:space="preserve">Archivos que se pusieron a la vista del particular mediante acuerdo emitido por la Comisionada Ponente, el </w:t>
      </w:r>
      <w:r>
        <w:rPr>
          <w:rFonts w:ascii="Palatino Linotype" w:eastAsia="Palatino Linotype" w:hAnsi="Palatino Linotype" w:cs="Palatino Linotype"/>
          <w:b/>
        </w:rPr>
        <w:t xml:space="preserve">treinta y uno de marzo de dos mil veintidós, </w:t>
      </w:r>
      <w:r>
        <w:rPr>
          <w:rFonts w:ascii="Palatino Linotype" w:eastAsia="Palatino Linotype" w:hAnsi="Palatino Linotype" w:cs="Palatino Linotype"/>
        </w:rPr>
        <w:t xml:space="preserve">asimismo por cuanto hace a </w:t>
      </w:r>
      <w:r>
        <w:rPr>
          <w:rFonts w:ascii="Palatino Linotype" w:eastAsia="Palatino Linotype" w:hAnsi="Palatino Linotype" w:cs="Palatino Linotype"/>
          <w:b/>
        </w:rPr>
        <w:t>la parte Recurrente</w:t>
      </w:r>
      <w:r>
        <w:rPr>
          <w:rFonts w:ascii="Palatino Linotype" w:eastAsia="Palatino Linotype" w:hAnsi="Palatino Linotype" w:cs="Palatino Linotype"/>
        </w:rPr>
        <w:t>, se tiene que fue omisa en presentar manifestaciones, pruebas y/o alegatos en la etapa procedimental previamente reconocida en nuestra Ley de Transparencia, por lo cual se tiene por precluido su derecho.</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seis de abril de dos mil veintidós</w:t>
      </w:r>
      <w:r>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dado el incremento en el número de recurso de revisión promovidos en la anualidad próxima pasada ante este Instituto de Transparencia, Acceso a la Información Pública y Protección de Datos Personales del Estado de México y Municipios y con la finalidad de realizar un análisis exhaustivo de las constancias que obran en el expediente electrónico, adoptando las medidas pertinentes, a fin de aminorar los efectos que conlleva.</w:t>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seis de abril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rsidR="003B4F5F" w:rsidRDefault="006D43CE">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rsidR="003B4F5F" w:rsidRDefault="006D43CE">
      <w:pPr>
        <w:spacing w:before="240" w:after="240" w:line="360" w:lineRule="auto"/>
        <w:jc w:val="both"/>
        <w:rPr>
          <w:rFonts w:ascii="Palatino Linotype" w:eastAsia="Palatino Linotype" w:hAnsi="Palatino Linotype" w:cs="Palatino Linotype"/>
        </w:rPr>
      </w:pPr>
      <w:bookmarkStart w:id="2" w:name="_heading=h.gjdgxs" w:colFirst="0" w:colLast="0"/>
      <w:bookmarkEnd w:id="2"/>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3B4F5F" w:rsidRDefault="006D43CE">
      <w:pPr>
        <w:spacing w:before="240" w:after="280" w:line="360" w:lineRule="auto"/>
        <w:jc w:val="both"/>
        <w:rPr>
          <w:rFonts w:ascii="Palatino Linotype" w:eastAsia="Palatino Linotype" w:hAnsi="Palatino Linotype" w:cs="Palatino Linotype"/>
        </w:rPr>
      </w:pPr>
      <w:bookmarkStart w:id="3" w:name="_heading=h.30j0zll"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w:t>
      </w:r>
      <w:r>
        <w:rPr>
          <w:rFonts w:ascii="Palatino Linotype" w:eastAsia="Palatino Linotype" w:hAnsi="Palatino Linotype" w:cs="Palatino Linotype"/>
        </w:rPr>
        <w:lastRenderedPageBreak/>
        <w:t xml:space="preserve">planteada por el solicitante en fecha </w:t>
      </w:r>
      <w:r>
        <w:rPr>
          <w:rFonts w:ascii="Palatino Linotype" w:eastAsia="Palatino Linotype" w:hAnsi="Palatino Linotype" w:cs="Palatino Linotype"/>
          <w:b/>
        </w:rPr>
        <w:t>nueve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catorce de febrero del año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siguiente de aquel en que tuvo conocimiento de la respuesta</w:t>
      </w:r>
      <w:r>
        <w:rPr>
          <w:rFonts w:ascii="Palatino Linotype" w:eastAsia="Palatino Linotype" w:hAnsi="Palatino Linotype" w:cs="Palatino Linotype"/>
          <w:highlight w:val="white"/>
        </w:rPr>
        <w:t>;</w:t>
      </w:r>
      <w:r>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3B4F5F" w:rsidRDefault="006D43C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3B4F5F" w:rsidRDefault="006D43CE">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acuerdo a los artículos 176 y 179, fracción VI del ordenamiento legal citado, que a la letra dice: </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 La entrega de información que no corresponda con lo solicitado;</w:t>
      </w:r>
      <w:r>
        <w:rPr>
          <w:rFonts w:ascii="Palatino Linotype" w:eastAsia="Palatino Linotype" w:hAnsi="Palatino Linotype" w:cs="Palatino Linotype"/>
          <w:i/>
          <w:sz w:val="22"/>
          <w:szCs w:val="22"/>
        </w:rPr>
        <w:t>”</w:t>
      </w:r>
    </w:p>
    <w:p w:rsidR="003B4F5F" w:rsidRDefault="006D43CE">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3B4F5F" w:rsidRDefault="006D43CE">
      <w:pPr>
        <w:spacing w:before="280" w:after="280" w:line="360" w:lineRule="auto"/>
        <w:jc w:val="both"/>
        <w:rPr>
          <w:rFonts w:ascii="Palatino Linotype" w:eastAsia="Palatino Linotype" w:hAnsi="Palatino Linotype" w:cs="Palatino Linotype"/>
        </w:rPr>
      </w:pPr>
      <w:bookmarkStart w:id="4" w:name="_heading=h.1fob9te" w:colFirst="0" w:colLast="0"/>
      <w:bookmarkEnd w:id="4"/>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Previo al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proporcionara lo siguiente:</w:t>
      </w:r>
    </w:p>
    <w:p w:rsidR="003B4F5F" w:rsidRDefault="006D43CE">
      <w:pPr>
        <w:numPr>
          <w:ilvl w:val="0"/>
          <w:numId w:val="4"/>
        </w:numPr>
        <w:pBdr>
          <w:top w:val="nil"/>
          <w:left w:val="nil"/>
          <w:bottom w:val="nil"/>
          <w:right w:val="nil"/>
          <w:between w:val="nil"/>
        </w:pBdr>
        <w:spacing w:before="240" w:after="240" w:line="276" w:lineRule="auto"/>
        <w:ind w:left="567" w:right="709" w:hanging="207"/>
        <w:jc w:val="both"/>
        <w:rPr>
          <w:rFonts w:ascii="Palatino Linotype" w:eastAsia="Palatino Linotype" w:hAnsi="Palatino Linotype" w:cs="Palatino Linotype"/>
          <w:color w:val="000000"/>
        </w:rPr>
      </w:pPr>
      <w:bookmarkStart w:id="5" w:name="_heading=h.3znysh7" w:colFirst="0" w:colLast="0"/>
      <w:bookmarkEnd w:id="5"/>
      <w:r>
        <w:rPr>
          <w:rFonts w:ascii="Palatino Linotype" w:eastAsia="Palatino Linotype" w:hAnsi="Palatino Linotype" w:cs="Palatino Linotype"/>
          <w:color w:val="000000"/>
        </w:rPr>
        <w:lastRenderedPageBreak/>
        <w:t>Acciones que realiza el Ayuntamiento de Tlalnepantla de Baz respecto al Programa insignia "Ciudades y espacio públicos seguros para mujeres y niñas", para crear un municipio digno para todas.</w:t>
      </w:r>
    </w:p>
    <w:p w:rsidR="003B4F5F" w:rsidRDefault="006D43CE">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el archivo electrónico  denominado </w:t>
      </w:r>
      <w:r>
        <w:rPr>
          <w:rFonts w:ascii="Palatino Linotype" w:eastAsia="Palatino Linotype" w:hAnsi="Palatino Linotype" w:cs="Palatino Linotype"/>
          <w:b/>
          <w:i/>
        </w:rPr>
        <w:t xml:space="preserve">“RESP_SAIMEX_00103_MUJER.pdf”, </w:t>
      </w:r>
      <w:r>
        <w:rPr>
          <w:rFonts w:ascii="Palatino Linotype" w:eastAsia="Palatino Linotype" w:hAnsi="Palatino Linotype" w:cs="Palatino Linotype"/>
        </w:rPr>
        <w:t xml:space="preserve">el cual consta de una foja y consiste en el pronunciamiento de la Titular de la Dirección de la Mujer, quien medularmente refiere lo siguiente: </w:t>
      </w:r>
    </w:p>
    <w:p w:rsidR="003B4F5F" w:rsidRDefault="006D43CE">
      <w:pPr>
        <w:spacing w:before="240" w:after="240" w:line="360" w:lineRule="auto"/>
        <w:ind w:left="567" w:right="902"/>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029568" cy="4975199"/>
            <wp:effectExtent l="0" t="0" r="0" b="0"/>
            <wp:docPr id="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4029568" cy="4975199"/>
                    </a:xfrm>
                    <a:prstGeom prst="rect">
                      <a:avLst/>
                    </a:prstGeom>
                    <a:ln/>
                  </pic:spPr>
                </pic:pic>
              </a:graphicData>
            </a:graphic>
          </wp:inline>
        </w:drawing>
      </w:r>
    </w:p>
    <w:p w:rsidR="003B4F5F" w:rsidRDefault="006D43CE">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En esta tesitura, una vez conocida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particular, al no estar conforme con los términos de la misma, interpuso el recurso de revisión que nos ocupa, donde señaló como razones o motivos de inconformidad: </w:t>
      </w:r>
      <w:r>
        <w:rPr>
          <w:rFonts w:ascii="Palatino Linotype" w:eastAsia="Palatino Linotype" w:hAnsi="Palatino Linotype" w:cs="Palatino Linotype"/>
          <w:b/>
          <w:i/>
          <w:u w:val="single"/>
        </w:rPr>
        <w:t>“No me están entregando la información solicitada, su respuesta refiere a acciones comunes y corrientes que es obligación del Ayuntamiento hacer, no me especifican las acciones realizadas para beneficio de las mujeres. Podar árboles, pintar banquetas, limpiar parques no tiene ningún beneficio para la seguridad de las mujeres.”</w:t>
      </w:r>
      <w:r>
        <w:rPr>
          <w:rFonts w:ascii="Palatino Linotype" w:eastAsia="Palatino Linotype" w:hAnsi="Palatino Linotype" w:cs="Palatino Linotype"/>
          <w:i/>
        </w:rPr>
        <w:t xml:space="preserve"> (Sic) (Énfasis añadido), </w:t>
      </w:r>
      <w:r>
        <w:rPr>
          <w:rFonts w:ascii="Palatino Linotype" w:eastAsia="Palatino Linotype" w:hAnsi="Palatino Linotype" w:cs="Palatino Linotype"/>
        </w:rPr>
        <w:t>es decir, su inconformidad medularmente versa respecto de la entrega de la información que no corresponde con lo solicitado.</w:t>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 </w:t>
      </w:r>
      <w:r>
        <w:rPr>
          <w:rFonts w:ascii="Palatino Linotype" w:eastAsia="Palatino Linotype" w:hAnsi="Palatino Linotype" w:cs="Palatino Linotype"/>
          <w:b/>
          <w:i/>
        </w:rPr>
        <w:t>“RESP_SAIMEX_00103_RR_00834_D_MUJER.pdf”</w:t>
      </w:r>
      <w:r>
        <w:rPr>
          <w:rFonts w:ascii="Palatino Linotype" w:eastAsia="Palatino Linotype" w:hAnsi="Palatino Linotype" w:cs="Palatino Linotype"/>
        </w:rPr>
        <w:t xml:space="preserve">, el cual contiene siete fojas y medularmente refiere lo siguiente: </w:t>
      </w: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3B4F5F">
      <w:pPr>
        <w:spacing w:before="240" w:after="240" w:line="360" w:lineRule="auto"/>
        <w:ind w:right="49"/>
        <w:jc w:val="both"/>
        <w:rPr>
          <w:rFonts w:ascii="Palatino Linotype" w:eastAsia="Palatino Linotype" w:hAnsi="Palatino Linotype" w:cs="Palatino Linotype"/>
        </w:rPr>
      </w:pPr>
    </w:p>
    <w:p w:rsidR="003B4F5F" w:rsidRDefault="006D43CE">
      <w:pPr>
        <w:spacing w:before="240" w:after="240" w:line="360" w:lineRule="auto"/>
        <w:ind w:right="49"/>
        <w:jc w:val="both"/>
        <w:rPr>
          <w:rFonts w:ascii="Palatino Linotype" w:eastAsia="Palatino Linotype" w:hAnsi="Palatino Linotype" w:cs="Palatino Linotype"/>
        </w:rPr>
      </w:pPr>
      <w:r>
        <w:rPr>
          <w:noProof/>
          <w:lang w:val="es-MX"/>
        </w:rPr>
        <w:lastRenderedPageBreak/>
        <w:drawing>
          <wp:anchor distT="0" distB="0" distL="114300" distR="114300" simplePos="0" relativeHeight="251661312" behindDoc="0" locked="0" layoutInCell="1" hidden="0" allowOverlap="1">
            <wp:simplePos x="0" y="0"/>
            <wp:positionH relativeFrom="column">
              <wp:posOffset>129540</wp:posOffset>
            </wp:positionH>
            <wp:positionV relativeFrom="paragraph">
              <wp:posOffset>162560</wp:posOffset>
            </wp:positionV>
            <wp:extent cx="5674360" cy="6600825"/>
            <wp:effectExtent l="0" t="0" r="0" b="0"/>
            <wp:wrapTopAndBottom distT="0" dist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74360" cy="6600825"/>
                    </a:xfrm>
                    <a:prstGeom prst="rect">
                      <a:avLst/>
                    </a:prstGeom>
                    <a:ln/>
                  </pic:spPr>
                </pic:pic>
              </a:graphicData>
            </a:graphic>
          </wp:anchor>
        </w:drawing>
      </w:r>
    </w:p>
    <w:p w:rsidR="003B4F5F" w:rsidRDefault="006D43CE">
      <w:pPr>
        <w:spacing w:before="240" w:after="240"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870029" cy="7092953"/>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70029" cy="7092953"/>
                    </a:xfrm>
                    <a:prstGeom prst="rect">
                      <a:avLst/>
                    </a:prstGeom>
                    <a:ln/>
                  </pic:spPr>
                </pic:pic>
              </a:graphicData>
            </a:graphic>
          </wp:inline>
        </w:drawing>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86400" cy="7029450"/>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486400" cy="7029450"/>
                    </a:xfrm>
                    <a:prstGeom prst="rect">
                      <a:avLst/>
                    </a:prstGeom>
                    <a:ln/>
                  </pic:spPr>
                </pic:pic>
              </a:graphicData>
            </a:graphic>
          </wp:inline>
        </w:drawing>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Previo análisis de lo vertido en las constancias que conforman el expediente electrónico, debe precisarse que el presente estudio tiene como objetivo determinar si con lo remitido por </w:t>
      </w:r>
      <w:r>
        <w:rPr>
          <w:rFonts w:ascii="Palatino Linotype" w:eastAsia="Palatino Linotype" w:hAnsi="Palatino Linotype" w:cs="Palatino Linotype"/>
          <w:b/>
        </w:rPr>
        <w:t>el Sujeto Obligado</w:t>
      </w:r>
      <w:r>
        <w:rPr>
          <w:rFonts w:ascii="Palatino Linotype" w:eastAsia="Palatino Linotype" w:hAnsi="Palatino Linotype" w:cs="Palatino Linotype"/>
        </w:rPr>
        <w:t>, satisface el derecho de acceso a la información pública del particular.</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iniciar este estudio resulta importante precisar que en el presente asunto, la Dirección de la Mujer aseveró contar con la información al pronunciarse, al respecto el Reglamento Interno de la Administración Pública Municipal de Tlalnepantla de Baz, Estado de México vigente, delega a esta unidad administrativa, el desempeño de las siguientes atribuciones: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“CAPÍTULO XV.-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DE LA DIRECCIÓN DE LA MUJER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400. </w:t>
      </w:r>
      <w:r>
        <w:rPr>
          <w:rFonts w:ascii="Palatino Linotype" w:eastAsia="Palatino Linotype" w:hAnsi="Palatino Linotype" w:cs="Palatino Linotype"/>
          <w:b/>
          <w:i/>
          <w:sz w:val="22"/>
          <w:szCs w:val="22"/>
        </w:rPr>
        <w:t>Para el despacho de los asuntos de su competencia, la Dirección de la Mujer, tendrá las siguientes facultades y obligaciones:</w:t>
      </w:r>
      <w:r>
        <w:rPr>
          <w:rFonts w:ascii="Palatino Linotype" w:eastAsia="Palatino Linotype" w:hAnsi="Palatino Linotype" w:cs="Palatino Linotype"/>
          <w:i/>
          <w:sz w:val="22"/>
          <w:szCs w:val="22"/>
        </w:rPr>
        <w:t xml:space="preserve"> </w:t>
      </w:r>
    </w:p>
    <w:p w:rsidR="003B4F5F" w:rsidRDefault="006D43CE">
      <w:pPr>
        <w:numPr>
          <w:ilvl w:val="0"/>
          <w:numId w:val="5"/>
        </w:numPr>
        <w:pBdr>
          <w:top w:val="nil"/>
          <w:left w:val="nil"/>
          <w:bottom w:val="nil"/>
          <w:right w:val="nil"/>
          <w:between w:val="nil"/>
        </w:pBdr>
        <w:spacing w:before="240" w:line="276" w:lineRule="auto"/>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Proponer al o la titular de la Presidencia Municipal programas y acciones de igualdad de género, en la elaboración del Plan de Desarrollo Municipal; </w:t>
      </w:r>
    </w:p>
    <w:p w:rsidR="003B4F5F" w:rsidRDefault="006D43CE">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Buscar y concertar apoyos altruistas para canalizarlos en la instrumentación de los programas a cargo de esta Dirección; </w:t>
      </w:r>
    </w:p>
    <w:p w:rsidR="003B4F5F" w:rsidRDefault="006D43CE">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Realizar programas enfocados en consolidar la igualdad de oportunidades en el trabajo, justicia, capacitación, salud y educación, así como para la prevención, combate y erradicación de cualquier tipo de discriminación y violencia hacia las mujeres; </w:t>
      </w:r>
    </w:p>
    <w:p w:rsidR="003B4F5F" w:rsidRDefault="006D43CE">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Implementar programas y acciones para concientizar y sensibilizar la condición y vulnerabilidad del género femenino; buscando así una igualdad de oportunidades, así como también la promoción de nuevas masculinidades; </w:t>
      </w:r>
    </w:p>
    <w:p w:rsidR="003B4F5F" w:rsidRDefault="006D43CE">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Implementar programas de asesoría jurídica y psicológica a mujeres víctimas de algún tipo de violencia, y así mismo, promover y difundir los derechos de las mujeres; </w:t>
      </w:r>
    </w:p>
    <w:p w:rsidR="003B4F5F" w:rsidRDefault="006D43CE">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Establecer, desarrollar y mantener relaciones de coordinación con instituciones de salud, en los tres órdenes de gobierno, privadas y de asistencia, así como asociaciones y grupos dentro y fuera del Municipio; que permitan la implementación de programas de salud para las mujeres; </w:t>
      </w:r>
    </w:p>
    <w:p w:rsidR="003B4F5F" w:rsidRDefault="006D43CE">
      <w:pPr>
        <w:numPr>
          <w:ilvl w:val="0"/>
          <w:numId w:val="5"/>
        </w:numPr>
        <w:pBdr>
          <w:top w:val="nil"/>
          <w:left w:val="nil"/>
          <w:bottom w:val="nil"/>
          <w:right w:val="nil"/>
          <w:between w:val="nil"/>
        </w:pBdr>
        <w:spacing w:line="276" w:lineRule="auto"/>
        <w:ind w:left="567" w:right="709" w:hanging="425"/>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Promover el desarrollo de las mujeres para lograr su empoderamiento y mejorar su nivel y calidad de vida; </w:t>
      </w:r>
    </w:p>
    <w:p w:rsidR="003B4F5F" w:rsidRDefault="006D43CE">
      <w:pPr>
        <w:numPr>
          <w:ilvl w:val="0"/>
          <w:numId w:val="5"/>
        </w:numPr>
        <w:pBdr>
          <w:top w:val="nil"/>
          <w:left w:val="nil"/>
          <w:bottom w:val="nil"/>
          <w:right w:val="nil"/>
          <w:between w:val="nil"/>
        </w:pBdr>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Instrumentar, aprobar y supervisar campañas de difusión en el territorio municipal, a fin de promover los programas y servicios a su cargo; </w:t>
      </w:r>
    </w:p>
    <w:p w:rsidR="003B4F5F" w:rsidRDefault="006D43CE">
      <w:pPr>
        <w:numPr>
          <w:ilvl w:val="0"/>
          <w:numId w:val="5"/>
        </w:numPr>
        <w:pBdr>
          <w:top w:val="nil"/>
          <w:left w:val="nil"/>
          <w:bottom w:val="nil"/>
          <w:right w:val="nil"/>
          <w:between w:val="nil"/>
        </w:pBdr>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Promover el vínculo con empresas, asociaciones y cámaras empresariales, canalizando a las mujeres, con fines laborales; </w:t>
      </w:r>
    </w:p>
    <w:p w:rsidR="003B4F5F" w:rsidRDefault="006D43CE">
      <w:pPr>
        <w:numPr>
          <w:ilvl w:val="0"/>
          <w:numId w:val="5"/>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Coadyuvar en la transversalización e institucionalización de la perspectiva de género al interior de instituciones públicas y privadas, así como en los planes, programas y presupuestos municipales; </w:t>
      </w:r>
    </w:p>
    <w:p w:rsidR="003B4F5F" w:rsidRDefault="006D43CE">
      <w:pPr>
        <w:numPr>
          <w:ilvl w:val="0"/>
          <w:numId w:val="5"/>
        </w:numPr>
        <w:pBdr>
          <w:top w:val="nil"/>
          <w:left w:val="nil"/>
          <w:bottom w:val="nil"/>
          <w:right w:val="nil"/>
          <w:between w:val="nil"/>
        </w:pBdr>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Gestionar y promover la celebración de convenios de coordinación y concertación con instituciones públicas, privadas y/o sociales, a favor de los derechos de las mujeres; </w:t>
      </w:r>
    </w:p>
    <w:p w:rsidR="003B4F5F" w:rsidRDefault="006D43CE">
      <w:pPr>
        <w:numPr>
          <w:ilvl w:val="0"/>
          <w:numId w:val="5"/>
        </w:numPr>
        <w:pBdr>
          <w:top w:val="nil"/>
          <w:left w:val="nil"/>
          <w:bottom w:val="nil"/>
          <w:right w:val="nil"/>
          <w:between w:val="nil"/>
        </w:pBdr>
        <w:spacing w:line="276" w:lineRule="auto"/>
        <w:ind w:left="567" w:right="709" w:hanging="42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Dirigir la implementación de acciones gubernamentales de emergencia para prevenir, combatir y erradicar la violencia feminicida y/o la existencia de un agravio comparado que impida el ejercicio pleno de las libertades y los derechos humanos de las mujeres en el Municipio; y </w:t>
      </w:r>
    </w:p>
    <w:p w:rsidR="003B4F5F" w:rsidRDefault="006D43CE">
      <w:pPr>
        <w:numPr>
          <w:ilvl w:val="0"/>
          <w:numId w:val="5"/>
        </w:numPr>
        <w:pBdr>
          <w:top w:val="nil"/>
          <w:left w:val="nil"/>
          <w:bottom w:val="nil"/>
          <w:right w:val="nil"/>
          <w:between w:val="nil"/>
        </w:pBdr>
        <w:spacing w:line="276" w:lineRule="auto"/>
        <w:ind w:left="567" w:right="709"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demás que le señalen, las leyes, reglamentos y disposiciones jurídicas aplicables. </w:t>
      </w:r>
    </w:p>
    <w:p w:rsidR="003B4F5F" w:rsidRDefault="003B4F5F">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p>
    <w:p w:rsidR="003B4F5F" w:rsidRDefault="006D43CE">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401. La Dirección de la Mujer, contará con una o un titular que será responsable de la conducción, supervisión y ejecución de las atribuciones a que se refiere el artículo que antecede y para su auxilio, tendrá a su cargo las siguientes unidades administrativas: </w:t>
      </w:r>
    </w:p>
    <w:p w:rsidR="003B4F5F" w:rsidRDefault="006D43CE">
      <w:pPr>
        <w:numPr>
          <w:ilvl w:val="0"/>
          <w:numId w:val="6"/>
        </w:numPr>
        <w:pBdr>
          <w:top w:val="nil"/>
          <w:left w:val="nil"/>
          <w:bottom w:val="nil"/>
          <w:right w:val="nil"/>
          <w:between w:val="nil"/>
        </w:pBdr>
        <w:spacing w:line="276" w:lineRule="auto"/>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Subdirección de Prevención y Atención a la Violencia; </w:t>
      </w:r>
    </w:p>
    <w:p w:rsidR="003B4F5F" w:rsidRDefault="006D43CE">
      <w:pPr>
        <w:numPr>
          <w:ilvl w:val="0"/>
          <w:numId w:val="6"/>
        </w:numPr>
        <w:pBdr>
          <w:top w:val="nil"/>
          <w:left w:val="nil"/>
          <w:bottom w:val="nil"/>
          <w:right w:val="nil"/>
          <w:between w:val="nil"/>
        </w:pBdr>
        <w:spacing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Subdirección de los Derechos de la Mujer; y </w:t>
      </w:r>
    </w:p>
    <w:p w:rsidR="003B4F5F" w:rsidRDefault="006D43CE">
      <w:pPr>
        <w:numPr>
          <w:ilvl w:val="0"/>
          <w:numId w:val="6"/>
        </w:numPr>
        <w:pBdr>
          <w:top w:val="nil"/>
          <w:left w:val="nil"/>
          <w:bottom w:val="nil"/>
          <w:right w:val="nil"/>
          <w:between w:val="nil"/>
        </w:pBdr>
        <w:spacing w:after="240" w:line="276" w:lineRule="auto"/>
        <w:ind w:left="567" w:right="709" w:hanging="28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Enlace Administrativo.</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SECCIÓN I </w:t>
      </w:r>
    </w:p>
    <w:p w:rsidR="003B4F5F" w:rsidRDefault="006D43CE">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DE LA SUBDIRECCIÓN DE PREVENCIÓN Y ATENCIÓN A LA VIOLENCIA ARTÍCULO 402. </w:t>
      </w:r>
      <w:r>
        <w:rPr>
          <w:rFonts w:ascii="Palatino Linotype" w:eastAsia="Palatino Linotype" w:hAnsi="Palatino Linotype" w:cs="Palatino Linotype"/>
          <w:b/>
          <w:i/>
          <w:sz w:val="22"/>
          <w:szCs w:val="22"/>
        </w:rPr>
        <w:t xml:space="preserve">Para el despacho de los asuntos de su competencia, la </w:t>
      </w:r>
      <w:r>
        <w:rPr>
          <w:rFonts w:ascii="Palatino Linotype" w:eastAsia="Palatino Linotype" w:hAnsi="Palatino Linotype" w:cs="Palatino Linotype"/>
          <w:b/>
          <w:i/>
          <w:sz w:val="22"/>
          <w:szCs w:val="22"/>
        </w:rPr>
        <w:lastRenderedPageBreak/>
        <w:t xml:space="preserve">Subdirección de Prevención y Atención a la Violencia, tendrá las siguientes facultades y obligaciones: </w:t>
      </w:r>
    </w:p>
    <w:p w:rsidR="003B4F5F" w:rsidRDefault="006D43CE">
      <w:pPr>
        <w:numPr>
          <w:ilvl w:val="0"/>
          <w:numId w:val="1"/>
        </w:numPr>
        <w:pBdr>
          <w:top w:val="nil"/>
          <w:left w:val="nil"/>
          <w:bottom w:val="nil"/>
          <w:right w:val="nil"/>
          <w:between w:val="nil"/>
        </w:pBdr>
        <w:spacing w:before="240" w:line="276" w:lineRule="auto"/>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Supervisar y coordinar la realización de políticas, programas y acciones transversales para prevenir, atender, combatir, sancionar y erradicar la violencia contra las mujeres;</w:t>
      </w:r>
      <w:r>
        <w:rPr>
          <w:rFonts w:ascii="Palatino Linotype" w:eastAsia="Palatino Linotype" w:hAnsi="Palatino Linotype" w:cs="Palatino Linotype"/>
          <w:i/>
          <w:color w:val="000000"/>
          <w:sz w:val="22"/>
          <w:szCs w:val="22"/>
        </w:rPr>
        <w:t xml:space="preserve"> </w:t>
      </w:r>
    </w:p>
    <w:p w:rsidR="003B4F5F" w:rsidRDefault="006D43CE">
      <w:pPr>
        <w:numPr>
          <w:ilvl w:val="0"/>
          <w:numId w:val="1"/>
        </w:numPr>
        <w:pBdr>
          <w:top w:val="nil"/>
          <w:left w:val="nil"/>
          <w:bottom w:val="nil"/>
          <w:right w:val="nil"/>
          <w:between w:val="nil"/>
        </w:pBdr>
        <w:spacing w:after="240" w:line="276" w:lineRule="auto"/>
        <w:ind w:left="567" w:right="709" w:hanging="14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Integrar y mantener actualizado un sistema de información y reporte para conocer la situación que guardan las acciones de prevención, atención, combate, sanción y erradicación de la violencia contra las mujeres, en el Municipio;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Supervisar la actualización de la información del Banco Nacional de Datos e Información sobre Casos de Violencia Contra las Mujeres;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Establecer comunicación y vínculos de coordinación con la Policía de Género para atender a mujeres que sean víctimas de violencia de género en el Municipio, de conformidad con la normatividad aplicable;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Supervisar la implementación de acciones gubernamentales de emergencia para enfrentar y erradicar la violencia feminicida y/o la existencia de un agravio comparado que impida el ejercicio pleno de los derechos humanos de las mujeres, en el Municipio; </w:t>
      </w:r>
    </w:p>
    <w:p w:rsidR="003B4F5F" w:rsidRDefault="006D43CE">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Proponer programas, medidas y acciones que considere pertinentes, con la finalidad de erradicar la violencia de género, en el Municipio;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Canalizar a las mujeres víctimas de violencia de género, a programas de atención integral que les permitan participar activamente en la vida pública, privada y social; VIII. Promover y vigilar que la atención ofrecida a las mujeres en las diferentes dependencias del Ayuntamiento, Organismos Descentralizados y Órganos Autónomos, sea proporcionada por especialistas en la materia, sin prejuicios ni discriminación alguna;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Difundir el respeto a los Derechos Humanos de las mujeres y promover que las instancias de gobierno garanticen la integridad, la dignidad y la libertad de las mujeres; </w:t>
      </w:r>
    </w:p>
    <w:p w:rsidR="003B4F5F" w:rsidRDefault="006D43CE">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 xml:space="preserve">X. Coadyuvar en la promoción del conocimiento de los derechos, de los procesos y los mecanismos para acceder a la atención, prevención y erradicación de la violencia contra las mujeres; </w:t>
      </w:r>
    </w:p>
    <w:p w:rsidR="003B4F5F" w:rsidRDefault="006D43CE">
      <w:pPr>
        <w:spacing w:before="240" w:after="240" w:line="276" w:lineRule="auto"/>
        <w:ind w:left="567"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XI. Difundir el respeto de los Derechos Humanos de las mujeres y promover acciones que garanticen su integridad, dignidad y libertad; </w:t>
      </w:r>
    </w:p>
    <w:p w:rsidR="003B4F5F" w:rsidRDefault="006D43CE">
      <w:pPr>
        <w:spacing w:before="240" w:after="240" w:line="276" w:lineRule="auto"/>
        <w:ind w:left="567"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Formular y ejecutar el programa municipal relativo a la atención, prevención, sanción y erradicación de la violencia contra las mujeres, así como presentar detallada, precisa y técnicamente su informe anual;</w:t>
      </w:r>
    </w:p>
    <w:p w:rsidR="003B4F5F" w:rsidRDefault="006D43CE">
      <w:pPr>
        <w:numPr>
          <w:ilvl w:val="0"/>
          <w:numId w:val="5"/>
        </w:numPr>
        <w:pBdr>
          <w:top w:val="nil"/>
          <w:left w:val="nil"/>
          <w:bottom w:val="nil"/>
          <w:right w:val="nil"/>
          <w:between w:val="nil"/>
        </w:pBdr>
        <w:spacing w:before="240" w:line="276" w:lineRule="auto"/>
        <w:ind w:left="567" w:right="709" w:hanging="567"/>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Revisar y evaluar la eficacia en la eliminación de las causas de la violencia de género y en el impulso del adelanto de las mujeres y la equidad entre los géneros, de las acciones, las políticas públicas y los programas municipales; </w:t>
      </w:r>
    </w:p>
    <w:p w:rsidR="003B4F5F" w:rsidRDefault="006D43CE">
      <w:pPr>
        <w:numPr>
          <w:ilvl w:val="0"/>
          <w:numId w:val="5"/>
        </w:numPr>
        <w:pBdr>
          <w:top w:val="nil"/>
          <w:left w:val="nil"/>
          <w:bottom w:val="nil"/>
          <w:right w:val="nil"/>
          <w:between w:val="nil"/>
        </w:pBdr>
        <w:spacing w:line="276" w:lineRule="auto"/>
        <w:ind w:left="567" w:right="709"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Impulsar la participación de las Organizaciones de la Sociedad Civil, dedicadas a la promoción y defensa de los Derechos Humanos de las mujeres y las niñas, en la ejecución de los programas municipales, así como generar un padrón único de las organizaciones dedicadas a la promoción y derechos de la mujer;</w:t>
      </w:r>
    </w:p>
    <w:p w:rsidR="003B4F5F" w:rsidRDefault="006D43CE">
      <w:pPr>
        <w:numPr>
          <w:ilvl w:val="0"/>
          <w:numId w:val="5"/>
        </w:numPr>
        <w:pBdr>
          <w:top w:val="nil"/>
          <w:left w:val="nil"/>
          <w:bottom w:val="nil"/>
          <w:right w:val="nil"/>
          <w:between w:val="nil"/>
        </w:pBdr>
        <w:spacing w:line="276" w:lineRule="auto"/>
        <w:ind w:left="567" w:right="709"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Recibir de las Organizaciones de la Sociedad Civil, las propuestas y recomendaciones sobre la prevención, atención y sanción de la violencia contra mujeres y las niñas, a fin de mejorar los mecanismos para su erradicación; y</w:t>
      </w:r>
    </w:p>
    <w:p w:rsidR="003B4F5F" w:rsidRDefault="006D43CE">
      <w:pPr>
        <w:numPr>
          <w:ilvl w:val="0"/>
          <w:numId w:val="5"/>
        </w:numPr>
        <w:pBdr>
          <w:top w:val="nil"/>
          <w:left w:val="nil"/>
          <w:bottom w:val="nil"/>
          <w:right w:val="nil"/>
          <w:between w:val="nil"/>
        </w:pBdr>
        <w:spacing w:line="276" w:lineRule="auto"/>
        <w:ind w:left="567" w:right="709" w:hanging="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demás que deriven de otros ordenamientos legales aplicables o que sean instruidas por el o la titular de la Presidencia Municipal.”</w:t>
      </w:r>
    </w:p>
    <w:p w:rsidR="003B4F5F" w:rsidRDefault="003B4F5F">
      <w:pPr>
        <w:pBdr>
          <w:top w:val="nil"/>
          <w:left w:val="nil"/>
          <w:bottom w:val="nil"/>
          <w:right w:val="nil"/>
          <w:between w:val="nil"/>
        </w:pBdr>
        <w:spacing w:line="276" w:lineRule="auto"/>
        <w:ind w:left="567" w:right="709"/>
        <w:jc w:val="both"/>
        <w:rPr>
          <w:rFonts w:ascii="Palatino Linotype" w:eastAsia="Palatino Linotype" w:hAnsi="Palatino Linotype" w:cs="Palatino Linotype"/>
          <w:i/>
          <w:color w:val="000000"/>
          <w:sz w:val="22"/>
          <w:szCs w:val="22"/>
        </w:rPr>
      </w:pPr>
    </w:p>
    <w:p w:rsidR="003B4F5F" w:rsidRDefault="006D43CE">
      <w:pPr>
        <w:pBdr>
          <w:top w:val="nil"/>
          <w:left w:val="nil"/>
          <w:bottom w:val="nil"/>
          <w:right w:val="nil"/>
          <w:between w:val="nil"/>
        </w:pBdr>
        <w:spacing w:after="240" w:line="276" w:lineRule="auto"/>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citado con antelación, se advierte que la Dirección de la Mujer es la unidad administrativa competente al interior,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ello en razón de que se encarga de la implementación de programas y acciones para concientizar y sensibilizar la condición y vulnerabilidad del género femenino; buscando así una igualdad de oportunidades, así como también la promoción de nuevas masculinidades, realizar programas enfocados en consolidar la igualdad de </w:t>
      </w:r>
      <w:r>
        <w:rPr>
          <w:rFonts w:ascii="Palatino Linotype" w:eastAsia="Palatino Linotype" w:hAnsi="Palatino Linotype" w:cs="Palatino Linotype"/>
        </w:rPr>
        <w:lastRenderedPageBreak/>
        <w:t xml:space="preserve">oportunidades en el trabajo, justicia, capacitación, salud y educación, así como para la prevención, combate y erradicación de cualquier tipo de discriminación y violencia hacia las mujeres, así como promover el desarrollo de las mujeres para lograr su empoderamiento y mejorar su calidad de vida, no obstante, del análisis a la respuesta inicial,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manifestó que durante la administración pública municipal 2019-2021, recibió por parte de la Comisión Ejecutiva de Atención a Víctimas del Estado de México, la guía metodológica para la recuperación, rehabilitación, y creación de espacios públicos con perspectiva de género, derivando de esto la creación del programa “Me muevo segura”, el cual contemplaba el rescate de espacios públicos con perspectiva de género tomando en cuenta la revisión de luminarias, poda de árboles, trabajos de tequio, rehabilitación de andadores, patrullajes preventivos, módulos de video vigilancia, con botón de pánico en 35 puntos del territorio municipal, </w:t>
      </w:r>
      <w:r>
        <w:rPr>
          <w:rFonts w:ascii="Palatino Linotype" w:eastAsia="Palatino Linotype" w:hAnsi="Palatino Linotype" w:cs="Palatino Linotype"/>
          <w:b/>
          <w:u w:val="single"/>
        </w:rPr>
        <w:t>esto sin manifestar de manera clara y precisa si estas acciones pertenecen al programa insignia</w:t>
      </w:r>
      <w:r>
        <w:rPr>
          <w:rFonts w:ascii="Palatino Linotype" w:eastAsia="Palatino Linotype" w:hAnsi="Palatino Linotype" w:cs="Palatino Linotype"/>
          <w:u w:val="single"/>
        </w:rPr>
        <w:t xml:space="preserve"> </w:t>
      </w:r>
      <w:r>
        <w:rPr>
          <w:rFonts w:ascii="Palatino Linotype" w:eastAsia="Palatino Linotype" w:hAnsi="Palatino Linotype" w:cs="Palatino Linotype"/>
          <w:b/>
          <w:i/>
          <w:u w:val="single"/>
        </w:rPr>
        <w:t>"Ciudades y espacio públicos seguros para mujeres y niñas</w:t>
      </w:r>
      <w:r>
        <w:rPr>
          <w:rFonts w:ascii="Palatino Linotype" w:eastAsia="Palatino Linotype" w:hAnsi="Palatino Linotype" w:cs="Palatino Linotype"/>
          <w:u w:val="single"/>
        </w:rPr>
        <w:t>”</w:t>
      </w:r>
      <w:r>
        <w:rPr>
          <w:rFonts w:ascii="Palatino Linotype" w:eastAsia="Palatino Linotype" w:hAnsi="Palatino Linotype" w:cs="Palatino Linotype"/>
        </w:rPr>
        <w:t xml:space="preserve"> como fue requerido en la solicitud, ello en razón de que únicamente se limitó a expresar que la administración pública 2019-2021 recibió la guía metodológica para la recuperación, rehabilitación, y creación de espacios públicos con perspectiva de género, derivando de esto la creación del programa “Me muevo segura”, así como sus acciones realizadas sin existir una manifestación que permita dilucidar si estas acciones derivan del cumplimiento al programa insignia </w:t>
      </w:r>
      <w:r>
        <w:rPr>
          <w:rFonts w:ascii="Palatino Linotype" w:eastAsia="Palatino Linotype" w:hAnsi="Palatino Linotype" w:cs="Palatino Linotype"/>
          <w:b/>
          <w:i/>
        </w:rPr>
        <w:t>"Ciudades y espacio públicos seguros para mujeres y niñas</w:t>
      </w:r>
      <w:r>
        <w:rPr>
          <w:rFonts w:ascii="Palatino Linotype" w:eastAsia="Palatino Linotype" w:hAnsi="Palatino Linotype" w:cs="Palatino Linotype"/>
        </w:rPr>
        <w:t>”, sirve como refuerzo de lo anterior, traer a colación</w:t>
      </w:r>
      <w:r>
        <w:rPr>
          <w:rFonts w:ascii="Palatino Linotype" w:eastAsia="Palatino Linotype" w:hAnsi="Palatino Linotype" w:cs="Palatino Linotype"/>
          <w:color w:val="000000"/>
          <w:u w:val="single"/>
        </w:rPr>
        <w:t xml:space="preserve"> el Criterio 02/17, emitido por el Pleno del </w:t>
      </w:r>
      <w:r>
        <w:rPr>
          <w:rFonts w:ascii="Palatino Linotype" w:eastAsia="Palatino Linotype" w:hAnsi="Palatino Linotype" w:cs="Palatino Linotype"/>
        </w:rPr>
        <w:t xml:space="preserve">Instituto Nacional de </w:t>
      </w:r>
      <w:r>
        <w:rPr>
          <w:rFonts w:ascii="Palatino Linotype" w:eastAsia="Palatino Linotype" w:hAnsi="Palatino Linotype" w:cs="Palatino Linotype"/>
        </w:rPr>
        <w:lastRenderedPageBreak/>
        <w:t>Transparencia y Acceso a la Información y Protección de Datos Personales, de título y texto siguientes:</w:t>
      </w:r>
    </w:p>
    <w:p w:rsidR="003B4F5F" w:rsidRDefault="006D43CE">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Congruencia y exhaustividad. Sus alcances para garantizar el derecho de acceso a la información. </w:t>
      </w:r>
      <w:r>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Pr>
          <w:rFonts w:ascii="Palatino Linotype" w:eastAsia="Palatino Linotype" w:hAnsi="Palatino Linotype" w:cs="Palatino Linotype"/>
          <w:i/>
          <w:sz w:val="22"/>
          <w:szCs w:val="22"/>
        </w:rPr>
        <w:t xml:space="preserve">; mientras que </w:t>
      </w:r>
      <w:r>
        <w:rPr>
          <w:rFonts w:ascii="Palatino Linotype" w:eastAsia="Palatino Linotype" w:hAnsi="Palatino Linotype" w:cs="Palatino Linotype"/>
          <w:b/>
          <w:i/>
          <w:sz w:val="22"/>
          <w:szCs w:val="22"/>
        </w:rPr>
        <w:t>la exhaustividad significa que dicha respuesta se refiera expresamente a cada uno de los puntos solicitados</w:t>
      </w:r>
      <w:r>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3B4F5F" w:rsidRDefault="006D43C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p>
    <w:p w:rsidR="003B4F5F" w:rsidRDefault="006D43C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Bajo este orden de ideas, debe apuntarse que el Programa Insignia “Ciudades y Espacios Públicos para Mujeres y Niñas” surgió como un programa de ONU Mujeres en 2008, como una respuesta para prevenir y responder a las situaciones de violencia que viven las mujeres en las ciudades, así como para generar conciencia, evidencia, campañas de comunicación y buenas prácticas en la prevención del acoso sexual y los diversos tipos de violencia que enfrentan las mujeres y las niñas en todo el mundo en los espacios públicos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debe precisarse </w:t>
      </w:r>
      <w:r>
        <w:rPr>
          <w:rFonts w:ascii="Palatino Linotype" w:eastAsia="Palatino Linotype" w:hAnsi="Palatino Linotype" w:cs="Palatino Linotype"/>
        </w:rPr>
        <w:lastRenderedPageBreak/>
        <w:t>que en la actualidad a</w:t>
      </w:r>
      <w:r>
        <w:rPr>
          <w:rFonts w:ascii="Palatino Linotype" w:eastAsia="Palatino Linotype" w:hAnsi="Palatino Linotype" w:cs="Palatino Linotype"/>
          <w:b/>
        </w:rPr>
        <w:t>lrededor de 20 ciudades a nivel global se han unido a este programa</w:t>
      </w:r>
      <w:r>
        <w:rPr>
          <w:rFonts w:ascii="Palatino Linotype" w:eastAsia="Palatino Linotype" w:hAnsi="Palatino Linotype" w:cs="Palatino Linotype"/>
        </w:rPr>
        <w:t xml:space="preserve">, tales como las siguientes: </w:t>
      </w:r>
    </w:p>
    <w:p w:rsidR="003B4F5F" w:rsidRDefault="003B4F5F">
      <w:pPr>
        <w:spacing w:line="360" w:lineRule="auto"/>
        <w:ind w:right="49"/>
        <w:jc w:val="both"/>
        <w:rPr>
          <w:rFonts w:ascii="Palatino Linotype" w:eastAsia="Palatino Linotype" w:hAnsi="Palatino Linotype" w:cs="Palatino Linotype"/>
        </w:rPr>
      </w:pPr>
    </w:p>
    <w:p w:rsidR="003B4F5F" w:rsidRDefault="006D43C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86400" cy="584835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86400" cy="5848350"/>
                    </a:xfrm>
                    <a:prstGeom prst="rect">
                      <a:avLst/>
                    </a:prstGeom>
                    <a:ln/>
                  </pic:spPr>
                </pic:pic>
              </a:graphicData>
            </a:graphic>
          </wp:inline>
        </w:drawing>
      </w:r>
    </w:p>
    <w:p w:rsidR="003B4F5F" w:rsidRDefault="006D43C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Resulta conveniente referir que las ciudades que acceden integrarse a este programa adquieren una serie de compromisos, los cuales se citan a continuación para mejor proveer del presente análisis: </w:t>
      </w:r>
    </w:p>
    <w:p w:rsidR="003B4F5F" w:rsidRDefault="003B4F5F">
      <w:pPr>
        <w:spacing w:line="360" w:lineRule="auto"/>
        <w:ind w:right="49"/>
        <w:jc w:val="both"/>
        <w:rPr>
          <w:rFonts w:ascii="Palatino Linotype" w:eastAsia="Palatino Linotype" w:hAnsi="Palatino Linotype" w:cs="Palatino Linotype"/>
        </w:rPr>
      </w:pPr>
    </w:p>
    <w:p w:rsidR="003B4F5F" w:rsidRDefault="006D43CE">
      <w:pPr>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612977" cy="5197609"/>
            <wp:effectExtent l="0" t="0" r="0" b="0"/>
            <wp:docPr id="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612977" cy="5197609"/>
                    </a:xfrm>
                    <a:prstGeom prst="rect">
                      <a:avLst/>
                    </a:prstGeom>
                    <a:ln/>
                  </pic:spPr>
                </pic:pic>
              </a:graphicData>
            </a:graphic>
          </wp:inline>
        </w:drawing>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debemos recordar que en la respuesta y en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únicamente se manifestó respecto de las acciones empleadas </w:t>
      </w:r>
      <w:r>
        <w:rPr>
          <w:rFonts w:ascii="Palatino Linotype" w:eastAsia="Palatino Linotype" w:hAnsi="Palatino Linotype" w:cs="Palatino Linotype"/>
        </w:rPr>
        <w:lastRenderedPageBreak/>
        <w:t xml:space="preserve">para la recuperación de los espacios públicos de acuerdo al Resolutivo Segundo de la Declaratoria de Procedencia Respecto a la Solicitud de Alerta de Violencia de Género contras las Mujeres para el Estado de México en 2015, fracción I correspondiente a las medidas de seguridad, numeral 2, tal como se vislumbra en las siguientes ilustraciones: </w:t>
      </w:r>
    </w:p>
    <w:p w:rsidR="003B4F5F" w:rsidRDefault="006D43CE">
      <w:pPr>
        <w:widowControl w:val="0"/>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192601" cy="1193249"/>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192601" cy="1193249"/>
                    </a:xfrm>
                    <a:prstGeom prst="rect">
                      <a:avLst/>
                    </a:prstGeom>
                    <a:ln/>
                  </pic:spPr>
                </pic:pic>
              </a:graphicData>
            </a:graphic>
          </wp:inline>
        </w:drawing>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353261" cy="2583692"/>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353261" cy="2583692"/>
                    </a:xfrm>
                    <a:prstGeom prst="rect">
                      <a:avLst/>
                    </a:prstGeom>
                    <a:ln/>
                  </pic:spPr>
                </pic:pic>
              </a:graphicData>
            </a:graphic>
          </wp:inline>
        </w:drawing>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416921" cy="4316609"/>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416921" cy="4316609"/>
                    </a:xfrm>
                    <a:prstGeom prst="rect">
                      <a:avLst/>
                    </a:prstGeom>
                    <a:ln/>
                  </pic:spPr>
                </pic:pic>
              </a:graphicData>
            </a:graphic>
          </wp:inline>
        </w:drawing>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486400" cy="2438400"/>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5486400" cy="2438400"/>
                    </a:xfrm>
                    <a:prstGeom prst="rect">
                      <a:avLst/>
                    </a:prstGeom>
                    <a:ln/>
                  </pic:spPr>
                </pic:pic>
              </a:graphicData>
            </a:graphic>
          </wp:inline>
        </w:drawing>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228600</wp:posOffset>
                </wp:positionH>
                <wp:positionV relativeFrom="paragraph">
                  <wp:posOffset>800100</wp:posOffset>
                </wp:positionV>
                <wp:extent cx="5181600" cy="1552575"/>
                <wp:effectExtent l="0" t="0" r="0" b="0"/>
                <wp:wrapNone/>
                <wp:docPr id="44" name=""/>
                <wp:cNvGraphicFramePr/>
                <a:graphic xmlns:a="http://schemas.openxmlformats.org/drawingml/2006/main">
                  <a:graphicData uri="http://schemas.microsoft.com/office/word/2010/wordprocessingShape">
                    <wps:wsp>
                      <wps:cNvSpPr/>
                      <wps:spPr>
                        <a:xfrm>
                          <a:off x="2783775" y="3032288"/>
                          <a:ext cx="5124450" cy="1495425"/>
                        </a:xfrm>
                        <a:prstGeom prst="rect">
                          <a:avLst/>
                        </a:prstGeom>
                        <a:noFill/>
                        <a:ln w="28575" cap="flat" cmpd="sng">
                          <a:solidFill>
                            <a:srgbClr val="002060"/>
                          </a:solidFill>
                          <a:prstDash val="solid"/>
                          <a:round/>
                          <a:headEnd type="none" w="sm" len="sm"/>
                          <a:tailEnd type="none" w="sm" len="sm"/>
                        </a:ln>
                      </wps:spPr>
                      <wps:txbx>
                        <w:txbxContent>
                          <w:p w:rsidR="003B4F5F" w:rsidRDefault="003B4F5F">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228600</wp:posOffset>
                </wp:positionH>
                <wp:positionV relativeFrom="paragraph">
                  <wp:posOffset>800100</wp:posOffset>
                </wp:positionV>
                <wp:extent cx="5181600" cy="1552575"/>
                <wp:effectExtent b="0" l="0" r="0" t="0"/>
                <wp:wrapNone/>
                <wp:docPr id="44" name="image11.png"/>
                <a:graphic>
                  <a:graphicData uri="http://schemas.openxmlformats.org/drawingml/2006/picture">
                    <pic:pic>
                      <pic:nvPicPr>
                        <pic:cNvPr id="0" name="image11.png"/>
                        <pic:cNvPicPr preferRelativeResize="0"/>
                      </pic:nvPicPr>
                      <pic:blipFill>
                        <a:blip r:embed="rId19"/>
                        <a:srcRect/>
                        <a:stretch>
                          <a:fillRect/>
                        </a:stretch>
                      </pic:blipFill>
                      <pic:spPr>
                        <a:xfrm>
                          <a:off x="0" y="0"/>
                          <a:ext cx="5181600" cy="1552575"/>
                        </a:xfrm>
                        <a:prstGeom prst="rect"/>
                        <a:ln/>
                      </pic:spPr>
                    </pic:pic>
                  </a:graphicData>
                </a:graphic>
              </wp:anchor>
            </w:drawing>
          </mc:Fallback>
        </mc:AlternateContent>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de lo expuesto con antelación, se concluye que las acciones reportadas por el Sujeto Obligado mediante respuesta e informe justificado, corresponden a las previstas por el Resolutivo Segundo de la Declaratoria de Procedencia Respecto a la Solicitud de Alerta de Violencia de Género contras las Mujeres para el Estado de México en 2015, fracción I referente a las medidas de seguridad, en su numeral 2, no así del Programa Insignia “Ciudades y Espacios Públicos para Mujeres y Niñas”, por lo tanto, no se puede tener por colmado el derecho de acceso a la información pública que el texto constitucional y demás ordenamientos aplicables reconocen a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por lo que</w:t>
      </w:r>
      <w:r>
        <w:rPr>
          <w:rFonts w:ascii="Palatino Linotype" w:eastAsia="Palatino Linotype" w:hAnsi="Palatino Linotype" w:cs="Palatino Linotype"/>
          <w:b/>
        </w:rPr>
        <w:t xml:space="preserve"> </w:t>
      </w:r>
      <w:r>
        <w:rPr>
          <w:rFonts w:ascii="Palatino Linotype" w:eastAsia="Palatino Linotype" w:hAnsi="Palatino Linotype" w:cs="Palatino Linotype"/>
        </w:rPr>
        <w:t>se estima procedente que el Sujeto Obligado efectúe una búsqueda exhaustiva y razonable al interior de sus archivos para efecto de localizar los documentos en los que consten las acciones realizadas para dar cumplimiento a las disposiciones del Programa Insignia “Ciudades y Espacios Públicos para Mujeres y Niñas”, sin embargo,</w:t>
      </w:r>
      <w:r>
        <w:rPr>
          <w:rFonts w:ascii="Palatino Linotype" w:eastAsia="Palatino Linotype" w:hAnsi="Palatino Linotype" w:cs="Palatino Linotype"/>
          <w:color w:val="000000"/>
        </w:rPr>
        <w:t xml:space="preserve"> de ser el caso en el que derivado de una búsqueda exhaustiva y razonable dentro de los archivos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se localice la información requerida, deberá manifestarse a la parte solicitante de manera fundada y motivada, toda vez que así se brinda certeza jurídica a los particulares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realizó una búsqueda dentro de sus archivos. </w:t>
      </w:r>
    </w:p>
    <w:p w:rsidR="003B4F5F" w:rsidRDefault="006D43C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DE LOS ACTOS ADMINISTRATIVOS</w:t>
      </w:r>
      <w:r>
        <w:rPr>
          <w:rFonts w:ascii="Palatino Linotype" w:eastAsia="Palatino Linotype" w:hAnsi="Palatino Linotype" w:cs="Palatino Linotype"/>
          <w:i/>
          <w:sz w:val="22"/>
          <w:szCs w:val="22"/>
        </w:rPr>
        <w:t xml:space="preserve">. De acuerdo con  el artículo 16 constitucional, </w:t>
      </w:r>
      <w:r>
        <w:rPr>
          <w:rFonts w:ascii="Palatino Linotype" w:eastAsia="Palatino Linotype" w:hAnsi="Palatino Linotype" w:cs="Palatino Linotype"/>
          <w:b/>
          <w:i/>
          <w:sz w:val="22"/>
          <w:szCs w:val="22"/>
          <w:u w:val="single"/>
        </w:rPr>
        <w:t xml:space="preserve">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w:t>
      </w:r>
      <w:r>
        <w:rPr>
          <w:rFonts w:ascii="Palatino Linotype" w:eastAsia="Palatino Linotype" w:hAnsi="Palatino Linotype" w:cs="Palatino Linotype"/>
          <w:b/>
          <w:i/>
          <w:sz w:val="22"/>
          <w:szCs w:val="22"/>
          <w:u w:val="single"/>
        </w:rPr>
        <w:lastRenderedPageBreak/>
        <w:t>que en el caso concreto se configure la hipótesis normativa</w:t>
      </w:r>
      <w:r>
        <w:rPr>
          <w:rFonts w:ascii="Palatino Linotype" w:eastAsia="Palatino Linotype" w:hAnsi="Palatino Linotype" w:cs="Palatino Linotype"/>
          <w:i/>
          <w:sz w:val="22"/>
          <w:szCs w:val="22"/>
        </w:rPr>
        <w:t>.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3B4F5F" w:rsidRDefault="006D43C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No escapa de la óptica de este Instituto que en el caso que nos ocupa,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especificó el periodo por el cual se solicitaba la información, sin embargo, para tal efecto deberá observarse el criterio orientador emitido por el Instituto Nacional de Transparencia Acceso a la Información Pública y Protección de Datos Personales (INAI), mismo que se cita para ilustrar el presente estudio: </w:t>
      </w:r>
    </w:p>
    <w:p w:rsidR="003B4F5F" w:rsidRDefault="006D43CE">
      <w:pPr>
        <w:spacing w:before="240" w:after="240"/>
        <w:ind w:left="1134" w:right="47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Periodo de búsqueda de la información. </w:t>
      </w:r>
      <w:r>
        <w:rPr>
          <w:rFonts w:ascii="Palatino Linotype" w:eastAsia="Palatino Linotype" w:hAnsi="Palatino Linotype" w:cs="Palatino Linotype"/>
          <w:i/>
          <w:sz w:val="22"/>
          <w:szCs w:val="22"/>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3B4F5F" w:rsidRDefault="006D43C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Del criterio referido previamente es posible advertir que la información entregada deberá computarse desde el año inmediato anterior, computado a partir de la fecha de presentación de la solicitud, esto es, desde el veinticinco de enero de dos mil veintiuno al veinticinco de enero de dos mil veintidós, luego entonces, se considera procedente la entrega de la información durante el periodo </w:t>
      </w:r>
      <w:r>
        <w:rPr>
          <w:rFonts w:ascii="Palatino Linotype" w:eastAsia="Palatino Linotype" w:hAnsi="Palatino Linotype" w:cs="Palatino Linotype"/>
        </w:rPr>
        <w:lastRenderedPageBreak/>
        <w:t xml:space="preserve">comprendido del </w:t>
      </w:r>
      <w:r>
        <w:rPr>
          <w:rFonts w:ascii="Palatino Linotype" w:eastAsia="Palatino Linotype" w:hAnsi="Palatino Linotype" w:cs="Palatino Linotype"/>
          <w:b/>
        </w:rPr>
        <w:t>veinticinco de enero de dos mil veintiuno al veinticinco de enero de dos mil veintidós.</w:t>
      </w:r>
    </w:p>
    <w:p w:rsidR="003B4F5F" w:rsidRDefault="006D43C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con todo lo anteriormente expuesto, que este Órgano Garante considera que el derecho de acceso a la información solamente puede tenerse por satisfecho en el momento en que el particular tenga en su poder los soportes documentales en los que consten las acciones realizadas para dar cumplimiento a las disposiciones del Programa Insignia “Ciudades y Espacios Públicos para Mujeres y Niñas”, del </w:t>
      </w:r>
      <w:r>
        <w:rPr>
          <w:rFonts w:ascii="Palatino Linotype" w:eastAsia="Palatino Linotype" w:hAnsi="Palatino Linotype" w:cs="Palatino Linotype"/>
          <w:b/>
        </w:rPr>
        <w:t>veinticinco de enero de dos mil veintiuno al veinticinco de enero de dos mil veintidós</w:t>
      </w:r>
      <w:r>
        <w:rPr>
          <w:rFonts w:ascii="Palatino Linotype" w:eastAsia="Palatino Linotype" w:hAnsi="Palatino Linotype" w:cs="Palatino Linotype"/>
        </w:rPr>
        <w:t>, por ello se determina ordenar al Sujeto Obligado, la entrega de la información al Recurrente, de ser procedente en versión pública, tal como se detallará en el considerando siguiente.</w:t>
      </w:r>
    </w:p>
    <w:p w:rsidR="003B4F5F" w:rsidRDefault="006D43C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debe apuntarse que por cuanto hace a la información que en todo caso el ente obligado entregará a la particular, deberá expedirla en versión pública, de ser procedente conforme a lo dispuesto en el Considerando siguiente.</w:t>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w:t>
      </w:r>
      <w:r>
        <w:rPr>
          <w:rFonts w:ascii="Palatino Linotype" w:eastAsia="Palatino Linotype" w:hAnsi="Palatino Linotype" w:cs="Palatino Linotype"/>
        </w:rPr>
        <w:lastRenderedPageBreak/>
        <w:t>acceso a la información pública de la recurrente sin menoscabar el derecho a la protección de los datos personales de terceros.</w:t>
      </w:r>
    </w:p>
    <w:p w:rsidR="003B4F5F" w:rsidRDefault="006D43C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Entorno a lo que aquí nos interesa, los Lineamientos Quincuagésimo sexto, Quincuagésimo séptimo y Quincuagésimo octavo, establecen lo siguiente:</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rsidR="003B4F5F" w:rsidRDefault="006D43CE">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rsidR="003B4F5F" w:rsidRDefault="006D43CE">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w:t>
      </w:r>
      <w:r>
        <w:rPr>
          <w:rFonts w:ascii="Palatino Linotype" w:eastAsia="Palatino Linotype" w:hAnsi="Palatino Linotype" w:cs="Palatino Linotype"/>
        </w:rPr>
        <w:lastRenderedPageBreak/>
        <w:t>justificar las causas o motivos por las que no se aprecian determinados datos -ya sea porque se testan o suprimen- deja al solicitante en estado de incertidumbre, al no conocer o comprender porque no aparecen en la documentación respectiva.</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3B4F5F">
        <w:tc>
          <w:tcPr>
            <w:tcW w:w="4253" w:type="dxa"/>
            <w:gridSpan w:val="2"/>
            <w:tcBorders>
              <w:top w:val="nil"/>
              <w:left w:val="nil"/>
              <w:right w:val="nil"/>
            </w:tcBorders>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3B4F5F">
        <w:tc>
          <w:tcPr>
            <w:tcW w:w="1134"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3B4F5F">
        <w:tc>
          <w:tcPr>
            <w:tcW w:w="8828" w:type="dxa"/>
            <w:gridSpan w:val="4"/>
          </w:tcPr>
          <w:p w:rsidR="003B4F5F" w:rsidRDefault="006D43CE">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3B4F5F">
        <w:tc>
          <w:tcPr>
            <w:tcW w:w="1134"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3B4F5F">
        <w:tc>
          <w:tcPr>
            <w:tcW w:w="1134" w:type="dxa"/>
          </w:tcPr>
          <w:p w:rsidR="003B4F5F" w:rsidRDefault="003B4F5F">
            <w:pPr>
              <w:jc w:val="both"/>
              <w:rPr>
                <w:rFonts w:ascii="Palatino Linotype" w:eastAsia="Palatino Linotype" w:hAnsi="Palatino Linotype" w:cs="Palatino Linotype"/>
                <w:b/>
                <w:sz w:val="12"/>
                <w:szCs w:val="12"/>
              </w:rPr>
            </w:pPr>
          </w:p>
        </w:tc>
        <w:tc>
          <w:tcPr>
            <w:tcW w:w="3119" w:type="dxa"/>
          </w:tcPr>
          <w:p w:rsidR="003B4F5F" w:rsidRDefault="003B4F5F">
            <w:pPr>
              <w:jc w:val="both"/>
              <w:rPr>
                <w:rFonts w:ascii="Palatino Linotype" w:eastAsia="Palatino Linotype" w:hAnsi="Palatino Linotype" w:cs="Palatino Linotype"/>
                <w:sz w:val="12"/>
                <w:szCs w:val="12"/>
              </w:rPr>
            </w:pP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3B4F5F">
        <w:tc>
          <w:tcPr>
            <w:tcW w:w="1134" w:type="dxa"/>
          </w:tcPr>
          <w:p w:rsidR="003B4F5F" w:rsidRDefault="003B4F5F">
            <w:pPr>
              <w:jc w:val="both"/>
              <w:rPr>
                <w:rFonts w:ascii="Palatino Linotype" w:eastAsia="Palatino Linotype" w:hAnsi="Palatino Linotype" w:cs="Palatino Linotype"/>
                <w:b/>
                <w:sz w:val="12"/>
                <w:szCs w:val="12"/>
              </w:rPr>
            </w:pPr>
          </w:p>
        </w:tc>
        <w:tc>
          <w:tcPr>
            <w:tcW w:w="3119" w:type="dxa"/>
          </w:tcPr>
          <w:p w:rsidR="003B4F5F" w:rsidRDefault="003B4F5F">
            <w:pPr>
              <w:jc w:val="both"/>
              <w:rPr>
                <w:rFonts w:ascii="Palatino Linotype" w:eastAsia="Palatino Linotype" w:hAnsi="Palatino Linotype" w:cs="Palatino Linotype"/>
                <w:sz w:val="12"/>
                <w:szCs w:val="12"/>
              </w:rPr>
            </w:pPr>
          </w:p>
        </w:tc>
        <w:tc>
          <w:tcPr>
            <w:tcW w:w="1129" w:type="dxa"/>
          </w:tcPr>
          <w:p w:rsidR="003B4F5F" w:rsidRDefault="006D43CE">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3B4F5F" w:rsidRDefault="006D43C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3B4F5F" w:rsidRDefault="006D43CE">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w:t>
      </w:r>
      <w:r>
        <w:rPr>
          <w:rFonts w:ascii="Palatino Linotype" w:eastAsia="Palatino Linotype" w:hAnsi="Palatino Linotype" w:cs="Palatino Linotype"/>
        </w:rPr>
        <w:lastRenderedPageBreak/>
        <w:t>Estado Libre y Soberano de México; 2, fracción II; 29, 36 fracciones I y II; 176, 178, 179, fracción I, 181, 185 de la Ley de Transparencia y Acceso a la Información Pública del Estado de México y Municipios, este Pleno:</w:t>
      </w:r>
    </w:p>
    <w:p w:rsidR="003B4F5F" w:rsidRDefault="006D43CE">
      <w:pPr>
        <w:numPr>
          <w:ilvl w:val="0"/>
          <w:numId w:val="2"/>
        </w:numPr>
        <w:spacing w:before="240" w:after="240" w:line="360" w:lineRule="auto"/>
        <w:ind w:left="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 </w:t>
      </w:r>
      <w:r>
        <w:rPr>
          <w:rFonts w:ascii="Palatino Linotype" w:eastAsia="Palatino Linotype" w:hAnsi="Palatino Linotype" w:cs="Palatino Linotype"/>
          <w:b/>
        </w:rPr>
        <w:t>fundado</w:t>
      </w:r>
      <w:r>
        <w:rPr>
          <w:rFonts w:ascii="Palatino Linotype" w:eastAsia="Palatino Linotype" w:hAnsi="Palatino Linotype" w:cs="Palatino Linotype"/>
        </w:rPr>
        <w:t xml:space="preserve"> el motivo de inconformidad planteado por el 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00834/INFOEM/IP/RR/2022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p>
    <w:p w:rsidR="003B4F5F" w:rsidRDefault="006D43C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haga entrega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en versión pública de ser procedente, de lo siguiente:</w:t>
      </w:r>
    </w:p>
    <w:p w:rsidR="003B4F5F" w:rsidRDefault="006D43CE">
      <w:pPr>
        <w:spacing w:before="240" w:after="240" w:line="276" w:lineRule="auto"/>
        <w:ind w:left="567" w:right="70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 xml:space="preserve">Los soportes documentales en los que consten las acciones realizadas respecto al Programa Insignia “Ciudades y Espacios Públicos para Mujeres y Niñas”, del veinticinco de enero de dos mil veintiuno al veinticinco de enero de dos mil veintidós. </w:t>
      </w:r>
    </w:p>
    <w:p w:rsidR="003B4F5F" w:rsidRDefault="006D43CE">
      <w:pPr>
        <w:spacing w:before="240" w:after="24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Asimismo, el Sujeto Obligado deberá adjuntar el Acuerdo emitido por su Comité de Transparencia que sustente la versión pública de la información que entregue, en el que se expongan los fundamentos y razones que llevaron a la autoridad a testar, suprimir o eliminar datos de dicho soporte documental y hacerlo del conocimiento del Recurrente.</w:t>
      </w:r>
    </w:p>
    <w:p w:rsidR="003B4F5F" w:rsidRDefault="006D43CE">
      <w:pPr>
        <w:spacing w:before="240" w:after="24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De ser el caso de que la información de la que se ordena hacer entrega, no haya sido generada, poseída o administrada, el Sujeto Obligado bastará con que lo haga del conocimiento del recurrente, de manera fundada y motivada para dar por satisfecho el derecho de acceso a la información. </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B4F5F" w:rsidRDefault="006D43C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B4F5F" w:rsidRDefault="006D43C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al 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presente resolución, </w:t>
      </w:r>
      <w:r>
        <w:rPr>
          <w:rFonts w:ascii="Palatino Linotype" w:eastAsia="Palatino Linotype" w:hAnsi="Palatino Linotype" w:cs="Palatino Linotype"/>
          <w:b/>
        </w:rPr>
        <w:t xml:space="preserve">vía Sistema de Acceso a la Información Mexiquense (SAIMEX), </w:t>
      </w:r>
      <w:r>
        <w:rPr>
          <w:rFonts w:ascii="Palatino Linotype" w:eastAsia="Palatino Linotype" w:hAnsi="Palatino Linotype" w:cs="Palatino Linotype"/>
        </w:rPr>
        <w:t xml:space="preserve">así como que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rsidR="003B4F5F" w:rsidRDefault="006D43CE">
      <w:pPr>
        <w:spacing w:before="240" w:after="240" w:line="360" w:lineRule="auto"/>
        <w:jc w:val="both"/>
        <w:rPr>
          <w:rFonts w:ascii="Palatino Linotype" w:eastAsia="Palatino Linotype" w:hAnsi="Palatino Linotype" w:cs="Palatino Linotype"/>
          <w:color w:val="000000"/>
          <w:sz w:val="22"/>
          <w:szCs w:val="22"/>
        </w:rPr>
        <w:sectPr w:rsidR="003B4F5F">
          <w:headerReference w:type="default" r:id="rId20"/>
          <w:footerReference w:type="default" r:id="rId21"/>
          <w:headerReference w:type="first" r:id="rId22"/>
          <w:footerReference w:type="first" r:id="rId23"/>
          <w:pgSz w:w="12240" w:h="15840"/>
          <w:pgMar w:top="1985" w:right="1892" w:bottom="1701" w:left="1701" w:header="709" w:footer="709" w:gutter="0"/>
          <w:pgNumType w:start="1"/>
          <w:cols w:space="720"/>
          <w:titlePg/>
        </w:sectPr>
      </w:pPr>
      <w:bookmarkStart w:id="6" w:name="_heading=h.tyjcwt" w:colFirst="0" w:colLast="0"/>
      <w:bookmarkEnd w:id="6"/>
      <w:r>
        <w:rPr>
          <w:rFonts w:ascii="Palatino Linotype" w:eastAsia="Palatino Linotype" w:hAnsi="Palatino Linotype" w:cs="Palatino Linotype"/>
          <w:color w:val="222222"/>
          <w:highlight w:val="whit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Pr>
          <w:rFonts w:ascii="Palatino Linotype" w:eastAsia="Palatino Linotype" w:hAnsi="Palatino Linotype" w:cs="Palatino Linotype"/>
          <w:color w:val="222222"/>
          <w:highlight w:val="white"/>
        </w:rPr>
        <w:lastRenderedPageBreak/>
        <w:t xml:space="preserve">GUADALUPE RAMÍREZ PEÑA; EN LA DÉCIMO TERCERA SESIÓN ORDINARIA CELEBRADA EL </w:t>
      </w:r>
      <w:r>
        <w:rPr>
          <w:rFonts w:ascii="Palatino Linotype" w:eastAsia="Palatino Linotype" w:hAnsi="Palatino Linotype" w:cs="Palatino Linotype"/>
          <w:color w:val="222222"/>
        </w:rPr>
        <w:t>SIETE</w:t>
      </w:r>
      <w:r>
        <w:rPr>
          <w:rFonts w:ascii="Palatino Linotype" w:eastAsia="Palatino Linotype" w:hAnsi="Palatino Linotype" w:cs="Palatino Linotype"/>
        </w:rPr>
        <w:t xml:space="preserve"> DE ABRIL DE DOS MIL VEINTIDÓS, </w:t>
      </w:r>
      <w:r>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simplePos x="0" y="0"/>
                <wp:positionH relativeFrom="column">
                  <wp:posOffset>24764</wp:posOffset>
                </wp:positionH>
                <wp:positionV relativeFrom="paragraph">
                  <wp:posOffset>848359</wp:posOffset>
                </wp:positionV>
                <wp:extent cx="5095875" cy="68103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095875" cy="6810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0901A5" id="Conector recto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66.8pt" to="403.2pt,6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" strokecolor="black [3040]"/>
            </w:pict>
          </mc:Fallback>
        </mc:AlternateContent>
      </w:r>
      <w:r>
        <w:rPr>
          <w:rFonts w:ascii="Palatino Linotype" w:eastAsia="Palatino Linotype" w:hAnsi="Palatino Linotype" w:cs="Palatino Linotype"/>
        </w:rPr>
        <w:t>ANTE EL SECRETARIO TÉCNICO DEL PLENO ALEXIS TAPIA RAMÍREZ.</w:t>
      </w:r>
    </w:p>
    <w:p w:rsidR="003B4F5F" w:rsidRDefault="003B4F5F">
      <w:pPr>
        <w:spacing w:before="240" w:after="240" w:line="360" w:lineRule="auto"/>
        <w:jc w:val="both"/>
        <w:rPr>
          <w:rFonts w:ascii="Palatino Linotype" w:eastAsia="Palatino Linotype" w:hAnsi="Palatino Linotype" w:cs="Palatino Linotype"/>
        </w:rPr>
      </w:pPr>
    </w:p>
    <w:sectPr w:rsidR="003B4F5F">
      <w:headerReference w:type="first" r:id="rId2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49B9" w:rsidRDefault="006D43CE">
      <w:r>
        <w:separator/>
      </w:r>
    </w:p>
  </w:endnote>
  <w:endnote w:type="continuationSeparator" w:id="0">
    <w:p w:rsidR="009D49B9" w:rsidRDefault="006D4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5F" w:rsidRDefault="006D43C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3130E">
      <w:rPr>
        <w:rFonts w:ascii="Palatino Linotype" w:eastAsia="Palatino Linotype" w:hAnsi="Palatino Linotype" w:cs="Palatino Linotype"/>
        <w:b/>
        <w:noProof/>
        <w:color w:val="000000"/>
        <w:sz w:val="20"/>
        <w:szCs w:val="20"/>
      </w:rPr>
      <w:t>37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3130E">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3B4F5F" w:rsidRDefault="003B4F5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5F" w:rsidRDefault="006D43C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3130E">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3130E">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p>
  <w:p w:rsidR="003B4F5F" w:rsidRDefault="003B4F5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49B9" w:rsidRDefault="006D43CE">
      <w:r>
        <w:separator/>
      </w:r>
    </w:p>
  </w:footnote>
  <w:footnote w:type="continuationSeparator" w:id="0">
    <w:p w:rsidR="009D49B9" w:rsidRDefault="006D43CE">
      <w:r>
        <w:continuationSeparator/>
      </w:r>
    </w:p>
  </w:footnote>
  <w:footnote w:id="1">
    <w:p w:rsidR="003B4F5F" w:rsidRDefault="006D43C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Consultable en: https://mexico.unwomen.org/es/digiteca/publicaciones/2016/01/folleto-ciudades-seguras#:~:text=El%20Programa%20insignia%20%22Ciudades%20y,y%20buenas%20pr%C3%A1cticas%20en%20la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5F" w:rsidRDefault="006D43C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-1121407</wp:posOffset>
          </wp:positionH>
          <wp:positionV relativeFrom="paragraph">
            <wp:posOffset>-415287</wp:posOffset>
          </wp:positionV>
          <wp:extent cx="7809865" cy="10165715"/>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5953" w:type="dxa"/>
      <w:tblInd w:w="3261" w:type="dxa"/>
      <w:tblLayout w:type="fixed"/>
      <w:tblLook w:val="0400" w:firstRow="0" w:lastRow="0" w:firstColumn="0" w:lastColumn="0" w:noHBand="0" w:noVBand="1"/>
    </w:tblPr>
    <w:tblGrid>
      <w:gridCol w:w="2489"/>
      <w:gridCol w:w="3464"/>
    </w:tblGrid>
    <w:tr w:rsidR="003B4F5F">
      <w:tc>
        <w:tcPr>
          <w:tcW w:w="2489" w:type="dxa"/>
          <w:shd w:val="clear" w:color="auto" w:fill="auto"/>
        </w:tcPr>
        <w:p w:rsidR="003B4F5F" w:rsidRDefault="006D43C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3B4F5F" w:rsidRDefault="006D43CE">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00834/INFOEM/IP/RR/2022</w:t>
          </w:r>
        </w:p>
      </w:tc>
    </w:tr>
    <w:tr w:rsidR="003B4F5F">
      <w:trPr>
        <w:trHeight w:val="228"/>
      </w:trPr>
      <w:tc>
        <w:tcPr>
          <w:tcW w:w="2489" w:type="dxa"/>
          <w:shd w:val="clear" w:color="auto" w:fill="auto"/>
          <w:vAlign w:val="center"/>
        </w:tcPr>
        <w:p w:rsidR="003B4F5F" w:rsidRDefault="006D43C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3B4F5F" w:rsidRDefault="006D43CE">
          <w:pPr>
            <w:ind w:right="452"/>
            <w:jc w:val="both"/>
            <w:rPr>
              <w:rFonts w:ascii="Palatino Linotype" w:eastAsia="Palatino Linotype" w:hAnsi="Palatino Linotype" w:cs="Palatino Linotype"/>
              <w:b/>
            </w:rPr>
          </w:pPr>
          <w:r>
            <w:rPr>
              <w:rFonts w:ascii="Palatino Linotype" w:eastAsia="Palatino Linotype" w:hAnsi="Palatino Linotype" w:cs="Palatino Linotype"/>
              <w:b/>
            </w:rPr>
            <w:t>Ayuntamiento de Tlalnepantla de Baz</w:t>
          </w:r>
        </w:p>
      </w:tc>
    </w:tr>
    <w:tr w:rsidR="003B4F5F">
      <w:tc>
        <w:tcPr>
          <w:tcW w:w="2489" w:type="dxa"/>
          <w:shd w:val="clear" w:color="auto" w:fill="auto"/>
          <w:vAlign w:val="center"/>
        </w:tcPr>
        <w:p w:rsidR="003B4F5F" w:rsidRDefault="006D43CE">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3B4F5F" w:rsidRDefault="006D43CE">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B4F5F" w:rsidRDefault="006D43C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5F" w:rsidRDefault="006D43C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-1080134</wp:posOffset>
          </wp:positionH>
          <wp:positionV relativeFrom="paragraph">
            <wp:posOffset>-60324</wp:posOffset>
          </wp:positionV>
          <wp:extent cx="7809876" cy="10165823"/>
          <wp:effectExtent l="0" t="0" r="0" b="0"/>
          <wp:wrapNone/>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551"/>
      <w:gridCol w:w="3402"/>
    </w:tblGrid>
    <w:tr w:rsidR="003B4F5F">
      <w:tc>
        <w:tcPr>
          <w:tcW w:w="2551" w:type="dxa"/>
          <w:shd w:val="clear" w:color="auto" w:fill="auto"/>
          <w:vAlign w:val="center"/>
        </w:tcPr>
        <w:p w:rsidR="003B4F5F" w:rsidRDefault="006D43C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3B4F5F" w:rsidRDefault="006D43CE">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 xml:space="preserve">00834/INFOEM/IP/RR/2022 </w:t>
          </w:r>
        </w:p>
      </w:tc>
    </w:tr>
    <w:tr w:rsidR="003B4F5F">
      <w:trPr>
        <w:trHeight w:val="130"/>
      </w:trPr>
      <w:tc>
        <w:tcPr>
          <w:tcW w:w="2551" w:type="dxa"/>
          <w:shd w:val="clear" w:color="auto" w:fill="auto"/>
          <w:vAlign w:val="center"/>
        </w:tcPr>
        <w:p w:rsidR="003B4F5F" w:rsidRDefault="006D43C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3B4F5F" w:rsidRDefault="003B4F5F">
          <w:pPr>
            <w:ind w:left="-45"/>
            <w:jc w:val="both"/>
            <w:rPr>
              <w:rFonts w:ascii="Palatino Linotype" w:eastAsia="Palatino Linotype" w:hAnsi="Palatino Linotype" w:cs="Palatino Linotype"/>
              <w:b/>
            </w:rPr>
          </w:pPr>
        </w:p>
      </w:tc>
    </w:tr>
    <w:tr w:rsidR="003B4F5F">
      <w:trPr>
        <w:trHeight w:val="228"/>
      </w:trPr>
      <w:tc>
        <w:tcPr>
          <w:tcW w:w="2551" w:type="dxa"/>
          <w:shd w:val="clear" w:color="auto" w:fill="auto"/>
          <w:vAlign w:val="center"/>
        </w:tcPr>
        <w:p w:rsidR="003B4F5F" w:rsidRDefault="006D43C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3B4F5F" w:rsidRDefault="006D43CE">
          <w:pPr>
            <w:ind w:left="-45" w:right="310"/>
            <w:jc w:val="both"/>
            <w:rPr>
              <w:rFonts w:ascii="Palatino Linotype" w:eastAsia="Palatino Linotype" w:hAnsi="Palatino Linotype" w:cs="Palatino Linotype"/>
              <w:b/>
            </w:rPr>
          </w:pPr>
          <w:r>
            <w:rPr>
              <w:rFonts w:ascii="Palatino Linotype" w:eastAsia="Palatino Linotype" w:hAnsi="Palatino Linotype" w:cs="Palatino Linotype"/>
              <w:b/>
            </w:rPr>
            <w:t>Ayuntamiento de Tlalnepantla de Baz</w:t>
          </w:r>
        </w:p>
      </w:tc>
    </w:tr>
    <w:tr w:rsidR="003B4F5F">
      <w:tc>
        <w:tcPr>
          <w:tcW w:w="2551" w:type="dxa"/>
          <w:shd w:val="clear" w:color="auto" w:fill="auto"/>
          <w:vAlign w:val="center"/>
        </w:tcPr>
        <w:p w:rsidR="003B4F5F" w:rsidRDefault="006D43C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3B4F5F" w:rsidRDefault="006D43CE">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3B4F5F" w:rsidRDefault="003B4F5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F5F" w:rsidRDefault="003B4F5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60A34"/>
    <w:multiLevelType w:val="multilevel"/>
    <w:tmpl w:val="542A20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4EA7EC7"/>
    <w:multiLevelType w:val="multilevel"/>
    <w:tmpl w:val="E31416F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07A7679"/>
    <w:multiLevelType w:val="multilevel"/>
    <w:tmpl w:val="BB7E457E"/>
    <w:lvl w:ilvl="0">
      <w:start w:val="1"/>
      <w:numFmt w:val="upperRoman"/>
      <w:pStyle w:val="Listaconvietas3"/>
      <w:lvlText w:val="%1."/>
      <w:lvlJc w:val="left"/>
      <w:pPr>
        <w:ind w:left="1004" w:hanging="720"/>
      </w:pPr>
      <w:rPr>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
    <w:nsid w:val="427545A1"/>
    <w:multiLevelType w:val="multilevel"/>
    <w:tmpl w:val="07AA88A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42754B32"/>
    <w:multiLevelType w:val="multilevel"/>
    <w:tmpl w:val="E8B4C964"/>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DA02B47"/>
    <w:multiLevelType w:val="multilevel"/>
    <w:tmpl w:val="F6166708"/>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F5F"/>
    <w:rsid w:val="003B4F5F"/>
    <w:rsid w:val="006D43CE"/>
    <w:rsid w:val="009D49B9"/>
    <w:rsid w:val="00D313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D35BA-EC97-457E-A8AD-60839CB14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D9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table" w:customStyle="1" w:styleId="Tabladelista1clara-nfasis121">
    <w:name w:val="Tabla de lista 1 clara - Énfasis 121"/>
    <w:basedOn w:val="Tablanormal"/>
    <w:next w:val="Tabladelista1clara-nfasis1"/>
    <w:uiPriority w:val="46"/>
    <w:rsid w:val="00DC57D8"/>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Tabladelista1clara-nfasis1111">
    <w:name w:val="Tabla de lista 1 clara - Énfasis 1111"/>
    <w:basedOn w:val="Tablanormal"/>
    <w:next w:val="Tabladelista1clara-nfasis1"/>
    <w:uiPriority w:val="46"/>
    <w:rsid w:val="00844330"/>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5">
    <w:basedOn w:val="TableNormal1"/>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7">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 w:type="table" w:customStyle="1" w:styleId="a8">
    <w:basedOn w:val="TableNormal0"/>
    <w:rPr>
      <w:rFonts w:ascii="Cambria" w:eastAsia="Cambria" w:hAnsi="Cambria" w:cs="Cambria"/>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6.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tbXs+odlIBZ/P96lHk9i7rJ7dIw==">AMUW2mX3avVK8k9J9u31azpgnYj0lLQOcyrpef+2KduBtKhOXDqZgBcu1OTn9tn+6occZpio7tLXNxidK+PNHbkncCPYCp+jUfMU9tgRe565TGVEcGyXDIytHRhEO6Gb5mGRlCcSNif4Uv121lFEOeyeD+VCPvUXhiC8BLV4geTTHNz3nJxqwu1tCQozkTIjG2y7b5YxbVJi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6502</Words>
  <Characters>35766</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dcterms:created xsi:type="dcterms:W3CDTF">2022-05-06T16:42:00Z</dcterms:created>
  <dcterms:modified xsi:type="dcterms:W3CDTF">2022-05-06T16:42:00Z</dcterms:modified>
</cp:coreProperties>
</file>