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992" w:rsidRPr="003B372F" w:rsidRDefault="003B11C6">
      <w:pPr>
        <w:spacing w:before="240" w:after="240" w:line="360" w:lineRule="auto"/>
        <w:ind w:right="49"/>
        <w:jc w:val="both"/>
        <w:rPr>
          <w:rFonts w:ascii="Palatino Linotype" w:eastAsia="Palatino Linotype" w:hAnsi="Palatino Linotype" w:cs="Palatino Linotype"/>
        </w:rPr>
      </w:pPr>
      <w:bookmarkStart w:id="0" w:name="_heading=h.gjdgxs" w:colFirst="0" w:colLast="0"/>
      <w:bookmarkEnd w:id="0"/>
      <w:r w:rsidRPr="003B372F">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a diecinueve de octubre de dos mil veintidós.</w:t>
      </w:r>
    </w:p>
    <w:p w:rsidR="00FC4992" w:rsidRPr="003B372F" w:rsidRDefault="003B11C6">
      <w:pPr>
        <w:spacing w:after="80"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Visto</w:t>
      </w:r>
      <w:r w:rsidRPr="003B372F">
        <w:rPr>
          <w:rFonts w:ascii="Palatino Linotype" w:eastAsia="Palatino Linotype" w:hAnsi="Palatino Linotype" w:cs="Palatino Linotype"/>
          <w:b/>
        </w:rPr>
        <w:t xml:space="preserve"> </w:t>
      </w:r>
      <w:r w:rsidRPr="003B372F">
        <w:rPr>
          <w:rFonts w:ascii="Palatino Linotype" w:eastAsia="Palatino Linotype" w:hAnsi="Palatino Linotype" w:cs="Palatino Linotype"/>
        </w:rPr>
        <w:t xml:space="preserve">el expediente relativo al recurso de revisión </w:t>
      </w:r>
      <w:r w:rsidRPr="003B372F">
        <w:rPr>
          <w:rFonts w:ascii="Palatino Linotype" w:eastAsia="Palatino Linotype" w:hAnsi="Palatino Linotype" w:cs="Palatino Linotype"/>
          <w:b/>
        </w:rPr>
        <w:t>07944/INFOEM/IP/RR/2022</w:t>
      </w:r>
      <w:r w:rsidRPr="003B372F">
        <w:rPr>
          <w:rFonts w:ascii="Palatino Linotype" w:eastAsia="Palatino Linotype" w:hAnsi="Palatino Linotype" w:cs="Palatino Linotype"/>
        </w:rPr>
        <w:t xml:space="preserve"> interpuesto por </w:t>
      </w:r>
      <w:r w:rsidR="00FB4E88">
        <w:rPr>
          <w:rFonts w:ascii="Palatino Linotype" w:eastAsia="Palatino Linotype" w:hAnsi="Palatino Linotype" w:cs="Palatino Linotype"/>
          <w:b/>
        </w:rPr>
        <w:t>XXXX</w:t>
      </w:r>
      <w:r w:rsidRPr="003B372F">
        <w:rPr>
          <w:rFonts w:ascii="Palatino Linotype" w:eastAsia="Palatino Linotype" w:hAnsi="Palatino Linotype" w:cs="Palatino Linotype"/>
        </w:rPr>
        <w:t xml:space="preserve">, que en lo sucesivo se le denominará </w:t>
      </w:r>
      <w:r w:rsidRPr="003B372F">
        <w:rPr>
          <w:rFonts w:ascii="Palatino Linotype" w:eastAsia="Palatino Linotype" w:hAnsi="Palatino Linotype" w:cs="Palatino Linotype"/>
          <w:b/>
        </w:rPr>
        <w:t>EL RECURRENTE</w:t>
      </w:r>
      <w:r w:rsidRPr="003B372F">
        <w:rPr>
          <w:rFonts w:ascii="Palatino Linotype" w:eastAsia="Palatino Linotype" w:hAnsi="Palatino Linotype" w:cs="Palatino Linotype"/>
        </w:rPr>
        <w:t xml:space="preserve">, en contra de la respuesta a la solicitud de información con número de folio </w:t>
      </w:r>
      <w:r w:rsidRPr="003B372F">
        <w:rPr>
          <w:rFonts w:ascii="Palatino Linotype" w:eastAsia="Palatino Linotype" w:hAnsi="Palatino Linotype" w:cs="Palatino Linotype"/>
          <w:b/>
        </w:rPr>
        <w:t>00070/ACULCO/IP/2022</w:t>
      </w:r>
      <w:r w:rsidRPr="003B372F">
        <w:rPr>
          <w:rFonts w:ascii="Palatino Linotype" w:eastAsia="Palatino Linotype" w:hAnsi="Palatino Linotype" w:cs="Palatino Linotype"/>
        </w:rPr>
        <w:t xml:space="preserve">, por parte del </w:t>
      </w:r>
      <w:r w:rsidRPr="003B372F">
        <w:rPr>
          <w:rFonts w:ascii="Palatino Linotype" w:eastAsia="Palatino Linotype" w:hAnsi="Palatino Linotype" w:cs="Palatino Linotype"/>
          <w:b/>
        </w:rPr>
        <w:t>Ayuntamiento de Aculco</w:t>
      </w:r>
      <w:r w:rsidRPr="003B372F">
        <w:rPr>
          <w:rFonts w:ascii="Palatino Linotype" w:eastAsia="Palatino Linotype" w:hAnsi="Palatino Linotype" w:cs="Palatino Linotype"/>
        </w:rPr>
        <w:t xml:space="preserve">, en lo sucesivo </w:t>
      </w:r>
      <w:r w:rsidRPr="003B372F">
        <w:rPr>
          <w:rFonts w:ascii="Palatino Linotype" w:eastAsia="Palatino Linotype" w:hAnsi="Palatino Linotype" w:cs="Palatino Linotype"/>
          <w:b/>
        </w:rPr>
        <w:t>EL</w:t>
      </w:r>
      <w:r w:rsidRPr="003B372F">
        <w:rPr>
          <w:rFonts w:ascii="Palatino Linotype" w:eastAsia="Palatino Linotype" w:hAnsi="Palatino Linotype" w:cs="Palatino Linotype"/>
        </w:rPr>
        <w:t xml:space="preserve"> </w:t>
      </w:r>
      <w:r w:rsidRPr="003B372F">
        <w:rPr>
          <w:rFonts w:ascii="Palatino Linotype" w:eastAsia="Palatino Linotype" w:hAnsi="Palatino Linotype" w:cs="Palatino Linotype"/>
          <w:b/>
        </w:rPr>
        <w:t xml:space="preserve">SUJETO OBLIGADO; </w:t>
      </w:r>
      <w:r w:rsidRPr="003B372F">
        <w:rPr>
          <w:rFonts w:ascii="Palatino Linotype" w:eastAsia="Palatino Linotype" w:hAnsi="Palatino Linotype" w:cs="Palatino Linotype"/>
        </w:rPr>
        <w:t>se procede a dictar la presente resolución, con base en lo siguiente.</w:t>
      </w:r>
    </w:p>
    <w:p w:rsidR="00FC4992" w:rsidRPr="003B372F" w:rsidRDefault="003B11C6">
      <w:pPr>
        <w:spacing w:before="80" w:after="240" w:line="360" w:lineRule="auto"/>
        <w:ind w:right="49"/>
        <w:jc w:val="center"/>
        <w:rPr>
          <w:rFonts w:ascii="Palatino Linotype" w:eastAsia="Palatino Linotype" w:hAnsi="Palatino Linotype" w:cs="Palatino Linotype"/>
        </w:rPr>
      </w:pPr>
      <w:r w:rsidRPr="003B372F">
        <w:rPr>
          <w:rFonts w:ascii="Palatino Linotype" w:eastAsia="Palatino Linotype" w:hAnsi="Palatino Linotype" w:cs="Palatino Linotype"/>
          <w:b/>
        </w:rPr>
        <w:t>A N T E C E D E N T E S</w:t>
      </w:r>
    </w:p>
    <w:p w:rsidR="00FC4992" w:rsidRPr="003B372F" w:rsidRDefault="003B11C6">
      <w:pPr>
        <w:spacing w:before="240" w:after="240" w:line="360" w:lineRule="auto"/>
        <w:ind w:right="49"/>
        <w:jc w:val="both"/>
        <w:rPr>
          <w:rFonts w:ascii="Palatino Linotype" w:eastAsia="Palatino Linotype" w:hAnsi="Palatino Linotype" w:cs="Palatino Linotype"/>
        </w:rPr>
      </w:pPr>
      <w:bookmarkStart w:id="1" w:name="_heading=h.1fob9te" w:colFirst="0" w:colLast="0"/>
      <w:bookmarkEnd w:id="1"/>
      <w:r w:rsidRPr="003B372F">
        <w:rPr>
          <w:rFonts w:ascii="Palatino Linotype" w:eastAsia="Palatino Linotype" w:hAnsi="Palatino Linotype" w:cs="Palatino Linotype"/>
          <w:b/>
        </w:rPr>
        <w:t xml:space="preserve">1. SOLICITUD. </w:t>
      </w:r>
      <w:r w:rsidRPr="003B372F">
        <w:rPr>
          <w:rFonts w:ascii="Palatino Linotype" w:eastAsia="Palatino Linotype" w:hAnsi="Palatino Linotype" w:cs="Palatino Linotype"/>
        </w:rPr>
        <w:t xml:space="preserve">Con fecha </w:t>
      </w:r>
      <w:r w:rsidRPr="003B372F">
        <w:rPr>
          <w:rFonts w:ascii="Palatino Linotype" w:eastAsia="Palatino Linotype" w:hAnsi="Palatino Linotype" w:cs="Palatino Linotype"/>
          <w:b/>
        </w:rPr>
        <w:t>veintinueve de marzo de dos mil veintidós</w:t>
      </w:r>
      <w:r w:rsidRPr="003B372F">
        <w:rPr>
          <w:rFonts w:ascii="Palatino Linotype" w:eastAsia="Palatino Linotype" w:hAnsi="Palatino Linotype" w:cs="Palatino Linotype"/>
        </w:rPr>
        <w:t xml:space="preserve">, </w:t>
      </w:r>
      <w:r w:rsidRPr="003B372F">
        <w:rPr>
          <w:rFonts w:ascii="Palatino Linotype" w:eastAsia="Palatino Linotype" w:hAnsi="Palatino Linotype" w:cs="Palatino Linotype"/>
          <w:b/>
        </w:rPr>
        <w:t>EL RECURRENTE</w:t>
      </w:r>
      <w:r w:rsidRPr="003B372F">
        <w:rPr>
          <w:rFonts w:ascii="Palatino Linotype" w:eastAsia="Palatino Linotype" w:hAnsi="Palatino Linotype" w:cs="Palatino Linotype"/>
        </w:rPr>
        <w:t>, presentó a través del Sistema de Acceso a la Información Mexiquense (</w:t>
      </w:r>
      <w:r w:rsidRPr="003B372F">
        <w:rPr>
          <w:rFonts w:ascii="Palatino Linotype" w:eastAsia="Palatino Linotype" w:hAnsi="Palatino Linotype" w:cs="Palatino Linotype"/>
          <w:b/>
        </w:rPr>
        <w:t>SAIMEX)</w:t>
      </w:r>
      <w:r w:rsidRPr="003B372F">
        <w:rPr>
          <w:rFonts w:ascii="Palatino Linotype" w:eastAsia="Palatino Linotype" w:hAnsi="Palatino Linotype" w:cs="Palatino Linotype"/>
        </w:rPr>
        <w:t xml:space="preserve"> ante </w:t>
      </w:r>
      <w:r w:rsidRPr="003B372F">
        <w:rPr>
          <w:rFonts w:ascii="Palatino Linotype" w:eastAsia="Palatino Linotype" w:hAnsi="Palatino Linotype" w:cs="Palatino Linotype"/>
          <w:b/>
        </w:rPr>
        <w:t>EL SUJETO OBLIGADO</w:t>
      </w:r>
      <w:r w:rsidRPr="003B372F">
        <w:rPr>
          <w:rFonts w:ascii="Palatino Linotype" w:eastAsia="Palatino Linotype" w:hAnsi="Palatino Linotype" w:cs="Palatino Linotype"/>
        </w:rPr>
        <w:t>, solicitud de acceso a la información pública, registrada bajo el número de expediente</w:t>
      </w:r>
      <w:r w:rsidRPr="003B372F">
        <w:rPr>
          <w:rFonts w:ascii="Palatino Linotype" w:eastAsia="Palatino Linotype" w:hAnsi="Palatino Linotype" w:cs="Palatino Linotype"/>
          <w:b/>
        </w:rPr>
        <w:t xml:space="preserve"> 00070/ACULCO/IP/2022</w:t>
      </w:r>
      <w:r w:rsidRPr="003B372F">
        <w:rPr>
          <w:rFonts w:ascii="Palatino Linotype" w:eastAsia="Palatino Linotype" w:hAnsi="Palatino Linotype" w:cs="Palatino Linotype"/>
        </w:rPr>
        <w:t>,</w:t>
      </w:r>
      <w:r w:rsidRPr="003B372F">
        <w:rPr>
          <w:rFonts w:ascii="Palatino Linotype" w:eastAsia="Palatino Linotype" w:hAnsi="Palatino Linotype" w:cs="Palatino Linotype"/>
          <w:b/>
        </w:rPr>
        <w:t xml:space="preserve"> </w:t>
      </w:r>
      <w:r w:rsidRPr="003B372F">
        <w:rPr>
          <w:rFonts w:ascii="Palatino Linotype" w:eastAsia="Palatino Linotype" w:hAnsi="Palatino Linotype" w:cs="Palatino Linotype"/>
        </w:rPr>
        <w:t>mediante el cual solicitó información en el siguiente tenor:</w:t>
      </w:r>
    </w:p>
    <w:p w:rsidR="00FC4992" w:rsidRPr="003B372F" w:rsidRDefault="003B11C6">
      <w:pPr>
        <w:spacing w:before="240" w:after="240" w:line="276" w:lineRule="auto"/>
        <w:ind w:left="851" w:right="900"/>
        <w:jc w:val="both"/>
        <w:rPr>
          <w:rFonts w:ascii="Palatino Linotype" w:eastAsia="Palatino Linotype" w:hAnsi="Palatino Linotype" w:cs="Palatino Linotype"/>
          <w:i/>
        </w:rPr>
      </w:pPr>
      <w:r w:rsidRPr="003B372F">
        <w:rPr>
          <w:rFonts w:ascii="Palatino Linotype" w:eastAsia="Palatino Linotype" w:hAnsi="Palatino Linotype" w:cs="Palatino Linotype"/>
          <w:i/>
        </w:rPr>
        <w:t xml:space="preserve"> “Respuesta a las siguientes preguntas: Solicito saber si los miembros del Ayuntamiento y los directores son titulados de alguna carrera, si es así, especificar nombre, número de cédula profesional, carrera y universidad donde se realizaron dichos estudios ¿Hay alguna empresa de consultoría o asesoría especializada contratada de cualquier manera por el gobierno municipal? ¿Cuál es el sueldo del defensor municipal de los derechos humanos y que nivel tiene su plaza? ¿Con qué personal cuenta la defensoría municipal de los derechos humanos, nombre, cargo y estudios? </w:t>
      </w:r>
      <w:r w:rsidRPr="003B372F">
        <w:rPr>
          <w:rFonts w:ascii="Palatino Linotype" w:eastAsia="Palatino Linotype" w:hAnsi="Palatino Linotype" w:cs="Palatino Linotype"/>
          <w:i/>
        </w:rPr>
        <w:lastRenderedPageBreak/>
        <w:t>¿La defensoría Municipal de derechos humanos qué presupuesto tiene? ¿La Defensoría Municipal de Derechos Humanos ha realizado alguna recomendación al gobierno municipal?“(Sic)</w:t>
      </w:r>
    </w:p>
    <w:p w:rsidR="00FC4992" w:rsidRPr="003B372F" w:rsidRDefault="003B11C6">
      <w:pPr>
        <w:spacing w:line="360" w:lineRule="auto"/>
        <w:ind w:right="-234"/>
        <w:jc w:val="both"/>
        <w:rPr>
          <w:rFonts w:ascii="Palatino Linotype" w:eastAsia="Palatino Linotype" w:hAnsi="Palatino Linotype" w:cs="Palatino Linotype"/>
        </w:rPr>
      </w:pPr>
      <w:bookmarkStart w:id="2" w:name="_heading=h.tyjcwt" w:colFirst="0" w:colLast="0"/>
      <w:bookmarkEnd w:id="2"/>
      <w:r w:rsidRPr="003B372F">
        <w:rPr>
          <w:rFonts w:ascii="Palatino Linotype" w:eastAsia="Palatino Linotype" w:hAnsi="Palatino Linotype" w:cs="Palatino Linotype"/>
        </w:rPr>
        <w:t xml:space="preserve">Cabe mencionar que la modalidad de entrega seleccionada por el </w:t>
      </w:r>
      <w:r w:rsidRPr="003B372F">
        <w:rPr>
          <w:rFonts w:ascii="Palatino Linotype" w:eastAsia="Palatino Linotype" w:hAnsi="Palatino Linotype" w:cs="Palatino Linotype"/>
          <w:b/>
        </w:rPr>
        <w:t>RECURRENTE</w:t>
      </w:r>
      <w:r w:rsidRPr="003B372F">
        <w:rPr>
          <w:rFonts w:ascii="Palatino Linotype" w:eastAsia="Palatino Linotype" w:hAnsi="Palatino Linotype" w:cs="Palatino Linotype"/>
        </w:rPr>
        <w:t xml:space="preserve"> fue a través del </w:t>
      </w:r>
      <w:r w:rsidRPr="003B372F">
        <w:rPr>
          <w:rFonts w:ascii="Palatino Linotype" w:eastAsia="Palatino Linotype" w:hAnsi="Palatino Linotype" w:cs="Palatino Linotype"/>
          <w:b/>
        </w:rPr>
        <w:t>SAIMEX</w:t>
      </w:r>
      <w:r w:rsidRPr="003B372F">
        <w:rPr>
          <w:rFonts w:ascii="Palatino Linotype" w:eastAsia="Palatino Linotype" w:hAnsi="Palatino Linotype" w:cs="Palatino Linotype"/>
        </w:rPr>
        <w:t>.</w:t>
      </w:r>
    </w:p>
    <w:p w:rsidR="00FC4992" w:rsidRPr="003B372F" w:rsidRDefault="00FC4992">
      <w:pPr>
        <w:spacing w:line="360" w:lineRule="auto"/>
        <w:ind w:right="-234"/>
        <w:jc w:val="both"/>
        <w:rPr>
          <w:rFonts w:ascii="Palatino Linotype" w:eastAsia="Palatino Linotype" w:hAnsi="Palatino Linotype" w:cs="Palatino Linotype"/>
        </w:rPr>
      </w:pPr>
    </w:p>
    <w:p w:rsidR="00FC4992" w:rsidRPr="003B372F" w:rsidRDefault="003B11C6">
      <w:pPr>
        <w:spacing w:line="360" w:lineRule="auto"/>
        <w:ind w:right="-234"/>
        <w:jc w:val="both"/>
        <w:rPr>
          <w:rFonts w:ascii="Palatino Linotype" w:eastAsia="Palatino Linotype" w:hAnsi="Palatino Linotype" w:cs="Palatino Linotype"/>
        </w:rPr>
      </w:pPr>
      <w:r w:rsidRPr="003B372F">
        <w:rPr>
          <w:rFonts w:ascii="Palatino Linotype" w:eastAsia="Palatino Linotype" w:hAnsi="Palatino Linotype" w:cs="Palatino Linotype"/>
          <w:b/>
        </w:rPr>
        <w:t xml:space="preserve">2. RESPUESTA. </w:t>
      </w:r>
      <w:r w:rsidRPr="003B372F">
        <w:rPr>
          <w:rFonts w:ascii="Palatino Linotype" w:eastAsia="Palatino Linotype" w:hAnsi="Palatino Linotype" w:cs="Palatino Linotype"/>
        </w:rPr>
        <w:t xml:space="preserve">Con fecha </w:t>
      </w:r>
      <w:r w:rsidRPr="003B372F">
        <w:rPr>
          <w:rFonts w:ascii="Palatino Linotype" w:eastAsia="Palatino Linotype" w:hAnsi="Palatino Linotype" w:cs="Palatino Linotype"/>
          <w:b/>
        </w:rPr>
        <w:t>veinticinco de abril del dos mil veintidós</w:t>
      </w:r>
      <w:r w:rsidRPr="003B372F">
        <w:rPr>
          <w:rFonts w:ascii="Palatino Linotype" w:eastAsia="Palatino Linotype" w:hAnsi="Palatino Linotype" w:cs="Palatino Linotype"/>
        </w:rPr>
        <w:t xml:space="preserve">, el </w:t>
      </w:r>
      <w:r w:rsidRPr="003B372F">
        <w:rPr>
          <w:rFonts w:ascii="Palatino Linotype" w:eastAsia="Palatino Linotype" w:hAnsi="Palatino Linotype" w:cs="Palatino Linotype"/>
          <w:b/>
        </w:rPr>
        <w:t>SUJETO OBLIGADO</w:t>
      </w:r>
      <w:r w:rsidRPr="003B372F">
        <w:rPr>
          <w:rFonts w:ascii="Palatino Linotype" w:eastAsia="Palatino Linotype" w:hAnsi="Palatino Linotype" w:cs="Palatino Linotype"/>
        </w:rPr>
        <w:t xml:space="preserve"> otorgó, a través del </w:t>
      </w:r>
      <w:r w:rsidRPr="003B372F">
        <w:rPr>
          <w:rFonts w:ascii="Palatino Linotype" w:eastAsia="Palatino Linotype" w:hAnsi="Palatino Linotype" w:cs="Palatino Linotype"/>
          <w:b/>
        </w:rPr>
        <w:t>SAIMEX</w:t>
      </w:r>
      <w:r w:rsidRPr="003B372F">
        <w:rPr>
          <w:rFonts w:ascii="Palatino Linotype" w:eastAsia="Palatino Linotype" w:hAnsi="Palatino Linotype" w:cs="Palatino Linotype"/>
        </w:rPr>
        <w:t>, respuesta a la solicitud de acceso a la información de la siguiente manera:</w:t>
      </w:r>
    </w:p>
    <w:p w:rsidR="00FC4992" w:rsidRPr="003B372F" w:rsidRDefault="003B11C6">
      <w:pPr>
        <w:spacing w:before="120" w:line="276" w:lineRule="auto"/>
        <w:ind w:left="851" w:right="1041"/>
        <w:jc w:val="both"/>
        <w:rPr>
          <w:rFonts w:ascii="Palatino Linotype" w:eastAsia="Palatino Linotype" w:hAnsi="Palatino Linotype" w:cs="Palatino Linotype"/>
          <w:i/>
        </w:rPr>
      </w:pPr>
      <w:r w:rsidRPr="003B372F">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C4992" w:rsidRPr="003B372F" w:rsidRDefault="003B11C6">
      <w:pPr>
        <w:spacing w:before="120" w:line="276" w:lineRule="auto"/>
        <w:ind w:left="851" w:right="1041"/>
        <w:jc w:val="both"/>
        <w:rPr>
          <w:rFonts w:ascii="Palatino Linotype" w:eastAsia="Palatino Linotype" w:hAnsi="Palatino Linotype" w:cs="Palatino Linotype"/>
          <w:i/>
        </w:rPr>
      </w:pPr>
      <w:r w:rsidRPr="003B372F">
        <w:rPr>
          <w:rFonts w:ascii="Palatino Linotype" w:eastAsia="Palatino Linotype" w:hAnsi="Palatino Linotype" w:cs="Palatino Linotype"/>
          <w:i/>
        </w:rPr>
        <w:t>Buenas tardes, anexo encontrará la información solicitada, signada bajo el número 00070/ACULCO/IP/2022.</w:t>
      </w:r>
    </w:p>
    <w:p w:rsidR="00FC4992" w:rsidRPr="003B372F" w:rsidRDefault="003B11C6">
      <w:pPr>
        <w:spacing w:before="120" w:line="276" w:lineRule="auto"/>
        <w:ind w:left="851" w:right="1041"/>
        <w:jc w:val="both"/>
        <w:rPr>
          <w:rFonts w:ascii="Palatino Linotype" w:eastAsia="Palatino Linotype" w:hAnsi="Palatino Linotype" w:cs="Palatino Linotype"/>
          <w:i/>
        </w:rPr>
      </w:pPr>
      <w:r w:rsidRPr="003B372F">
        <w:rPr>
          <w:rFonts w:ascii="Palatino Linotype" w:eastAsia="Palatino Linotype" w:hAnsi="Palatino Linotype" w:cs="Palatino Linotype"/>
          <w:i/>
        </w:rPr>
        <w:t>ATENTAMENTE</w:t>
      </w:r>
    </w:p>
    <w:p w:rsidR="00FC4992" w:rsidRPr="003B372F" w:rsidRDefault="003B11C6">
      <w:pPr>
        <w:spacing w:before="120" w:line="276" w:lineRule="auto"/>
        <w:ind w:left="851" w:right="1041"/>
        <w:jc w:val="both"/>
        <w:rPr>
          <w:rFonts w:ascii="Palatino Linotype" w:eastAsia="Palatino Linotype" w:hAnsi="Palatino Linotype" w:cs="Palatino Linotype"/>
          <w:i/>
        </w:rPr>
      </w:pPr>
      <w:r w:rsidRPr="003B372F">
        <w:rPr>
          <w:rFonts w:ascii="Palatino Linotype" w:eastAsia="Palatino Linotype" w:hAnsi="Palatino Linotype" w:cs="Palatino Linotype"/>
          <w:i/>
        </w:rPr>
        <w:t>LIC. MARIA DEL CARMEN YAÑEZ PEREZ” (Sic).</w:t>
      </w:r>
    </w:p>
    <w:p w:rsidR="00FC4992" w:rsidRPr="003B372F" w:rsidRDefault="00FC4992">
      <w:pPr>
        <w:spacing w:line="360" w:lineRule="auto"/>
        <w:ind w:left="851" w:right="1041"/>
        <w:jc w:val="both"/>
        <w:rPr>
          <w:rFonts w:ascii="Palatino Linotype" w:eastAsia="Palatino Linotype" w:hAnsi="Palatino Linotype" w:cs="Palatino Linotype"/>
          <w:i/>
        </w:rPr>
      </w:pPr>
    </w:p>
    <w:p w:rsidR="00FC4992" w:rsidRPr="003B372F" w:rsidRDefault="003B11C6">
      <w:pPr>
        <w:spacing w:line="360" w:lineRule="auto"/>
        <w:ind w:right="-234"/>
        <w:jc w:val="both"/>
        <w:rPr>
          <w:rFonts w:ascii="Palatino Linotype" w:eastAsia="Palatino Linotype" w:hAnsi="Palatino Linotype" w:cs="Palatino Linotype"/>
          <w:b/>
        </w:rPr>
      </w:pPr>
      <w:bookmarkStart w:id="3" w:name="_heading=h.3dy6vkm" w:colFirst="0" w:colLast="0"/>
      <w:bookmarkEnd w:id="3"/>
      <w:r w:rsidRPr="003B372F">
        <w:rPr>
          <w:rFonts w:ascii="Palatino Linotype" w:eastAsia="Palatino Linotype" w:hAnsi="Palatino Linotype" w:cs="Palatino Linotype"/>
          <w:b/>
        </w:rPr>
        <w:t>Archivos Adjuntos:</w:t>
      </w:r>
    </w:p>
    <w:p w:rsidR="00FC4992" w:rsidRPr="003B372F" w:rsidRDefault="003B11C6">
      <w:pPr>
        <w:spacing w:line="360" w:lineRule="auto"/>
        <w:ind w:left="567" w:right="-234"/>
        <w:jc w:val="both"/>
        <w:rPr>
          <w:rFonts w:ascii="Palatino Linotype" w:eastAsia="Palatino Linotype" w:hAnsi="Palatino Linotype" w:cs="Palatino Linotype"/>
          <w:b/>
        </w:rPr>
      </w:pPr>
      <w:r w:rsidRPr="003B372F">
        <w:rPr>
          <w:rFonts w:ascii="Palatino Linotype" w:eastAsia="Palatino Linotype" w:hAnsi="Palatino Linotype" w:cs="Palatino Linotype"/>
          <w:b/>
        </w:rPr>
        <w:t xml:space="preserve">“00070.pdf”, </w:t>
      </w:r>
      <w:r w:rsidRPr="003B372F">
        <w:rPr>
          <w:rFonts w:ascii="Palatino Linotype" w:eastAsia="Palatino Linotype" w:hAnsi="Palatino Linotype" w:cs="Palatino Linotype"/>
        </w:rPr>
        <w:t>consistente en oficio número 73/TM/04/2022, de fecha ocho de abril de dos mil veintidós, signado por el L.A.E. José Octavio Flores Pérez, Tesorero municipal de Aculco, donde se remite, de manera ilegible, el presupuesto asignado a la Defensoría Municipal de los Derechos Humanos en el mismo municipio.</w:t>
      </w:r>
    </w:p>
    <w:p w:rsidR="00FC4992" w:rsidRPr="003B372F" w:rsidRDefault="003B11C6">
      <w:pPr>
        <w:spacing w:line="360" w:lineRule="auto"/>
        <w:ind w:right="-234"/>
        <w:jc w:val="both"/>
        <w:rPr>
          <w:rFonts w:ascii="Palatino Linotype" w:eastAsia="Palatino Linotype" w:hAnsi="Palatino Linotype" w:cs="Palatino Linotype"/>
          <w:b/>
        </w:rPr>
      </w:pPr>
      <w:r w:rsidRPr="003B372F">
        <w:rPr>
          <w:rFonts w:ascii="Palatino Linotype" w:eastAsia="Palatino Linotype" w:hAnsi="Palatino Linotype" w:cs="Palatino Linotype"/>
          <w:b/>
        </w:rPr>
        <w:t xml:space="preserve"> </w:t>
      </w:r>
    </w:p>
    <w:p w:rsidR="00FC4992" w:rsidRPr="003B372F" w:rsidRDefault="003B11C6">
      <w:pPr>
        <w:spacing w:line="360" w:lineRule="auto"/>
        <w:ind w:left="567" w:right="-234"/>
        <w:jc w:val="both"/>
        <w:rPr>
          <w:rFonts w:ascii="Palatino Linotype" w:eastAsia="Palatino Linotype" w:hAnsi="Palatino Linotype" w:cs="Palatino Linotype"/>
          <w:b/>
        </w:rPr>
      </w:pPr>
      <w:r w:rsidRPr="003B372F">
        <w:rPr>
          <w:rFonts w:ascii="Palatino Linotype" w:eastAsia="Palatino Linotype" w:hAnsi="Palatino Linotype" w:cs="Palatino Linotype"/>
          <w:b/>
        </w:rPr>
        <w:lastRenderedPageBreak/>
        <w:t xml:space="preserve">“solicitud 70.pdf”, </w:t>
      </w:r>
      <w:r w:rsidRPr="003B372F">
        <w:rPr>
          <w:rFonts w:ascii="Palatino Linotype" w:eastAsia="Palatino Linotype" w:hAnsi="Palatino Linotype" w:cs="Palatino Linotype"/>
        </w:rPr>
        <w:t xml:space="preserve">consistente en oficio número DA/0061/04/2022, de fecha veintiséis de abril de dos mil veintidós, signado por el C. Luis Martín Toral </w:t>
      </w:r>
      <w:proofErr w:type="spellStart"/>
      <w:r w:rsidRPr="003B372F">
        <w:rPr>
          <w:rFonts w:ascii="Palatino Linotype" w:eastAsia="Palatino Linotype" w:hAnsi="Palatino Linotype" w:cs="Palatino Linotype"/>
        </w:rPr>
        <w:t>Toral</w:t>
      </w:r>
      <w:proofErr w:type="spellEnd"/>
      <w:r w:rsidRPr="003B372F">
        <w:rPr>
          <w:rFonts w:ascii="Palatino Linotype" w:eastAsia="Palatino Linotype" w:hAnsi="Palatino Linotype" w:cs="Palatino Linotype"/>
        </w:rPr>
        <w:t xml:space="preserve">, Director de Administración del municipio de Aculco, mediante el cual da respuesta a los requerimientos de información realizados por el RECURRENTE, así mismo, contiene copias simples de diversos Títulos, Cedulas profesionales y certificados de estudios, con diversos datos testados. Documentos que se obvian por ser de conocimiento de las partes. </w:t>
      </w:r>
    </w:p>
    <w:p w:rsidR="00FC4992" w:rsidRPr="003B372F" w:rsidRDefault="003B11C6">
      <w:pPr>
        <w:spacing w:line="360" w:lineRule="auto"/>
        <w:ind w:right="-234"/>
        <w:jc w:val="both"/>
        <w:rPr>
          <w:rFonts w:ascii="Palatino Linotype" w:eastAsia="Palatino Linotype" w:hAnsi="Palatino Linotype" w:cs="Palatino Linotype"/>
          <w:b/>
        </w:rPr>
      </w:pPr>
      <w:r w:rsidRPr="003B372F">
        <w:rPr>
          <w:rFonts w:ascii="Palatino Linotype" w:eastAsia="Palatino Linotype" w:hAnsi="Palatino Linotype" w:cs="Palatino Linotype"/>
          <w:b/>
        </w:rPr>
        <w:t xml:space="preserve"> </w:t>
      </w:r>
    </w:p>
    <w:p w:rsidR="00FC4992" w:rsidRPr="003B372F" w:rsidRDefault="003B11C6">
      <w:pPr>
        <w:spacing w:line="360" w:lineRule="auto"/>
        <w:ind w:right="-234"/>
        <w:jc w:val="both"/>
        <w:rPr>
          <w:rFonts w:ascii="Palatino Linotype" w:eastAsia="Palatino Linotype" w:hAnsi="Palatino Linotype" w:cs="Palatino Linotype"/>
        </w:rPr>
      </w:pPr>
      <w:r w:rsidRPr="003B372F">
        <w:rPr>
          <w:rFonts w:ascii="Palatino Linotype" w:eastAsia="Palatino Linotype" w:hAnsi="Palatino Linotype" w:cs="Palatino Linotype"/>
          <w:b/>
        </w:rPr>
        <w:t xml:space="preserve">3. RECURSO DE REVISIÓN. </w:t>
      </w:r>
      <w:r w:rsidRPr="003B372F">
        <w:rPr>
          <w:rFonts w:ascii="Palatino Linotype" w:eastAsia="Palatino Linotype" w:hAnsi="Palatino Linotype" w:cs="Palatino Linotype"/>
        </w:rPr>
        <w:t>Inconforme con la respuesta del</w:t>
      </w:r>
      <w:r w:rsidRPr="003B372F">
        <w:rPr>
          <w:rFonts w:ascii="Palatino Linotype" w:eastAsia="Palatino Linotype" w:hAnsi="Palatino Linotype" w:cs="Palatino Linotype"/>
          <w:b/>
        </w:rPr>
        <w:t xml:space="preserve"> SUJETO OBLIGADO, </w:t>
      </w:r>
      <w:r w:rsidRPr="003B372F">
        <w:rPr>
          <w:rFonts w:ascii="Palatino Linotype" w:eastAsia="Palatino Linotype" w:hAnsi="Palatino Linotype" w:cs="Palatino Linotype"/>
        </w:rPr>
        <w:t xml:space="preserve">en fecha </w:t>
      </w:r>
      <w:r w:rsidRPr="003B372F">
        <w:rPr>
          <w:rFonts w:ascii="Palatino Linotype" w:eastAsia="Palatino Linotype" w:hAnsi="Palatino Linotype" w:cs="Palatino Linotype"/>
          <w:b/>
        </w:rPr>
        <w:t>dieciséis de mayo de dos mil veintidós</w:t>
      </w:r>
      <w:r w:rsidRPr="003B372F">
        <w:rPr>
          <w:rFonts w:ascii="Palatino Linotype" w:eastAsia="Palatino Linotype" w:hAnsi="Palatino Linotype" w:cs="Palatino Linotype"/>
        </w:rPr>
        <w:t>,</w:t>
      </w:r>
      <w:r w:rsidRPr="003B372F">
        <w:rPr>
          <w:rFonts w:ascii="Palatino Linotype" w:eastAsia="Palatino Linotype" w:hAnsi="Palatino Linotype" w:cs="Palatino Linotype"/>
          <w:b/>
        </w:rPr>
        <w:t xml:space="preserve"> EL RECURRENTE </w:t>
      </w:r>
      <w:r w:rsidRPr="003B372F">
        <w:rPr>
          <w:rFonts w:ascii="Palatino Linotype" w:eastAsia="Palatino Linotype" w:hAnsi="Palatino Linotype" w:cs="Palatino Linotype"/>
        </w:rPr>
        <w:t>interpuso el recurso de revisión, el cual fue registrado</w:t>
      </w:r>
      <w:r w:rsidRPr="003B372F">
        <w:rPr>
          <w:rFonts w:ascii="Palatino Linotype" w:eastAsia="Palatino Linotype" w:hAnsi="Palatino Linotype" w:cs="Palatino Linotype"/>
          <w:b/>
        </w:rPr>
        <w:t xml:space="preserve"> </w:t>
      </w:r>
      <w:r w:rsidRPr="003B372F">
        <w:rPr>
          <w:rFonts w:ascii="Palatino Linotype" w:eastAsia="Palatino Linotype" w:hAnsi="Palatino Linotype" w:cs="Palatino Linotype"/>
        </w:rPr>
        <w:t xml:space="preserve">en el sistema electrónico con el expediente número </w:t>
      </w:r>
      <w:r w:rsidRPr="003B372F">
        <w:rPr>
          <w:rFonts w:ascii="Palatino Linotype" w:eastAsia="Palatino Linotype" w:hAnsi="Palatino Linotype" w:cs="Palatino Linotype"/>
          <w:b/>
        </w:rPr>
        <w:t>07944/INFOEM/IP/RR/2022</w:t>
      </w:r>
      <w:r w:rsidRPr="003B372F">
        <w:rPr>
          <w:rFonts w:ascii="Palatino Linotype" w:eastAsia="Palatino Linotype" w:hAnsi="Palatino Linotype" w:cs="Palatino Linotype"/>
        </w:rPr>
        <w:t>, en el cual manifiesta, lo siguiente:</w:t>
      </w:r>
    </w:p>
    <w:p w:rsidR="00FC4992" w:rsidRPr="003B372F" w:rsidRDefault="00FC4992">
      <w:pPr>
        <w:spacing w:line="360" w:lineRule="auto"/>
        <w:ind w:right="-234"/>
        <w:jc w:val="both"/>
        <w:rPr>
          <w:rFonts w:ascii="Palatino Linotype" w:eastAsia="Palatino Linotype" w:hAnsi="Palatino Linotype" w:cs="Palatino Linotype"/>
        </w:rPr>
      </w:pPr>
    </w:p>
    <w:p w:rsidR="00FC4992" w:rsidRPr="003B372F" w:rsidRDefault="003B11C6">
      <w:pPr>
        <w:numPr>
          <w:ilvl w:val="0"/>
          <w:numId w:val="1"/>
        </w:numPr>
        <w:spacing w:line="360" w:lineRule="auto"/>
        <w:jc w:val="both"/>
        <w:rPr>
          <w:rFonts w:ascii="Palatino Linotype" w:eastAsia="Palatino Linotype" w:hAnsi="Palatino Linotype" w:cs="Palatino Linotype"/>
          <w:b/>
          <w:i/>
        </w:rPr>
      </w:pPr>
      <w:r w:rsidRPr="003B372F">
        <w:rPr>
          <w:rFonts w:ascii="Palatino Linotype" w:eastAsia="Palatino Linotype" w:hAnsi="Palatino Linotype" w:cs="Palatino Linotype"/>
          <w:b/>
          <w:i/>
        </w:rPr>
        <w:t>Acto Impugnado:</w:t>
      </w:r>
    </w:p>
    <w:p w:rsidR="00FC4992" w:rsidRPr="003B372F" w:rsidRDefault="003B11C6">
      <w:pPr>
        <w:spacing w:after="240" w:line="360" w:lineRule="auto"/>
        <w:ind w:left="851"/>
        <w:jc w:val="both"/>
        <w:rPr>
          <w:rFonts w:ascii="Palatino Linotype" w:eastAsia="Palatino Linotype" w:hAnsi="Palatino Linotype" w:cs="Palatino Linotype"/>
          <w:i/>
        </w:rPr>
      </w:pPr>
      <w:r w:rsidRPr="003B372F">
        <w:rPr>
          <w:rFonts w:ascii="Palatino Linotype" w:eastAsia="Palatino Linotype" w:hAnsi="Palatino Linotype" w:cs="Palatino Linotype"/>
          <w:i/>
        </w:rPr>
        <w:t>“Solicité al Ayuntamiento de Aculco entre otras preguntas, la respuesta a las siguientes cuestiones: - Saber si los miembros del Ayuntamiento y los directores son titulados de alguna carrera, si es así, especificar nombre, número de cédula profesional, carrera y universidad donde se realizaron dichos estudios. - ¿La defensoría Municipal de derechos humanos qué presupuesto tiene? - ¿La Defensoría Municipal de Derechos Humanos ha realizado alguna recomendación al gobierno municipal?</w:t>
      </w:r>
      <w:proofErr w:type="gramStart"/>
      <w:r w:rsidRPr="003B372F">
        <w:rPr>
          <w:rFonts w:ascii="Palatino Linotype" w:eastAsia="Palatino Linotype" w:hAnsi="Palatino Linotype" w:cs="Palatino Linotype"/>
          <w:i/>
        </w:rPr>
        <w:t>.”</w:t>
      </w:r>
      <w:proofErr w:type="gramEnd"/>
      <w:r w:rsidRPr="003B372F">
        <w:rPr>
          <w:rFonts w:ascii="Palatino Linotype" w:eastAsia="Palatino Linotype" w:hAnsi="Palatino Linotype" w:cs="Palatino Linotype"/>
          <w:i/>
        </w:rPr>
        <w:t xml:space="preserve"> [</w:t>
      </w:r>
      <w:proofErr w:type="gramStart"/>
      <w:r w:rsidRPr="003B372F">
        <w:rPr>
          <w:rFonts w:ascii="Palatino Linotype" w:eastAsia="Palatino Linotype" w:hAnsi="Palatino Linotype" w:cs="Palatino Linotype"/>
          <w:i/>
        </w:rPr>
        <w:t>sic</w:t>
      </w:r>
      <w:proofErr w:type="gramEnd"/>
      <w:r w:rsidRPr="003B372F">
        <w:rPr>
          <w:rFonts w:ascii="Palatino Linotype" w:eastAsia="Palatino Linotype" w:hAnsi="Palatino Linotype" w:cs="Palatino Linotype"/>
          <w:i/>
        </w:rPr>
        <w:t>]</w:t>
      </w:r>
    </w:p>
    <w:p w:rsidR="00FC4992" w:rsidRPr="003B372F" w:rsidRDefault="003B11C6">
      <w:pPr>
        <w:numPr>
          <w:ilvl w:val="0"/>
          <w:numId w:val="1"/>
        </w:numPr>
        <w:spacing w:before="240" w:after="240" w:line="360" w:lineRule="auto"/>
        <w:rPr>
          <w:rFonts w:ascii="Palatino Linotype" w:eastAsia="Palatino Linotype" w:hAnsi="Palatino Linotype" w:cs="Palatino Linotype"/>
          <w:i/>
        </w:rPr>
      </w:pPr>
      <w:r w:rsidRPr="003B372F">
        <w:rPr>
          <w:rFonts w:ascii="Palatino Linotype" w:eastAsia="Palatino Linotype" w:hAnsi="Palatino Linotype" w:cs="Palatino Linotype"/>
          <w:b/>
          <w:i/>
        </w:rPr>
        <w:t>Razones o Motivos de Inconformidad</w:t>
      </w:r>
      <w:r w:rsidRPr="003B372F">
        <w:rPr>
          <w:rFonts w:ascii="Palatino Linotype" w:eastAsia="Palatino Linotype" w:hAnsi="Palatino Linotype" w:cs="Palatino Linotype"/>
          <w:i/>
        </w:rPr>
        <w:t>:</w:t>
      </w:r>
    </w:p>
    <w:p w:rsidR="00FC4992" w:rsidRPr="003B372F" w:rsidRDefault="003B11C6">
      <w:pPr>
        <w:spacing w:line="360" w:lineRule="auto"/>
        <w:ind w:left="851"/>
        <w:jc w:val="both"/>
        <w:rPr>
          <w:rFonts w:ascii="Palatino Linotype" w:eastAsia="Palatino Linotype" w:hAnsi="Palatino Linotype" w:cs="Palatino Linotype"/>
          <w:i/>
        </w:rPr>
      </w:pPr>
      <w:r w:rsidRPr="003B372F">
        <w:rPr>
          <w:rFonts w:ascii="Palatino Linotype" w:eastAsia="Palatino Linotype" w:hAnsi="Palatino Linotype" w:cs="Palatino Linotype"/>
          <w:i/>
        </w:rPr>
        <w:t xml:space="preserve">“Saludos cordiales al remitente. La solicitud de transparencia correspondiente al número de folio 00070/ACULCO/IP/2022 emitida el día 29 de marzo de 2022 fue </w:t>
      </w:r>
      <w:r w:rsidRPr="003B372F">
        <w:rPr>
          <w:rFonts w:ascii="Palatino Linotype" w:eastAsia="Palatino Linotype" w:hAnsi="Palatino Linotype" w:cs="Palatino Linotype"/>
          <w:i/>
        </w:rPr>
        <w:lastRenderedPageBreak/>
        <w:t xml:space="preserve">contestada de forma incompleta. Al solicitar "saber si los miembros del Ayuntamiento y los directores son titulados de alguna carrera, si es así, especificar nombre, número de cédula profesional, carrera y universidad donde se realizaron dichos estudios" se me entregó una tabla que contenía todos los </w:t>
      </w:r>
      <w:proofErr w:type="gramStart"/>
      <w:r w:rsidRPr="003B372F">
        <w:rPr>
          <w:rFonts w:ascii="Palatino Linotype" w:eastAsia="Palatino Linotype" w:hAnsi="Palatino Linotype" w:cs="Palatino Linotype"/>
          <w:i/>
        </w:rPr>
        <w:t>datos ,</w:t>
      </w:r>
      <w:proofErr w:type="gramEnd"/>
      <w:r w:rsidRPr="003B372F">
        <w:rPr>
          <w:rFonts w:ascii="Palatino Linotype" w:eastAsia="Palatino Linotype" w:hAnsi="Palatino Linotype" w:cs="Palatino Linotype"/>
          <w:i/>
        </w:rPr>
        <w:t xml:space="preserve"> excepto el número de cédula profesional, por lo que la respuesta fue incompleta. En cuanto a la pregunta "¿La Defensoría Municipal de Derechos Humanos ha realizado alguna recomendación al gobierno municipal?" simplemente no se mencionó. Por lo anterior procedo a mencionar que la LEY DE TRANSPARENCIA Y ACCESO A LA INFORMACIÓN PÚBLICA DEL ESTADO DE MÉXICO Y MUNICIPIOS establece que: El artículo 23 dice que el Ayuntamiento de Aculco es competente para transparentar información. Así mismo el artículo 9 explica que la información en posesión de los sujetos obligados (aseguro su posesión ya que no se sustentó lo contrario) debe ser completa, oportuna y accesible. El artículo 76 obliga a que la publicación de la información exhibida sea (entre otras cosas) integral, congruente y accesible. El artículo 11 alude a lo mismo. Asevero que el </w:t>
      </w:r>
      <w:r w:rsidRPr="003B372F">
        <w:rPr>
          <w:rFonts w:ascii="Palatino Linotype" w:eastAsia="Palatino Linotype" w:hAnsi="Palatino Linotype" w:cs="Palatino Linotype"/>
          <w:b/>
          <w:i/>
        </w:rPr>
        <w:t>SUJETO OBLIGADO</w:t>
      </w:r>
      <w:r w:rsidRPr="003B372F">
        <w:rPr>
          <w:rFonts w:ascii="Palatino Linotype" w:eastAsia="Palatino Linotype" w:hAnsi="Palatino Linotype" w:cs="Palatino Linotype"/>
          <w:i/>
        </w:rPr>
        <w:t xml:space="preserve"> tiene la capacidad y responsabilidad de atender mis dudas de manera total y no parcial. El cuestionamiento "¿La Defensoría Municipal de Derechos Humanos ha realizado alguna recomendación al gobierno municipal?" específicamente debió ser respondido, puesto que el artículo 92 menciona que los sujetos obligados deben poner a disposición pública la información de las recomendaciones emitidas por los órganos públicos del Estado mexicano u organismos internacionales garantes de los derechos humanos, así como las acciones que han llevado a cabo para su atención. Por otra parte, la pregunta "¿La defensoría Municipal de derechos humanos qué presupuesto tiene?" es contestada con un archivo ilegible que se adjunta al presente recurso de revisión. En alusión a esto, el artículo 11 obliga a los sujetos obligados a presentar </w:t>
      </w:r>
      <w:r w:rsidRPr="003B372F">
        <w:rPr>
          <w:rFonts w:ascii="Palatino Linotype" w:eastAsia="Palatino Linotype" w:hAnsi="Palatino Linotype" w:cs="Palatino Linotype"/>
          <w:i/>
        </w:rPr>
        <w:lastRenderedPageBreak/>
        <w:t xml:space="preserve">la respuesta en un lenguaje sencillo y el artículo 76 enuncia que aquella tendrá que ser comprensible y confiable. Dado que no es posible observar las letras o números que aparecen en el archivo la respuesta no cumple con la pauta de un lenguaje sencillo, no es comprensible, por ello no puedo asegurar que sea confiable. En virtud de lo anteriormente argumentado eximo mi derecho de acceso a la información pública y requiero que se me envíe el archivo legible respectivo a la pregunta "¿La defensoría Municipal de derechos humanos qué presupuesto tiene?". También solicito que se </w:t>
      </w:r>
      <w:proofErr w:type="spellStart"/>
      <w:r w:rsidRPr="003B372F">
        <w:rPr>
          <w:rFonts w:ascii="Palatino Linotype" w:eastAsia="Palatino Linotype" w:hAnsi="Palatino Linotype" w:cs="Palatino Linotype"/>
          <w:i/>
        </w:rPr>
        <w:t>de</w:t>
      </w:r>
      <w:proofErr w:type="spellEnd"/>
      <w:r w:rsidRPr="003B372F">
        <w:rPr>
          <w:rFonts w:ascii="Palatino Linotype" w:eastAsia="Palatino Linotype" w:hAnsi="Palatino Linotype" w:cs="Palatino Linotype"/>
          <w:i/>
        </w:rPr>
        <w:t xml:space="preserve"> una solución a la pregunta "¿La Defensoría Municipal de Derechos Humanos ha realizado alguna recomendación al gobierno municipal?" y que se me facilite el número de cédula profesional de los miembros del Ayuntamiento y los directores titulados. Sin otro particular por el momento agradezco su atención.” [</w:t>
      </w:r>
      <w:proofErr w:type="gramStart"/>
      <w:r w:rsidRPr="003B372F">
        <w:rPr>
          <w:rFonts w:ascii="Palatino Linotype" w:eastAsia="Palatino Linotype" w:hAnsi="Palatino Linotype" w:cs="Palatino Linotype"/>
          <w:i/>
        </w:rPr>
        <w:t>sic</w:t>
      </w:r>
      <w:proofErr w:type="gramEnd"/>
      <w:r w:rsidRPr="003B372F">
        <w:rPr>
          <w:rFonts w:ascii="Palatino Linotype" w:eastAsia="Palatino Linotype" w:hAnsi="Palatino Linotype" w:cs="Palatino Linotype"/>
          <w:i/>
        </w:rPr>
        <w:t>]</w:t>
      </w:r>
    </w:p>
    <w:p w:rsidR="00FC4992" w:rsidRPr="003B372F" w:rsidRDefault="003B11C6">
      <w:pPr>
        <w:spacing w:before="240" w:after="240" w:line="360" w:lineRule="auto"/>
        <w:jc w:val="both"/>
        <w:rPr>
          <w:rFonts w:ascii="Palatino Linotype" w:eastAsia="Palatino Linotype" w:hAnsi="Palatino Linotype" w:cs="Palatino Linotype"/>
        </w:rPr>
      </w:pPr>
      <w:bookmarkStart w:id="4" w:name="_heading=h.1t3h5sf" w:colFirst="0" w:colLast="0"/>
      <w:bookmarkEnd w:id="4"/>
      <w:r w:rsidRPr="003B372F">
        <w:rPr>
          <w:rFonts w:ascii="Palatino Linotype" w:eastAsia="Palatino Linotype" w:hAnsi="Palatino Linotype" w:cs="Palatino Linotype"/>
          <w:b/>
        </w:rPr>
        <w:t xml:space="preserve">4. TURNO. </w:t>
      </w:r>
      <w:r w:rsidRPr="003B372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3B372F">
        <w:rPr>
          <w:rFonts w:ascii="Palatino Linotype" w:eastAsia="Palatino Linotype" w:hAnsi="Palatino Linotype" w:cs="Palatino Linotype"/>
          <w:b/>
        </w:rPr>
        <w:t xml:space="preserve">Guadalupe Ramírez Peña, </w:t>
      </w:r>
      <w:r w:rsidRPr="003B372F">
        <w:rPr>
          <w:rFonts w:ascii="Palatino Linotype" w:eastAsia="Palatino Linotype" w:hAnsi="Palatino Linotype" w:cs="Palatino Linotype"/>
        </w:rPr>
        <w:t xml:space="preserve">a efecto de que analizara sobre su admisión o su </w:t>
      </w:r>
      <w:proofErr w:type="spellStart"/>
      <w:r w:rsidRPr="003B372F">
        <w:rPr>
          <w:rFonts w:ascii="Palatino Linotype" w:eastAsia="Palatino Linotype" w:hAnsi="Palatino Linotype" w:cs="Palatino Linotype"/>
        </w:rPr>
        <w:t>desechamiento</w:t>
      </w:r>
      <w:proofErr w:type="spellEnd"/>
      <w:r w:rsidRPr="003B372F">
        <w:rPr>
          <w:rFonts w:ascii="Palatino Linotype" w:eastAsia="Palatino Linotype" w:hAnsi="Palatino Linotype" w:cs="Palatino Linotype"/>
        </w:rPr>
        <w:t>.</w:t>
      </w:r>
    </w:p>
    <w:p w:rsidR="00FC4992" w:rsidRPr="003B372F" w:rsidRDefault="003B11C6">
      <w:pPr>
        <w:spacing w:line="360" w:lineRule="auto"/>
        <w:jc w:val="both"/>
        <w:rPr>
          <w:rFonts w:ascii="Palatino Linotype" w:eastAsia="Palatino Linotype" w:hAnsi="Palatino Linotype" w:cs="Palatino Linotype"/>
        </w:rPr>
      </w:pPr>
      <w:bookmarkStart w:id="5" w:name="_heading=h.4d34og8" w:colFirst="0" w:colLast="0"/>
      <w:bookmarkEnd w:id="5"/>
      <w:r w:rsidRPr="003B372F">
        <w:rPr>
          <w:rFonts w:ascii="Palatino Linotype" w:eastAsia="Palatino Linotype" w:hAnsi="Palatino Linotype" w:cs="Palatino Linotype"/>
          <w:b/>
        </w:rPr>
        <w:t xml:space="preserve">5. ADMISIÓN. </w:t>
      </w:r>
      <w:r w:rsidRPr="003B372F">
        <w:rPr>
          <w:rFonts w:ascii="Palatino Linotype" w:eastAsia="Palatino Linotype" w:hAnsi="Palatino Linotype" w:cs="Palatino Linotype"/>
        </w:rPr>
        <w:t xml:space="preserve">En fecha </w:t>
      </w:r>
      <w:r w:rsidRPr="003B372F">
        <w:rPr>
          <w:rFonts w:ascii="Palatino Linotype" w:eastAsia="Palatino Linotype" w:hAnsi="Palatino Linotype" w:cs="Palatino Linotype"/>
          <w:b/>
        </w:rPr>
        <w:t>diecinueve de mayo dos mil veintidós</w:t>
      </w:r>
      <w:r w:rsidRPr="003B372F">
        <w:rPr>
          <w:rFonts w:ascii="Palatino Linotype" w:eastAsia="Palatino Linotype" w:hAnsi="Palatino Linotype" w:cs="Palatino Linotype"/>
        </w:rPr>
        <w:t xml:space="preserve">, 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RPr="003B372F">
        <w:rPr>
          <w:rFonts w:ascii="Palatino Linotype" w:eastAsia="Palatino Linotype" w:hAnsi="Palatino Linotype" w:cs="Palatino Linotype"/>
          <w:b/>
        </w:rPr>
        <w:t>SUJETO OBLIGADO</w:t>
      </w:r>
      <w:r w:rsidRPr="003B372F">
        <w:rPr>
          <w:rFonts w:ascii="Palatino Linotype" w:eastAsia="Palatino Linotype" w:hAnsi="Palatino Linotype" w:cs="Palatino Linotype"/>
        </w:rPr>
        <w:t xml:space="preserve"> presentara su informe justificado.</w:t>
      </w: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b/>
        </w:rPr>
        <w:lastRenderedPageBreak/>
        <w:t xml:space="preserve">6. MANIFESTACIONES. </w:t>
      </w:r>
      <w:r w:rsidRPr="003B372F">
        <w:rPr>
          <w:rFonts w:ascii="Palatino Linotype" w:eastAsia="Palatino Linotype" w:hAnsi="Palatino Linotype" w:cs="Palatino Linotype"/>
        </w:rPr>
        <w:t xml:space="preserve">De las constancias que obran en el expediente electrónico del </w:t>
      </w:r>
      <w:r w:rsidRPr="003B372F">
        <w:rPr>
          <w:rFonts w:ascii="Palatino Linotype" w:eastAsia="Palatino Linotype" w:hAnsi="Palatino Linotype" w:cs="Palatino Linotype"/>
          <w:b/>
        </w:rPr>
        <w:t>SAIMEX</w:t>
      </w:r>
      <w:r w:rsidRPr="003B372F">
        <w:rPr>
          <w:rFonts w:ascii="Palatino Linotype" w:eastAsia="Palatino Linotype" w:hAnsi="Palatino Linotype" w:cs="Palatino Linotype"/>
        </w:rPr>
        <w:t xml:space="preserve"> se desprende que el ahora </w:t>
      </w:r>
      <w:r w:rsidRPr="003B372F">
        <w:rPr>
          <w:rFonts w:ascii="Palatino Linotype" w:eastAsia="Palatino Linotype" w:hAnsi="Palatino Linotype" w:cs="Palatino Linotype"/>
          <w:b/>
        </w:rPr>
        <w:t>RECURRENTE</w:t>
      </w:r>
      <w:r w:rsidRPr="003B372F">
        <w:rPr>
          <w:rFonts w:ascii="Palatino Linotype" w:eastAsia="Palatino Linotype" w:hAnsi="Palatino Linotype" w:cs="Palatino Linotype"/>
        </w:rPr>
        <w:t xml:space="preserve"> omitió realizar manifestaciones, por su parte el </w:t>
      </w:r>
      <w:r w:rsidRPr="003B372F">
        <w:rPr>
          <w:rFonts w:ascii="Palatino Linotype" w:eastAsia="Palatino Linotype" w:hAnsi="Palatino Linotype" w:cs="Palatino Linotype"/>
          <w:b/>
        </w:rPr>
        <w:t>SUJETO OBLIGADO, en fecha treinta de mayo de dos mil veintidós</w:t>
      </w:r>
      <w:r w:rsidRPr="003B372F">
        <w:rPr>
          <w:rFonts w:ascii="Palatino Linotype" w:eastAsia="Palatino Linotype" w:hAnsi="Palatino Linotype" w:cs="Palatino Linotype"/>
        </w:rPr>
        <w:t xml:space="preserve"> rindió su informe justificado, donde ratifica la respuesta de que no se han hecho recomendaciones al ayuntamiento de Aculco por parte de la Defensoría Municipal de Derechos Humanos, así mismo, modifica la respuesta respecto de si los miembros del Ayuntamiento y los directores son titulados de alguna carrera, si es así, especificar nombre, número de cédula profesional, carrera y universidad donde se realizaron dichos estudios, toda vez que se agrega el número de la cedula profesional en los casos aplicables, así mismo remite de nuevo el presupuesto asignado a la Defensoría Municipal de Derechos Humanos.</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Para tal efecto el </w:t>
      </w:r>
      <w:r w:rsidRPr="003B372F">
        <w:rPr>
          <w:rFonts w:ascii="Palatino Linotype" w:eastAsia="Palatino Linotype" w:hAnsi="Palatino Linotype" w:cs="Palatino Linotype"/>
          <w:b/>
        </w:rPr>
        <w:t>SUJETO OBLIGADO</w:t>
      </w:r>
      <w:r w:rsidRPr="003B372F">
        <w:rPr>
          <w:rFonts w:ascii="Palatino Linotype" w:eastAsia="Palatino Linotype" w:hAnsi="Palatino Linotype" w:cs="Palatino Linotype"/>
        </w:rPr>
        <w:t xml:space="preserve"> remitió los archivos electrónicos  “PRESUPUESTO DH.pdf”, “ADMINISTRACION 70.pdf” e “INFORME JUSTIFICADO RR 07944.pdf”, de los cuales, únicamente el primero y el tercero fueron puestos a la vista del </w:t>
      </w:r>
      <w:r w:rsidRPr="003B372F">
        <w:rPr>
          <w:rFonts w:ascii="Palatino Linotype" w:eastAsia="Palatino Linotype" w:hAnsi="Palatino Linotype" w:cs="Palatino Linotype"/>
          <w:b/>
        </w:rPr>
        <w:t>RECURRENTE</w:t>
      </w:r>
      <w:r w:rsidRPr="003B372F">
        <w:rPr>
          <w:rFonts w:ascii="Palatino Linotype" w:eastAsia="Palatino Linotype" w:hAnsi="Palatino Linotype" w:cs="Palatino Linotype"/>
        </w:rPr>
        <w:t xml:space="preserve">, toda vez que en el identificado con el nombre “ADMINISTRACION 70.pdf” se dejaron datos personales susceptibles de clasificar a la vista del particular.  </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b/>
        </w:rPr>
        <w:t>7. AMPLIACIÓN DEL PLAZO PARA EMITIR RESOLUCIÓN</w:t>
      </w:r>
      <w:r w:rsidRPr="003B372F">
        <w:rPr>
          <w:rFonts w:ascii="Palatino Linotype" w:eastAsia="Palatino Linotype" w:hAnsi="Palatino Linotype" w:cs="Palatino Linotype"/>
        </w:rPr>
        <w:t xml:space="preserve">. En fecha </w:t>
      </w:r>
      <w:r w:rsidRPr="003B372F">
        <w:rPr>
          <w:rFonts w:ascii="Palatino Linotype" w:eastAsia="Palatino Linotype" w:hAnsi="Palatino Linotype" w:cs="Palatino Linotype"/>
          <w:b/>
        </w:rPr>
        <w:t>treinta y uno de agosto de dos mil veintidós</w:t>
      </w:r>
      <w:r w:rsidRPr="003B372F">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360" w:lineRule="auto"/>
        <w:jc w:val="both"/>
        <w:rPr>
          <w:rFonts w:ascii="Palatino Linotype" w:eastAsia="Palatino Linotype" w:hAnsi="Palatino Linotype" w:cs="Palatino Linotype"/>
          <w:strike/>
        </w:rPr>
      </w:pPr>
      <w:r w:rsidRPr="003B372F">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w:t>
      </w:r>
      <w:proofErr w:type="gramStart"/>
      <w:r w:rsidRPr="003B372F">
        <w:rPr>
          <w:rFonts w:ascii="Palatino Linotype" w:eastAsia="Palatino Linotype" w:hAnsi="Palatino Linotype" w:cs="Palatino Linotype"/>
        </w:rPr>
        <w:t>su resolución atentos</w:t>
      </w:r>
      <w:proofErr w:type="gramEnd"/>
      <w:r w:rsidRPr="003B372F">
        <w:rPr>
          <w:rFonts w:ascii="Palatino Linotype" w:eastAsia="Palatino Linotype" w:hAnsi="Palatino Linotype" w:cs="Palatino Linotype"/>
        </w:rPr>
        <w:t xml:space="preserve"> a los siguientes criterios: </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numPr>
          <w:ilvl w:val="0"/>
          <w:numId w:val="6"/>
        </w:num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FC4992" w:rsidRPr="003B372F" w:rsidRDefault="00FC4992">
      <w:pPr>
        <w:spacing w:line="360" w:lineRule="auto"/>
        <w:ind w:left="927"/>
        <w:jc w:val="both"/>
        <w:rPr>
          <w:rFonts w:ascii="Palatino Linotype" w:eastAsia="Palatino Linotype" w:hAnsi="Palatino Linotype" w:cs="Palatino Linotype"/>
        </w:rPr>
      </w:pPr>
    </w:p>
    <w:p w:rsidR="00FC4992" w:rsidRPr="003B372F" w:rsidRDefault="003B11C6">
      <w:pPr>
        <w:numPr>
          <w:ilvl w:val="0"/>
          <w:numId w:val="6"/>
        </w:num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Actividad Procesal del interesado. Acciones u omisiones del interesado.</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numPr>
          <w:ilvl w:val="0"/>
          <w:numId w:val="6"/>
        </w:num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Conducta de la Autoridad: Las Acciones u omisiones realizadas en el procedimiento. Así como si la autoridad actuó con la debida diligencia.</w:t>
      </w:r>
    </w:p>
    <w:p w:rsidR="00FC4992" w:rsidRPr="003B372F" w:rsidRDefault="00FC4992">
      <w:pPr>
        <w:spacing w:line="360" w:lineRule="auto"/>
        <w:ind w:left="708"/>
        <w:rPr>
          <w:rFonts w:ascii="Palatino Linotype" w:eastAsia="Palatino Linotype" w:hAnsi="Palatino Linotype" w:cs="Palatino Linotype"/>
        </w:rPr>
      </w:pPr>
    </w:p>
    <w:p w:rsidR="00FC4992" w:rsidRPr="003B372F" w:rsidRDefault="003B11C6">
      <w:pPr>
        <w:spacing w:line="360" w:lineRule="auto"/>
        <w:ind w:left="567"/>
        <w:jc w:val="both"/>
        <w:rPr>
          <w:rFonts w:ascii="Palatino Linotype" w:eastAsia="Palatino Linotype" w:hAnsi="Palatino Linotype" w:cs="Palatino Linotype"/>
        </w:rPr>
      </w:pPr>
      <w:r w:rsidRPr="003B372F">
        <w:rPr>
          <w:rFonts w:ascii="Palatino Linotype" w:eastAsia="Palatino Linotype" w:hAnsi="Palatino Linotype" w:cs="Palatino Linotype"/>
        </w:rPr>
        <w:t>d) La afectación generada en la situación jurídica de la persona involucrada en el proceso: Violación a sus derechos humanos.</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360" w:lineRule="auto"/>
        <w:jc w:val="both"/>
        <w:rPr>
          <w:rFonts w:ascii="Palatino Linotype" w:eastAsia="Palatino Linotype" w:hAnsi="Palatino Linotype" w:cs="Palatino Linotype"/>
          <w:b/>
        </w:rPr>
      </w:pPr>
      <w:r w:rsidRPr="003B372F">
        <w:rPr>
          <w:rFonts w:ascii="Palatino Linotype" w:eastAsia="Palatino Linotype" w:hAnsi="Palatino Linotype" w:cs="Palatino Linotype"/>
        </w:rPr>
        <w:t>Argumento que encuentra sustento en la jurisprudencia P</w:t>
      </w:r>
      <w:proofErr w:type="gramStart"/>
      <w:r w:rsidRPr="003B372F">
        <w:rPr>
          <w:rFonts w:ascii="Palatino Linotype" w:eastAsia="Palatino Linotype" w:hAnsi="Palatino Linotype" w:cs="Palatino Linotype"/>
        </w:rPr>
        <w:t>./</w:t>
      </w:r>
      <w:proofErr w:type="gramEnd"/>
      <w:r w:rsidRPr="003B372F">
        <w:rPr>
          <w:rFonts w:ascii="Palatino Linotype" w:eastAsia="Palatino Linotype" w:hAnsi="Palatino Linotype" w:cs="Palatino Linotype"/>
        </w:rPr>
        <w:t xml:space="preserve">J. 32/92 emitida por el Pleno de la Suprema Corte de Justicia de la Nación de rubro </w:t>
      </w:r>
      <w:r w:rsidRPr="003B372F">
        <w:rPr>
          <w:rFonts w:ascii="Palatino Linotype" w:eastAsia="Palatino Linotype" w:hAnsi="Palatino Linotype" w:cs="Palatino Linotype"/>
          <w:i/>
        </w:rPr>
        <w:t xml:space="preserve">“TÉRMINOS </w:t>
      </w:r>
      <w:r w:rsidRPr="003B372F">
        <w:rPr>
          <w:rFonts w:ascii="Palatino Linotype" w:eastAsia="Palatino Linotype" w:hAnsi="Palatino Linotype" w:cs="Palatino Linotype"/>
          <w:i/>
        </w:rPr>
        <w:lastRenderedPageBreak/>
        <w:t>PROCESALES. PARA DETERMINAR SI UN FUNCIONARIO JUDICIAL ACTUÓ INDEBIDAMENTE POR NO RESPETARLOS SE DEBE ATENDER AL PRESUPUESTO QUE CONSIDERÓ EL LEGISLADOR AL FIJARLOS Y LAS CARACTERÍSTICAS DEL CASO.”</w:t>
      </w:r>
      <w:r w:rsidRPr="003B372F">
        <w:rPr>
          <w:rFonts w:ascii="Palatino Linotype" w:eastAsia="Palatino Linotype" w:hAnsi="Palatino Linotype" w:cs="Palatino Linotype"/>
        </w:rPr>
        <w:t>, visible en la Gaceta del Seminario Judicial de la Federación con el registro digital 205635.</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FC4992" w:rsidRPr="003B372F" w:rsidRDefault="00FC4992">
      <w:pPr>
        <w:spacing w:line="360" w:lineRule="auto"/>
        <w:jc w:val="both"/>
        <w:rPr>
          <w:rFonts w:ascii="Palatino Linotype" w:eastAsia="Palatino Linotype" w:hAnsi="Palatino Linotype" w:cs="Palatino Linotype"/>
          <w:i/>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i/>
        </w:rPr>
        <w:t>“PLAZO RAZONABLE PARA RESOLVER. DIMENSIÓN Y EFECTOS DE ESTE CONCEPTO CUANDO SE ADUCE EXCESIVA CARGA DE TRABAJO.”</w:t>
      </w:r>
      <w:r w:rsidRPr="003B372F">
        <w:rPr>
          <w:rFonts w:ascii="Palatino Linotype" w:eastAsia="Palatino Linotype" w:hAnsi="Palatino Linotype" w:cs="Palatino Linotype"/>
        </w:rPr>
        <w:t xml:space="preserve"> consultable en el Seminario Judicial de la Federación y su gaceta, con el registro digital 2002351.</w:t>
      </w:r>
    </w:p>
    <w:p w:rsidR="00FC4992" w:rsidRPr="003B372F" w:rsidRDefault="00FC4992">
      <w:pPr>
        <w:spacing w:line="360" w:lineRule="auto"/>
        <w:jc w:val="both"/>
        <w:rPr>
          <w:rFonts w:ascii="Palatino Linotype" w:eastAsia="Palatino Linotype" w:hAnsi="Palatino Linotype" w:cs="Palatino Linotype"/>
          <w:b/>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i/>
        </w:rPr>
        <w:lastRenderedPageBreak/>
        <w:t>“PLAZO RAZONABLE PARA RESOLVER. CONCEPTO Y ELEMENTOS QUE LO INTEGRAN A LA LUZ DEL DERECHO INTERNACIONAL DE LOS DERECHOS HUMANOS.”</w:t>
      </w:r>
      <w:r w:rsidRPr="003B372F">
        <w:rPr>
          <w:rFonts w:ascii="Palatino Linotype" w:eastAsia="Palatino Linotype" w:hAnsi="Palatino Linotype" w:cs="Palatino Linotype"/>
        </w:rPr>
        <w:t>, visible en el Seminario Judicial de la Federación y su gaceta, con el registro digital 2002350.</w:t>
      </w: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b/>
        </w:rPr>
        <w:t xml:space="preserve">8. CIERRE DE INSTRUCCIÓN. </w:t>
      </w:r>
      <w:r w:rsidRPr="003B372F">
        <w:rPr>
          <w:rFonts w:ascii="Palatino Linotype" w:eastAsia="Palatino Linotype" w:hAnsi="Palatino Linotype" w:cs="Palatino Linotype"/>
        </w:rPr>
        <w:t xml:space="preserve">El </w:t>
      </w:r>
      <w:r w:rsidRPr="003B372F">
        <w:rPr>
          <w:rFonts w:ascii="Palatino Linotype" w:eastAsia="Palatino Linotype" w:hAnsi="Palatino Linotype" w:cs="Palatino Linotype"/>
          <w:b/>
        </w:rPr>
        <w:t>veinte de septiembre de dos mil veintidós</w:t>
      </w:r>
      <w:r w:rsidRPr="003B372F">
        <w:rPr>
          <w:rFonts w:ascii="Palatino Linotype" w:eastAsia="Palatino Linotype" w:hAnsi="Palatino Linotype" w:cs="Palatino Linotype"/>
        </w:rPr>
        <w:t xml:space="preserve">,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 </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FC4992" w:rsidRPr="003B372F" w:rsidRDefault="00FC4992">
      <w:pPr>
        <w:spacing w:line="360" w:lineRule="auto"/>
        <w:jc w:val="center"/>
        <w:rPr>
          <w:rFonts w:ascii="Palatino Linotype" w:eastAsia="Palatino Linotype" w:hAnsi="Palatino Linotype" w:cs="Palatino Linotype"/>
          <w:b/>
        </w:rPr>
      </w:pPr>
      <w:bookmarkStart w:id="6" w:name="_heading=h.2s8eyo1" w:colFirst="0" w:colLast="0"/>
      <w:bookmarkEnd w:id="6"/>
    </w:p>
    <w:p w:rsidR="00FC4992" w:rsidRPr="003B372F" w:rsidRDefault="003B11C6">
      <w:pPr>
        <w:spacing w:line="360" w:lineRule="auto"/>
        <w:jc w:val="center"/>
        <w:rPr>
          <w:rFonts w:ascii="Palatino Linotype" w:eastAsia="Palatino Linotype" w:hAnsi="Palatino Linotype" w:cs="Palatino Linotype"/>
          <w:b/>
        </w:rPr>
      </w:pPr>
      <w:r w:rsidRPr="003B372F">
        <w:rPr>
          <w:rFonts w:ascii="Palatino Linotype" w:eastAsia="Palatino Linotype" w:hAnsi="Palatino Linotype" w:cs="Palatino Linotype"/>
          <w:b/>
        </w:rPr>
        <w:t>CONSIDERANDOS:</w:t>
      </w:r>
    </w:p>
    <w:p w:rsidR="00FC4992" w:rsidRPr="003B372F" w:rsidRDefault="00FC4992">
      <w:pPr>
        <w:spacing w:line="360" w:lineRule="auto"/>
        <w:jc w:val="center"/>
        <w:rPr>
          <w:rFonts w:ascii="Palatino Linotype" w:eastAsia="Palatino Linotype" w:hAnsi="Palatino Linotype" w:cs="Palatino Linotype"/>
          <w:b/>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b/>
        </w:rPr>
        <w:t xml:space="preserve">PRIMERO. COMPETENCIA. </w:t>
      </w:r>
      <w:r w:rsidRPr="003B372F">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w:t>
      </w:r>
      <w:r w:rsidRPr="003B372F">
        <w:rPr>
          <w:rFonts w:ascii="Palatino Linotype" w:eastAsia="Palatino Linotype" w:hAnsi="Palatino Linotype" w:cs="Palatino Linotype"/>
        </w:rPr>
        <w:lastRenderedPageBreak/>
        <w:t>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360" w:lineRule="auto"/>
        <w:ind w:right="-234"/>
        <w:jc w:val="both"/>
        <w:rPr>
          <w:rFonts w:ascii="Palatino Linotype" w:eastAsia="Palatino Linotype" w:hAnsi="Palatino Linotype" w:cs="Palatino Linotype"/>
        </w:rPr>
      </w:pPr>
      <w:r w:rsidRPr="003B372F">
        <w:rPr>
          <w:rFonts w:ascii="Palatino Linotype" w:eastAsia="Palatino Linotype" w:hAnsi="Palatino Linotype" w:cs="Palatino Linotype"/>
          <w:b/>
        </w:rPr>
        <w:t xml:space="preserve">SEGUNDO. OPORTUNIDAD Y PROCEDIBILIDAD DEL RECURSO DE REVISIÓN.  </w:t>
      </w:r>
      <w:r w:rsidRPr="003B372F">
        <w:rPr>
          <w:rFonts w:ascii="Palatino Linotype" w:eastAsia="Palatino Linotype" w:hAnsi="Palatino Linotype" w:cs="Palatino Linotype"/>
        </w:rPr>
        <w:t xml:space="preserve">Previo al estudio del fondo del asunto, se procede a analizar los requisitos de oportunidad y </w:t>
      </w:r>
      <w:proofErr w:type="spellStart"/>
      <w:r w:rsidRPr="003B372F">
        <w:rPr>
          <w:rFonts w:ascii="Palatino Linotype" w:eastAsia="Palatino Linotype" w:hAnsi="Palatino Linotype" w:cs="Palatino Linotype"/>
        </w:rPr>
        <w:t>procedibilidad</w:t>
      </w:r>
      <w:proofErr w:type="spellEnd"/>
      <w:r w:rsidRPr="003B372F">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FC4992" w:rsidRPr="003B372F" w:rsidRDefault="00FC4992">
      <w:pPr>
        <w:spacing w:line="360" w:lineRule="auto"/>
        <w:ind w:right="-234"/>
        <w:jc w:val="both"/>
        <w:rPr>
          <w:rFonts w:ascii="Palatino Linotype" w:eastAsia="Palatino Linotype" w:hAnsi="Palatino Linotype" w:cs="Palatino Linotype"/>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El recurso de revisión fue interpuesto dentro del plazo de quince días hábiles previsto en el artículo 178 de la Ley de Transparencia y Acceso a la Información Pública del Estado de México y Municipios, contados a partir de la fecha en que</w:t>
      </w:r>
      <w:r w:rsidRPr="003B372F">
        <w:rPr>
          <w:rFonts w:ascii="Palatino Linotype" w:eastAsia="Palatino Linotype" w:hAnsi="Palatino Linotype" w:cs="Palatino Linotype"/>
          <w:b/>
        </w:rPr>
        <w:t xml:space="preserve"> EL SUJETO OBLIGADO </w:t>
      </w:r>
      <w:r w:rsidRPr="003B372F">
        <w:rPr>
          <w:rFonts w:ascii="Palatino Linotype" w:eastAsia="Palatino Linotype" w:hAnsi="Palatino Linotype" w:cs="Palatino Linotype"/>
        </w:rPr>
        <w:t xml:space="preserve">emitió la respuesta, toda vez que ésta fue pronunciada el día  </w:t>
      </w:r>
      <w:r w:rsidRPr="003B372F">
        <w:rPr>
          <w:rFonts w:ascii="Palatino Linotype" w:eastAsia="Palatino Linotype" w:hAnsi="Palatino Linotype" w:cs="Palatino Linotype"/>
          <w:b/>
        </w:rPr>
        <w:t>veinticinco de abril de dos mil veintidós</w:t>
      </w:r>
      <w:r w:rsidRPr="003B372F">
        <w:rPr>
          <w:rFonts w:ascii="Palatino Linotype" w:eastAsia="Palatino Linotype" w:hAnsi="Palatino Linotype" w:cs="Palatino Linotype"/>
        </w:rPr>
        <w:t xml:space="preserve">, mientras que el RECURRENTE interpuso el recurso de revisión en fecha </w:t>
      </w:r>
      <w:r w:rsidRPr="003B372F">
        <w:rPr>
          <w:rFonts w:ascii="Palatino Linotype" w:eastAsia="Palatino Linotype" w:hAnsi="Palatino Linotype" w:cs="Palatino Linotype"/>
          <w:b/>
        </w:rPr>
        <w:t>dieciséis de mayo de dos mil veintidós</w:t>
      </w:r>
      <w:r w:rsidRPr="003B372F">
        <w:rPr>
          <w:rFonts w:ascii="Palatino Linotype" w:eastAsia="Palatino Linotype" w:hAnsi="Palatino Linotype" w:cs="Palatino Linotype"/>
        </w:rPr>
        <w:t xml:space="preserve">, es decir al décimo cuarto día hábil de conocida la respuesta, tomando en cuenta que el día cinco de mayo fue día inhábil, se determina que se interpuso en tiempo. </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before="240" w:after="240"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lastRenderedPageBreak/>
        <w:t>Por otro lado, es de suma importancia mencionar que, si bien el</w:t>
      </w:r>
      <w:r w:rsidRPr="003B372F">
        <w:rPr>
          <w:rFonts w:ascii="Palatino Linotype" w:eastAsia="Palatino Linotype" w:hAnsi="Palatino Linotype" w:cs="Palatino Linotype"/>
          <w:b/>
        </w:rPr>
        <w:t xml:space="preserve"> RECURRENTE</w:t>
      </w:r>
      <w:r w:rsidRPr="003B372F">
        <w:rPr>
          <w:rFonts w:ascii="Palatino Linotype" w:eastAsia="Palatino Linotype" w:hAnsi="Palatino Linotype" w:cs="Palatino Linotype"/>
        </w:rPr>
        <w:t xml:space="preserv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FC4992" w:rsidRPr="003B372F" w:rsidRDefault="003B11C6">
      <w:pPr>
        <w:spacing w:before="120" w:after="120" w:line="276" w:lineRule="auto"/>
        <w:ind w:left="851" w:right="902"/>
        <w:jc w:val="both"/>
        <w:rPr>
          <w:rFonts w:ascii="Palatino Linotype" w:eastAsia="Palatino Linotype" w:hAnsi="Palatino Linotype" w:cs="Palatino Linotype"/>
          <w:sz w:val="22"/>
          <w:szCs w:val="22"/>
        </w:rPr>
      </w:pPr>
      <w:r w:rsidRPr="003B372F">
        <w:rPr>
          <w:rFonts w:ascii="Palatino Linotype" w:eastAsia="Palatino Linotype" w:hAnsi="Palatino Linotype" w:cs="Palatino Linotype"/>
          <w:i/>
          <w:sz w:val="22"/>
          <w:szCs w:val="22"/>
        </w:rPr>
        <w:t>"</w:t>
      </w:r>
      <w:r w:rsidRPr="003B372F">
        <w:rPr>
          <w:rFonts w:ascii="Palatino Linotype" w:eastAsia="Palatino Linotype" w:hAnsi="Palatino Linotype" w:cs="Palatino Linotype"/>
          <w:b/>
          <w:i/>
          <w:sz w:val="22"/>
          <w:szCs w:val="22"/>
        </w:rPr>
        <w:t>Las solicitudes anónimas</w:t>
      </w:r>
      <w:r w:rsidRPr="003B372F">
        <w:rPr>
          <w:rFonts w:ascii="Palatino Linotype" w:eastAsia="Palatino Linotype" w:hAnsi="Palatino Linotype" w:cs="Palatino Linotype"/>
          <w:i/>
          <w:sz w:val="22"/>
          <w:szCs w:val="22"/>
        </w:rPr>
        <w:t>, con nombre incompleto o seudónimo </w:t>
      </w:r>
      <w:r w:rsidRPr="003B372F">
        <w:rPr>
          <w:rFonts w:ascii="Palatino Linotype" w:eastAsia="Palatino Linotype" w:hAnsi="Palatino Linotype" w:cs="Palatino Linotype"/>
          <w:b/>
          <w:i/>
          <w:sz w:val="22"/>
          <w:szCs w:val="22"/>
        </w:rPr>
        <w:t>serán procedentes para su trámite por parte del sujeto obligado ante quien se presente</w:t>
      </w:r>
      <w:r w:rsidRPr="003B372F">
        <w:rPr>
          <w:rFonts w:ascii="Palatino Linotype" w:eastAsia="Palatino Linotype" w:hAnsi="Palatino Linotype" w:cs="Palatino Linotype"/>
          <w:i/>
          <w:sz w:val="22"/>
          <w:szCs w:val="22"/>
        </w:rPr>
        <w:t>. No podrá requerirse información adicional con motivo del nombre proporcionado por el solicitante."</w:t>
      </w:r>
    </w:p>
    <w:p w:rsidR="00FC4992" w:rsidRPr="003B372F" w:rsidRDefault="003B11C6">
      <w:pPr>
        <w:spacing w:before="240" w:line="360" w:lineRule="auto"/>
        <w:jc w:val="both"/>
        <w:rPr>
          <w:rFonts w:ascii="Palatino Linotype" w:eastAsia="Palatino Linotype" w:hAnsi="Palatino Linotype" w:cs="Palatino Linotype"/>
          <w:b/>
        </w:rPr>
      </w:pPr>
      <w:r w:rsidRPr="003B372F">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3B372F">
        <w:rPr>
          <w:rFonts w:ascii="Palatino Linotype" w:eastAsia="Palatino Linotype" w:hAnsi="Palatino Linotype" w:cs="Palatino Linotype"/>
          <w:b/>
        </w:rPr>
        <w:t xml:space="preserve">EL SAIMEX.  </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360" w:lineRule="auto"/>
        <w:ind w:right="-147"/>
        <w:jc w:val="both"/>
        <w:rPr>
          <w:rFonts w:ascii="Palatino Linotype" w:eastAsia="Palatino Linotype" w:hAnsi="Palatino Linotype" w:cs="Palatino Linotype"/>
        </w:rPr>
      </w:pPr>
      <w:r w:rsidRPr="003B372F">
        <w:rPr>
          <w:rFonts w:ascii="Palatino Linotype" w:eastAsia="Palatino Linotype" w:hAnsi="Palatino Linotype" w:cs="Palatino Linotype"/>
        </w:rPr>
        <w:t>Finalmente, resulta procedente la interposición del recurso, según lo aducido por el RECURRENTE en sus razones o motivos de inconformidad, de acuerdo al artículo 179, fracción V de la Ley de Transparencia y Acceso a la Información Pública del Estado de México y Municipios; que a la letra dice:</w:t>
      </w:r>
    </w:p>
    <w:p w:rsidR="00FC4992" w:rsidRPr="003B372F" w:rsidRDefault="00FC4992">
      <w:pPr>
        <w:spacing w:line="360" w:lineRule="auto"/>
        <w:ind w:right="-147"/>
        <w:jc w:val="both"/>
        <w:rPr>
          <w:rFonts w:ascii="Palatino Linotype" w:eastAsia="Palatino Linotype" w:hAnsi="Palatino Linotype" w:cs="Palatino Linotype"/>
        </w:rPr>
      </w:pPr>
    </w:p>
    <w:p w:rsidR="00FC4992" w:rsidRPr="003B372F" w:rsidRDefault="003B11C6">
      <w:pPr>
        <w:spacing w:after="240" w:line="360" w:lineRule="auto"/>
        <w:ind w:left="992" w:right="1043"/>
        <w:jc w:val="both"/>
        <w:rPr>
          <w:rFonts w:ascii="Palatino Linotype" w:eastAsia="Palatino Linotype" w:hAnsi="Palatino Linotype" w:cs="Palatino Linotype"/>
          <w:i/>
        </w:rPr>
      </w:pPr>
      <w:r w:rsidRPr="003B372F">
        <w:rPr>
          <w:rFonts w:ascii="Palatino Linotype" w:eastAsia="Palatino Linotype" w:hAnsi="Palatino Linotype" w:cs="Palatino Linotype"/>
          <w:b/>
          <w:i/>
        </w:rPr>
        <w:t>“Artículo 179</w:t>
      </w:r>
      <w:r w:rsidRPr="003B372F">
        <w:rPr>
          <w:rFonts w:ascii="Palatino Linotype" w:eastAsia="Palatino Linotype" w:hAnsi="Palatino Linotype" w:cs="Palatino Linotype"/>
          <w:i/>
        </w:rPr>
        <w:t xml:space="preserve">. </w:t>
      </w:r>
      <w:r w:rsidRPr="003B372F">
        <w:rPr>
          <w:rFonts w:ascii="Palatino Linotype" w:eastAsia="Palatino Linotype" w:hAnsi="Palatino Linotype" w:cs="Palatino Linotype"/>
          <w:b/>
          <w:i/>
        </w:rPr>
        <w:t>El recurso de revisión</w:t>
      </w:r>
      <w:r w:rsidRPr="003B372F">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3B372F">
        <w:rPr>
          <w:rFonts w:ascii="Palatino Linotype" w:eastAsia="Palatino Linotype" w:hAnsi="Palatino Linotype" w:cs="Palatino Linotype"/>
          <w:b/>
          <w:i/>
        </w:rPr>
        <w:t>, y procederá en contra de las siguientes causas</w:t>
      </w:r>
      <w:r w:rsidRPr="003B372F">
        <w:rPr>
          <w:rFonts w:ascii="Palatino Linotype" w:eastAsia="Palatino Linotype" w:hAnsi="Palatino Linotype" w:cs="Palatino Linotype"/>
          <w:i/>
        </w:rPr>
        <w:t>:</w:t>
      </w:r>
    </w:p>
    <w:p w:rsidR="00FC4992" w:rsidRPr="003B372F" w:rsidRDefault="003B11C6">
      <w:pPr>
        <w:spacing w:before="240" w:after="240" w:line="360" w:lineRule="auto"/>
        <w:ind w:left="992" w:right="1043"/>
        <w:jc w:val="both"/>
        <w:rPr>
          <w:rFonts w:ascii="Palatino Linotype" w:eastAsia="Palatino Linotype" w:hAnsi="Palatino Linotype" w:cs="Palatino Linotype"/>
          <w:i/>
        </w:rPr>
      </w:pPr>
      <w:r w:rsidRPr="003B372F">
        <w:rPr>
          <w:rFonts w:ascii="Palatino Linotype" w:eastAsia="Palatino Linotype" w:hAnsi="Palatino Linotype" w:cs="Palatino Linotype"/>
          <w:i/>
        </w:rPr>
        <w:lastRenderedPageBreak/>
        <w:t>…</w:t>
      </w:r>
    </w:p>
    <w:p w:rsidR="00FC4992" w:rsidRPr="003B372F" w:rsidRDefault="003B11C6">
      <w:pPr>
        <w:tabs>
          <w:tab w:val="left" w:pos="7088"/>
        </w:tabs>
        <w:spacing w:before="240" w:after="240" w:line="360" w:lineRule="auto"/>
        <w:ind w:left="993" w:right="900"/>
        <w:jc w:val="both"/>
        <w:rPr>
          <w:rFonts w:ascii="Palatino Linotype" w:eastAsia="Palatino Linotype" w:hAnsi="Palatino Linotype" w:cs="Palatino Linotype"/>
          <w:b/>
          <w:i/>
        </w:rPr>
      </w:pPr>
      <w:r w:rsidRPr="003B372F">
        <w:rPr>
          <w:rFonts w:ascii="Palatino Linotype" w:eastAsia="Palatino Linotype" w:hAnsi="Palatino Linotype" w:cs="Palatino Linotype"/>
          <w:b/>
          <w:i/>
        </w:rPr>
        <w:t>V. La entrega de información incompleta;</w:t>
      </w:r>
    </w:p>
    <w:p w:rsidR="00FC4992" w:rsidRPr="003B372F" w:rsidRDefault="003B11C6">
      <w:pPr>
        <w:spacing w:before="240" w:line="360" w:lineRule="auto"/>
        <w:ind w:left="992" w:right="1043"/>
        <w:jc w:val="both"/>
        <w:rPr>
          <w:rFonts w:ascii="Palatino Linotype" w:eastAsia="Palatino Linotype" w:hAnsi="Palatino Linotype" w:cs="Palatino Linotype"/>
          <w:i/>
        </w:rPr>
      </w:pPr>
      <w:r w:rsidRPr="003B372F">
        <w:rPr>
          <w:rFonts w:ascii="Palatino Linotype" w:eastAsia="Palatino Linotype" w:hAnsi="Palatino Linotype" w:cs="Palatino Linotype"/>
          <w:i/>
        </w:rPr>
        <w:t>” (Sic)</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b/>
        </w:rPr>
        <w:t xml:space="preserve">TERCERO. MATERIA DE LA REVISIÓN. </w:t>
      </w:r>
      <w:r w:rsidRPr="003B372F">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verificar si el cambio de modalidad de entrega de la respuesta, realizado por el </w:t>
      </w:r>
      <w:r w:rsidRPr="003B372F">
        <w:rPr>
          <w:rFonts w:ascii="Palatino Linotype" w:eastAsia="Palatino Linotype" w:hAnsi="Palatino Linotype" w:cs="Palatino Linotype"/>
          <w:b/>
        </w:rPr>
        <w:t>SUJETO OBLIGADO</w:t>
      </w:r>
      <w:r w:rsidRPr="003B372F">
        <w:rPr>
          <w:rFonts w:ascii="Palatino Linotype" w:eastAsia="Palatino Linotype" w:hAnsi="Palatino Linotype" w:cs="Palatino Linotype"/>
        </w:rPr>
        <w:t xml:space="preserve"> está debidamente fundado y motivado, o en su defecto, en caso de ser procedente, ordenar la entrega de información oportuna en la modalidad señalada por la parte </w:t>
      </w:r>
      <w:r w:rsidRPr="003B372F">
        <w:rPr>
          <w:rFonts w:ascii="Palatino Linotype" w:eastAsia="Palatino Linotype" w:hAnsi="Palatino Linotype" w:cs="Palatino Linotype"/>
          <w:b/>
        </w:rPr>
        <w:t>RECURRENTE</w:t>
      </w:r>
      <w:r w:rsidRPr="003B372F">
        <w:rPr>
          <w:rFonts w:ascii="Palatino Linotype" w:eastAsia="Palatino Linotype" w:hAnsi="Palatino Linotype" w:cs="Palatino Linotype"/>
        </w:rPr>
        <w:t>.</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b/>
        </w:rPr>
        <w:t xml:space="preserve">CUARTO. ESTUDIO Y RESOLUCIÓN DEL ASUNTO.  </w:t>
      </w:r>
      <w:r w:rsidRPr="003B372F">
        <w:rPr>
          <w:rFonts w:ascii="Palatino Linotype" w:eastAsia="Palatino Linotype" w:hAnsi="Palatino Linotype" w:cs="Palatino Linotype"/>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rsidR="00FC4992" w:rsidRPr="003B372F" w:rsidRDefault="00FC4992">
      <w:pPr>
        <w:spacing w:line="360" w:lineRule="auto"/>
        <w:jc w:val="both"/>
        <w:rPr>
          <w:rFonts w:ascii="Palatino Linotype" w:eastAsia="Palatino Linotype" w:hAnsi="Palatino Linotype" w:cs="Palatino Linotype"/>
          <w:b/>
        </w:rPr>
      </w:pPr>
    </w:p>
    <w:p w:rsidR="00FC4992" w:rsidRPr="003B372F" w:rsidRDefault="003B11C6">
      <w:pPr>
        <w:spacing w:line="276" w:lineRule="auto"/>
        <w:ind w:left="851" w:right="900"/>
        <w:jc w:val="both"/>
        <w:rPr>
          <w:rFonts w:ascii="Palatino Linotype" w:eastAsia="Palatino Linotype" w:hAnsi="Palatino Linotype" w:cs="Palatino Linotype"/>
          <w:i/>
        </w:rPr>
      </w:pPr>
      <w:r w:rsidRPr="003B372F">
        <w:rPr>
          <w:rFonts w:ascii="Palatino Linotype" w:eastAsia="Palatino Linotype" w:hAnsi="Palatino Linotype" w:cs="Palatino Linotype"/>
          <w:i/>
        </w:rPr>
        <w:t xml:space="preserve"> “</w:t>
      </w:r>
      <w:r w:rsidRPr="003B372F">
        <w:rPr>
          <w:rFonts w:ascii="Palatino Linotype" w:eastAsia="Palatino Linotype" w:hAnsi="Palatino Linotype" w:cs="Palatino Linotype"/>
          <w:b/>
          <w:i/>
        </w:rPr>
        <w:t>Artículo 4.</w:t>
      </w:r>
      <w:r w:rsidRPr="003B372F">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FC4992" w:rsidRPr="003B372F" w:rsidRDefault="003B11C6">
      <w:pPr>
        <w:spacing w:line="276" w:lineRule="auto"/>
        <w:ind w:left="851" w:right="900"/>
        <w:jc w:val="both"/>
        <w:rPr>
          <w:rFonts w:ascii="Palatino Linotype" w:eastAsia="Palatino Linotype" w:hAnsi="Palatino Linotype" w:cs="Palatino Linotype"/>
          <w:i/>
        </w:rPr>
      </w:pPr>
      <w:r w:rsidRPr="003B372F">
        <w:rPr>
          <w:rFonts w:ascii="Palatino Linotype" w:eastAsia="Palatino Linotype" w:hAnsi="Palatino Linotype" w:cs="Palatino Linotype"/>
          <w:b/>
          <w:i/>
        </w:rPr>
        <w:t xml:space="preserve">Toda la información generada, obtenida, adquirida, transformada, administrada o en posesión de los sujetos obligados es pública y </w:t>
      </w:r>
      <w:r w:rsidRPr="003B372F">
        <w:rPr>
          <w:rFonts w:ascii="Palatino Linotype" w:eastAsia="Palatino Linotype" w:hAnsi="Palatino Linotype" w:cs="Palatino Linotype"/>
          <w:b/>
          <w:i/>
        </w:rPr>
        <w:lastRenderedPageBreak/>
        <w:t>accesible de manera permanente a cualquier persona</w:t>
      </w:r>
      <w:r w:rsidRPr="003B372F">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FC4992" w:rsidRPr="003B372F" w:rsidRDefault="00FC4992">
      <w:pPr>
        <w:spacing w:line="360" w:lineRule="auto"/>
        <w:ind w:left="851" w:right="900"/>
        <w:jc w:val="both"/>
        <w:rPr>
          <w:rFonts w:ascii="Palatino Linotype" w:eastAsia="Palatino Linotype" w:hAnsi="Palatino Linotype" w:cs="Palatino Linotype"/>
        </w:rPr>
      </w:pPr>
    </w:p>
    <w:p w:rsidR="00FC4992" w:rsidRPr="003B372F" w:rsidRDefault="003B11C6">
      <w:pPr>
        <w:spacing w:before="160"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276" w:lineRule="auto"/>
        <w:ind w:left="851" w:right="902"/>
        <w:jc w:val="both"/>
        <w:rPr>
          <w:rFonts w:ascii="Palatino Linotype" w:eastAsia="Palatino Linotype" w:hAnsi="Palatino Linotype" w:cs="Palatino Linotype"/>
          <w:i/>
        </w:rPr>
      </w:pPr>
      <w:r w:rsidRPr="003B372F">
        <w:rPr>
          <w:rFonts w:ascii="Palatino Linotype" w:eastAsia="Palatino Linotype" w:hAnsi="Palatino Linotype" w:cs="Palatino Linotype"/>
          <w:b/>
          <w:i/>
        </w:rPr>
        <w:t>“Artículo 12</w:t>
      </w:r>
      <w:r w:rsidRPr="003B372F">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FC4992" w:rsidRPr="003B372F" w:rsidRDefault="003B11C6">
      <w:pPr>
        <w:spacing w:line="276" w:lineRule="auto"/>
        <w:ind w:left="851" w:right="902"/>
        <w:jc w:val="both"/>
        <w:rPr>
          <w:rFonts w:ascii="Palatino Linotype" w:eastAsia="Palatino Linotype" w:hAnsi="Palatino Linotype" w:cs="Palatino Linotype"/>
          <w:i/>
        </w:rPr>
      </w:pPr>
      <w:r w:rsidRPr="003B372F">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Lo anterior, refiere a que el derecho de acceso a la información pública se satisface en aquellos casos en que se entregue el documento en que conste la información pública, toda vez que, los Sujetos Obligados</w:t>
      </w:r>
      <w:r w:rsidRPr="003B372F">
        <w:rPr>
          <w:rFonts w:ascii="Palatino Linotype" w:eastAsia="Palatino Linotype" w:hAnsi="Palatino Linotype" w:cs="Palatino Linotype"/>
          <w:b/>
        </w:rPr>
        <w:t xml:space="preserve"> </w:t>
      </w:r>
      <w:r w:rsidRPr="003B372F">
        <w:rPr>
          <w:rFonts w:ascii="Palatino Linotype" w:eastAsia="Palatino Linotype" w:hAnsi="Palatino Linotype" w:cs="Palatino Linotype"/>
        </w:rPr>
        <w:t xml:space="preserve">no tienen el deber de generar, poseer o administrar la información pública a un grado de detalle; esto es, que no tienen la </w:t>
      </w:r>
      <w:r w:rsidRPr="003B372F">
        <w:rPr>
          <w:rFonts w:ascii="Palatino Linotype" w:eastAsia="Palatino Linotype" w:hAnsi="Palatino Linotype" w:cs="Palatino Linotype"/>
        </w:rPr>
        <w:lastRenderedPageBreak/>
        <w:t xml:space="preserve">obligación de generar un documento </w:t>
      </w:r>
      <w:r w:rsidRPr="003B372F">
        <w:rPr>
          <w:rFonts w:ascii="Palatino Linotype" w:eastAsia="Palatino Linotype" w:hAnsi="Palatino Linotype" w:cs="Palatino Linotype"/>
          <w:i/>
        </w:rPr>
        <w:t>ad hoc</w:t>
      </w:r>
      <w:r w:rsidRPr="003B372F">
        <w:rPr>
          <w:rFonts w:ascii="Palatino Linotype" w:eastAsia="Palatino Linotype" w:hAnsi="Palatino Linotype" w:cs="Palatino Linotype"/>
        </w:rPr>
        <w:t>, para satisfacer el derecho de acceso a la información pública.</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Aunado a ello el artículo 24 de la Ley de la materia</w:t>
      </w:r>
      <w:r w:rsidRPr="003B372F">
        <w:rPr>
          <w:rFonts w:ascii="Palatino Linotype" w:eastAsia="Palatino Linotype" w:hAnsi="Palatino Linotype" w:cs="Palatino Linotype"/>
          <w:vertAlign w:val="superscript"/>
        </w:rPr>
        <w:footnoteReference w:id="1"/>
      </w:r>
      <w:r w:rsidRPr="003B372F">
        <w:rPr>
          <w:rFonts w:ascii="Palatino Linotype" w:eastAsia="Palatino Linotype" w:hAnsi="Palatino Linotype" w:cs="Palatino Linotype"/>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3B372F">
        <w:rPr>
          <w:rFonts w:ascii="Palatino Linotype" w:eastAsia="Palatino Linotype" w:hAnsi="Palatino Linotype" w:cs="Palatino Linotype"/>
          <w:b/>
        </w:rPr>
        <w:t>cualquier otro registro que documente el ejercicio de las facultades, funciones y competencias de los Sujetos Obligados</w:t>
      </w:r>
      <w:r w:rsidRPr="003B372F">
        <w:rPr>
          <w:rFonts w:ascii="Palatino Linotype" w:eastAsia="Palatino Linotype" w:hAnsi="Palatino Linotype" w:cs="Palatino Linotype"/>
        </w:rPr>
        <w:t xml:space="preserve">; los que, podrán estar en cualquier medio, sea escrito, impreso, sonoro, visual, electrónico, informático u holográfico de conformidad con el artículo 3, fracción XI de la Ley de la materia, el cual señala lo siguiente: </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276" w:lineRule="auto"/>
        <w:ind w:left="851" w:right="899"/>
        <w:jc w:val="both"/>
        <w:rPr>
          <w:rFonts w:ascii="Palatino Linotype" w:eastAsia="Palatino Linotype" w:hAnsi="Palatino Linotype" w:cs="Palatino Linotype"/>
          <w:i/>
        </w:rPr>
      </w:pPr>
      <w:r w:rsidRPr="003B372F">
        <w:rPr>
          <w:rFonts w:ascii="Palatino Linotype" w:eastAsia="Palatino Linotype" w:hAnsi="Palatino Linotype" w:cs="Palatino Linotype"/>
          <w:i/>
        </w:rPr>
        <w:t>“</w:t>
      </w:r>
      <w:r w:rsidRPr="003B372F">
        <w:rPr>
          <w:rFonts w:ascii="Palatino Linotype" w:eastAsia="Palatino Linotype" w:hAnsi="Palatino Linotype" w:cs="Palatino Linotype"/>
          <w:b/>
          <w:i/>
        </w:rPr>
        <w:t xml:space="preserve">Artículo 3. </w:t>
      </w:r>
      <w:r w:rsidRPr="003B372F">
        <w:rPr>
          <w:rFonts w:ascii="Palatino Linotype" w:eastAsia="Palatino Linotype" w:hAnsi="Palatino Linotype" w:cs="Palatino Linotype"/>
          <w:i/>
        </w:rPr>
        <w:t>Para los efectos de la presente Ley se entenderá por:</w:t>
      </w:r>
    </w:p>
    <w:p w:rsidR="00FC4992" w:rsidRPr="003B372F" w:rsidRDefault="003B11C6">
      <w:pPr>
        <w:spacing w:line="276" w:lineRule="auto"/>
        <w:ind w:left="1134" w:right="899"/>
        <w:jc w:val="both"/>
        <w:rPr>
          <w:rFonts w:ascii="Palatino Linotype" w:eastAsia="Palatino Linotype" w:hAnsi="Palatino Linotype" w:cs="Palatino Linotype"/>
          <w:i/>
        </w:rPr>
      </w:pPr>
      <w:r w:rsidRPr="003B372F">
        <w:rPr>
          <w:rFonts w:ascii="Palatino Linotype" w:eastAsia="Palatino Linotype" w:hAnsi="Palatino Linotype" w:cs="Palatino Linotype"/>
          <w:i/>
        </w:rPr>
        <w:t>…</w:t>
      </w:r>
    </w:p>
    <w:p w:rsidR="00FC4992" w:rsidRPr="003B372F" w:rsidRDefault="003B11C6">
      <w:pPr>
        <w:spacing w:line="276" w:lineRule="auto"/>
        <w:ind w:left="1134" w:right="899"/>
        <w:jc w:val="both"/>
        <w:rPr>
          <w:rFonts w:ascii="Palatino Linotype" w:eastAsia="Palatino Linotype" w:hAnsi="Palatino Linotype" w:cs="Palatino Linotype"/>
          <w:i/>
        </w:rPr>
      </w:pPr>
      <w:r w:rsidRPr="003B372F">
        <w:rPr>
          <w:rFonts w:ascii="Palatino Linotype" w:eastAsia="Palatino Linotype" w:hAnsi="Palatino Linotype" w:cs="Palatino Linotype"/>
          <w:b/>
          <w:i/>
        </w:rPr>
        <w:t>XI. Documento:</w:t>
      </w:r>
      <w:r w:rsidRPr="003B372F">
        <w:rPr>
          <w:rFonts w:ascii="Palatino Linotype" w:eastAsia="Palatino Linotype" w:hAnsi="Palatino Linotype" w:cs="Palatino Linotype"/>
          <w:i/>
        </w:rPr>
        <w:t xml:space="preserve"> Los expedientes, reportes, estudios, actas, resoluciones, oficios, correspondencia, acuerdos, directivas, directrices, </w:t>
      </w:r>
      <w:r w:rsidRPr="003B372F">
        <w:rPr>
          <w:rFonts w:ascii="Palatino Linotype" w:eastAsia="Palatino Linotype" w:hAnsi="Palatino Linotype" w:cs="Palatino Linotype"/>
          <w:i/>
        </w:rPr>
        <w:lastRenderedPageBreak/>
        <w:t>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3B372F">
        <w:rPr>
          <w:rFonts w:ascii="Palatino Linotype" w:eastAsia="Palatino Linotype" w:hAnsi="Palatino Linotype" w:cs="Palatino Linotype"/>
          <w:b/>
          <w:i/>
        </w:rPr>
        <w:t>…</w:t>
      </w:r>
      <w:r w:rsidRPr="003B372F">
        <w:rPr>
          <w:rFonts w:ascii="Palatino Linotype" w:eastAsia="Palatino Linotype" w:hAnsi="Palatino Linotype" w:cs="Palatino Linotype"/>
          <w:i/>
        </w:rPr>
        <w:t>”</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FC4992" w:rsidRPr="003B372F" w:rsidRDefault="00FC4992">
      <w:pPr>
        <w:spacing w:after="120" w:line="360" w:lineRule="auto"/>
        <w:ind w:left="851" w:right="902"/>
        <w:jc w:val="both"/>
        <w:rPr>
          <w:rFonts w:ascii="Palatino Linotype" w:eastAsia="Palatino Linotype" w:hAnsi="Palatino Linotype" w:cs="Palatino Linotype"/>
          <w:b/>
        </w:rPr>
      </w:pPr>
    </w:p>
    <w:p w:rsidR="00FC4992" w:rsidRPr="003B372F" w:rsidRDefault="003B11C6">
      <w:pPr>
        <w:spacing w:before="120" w:after="120" w:line="276" w:lineRule="auto"/>
        <w:ind w:left="851" w:right="902"/>
        <w:jc w:val="both"/>
        <w:rPr>
          <w:rFonts w:ascii="Palatino Linotype" w:eastAsia="Palatino Linotype" w:hAnsi="Palatino Linotype" w:cs="Palatino Linotype"/>
          <w:b/>
          <w:i/>
        </w:rPr>
      </w:pPr>
      <w:r w:rsidRPr="003B372F">
        <w:rPr>
          <w:rFonts w:ascii="Palatino Linotype" w:eastAsia="Palatino Linotype" w:hAnsi="Palatino Linotype" w:cs="Palatino Linotype"/>
          <w:b/>
        </w:rPr>
        <w:t>“</w:t>
      </w:r>
      <w:r w:rsidRPr="003B372F">
        <w:rPr>
          <w:rFonts w:ascii="Palatino Linotype" w:eastAsia="Palatino Linotype" w:hAnsi="Palatino Linotype" w:cs="Palatino Linotype"/>
          <w:b/>
          <w:i/>
        </w:rPr>
        <w:t>CRITERIO 0002-11</w:t>
      </w:r>
    </w:p>
    <w:p w:rsidR="00FC4992" w:rsidRPr="003B372F" w:rsidRDefault="003B11C6">
      <w:pPr>
        <w:spacing w:before="120" w:after="120" w:line="276" w:lineRule="auto"/>
        <w:ind w:left="851" w:right="902"/>
        <w:jc w:val="both"/>
        <w:rPr>
          <w:rFonts w:ascii="Palatino Linotype" w:eastAsia="Palatino Linotype" w:hAnsi="Palatino Linotype" w:cs="Palatino Linotype"/>
          <w:i/>
        </w:rPr>
      </w:pPr>
      <w:r w:rsidRPr="003B372F">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3B372F">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C4992" w:rsidRPr="003B372F" w:rsidRDefault="003B11C6">
      <w:pPr>
        <w:spacing w:before="120" w:after="120" w:line="276" w:lineRule="auto"/>
        <w:ind w:left="851" w:right="902"/>
        <w:jc w:val="both"/>
        <w:rPr>
          <w:rFonts w:ascii="Palatino Linotype" w:eastAsia="Palatino Linotype" w:hAnsi="Palatino Linotype" w:cs="Palatino Linotype"/>
          <w:i/>
        </w:rPr>
      </w:pPr>
      <w:r w:rsidRPr="003B372F">
        <w:rPr>
          <w:rFonts w:ascii="Palatino Linotype" w:eastAsia="Palatino Linotype" w:hAnsi="Palatino Linotype" w:cs="Palatino Linotype"/>
          <w:i/>
        </w:rPr>
        <w:t>En consecuencia el acceso a la información se refiere a que se cumplan cualquiera de los siguientes tres supuestos:</w:t>
      </w:r>
    </w:p>
    <w:p w:rsidR="00FC4992" w:rsidRPr="003B372F" w:rsidRDefault="003B11C6">
      <w:pPr>
        <w:spacing w:before="120" w:after="120" w:line="276" w:lineRule="auto"/>
        <w:ind w:left="1134" w:right="902"/>
        <w:jc w:val="both"/>
        <w:rPr>
          <w:rFonts w:ascii="Palatino Linotype" w:eastAsia="Palatino Linotype" w:hAnsi="Palatino Linotype" w:cs="Palatino Linotype"/>
          <w:b/>
          <w:i/>
        </w:rPr>
      </w:pPr>
      <w:r w:rsidRPr="003B372F">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rsidR="00FC4992" w:rsidRPr="003B372F" w:rsidRDefault="003B11C6">
      <w:pPr>
        <w:spacing w:before="120" w:after="120" w:line="276" w:lineRule="auto"/>
        <w:ind w:left="1134" w:right="902"/>
        <w:jc w:val="both"/>
        <w:rPr>
          <w:rFonts w:ascii="Palatino Linotype" w:eastAsia="Palatino Linotype" w:hAnsi="Palatino Linotype" w:cs="Palatino Linotype"/>
          <w:i/>
        </w:rPr>
      </w:pPr>
      <w:r w:rsidRPr="003B372F">
        <w:rPr>
          <w:rFonts w:ascii="Palatino Linotype" w:eastAsia="Palatino Linotype" w:hAnsi="Palatino Linotype" w:cs="Palatino Linotype"/>
          <w:i/>
        </w:rPr>
        <w:lastRenderedPageBreak/>
        <w:t>2) Que se trate de información registrada en cualquier soporte documental, que en ejercicio de las atribuciones conferidas, sea administrada por los Sujetos Obligados, y</w:t>
      </w:r>
    </w:p>
    <w:p w:rsidR="00FC4992" w:rsidRPr="003B372F" w:rsidRDefault="003B11C6">
      <w:pPr>
        <w:spacing w:before="120" w:line="276" w:lineRule="auto"/>
        <w:ind w:left="1134" w:right="902"/>
        <w:jc w:val="both"/>
        <w:rPr>
          <w:rFonts w:ascii="Palatino Linotype" w:eastAsia="Palatino Linotype" w:hAnsi="Palatino Linotype" w:cs="Palatino Linotype"/>
          <w:i/>
        </w:rPr>
      </w:pPr>
      <w:r w:rsidRPr="003B372F">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En este sentido, en términos generales, para que sea posible el ejercicio del Derecho de Acceso a la Información Pública, los requerimientos deben consistir en información que se encuentre registrada en cualquier soporte documental; ya sea, porque el </w:t>
      </w:r>
      <w:r w:rsidRPr="003B372F">
        <w:rPr>
          <w:rFonts w:ascii="Palatino Linotype" w:eastAsia="Palatino Linotype" w:hAnsi="Palatino Linotype" w:cs="Palatino Linotype"/>
          <w:b/>
        </w:rPr>
        <w:t>SUJETO OBLIGADO</w:t>
      </w:r>
      <w:r w:rsidRPr="003B372F">
        <w:rPr>
          <w:rFonts w:ascii="Palatino Linotype" w:eastAsia="Palatino Linotype" w:hAnsi="Palatino Linotype" w:cs="Palatino Linotype"/>
        </w:rPr>
        <w:t xml:space="preserve"> la generó o porque como parte del ejercicio de sus funciones la recibió y por consiguiente, la administra y posee. </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after="40"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3B372F">
        <w:rPr>
          <w:rFonts w:ascii="Palatino Linotype" w:eastAsia="Palatino Linotype" w:hAnsi="Palatino Linotype" w:cs="Palatino Linotype"/>
          <w:b/>
        </w:rPr>
        <w:t>RECURRENTE</w:t>
      </w:r>
      <w:r w:rsidRPr="003B372F">
        <w:rPr>
          <w:rFonts w:ascii="Palatino Linotype" w:eastAsia="Palatino Linotype" w:hAnsi="Palatino Linotype" w:cs="Palatino Linotype"/>
        </w:rPr>
        <w:t xml:space="preserve"> requirió al </w:t>
      </w:r>
      <w:r w:rsidRPr="003B372F">
        <w:rPr>
          <w:rFonts w:ascii="Palatino Linotype" w:eastAsia="Palatino Linotype" w:hAnsi="Palatino Linotype" w:cs="Palatino Linotype"/>
          <w:b/>
        </w:rPr>
        <w:t>SUJETO OBLIGADO</w:t>
      </w:r>
      <w:r w:rsidRPr="003B372F">
        <w:rPr>
          <w:rFonts w:ascii="Palatino Linotype" w:eastAsia="Palatino Linotype" w:hAnsi="Palatino Linotype" w:cs="Palatino Linotype"/>
        </w:rPr>
        <w:t xml:space="preserve"> le proporcione, información consistente en lo siguiente:</w:t>
      </w:r>
    </w:p>
    <w:p w:rsidR="00FC4992" w:rsidRPr="003B372F" w:rsidRDefault="003B11C6">
      <w:pPr>
        <w:numPr>
          <w:ilvl w:val="0"/>
          <w:numId w:val="3"/>
        </w:numPr>
        <w:pBdr>
          <w:top w:val="nil"/>
          <w:left w:val="nil"/>
          <w:bottom w:val="nil"/>
          <w:right w:val="nil"/>
          <w:between w:val="nil"/>
        </w:pBdr>
        <w:spacing w:before="40" w:after="280" w:line="360" w:lineRule="auto"/>
        <w:jc w:val="both"/>
        <w:rPr>
          <w:rFonts w:ascii="Palatino Linotype" w:eastAsia="Palatino Linotype" w:hAnsi="Palatino Linotype" w:cs="Palatino Linotype"/>
          <w:b/>
        </w:rPr>
      </w:pPr>
      <w:r w:rsidRPr="003B372F">
        <w:rPr>
          <w:rFonts w:ascii="Palatino Linotype" w:eastAsia="Palatino Linotype" w:hAnsi="Palatino Linotype" w:cs="Palatino Linotype"/>
          <w:b/>
        </w:rPr>
        <w:t xml:space="preserve">Si los miembros del Ayuntamiento y los directores son titulados de alguna carrera, si es así, especificar nombre, número de cédula profesional, carrera y universidad donde se realizaron dichos estudios. </w:t>
      </w:r>
    </w:p>
    <w:p w:rsidR="00FC4992" w:rsidRPr="003B372F" w:rsidRDefault="003B11C6">
      <w:pPr>
        <w:numPr>
          <w:ilvl w:val="0"/>
          <w:numId w:val="3"/>
        </w:numPr>
        <w:pBdr>
          <w:top w:val="nil"/>
          <w:left w:val="nil"/>
          <w:bottom w:val="nil"/>
          <w:right w:val="nil"/>
          <w:between w:val="nil"/>
        </w:pBdr>
        <w:spacing w:before="40" w:after="280" w:line="360" w:lineRule="auto"/>
        <w:jc w:val="both"/>
        <w:rPr>
          <w:rFonts w:ascii="Palatino Linotype" w:eastAsia="Palatino Linotype" w:hAnsi="Palatino Linotype" w:cs="Palatino Linotype"/>
          <w:b/>
        </w:rPr>
      </w:pPr>
      <w:r w:rsidRPr="003B372F">
        <w:rPr>
          <w:rFonts w:ascii="Palatino Linotype" w:eastAsia="Palatino Linotype" w:hAnsi="Palatino Linotype" w:cs="Palatino Linotype"/>
          <w:b/>
        </w:rPr>
        <w:t>Si hay alguna empresa de consultoría o asesoría especializada contratada de cualquier manera por el gobierno municipal.</w:t>
      </w:r>
    </w:p>
    <w:p w:rsidR="00FC4992" w:rsidRPr="003B372F" w:rsidRDefault="003B11C6">
      <w:pPr>
        <w:numPr>
          <w:ilvl w:val="0"/>
          <w:numId w:val="3"/>
        </w:numPr>
        <w:pBdr>
          <w:top w:val="nil"/>
          <w:left w:val="nil"/>
          <w:bottom w:val="nil"/>
          <w:right w:val="nil"/>
          <w:between w:val="nil"/>
        </w:pBdr>
        <w:spacing w:before="40" w:after="280" w:line="360" w:lineRule="auto"/>
        <w:jc w:val="both"/>
        <w:rPr>
          <w:rFonts w:ascii="Palatino Linotype" w:eastAsia="Palatino Linotype" w:hAnsi="Palatino Linotype" w:cs="Palatino Linotype"/>
          <w:b/>
        </w:rPr>
      </w:pPr>
      <w:r w:rsidRPr="003B372F">
        <w:rPr>
          <w:rFonts w:ascii="Palatino Linotype" w:eastAsia="Palatino Linotype" w:hAnsi="Palatino Linotype" w:cs="Palatino Linotype"/>
          <w:b/>
        </w:rPr>
        <w:t>Sueldo del defensor municipal de los derechos humanos y que nivel tiene su plaza.</w:t>
      </w:r>
    </w:p>
    <w:p w:rsidR="00FC4992" w:rsidRPr="003B372F" w:rsidRDefault="003B11C6">
      <w:pPr>
        <w:numPr>
          <w:ilvl w:val="0"/>
          <w:numId w:val="3"/>
        </w:numPr>
        <w:pBdr>
          <w:top w:val="nil"/>
          <w:left w:val="nil"/>
          <w:bottom w:val="nil"/>
          <w:right w:val="nil"/>
          <w:between w:val="nil"/>
        </w:pBdr>
        <w:spacing w:before="40" w:after="280" w:line="360" w:lineRule="auto"/>
        <w:jc w:val="both"/>
        <w:rPr>
          <w:rFonts w:ascii="Palatino Linotype" w:eastAsia="Palatino Linotype" w:hAnsi="Palatino Linotype" w:cs="Palatino Linotype"/>
          <w:b/>
        </w:rPr>
      </w:pPr>
      <w:r w:rsidRPr="003B372F">
        <w:rPr>
          <w:rFonts w:ascii="Palatino Linotype" w:eastAsia="Palatino Linotype" w:hAnsi="Palatino Linotype" w:cs="Palatino Linotype"/>
          <w:b/>
        </w:rPr>
        <w:lastRenderedPageBreak/>
        <w:t>Personal con el que cuenta la defensoría municipal de los derechos humanos, nombre, cargo y estudios.</w:t>
      </w:r>
    </w:p>
    <w:p w:rsidR="00FC4992" w:rsidRPr="003B372F" w:rsidRDefault="003B11C6">
      <w:pPr>
        <w:numPr>
          <w:ilvl w:val="0"/>
          <w:numId w:val="3"/>
        </w:numPr>
        <w:pBdr>
          <w:top w:val="nil"/>
          <w:left w:val="nil"/>
          <w:bottom w:val="nil"/>
          <w:right w:val="nil"/>
          <w:between w:val="nil"/>
        </w:pBdr>
        <w:spacing w:before="40" w:after="280" w:line="360" w:lineRule="auto"/>
        <w:jc w:val="both"/>
        <w:rPr>
          <w:rFonts w:ascii="Palatino Linotype" w:eastAsia="Palatino Linotype" w:hAnsi="Palatino Linotype" w:cs="Palatino Linotype"/>
          <w:b/>
        </w:rPr>
      </w:pPr>
      <w:r w:rsidRPr="003B372F">
        <w:rPr>
          <w:rFonts w:ascii="Palatino Linotype" w:eastAsia="Palatino Linotype" w:hAnsi="Palatino Linotype" w:cs="Palatino Linotype"/>
          <w:b/>
        </w:rPr>
        <w:t>Presupuesto que tiene la defensoría Municipal de derechos humanos</w:t>
      </w:r>
    </w:p>
    <w:p w:rsidR="00FC4992" w:rsidRPr="003B372F" w:rsidRDefault="003B11C6">
      <w:pPr>
        <w:numPr>
          <w:ilvl w:val="0"/>
          <w:numId w:val="3"/>
        </w:numPr>
        <w:pBdr>
          <w:top w:val="nil"/>
          <w:left w:val="nil"/>
          <w:bottom w:val="nil"/>
          <w:right w:val="nil"/>
          <w:between w:val="nil"/>
        </w:pBdr>
        <w:spacing w:before="40" w:after="280"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b/>
        </w:rPr>
        <w:t>Si ha realizado la Defensoría Municipal de Derechos Humanos alguna recomendación al gobierno municipal.</w:t>
      </w:r>
    </w:p>
    <w:p w:rsidR="00FC4992" w:rsidRPr="003B372F" w:rsidRDefault="003B11C6">
      <w:pPr>
        <w:spacing w:line="360" w:lineRule="auto"/>
        <w:ind w:right="-234"/>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En la respuesta, el </w:t>
      </w:r>
      <w:r w:rsidRPr="003B372F">
        <w:rPr>
          <w:rFonts w:ascii="Palatino Linotype" w:eastAsia="Palatino Linotype" w:hAnsi="Palatino Linotype" w:cs="Palatino Linotype"/>
          <w:b/>
        </w:rPr>
        <w:t xml:space="preserve">SUJETO OBLIGADO </w:t>
      </w:r>
      <w:r w:rsidRPr="003B372F">
        <w:rPr>
          <w:rFonts w:ascii="Palatino Linotype" w:eastAsia="Palatino Linotype" w:hAnsi="Palatino Linotype" w:cs="Palatino Linotype"/>
        </w:rPr>
        <w:t xml:space="preserve">remitió, a través del </w:t>
      </w:r>
      <w:r w:rsidRPr="003B372F">
        <w:rPr>
          <w:rFonts w:ascii="Palatino Linotype" w:eastAsia="Palatino Linotype" w:hAnsi="Palatino Linotype" w:cs="Palatino Linotype"/>
          <w:b/>
        </w:rPr>
        <w:t>SAIMEX</w:t>
      </w:r>
      <w:r w:rsidRPr="003B372F">
        <w:rPr>
          <w:rFonts w:ascii="Palatino Linotype" w:eastAsia="Palatino Linotype" w:hAnsi="Palatino Linotype" w:cs="Palatino Linotype"/>
        </w:rPr>
        <w:t>,</w:t>
      </w:r>
      <w:r w:rsidRPr="003B372F">
        <w:rPr>
          <w:rFonts w:ascii="Palatino Linotype" w:eastAsia="Palatino Linotype" w:hAnsi="Palatino Linotype" w:cs="Palatino Linotype"/>
          <w:b/>
        </w:rPr>
        <w:t xml:space="preserve"> </w:t>
      </w:r>
      <w:r w:rsidRPr="003B372F">
        <w:rPr>
          <w:rFonts w:ascii="Palatino Linotype" w:eastAsia="Palatino Linotype" w:hAnsi="Palatino Linotype" w:cs="Palatino Linotype"/>
        </w:rPr>
        <w:t>dos archivos digitales, el primero contiene el oficio número 73/TM/04/2022, donde se remite, de manera ilegible, el presupuesto asignado a la Defensoría Municipal de los Derechos Humanos de Aculco y el segundo, el</w:t>
      </w:r>
      <w:r w:rsidRPr="003B372F">
        <w:rPr>
          <w:rFonts w:ascii="Palatino Linotype" w:eastAsia="Palatino Linotype" w:hAnsi="Palatino Linotype" w:cs="Palatino Linotype"/>
          <w:b/>
        </w:rPr>
        <w:t xml:space="preserve"> </w:t>
      </w:r>
      <w:r w:rsidRPr="003B372F">
        <w:rPr>
          <w:rFonts w:ascii="Palatino Linotype" w:eastAsia="Palatino Linotype" w:hAnsi="Palatino Linotype" w:cs="Palatino Linotype"/>
        </w:rPr>
        <w:t xml:space="preserve">oficio número DA/0061/04/2022, mediante el cual da respuesta a los requerimientos de información realizados por el </w:t>
      </w:r>
      <w:r w:rsidRPr="003B372F">
        <w:rPr>
          <w:rFonts w:ascii="Palatino Linotype" w:eastAsia="Palatino Linotype" w:hAnsi="Palatino Linotype" w:cs="Palatino Linotype"/>
          <w:b/>
        </w:rPr>
        <w:t>RECURRENTE</w:t>
      </w:r>
      <w:r w:rsidRPr="003B372F">
        <w:rPr>
          <w:rFonts w:ascii="Palatino Linotype" w:eastAsia="Palatino Linotype" w:hAnsi="Palatino Linotype" w:cs="Palatino Linotype"/>
        </w:rPr>
        <w:t>, así mismo, contiene copias simples de diversos Títulos, Cedulas profesionales y certificados de estudios, con diversos datos testados.</w:t>
      </w:r>
    </w:p>
    <w:p w:rsidR="00FC4992" w:rsidRPr="003B372F" w:rsidRDefault="00FC4992">
      <w:pPr>
        <w:spacing w:line="360" w:lineRule="auto"/>
        <w:ind w:right="-234"/>
        <w:jc w:val="both"/>
        <w:rPr>
          <w:rFonts w:ascii="Palatino Linotype" w:eastAsia="Palatino Linotype" w:hAnsi="Palatino Linotype" w:cs="Palatino Linotype"/>
        </w:rPr>
      </w:pPr>
    </w:p>
    <w:p w:rsidR="00FC4992" w:rsidRPr="003B372F" w:rsidRDefault="003B11C6">
      <w:pPr>
        <w:spacing w:before="240" w:after="240" w:line="360" w:lineRule="auto"/>
        <w:ind w:right="49"/>
        <w:jc w:val="both"/>
        <w:rPr>
          <w:rFonts w:ascii="Palatino Linotype" w:eastAsia="Palatino Linotype" w:hAnsi="Palatino Linotype" w:cs="Palatino Linotype"/>
        </w:rPr>
      </w:pPr>
      <w:r w:rsidRPr="003B372F">
        <w:rPr>
          <w:rFonts w:ascii="Palatino Linotype" w:eastAsia="Palatino Linotype" w:hAnsi="Palatino Linotype" w:cs="Palatino Linotype"/>
        </w:rPr>
        <w:t>Conocida la respuesta, el RECURRENTE interpuso el recurso de revisión que nos ocupa, expresando medularmente en sus razones o motivos de inconformidad que</w:t>
      </w:r>
      <w:r w:rsidRPr="003B372F">
        <w:rPr>
          <w:rFonts w:ascii="Palatino Linotype" w:eastAsia="Palatino Linotype" w:hAnsi="Palatino Linotype" w:cs="Palatino Linotype"/>
          <w:b/>
        </w:rPr>
        <w:t xml:space="preserve"> </w:t>
      </w:r>
      <w:r w:rsidRPr="003B372F">
        <w:rPr>
          <w:rFonts w:ascii="Palatino Linotype" w:eastAsia="Palatino Linotype" w:hAnsi="Palatino Linotype" w:cs="Palatino Linotype"/>
        </w:rPr>
        <w:t xml:space="preserve">la información está incompleta. </w:t>
      </w: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Una vez admitido el recurso, el </w:t>
      </w:r>
      <w:r w:rsidRPr="003B372F">
        <w:rPr>
          <w:rFonts w:ascii="Palatino Linotype" w:eastAsia="Palatino Linotype" w:hAnsi="Palatino Linotype" w:cs="Palatino Linotype"/>
          <w:b/>
        </w:rPr>
        <w:t>SUJETO OBLIGADO</w:t>
      </w:r>
      <w:r w:rsidRPr="003B372F">
        <w:rPr>
          <w:rFonts w:ascii="Palatino Linotype" w:eastAsia="Palatino Linotype" w:hAnsi="Palatino Linotype" w:cs="Palatino Linotype"/>
        </w:rPr>
        <w:t xml:space="preserve">, presentó su informe justificado, donde ratifica la respuesta de que no se han hecho recomendaciones al ayuntamiento de Aculco por parte de la Defensoría Municipal de Derechos Humanos, así mismo, modifica la respuesta respecto de los miembros del Ayuntamiento y los directores que son titulados de alguna carrera, agregando el número de cédula profesional en los casos aplicables, así mismo remite de nuevo </w:t>
      </w:r>
      <w:r w:rsidRPr="003B372F">
        <w:rPr>
          <w:rFonts w:ascii="Palatino Linotype" w:eastAsia="Palatino Linotype" w:hAnsi="Palatino Linotype" w:cs="Palatino Linotype"/>
        </w:rPr>
        <w:lastRenderedPageBreak/>
        <w:t xml:space="preserve">(esta vez de manera legible) el presupuesto asignado a la Defensoría Municipal de Derechos Humanos, la parte </w:t>
      </w:r>
      <w:r w:rsidRPr="003B372F">
        <w:rPr>
          <w:rFonts w:ascii="Palatino Linotype" w:eastAsia="Palatino Linotype" w:hAnsi="Palatino Linotype" w:cs="Palatino Linotype"/>
          <w:b/>
        </w:rPr>
        <w:t>RECURRENTE</w:t>
      </w:r>
      <w:r w:rsidRPr="003B372F">
        <w:rPr>
          <w:rFonts w:ascii="Palatino Linotype" w:eastAsia="Palatino Linotype" w:hAnsi="Palatino Linotype" w:cs="Palatino Linotype"/>
        </w:rPr>
        <w:t xml:space="preserve"> omitió realizar manifestaciones.</w:t>
      </w: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El informe justificado, así como el archivo “PRESUPUESTO DH.pdf” fueron puestos a la vista de la parte </w:t>
      </w:r>
      <w:r w:rsidRPr="003B372F">
        <w:rPr>
          <w:rFonts w:ascii="Palatino Linotype" w:eastAsia="Palatino Linotype" w:hAnsi="Palatino Linotype" w:cs="Palatino Linotype"/>
          <w:b/>
        </w:rPr>
        <w:t>RECURRENTE</w:t>
      </w:r>
      <w:r w:rsidRPr="003B372F">
        <w:rPr>
          <w:rFonts w:ascii="Palatino Linotype" w:eastAsia="Palatino Linotype" w:hAnsi="Palatino Linotype" w:cs="Palatino Linotype"/>
        </w:rPr>
        <w:t xml:space="preserve">, no así el archivo electrónico  “ADMINISTRACION 70.pdf” toda vez que en este se dejaron a la vista datos personales susceptibles de clasificar como información confidencial.  </w:t>
      </w:r>
    </w:p>
    <w:p w:rsidR="00FC4992" w:rsidRPr="003B372F" w:rsidRDefault="003B11C6">
      <w:pPr>
        <w:spacing w:before="240"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De esta manera, se procede al análisis de la respuesta proporcionada por el </w:t>
      </w:r>
      <w:r w:rsidRPr="003B372F">
        <w:rPr>
          <w:rFonts w:ascii="Palatino Linotype" w:eastAsia="Palatino Linotype" w:hAnsi="Palatino Linotype" w:cs="Palatino Linotype"/>
          <w:b/>
        </w:rPr>
        <w:t>SUJETO OBLIGADO,</w:t>
      </w:r>
      <w:r w:rsidRPr="003B372F">
        <w:rPr>
          <w:rFonts w:ascii="Palatino Linotype" w:eastAsia="Palatino Linotype" w:hAnsi="Palatino Linotype" w:cs="Palatino Linotype"/>
        </w:rPr>
        <w:t xml:space="preserve"> a efecto de determinar es suficiente para tener por colmado el derecho de acceso a la información del </w:t>
      </w:r>
      <w:r w:rsidRPr="003B372F">
        <w:rPr>
          <w:rFonts w:ascii="Palatino Linotype" w:eastAsia="Palatino Linotype" w:hAnsi="Palatino Linotype" w:cs="Palatino Linotype"/>
          <w:b/>
        </w:rPr>
        <w:t>RECURRENTE</w:t>
      </w:r>
      <w:r w:rsidRPr="003B372F">
        <w:rPr>
          <w:rFonts w:ascii="Palatino Linotype" w:eastAsia="Palatino Linotype" w:hAnsi="Palatino Linotype" w:cs="Palatino Linotype"/>
        </w:rPr>
        <w:t>, o en su defecto ordenar la entrega del o los documentos que lo satisfagan.</w:t>
      </w:r>
    </w:p>
    <w:p w:rsidR="00FC4992" w:rsidRPr="003B372F" w:rsidRDefault="00FC4992">
      <w:pPr>
        <w:spacing w:line="360" w:lineRule="auto"/>
        <w:rPr>
          <w:rFonts w:ascii="Palatino Linotype" w:eastAsia="Palatino Linotype" w:hAnsi="Palatino Linotype" w:cs="Palatino Linotype"/>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Dicho esto, de las actuaciones que integran el expediente electrónico, se procede al análisis del agravio hecho valer por el </w:t>
      </w:r>
      <w:r w:rsidRPr="003B372F">
        <w:rPr>
          <w:rFonts w:ascii="Palatino Linotype" w:eastAsia="Palatino Linotype" w:hAnsi="Palatino Linotype" w:cs="Palatino Linotype"/>
          <w:b/>
        </w:rPr>
        <w:t>RECURRENTE</w:t>
      </w:r>
      <w:r w:rsidRPr="003B372F">
        <w:rPr>
          <w:rFonts w:ascii="Palatino Linotype" w:eastAsia="Palatino Linotype" w:hAnsi="Palatino Linotype" w:cs="Palatino Linotype"/>
        </w:rPr>
        <w:t>, relativo a la entrega de información incompleta, lo que actualiza la fracción V del artículo 179 de la Ley de Transparencia y Acceso a la Información Pública del Estado de México y Municipios. </w:t>
      </w:r>
    </w:p>
    <w:p w:rsidR="00FC4992" w:rsidRPr="003B372F" w:rsidRDefault="00FC4992">
      <w:pPr>
        <w:spacing w:line="360" w:lineRule="auto"/>
        <w:rPr>
          <w:rFonts w:ascii="Palatino Linotype" w:eastAsia="Palatino Linotype" w:hAnsi="Palatino Linotype" w:cs="Palatino Linotype"/>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Para ello, en principio resulta necesario precisar que por cuestiones de técnica jurídica, con la finalidad de tener mayor comprensión en lo que respecta a las actuaciones que obran en el expediente electrónico, la procedió a realizar lo siguiente:</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FC4992">
      <w:pPr>
        <w:spacing w:line="360" w:lineRule="auto"/>
        <w:jc w:val="both"/>
        <w:rPr>
          <w:rFonts w:ascii="Palatino Linotype" w:eastAsia="Palatino Linotype" w:hAnsi="Palatino Linotype" w:cs="Palatino Linotype"/>
        </w:rPr>
      </w:pPr>
    </w:p>
    <w:tbl>
      <w:tblPr>
        <w:tblStyle w:val="a7"/>
        <w:tblW w:w="8828" w:type="dxa"/>
        <w:jc w:val="center"/>
        <w:tblInd w:w="0" w:type="dxa"/>
        <w:tblLayout w:type="fixed"/>
        <w:tblLook w:val="0400" w:firstRow="0" w:lastRow="0" w:firstColumn="0" w:lastColumn="0" w:noHBand="0" w:noVBand="1"/>
      </w:tblPr>
      <w:tblGrid>
        <w:gridCol w:w="2523"/>
        <w:gridCol w:w="3375"/>
        <w:gridCol w:w="1986"/>
        <w:gridCol w:w="944"/>
      </w:tblGrid>
      <w:tr w:rsidR="00D24261" w:rsidRPr="003B372F">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C4992" w:rsidRPr="003B372F" w:rsidRDefault="003B11C6">
            <w:pPr>
              <w:spacing w:line="360" w:lineRule="auto"/>
              <w:jc w:val="center"/>
              <w:rPr>
                <w:rFonts w:ascii="Palatino Linotype" w:eastAsia="Palatino Linotype" w:hAnsi="Palatino Linotype" w:cs="Palatino Linotype"/>
              </w:rPr>
            </w:pPr>
            <w:r w:rsidRPr="003B372F">
              <w:rPr>
                <w:rFonts w:ascii="Palatino Linotype" w:eastAsia="Palatino Linotype" w:hAnsi="Palatino Linotype" w:cs="Palatino Linotype"/>
                <w:b/>
              </w:rPr>
              <w:lastRenderedPageBreak/>
              <w:t>Requerimientos</w:t>
            </w:r>
          </w:p>
        </w:tc>
        <w:tc>
          <w:tcPr>
            <w:tcW w:w="33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C4992" w:rsidRPr="003B372F" w:rsidRDefault="003B11C6">
            <w:pPr>
              <w:spacing w:line="360" w:lineRule="auto"/>
              <w:jc w:val="center"/>
              <w:rPr>
                <w:rFonts w:ascii="Palatino Linotype" w:eastAsia="Palatino Linotype" w:hAnsi="Palatino Linotype" w:cs="Palatino Linotype"/>
              </w:rPr>
            </w:pPr>
            <w:r w:rsidRPr="003B372F">
              <w:rPr>
                <w:rFonts w:ascii="Palatino Linotype" w:eastAsia="Palatino Linotype" w:hAnsi="Palatino Linotype" w:cs="Palatino Linotype"/>
                <w:b/>
              </w:rPr>
              <w:t>Respuesta del SO</w:t>
            </w:r>
          </w:p>
        </w:tc>
        <w:tc>
          <w:tcPr>
            <w:tcW w:w="198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C4992" w:rsidRPr="003B372F" w:rsidRDefault="003B11C6">
            <w:pPr>
              <w:spacing w:line="360" w:lineRule="auto"/>
              <w:jc w:val="center"/>
              <w:rPr>
                <w:rFonts w:ascii="Palatino Linotype" w:eastAsia="Palatino Linotype" w:hAnsi="Palatino Linotype" w:cs="Palatino Linotype"/>
              </w:rPr>
            </w:pPr>
            <w:r w:rsidRPr="003B372F">
              <w:rPr>
                <w:rFonts w:ascii="Palatino Linotype" w:eastAsia="Palatino Linotype" w:hAnsi="Palatino Linotype" w:cs="Palatino Linotype"/>
                <w:b/>
              </w:rPr>
              <w:t>Motivos de inconformidad</w:t>
            </w:r>
          </w:p>
        </w:tc>
        <w:tc>
          <w:tcPr>
            <w:tcW w:w="94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C4992" w:rsidRPr="003B372F" w:rsidRDefault="003B11C6">
            <w:pPr>
              <w:spacing w:line="360" w:lineRule="auto"/>
              <w:jc w:val="center"/>
              <w:rPr>
                <w:rFonts w:ascii="Palatino Linotype" w:eastAsia="Palatino Linotype" w:hAnsi="Palatino Linotype" w:cs="Palatino Linotype"/>
              </w:rPr>
            </w:pPr>
            <w:r w:rsidRPr="003B372F">
              <w:rPr>
                <w:rFonts w:ascii="Palatino Linotype" w:eastAsia="Palatino Linotype" w:hAnsi="Palatino Linotype" w:cs="Palatino Linotype"/>
                <w:b/>
              </w:rPr>
              <w:t>Colma</w:t>
            </w:r>
          </w:p>
        </w:tc>
      </w:tr>
      <w:tr w:rsidR="00D24261" w:rsidRPr="003B372F">
        <w:trPr>
          <w:trHeight w:val="1770"/>
          <w:jc w:val="center"/>
        </w:trPr>
        <w:tc>
          <w:tcPr>
            <w:tcW w:w="2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4992" w:rsidRPr="003B372F" w:rsidRDefault="003B11C6">
            <w:pPr>
              <w:numPr>
                <w:ilvl w:val="0"/>
                <w:numId w:val="5"/>
              </w:numPr>
              <w:spacing w:line="360" w:lineRule="auto"/>
              <w:ind w:left="313"/>
              <w:jc w:val="both"/>
              <w:rPr>
                <w:rFonts w:ascii="Palatino Linotype" w:eastAsia="Palatino Linotype" w:hAnsi="Palatino Linotype" w:cs="Palatino Linotype"/>
              </w:rPr>
            </w:pPr>
            <w:r w:rsidRPr="003B372F">
              <w:rPr>
                <w:rFonts w:ascii="Palatino Linotype" w:eastAsia="Palatino Linotype" w:hAnsi="Palatino Linotype" w:cs="Palatino Linotype"/>
              </w:rPr>
              <w:t>Si los miembros del Ayuntamiento y los directores son titulados de alguna carrera, si es así, especificar nombre, número de cédula profesional, carrera y universidad donde se realizaron dichos estudios.</w:t>
            </w:r>
          </w:p>
        </w:tc>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Mediante oficio DA/0061/2022 remitió una tabla con el nombre, cargo, carrera y Universidad, de 28 servidores públicos.   </w:t>
            </w: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4992" w:rsidRPr="003B372F" w:rsidRDefault="003B11C6">
            <w:pPr>
              <w:spacing w:line="360" w:lineRule="auto"/>
              <w:jc w:val="center"/>
              <w:rPr>
                <w:rFonts w:ascii="Palatino Linotype" w:eastAsia="Palatino Linotype" w:hAnsi="Palatino Linotype" w:cs="Palatino Linotype"/>
              </w:rPr>
            </w:pPr>
            <w:r w:rsidRPr="003B372F">
              <w:rPr>
                <w:rFonts w:ascii="Palatino Linotype" w:eastAsia="Palatino Linotype" w:hAnsi="Palatino Linotype" w:cs="Palatino Linotype"/>
              </w:rPr>
              <w:t xml:space="preserve">Se inconformó porque la respuesta no contiene el número de la cédula profesional    </w:t>
            </w:r>
          </w:p>
          <w:p w:rsidR="00FC4992" w:rsidRPr="003B372F" w:rsidRDefault="00FC4992">
            <w:pPr>
              <w:spacing w:line="360" w:lineRule="auto"/>
              <w:jc w:val="center"/>
              <w:rPr>
                <w:rFonts w:ascii="Palatino Linotype" w:eastAsia="Palatino Linotype" w:hAnsi="Palatino Linotype" w:cs="Palatino Linotype"/>
              </w:rPr>
            </w:pPr>
          </w:p>
        </w:tc>
        <w:tc>
          <w:tcPr>
            <w:tcW w:w="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4992" w:rsidRPr="003B372F" w:rsidRDefault="003B11C6">
            <w:pPr>
              <w:spacing w:line="360" w:lineRule="auto"/>
              <w:jc w:val="center"/>
              <w:rPr>
                <w:rFonts w:ascii="Palatino Linotype" w:eastAsia="Palatino Linotype" w:hAnsi="Palatino Linotype" w:cs="Palatino Linotype"/>
              </w:rPr>
            </w:pPr>
            <w:r w:rsidRPr="003B372F">
              <w:rPr>
                <w:rFonts w:ascii="Palatino Linotype" w:eastAsia="Palatino Linotype" w:hAnsi="Palatino Linotype" w:cs="Palatino Linotype"/>
              </w:rPr>
              <w:t>No Colma</w:t>
            </w:r>
          </w:p>
        </w:tc>
      </w:tr>
      <w:tr w:rsidR="00D24261" w:rsidRPr="003B372F">
        <w:trPr>
          <w:trHeight w:val="975"/>
          <w:jc w:val="center"/>
        </w:trPr>
        <w:tc>
          <w:tcPr>
            <w:tcW w:w="2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4992" w:rsidRPr="003B372F" w:rsidRDefault="003B11C6">
            <w:pPr>
              <w:numPr>
                <w:ilvl w:val="0"/>
                <w:numId w:val="5"/>
              </w:numPr>
              <w:pBdr>
                <w:top w:val="nil"/>
                <w:left w:val="nil"/>
                <w:bottom w:val="nil"/>
                <w:right w:val="nil"/>
                <w:between w:val="nil"/>
              </w:pBdr>
              <w:spacing w:before="40" w:after="280" w:line="360" w:lineRule="auto"/>
              <w:ind w:left="313"/>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Si hay alguna empresa de consultoría o asesoría especializada contratada de cualquier manera </w:t>
            </w:r>
            <w:r w:rsidRPr="003B372F">
              <w:rPr>
                <w:rFonts w:ascii="Palatino Linotype" w:eastAsia="Palatino Linotype" w:hAnsi="Palatino Linotype" w:cs="Palatino Linotype"/>
              </w:rPr>
              <w:lastRenderedPageBreak/>
              <w:t>por el gobierno municipal.</w:t>
            </w:r>
          </w:p>
        </w:tc>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4992" w:rsidRPr="003B372F" w:rsidRDefault="003B11C6">
            <w:pPr>
              <w:spacing w:line="360" w:lineRule="auto"/>
              <w:jc w:val="both"/>
              <w:rPr>
                <w:rFonts w:ascii="Palatino Linotype" w:eastAsia="Palatino Linotype" w:hAnsi="Palatino Linotype" w:cs="Palatino Linotype"/>
                <w:i/>
              </w:rPr>
            </w:pPr>
            <w:r w:rsidRPr="003B372F">
              <w:rPr>
                <w:rFonts w:ascii="Palatino Linotype" w:eastAsia="Palatino Linotype" w:hAnsi="Palatino Linotype" w:cs="Palatino Linotype"/>
              </w:rPr>
              <w:lastRenderedPageBreak/>
              <w:t xml:space="preserve">Mediante oficio DA/0061/2022 remitió respuesta a la interrogante. </w:t>
            </w:r>
            <w:r w:rsidRPr="003B372F">
              <w:rPr>
                <w:rFonts w:ascii="Palatino Linotype" w:eastAsia="Palatino Linotype" w:hAnsi="Palatino Linotype" w:cs="Palatino Linotype"/>
                <w:i/>
              </w:rPr>
              <w:t>“…no cuenta con una empresa o asesoría especializada contratada” (Sic)</w:t>
            </w: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4992" w:rsidRPr="003B372F" w:rsidRDefault="003B11C6">
            <w:pPr>
              <w:spacing w:line="360" w:lineRule="auto"/>
              <w:jc w:val="center"/>
              <w:rPr>
                <w:rFonts w:ascii="Palatino Linotype" w:eastAsia="Palatino Linotype" w:hAnsi="Palatino Linotype" w:cs="Palatino Linotype"/>
              </w:rPr>
            </w:pPr>
            <w:r w:rsidRPr="003B372F">
              <w:rPr>
                <w:rFonts w:ascii="Palatino Linotype" w:eastAsia="Palatino Linotype" w:hAnsi="Palatino Linotype" w:cs="Palatino Linotype"/>
              </w:rPr>
              <w:t>No se inconformó</w:t>
            </w:r>
          </w:p>
          <w:p w:rsidR="00FC4992" w:rsidRPr="003B372F" w:rsidRDefault="00FC4992">
            <w:pPr>
              <w:spacing w:line="360" w:lineRule="auto"/>
              <w:rPr>
                <w:rFonts w:ascii="Palatino Linotype" w:eastAsia="Palatino Linotype" w:hAnsi="Palatino Linotype" w:cs="Palatino Linotype"/>
              </w:rPr>
            </w:pPr>
          </w:p>
          <w:p w:rsidR="00FC4992" w:rsidRPr="003B372F" w:rsidRDefault="003B11C6">
            <w:pPr>
              <w:spacing w:line="360" w:lineRule="auto"/>
              <w:jc w:val="center"/>
              <w:rPr>
                <w:rFonts w:ascii="Palatino Linotype" w:eastAsia="Palatino Linotype" w:hAnsi="Palatino Linotype" w:cs="Palatino Linotype"/>
              </w:rPr>
            </w:pPr>
            <w:r w:rsidRPr="003B372F">
              <w:rPr>
                <w:rFonts w:ascii="Palatino Linotype" w:eastAsia="Palatino Linotype" w:hAnsi="Palatino Linotype" w:cs="Palatino Linotype"/>
              </w:rPr>
              <w:t>(Actos consentidos)</w:t>
            </w:r>
          </w:p>
        </w:tc>
        <w:tc>
          <w:tcPr>
            <w:tcW w:w="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4992" w:rsidRPr="003B372F" w:rsidRDefault="00FC4992">
            <w:pPr>
              <w:spacing w:line="360" w:lineRule="auto"/>
              <w:rPr>
                <w:rFonts w:ascii="Palatino Linotype" w:eastAsia="Palatino Linotype" w:hAnsi="Palatino Linotype" w:cs="Palatino Linotype"/>
              </w:rPr>
            </w:pPr>
          </w:p>
          <w:p w:rsidR="00FC4992" w:rsidRPr="003B372F" w:rsidRDefault="003B11C6">
            <w:pPr>
              <w:spacing w:line="360" w:lineRule="auto"/>
              <w:jc w:val="center"/>
              <w:rPr>
                <w:rFonts w:ascii="Palatino Linotype" w:eastAsia="Palatino Linotype" w:hAnsi="Palatino Linotype" w:cs="Palatino Linotype"/>
              </w:rPr>
            </w:pPr>
            <w:r w:rsidRPr="003B372F">
              <w:rPr>
                <w:rFonts w:ascii="Palatino Linotype" w:eastAsia="Palatino Linotype" w:hAnsi="Palatino Linotype" w:cs="Palatino Linotype"/>
              </w:rPr>
              <w:t>Colma</w:t>
            </w:r>
          </w:p>
        </w:tc>
      </w:tr>
      <w:tr w:rsidR="00D24261" w:rsidRPr="003B372F">
        <w:trPr>
          <w:trHeight w:val="870"/>
          <w:jc w:val="center"/>
        </w:trPr>
        <w:tc>
          <w:tcPr>
            <w:tcW w:w="2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4992" w:rsidRPr="003B372F" w:rsidRDefault="003B11C6">
            <w:pPr>
              <w:numPr>
                <w:ilvl w:val="0"/>
                <w:numId w:val="5"/>
              </w:numPr>
              <w:pBdr>
                <w:top w:val="nil"/>
                <w:left w:val="nil"/>
                <w:bottom w:val="nil"/>
                <w:right w:val="nil"/>
                <w:between w:val="nil"/>
              </w:pBdr>
              <w:spacing w:before="40" w:after="280" w:line="360" w:lineRule="auto"/>
              <w:ind w:left="313"/>
              <w:jc w:val="both"/>
              <w:rPr>
                <w:rFonts w:ascii="Palatino Linotype" w:eastAsia="Palatino Linotype" w:hAnsi="Palatino Linotype" w:cs="Palatino Linotype"/>
              </w:rPr>
            </w:pPr>
            <w:r w:rsidRPr="003B372F">
              <w:rPr>
                <w:rFonts w:ascii="Palatino Linotype" w:eastAsia="Palatino Linotype" w:hAnsi="Palatino Linotype" w:cs="Palatino Linotype"/>
              </w:rPr>
              <w:lastRenderedPageBreak/>
              <w:t>Sueldo del defensor municipal de los derechos humanos y que nivel tiene su plaza.</w:t>
            </w:r>
          </w:p>
        </w:tc>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Mediante oficio DA/0061/2022 remitió respuesta a la interrogante.</w:t>
            </w: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noProof/>
                <w:lang w:val="es-MX" w:eastAsia="es-MX"/>
              </w:rPr>
              <w:drawing>
                <wp:inline distT="0" distB="0" distL="0" distR="0">
                  <wp:extent cx="1887319" cy="573532"/>
                  <wp:effectExtent l="0" t="0" r="0" b="0"/>
                  <wp:docPr id="3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887319" cy="573532"/>
                          </a:xfrm>
                          <a:prstGeom prst="rect">
                            <a:avLst/>
                          </a:prstGeom>
                          <a:ln/>
                        </pic:spPr>
                      </pic:pic>
                    </a:graphicData>
                  </a:graphic>
                </wp:inline>
              </w:drawing>
            </w: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4992" w:rsidRPr="003B372F" w:rsidRDefault="003B11C6">
            <w:pPr>
              <w:spacing w:line="360" w:lineRule="auto"/>
              <w:jc w:val="center"/>
              <w:rPr>
                <w:rFonts w:ascii="Palatino Linotype" w:eastAsia="Palatino Linotype" w:hAnsi="Palatino Linotype" w:cs="Palatino Linotype"/>
              </w:rPr>
            </w:pPr>
            <w:r w:rsidRPr="003B372F">
              <w:rPr>
                <w:rFonts w:ascii="Palatino Linotype" w:eastAsia="Palatino Linotype" w:hAnsi="Palatino Linotype" w:cs="Palatino Linotype"/>
              </w:rPr>
              <w:t>No se inconformó</w:t>
            </w:r>
          </w:p>
          <w:p w:rsidR="00FC4992" w:rsidRPr="003B372F" w:rsidRDefault="00FC4992">
            <w:pPr>
              <w:spacing w:line="360" w:lineRule="auto"/>
              <w:rPr>
                <w:rFonts w:ascii="Palatino Linotype" w:eastAsia="Palatino Linotype" w:hAnsi="Palatino Linotype" w:cs="Palatino Linotype"/>
              </w:rPr>
            </w:pPr>
          </w:p>
          <w:p w:rsidR="00FC4992" w:rsidRPr="003B372F" w:rsidRDefault="003B11C6">
            <w:pPr>
              <w:spacing w:line="360" w:lineRule="auto"/>
              <w:jc w:val="center"/>
              <w:rPr>
                <w:rFonts w:ascii="Palatino Linotype" w:eastAsia="Palatino Linotype" w:hAnsi="Palatino Linotype" w:cs="Palatino Linotype"/>
              </w:rPr>
            </w:pPr>
            <w:r w:rsidRPr="003B372F">
              <w:rPr>
                <w:rFonts w:ascii="Palatino Linotype" w:eastAsia="Palatino Linotype" w:hAnsi="Palatino Linotype" w:cs="Palatino Linotype"/>
              </w:rPr>
              <w:t>(Actos consentidos)</w:t>
            </w:r>
          </w:p>
        </w:tc>
        <w:tc>
          <w:tcPr>
            <w:tcW w:w="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4992" w:rsidRPr="003B372F" w:rsidRDefault="00FC4992">
            <w:pPr>
              <w:spacing w:after="240" w:line="360" w:lineRule="auto"/>
              <w:rPr>
                <w:rFonts w:ascii="Palatino Linotype" w:eastAsia="Palatino Linotype" w:hAnsi="Palatino Linotype" w:cs="Palatino Linotype"/>
              </w:rPr>
            </w:pPr>
          </w:p>
          <w:p w:rsidR="00FC4992" w:rsidRPr="003B372F" w:rsidRDefault="003B11C6">
            <w:pPr>
              <w:spacing w:line="360" w:lineRule="auto"/>
              <w:jc w:val="center"/>
              <w:rPr>
                <w:rFonts w:ascii="Palatino Linotype" w:eastAsia="Palatino Linotype" w:hAnsi="Palatino Linotype" w:cs="Palatino Linotype"/>
              </w:rPr>
            </w:pPr>
            <w:r w:rsidRPr="003B372F">
              <w:rPr>
                <w:rFonts w:ascii="Palatino Linotype" w:eastAsia="Palatino Linotype" w:hAnsi="Palatino Linotype" w:cs="Palatino Linotype"/>
              </w:rPr>
              <w:t>Colma</w:t>
            </w:r>
          </w:p>
        </w:tc>
      </w:tr>
      <w:tr w:rsidR="00D24261" w:rsidRPr="003B372F">
        <w:trPr>
          <w:trHeight w:val="1035"/>
          <w:jc w:val="center"/>
        </w:trPr>
        <w:tc>
          <w:tcPr>
            <w:tcW w:w="2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4992" w:rsidRPr="003B372F" w:rsidRDefault="003B11C6">
            <w:pPr>
              <w:numPr>
                <w:ilvl w:val="0"/>
                <w:numId w:val="5"/>
              </w:numPr>
              <w:pBdr>
                <w:top w:val="nil"/>
                <w:left w:val="nil"/>
                <w:bottom w:val="nil"/>
                <w:right w:val="nil"/>
                <w:between w:val="nil"/>
              </w:pBdr>
              <w:spacing w:before="40" w:after="280" w:line="360" w:lineRule="auto"/>
              <w:ind w:left="313"/>
              <w:jc w:val="both"/>
              <w:rPr>
                <w:rFonts w:ascii="Palatino Linotype" w:eastAsia="Palatino Linotype" w:hAnsi="Palatino Linotype" w:cs="Palatino Linotype"/>
              </w:rPr>
            </w:pPr>
            <w:r w:rsidRPr="003B372F">
              <w:rPr>
                <w:rFonts w:ascii="Palatino Linotype" w:eastAsia="Palatino Linotype" w:hAnsi="Palatino Linotype" w:cs="Palatino Linotype"/>
              </w:rPr>
              <w:t>Personal con el que cuenta la defensoría municipal de los derechos humanos, nombre, cargo y estudios.</w:t>
            </w:r>
          </w:p>
        </w:tc>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Mediante oficio DA/0061/2022 remitió respuesta a la interrogante.</w:t>
            </w: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Entregó nombre categoría y estudios del Defensor de Derechos Humanos y del Auxiliar. </w:t>
            </w: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4992" w:rsidRPr="003B372F" w:rsidRDefault="003B11C6">
            <w:pPr>
              <w:spacing w:line="360" w:lineRule="auto"/>
              <w:jc w:val="center"/>
              <w:rPr>
                <w:rFonts w:ascii="Palatino Linotype" w:eastAsia="Palatino Linotype" w:hAnsi="Palatino Linotype" w:cs="Palatino Linotype"/>
              </w:rPr>
            </w:pPr>
            <w:r w:rsidRPr="003B372F">
              <w:rPr>
                <w:rFonts w:ascii="Palatino Linotype" w:eastAsia="Palatino Linotype" w:hAnsi="Palatino Linotype" w:cs="Palatino Linotype"/>
              </w:rPr>
              <w:t>No se inconformó</w:t>
            </w:r>
          </w:p>
          <w:p w:rsidR="00FC4992" w:rsidRPr="003B372F" w:rsidRDefault="00FC4992">
            <w:pPr>
              <w:spacing w:line="360" w:lineRule="auto"/>
              <w:rPr>
                <w:rFonts w:ascii="Palatino Linotype" w:eastAsia="Palatino Linotype" w:hAnsi="Palatino Linotype" w:cs="Palatino Linotype"/>
              </w:rPr>
            </w:pPr>
          </w:p>
          <w:p w:rsidR="00FC4992" w:rsidRPr="003B372F" w:rsidRDefault="003B11C6">
            <w:pPr>
              <w:spacing w:line="360" w:lineRule="auto"/>
              <w:jc w:val="center"/>
              <w:rPr>
                <w:rFonts w:ascii="Palatino Linotype" w:eastAsia="Palatino Linotype" w:hAnsi="Palatino Linotype" w:cs="Palatino Linotype"/>
              </w:rPr>
            </w:pPr>
            <w:r w:rsidRPr="003B372F">
              <w:rPr>
                <w:rFonts w:ascii="Palatino Linotype" w:eastAsia="Palatino Linotype" w:hAnsi="Palatino Linotype" w:cs="Palatino Linotype"/>
              </w:rPr>
              <w:t>(Actos consentidos)</w:t>
            </w:r>
          </w:p>
        </w:tc>
        <w:tc>
          <w:tcPr>
            <w:tcW w:w="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4992" w:rsidRPr="003B372F" w:rsidRDefault="00FC4992">
            <w:pPr>
              <w:spacing w:after="240" w:line="360" w:lineRule="auto"/>
              <w:rPr>
                <w:rFonts w:ascii="Palatino Linotype" w:eastAsia="Palatino Linotype" w:hAnsi="Palatino Linotype" w:cs="Palatino Linotype"/>
              </w:rPr>
            </w:pPr>
          </w:p>
          <w:p w:rsidR="00FC4992" w:rsidRPr="003B372F" w:rsidRDefault="003B11C6">
            <w:pPr>
              <w:spacing w:line="360" w:lineRule="auto"/>
              <w:jc w:val="center"/>
              <w:rPr>
                <w:rFonts w:ascii="Palatino Linotype" w:eastAsia="Palatino Linotype" w:hAnsi="Palatino Linotype" w:cs="Palatino Linotype"/>
              </w:rPr>
            </w:pPr>
            <w:r w:rsidRPr="003B372F">
              <w:rPr>
                <w:rFonts w:ascii="Palatino Linotype" w:eastAsia="Palatino Linotype" w:hAnsi="Palatino Linotype" w:cs="Palatino Linotype"/>
              </w:rPr>
              <w:t>Colma</w:t>
            </w:r>
          </w:p>
        </w:tc>
      </w:tr>
      <w:tr w:rsidR="00D24261" w:rsidRPr="003B372F">
        <w:trPr>
          <w:trHeight w:val="939"/>
          <w:jc w:val="center"/>
        </w:trPr>
        <w:tc>
          <w:tcPr>
            <w:tcW w:w="2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4992" w:rsidRPr="003B372F" w:rsidRDefault="003B11C6">
            <w:pPr>
              <w:numPr>
                <w:ilvl w:val="0"/>
                <w:numId w:val="5"/>
              </w:numPr>
              <w:pBdr>
                <w:top w:val="nil"/>
                <w:left w:val="nil"/>
                <w:bottom w:val="nil"/>
                <w:right w:val="nil"/>
                <w:between w:val="nil"/>
              </w:pBdr>
              <w:spacing w:before="40" w:after="280" w:line="360" w:lineRule="auto"/>
              <w:ind w:left="313"/>
              <w:jc w:val="both"/>
              <w:rPr>
                <w:rFonts w:ascii="Palatino Linotype" w:eastAsia="Palatino Linotype" w:hAnsi="Palatino Linotype" w:cs="Palatino Linotype"/>
              </w:rPr>
            </w:pPr>
            <w:r w:rsidRPr="003B372F">
              <w:rPr>
                <w:rFonts w:ascii="Palatino Linotype" w:eastAsia="Palatino Linotype" w:hAnsi="Palatino Linotype" w:cs="Palatino Linotype"/>
              </w:rPr>
              <w:t>Presupuesto que tiene la defensoría Municipal de derechos humanos</w:t>
            </w:r>
          </w:p>
        </w:tc>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Mediante oficio 73/TM/04/2022 remitió respuesta a la interrogante, la cual es ilegible por la maña calidad de la impresión. </w:t>
            </w: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4992" w:rsidRPr="003B372F" w:rsidRDefault="003B11C6">
            <w:pPr>
              <w:spacing w:line="360" w:lineRule="auto"/>
              <w:jc w:val="center"/>
              <w:rPr>
                <w:rFonts w:ascii="Palatino Linotype" w:eastAsia="Palatino Linotype" w:hAnsi="Palatino Linotype" w:cs="Palatino Linotype"/>
              </w:rPr>
            </w:pPr>
            <w:r w:rsidRPr="003B372F">
              <w:rPr>
                <w:rFonts w:ascii="Palatino Linotype" w:eastAsia="Palatino Linotype" w:hAnsi="Palatino Linotype" w:cs="Palatino Linotype"/>
              </w:rPr>
              <w:t>Se inconformó</w:t>
            </w:r>
          </w:p>
          <w:p w:rsidR="00FC4992" w:rsidRPr="003B372F" w:rsidRDefault="00FC4992">
            <w:pPr>
              <w:spacing w:line="360" w:lineRule="auto"/>
              <w:rPr>
                <w:rFonts w:ascii="Palatino Linotype" w:eastAsia="Palatino Linotype" w:hAnsi="Palatino Linotype" w:cs="Palatino Linotype"/>
              </w:rPr>
            </w:pPr>
          </w:p>
          <w:p w:rsidR="00FC4992" w:rsidRPr="003B372F" w:rsidRDefault="00FC4992">
            <w:pPr>
              <w:spacing w:line="360" w:lineRule="auto"/>
              <w:rPr>
                <w:rFonts w:ascii="Palatino Linotype" w:eastAsia="Palatino Linotype" w:hAnsi="Palatino Linotype" w:cs="Palatino Linotype"/>
              </w:rPr>
            </w:pPr>
          </w:p>
        </w:tc>
        <w:tc>
          <w:tcPr>
            <w:tcW w:w="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4992" w:rsidRPr="003B372F" w:rsidRDefault="00FC4992">
            <w:pPr>
              <w:spacing w:line="360" w:lineRule="auto"/>
              <w:rPr>
                <w:rFonts w:ascii="Palatino Linotype" w:eastAsia="Palatino Linotype" w:hAnsi="Palatino Linotype" w:cs="Palatino Linotype"/>
              </w:rPr>
            </w:pPr>
          </w:p>
          <w:p w:rsidR="00FC4992" w:rsidRPr="003B372F" w:rsidRDefault="003B11C6">
            <w:pPr>
              <w:spacing w:line="360" w:lineRule="auto"/>
              <w:jc w:val="center"/>
              <w:rPr>
                <w:rFonts w:ascii="Palatino Linotype" w:eastAsia="Palatino Linotype" w:hAnsi="Palatino Linotype" w:cs="Palatino Linotype"/>
              </w:rPr>
            </w:pPr>
            <w:r w:rsidRPr="003B372F">
              <w:rPr>
                <w:rFonts w:ascii="Palatino Linotype" w:eastAsia="Palatino Linotype" w:hAnsi="Palatino Linotype" w:cs="Palatino Linotype"/>
              </w:rPr>
              <w:t>No Colma</w:t>
            </w:r>
          </w:p>
        </w:tc>
      </w:tr>
      <w:tr w:rsidR="00FC4992" w:rsidRPr="003B372F">
        <w:trPr>
          <w:trHeight w:val="945"/>
          <w:jc w:val="center"/>
        </w:trPr>
        <w:tc>
          <w:tcPr>
            <w:tcW w:w="2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4992" w:rsidRPr="003B372F" w:rsidRDefault="003B11C6">
            <w:pPr>
              <w:numPr>
                <w:ilvl w:val="0"/>
                <w:numId w:val="5"/>
              </w:numPr>
              <w:pBdr>
                <w:top w:val="nil"/>
                <w:left w:val="nil"/>
                <w:bottom w:val="nil"/>
                <w:right w:val="nil"/>
                <w:between w:val="nil"/>
              </w:pBdr>
              <w:spacing w:before="40" w:after="280" w:line="360" w:lineRule="auto"/>
              <w:ind w:left="313"/>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Si ha realizado la Defensoría Municipal de </w:t>
            </w:r>
            <w:r w:rsidRPr="003B372F">
              <w:rPr>
                <w:rFonts w:ascii="Palatino Linotype" w:eastAsia="Palatino Linotype" w:hAnsi="Palatino Linotype" w:cs="Palatino Linotype"/>
              </w:rPr>
              <w:lastRenderedPageBreak/>
              <w:t>Derechos Humanos alguna recomendación al gobierno municipal.</w:t>
            </w:r>
          </w:p>
        </w:tc>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lastRenderedPageBreak/>
              <w:t>Mediante oficio DA/0061/2022 remitió respuesta a la interrogante.</w:t>
            </w:r>
          </w:p>
          <w:p w:rsidR="00FC4992" w:rsidRPr="003B372F" w:rsidRDefault="003B11C6">
            <w:pPr>
              <w:spacing w:line="360" w:lineRule="auto"/>
              <w:jc w:val="both"/>
              <w:rPr>
                <w:rFonts w:ascii="Palatino Linotype" w:eastAsia="Palatino Linotype" w:hAnsi="Palatino Linotype" w:cs="Palatino Linotype"/>
                <w:i/>
              </w:rPr>
            </w:pPr>
            <w:r w:rsidRPr="003B372F">
              <w:rPr>
                <w:rFonts w:ascii="Palatino Linotype" w:eastAsia="Palatino Linotype" w:hAnsi="Palatino Linotype" w:cs="Palatino Linotype"/>
                <w:i/>
              </w:rPr>
              <w:lastRenderedPageBreak/>
              <w:t xml:space="preserve">“Hasta el momento </w:t>
            </w:r>
            <w:proofErr w:type="spellStart"/>
            <w:r w:rsidRPr="003B372F">
              <w:rPr>
                <w:rFonts w:ascii="Palatino Linotype" w:eastAsia="Palatino Linotype" w:hAnsi="Palatino Linotype" w:cs="Palatino Linotype"/>
                <w:i/>
              </w:rPr>
              <w:t>nos</w:t>
            </w:r>
            <w:proofErr w:type="spellEnd"/>
            <w:r w:rsidRPr="003B372F">
              <w:rPr>
                <w:rFonts w:ascii="Palatino Linotype" w:eastAsia="Palatino Linotype" w:hAnsi="Palatino Linotype" w:cs="Palatino Linotype"/>
                <w:i/>
              </w:rPr>
              <w:t xml:space="preserve"> se cuenta con recomendaciones” (Sic)</w:t>
            </w: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4992" w:rsidRPr="003B372F" w:rsidRDefault="003B11C6">
            <w:pPr>
              <w:spacing w:line="360" w:lineRule="auto"/>
              <w:jc w:val="center"/>
              <w:rPr>
                <w:rFonts w:ascii="Palatino Linotype" w:eastAsia="Palatino Linotype" w:hAnsi="Palatino Linotype" w:cs="Palatino Linotype"/>
              </w:rPr>
            </w:pPr>
            <w:r w:rsidRPr="003B372F">
              <w:rPr>
                <w:rFonts w:ascii="Palatino Linotype" w:eastAsia="Palatino Linotype" w:hAnsi="Palatino Linotype" w:cs="Palatino Linotype"/>
              </w:rPr>
              <w:lastRenderedPageBreak/>
              <w:t>Se inconformó</w:t>
            </w:r>
          </w:p>
          <w:p w:rsidR="00FC4992" w:rsidRPr="003B372F" w:rsidRDefault="00FC4992">
            <w:pPr>
              <w:spacing w:line="360" w:lineRule="auto"/>
              <w:rPr>
                <w:rFonts w:ascii="Palatino Linotype" w:eastAsia="Palatino Linotype" w:hAnsi="Palatino Linotype" w:cs="Palatino Linotype"/>
              </w:rPr>
            </w:pPr>
          </w:p>
          <w:p w:rsidR="00FC4992" w:rsidRPr="003B372F" w:rsidRDefault="00FC4992">
            <w:pPr>
              <w:spacing w:line="360" w:lineRule="auto"/>
              <w:jc w:val="center"/>
              <w:rPr>
                <w:rFonts w:ascii="Palatino Linotype" w:eastAsia="Palatino Linotype" w:hAnsi="Palatino Linotype" w:cs="Palatino Linotype"/>
              </w:rPr>
            </w:pPr>
          </w:p>
        </w:tc>
        <w:tc>
          <w:tcPr>
            <w:tcW w:w="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4992" w:rsidRPr="003B372F" w:rsidRDefault="003B11C6">
            <w:pPr>
              <w:spacing w:line="360" w:lineRule="auto"/>
              <w:jc w:val="center"/>
              <w:rPr>
                <w:rFonts w:ascii="Palatino Linotype" w:eastAsia="Palatino Linotype" w:hAnsi="Palatino Linotype" w:cs="Palatino Linotype"/>
              </w:rPr>
            </w:pPr>
            <w:r w:rsidRPr="003B372F">
              <w:rPr>
                <w:rFonts w:ascii="Palatino Linotype" w:eastAsia="Palatino Linotype" w:hAnsi="Palatino Linotype" w:cs="Palatino Linotype"/>
              </w:rPr>
              <w:t>Colma</w:t>
            </w:r>
          </w:p>
        </w:tc>
      </w:tr>
    </w:tbl>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Por lo anterior, es necesario mencionar que los agravios hechos valer por el Particular mediante Recurso Revisión, consistieron, medularmente en lo siguiente: </w:t>
      </w:r>
    </w:p>
    <w:p w:rsidR="00FC4992" w:rsidRPr="003B372F" w:rsidRDefault="00FC4992">
      <w:pPr>
        <w:pBdr>
          <w:top w:val="nil"/>
          <w:left w:val="nil"/>
          <w:bottom w:val="nil"/>
          <w:right w:val="nil"/>
          <w:between w:val="nil"/>
        </w:pBdr>
        <w:spacing w:line="360" w:lineRule="auto"/>
        <w:ind w:left="720"/>
        <w:jc w:val="both"/>
        <w:rPr>
          <w:rFonts w:ascii="Palatino Linotype" w:eastAsia="Palatino Linotype" w:hAnsi="Palatino Linotype" w:cs="Palatino Linotype"/>
        </w:rPr>
      </w:pPr>
    </w:p>
    <w:p w:rsidR="00FC4992" w:rsidRPr="003B372F" w:rsidRDefault="003B11C6">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rPr>
      </w:pPr>
      <w:r w:rsidRPr="003B372F">
        <w:rPr>
          <w:rFonts w:ascii="Palatino Linotype" w:eastAsia="Palatino Linotype" w:hAnsi="Palatino Linotype" w:cs="Palatino Linotype"/>
          <w:b/>
        </w:rPr>
        <w:t>No se contestó la interrogante sobre ¿si ha realizado la Defensoría Municipal de Derechos Humanos alguna recomendación al gobierno municipal?;</w:t>
      </w:r>
    </w:p>
    <w:p w:rsidR="00FC4992" w:rsidRPr="003B372F" w:rsidRDefault="00FC4992">
      <w:pPr>
        <w:pBdr>
          <w:top w:val="nil"/>
          <w:left w:val="nil"/>
          <w:bottom w:val="nil"/>
          <w:right w:val="nil"/>
          <w:between w:val="nil"/>
        </w:pBdr>
        <w:spacing w:line="360" w:lineRule="auto"/>
        <w:ind w:left="720"/>
        <w:jc w:val="both"/>
        <w:rPr>
          <w:rFonts w:ascii="Palatino Linotype" w:eastAsia="Palatino Linotype" w:hAnsi="Palatino Linotype" w:cs="Palatino Linotype"/>
          <w:b/>
        </w:rPr>
      </w:pPr>
    </w:p>
    <w:p w:rsidR="00FC4992" w:rsidRPr="003B372F" w:rsidRDefault="003B11C6">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rPr>
      </w:pPr>
      <w:r w:rsidRPr="003B372F">
        <w:rPr>
          <w:rFonts w:ascii="Palatino Linotype" w:eastAsia="Palatino Linotype" w:hAnsi="Palatino Linotype" w:cs="Palatino Linotype"/>
          <w:b/>
        </w:rPr>
        <w:t>La respuesta a la interrogante del presupuesto que tiene la defensoría Municipal de derechos humanos es ilegible.</w:t>
      </w:r>
    </w:p>
    <w:p w:rsidR="00FC4992" w:rsidRPr="003B372F" w:rsidRDefault="00FC4992">
      <w:pPr>
        <w:spacing w:line="360" w:lineRule="auto"/>
        <w:rPr>
          <w:rFonts w:ascii="Palatino Linotype" w:eastAsia="Palatino Linotype" w:hAnsi="Palatino Linotype" w:cs="Palatino Linotype"/>
          <w:b/>
        </w:rPr>
      </w:pPr>
    </w:p>
    <w:p w:rsidR="00FC4992" w:rsidRPr="003B372F" w:rsidRDefault="003B11C6">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rPr>
      </w:pPr>
      <w:r w:rsidRPr="003B372F">
        <w:rPr>
          <w:rFonts w:ascii="Palatino Linotype" w:eastAsia="Palatino Linotype" w:hAnsi="Palatino Linotype" w:cs="Palatino Linotype"/>
          <w:b/>
        </w:rPr>
        <w:t>No se entregó el número de la cédula profesional de los miembros del ayuntamiento y los directores titulados;</w:t>
      </w:r>
    </w:p>
    <w:p w:rsidR="00FC4992" w:rsidRPr="003B372F" w:rsidRDefault="00FC4992">
      <w:pPr>
        <w:spacing w:line="360" w:lineRule="auto"/>
        <w:jc w:val="both"/>
        <w:rPr>
          <w:rFonts w:ascii="Palatino Linotype" w:eastAsia="Palatino Linotype" w:hAnsi="Palatino Linotype" w:cs="Palatino Linotype"/>
          <w:b/>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Por lo que, se logra advertir que el Particular no se inconforma por la totalidad de la información proporcionada en respuesta por el </w:t>
      </w:r>
      <w:r w:rsidRPr="003B372F">
        <w:rPr>
          <w:rFonts w:ascii="Palatino Linotype" w:eastAsia="Palatino Linotype" w:hAnsi="Palatino Linotype" w:cs="Palatino Linotype"/>
          <w:b/>
        </w:rPr>
        <w:t>SUJETO OBLIGADO</w:t>
      </w:r>
      <w:r w:rsidRPr="003B372F">
        <w:rPr>
          <w:rFonts w:ascii="Palatino Linotype" w:eastAsia="Palatino Linotype" w:hAnsi="Palatino Linotype" w:cs="Palatino Linotype"/>
        </w:rPr>
        <w:t>; por lo anterior resulta relevante traer a colación el Criterio 01/20 emitido por el Instituto Nacional de Transparencia, Acceso a la Información y Protección de Datos Personales, que establece lo siguiente: </w:t>
      </w:r>
    </w:p>
    <w:p w:rsidR="00FC4992" w:rsidRPr="003B372F" w:rsidRDefault="00FC4992">
      <w:pPr>
        <w:spacing w:line="360" w:lineRule="auto"/>
        <w:rPr>
          <w:rFonts w:ascii="Palatino Linotype" w:eastAsia="Palatino Linotype" w:hAnsi="Palatino Linotype" w:cs="Palatino Linotype"/>
        </w:rPr>
      </w:pPr>
    </w:p>
    <w:p w:rsidR="00FC4992" w:rsidRPr="003B372F" w:rsidRDefault="003B11C6">
      <w:pPr>
        <w:spacing w:line="276" w:lineRule="auto"/>
        <w:ind w:left="567" w:right="567"/>
        <w:jc w:val="both"/>
        <w:rPr>
          <w:rFonts w:ascii="Palatino Linotype" w:eastAsia="Palatino Linotype" w:hAnsi="Palatino Linotype" w:cs="Palatino Linotype"/>
          <w:sz w:val="22"/>
          <w:szCs w:val="22"/>
        </w:rPr>
      </w:pPr>
      <w:r w:rsidRPr="003B372F">
        <w:rPr>
          <w:rFonts w:ascii="Palatino Linotype" w:eastAsia="Palatino Linotype" w:hAnsi="Palatino Linotype" w:cs="Palatino Linotype"/>
          <w:i/>
        </w:rPr>
        <w:t>“</w:t>
      </w:r>
      <w:r w:rsidRPr="003B372F">
        <w:rPr>
          <w:rFonts w:ascii="Palatino Linotype" w:eastAsia="Palatino Linotype" w:hAnsi="Palatino Linotype" w:cs="Palatino Linotype"/>
          <w:b/>
          <w:i/>
          <w:sz w:val="22"/>
          <w:szCs w:val="22"/>
        </w:rPr>
        <w:t>Actos consentidos tácitamente. Improcedencia de su análisis</w:t>
      </w:r>
      <w:r w:rsidRPr="003B372F">
        <w:rPr>
          <w:rFonts w:ascii="Palatino Linotype" w:eastAsia="Palatino Linotype" w:hAnsi="Palatino Linotype" w:cs="Palatino Linotype"/>
          <w:i/>
          <w:sz w:val="22"/>
          <w:szCs w:val="22"/>
        </w:rPr>
        <w:t>. Si en su recurso de revisión, la persona RECURRENTE no expresó inconformidad alguna con ciertas partes de la respuesta otorgada, se entienden tácitamente consentidas, por ende, no deben formar parte del estudio de fondo de la resolución que emite el Instituto”.</w:t>
      </w:r>
    </w:p>
    <w:p w:rsidR="00FC4992" w:rsidRPr="003B372F" w:rsidRDefault="00FC4992">
      <w:pPr>
        <w:spacing w:line="360" w:lineRule="auto"/>
        <w:rPr>
          <w:rFonts w:ascii="Palatino Linotype" w:eastAsia="Palatino Linotype" w:hAnsi="Palatino Linotype" w:cs="Palatino Linotype"/>
        </w:rPr>
      </w:pPr>
    </w:p>
    <w:p w:rsidR="00FC4992" w:rsidRPr="003B372F" w:rsidRDefault="003B11C6">
      <w:pPr>
        <w:spacing w:before="240" w:after="360"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Sirve de Apoyo a lo anterior, por analogía la Tesis Jurisprudencial Número 3ª./J.7/91, Publicada en el Semanario Judicial de la Federación y su Gaceta bajo el número de registro 174,177, que establece lo siguiente:</w:t>
      </w:r>
    </w:p>
    <w:p w:rsidR="00FC4992" w:rsidRPr="003B372F" w:rsidRDefault="003B11C6">
      <w:pPr>
        <w:spacing w:before="240" w:after="360"/>
        <w:ind w:left="851" w:right="90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z w:val="22"/>
          <w:szCs w:val="22"/>
        </w:rPr>
        <w:t xml:space="preserve">“REVISIÓN EN AMPARO. LOS RESOLUTIVOS NO COMBATIDOS DEBEN DECLARARSE FIRMES. </w:t>
      </w:r>
      <w:r w:rsidRPr="003B372F">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FC4992" w:rsidRPr="003B372F" w:rsidRDefault="003B11C6">
      <w:pPr>
        <w:spacing w:before="240" w:after="240"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Consecuentemente, se reitera, que la parte de la respuesta que no fue impugnada debe declararse consentida por la parte Recurrente, toda vez que no se realizaron manifestaciones de inconformidad, por lo que no pueden producirse efectos jurídicos tendentes a revocar, confirmar o modificar el acto reclamado ya que se infiere un consentimiento ante la falta de impugnación eficaz. </w:t>
      </w:r>
    </w:p>
    <w:p w:rsidR="00FC4992" w:rsidRPr="003B372F" w:rsidRDefault="003B11C6">
      <w:pPr>
        <w:spacing w:before="240" w:after="240"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rsidR="00FC4992" w:rsidRPr="003B372F" w:rsidRDefault="003B11C6">
      <w:pPr>
        <w:ind w:left="851" w:right="90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mallCaps/>
          <w:sz w:val="22"/>
          <w:szCs w:val="22"/>
        </w:rPr>
        <w:lastRenderedPageBreak/>
        <w:t xml:space="preserve">“ACTOS CONSENTIDOS. SON LOS QUE NO SE IMPUGNAN MEDIANTE EL RECURSO IDÓNEO. </w:t>
      </w:r>
      <w:r w:rsidRPr="003B372F">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Es así que, resulta improcedente entrar al análisis de las partes de la respuesta que no fueron impugnadas por el </w:t>
      </w:r>
      <w:r w:rsidRPr="003B372F">
        <w:rPr>
          <w:rFonts w:ascii="Palatino Linotype" w:eastAsia="Palatino Linotype" w:hAnsi="Palatino Linotype" w:cs="Palatino Linotype"/>
          <w:b/>
        </w:rPr>
        <w:t>RECURRENT</w:t>
      </w:r>
      <w:r w:rsidRPr="003B372F">
        <w:rPr>
          <w:rFonts w:ascii="Palatino Linotype" w:eastAsia="Palatino Linotype" w:hAnsi="Palatino Linotype" w:cs="Palatino Linotype"/>
        </w:rPr>
        <w:t>E, ya que, únicamente se debe analizar lo que refiere a los motivos de inconformidad hechos valer por el Solicitante en la interposición de su medio de impugnación; es entonces que el Recurso de Revisión, debe versar exclusivamente sobre los motivos de inconformidad hechos valer por el Particular y atender de manera específica aquellos puntos que le generan agravio.  Dicho esto, resulta necesario realizar las siguientes precisiones: </w:t>
      </w:r>
    </w:p>
    <w:p w:rsidR="00FC4992" w:rsidRPr="003B372F" w:rsidRDefault="003B11C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En primer término, se estima pertinente mencionar que, del análisis realizado a la información proporcionada por el </w:t>
      </w:r>
      <w:r w:rsidRPr="003B372F">
        <w:rPr>
          <w:rFonts w:ascii="Palatino Linotype" w:eastAsia="Palatino Linotype" w:hAnsi="Palatino Linotype" w:cs="Palatino Linotype"/>
          <w:b/>
        </w:rPr>
        <w:t>SUJETO OBLIGADO</w:t>
      </w:r>
      <w:r w:rsidRPr="003B372F">
        <w:rPr>
          <w:rFonts w:ascii="Palatino Linotype" w:eastAsia="Palatino Linotype" w:hAnsi="Palatino Linotype" w:cs="Palatino Linotype"/>
        </w:rPr>
        <w:t xml:space="preserve">, tanto en respuesta a la solicitud de información como al rendir su informe justificado asume que genera, administra y posee la información requerida por el </w:t>
      </w:r>
      <w:r w:rsidRPr="003B372F">
        <w:rPr>
          <w:rFonts w:ascii="Palatino Linotype" w:eastAsia="Palatino Linotype" w:hAnsi="Palatino Linotype" w:cs="Palatino Linotype"/>
          <w:b/>
        </w:rPr>
        <w:t>RECURRENTE</w:t>
      </w:r>
      <w:r w:rsidRPr="003B372F">
        <w:rPr>
          <w:rFonts w:ascii="Palatino Linotype" w:eastAsia="Palatino Linotype" w:hAnsi="Palatino Linotype" w:cs="Palatino Linotype"/>
        </w:rPr>
        <w:t>, motivo por el cual se omitirá insertar su fuente obligacional.</w:t>
      </w: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En este orden de ideas, respecto de la solicitud, por parte del particular para conocer si se han realizado </w:t>
      </w:r>
      <w:r w:rsidRPr="003B372F">
        <w:rPr>
          <w:rFonts w:ascii="Palatino Linotype" w:eastAsia="Palatino Linotype" w:hAnsi="Palatino Linotype" w:cs="Palatino Linotype"/>
          <w:b/>
        </w:rPr>
        <w:t>recomendaciones al gobierno municipal por parte de la Defensoría Municipal de Derechos Humano</w:t>
      </w:r>
      <w:r w:rsidRPr="003B372F">
        <w:rPr>
          <w:rFonts w:ascii="Palatino Linotype" w:eastAsia="Palatino Linotype" w:hAnsi="Palatino Linotype" w:cs="Palatino Linotype"/>
        </w:rPr>
        <w:t>,</w:t>
      </w:r>
      <w:r w:rsidRPr="003B372F">
        <w:rPr>
          <w:rFonts w:ascii="Palatino Linotype" w:eastAsia="Palatino Linotype" w:hAnsi="Palatino Linotype" w:cs="Palatino Linotype"/>
          <w:b/>
        </w:rPr>
        <w:t xml:space="preserve"> </w:t>
      </w:r>
      <w:r w:rsidRPr="003B372F">
        <w:rPr>
          <w:rFonts w:ascii="Palatino Linotype" w:eastAsia="Palatino Linotype" w:hAnsi="Palatino Linotype" w:cs="Palatino Linotype"/>
        </w:rPr>
        <w:t>este Organismo garante advierte que</w:t>
      </w:r>
      <w:r w:rsidRPr="003B372F">
        <w:rPr>
          <w:rFonts w:ascii="Palatino Linotype" w:eastAsia="Palatino Linotype" w:hAnsi="Palatino Linotype" w:cs="Palatino Linotype"/>
          <w:b/>
        </w:rPr>
        <w:t xml:space="preserve"> </w:t>
      </w:r>
      <w:r w:rsidRPr="003B372F">
        <w:rPr>
          <w:rFonts w:ascii="Palatino Linotype" w:eastAsia="Palatino Linotype" w:hAnsi="Palatino Linotype" w:cs="Palatino Linotype"/>
        </w:rPr>
        <w:t xml:space="preserve">del análisis de la respuesta primigenia que se presentó por el </w:t>
      </w:r>
      <w:r w:rsidRPr="003B372F">
        <w:rPr>
          <w:rFonts w:ascii="Palatino Linotype" w:eastAsia="Palatino Linotype" w:hAnsi="Palatino Linotype" w:cs="Palatino Linotype"/>
          <w:b/>
        </w:rPr>
        <w:t>SUJETO OBLIGADO</w:t>
      </w:r>
      <w:r w:rsidRPr="003B372F">
        <w:rPr>
          <w:rFonts w:ascii="Palatino Linotype" w:eastAsia="Palatino Linotype" w:hAnsi="Palatino Linotype" w:cs="Palatino Linotype"/>
        </w:rPr>
        <w:t xml:space="preserve"> se desprende que, contrario a lo argüido por el </w:t>
      </w:r>
      <w:r w:rsidRPr="003B372F">
        <w:rPr>
          <w:rFonts w:ascii="Palatino Linotype" w:eastAsia="Palatino Linotype" w:hAnsi="Palatino Linotype" w:cs="Palatino Linotype"/>
          <w:b/>
        </w:rPr>
        <w:t>RECURRENTE</w:t>
      </w:r>
      <w:r w:rsidRPr="003B372F">
        <w:rPr>
          <w:rFonts w:ascii="Palatino Linotype" w:eastAsia="Palatino Linotype" w:hAnsi="Palatino Linotype" w:cs="Palatino Linotype"/>
        </w:rPr>
        <w:t xml:space="preserve">, </w:t>
      </w:r>
      <w:r w:rsidRPr="003B372F">
        <w:rPr>
          <w:rFonts w:ascii="Palatino Linotype" w:eastAsia="Palatino Linotype" w:hAnsi="Palatino Linotype" w:cs="Palatino Linotype"/>
          <w:b/>
        </w:rPr>
        <w:t>si fue atendido su requerimiento</w:t>
      </w:r>
      <w:r w:rsidRPr="003B372F">
        <w:rPr>
          <w:rFonts w:ascii="Palatino Linotype" w:eastAsia="Palatino Linotype" w:hAnsi="Palatino Linotype" w:cs="Palatino Linotype"/>
        </w:rPr>
        <w:t xml:space="preserve"> tal como se muestra a continuación:</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noProof/>
          <w:lang w:val="es-MX" w:eastAsia="es-MX"/>
        </w:rPr>
        <w:lastRenderedPageBreak/>
        <w:drawing>
          <wp:inline distT="0" distB="0" distL="0" distR="0">
            <wp:extent cx="5531518" cy="4946420"/>
            <wp:effectExtent l="19050" t="19050" r="19050" b="19050"/>
            <wp:docPr id="304" name="image4.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Texto, Aplicación&#10;&#10;Descripción generada automáticamente"/>
                    <pic:cNvPicPr preferRelativeResize="0"/>
                  </pic:nvPicPr>
                  <pic:blipFill>
                    <a:blip r:embed="rId9"/>
                    <a:srcRect l="50940" t="27664" r="2498" b="9882"/>
                    <a:stretch>
                      <a:fillRect/>
                    </a:stretch>
                  </pic:blipFill>
                  <pic:spPr>
                    <a:xfrm>
                      <a:off x="0" y="0"/>
                      <a:ext cx="5531518" cy="4946420"/>
                    </a:xfrm>
                    <a:prstGeom prst="rect">
                      <a:avLst/>
                    </a:prstGeom>
                    <a:ln w="19050">
                      <a:solidFill>
                        <a:srgbClr val="5B9BD5"/>
                      </a:solidFill>
                      <a:prstDash val="solid"/>
                    </a:ln>
                  </pic:spPr>
                </pic:pic>
              </a:graphicData>
            </a:graphic>
          </wp:inline>
        </w:drawing>
      </w:r>
      <w:r w:rsidRPr="003B372F">
        <w:rPr>
          <w:noProof/>
          <w:lang w:val="es-MX" w:eastAsia="es-MX"/>
        </w:rPr>
        <mc:AlternateContent>
          <mc:Choice Requires="wps">
            <w:drawing>
              <wp:anchor distT="0" distB="0" distL="114300" distR="114300" simplePos="0" relativeHeight="251658240" behindDoc="0" locked="0" layoutInCell="1" hidden="0" allowOverlap="1">
                <wp:simplePos x="0" y="0"/>
                <wp:positionH relativeFrom="column">
                  <wp:posOffset>546100</wp:posOffset>
                </wp:positionH>
                <wp:positionV relativeFrom="paragraph">
                  <wp:posOffset>3225800</wp:posOffset>
                </wp:positionV>
                <wp:extent cx="4484496" cy="781678"/>
                <wp:effectExtent l="0" t="0" r="0" b="0"/>
                <wp:wrapNone/>
                <wp:docPr id="298" name="Rectángulo 298"/>
                <wp:cNvGraphicFramePr/>
                <a:graphic xmlns:a="http://schemas.openxmlformats.org/drawingml/2006/main">
                  <a:graphicData uri="http://schemas.microsoft.com/office/word/2010/wordprocessingShape">
                    <wps:wsp>
                      <wps:cNvSpPr/>
                      <wps:spPr>
                        <a:xfrm>
                          <a:off x="3122802" y="3408211"/>
                          <a:ext cx="4446396" cy="743578"/>
                        </a:xfrm>
                        <a:prstGeom prst="rect">
                          <a:avLst/>
                        </a:prstGeom>
                        <a:noFill/>
                        <a:ln w="38100" cap="flat" cmpd="sng">
                          <a:solidFill>
                            <a:srgbClr val="FF0000"/>
                          </a:solidFill>
                          <a:prstDash val="solid"/>
                          <a:miter lim="800000"/>
                          <a:headEnd type="none" w="sm" len="sm"/>
                          <a:tailEnd type="none" w="sm" len="sm"/>
                        </a:ln>
                      </wps:spPr>
                      <wps:txbx>
                        <w:txbxContent>
                          <w:p w:rsidR="00FC4992" w:rsidRDefault="00FC4992">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w16se="http://schemas.microsoft.com/office/word/2015/wordml/symex">
            <w:pict>
              <v:rect id="Rectángulo 298" o:spid="_x0000_s1026" style="position:absolute;left:0;text-align:left;margin-left:43pt;margin-top:254pt;width:353.1pt;height:61.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" filled="f" strokecolor="red" strokeweight="3pt">
                <v:stroke startarrowwidth="narrow" startarrowlength="short" endarrowwidth="narrow" endarrowlength="short"/>
                <v:textbox inset="2.53958mm,2.53958mm,2.53958mm,2.53958mm">
                  <w:txbxContent>
                    <w:p w:rsidR="00FC4992" w:rsidRDefault="00FC4992">
                      <w:pPr>
                        <w:textDirection w:val="btLr"/>
                      </w:pPr>
                    </w:p>
                  </w:txbxContent>
                </v:textbox>
              </v:rect>
            </w:pict>
          </mc:Fallback>
        </mc:AlternateContent>
      </w: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 </w:t>
      </w:r>
    </w:p>
    <w:p w:rsidR="00FC4992" w:rsidRPr="003B372F" w:rsidRDefault="003B11C6">
      <w:pPr>
        <w:spacing w:line="360" w:lineRule="auto"/>
        <w:jc w:val="both"/>
        <w:rPr>
          <w:rFonts w:ascii="Palatino Linotype" w:eastAsia="Palatino Linotype" w:hAnsi="Palatino Linotype" w:cs="Palatino Linotype"/>
          <w:b/>
        </w:rPr>
      </w:pPr>
      <w:r w:rsidRPr="003B372F">
        <w:rPr>
          <w:rFonts w:ascii="Palatino Linotype" w:eastAsia="Palatino Linotype" w:hAnsi="Palatino Linotype" w:cs="Palatino Linotype"/>
        </w:rPr>
        <w:t xml:space="preserve">En este sentido, conforme a la respuesta emitida referente a la parte atinente de la solicitud, toda vez que no posee la información requerida por el particular, constituye un hecho negativo; entonces, si se considera el hecho negativo, es obvio que éste no puede fácticamente obrar en los archivos del </w:t>
      </w:r>
      <w:r w:rsidRPr="003B372F">
        <w:rPr>
          <w:rFonts w:ascii="Palatino Linotype" w:eastAsia="Palatino Linotype" w:hAnsi="Palatino Linotype" w:cs="Palatino Linotype"/>
          <w:b/>
        </w:rPr>
        <w:t>SUJETO OBLIGADO</w:t>
      </w:r>
      <w:r w:rsidRPr="003B372F">
        <w:rPr>
          <w:rFonts w:ascii="Palatino Linotype" w:eastAsia="Palatino Linotype" w:hAnsi="Palatino Linotype" w:cs="Palatino Linotype"/>
        </w:rPr>
        <w:t>, ya que no puede probarse por ser lógica y materialmente imposible.</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lastRenderedPageBreak/>
        <w:t>Asimismo, no se trata de un caso por el cual la negación del hecho implique la afirmación del mismo, simplemente se está ante una notoria y evidente inexistencia fáctica de la información solicitada.</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 aplicable la siguiente tesis:</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360" w:lineRule="auto"/>
        <w:ind w:left="860" w:right="560"/>
        <w:jc w:val="both"/>
        <w:rPr>
          <w:rFonts w:ascii="Palatino Linotype" w:eastAsia="Palatino Linotype" w:hAnsi="Palatino Linotype" w:cs="Palatino Linotype"/>
        </w:rPr>
      </w:pPr>
      <w:r w:rsidRPr="003B372F">
        <w:rPr>
          <w:rFonts w:ascii="Palatino Linotype" w:eastAsia="Palatino Linotype" w:hAnsi="Palatino Linotype" w:cs="Palatino Linotype"/>
          <w:b/>
          <w:i/>
        </w:rPr>
        <w:t>HECHOS NEGATIVOS, NO SON SUSCEPTIBLES DE DEMOSTRACIÓN.</w:t>
      </w:r>
    </w:p>
    <w:p w:rsidR="00FC4992" w:rsidRPr="003B372F" w:rsidRDefault="003B11C6">
      <w:pPr>
        <w:spacing w:line="360" w:lineRule="auto"/>
        <w:ind w:left="860" w:right="560"/>
        <w:jc w:val="both"/>
        <w:rPr>
          <w:rFonts w:ascii="Palatino Linotype" w:eastAsia="Palatino Linotype" w:hAnsi="Palatino Linotype" w:cs="Palatino Linotype"/>
        </w:rPr>
      </w:pPr>
      <w:r w:rsidRPr="003B372F">
        <w:rPr>
          <w:rFonts w:ascii="Palatino Linotype" w:eastAsia="Palatino Linotype" w:hAnsi="Palatino Linotype" w:cs="Palatino Linotype"/>
          <w:i/>
        </w:rPr>
        <w:t xml:space="preserve">Tratándose de un hecho negativo, el Juez no tiene </w:t>
      </w:r>
      <w:proofErr w:type="spellStart"/>
      <w:r w:rsidRPr="003B372F">
        <w:rPr>
          <w:rFonts w:ascii="Palatino Linotype" w:eastAsia="Palatino Linotype" w:hAnsi="Palatino Linotype" w:cs="Palatino Linotype"/>
          <w:i/>
        </w:rPr>
        <w:t>por que</w:t>
      </w:r>
      <w:proofErr w:type="spellEnd"/>
      <w:r w:rsidRPr="003B372F">
        <w:rPr>
          <w:rFonts w:ascii="Palatino Linotype" w:eastAsia="Palatino Linotype" w:hAnsi="Palatino Linotype" w:cs="Palatino Linotype"/>
          <w:i/>
        </w:rPr>
        <w:t xml:space="preserve"> invocar prueba alguna de la que se desprenda, ya que es bien sabido que esta clase de hechos no son susceptibles de demostración.</w:t>
      </w:r>
    </w:p>
    <w:p w:rsidR="00FC4992" w:rsidRPr="003B372F" w:rsidRDefault="003B11C6">
      <w:pPr>
        <w:spacing w:line="360" w:lineRule="auto"/>
        <w:ind w:left="860" w:right="560"/>
        <w:jc w:val="both"/>
        <w:rPr>
          <w:rFonts w:ascii="Palatino Linotype" w:eastAsia="Palatino Linotype" w:hAnsi="Palatino Linotype" w:cs="Palatino Linotype"/>
          <w:i/>
        </w:rPr>
      </w:pPr>
      <w:r w:rsidRPr="003B372F">
        <w:rPr>
          <w:rFonts w:ascii="Palatino Linotype" w:eastAsia="Palatino Linotype" w:hAnsi="Palatino Linotype" w:cs="Palatino Linotype"/>
          <w:i/>
        </w:rPr>
        <w:t>Amparo en revisión 2022/61. José García Florín (Menor). 9 de octubre de 1961. Cinco votos. Ponente: José Rivera Pérez Campos.”</w:t>
      </w:r>
    </w:p>
    <w:p w:rsidR="00FC4992" w:rsidRPr="003B372F" w:rsidRDefault="00FC4992">
      <w:pPr>
        <w:spacing w:line="360" w:lineRule="auto"/>
        <w:ind w:left="860" w:right="560"/>
        <w:jc w:val="both"/>
        <w:rPr>
          <w:rFonts w:ascii="Palatino Linotype" w:eastAsia="Palatino Linotype" w:hAnsi="Palatino Linotype" w:cs="Palatino Linotype"/>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Además, y de conformidad con lo establecido en el artículo 12 de la Ley de Transparencia y Acceso a la Información Pública del Estado de México y Municipios, anteriormente invocado el </w:t>
      </w:r>
      <w:r w:rsidRPr="003B372F">
        <w:rPr>
          <w:rFonts w:ascii="Palatino Linotype" w:eastAsia="Palatino Linotype" w:hAnsi="Palatino Linotype" w:cs="Palatino Linotype"/>
          <w:b/>
        </w:rPr>
        <w:t>SUJETO OBLIGADO</w:t>
      </w:r>
      <w:r w:rsidRPr="003B372F">
        <w:rPr>
          <w:rFonts w:ascii="Palatino Linotype" w:eastAsia="Palatino Linotype" w:hAnsi="Palatino Linotype" w:cs="Palatino Linotype"/>
        </w:rPr>
        <w:t xml:space="preserve"> sólo proporcionará la información que obra en sus archivos, lo que a</w:t>
      </w:r>
      <w:r w:rsidRPr="003B372F">
        <w:rPr>
          <w:rFonts w:ascii="Palatino Linotype" w:eastAsia="Palatino Linotype" w:hAnsi="Palatino Linotype" w:cs="Palatino Linotype"/>
          <w:i/>
        </w:rPr>
        <w:t xml:space="preserve"> contrario sensu</w:t>
      </w:r>
      <w:r w:rsidRPr="003B372F">
        <w:rPr>
          <w:rFonts w:ascii="Palatino Linotype" w:eastAsia="Palatino Linotype" w:hAnsi="Palatino Linotype" w:cs="Palatino Linotype"/>
        </w:rPr>
        <w:t xml:space="preserve"> significa que no se está obligado a proporcionar lo que no obre en sus archivos; motivo por el cual se colma el derecho de acceso a la información pública del particular en esta parte de la solicitud.</w:t>
      </w:r>
    </w:p>
    <w:p w:rsidR="00FC4992" w:rsidRPr="003B372F" w:rsidRDefault="00FC4992">
      <w:pPr>
        <w:spacing w:line="360" w:lineRule="auto"/>
        <w:rPr>
          <w:rFonts w:ascii="Palatino Linotype" w:eastAsia="Palatino Linotype" w:hAnsi="Palatino Linotype" w:cs="Palatino Linotype"/>
          <w:b/>
        </w:rPr>
      </w:pPr>
    </w:p>
    <w:p w:rsidR="00FC4992" w:rsidRPr="003B372F" w:rsidRDefault="00FC4992">
      <w:pPr>
        <w:pBdr>
          <w:top w:val="nil"/>
          <w:left w:val="nil"/>
          <w:bottom w:val="nil"/>
          <w:right w:val="nil"/>
          <w:between w:val="nil"/>
        </w:pBdr>
        <w:spacing w:line="360" w:lineRule="auto"/>
        <w:ind w:left="720"/>
        <w:jc w:val="both"/>
        <w:rPr>
          <w:rFonts w:ascii="Palatino Linotype" w:eastAsia="Palatino Linotype" w:hAnsi="Palatino Linotype" w:cs="Palatino Linotype"/>
        </w:rPr>
      </w:pPr>
    </w:p>
    <w:p w:rsidR="00FC4992" w:rsidRPr="003B372F" w:rsidRDefault="003B11C6">
      <w:pPr>
        <w:spacing w:before="240" w:after="240" w:line="360" w:lineRule="auto"/>
        <w:ind w:right="49"/>
        <w:jc w:val="both"/>
        <w:rPr>
          <w:rFonts w:ascii="Palatino Linotype" w:eastAsia="Palatino Linotype" w:hAnsi="Palatino Linotype" w:cs="Palatino Linotype"/>
        </w:rPr>
      </w:pPr>
      <w:r w:rsidRPr="003B372F">
        <w:rPr>
          <w:rFonts w:ascii="Palatino Linotype" w:eastAsia="Palatino Linotype" w:hAnsi="Palatino Linotype" w:cs="Palatino Linotype"/>
        </w:rPr>
        <w:t>Ahora bien, resulta de suma importancia invocar el contenido de los artículos 162, 163, 164 y 165 de la Ley de Transparencia y Acceso a la Información Pública del Estado de México y Municipios, que rezan así:</w:t>
      </w:r>
    </w:p>
    <w:p w:rsidR="00FC4992" w:rsidRPr="003B372F" w:rsidRDefault="003B11C6">
      <w:pPr>
        <w:spacing w:after="120"/>
        <w:ind w:left="851" w:right="90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z w:val="22"/>
          <w:szCs w:val="22"/>
        </w:rPr>
        <w:t>“Artículo 162.</w:t>
      </w:r>
      <w:r w:rsidRPr="003B372F">
        <w:rPr>
          <w:rFonts w:ascii="Palatino Linotype" w:eastAsia="Palatino Linotype" w:hAnsi="Palatino Linotype" w:cs="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rsidR="00FC4992" w:rsidRPr="003B372F" w:rsidRDefault="003B11C6">
      <w:pPr>
        <w:spacing w:after="120"/>
        <w:ind w:left="851" w:right="90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z w:val="22"/>
          <w:szCs w:val="22"/>
        </w:rPr>
        <w:t>Artículo 163.</w:t>
      </w:r>
      <w:r w:rsidRPr="003B372F">
        <w:rPr>
          <w:rFonts w:ascii="Palatino Linotype" w:eastAsia="Palatino Linotype" w:hAnsi="Palatino Linotype" w:cs="Palatino Linotype"/>
          <w:i/>
          <w:sz w:val="22"/>
          <w:szCs w:val="22"/>
        </w:rPr>
        <w:t xml:space="preserve"> La </w:t>
      </w:r>
      <w:r w:rsidRPr="003B372F">
        <w:rPr>
          <w:rFonts w:ascii="Palatino Linotype" w:eastAsia="Palatino Linotype" w:hAnsi="Palatino Linotype" w:cs="Palatino Linotype"/>
          <w:b/>
          <w:i/>
          <w:sz w:val="22"/>
          <w:szCs w:val="22"/>
        </w:rPr>
        <w:t>Unidad de Transparencia deberá notificar la respuesta a la solicitud al interesado en el menor tiempo posible</w:t>
      </w:r>
      <w:r w:rsidRPr="003B372F">
        <w:rPr>
          <w:rFonts w:ascii="Palatino Linotype" w:eastAsia="Palatino Linotype" w:hAnsi="Palatino Linotype" w:cs="Palatino Linotype"/>
          <w:i/>
          <w:sz w:val="22"/>
          <w:szCs w:val="22"/>
        </w:rPr>
        <w:t xml:space="preserve">, que no podrá exceder de quince días hábiles, contados a partir del día siguiente a la presentación de aquélla.  </w:t>
      </w:r>
    </w:p>
    <w:p w:rsidR="00FC4992" w:rsidRPr="003B372F" w:rsidRDefault="003B11C6">
      <w:pPr>
        <w:spacing w:after="120"/>
        <w:ind w:left="851" w:right="90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FC4992" w:rsidRPr="003B372F" w:rsidRDefault="003B11C6">
      <w:pPr>
        <w:spacing w:after="120"/>
        <w:ind w:left="851" w:right="90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z w:val="22"/>
          <w:szCs w:val="22"/>
        </w:rPr>
        <w:t>Artículo 164.</w:t>
      </w:r>
      <w:r w:rsidRPr="003B372F">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rsidR="00FC4992" w:rsidRPr="003B372F" w:rsidRDefault="003B11C6">
      <w:pPr>
        <w:spacing w:after="120"/>
        <w:ind w:left="851" w:right="90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i/>
          <w:sz w:val="22"/>
          <w:szCs w:val="22"/>
        </w:rPr>
        <w:t xml:space="preserve">En cualquier caso, se deberá fundar y motivar la necesidad de ofrecer otras modalidades.  </w:t>
      </w:r>
    </w:p>
    <w:p w:rsidR="00FC4992" w:rsidRPr="003B372F" w:rsidRDefault="003B11C6">
      <w:pPr>
        <w:spacing w:after="120"/>
        <w:ind w:left="851" w:right="90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z w:val="22"/>
          <w:szCs w:val="22"/>
        </w:rPr>
        <w:t>Artículo 165.</w:t>
      </w:r>
      <w:r w:rsidRPr="003B372F">
        <w:rPr>
          <w:rFonts w:ascii="Palatino Linotype" w:eastAsia="Palatino Linotype" w:hAnsi="Palatino Linotype" w:cs="Palatino Linotype"/>
          <w:i/>
          <w:sz w:val="22"/>
          <w:szCs w:val="22"/>
        </w:rPr>
        <w:t xml:space="preserve"> Los sujetos obligados establecerán la forma y términos en que darán trámite interno a las solicitudes en materia de acceso a la información…”</w:t>
      </w:r>
    </w:p>
    <w:p w:rsidR="00FC4992" w:rsidRPr="003B372F" w:rsidRDefault="003B11C6">
      <w:pPr>
        <w:spacing w:before="240" w:after="240" w:line="360" w:lineRule="auto"/>
        <w:ind w:right="49"/>
        <w:jc w:val="both"/>
        <w:rPr>
          <w:rFonts w:ascii="Palatino Linotype" w:eastAsia="Palatino Linotype" w:hAnsi="Palatino Linotype" w:cs="Palatino Linotype"/>
        </w:rPr>
      </w:pPr>
      <w:r w:rsidRPr="003B372F">
        <w:rPr>
          <w:rFonts w:ascii="Palatino Linotype" w:eastAsia="Palatino Linotype" w:hAnsi="Palatino Linotype" w:cs="Palatino Linotype"/>
        </w:rPr>
        <w:t>Del cuerpo normativo transcrito, se advierte que las unidades de transparencia deberán garantizar que las solicitudes se turnen a todas las áreas que cuenten con la información o que deban tenerla de acuerdo a sus facultades, competencias o funciones.</w:t>
      </w:r>
    </w:p>
    <w:p w:rsidR="00FC4992" w:rsidRPr="003B372F" w:rsidRDefault="003B11C6">
      <w:pPr>
        <w:spacing w:before="240" w:after="240" w:line="360" w:lineRule="auto"/>
        <w:ind w:right="49"/>
        <w:jc w:val="both"/>
        <w:rPr>
          <w:rFonts w:ascii="Palatino Linotype" w:eastAsia="Palatino Linotype" w:hAnsi="Palatino Linotype" w:cs="Palatino Linotype"/>
        </w:rPr>
      </w:pPr>
      <w:r w:rsidRPr="003B372F">
        <w:rPr>
          <w:rFonts w:ascii="Palatino Linotype" w:eastAsia="Palatino Linotype" w:hAnsi="Palatino Linotype" w:cs="Palatino Linotype"/>
        </w:rPr>
        <w:lastRenderedPageBreak/>
        <w:t>Siendo la Unidad de Transparencia la responsable de hacer las notificaciones correspondientes, además de llevar a cabo todo las gestiones necesarias para facilitar el acceso a la información.</w:t>
      </w: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Es así que, por cuanto hace a la inconformidad de la parte </w:t>
      </w:r>
      <w:r w:rsidRPr="003B372F">
        <w:rPr>
          <w:rFonts w:ascii="Palatino Linotype" w:eastAsia="Palatino Linotype" w:hAnsi="Palatino Linotype" w:cs="Palatino Linotype"/>
          <w:b/>
        </w:rPr>
        <w:t>RECURRENTE</w:t>
      </w:r>
      <w:r w:rsidRPr="003B372F">
        <w:rPr>
          <w:rFonts w:ascii="Palatino Linotype" w:eastAsia="Palatino Linotype" w:hAnsi="Palatino Linotype" w:cs="Palatino Linotype"/>
        </w:rPr>
        <w:t xml:space="preserve"> relativa a la ilegibilidad de la respuesta que colmaría la </w:t>
      </w:r>
      <w:r w:rsidRPr="003B372F">
        <w:rPr>
          <w:rFonts w:ascii="Palatino Linotype" w:eastAsia="Palatino Linotype" w:hAnsi="Palatino Linotype" w:cs="Palatino Linotype"/>
          <w:b/>
        </w:rPr>
        <w:t xml:space="preserve">interrogante del presupuesto que tiene la defensoría Municipal de derechos humanos, </w:t>
      </w:r>
      <w:r w:rsidRPr="003B372F">
        <w:rPr>
          <w:rFonts w:ascii="Palatino Linotype" w:eastAsia="Palatino Linotype" w:hAnsi="Palatino Linotype" w:cs="Palatino Linotype"/>
        </w:rPr>
        <w:t>es</w:t>
      </w:r>
      <w:r w:rsidRPr="003B372F">
        <w:rPr>
          <w:rFonts w:ascii="Palatino Linotype" w:eastAsia="Palatino Linotype" w:hAnsi="Palatino Linotype" w:cs="Palatino Linotype"/>
          <w:b/>
        </w:rPr>
        <w:t xml:space="preserve"> </w:t>
      </w:r>
      <w:r w:rsidRPr="003B372F">
        <w:rPr>
          <w:rFonts w:ascii="Palatino Linotype" w:eastAsia="Palatino Linotype" w:hAnsi="Palatino Linotype" w:cs="Palatino Linotype"/>
        </w:rPr>
        <w:t xml:space="preserve">pertinente referir que el </w:t>
      </w:r>
      <w:r w:rsidRPr="003B372F">
        <w:rPr>
          <w:rFonts w:ascii="Palatino Linotype" w:eastAsia="Palatino Linotype" w:hAnsi="Palatino Linotype" w:cs="Palatino Linotype"/>
          <w:b/>
        </w:rPr>
        <w:t>SUJETO OBLIGADO</w:t>
      </w:r>
      <w:r w:rsidRPr="003B372F">
        <w:rPr>
          <w:rFonts w:ascii="Palatino Linotype" w:eastAsia="Palatino Linotype" w:hAnsi="Palatino Linotype" w:cs="Palatino Linotype"/>
        </w:rPr>
        <w:t xml:space="preserve"> se pronunció desde la respuesta otorgada inicialmente, si bien le asiste la verdad al particular al inconformarse </w:t>
      </w:r>
      <w:r w:rsidR="00E13427" w:rsidRPr="003B372F">
        <w:rPr>
          <w:rFonts w:ascii="Palatino Linotype" w:eastAsia="Palatino Linotype" w:hAnsi="Palatino Linotype" w:cs="Palatino Linotype"/>
        </w:rPr>
        <w:t>porque</w:t>
      </w:r>
      <w:r w:rsidRPr="003B372F">
        <w:rPr>
          <w:rFonts w:ascii="Palatino Linotype" w:eastAsia="Palatino Linotype" w:hAnsi="Palatino Linotype" w:cs="Palatino Linotype"/>
        </w:rPr>
        <w:t xml:space="preserve"> no es legible la respuesta, también es cierto que, mediante Informe Justificado, a través del oficio 97/TM/05/2022 signado por el L. A. E. José Octavio Flores Pérez, Tesorero Municipal del ayuntamiento de Aculco, fue solventada la respuesta a la solicitud, tal como se muestra a continuación: </w:t>
      </w:r>
    </w:p>
    <w:p w:rsidR="00FC4992" w:rsidRPr="003B372F" w:rsidRDefault="003B11C6">
      <w:pPr>
        <w:spacing w:line="360" w:lineRule="auto"/>
        <w:jc w:val="both"/>
        <w:rPr>
          <w:rFonts w:ascii="Palatino Linotype" w:eastAsia="Palatino Linotype" w:hAnsi="Palatino Linotype" w:cs="Palatino Linotype"/>
        </w:rPr>
      </w:pPr>
      <w:r w:rsidRPr="003B372F">
        <w:rPr>
          <w:noProof/>
          <w:lang w:val="es-MX" w:eastAsia="es-MX"/>
        </w:rPr>
        <mc:AlternateContent>
          <mc:Choice Requires="wpg">
            <w:drawing>
              <wp:anchor distT="0" distB="0" distL="114300" distR="114300" simplePos="0" relativeHeight="251659264" behindDoc="0" locked="0" layoutInCell="1" hidden="0" allowOverlap="1">
                <wp:simplePos x="0" y="0"/>
                <wp:positionH relativeFrom="column">
                  <wp:posOffset>25401</wp:posOffset>
                </wp:positionH>
                <wp:positionV relativeFrom="paragraph">
                  <wp:posOffset>76200</wp:posOffset>
                </wp:positionV>
                <wp:extent cx="5551170" cy="4701540"/>
                <wp:effectExtent l="0" t="0" r="0" b="0"/>
                <wp:wrapNone/>
                <wp:docPr id="299" name="Conector recto de flecha 299"/>
                <wp:cNvGraphicFramePr/>
                <a:graphic xmlns:a="http://schemas.openxmlformats.org/drawingml/2006/main">
                  <a:graphicData uri="http://schemas.microsoft.com/office/word/2010/wordprocessingShape">
                    <wps:wsp>
                      <wps:cNvCnPr/>
                      <wps:spPr>
                        <a:xfrm>
                          <a:off x="2579940" y="1438755"/>
                          <a:ext cx="5532120" cy="4682490"/>
                        </a:xfrm>
                        <a:prstGeom prst="straightConnector1">
                          <a:avLst/>
                        </a:prstGeom>
                        <a:noFill/>
                        <a:ln w="19050" cap="flat" cmpd="sng">
                          <a:solidFill>
                            <a:schemeClr val="accent1"/>
                          </a:solidFill>
                          <a:prstDash val="solid"/>
                          <a:miter lim="800000"/>
                          <a:headEnd type="none" w="sm" len="sm"/>
                          <a:tailEnd type="none" w="sm" len="sm"/>
                        </a:ln>
                      </wps:spPr>
                      <wps:bodyPr/>
                    </wps:wsp>
                  </a:graphicData>
                </a:graphic>
              </wp:anchor>
            </w:drawing>
          </mc:Choice>
          <mc:Fallback xmlns:cx="http://schemas.microsoft.com/office/drawing/2014/chartex"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25401</wp:posOffset>
                </wp:positionH>
                <wp:positionV relativeFrom="paragraph">
                  <wp:posOffset>76200</wp:posOffset>
                </wp:positionV>
                <wp:extent cx="5551170" cy="4701540"/>
                <wp:effectExtent b="0" l="0" r="0" t="0"/>
                <wp:wrapNone/>
                <wp:docPr id="299"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5551170" cy="4701540"/>
                        </a:xfrm>
                        <a:prstGeom prst="rect"/>
                        <a:ln/>
                      </pic:spPr>
                    </pic:pic>
                  </a:graphicData>
                </a:graphic>
              </wp:anchor>
            </w:drawing>
          </mc:Fallback>
        </mc:AlternateContent>
      </w: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noProof/>
          <w:lang w:val="es-MX" w:eastAsia="es-MX"/>
        </w:rPr>
        <w:lastRenderedPageBreak/>
        <w:drawing>
          <wp:inline distT="0" distB="0" distL="0" distR="0">
            <wp:extent cx="5596278" cy="7206911"/>
            <wp:effectExtent l="19050" t="19050" r="19050" b="19050"/>
            <wp:docPr id="303" name="image2.png" descr="Interfaz de usuario gráfic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10;&#10;Descripción generada automáticamente con confianza media"/>
                    <pic:cNvPicPr preferRelativeResize="0"/>
                  </pic:nvPicPr>
                  <pic:blipFill>
                    <a:blip r:embed="rId12"/>
                    <a:srcRect l="30886" t="20143" r="32408" b="8951"/>
                    <a:stretch>
                      <a:fillRect/>
                    </a:stretch>
                  </pic:blipFill>
                  <pic:spPr>
                    <a:xfrm>
                      <a:off x="0" y="0"/>
                      <a:ext cx="5596278" cy="7206911"/>
                    </a:xfrm>
                    <a:prstGeom prst="rect">
                      <a:avLst/>
                    </a:prstGeom>
                    <a:ln w="19050">
                      <a:solidFill>
                        <a:srgbClr val="5B9BD5"/>
                      </a:solidFill>
                      <a:prstDash val="solid"/>
                    </a:ln>
                  </pic:spPr>
                </pic:pic>
              </a:graphicData>
            </a:graphic>
          </wp:inline>
        </w:drawing>
      </w:r>
    </w:p>
    <w:p w:rsidR="00FC4992" w:rsidRPr="003B372F" w:rsidRDefault="003B11C6">
      <w:pPr>
        <w:spacing w:line="360" w:lineRule="auto"/>
        <w:jc w:val="both"/>
        <w:rPr>
          <w:rFonts w:ascii="Palatino Linotype" w:eastAsia="Palatino Linotype" w:hAnsi="Palatino Linotype" w:cs="Palatino Linotype"/>
          <w:b/>
        </w:rPr>
      </w:pPr>
      <w:r w:rsidRPr="003B372F">
        <w:rPr>
          <w:rFonts w:ascii="Palatino Linotype" w:eastAsia="Palatino Linotype" w:hAnsi="Palatino Linotype" w:cs="Palatino Linotype"/>
        </w:rPr>
        <w:t xml:space="preserve">         </w:t>
      </w:r>
    </w:p>
    <w:p w:rsidR="00FC4992" w:rsidRPr="003B372F" w:rsidRDefault="003B11C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lastRenderedPageBreak/>
        <w:t xml:space="preserve">En este sentido, resulta pertinente traer a colación la función que tiene la Tesorería municipal contenida en el artículo 93 de la Ley Orgánica Municipal del Estado de México: </w:t>
      </w:r>
    </w:p>
    <w:p w:rsidR="00FC4992" w:rsidRPr="003B372F" w:rsidRDefault="003B11C6">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rPr>
        <w:t>“</w:t>
      </w:r>
      <w:r w:rsidRPr="003B372F">
        <w:rPr>
          <w:rFonts w:ascii="Palatino Linotype" w:eastAsia="Palatino Linotype" w:hAnsi="Palatino Linotype" w:cs="Palatino Linotype"/>
          <w:b/>
          <w:i/>
          <w:sz w:val="22"/>
          <w:szCs w:val="22"/>
        </w:rPr>
        <w:t>Artículo 93.-</w:t>
      </w:r>
      <w:r w:rsidRPr="003B372F">
        <w:rPr>
          <w:rFonts w:ascii="Palatino Linotype" w:eastAsia="Palatino Linotype" w:hAnsi="Palatino Linotype" w:cs="Palatino Linotype"/>
          <w:i/>
          <w:sz w:val="22"/>
          <w:szCs w:val="22"/>
        </w:rPr>
        <w:t xml:space="preserve"> La tesorería municipal es el órgano encargado de la recaudación de los ingresos municipales y responsable de realizar las erogaciones que haga el ayuntamiento.</w:t>
      </w:r>
    </w:p>
    <w:p w:rsidR="00FC4992" w:rsidRPr="003B372F" w:rsidRDefault="003B11C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En este sentido, la referida normatividad establece en su artículo 95 las atribuciones conferidas al Titular de la Tesorería Municipal como se muestra:</w:t>
      </w:r>
    </w:p>
    <w:p w:rsidR="00FC4992" w:rsidRPr="003B372F" w:rsidRDefault="003B11C6">
      <w:pPr>
        <w:pBdr>
          <w:top w:val="nil"/>
          <w:left w:val="nil"/>
          <w:bottom w:val="nil"/>
          <w:right w:val="nil"/>
          <w:between w:val="nil"/>
        </w:pBdr>
        <w:spacing w:before="240" w:after="240" w:line="276" w:lineRule="auto"/>
        <w:ind w:left="708"/>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z w:val="22"/>
          <w:szCs w:val="22"/>
        </w:rPr>
        <w:t xml:space="preserve">“Artículo 95.- </w:t>
      </w:r>
      <w:r w:rsidRPr="003B372F">
        <w:rPr>
          <w:rFonts w:ascii="Palatino Linotype" w:eastAsia="Palatino Linotype" w:hAnsi="Palatino Linotype" w:cs="Palatino Linotype"/>
          <w:i/>
          <w:sz w:val="22"/>
          <w:szCs w:val="22"/>
        </w:rPr>
        <w:t>Son atribuciones del tesorero municipal:</w:t>
      </w:r>
    </w:p>
    <w:p w:rsidR="00FC4992" w:rsidRPr="003B372F" w:rsidRDefault="003B11C6">
      <w:pPr>
        <w:pBdr>
          <w:top w:val="nil"/>
          <w:left w:val="nil"/>
          <w:bottom w:val="nil"/>
          <w:right w:val="nil"/>
          <w:between w:val="nil"/>
        </w:pBdr>
        <w:spacing w:before="240" w:after="240" w:line="276" w:lineRule="auto"/>
        <w:ind w:left="708"/>
        <w:jc w:val="both"/>
        <w:rPr>
          <w:rFonts w:ascii="Palatino Linotype" w:eastAsia="Palatino Linotype" w:hAnsi="Palatino Linotype" w:cs="Palatino Linotype"/>
          <w:b/>
          <w:i/>
          <w:sz w:val="22"/>
          <w:szCs w:val="22"/>
          <w:u w:val="single"/>
        </w:rPr>
      </w:pPr>
      <w:r w:rsidRPr="003B372F">
        <w:rPr>
          <w:rFonts w:ascii="Palatino Linotype" w:eastAsia="Palatino Linotype" w:hAnsi="Palatino Linotype" w:cs="Palatino Linotype"/>
          <w:b/>
          <w:i/>
          <w:sz w:val="22"/>
          <w:szCs w:val="22"/>
          <w:u w:val="single"/>
        </w:rPr>
        <w:t>I. Administrar la hacienda pública municipal, de conformidad con las disposiciones legales aplicables;</w:t>
      </w:r>
    </w:p>
    <w:p w:rsidR="00FC4992" w:rsidRPr="003B372F" w:rsidRDefault="003B11C6">
      <w:pPr>
        <w:pBdr>
          <w:top w:val="nil"/>
          <w:left w:val="nil"/>
          <w:bottom w:val="nil"/>
          <w:right w:val="nil"/>
          <w:between w:val="nil"/>
        </w:pBdr>
        <w:spacing w:before="240" w:after="240" w:line="276" w:lineRule="auto"/>
        <w:ind w:left="708"/>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i/>
          <w:sz w:val="22"/>
          <w:szCs w:val="22"/>
        </w:rPr>
        <w:t>II. Determinar, liquidar, recaudar, fiscalizar y administrar las contribuciones en los términos de los ordenamientos jurídicos aplicables y, en su caso, aplicar el procedimiento administrativo de ejecución en términos de las disposiciones aplicables;</w:t>
      </w:r>
    </w:p>
    <w:p w:rsidR="00FC4992" w:rsidRPr="003B372F" w:rsidRDefault="003B11C6">
      <w:pPr>
        <w:pBdr>
          <w:top w:val="nil"/>
          <w:left w:val="nil"/>
          <w:bottom w:val="nil"/>
          <w:right w:val="nil"/>
          <w:between w:val="nil"/>
        </w:pBdr>
        <w:spacing w:before="240" w:after="240" w:line="276" w:lineRule="auto"/>
        <w:ind w:left="708"/>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i/>
          <w:sz w:val="22"/>
          <w:szCs w:val="22"/>
        </w:rPr>
        <w:t>III. Imponer las sanciones administrativas que procedan por infracciones a las disposiciones fiscales;</w:t>
      </w:r>
    </w:p>
    <w:p w:rsidR="00FC4992" w:rsidRPr="003B372F" w:rsidRDefault="003B11C6">
      <w:pPr>
        <w:pBdr>
          <w:top w:val="nil"/>
          <w:left w:val="nil"/>
          <w:bottom w:val="nil"/>
          <w:right w:val="nil"/>
          <w:between w:val="nil"/>
        </w:pBdr>
        <w:spacing w:before="240" w:after="240" w:line="276" w:lineRule="auto"/>
        <w:ind w:left="708"/>
        <w:jc w:val="both"/>
        <w:rPr>
          <w:rFonts w:ascii="Palatino Linotype" w:eastAsia="Palatino Linotype" w:hAnsi="Palatino Linotype" w:cs="Palatino Linotype"/>
          <w:b/>
          <w:i/>
          <w:sz w:val="22"/>
          <w:szCs w:val="22"/>
          <w:u w:val="single"/>
        </w:rPr>
      </w:pPr>
      <w:r w:rsidRPr="003B372F">
        <w:rPr>
          <w:rFonts w:ascii="Palatino Linotype" w:eastAsia="Palatino Linotype" w:hAnsi="Palatino Linotype" w:cs="Palatino Linotype"/>
          <w:b/>
          <w:i/>
          <w:sz w:val="22"/>
          <w:szCs w:val="22"/>
          <w:u w:val="single"/>
        </w:rPr>
        <w:t>IV. Llevar los registros contables, financieros y administrativos de los ingresos, egresos, e inventarios;</w:t>
      </w:r>
    </w:p>
    <w:p w:rsidR="00FC4992" w:rsidRPr="003B372F" w:rsidRDefault="003B11C6">
      <w:pPr>
        <w:pBdr>
          <w:top w:val="nil"/>
          <w:left w:val="nil"/>
          <w:bottom w:val="nil"/>
          <w:right w:val="nil"/>
          <w:between w:val="nil"/>
        </w:pBdr>
        <w:spacing w:before="240" w:after="240" w:line="276" w:lineRule="auto"/>
        <w:ind w:left="708"/>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i/>
          <w:sz w:val="22"/>
          <w:szCs w:val="22"/>
        </w:rPr>
        <w:t>V. Proporcionar oportunamente al ayuntamiento todos los datos o informes que sean necesarios para la formulación del Presupuesto de Egresos Municipales, vigilando que se ajuste a las disposiciones de esta Ley y otros ordenamientos aplicables;</w:t>
      </w:r>
    </w:p>
    <w:p w:rsidR="00FC4992" w:rsidRPr="003B372F" w:rsidRDefault="003B11C6">
      <w:pPr>
        <w:pBdr>
          <w:top w:val="nil"/>
          <w:left w:val="nil"/>
          <w:bottom w:val="nil"/>
          <w:right w:val="nil"/>
          <w:between w:val="nil"/>
        </w:pBdr>
        <w:spacing w:before="240" w:after="240" w:line="276" w:lineRule="auto"/>
        <w:ind w:left="708"/>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i/>
          <w:sz w:val="22"/>
          <w:szCs w:val="22"/>
        </w:rPr>
        <w:t>VI. Presentar anualmente al ayuntamiento un informe de la situación contable financiera de la Tesorería Municipal;</w:t>
      </w:r>
    </w:p>
    <w:p w:rsidR="00FC4992" w:rsidRPr="003B372F" w:rsidRDefault="003B11C6">
      <w:pPr>
        <w:pBdr>
          <w:top w:val="nil"/>
          <w:left w:val="nil"/>
          <w:bottom w:val="nil"/>
          <w:right w:val="nil"/>
          <w:between w:val="nil"/>
        </w:pBdr>
        <w:spacing w:before="240" w:after="240" w:line="276" w:lineRule="auto"/>
        <w:ind w:left="708"/>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i/>
          <w:sz w:val="22"/>
          <w:szCs w:val="22"/>
        </w:rPr>
        <w:t>VI Bis. Proporcionar para la formulación del proyecto de Presupuesto de Egresos Municipales la información financiera relativa a la solución o en su caso, el pago de los litigios laborales;</w:t>
      </w:r>
    </w:p>
    <w:p w:rsidR="00FC4992" w:rsidRPr="003B372F" w:rsidRDefault="003B11C6">
      <w:pPr>
        <w:pBdr>
          <w:top w:val="nil"/>
          <w:left w:val="nil"/>
          <w:bottom w:val="nil"/>
          <w:right w:val="nil"/>
          <w:between w:val="nil"/>
        </w:pBdr>
        <w:spacing w:before="240" w:after="240" w:line="276" w:lineRule="auto"/>
        <w:ind w:left="708"/>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i/>
          <w:sz w:val="22"/>
          <w:szCs w:val="22"/>
        </w:rPr>
        <w:lastRenderedPageBreak/>
        <w:t>VII. Diseñar y aprobar las formas oficiales de manifestaciones, avisos y declaraciones y demás documentos requeridos;</w:t>
      </w:r>
    </w:p>
    <w:p w:rsidR="00FC4992" w:rsidRPr="003B372F" w:rsidRDefault="003B11C6">
      <w:pPr>
        <w:pBdr>
          <w:top w:val="nil"/>
          <w:left w:val="nil"/>
          <w:bottom w:val="nil"/>
          <w:right w:val="nil"/>
          <w:between w:val="nil"/>
        </w:pBdr>
        <w:spacing w:before="240" w:after="240" w:line="276" w:lineRule="auto"/>
        <w:ind w:left="708"/>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i/>
          <w:sz w:val="22"/>
          <w:szCs w:val="22"/>
        </w:rPr>
        <w:t>VIII. Participar en la formulación de Convenios Fiscales y ejercer las atribuciones que le correspondan en el ámbito de su competencia;</w:t>
      </w:r>
    </w:p>
    <w:p w:rsidR="00FC4992" w:rsidRPr="003B372F" w:rsidRDefault="003B11C6">
      <w:pPr>
        <w:pBdr>
          <w:top w:val="nil"/>
          <w:left w:val="nil"/>
          <w:bottom w:val="nil"/>
          <w:right w:val="nil"/>
          <w:between w:val="nil"/>
        </w:pBdr>
        <w:spacing w:before="240" w:after="240" w:line="276" w:lineRule="auto"/>
        <w:ind w:left="708"/>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i/>
          <w:sz w:val="22"/>
          <w:szCs w:val="22"/>
        </w:rPr>
        <w:t>IX. Proponer al ayuntamiento la cancelación de cuentas incobrables;</w:t>
      </w:r>
    </w:p>
    <w:p w:rsidR="00FC4992" w:rsidRPr="003B372F" w:rsidRDefault="003B11C6">
      <w:pPr>
        <w:pBdr>
          <w:top w:val="nil"/>
          <w:left w:val="nil"/>
          <w:bottom w:val="nil"/>
          <w:right w:val="nil"/>
          <w:between w:val="nil"/>
        </w:pBdr>
        <w:spacing w:before="240" w:after="240" w:line="276" w:lineRule="auto"/>
        <w:ind w:left="708"/>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i/>
          <w:sz w:val="22"/>
          <w:szCs w:val="22"/>
        </w:rPr>
        <w:t>X. Custodiar y ejercer las garantías que se otorguen en favor de la hacienda municipal;</w:t>
      </w:r>
    </w:p>
    <w:p w:rsidR="00FC4992" w:rsidRPr="003B372F" w:rsidRDefault="003B11C6">
      <w:pPr>
        <w:pBdr>
          <w:top w:val="nil"/>
          <w:left w:val="nil"/>
          <w:bottom w:val="nil"/>
          <w:right w:val="nil"/>
          <w:between w:val="nil"/>
        </w:pBdr>
        <w:spacing w:before="240" w:after="240" w:line="276" w:lineRule="auto"/>
        <w:ind w:left="708"/>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i/>
          <w:sz w:val="22"/>
          <w:szCs w:val="22"/>
        </w:rPr>
        <w:t>XI. Proponer la política de ingresos de la tesorería municipal;</w:t>
      </w:r>
    </w:p>
    <w:p w:rsidR="00FC4992" w:rsidRPr="003B372F" w:rsidRDefault="003B11C6">
      <w:pPr>
        <w:pBdr>
          <w:top w:val="nil"/>
          <w:left w:val="nil"/>
          <w:bottom w:val="nil"/>
          <w:right w:val="nil"/>
          <w:between w:val="nil"/>
        </w:pBdr>
        <w:spacing w:before="240" w:after="240" w:line="276" w:lineRule="auto"/>
        <w:ind w:left="708"/>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i/>
          <w:sz w:val="22"/>
          <w:szCs w:val="22"/>
        </w:rPr>
        <w:t>XII. Intervenir en la elaboración del programa financiero municipal;</w:t>
      </w:r>
    </w:p>
    <w:p w:rsidR="00FC4992" w:rsidRPr="003B372F" w:rsidRDefault="003B11C6">
      <w:pPr>
        <w:pBdr>
          <w:top w:val="nil"/>
          <w:left w:val="nil"/>
          <w:bottom w:val="nil"/>
          <w:right w:val="nil"/>
          <w:between w:val="nil"/>
        </w:pBdr>
        <w:spacing w:before="240" w:after="240" w:line="276" w:lineRule="auto"/>
        <w:ind w:left="708"/>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i/>
          <w:sz w:val="22"/>
          <w:szCs w:val="22"/>
        </w:rPr>
        <w:t>XIII. Elaborar y mantener actualizado el Padrón de Contribuyentes;</w:t>
      </w:r>
    </w:p>
    <w:p w:rsidR="00FC4992" w:rsidRPr="003B372F" w:rsidRDefault="003B11C6">
      <w:pPr>
        <w:pBdr>
          <w:top w:val="nil"/>
          <w:left w:val="nil"/>
          <w:bottom w:val="nil"/>
          <w:right w:val="nil"/>
          <w:between w:val="nil"/>
        </w:pBdr>
        <w:spacing w:before="240" w:after="240" w:line="276" w:lineRule="auto"/>
        <w:ind w:left="708"/>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i/>
          <w:sz w:val="22"/>
          <w:szCs w:val="22"/>
        </w:rPr>
        <w:t>XIV. Ministrar a su inmediato antecesor todos los datos oficiales que le solicitare, para contestar los pliegos de observaciones y alcances que formule y deduzca el Órgano Superior de Fiscalización del Estado de México;</w:t>
      </w:r>
    </w:p>
    <w:p w:rsidR="00FC4992" w:rsidRPr="003B372F" w:rsidRDefault="003B11C6">
      <w:pPr>
        <w:pBdr>
          <w:top w:val="nil"/>
          <w:left w:val="nil"/>
          <w:bottom w:val="nil"/>
          <w:right w:val="nil"/>
          <w:between w:val="nil"/>
        </w:pBdr>
        <w:spacing w:before="240" w:after="240" w:line="276" w:lineRule="auto"/>
        <w:ind w:left="708"/>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i/>
          <w:sz w:val="22"/>
          <w:szCs w:val="22"/>
        </w:rPr>
        <w:t>XV. Solicitar a las instancias competentes, la práctica de revisiones circunstanciadas, de conformidad con las normas que rigen en materia de control y evaluación gubernamental en el ámbito municipal;</w:t>
      </w:r>
    </w:p>
    <w:p w:rsidR="00FC4992" w:rsidRPr="003B372F" w:rsidRDefault="003B11C6">
      <w:pPr>
        <w:pBdr>
          <w:top w:val="nil"/>
          <w:left w:val="nil"/>
          <w:bottom w:val="nil"/>
          <w:right w:val="nil"/>
          <w:between w:val="nil"/>
        </w:pBdr>
        <w:spacing w:before="240" w:after="240" w:line="276" w:lineRule="auto"/>
        <w:ind w:left="708"/>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i/>
          <w:sz w:val="22"/>
          <w:szCs w:val="22"/>
        </w:rPr>
        <w:t>XVI. Glosar oportunamente las cuentas del ayuntamiento;</w:t>
      </w:r>
    </w:p>
    <w:p w:rsidR="00FC4992" w:rsidRPr="003B372F" w:rsidRDefault="003B11C6">
      <w:pPr>
        <w:pBdr>
          <w:top w:val="nil"/>
          <w:left w:val="nil"/>
          <w:bottom w:val="nil"/>
          <w:right w:val="nil"/>
          <w:between w:val="nil"/>
        </w:pBdr>
        <w:spacing w:before="240" w:after="240" w:line="276" w:lineRule="auto"/>
        <w:ind w:left="708"/>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i/>
          <w:sz w:val="22"/>
          <w:szCs w:val="22"/>
        </w:rPr>
        <w:t>XVII. Contestar oportunamente los pliegos de observaciones y responsabilidad que haga el Órgano Superior de Fiscalización del Estado de México, así como atender en tiempo y forma las solicitudes de información que éste requiera, informando al Ayuntamiento;</w:t>
      </w:r>
    </w:p>
    <w:p w:rsidR="00FC4992" w:rsidRPr="003B372F" w:rsidRDefault="003B11C6">
      <w:pPr>
        <w:pBdr>
          <w:top w:val="nil"/>
          <w:left w:val="nil"/>
          <w:bottom w:val="nil"/>
          <w:right w:val="nil"/>
          <w:between w:val="nil"/>
        </w:pBdr>
        <w:spacing w:before="240" w:after="240" w:line="276" w:lineRule="auto"/>
        <w:ind w:left="708"/>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i/>
          <w:sz w:val="22"/>
          <w:szCs w:val="22"/>
        </w:rPr>
        <w:t>XVIII. Expedir copias certificadas de los documentos a su cuidado, por acuerdo expreso del Ayuntamiento y cuando se trate de documentación presentada ante el Órgano Superior de Fiscalización del Estado de México;</w:t>
      </w:r>
    </w:p>
    <w:p w:rsidR="00FC4992" w:rsidRPr="003B372F" w:rsidRDefault="003B11C6">
      <w:pPr>
        <w:pBdr>
          <w:top w:val="nil"/>
          <w:left w:val="nil"/>
          <w:bottom w:val="nil"/>
          <w:right w:val="nil"/>
          <w:between w:val="nil"/>
        </w:pBdr>
        <w:spacing w:before="240" w:after="240" w:line="276" w:lineRule="auto"/>
        <w:ind w:left="708"/>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i/>
          <w:sz w:val="22"/>
          <w:szCs w:val="22"/>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w:t>
      </w:r>
      <w:r w:rsidRPr="003B372F">
        <w:rPr>
          <w:rFonts w:ascii="Palatino Linotype" w:eastAsia="Palatino Linotype" w:hAnsi="Palatino Linotype" w:cs="Palatino Linotype"/>
          <w:i/>
          <w:sz w:val="22"/>
          <w:szCs w:val="22"/>
        </w:rPr>
        <w:lastRenderedPageBreak/>
        <w:t>infracciones impuestas por las autoridades competentes, por la inobservancia de las diversas disposiciones y ordenamientos legales, constituyendo los créditos fiscales correspondientes;</w:t>
      </w:r>
    </w:p>
    <w:p w:rsidR="00FC4992" w:rsidRPr="003B372F" w:rsidRDefault="003B11C6">
      <w:pPr>
        <w:pBdr>
          <w:top w:val="nil"/>
          <w:left w:val="nil"/>
          <w:bottom w:val="nil"/>
          <w:right w:val="nil"/>
          <w:between w:val="nil"/>
        </w:pBdr>
        <w:spacing w:before="240" w:after="240" w:line="276" w:lineRule="auto"/>
        <w:ind w:left="708"/>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i/>
          <w:sz w:val="22"/>
          <w:szCs w:val="22"/>
        </w:rPr>
        <w:t>XX. Dar cumplimiento a las leyes, convenios de coordinación fiscal y demás que en materia hacendaria celebre el Ayuntamiento con el Estado;</w:t>
      </w:r>
    </w:p>
    <w:p w:rsidR="00FC4992" w:rsidRPr="003B372F" w:rsidRDefault="003B11C6">
      <w:pPr>
        <w:pBdr>
          <w:top w:val="nil"/>
          <w:left w:val="nil"/>
          <w:bottom w:val="nil"/>
          <w:right w:val="nil"/>
          <w:between w:val="nil"/>
        </w:pBdr>
        <w:spacing w:before="240" w:after="240" w:line="276" w:lineRule="auto"/>
        <w:ind w:left="708"/>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i/>
          <w:sz w:val="22"/>
          <w:szCs w:val="22"/>
        </w:rPr>
        <w:t>XXI. Entregar oportunamente a él o los Síndicos, según sea el caso, el informe mensual que corresponda, a fin de que se revise, y de ser necesario, para que se formulen las observaciones respectivas.</w:t>
      </w:r>
    </w:p>
    <w:p w:rsidR="00FC4992" w:rsidRPr="003B372F" w:rsidRDefault="003B11C6">
      <w:pPr>
        <w:pBdr>
          <w:top w:val="nil"/>
          <w:left w:val="nil"/>
          <w:bottom w:val="nil"/>
          <w:right w:val="nil"/>
          <w:between w:val="nil"/>
        </w:pBdr>
        <w:spacing w:before="240" w:after="240" w:line="276" w:lineRule="auto"/>
        <w:ind w:firstLine="708"/>
        <w:jc w:val="both"/>
        <w:rPr>
          <w:rFonts w:ascii="Palatino Linotype" w:eastAsia="Palatino Linotype" w:hAnsi="Palatino Linotype" w:cs="Palatino Linotype"/>
          <w:sz w:val="22"/>
          <w:szCs w:val="22"/>
        </w:rPr>
      </w:pPr>
      <w:r w:rsidRPr="003B372F">
        <w:rPr>
          <w:rFonts w:ascii="Palatino Linotype" w:eastAsia="Palatino Linotype" w:hAnsi="Palatino Linotype" w:cs="Palatino Linotype"/>
          <w:i/>
          <w:sz w:val="22"/>
          <w:szCs w:val="22"/>
        </w:rPr>
        <w:t>XXII. Las que les señalen las demás disposiciones legales y el ayuntamiento. “</w:t>
      </w:r>
      <w:r w:rsidRPr="003B372F">
        <w:rPr>
          <w:rFonts w:ascii="Palatino Linotype" w:eastAsia="Palatino Linotype" w:hAnsi="Palatino Linotype" w:cs="Palatino Linotype"/>
          <w:sz w:val="22"/>
          <w:szCs w:val="22"/>
        </w:rPr>
        <w:t xml:space="preserve">   </w:t>
      </w:r>
    </w:p>
    <w:p w:rsidR="00FC4992" w:rsidRPr="003B372F" w:rsidRDefault="00FC499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rsidR="00FC4992" w:rsidRPr="003B372F" w:rsidRDefault="003B11C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Por su parte, el artículo 3.19 del Código Reglamentario de Toluca a la letra reza:    </w:t>
      </w:r>
    </w:p>
    <w:p w:rsidR="00FC4992" w:rsidRPr="003B372F" w:rsidRDefault="003B11C6">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z w:val="22"/>
          <w:szCs w:val="22"/>
        </w:rPr>
        <w:t>“Artículo 3.19.</w:t>
      </w:r>
      <w:r w:rsidRPr="003B372F">
        <w:rPr>
          <w:rFonts w:ascii="Palatino Linotype" w:eastAsia="Palatino Linotype" w:hAnsi="Palatino Linotype" w:cs="Palatino Linotype"/>
          <w:i/>
          <w:sz w:val="22"/>
          <w:szCs w:val="22"/>
        </w:rPr>
        <w:t xml:space="preserve"> La o el titular de la Tesorería Municipal tendrá las siguientes atribuciones:</w:t>
      </w:r>
      <w:r w:rsidRPr="003B372F">
        <w:rPr>
          <w:rFonts w:ascii="Palatino Linotype" w:eastAsia="Palatino Linotype" w:hAnsi="Palatino Linotype" w:cs="Palatino Linotype"/>
          <w:b/>
          <w:i/>
          <w:sz w:val="22"/>
          <w:szCs w:val="22"/>
        </w:rPr>
        <w:t xml:space="preserve"> </w:t>
      </w:r>
    </w:p>
    <w:p w:rsidR="00FC4992" w:rsidRPr="003B372F" w:rsidRDefault="003B11C6">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z w:val="22"/>
          <w:szCs w:val="22"/>
        </w:rPr>
        <w:t xml:space="preserve">I. </w:t>
      </w:r>
      <w:r w:rsidRPr="003B372F">
        <w:rPr>
          <w:rFonts w:ascii="Palatino Linotype" w:eastAsia="Palatino Linotype" w:hAnsi="Palatino Linotype" w:cs="Palatino Linotype"/>
          <w:i/>
          <w:sz w:val="22"/>
          <w:szCs w:val="22"/>
        </w:rPr>
        <w:t xml:space="preserve">Coordinar la orientación técnica a los contribuyentes en el cumplimiento de sus obligaciones fiscales, el calendario de aplicación de las disposiciones tributarias y los procedimientos para su debida observancia; </w:t>
      </w:r>
    </w:p>
    <w:p w:rsidR="00FC4992" w:rsidRPr="003B372F" w:rsidRDefault="003B11C6">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z w:val="22"/>
          <w:szCs w:val="22"/>
        </w:rPr>
        <w:t xml:space="preserve">II. </w:t>
      </w:r>
      <w:r w:rsidRPr="003B372F">
        <w:rPr>
          <w:rFonts w:ascii="Palatino Linotype" w:eastAsia="Palatino Linotype" w:hAnsi="Palatino Linotype" w:cs="Palatino Linotype"/>
          <w:i/>
          <w:sz w:val="22"/>
          <w:szCs w:val="22"/>
        </w:rPr>
        <w:t xml:space="preserve">Proporcionar la asesoría en materia de interpretación y aplicación de las leyes tributarias que le sea solicitada por el Ayuntamiento, la administración pública municipal y las o los contribuyentes; </w:t>
      </w:r>
    </w:p>
    <w:p w:rsidR="00FC4992" w:rsidRPr="003B372F" w:rsidRDefault="003B11C6">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z w:val="22"/>
          <w:szCs w:val="22"/>
        </w:rPr>
        <w:t xml:space="preserve">III. </w:t>
      </w:r>
      <w:r w:rsidRPr="003B372F">
        <w:rPr>
          <w:rFonts w:ascii="Palatino Linotype" w:eastAsia="Palatino Linotype" w:hAnsi="Palatino Linotype" w:cs="Palatino Linotype"/>
          <w:i/>
          <w:sz w:val="22"/>
          <w:szCs w:val="22"/>
        </w:rPr>
        <w:t xml:space="preserve">Aplicar el procedimiento administrativo de ejecución para recuperar y/o cancelar los créditos fiscales, cuentas incobrables y cuentas incosteables; </w:t>
      </w:r>
    </w:p>
    <w:p w:rsidR="00FC4992" w:rsidRPr="003B372F" w:rsidRDefault="003B11C6">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z w:val="22"/>
          <w:szCs w:val="22"/>
        </w:rPr>
        <w:t xml:space="preserve">IV. </w:t>
      </w:r>
      <w:r w:rsidRPr="003B372F">
        <w:rPr>
          <w:rFonts w:ascii="Palatino Linotype" w:eastAsia="Palatino Linotype" w:hAnsi="Palatino Linotype" w:cs="Palatino Linotype"/>
          <w:i/>
          <w:sz w:val="22"/>
          <w:szCs w:val="22"/>
        </w:rPr>
        <w:t xml:space="preserve">Emitir las políticas que en materia de ejercicio presupuestal sean de observancia por las dependencias municipales; </w:t>
      </w:r>
    </w:p>
    <w:p w:rsidR="00FC4992" w:rsidRPr="003B372F" w:rsidRDefault="003B11C6">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z w:val="22"/>
          <w:szCs w:val="22"/>
        </w:rPr>
        <w:t xml:space="preserve">V. </w:t>
      </w:r>
      <w:r w:rsidRPr="003B372F">
        <w:rPr>
          <w:rFonts w:ascii="Palatino Linotype" w:eastAsia="Palatino Linotype" w:hAnsi="Palatino Linotype" w:cs="Palatino Linotype"/>
          <w:i/>
          <w:sz w:val="22"/>
          <w:szCs w:val="22"/>
        </w:rPr>
        <w:t xml:space="preserve">Proponer las disposiciones de racionalidad, austeridad y disciplina presupuestales; </w:t>
      </w:r>
    </w:p>
    <w:p w:rsidR="00FC4992" w:rsidRPr="003B372F" w:rsidRDefault="003B11C6">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b/>
          <w:i/>
          <w:sz w:val="22"/>
          <w:szCs w:val="22"/>
          <w:u w:val="single"/>
        </w:rPr>
      </w:pPr>
      <w:r w:rsidRPr="003B372F">
        <w:rPr>
          <w:rFonts w:ascii="Palatino Linotype" w:eastAsia="Palatino Linotype" w:hAnsi="Palatino Linotype" w:cs="Palatino Linotype"/>
          <w:b/>
          <w:i/>
          <w:sz w:val="22"/>
          <w:szCs w:val="22"/>
          <w:u w:val="single"/>
        </w:rPr>
        <w:t xml:space="preserve">VI. Otorgar suficiencia presupuestal a las solicitudes de adquisiciones y servicios, así como las ampliaciones del monto del gasto operativo de las dependencias y organismos auxiliares; </w:t>
      </w:r>
    </w:p>
    <w:p w:rsidR="00FC4992" w:rsidRPr="003B372F" w:rsidRDefault="003B11C6">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b/>
          <w:i/>
          <w:sz w:val="22"/>
          <w:szCs w:val="22"/>
          <w:u w:val="single"/>
        </w:rPr>
      </w:pPr>
      <w:r w:rsidRPr="003B372F">
        <w:rPr>
          <w:rFonts w:ascii="Palatino Linotype" w:eastAsia="Palatino Linotype" w:hAnsi="Palatino Linotype" w:cs="Palatino Linotype"/>
          <w:b/>
          <w:i/>
          <w:sz w:val="22"/>
          <w:szCs w:val="22"/>
          <w:u w:val="single"/>
        </w:rPr>
        <w:lastRenderedPageBreak/>
        <w:t xml:space="preserve">VII. Supervisar el registro y control de las operaciones financieras presupuestales y contables, revisar y autorizar la integración de los informes mensuales y la cuenta pública anual del Municipio para que se entregue de manera oportuna y con apego a los lineamientos establecidos en los ordenamientos jurídicos aplicables; </w:t>
      </w:r>
    </w:p>
    <w:p w:rsidR="00FC4992" w:rsidRPr="003B372F" w:rsidRDefault="003B11C6">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z w:val="22"/>
          <w:szCs w:val="22"/>
        </w:rPr>
        <w:t>VIII.</w:t>
      </w:r>
      <w:r w:rsidRPr="003B372F">
        <w:rPr>
          <w:rFonts w:ascii="Palatino Linotype" w:eastAsia="Palatino Linotype" w:hAnsi="Palatino Linotype" w:cs="Palatino Linotype"/>
          <w:i/>
          <w:sz w:val="22"/>
          <w:szCs w:val="22"/>
        </w:rPr>
        <w:t xml:space="preserve"> Coadyuvar con el presidente municipal en los juicios de carácter fiscal que se ventilen ante cualquier tribunal, cuando tenga interés la hacienda pública municipal, así como en la tramitación de los recursos administrativos de inconformidad en materia fiscal que interpongan los contribuyentes; </w:t>
      </w:r>
    </w:p>
    <w:p w:rsidR="00FC4992" w:rsidRPr="003B372F" w:rsidRDefault="003B11C6">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z w:val="22"/>
          <w:szCs w:val="22"/>
        </w:rPr>
        <w:t>IX.</w:t>
      </w:r>
      <w:r w:rsidRPr="003B372F">
        <w:rPr>
          <w:rFonts w:ascii="Palatino Linotype" w:eastAsia="Palatino Linotype" w:hAnsi="Palatino Linotype" w:cs="Palatino Linotype"/>
          <w:i/>
          <w:sz w:val="22"/>
          <w:szCs w:val="22"/>
        </w:rPr>
        <w:t xml:space="preserve"> Verificar que se mantenga actualizada la información catastral del territorio municipal conforme a las disposiciones legales y reglamentarias aplicables en dicha materia; </w:t>
      </w:r>
    </w:p>
    <w:p w:rsidR="00FC4992" w:rsidRPr="003B372F" w:rsidRDefault="003B11C6">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z w:val="22"/>
          <w:szCs w:val="22"/>
        </w:rPr>
        <w:t xml:space="preserve">X. </w:t>
      </w:r>
      <w:r w:rsidRPr="003B372F">
        <w:rPr>
          <w:rFonts w:ascii="Palatino Linotype" w:eastAsia="Palatino Linotype" w:hAnsi="Palatino Linotype" w:cs="Palatino Linotype"/>
          <w:i/>
          <w:sz w:val="22"/>
          <w:szCs w:val="22"/>
        </w:rPr>
        <w:t xml:space="preserve">Corroborar que se lleve a cabo la debida garantía del interés fiscal, cuando así lo determinen las disposiciones legales; </w:t>
      </w:r>
    </w:p>
    <w:p w:rsidR="00FC4992" w:rsidRPr="003B372F" w:rsidRDefault="003B11C6">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z w:val="22"/>
          <w:szCs w:val="22"/>
        </w:rPr>
        <w:t>XI.</w:t>
      </w:r>
      <w:r w:rsidRPr="003B372F">
        <w:rPr>
          <w:rFonts w:ascii="Palatino Linotype" w:eastAsia="Palatino Linotype" w:hAnsi="Palatino Linotype" w:cs="Palatino Linotype"/>
          <w:i/>
          <w:sz w:val="22"/>
          <w:szCs w:val="22"/>
        </w:rPr>
        <w:t xml:space="preserve"> Hacer efectivos los depósitos, fianzas, títulos de crédito y en general cualquier garantía o derecho otorgado para garantizar el interés fiscal, incluyendo el adeudo de intereses o de los accesorios legales generados por pago extemporáneo; </w:t>
      </w:r>
    </w:p>
    <w:p w:rsidR="00FC4992" w:rsidRPr="003B372F" w:rsidRDefault="003B11C6">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z w:val="22"/>
          <w:szCs w:val="22"/>
        </w:rPr>
        <w:t>XII.</w:t>
      </w:r>
      <w:r w:rsidRPr="003B372F">
        <w:rPr>
          <w:rFonts w:ascii="Palatino Linotype" w:eastAsia="Palatino Linotype" w:hAnsi="Palatino Linotype" w:cs="Palatino Linotype"/>
          <w:i/>
          <w:sz w:val="22"/>
          <w:szCs w:val="22"/>
        </w:rPr>
        <w:t xml:space="preserve"> Ejercer en el ámbito de su competencia las atribuciones derivadas del sistema estatal de coordinación hacendaria, así como de los convenios y acuerdos que se celebren en el marco del propio sistema; </w:t>
      </w:r>
    </w:p>
    <w:p w:rsidR="00FC4992" w:rsidRPr="003B372F" w:rsidRDefault="003B11C6">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z w:val="22"/>
          <w:szCs w:val="22"/>
        </w:rPr>
        <w:t>XIII.</w:t>
      </w:r>
      <w:r w:rsidRPr="003B372F">
        <w:rPr>
          <w:rFonts w:ascii="Palatino Linotype" w:eastAsia="Palatino Linotype" w:hAnsi="Palatino Linotype" w:cs="Palatino Linotype"/>
          <w:i/>
          <w:sz w:val="22"/>
          <w:szCs w:val="22"/>
        </w:rPr>
        <w:t xml:space="preserve"> Determinar, liquidar, recaudar, fiscalizar y administrar las contribuciones, aprovechamientos, los productos y en general, todos los ingresos municipales 27 cualquiera que sea su naturaleza, en los términos de los ordenamientos jurídicos aplicables; </w:t>
      </w:r>
    </w:p>
    <w:p w:rsidR="00FC4992" w:rsidRPr="003B372F" w:rsidRDefault="003B11C6">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z w:val="22"/>
          <w:szCs w:val="22"/>
        </w:rPr>
        <w:t>XIV.</w:t>
      </w:r>
      <w:r w:rsidRPr="003B372F">
        <w:rPr>
          <w:rFonts w:ascii="Palatino Linotype" w:eastAsia="Palatino Linotype" w:hAnsi="Palatino Linotype" w:cs="Palatino Linotype"/>
          <w:i/>
          <w:sz w:val="22"/>
          <w:szCs w:val="22"/>
        </w:rPr>
        <w:t xml:space="preserve"> Vigilar que se recauden los ingresos por los distintos conceptos impositivos que señala el Presupuesto y la Ley de Ingresos para el ejercicio fiscal del año en curso; </w:t>
      </w:r>
    </w:p>
    <w:p w:rsidR="00FC4992" w:rsidRPr="003B372F" w:rsidRDefault="003B11C6">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z w:val="22"/>
          <w:szCs w:val="22"/>
        </w:rPr>
        <w:t xml:space="preserve">XV. </w:t>
      </w:r>
      <w:r w:rsidRPr="003B372F">
        <w:rPr>
          <w:rFonts w:ascii="Palatino Linotype" w:eastAsia="Palatino Linotype" w:hAnsi="Palatino Linotype" w:cs="Palatino Linotype"/>
          <w:i/>
          <w:sz w:val="22"/>
          <w:szCs w:val="22"/>
        </w:rPr>
        <w:t xml:space="preserve">Enunciar la política financiera y crediticia del Municipio; </w:t>
      </w:r>
    </w:p>
    <w:p w:rsidR="00FC4992" w:rsidRPr="003B372F" w:rsidRDefault="003B11C6">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z w:val="22"/>
          <w:szCs w:val="22"/>
        </w:rPr>
        <w:t>XVI.</w:t>
      </w:r>
      <w:r w:rsidRPr="003B372F">
        <w:rPr>
          <w:rFonts w:ascii="Palatino Linotype" w:eastAsia="Palatino Linotype" w:hAnsi="Palatino Linotype" w:cs="Palatino Linotype"/>
          <w:i/>
          <w:sz w:val="22"/>
          <w:szCs w:val="22"/>
        </w:rPr>
        <w:t xml:space="preserve"> Proponer al Ayuntamiento los presupuestos de ingresos y egresos los cuales deberán ser elaborados y etiquetados con perspectiva de género, informar de su ejercicio y sugerir las modificaciones, en caso necesario; </w:t>
      </w:r>
    </w:p>
    <w:p w:rsidR="00FC4992" w:rsidRPr="003B372F" w:rsidRDefault="003B11C6">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z w:val="22"/>
          <w:szCs w:val="22"/>
        </w:rPr>
        <w:lastRenderedPageBreak/>
        <w:t>XVII.</w:t>
      </w:r>
      <w:r w:rsidRPr="003B372F">
        <w:rPr>
          <w:rFonts w:ascii="Palatino Linotype" w:eastAsia="Palatino Linotype" w:hAnsi="Palatino Linotype" w:cs="Palatino Linotype"/>
          <w:i/>
          <w:sz w:val="22"/>
          <w:szCs w:val="22"/>
        </w:rPr>
        <w:t xml:space="preserve"> Emitir los criterios y políticas para la aplicación de los ordenamientos fiscales, así como resolver las diferencias que se susciten en la interpretación de los mismos, en términos de lo que dispone el Código Financiero; </w:t>
      </w:r>
    </w:p>
    <w:p w:rsidR="00FC4992" w:rsidRPr="003B372F" w:rsidRDefault="003B11C6">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z w:val="22"/>
          <w:szCs w:val="22"/>
        </w:rPr>
        <w:t>XVIII.</w:t>
      </w:r>
      <w:r w:rsidRPr="003B372F">
        <w:rPr>
          <w:rFonts w:ascii="Palatino Linotype" w:eastAsia="Palatino Linotype" w:hAnsi="Palatino Linotype" w:cs="Palatino Linotype"/>
          <w:i/>
          <w:sz w:val="22"/>
          <w:szCs w:val="22"/>
        </w:rPr>
        <w:t xml:space="preserve"> Vigilar el cumplimiento de las disposiciones legales de carácter fiscal, aplicables en el ámbito municipal; </w:t>
      </w:r>
    </w:p>
    <w:p w:rsidR="00FC4992" w:rsidRPr="003B372F" w:rsidRDefault="003B11C6">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z w:val="22"/>
          <w:szCs w:val="22"/>
        </w:rPr>
        <w:t>XIX.</w:t>
      </w:r>
      <w:r w:rsidRPr="003B372F">
        <w:rPr>
          <w:rFonts w:ascii="Palatino Linotype" w:eastAsia="Palatino Linotype" w:hAnsi="Palatino Linotype" w:cs="Palatino Linotype"/>
          <w:i/>
          <w:sz w:val="22"/>
          <w:szCs w:val="22"/>
        </w:rPr>
        <w:t xml:space="preserve"> Autorizar y verificar la reasignación de recursos presupuestarios a otros programas sociales prioritarios mediante el dictamen correspondiente, en conjunto con la Unidad de Información, Planeación, Programación y Evaluación, informando de ello al Ayuntamiento; </w:t>
      </w:r>
    </w:p>
    <w:p w:rsidR="00FC4992" w:rsidRPr="003B372F" w:rsidRDefault="003B11C6">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z w:val="22"/>
          <w:szCs w:val="22"/>
        </w:rPr>
        <w:t>XX.</w:t>
      </w:r>
      <w:r w:rsidRPr="003B372F">
        <w:rPr>
          <w:rFonts w:ascii="Palatino Linotype" w:eastAsia="Palatino Linotype" w:hAnsi="Palatino Linotype" w:cs="Palatino Linotype"/>
          <w:i/>
          <w:sz w:val="22"/>
          <w:szCs w:val="22"/>
        </w:rPr>
        <w:t xml:space="preserve"> Administrar los estacionamientos de propiedad municipal, en términos de lo que dispone el Capítulo Octavo del Título Sexto de este Código; </w:t>
      </w:r>
    </w:p>
    <w:p w:rsidR="00FC4992" w:rsidRPr="003B372F" w:rsidRDefault="003B11C6">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z w:val="22"/>
          <w:szCs w:val="22"/>
        </w:rPr>
        <w:t>XXI.</w:t>
      </w:r>
      <w:r w:rsidRPr="003B372F">
        <w:rPr>
          <w:rFonts w:ascii="Palatino Linotype" w:eastAsia="Palatino Linotype" w:hAnsi="Palatino Linotype" w:cs="Palatino Linotype"/>
          <w:i/>
          <w:sz w:val="22"/>
          <w:szCs w:val="22"/>
        </w:rPr>
        <w:t xml:space="preserve"> Elaborar y resguardar los padrones de contribuyentes del municipio de Toluca; </w:t>
      </w:r>
    </w:p>
    <w:p w:rsidR="00FC4992" w:rsidRPr="003B372F" w:rsidRDefault="003B11C6">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z w:val="22"/>
          <w:szCs w:val="22"/>
        </w:rPr>
        <w:t>XXII.</w:t>
      </w:r>
      <w:r w:rsidRPr="003B372F">
        <w:rPr>
          <w:rFonts w:ascii="Palatino Linotype" w:eastAsia="Palatino Linotype" w:hAnsi="Palatino Linotype" w:cs="Palatino Linotype"/>
          <w:i/>
          <w:sz w:val="22"/>
          <w:szCs w:val="22"/>
        </w:rPr>
        <w:t xml:space="preserve"> Dar a conocer a las dependencias que conforman la administración pública municipal, conjuntamente con la Unidad de Información, Planeación, Programación y Evaluación, la información necesaria para la formulación del Presupuesto de Egresos Municipal, en observancia a la normatividad aplicable; </w:t>
      </w:r>
    </w:p>
    <w:p w:rsidR="00FC4992" w:rsidRPr="003B372F" w:rsidRDefault="003B11C6">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z w:val="22"/>
          <w:szCs w:val="22"/>
        </w:rPr>
        <w:t>XXIII.</w:t>
      </w:r>
      <w:r w:rsidRPr="003B372F">
        <w:rPr>
          <w:rFonts w:ascii="Palatino Linotype" w:eastAsia="Palatino Linotype" w:hAnsi="Palatino Linotype" w:cs="Palatino Linotype"/>
          <w:i/>
          <w:sz w:val="22"/>
          <w:szCs w:val="22"/>
        </w:rPr>
        <w:t xml:space="preserve"> Analizar las solicitudes de asignación presupuestaria entregadas por las áreas y, en su caso emitir las notificaciones correspondientes; </w:t>
      </w:r>
    </w:p>
    <w:p w:rsidR="00FC4992" w:rsidRPr="003B372F" w:rsidRDefault="003B11C6">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z w:val="22"/>
          <w:szCs w:val="22"/>
        </w:rPr>
        <w:t xml:space="preserve">XXIV. </w:t>
      </w:r>
      <w:r w:rsidRPr="003B372F">
        <w:rPr>
          <w:rFonts w:ascii="Palatino Linotype" w:eastAsia="Palatino Linotype" w:hAnsi="Palatino Linotype" w:cs="Palatino Linotype"/>
          <w:i/>
          <w:sz w:val="22"/>
          <w:szCs w:val="22"/>
        </w:rPr>
        <w:t xml:space="preserve">Presentar ante el Ayuntamiento el informe anual de las finanzas públicas; </w:t>
      </w:r>
    </w:p>
    <w:p w:rsidR="00FC4992" w:rsidRPr="003B372F" w:rsidRDefault="003B11C6">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z w:val="22"/>
          <w:szCs w:val="22"/>
        </w:rPr>
        <w:t xml:space="preserve">XXV. </w:t>
      </w:r>
      <w:r w:rsidRPr="003B372F">
        <w:rPr>
          <w:rFonts w:ascii="Palatino Linotype" w:eastAsia="Palatino Linotype" w:hAnsi="Palatino Linotype" w:cs="Palatino Linotype"/>
          <w:i/>
          <w:sz w:val="22"/>
          <w:szCs w:val="22"/>
        </w:rPr>
        <w:t xml:space="preserve">Expedir copias certificadas de los documentos que corroboren el pago de las obligaciones fiscales y documentación presentada ante el Órgano Superior de Fiscalización del Estado de México; </w:t>
      </w:r>
    </w:p>
    <w:p w:rsidR="00FC4992" w:rsidRPr="003B372F" w:rsidRDefault="003B11C6">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z w:val="22"/>
          <w:szCs w:val="22"/>
        </w:rPr>
        <w:t>XXVI.</w:t>
      </w:r>
      <w:r w:rsidRPr="003B372F">
        <w:rPr>
          <w:rFonts w:ascii="Palatino Linotype" w:eastAsia="Palatino Linotype" w:hAnsi="Palatino Linotype" w:cs="Palatino Linotype"/>
          <w:i/>
          <w:sz w:val="22"/>
          <w:szCs w:val="22"/>
        </w:rPr>
        <w:t xml:space="preserve"> Pagar la nómina mediante depósito bancario o bajo la modalidad convenida por el Sindicato que mayor seguridad brinde a las y los servidores públicos en días y horas hábiles, en el lugar más cercano al centro de trabajo del servidor público los días quince y último de cada me </w:t>
      </w:r>
    </w:p>
    <w:p w:rsidR="00FC4992" w:rsidRPr="003B372F" w:rsidRDefault="003B11C6">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z w:val="22"/>
          <w:szCs w:val="22"/>
        </w:rPr>
        <w:t>XXVII.</w:t>
      </w:r>
      <w:r w:rsidRPr="003B372F">
        <w:rPr>
          <w:rFonts w:ascii="Palatino Linotype" w:eastAsia="Palatino Linotype" w:hAnsi="Palatino Linotype" w:cs="Palatino Linotype"/>
          <w:i/>
          <w:sz w:val="22"/>
          <w:szCs w:val="22"/>
        </w:rPr>
        <w:t xml:space="preserve"> so el día hábil inmediato anterior, si no fueran laborables esas fechas; los Delegados Administrativos de cada dependencia o unidad administrativa son los responsables de acudir a la Dirección de Recursos Humanos a recoger la nómina para que la den a firma a los </w:t>
      </w:r>
      <w:r w:rsidRPr="003B372F">
        <w:rPr>
          <w:rFonts w:ascii="Palatino Linotype" w:eastAsia="Palatino Linotype" w:hAnsi="Palatino Linotype" w:cs="Palatino Linotype"/>
          <w:i/>
          <w:sz w:val="22"/>
          <w:szCs w:val="22"/>
        </w:rPr>
        <w:lastRenderedPageBreak/>
        <w:t xml:space="preserve">servidores públicos, asimismo, regresarla dentro de los tres días hábiles siguientes a la Dirección de Recursos Humanos debidamente firmada por quienes debieron hacerlo; y </w:t>
      </w:r>
    </w:p>
    <w:p w:rsidR="00FC4992" w:rsidRPr="003B372F" w:rsidRDefault="003B11C6">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i/>
          <w:sz w:val="22"/>
          <w:szCs w:val="22"/>
        </w:rPr>
      </w:pPr>
      <w:r w:rsidRPr="003B372F">
        <w:rPr>
          <w:rFonts w:ascii="Palatino Linotype" w:eastAsia="Palatino Linotype" w:hAnsi="Palatino Linotype" w:cs="Palatino Linotype"/>
          <w:b/>
          <w:i/>
          <w:sz w:val="22"/>
          <w:szCs w:val="22"/>
        </w:rPr>
        <w:t>XXVIII.</w:t>
      </w:r>
      <w:r w:rsidRPr="003B372F">
        <w:rPr>
          <w:rFonts w:ascii="Palatino Linotype" w:eastAsia="Palatino Linotype" w:hAnsi="Palatino Linotype" w:cs="Palatino Linotype"/>
          <w:i/>
          <w:sz w:val="22"/>
          <w:szCs w:val="22"/>
        </w:rPr>
        <w:t xml:space="preserve"> Las demás que le confieran otros ordenamientos jurídicos, el H. Ayuntamiento y el presidente municipal.</w:t>
      </w:r>
    </w:p>
    <w:p w:rsidR="00FC4992" w:rsidRPr="003B372F" w:rsidRDefault="003B11C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Derivado de la normatividad transcrita, se colige que el SUJETO OBLIGADO atendió el requerimiento de información a través del servidor público habilitado que cuenta con las facultades para poseer o administrar la información requerida. Es este sentido, este Organismo Garante tiene por satisfecho el requerimiento de información relativo al presupuesto que tiene la defensoría Municipal de derechos humanos.        </w:t>
      </w:r>
    </w:p>
    <w:p w:rsidR="00FC4992" w:rsidRPr="003B372F" w:rsidRDefault="003B11C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Finalmente, respecto de la inconformidad del quejoso referente a que </w:t>
      </w:r>
      <w:r w:rsidRPr="003B372F">
        <w:rPr>
          <w:rFonts w:ascii="Palatino Linotype" w:eastAsia="Palatino Linotype" w:hAnsi="Palatino Linotype" w:cs="Palatino Linotype"/>
          <w:b/>
        </w:rPr>
        <w:t>no se entregó el número de la cédula profesional de los miembros del ayuntamiento y los directores titulados</w:t>
      </w:r>
      <w:r w:rsidRPr="003B372F">
        <w:rPr>
          <w:rFonts w:ascii="Palatino Linotype" w:eastAsia="Palatino Linotype" w:hAnsi="Palatino Linotype" w:cs="Palatino Linotype"/>
        </w:rPr>
        <w:t xml:space="preserve">. En este aspecto resulta relevante referir que la Secretaría de Educación Pública (SEP) establece que la cédula profesional es un documento expedido por la misma Secretaría, cuya finalidad es comprobar que una persona terminó por completo sus estudios y que tiene los conocimientos para ejercer su profesión. </w:t>
      </w:r>
    </w:p>
    <w:p w:rsidR="00453C09" w:rsidRPr="003B372F" w:rsidRDefault="003B11C6">
      <w:pPr>
        <w:widowControl w:val="0"/>
        <w:spacing w:before="240" w:after="240"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Por cuanto hace a la fotografía en la cédula profesional es de señalar que constituye un dato personal que hace identificable a la persona, por lo que es susceptible clasificarse</w:t>
      </w:r>
      <w:r w:rsidR="00453C09" w:rsidRPr="003B372F">
        <w:rPr>
          <w:rFonts w:ascii="Palatino Linotype" w:eastAsia="Palatino Linotype" w:hAnsi="Palatino Linotype" w:cs="Palatino Linotype"/>
        </w:rPr>
        <w:t xml:space="preserve"> e</w:t>
      </w:r>
      <w:r w:rsidRPr="003B372F">
        <w:rPr>
          <w:rFonts w:ascii="Palatino Linotype" w:eastAsia="Palatino Linotype" w:hAnsi="Palatino Linotype" w:cs="Palatino Linotype"/>
        </w:rPr>
        <w:t>n términos del artículo 2 fracción IV de la Ley de Protección de Datos Personales en Posesión de Sujetos Obligados de</w:t>
      </w:r>
      <w:r w:rsidR="00453C09" w:rsidRPr="003B372F">
        <w:rPr>
          <w:rFonts w:ascii="Palatino Linotype" w:eastAsia="Palatino Linotype" w:hAnsi="Palatino Linotype" w:cs="Palatino Linotype"/>
        </w:rPr>
        <w:t xml:space="preserve">l Estado de México y Municipios, salvo que se trate de servidores públicos cuyas atribuciones vayan enfocadas a las actividades de dirección en el sector gubernamental, toma de decisiones y emisión de actos que pudieren generar molestia e incluso en algunos casos, al contacto </w:t>
      </w:r>
      <w:r w:rsidR="00453C09" w:rsidRPr="003B372F">
        <w:rPr>
          <w:rFonts w:ascii="Palatino Linotype" w:eastAsia="Palatino Linotype" w:hAnsi="Palatino Linotype" w:cs="Palatino Linotype"/>
        </w:rPr>
        <w:lastRenderedPageBreak/>
        <w:t xml:space="preserve">directo con la ciudadanía. </w:t>
      </w:r>
    </w:p>
    <w:p w:rsidR="0027271C" w:rsidRPr="003B372F" w:rsidRDefault="003D7A14" w:rsidP="0027271C">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En efecto, la fotografía</w:t>
      </w:r>
      <w:r w:rsidR="00896ACE" w:rsidRPr="003B372F">
        <w:rPr>
          <w:rFonts w:ascii="Palatino Linotype" w:eastAsia="Palatino Linotype" w:hAnsi="Palatino Linotype" w:cs="Palatino Linotype"/>
        </w:rPr>
        <w:t xml:space="preserve"> tanto en el certificado de estudios, título, cédula profesional, </w:t>
      </w:r>
      <w:r w:rsidR="00567082" w:rsidRPr="003B372F">
        <w:rPr>
          <w:rFonts w:ascii="Palatino Linotype" w:eastAsia="Palatino Linotype" w:hAnsi="Palatino Linotype" w:cs="Palatino Linotype"/>
        </w:rPr>
        <w:t>si bien</w:t>
      </w:r>
      <w:r w:rsidR="00896ACE" w:rsidRPr="003B372F">
        <w:rPr>
          <w:rFonts w:ascii="Palatino Linotype" w:eastAsia="Palatino Linotype" w:hAnsi="Palatino Linotype" w:cs="Palatino Linotype"/>
        </w:rPr>
        <w:t xml:space="preserve"> constituye la reproducción fiel de las características físicas de una persona en un momento determinado, por lo que representan un instrumento de identificación, proyección exterior, y factor imprescindible para su propio reconocimiento como sujeto individual; </w:t>
      </w:r>
      <w:r w:rsidR="00567082" w:rsidRPr="003B372F">
        <w:rPr>
          <w:rFonts w:ascii="Palatino Linotype" w:eastAsia="Palatino Linotype" w:hAnsi="Palatino Linotype" w:cs="Palatino Linotype"/>
        </w:rPr>
        <w:t xml:space="preserve">también lo es que, en los casos de servidores públicos con cargos de </w:t>
      </w:r>
      <w:r w:rsidR="001D044E" w:rsidRPr="003B372F">
        <w:rPr>
          <w:rFonts w:ascii="Palatino Linotype" w:eastAsia="Palatino Linotype" w:hAnsi="Palatino Linotype" w:cs="Palatino Linotype"/>
        </w:rPr>
        <w:t>mandos medios y superiore</w:t>
      </w:r>
      <w:r w:rsidR="0027271C" w:rsidRPr="003B372F">
        <w:rPr>
          <w:rFonts w:ascii="Palatino Linotype" w:eastAsia="Palatino Linotype" w:hAnsi="Palatino Linotype" w:cs="Palatino Linotype"/>
        </w:rPr>
        <w:t xml:space="preserve">s ya que encuentran sujetos a un </w:t>
      </w:r>
      <w:r w:rsidR="0027271C" w:rsidRPr="003B372F">
        <w:rPr>
          <w:rFonts w:ascii="Palatino Linotype" w:hAnsi="Palatino Linotype"/>
        </w:rPr>
        <w:t xml:space="preserve">régimen de excepciones o de protección más limitado, restringido en razón de la naturaleza de la función pública,  ya que al ocupar </w:t>
      </w:r>
      <w:r w:rsidR="0027271C" w:rsidRPr="003B372F">
        <w:rPr>
          <w:rFonts w:ascii="Palatino Linotype" w:hAnsi="Palatino Linotype" w:cs="Arial"/>
        </w:rPr>
        <w:t>los cargos en la administración pública no sólo han ingresado al servicio público, sino que además detentan cargos de alta responsabilidad; por lo tanto,  la cédula profesional se rigen por la concurrencia de una serie de elementos, todos los cuales resultan indispensables para acreditar  que una persona determinada cu</w:t>
      </w:r>
      <w:r w:rsidR="00185AA4" w:rsidRPr="003B372F">
        <w:rPr>
          <w:rFonts w:ascii="Palatino Linotype" w:hAnsi="Palatino Linotype" w:cs="Arial"/>
        </w:rPr>
        <w:t>enta con la patente respectiva; sin embargo, cabe precisar que para los servidores públicos que no ostenten cargos de dirección o realicen actos</w:t>
      </w:r>
      <w:r w:rsidR="00E65BF1" w:rsidRPr="003B372F">
        <w:rPr>
          <w:rFonts w:ascii="Palatino Linotype" w:hAnsi="Palatino Linotype" w:cs="Arial"/>
        </w:rPr>
        <w:t xml:space="preserve"> que</w:t>
      </w:r>
      <w:r w:rsidR="00185AA4" w:rsidRPr="003B372F">
        <w:rPr>
          <w:rFonts w:ascii="Palatino Linotype" w:hAnsi="Palatino Linotype" w:cs="Arial"/>
        </w:rPr>
        <w:t xml:space="preserve"> </w:t>
      </w:r>
      <w:r w:rsidR="00E65BF1" w:rsidRPr="003B372F">
        <w:rPr>
          <w:rFonts w:ascii="Palatino Linotype" w:eastAsia="Palatino Linotype" w:hAnsi="Palatino Linotype" w:cs="Palatino Linotype"/>
        </w:rPr>
        <w:t xml:space="preserve">pudieren generar molestia e incluso en algunos casos, al contacto directo con la ciudadanía deberán clasificarse como información confidencial. </w:t>
      </w:r>
    </w:p>
    <w:p w:rsidR="00E13427" w:rsidRPr="003B372F" w:rsidRDefault="00E13427" w:rsidP="0027271C">
      <w:pPr>
        <w:spacing w:line="360" w:lineRule="auto"/>
        <w:jc w:val="both"/>
        <w:rPr>
          <w:rFonts w:ascii="Palatino Linotype" w:hAnsi="Palatino Linotype"/>
        </w:rPr>
      </w:pPr>
    </w:p>
    <w:p w:rsidR="00B279D5" w:rsidRPr="003B372F" w:rsidRDefault="00E65BF1" w:rsidP="00B279D5">
      <w:pPr>
        <w:widowControl w:val="0"/>
        <w:autoSpaceDE w:val="0"/>
        <w:autoSpaceDN w:val="0"/>
        <w:adjustRightInd w:val="0"/>
        <w:spacing w:line="360" w:lineRule="auto"/>
        <w:jc w:val="both"/>
        <w:rPr>
          <w:rFonts w:ascii="Palatino Linotype" w:hAnsi="Palatino Linotype"/>
        </w:rPr>
      </w:pPr>
      <w:r w:rsidRPr="003B372F">
        <w:rPr>
          <w:rFonts w:ascii="Palatino Linotype" w:eastAsia="Palatino Linotype" w:hAnsi="Palatino Linotype" w:cs="Palatino Linotype"/>
        </w:rPr>
        <w:t>Ahora bien, por cuanto hace a la firma en c</w:t>
      </w:r>
      <w:r w:rsidR="006D2E9E" w:rsidRPr="003B372F">
        <w:rPr>
          <w:rFonts w:ascii="Palatino Linotype" w:eastAsia="Palatino Linotype" w:hAnsi="Palatino Linotype" w:cs="Palatino Linotype"/>
        </w:rPr>
        <w:t>édula profesional</w:t>
      </w:r>
      <w:r w:rsidR="00896ACE" w:rsidRPr="003B372F">
        <w:rPr>
          <w:rFonts w:ascii="Palatino Linotype" w:eastAsia="Palatino Linotype" w:hAnsi="Palatino Linotype" w:cs="Palatino Linotype"/>
        </w:rPr>
        <w:t>,</w:t>
      </w:r>
      <w:r w:rsidR="006D2E9E" w:rsidRPr="003B372F">
        <w:rPr>
          <w:rFonts w:ascii="Palatino Linotype" w:eastAsia="Palatino Linotype" w:hAnsi="Palatino Linotype" w:cs="Palatino Linotype"/>
        </w:rPr>
        <w:t xml:space="preserve"> es importante referir en primer término que la Real Academia Española, la define como</w:t>
      </w:r>
      <w:r w:rsidR="00896ACE" w:rsidRPr="003B372F">
        <w:rPr>
          <w:rFonts w:ascii="Palatino Linotype" w:eastAsia="Palatino Linotype" w:hAnsi="Palatino Linotype" w:cs="Palatino Linotype"/>
        </w:rPr>
        <w:t xml:space="preserve"> el rasgo o conjunto de rasgos realizados siempre de la misma manera que identifican a una persona y sustituyen a su nombre y apellidos para aprobar la autenticidad a un documento. </w:t>
      </w:r>
      <w:r w:rsidR="00B279D5" w:rsidRPr="003B372F">
        <w:rPr>
          <w:rFonts w:ascii="Palatino Linotype" w:eastAsia="Palatino Linotype" w:hAnsi="Palatino Linotype" w:cs="Palatino Linotype"/>
        </w:rPr>
        <w:t xml:space="preserve">Por lo tanto, constituye un dato personal que hacen identificable a la persona, por lo que es susceptible clasificarse, </w:t>
      </w:r>
      <w:r w:rsidR="00B279D5" w:rsidRPr="003B372F">
        <w:rPr>
          <w:rFonts w:ascii="Palatino Linotype" w:hAnsi="Palatino Linotype" w:cs="Arial"/>
          <w:noProof/>
          <w:lang w:eastAsia="es-MX"/>
        </w:rPr>
        <w:t xml:space="preserve">en términos </w:t>
      </w:r>
      <w:r w:rsidR="00B279D5" w:rsidRPr="003B372F">
        <w:rPr>
          <w:rFonts w:ascii="Palatino Linotype" w:eastAsia="Calibri" w:hAnsi="Palatino Linotype" w:cs="Arial"/>
        </w:rPr>
        <w:t xml:space="preserve">de lo dispuesto en los artículos 3, fracción IX y 143, fracción I de la Ley de Transparencia y Acceso a la </w:t>
      </w:r>
      <w:r w:rsidR="00B279D5" w:rsidRPr="003B372F">
        <w:rPr>
          <w:rFonts w:ascii="Palatino Linotype" w:eastAsia="Calibri" w:hAnsi="Palatino Linotype" w:cs="Arial"/>
        </w:rPr>
        <w:lastRenderedPageBreak/>
        <w:t xml:space="preserve">Información Pública del Estado de México y Municipios, </w:t>
      </w:r>
      <w:r w:rsidR="00B279D5" w:rsidRPr="003B372F">
        <w:rPr>
          <w:rFonts w:ascii="Palatino Linotype" w:hAnsi="Palatino Linotype" w:cs="Arial"/>
          <w:bCs/>
          <w:lang w:eastAsia="es-MX"/>
        </w:rPr>
        <w:t xml:space="preserve">así como en el artículo 4, fracciones XI y XII de </w:t>
      </w:r>
      <w:r w:rsidR="00B279D5" w:rsidRPr="003B372F">
        <w:rPr>
          <w:rFonts w:ascii="Palatino Linotype" w:hAnsi="Palatino Linotype"/>
        </w:rPr>
        <w:t>la Ley de Protección de Datos Personales en Posesión de Sujetos Obligados del Estado de México y Municipios.</w:t>
      </w:r>
    </w:p>
    <w:p w:rsidR="0066166D" w:rsidRPr="003B372F" w:rsidRDefault="0066166D" w:rsidP="0066166D">
      <w:pPr>
        <w:spacing w:before="240" w:after="240"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r w:rsidRPr="003B372F">
        <w:rPr>
          <w:rFonts w:ascii="Palatino Linotype" w:eastAsia="Palatino Linotype" w:hAnsi="Palatino Linotype" w:cs="Palatino Linotype"/>
        </w:rPr>
        <w:tab/>
      </w:r>
    </w:p>
    <w:p w:rsidR="0066166D" w:rsidRPr="003B372F" w:rsidRDefault="0066166D" w:rsidP="0066166D">
      <w:pPr>
        <w:spacing w:before="240" w:after="240"/>
        <w:ind w:left="851" w:right="900"/>
        <w:jc w:val="both"/>
        <w:rPr>
          <w:rFonts w:ascii="Palatino Linotype" w:eastAsia="Palatino Linotype" w:hAnsi="Palatino Linotype" w:cs="Palatino Linotype"/>
          <w:i/>
        </w:rPr>
      </w:pPr>
      <w:r w:rsidRPr="003B372F">
        <w:rPr>
          <w:rFonts w:ascii="Palatino Linotype" w:eastAsia="Palatino Linotype" w:hAnsi="Palatino Linotype" w:cs="Palatino Linotype"/>
          <w:i/>
        </w:rPr>
        <w:t>"</w:t>
      </w:r>
      <w:r w:rsidRPr="003B372F">
        <w:rPr>
          <w:rFonts w:ascii="Palatino Linotype" w:eastAsia="Palatino Linotype" w:hAnsi="Palatino Linotype" w:cs="Palatino Linotype"/>
          <w:b/>
          <w:i/>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3B372F">
        <w:rPr>
          <w:rFonts w:ascii="Palatino Linotype" w:eastAsia="Palatino Linotype" w:hAnsi="Palatino Linotype" w:cs="Palatino Linotype"/>
          <w:i/>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97597B" w:rsidRPr="003B372F" w:rsidRDefault="0097597B" w:rsidP="0097597B">
      <w:pPr>
        <w:spacing w:before="240" w:after="240"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lastRenderedPageBreak/>
        <w:t xml:space="preserve">En efecto, la firma tanto en el certificado de estudios, título, cédula profesional, es susceptible de ser testada, y que al constituir un dato personal que hace identificable a su titular, requiere para su difusión del consentimiento de los individuos; </w:t>
      </w:r>
      <w:r w:rsidR="00740EE6" w:rsidRPr="003B372F">
        <w:rPr>
          <w:rFonts w:ascii="Palatino Linotype" w:eastAsia="Palatino Linotype" w:hAnsi="Palatino Linotype" w:cs="Palatino Linotype"/>
        </w:rPr>
        <w:t xml:space="preserve">aunado que no </w:t>
      </w:r>
      <w:r w:rsidRPr="003B372F">
        <w:rPr>
          <w:rFonts w:ascii="Palatino Linotype" w:eastAsia="Palatino Linotype" w:hAnsi="Palatino Linotype" w:cs="Palatino Linotype"/>
        </w:rPr>
        <w:t>con</w:t>
      </w:r>
      <w:r w:rsidR="00740EE6" w:rsidRPr="003B372F">
        <w:rPr>
          <w:rFonts w:ascii="Palatino Linotype" w:eastAsia="Palatino Linotype" w:hAnsi="Palatino Linotype" w:cs="Palatino Linotype"/>
        </w:rPr>
        <w:t>stituye</w:t>
      </w:r>
      <w:r w:rsidRPr="003B372F">
        <w:rPr>
          <w:rFonts w:ascii="Palatino Linotype" w:eastAsia="Palatino Linotype" w:hAnsi="Palatino Linotype" w:cs="Palatino Linotype"/>
        </w:rPr>
        <w:t xml:space="preserve"> </w:t>
      </w:r>
      <w:r w:rsidR="00740EE6" w:rsidRPr="003B372F">
        <w:rPr>
          <w:rFonts w:ascii="Palatino Linotype" w:eastAsia="Palatino Linotype" w:hAnsi="Palatino Linotype" w:cs="Palatino Linotype"/>
        </w:rPr>
        <w:t xml:space="preserve">un </w:t>
      </w:r>
      <w:r w:rsidRPr="003B372F">
        <w:rPr>
          <w:rFonts w:ascii="Palatino Linotype" w:eastAsia="Palatino Linotype" w:hAnsi="Palatino Linotype" w:cs="Palatino Linotype"/>
        </w:rPr>
        <w:t>elemento que permita reflejar el desempeño o idoneidad para ocupar un cargo; además no permite a su titular, acreditar ante la ciudadanía que posee los conocimientos propios de su profesión.</w:t>
      </w: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 Ahora bien, del estudio de la documentación aportada por el </w:t>
      </w:r>
      <w:r w:rsidRPr="003B372F">
        <w:rPr>
          <w:rFonts w:ascii="Palatino Linotype" w:eastAsia="Palatino Linotype" w:hAnsi="Palatino Linotype" w:cs="Palatino Linotype"/>
          <w:b/>
        </w:rPr>
        <w:t>SUJETO OBLIGADO</w:t>
      </w:r>
      <w:r w:rsidRPr="003B372F">
        <w:rPr>
          <w:rFonts w:ascii="Palatino Linotype" w:eastAsia="Palatino Linotype" w:hAnsi="Palatino Linotype" w:cs="Palatino Linotype"/>
        </w:rPr>
        <w:t xml:space="preserve"> se advierte que mediante oficio DA/0061/2022 remitió una tabla con el nombre, cargo, carrera y Universidad, de 28 servidores públicos, así mismo, en las cédulas que fueron adjuntadas al oficio en referencia, fueron testados diversos datos, entre ellos, los números de las cedulas profesionales, por lo tanto, tal como lo refiere el </w:t>
      </w:r>
      <w:r w:rsidRPr="003B372F">
        <w:rPr>
          <w:rFonts w:ascii="Palatino Linotype" w:eastAsia="Palatino Linotype" w:hAnsi="Palatino Linotype" w:cs="Palatino Linotype"/>
          <w:b/>
        </w:rPr>
        <w:t xml:space="preserve">RECURRENTE </w:t>
      </w:r>
      <w:r w:rsidRPr="003B372F">
        <w:rPr>
          <w:rFonts w:ascii="Palatino Linotype" w:eastAsia="Palatino Linotype" w:hAnsi="Palatino Linotype" w:cs="Palatino Linotype"/>
        </w:rPr>
        <w:t xml:space="preserve">al inconformarse, no se entregaron los numero de las cedulas profesionales de los integrantes del ayuntamiento, ni de los directores titulados, ahora bien, mediante informe justificado el </w:t>
      </w:r>
      <w:r w:rsidRPr="003B372F">
        <w:rPr>
          <w:rFonts w:ascii="Palatino Linotype" w:eastAsia="Palatino Linotype" w:hAnsi="Palatino Linotype" w:cs="Palatino Linotype"/>
          <w:b/>
        </w:rPr>
        <w:t>SUJETO OBLIGADO</w:t>
      </w:r>
      <w:r w:rsidRPr="003B372F">
        <w:rPr>
          <w:rFonts w:ascii="Palatino Linotype" w:eastAsia="Palatino Linotype" w:hAnsi="Palatino Linotype" w:cs="Palatino Linotype"/>
        </w:rPr>
        <w:t xml:space="preserve"> remite la tabla que había entregado inicialmente, agregando una columna con el número de la cédula profesional de aquellos servidores que contaban con ella, sin embargo, este no se puso a la vista del </w:t>
      </w:r>
      <w:r w:rsidRPr="003B372F">
        <w:rPr>
          <w:rFonts w:ascii="Palatino Linotype" w:eastAsia="Palatino Linotype" w:hAnsi="Palatino Linotype" w:cs="Palatino Linotype"/>
          <w:b/>
        </w:rPr>
        <w:t>RECURRENTE</w:t>
      </w:r>
      <w:r w:rsidRPr="003B372F">
        <w:rPr>
          <w:rFonts w:ascii="Palatino Linotype" w:eastAsia="Palatino Linotype" w:hAnsi="Palatino Linotype" w:cs="Palatino Linotype"/>
        </w:rPr>
        <w:t>, derivado de que, en conjunto con la tabla referida, en el documento en referencia, se observan datos confidenciales, susceptibles de testar. No puede pasar inadvertido para este Órgano Garante, que si bien, El archivo electrónico contiene los documentos requeridos, también lo es que, el mismo no fue acompañado del acuerdo de Comité de Transparencia, incumpliendo con</w:t>
      </w:r>
      <w:r w:rsidRPr="003B372F">
        <w:rPr>
          <w:rFonts w:ascii="Palatino Linotype" w:eastAsia="Palatino Linotype" w:hAnsi="Palatino Linotype" w:cs="Palatino Linotype"/>
          <w:b/>
        </w:rPr>
        <w:t xml:space="preserve"> </w:t>
      </w:r>
      <w:r w:rsidRPr="003B372F">
        <w:rPr>
          <w:rFonts w:ascii="Palatino Linotype" w:eastAsia="Palatino Linotype" w:hAnsi="Palatino Linotype" w:cs="Palatino Linotype"/>
        </w:rPr>
        <w:t xml:space="preserve">lo previsto en el artículo 49, fracciones II y VIII y 149 de la Ley de referencia, en relación con lo establecido en los Lineamientos Generales en materia de Clasificación y Desclasificación de la Información, así como para Elaboración de </w:t>
      </w:r>
      <w:r w:rsidRPr="003B372F">
        <w:rPr>
          <w:rFonts w:ascii="Palatino Linotype" w:eastAsia="Palatino Linotype" w:hAnsi="Palatino Linotype" w:cs="Palatino Linotype"/>
        </w:rPr>
        <w:lastRenderedPageBreak/>
        <w:t xml:space="preserve">Versiones Públicas, por lo que se ha reiterado que la entrega de documentos, en su versión pública, debe acompañarse necesariamente del Acuerdo del Comité de Transparencia que la sustente, en el que se expongan los fundamentos y razonamientos que llevaron al </w:t>
      </w:r>
      <w:r w:rsidRPr="003B372F">
        <w:rPr>
          <w:rFonts w:ascii="Palatino Linotype" w:eastAsia="Palatino Linotype" w:hAnsi="Palatino Linotype" w:cs="Palatino Linotype"/>
          <w:b/>
        </w:rPr>
        <w:t>SUJETO OBLIGADO</w:t>
      </w:r>
      <w:r w:rsidRPr="003B372F">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Aunado a lo anterior, de la respuesta, se advirtió que el archivo electrónico denominado </w:t>
      </w:r>
      <w:r w:rsidRPr="003B372F">
        <w:rPr>
          <w:rFonts w:ascii="Palatino Linotype" w:eastAsia="Palatino Linotype" w:hAnsi="Palatino Linotype" w:cs="Palatino Linotype"/>
          <w:b/>
        </w:rPr>
        <w:t>“</w:t>
      </w:r>
      <w:r w:rsidRPr="003B372F">
        <w:rPr>
          <w:rFonts w:ascii="Palatino Linotype" w:eastAsia="Palatino Linotype" w:hAnsi="Palatino Linotype" w:cs="Palatino Linotype"/>
          <w:b/>
          <w:i/>
        </w:rPr>
        <w:t>solicitud 70.pdf</w:t>
      </w:r>
      <w:r w:rsidRPr="003B372F">
        <w:rPr>
          <w:rFonts w:ascii="Palatino Linotype" w:eastAsia="Palatino Linotype" w:hAnsi="Palatino Linotype" w:cs="Palatino Linotype"/>
          <w:b/>
        </w:rPr>
        <w:t xml:space="preserve">”, </w:t>
      </w:r>
      <w:r w:rsidRPr="003B372F">
        <w:rPr>
          <w:rFonts w:ascii="Palatino Linotype" w:eastAsia="Palatino Linotype" w:hAnsi="Palatino Linotype" w:cs="Palatino Linotype"/>
        </w:rPr>
        <w:t xml:space="preserve">proporcionado por el </w:t>
      </w:r>
      <w:r w:rsidRPr="003B372F">
        <w:rPr>
          <w:rFonts w:ascii="Palatino Linotype" w:eastAsia="Palatino Linotype" w:hAnsi="Palatino Linotype" w:cs="Palatino Linotype"/>
          <w:b/>
        </w:rPr>
        <w:t>SUJETO OBLIGADO</w:t>
      </w:r>
      <w:r w:rsidRPr="003B372F">
        <w:rPr>
          <w:rFonts w:ascii="Palatino Linotype" w:eastAsia="Palatino Linotype" w:hAnsi="Palatino Linotype" w:cs="Palatino Linotype"/>
        </w:rPr>
        <w:t>, contiene calificaciones y promedios de calificaciones, datos que debieron protegerse ya que son considerados como confidenciales, en virtud de que su difusión afectaría su esfera de privacidad. Cabe precisar que dicho dato da cuenta del grado de conocimientos adquiridos, en una materia o durante el desarrollo escolar, los cuales únicamente corresponden únicamente a cuestiones relacionadas con el ámbito privado de las personas, al dar cuenta del desempeño de los alumnos durante el curso de las diversas carreras con las que cuenta el Sujeto Obligado.</w:t>
      </w:r>
    </w:p>
    <w:p w:rsidR="00FC4992" w:rsidRPr="003B372F" w:rsidRDefault="003B11C6">
      <w:pPr>
        <w:pBdr>
          <w:top w:val="nil"/>
          <w:left w:val="nil"/>
          <w:bottom w:val="nil"/>
          <w:right w:val="nil"/>
          <w:between w:val="nil"/>
        </w:pBdr>
        <w:shd w:val="clear" w:color="auto" w:fill="FFFFFF"/>
        <w:spacing w:line="360" w:lineRule="auto"/>
        <w:ind w:left="720"/>
        <w:jc w:val="both"/>
        <w:rPr>
          <w:rFonts w:ascii="Palatino Linotype" w:eastAsia="Palatino Linotype" w:hAnsi="Palatino Linotype" w:cs="Palatino Linotype"/>
        </w:rPr>
      </w:pPr>
      <w:r w:rsidRPr="003B372F">
        <w:rPr>
          <w:rFonts w:ascii="Palatino Linotype" w:eastAsia="Palatino Linotype" w:hAnsi="Palatino Linotype" w:cs="Palatino Linotype"/>
        </w:rPr>
        <w:t> </w:t>
      </w:r>
    </w:p>
    <w:p w:rsidR="00FC4992" w:rsidRPr="003B372F" w:rsidRDefault="003B11C6">
      <w:pPr>
        <w:pBdr>
          <w:top w:val="nil"/>
          <w:left w:val="nil"/>
          <w:bottom w:val="nil"/>
          <w:right w:val="nil"/>
          <w:between w:val="nil"/>
        </w:pBdr>
        <w:spacing w:line="360" w:lineRule="auto"/>
        <w:ind w:right="-28"/>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En ese contexto, se trae a colación la tesis aislada número 2a. LXIII/2008, emitida por la Segunda Sala de la Suprema Corte de Justicia de la Nación, publicada en la Gaceta </w:t>
      </w:r>
      <w:r w:rsidRPr="003B372F">
        <w:rPr>
          <w:rFonts w:ascii="Palatino Linotype" w:eastAsia="Palatino Linotype" w:hAnsi="Palatino Linotype" w:cs="Palatino Linotype"/>
        </w:rPr>
        <w:lastRenderedPageBreak/>
        <w:t>del Semanario Judicial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 para mayor claridad se muestra la interpretación referida:</w:t>
      </w:r>
    </w:p>
    <w:p w:rsidR="00FC4992" w:rsidRPr="003B372F" w:rsidRDefault="00FC4992">
      <w:pPr>
        <w:pBdr>
          <w:top w:val="nil"/>
          <w:left w:val="nil"/>
          <w:bottom w:val="nil"/>
          <w:right w:val="nil"/>
          <w:between w:val="nil"/>
        </w:pBdr>
        <w:spacing w:line="360" w:lineRule="auto"/>
        <w:ind w:right="-28"/>
        <w:jc w:val="both"/>
        <w:rPr>
          <w:rFonts w:ascii="Palatino Linotype" w:eastAsia="Palatino Linotype" w:hAnsi="Palatino Linotype" w:cs="Palatino Linotype"/>
        </w:rPr>
      </w:pPr>
    </w:p>
    <w:p w:rsidR="00FC4992" w:rsidRPr="003B372F" w:rsidRDefault="003B11C6">
      <w:pPr>
        <w:pBdr>
          <w:top w:val="nil"/>
          <w:left w:val="nil"/>
          <w:bottom w:val="nil"/>
          <w:right w:val="nil"/>
          <w:between w:val="nil"/>
        </w:pBdr>
        <w:spacing w:line="360" w:lineRule="auto"/>
        <w:ind w:left="720" w:right="-28"/>
        <w:jc w:val="both"/>
        <w:rPr>
          <w:i/>
        </w:rPr>
      </w:pPr>
      <w:r w:rsidRPr="003B372F">
        <w:rPr>
          <w:i/>
        </w:rPr>
        <w:t xml:space="preserve">“DERECHO A LA PRIVACIDAD O INTIMIDAD. ESTÁ PROTEGIDO POR EL ARTÍCULO 16, PRIMER PÁRRAFO, DE LA CONSTITUCIÓN POLÍTICA DE LOS ESTADOS UNIDOS MEXICANOS.* Dicho numeral establece, en general, la garantía de seguridad jurídica de todo gobernado a no ser molestado en su persona, familia, papeles o posesiones, sino cuando medie mandato de autoridad competente debidamente fundado y motivado, de lo que deriva la inviolabilidad del domicilio, cuya finalidad primordial es el respeto a un ámbito de la vida privada personal y familiar que debe quedar excluido del conocimiento ajeno y de las intromisiones de los demás, con la limitante que la Constitución Política de los Estados Unidos Mexicanos establece para las autoridades. En un sentido amplio, la referida garantía puede extenderse a una protección que va más allá del aseguramiento del domicilio como espacio físico en que se desenvuelve normalmente la privacidad o la intimidad, de lo cual deriva el reconocimiento en el artículo 16, primer párrafo, constitucional, de un derecho a la intimidad o vida privada de los gobernados que abarca las intromisiones o molestias que por cualquier medio puedan realizarse en ese ámbito reservado de la vida. </w:t>
      </w:r>
    </w:p>
    <w:p w:rsidR="00FC4992" w:rsidRPr="003B372F" w:rsidRDefault="00FC4992">
      <w:pPr>
        <w:pBdr>
          <w:top w:val="nil"/>
          <w:left w:val="nil"/>
          <w:bottom w:val="nil"/>
          <w:right w:val="nil"/>
          <w:between w:val="nil"/>
        </w:pBdr>
        <w:spacing w:line="360" w:lineRule="auto"/>
        <w:ind w:left="720" w:right="-28"/>
        <w:jc w:val="both"/>
        <w:rPr>
          <w:i/>
        </w:rPr>
      </w:pPr>
    </w:p>
    <w:p w:rsidR="00FC4992" w:rsidRPr="003B372F" w:rsidRDefault="003B11C6">
      <w:pPr>
        <w:pBdr>
          <w:top w:val="nil"/>
          <w:left w:val="nil"/>
          <w:bottom w:val="nil"/>
          <w:right w:val="nil"/>
          <w:between w:val="nil"/>
        </w:pBdr>
        <w:spacing w:line="360" w:lineRule="auto"/>
        <w:ind w:left="720" w:right="-28"/>
        <w:jc w:val="both"/>
        <w:rPr>
          <w:rFonts w:ascii="Palatino Linotype" w:eastAsia="Palatino Linotype" w:hAnsi="Palatino Linotype" w:cs="Palatino Linotype"/>
        </w:rPr>
      </w:pPr>
      <w:r w:rsidRPr="003B372F">
        <w:rPr>
          <w:i/>
        </w:rPr>
        <w:lastRenderedPageBreak/>
        <w:t>Amparo en revisión 134/2008. **********. 30 de abril de 2008. Cinco votos. Ponente: Genaro David Góngora Pimentel. Secretario: Rolando Javier García Martínez”</w:t>
      </w:r>
      <w:r w:rsidRPr="003B372F">
        <w:rPr>
          <w:rFonts w:ascii="Palatino Linotype" w:eastAsia="Palatino Linotype" w:hAnsi="Palatino Linotype" w:cs="Palatino Linotype"/>
        </w:rPr>
        <w:t xml:space="preserve"> </w:t>
      </w:r>
    </w:p>
    <w:p w:rsidR="00FC4992" w:rsidRPr="003B372F" w:rsidRDefault="00FC4992">
      <w:pPr>
        <w:pBdr>
          <w:top w:val="nil"/>
          <w:left w:val="nil"/>
          <w:bottom w:val="nil"/>
          <w:right w:val="nil"/>
          <w:between w:val="nil"/>
        </w:pBdr>
        <w:spacing w:line="360" w:lineRule="auto"/>
        <w:ind w:right="-28"/>
        <w:jc w:val="both"/>
        <w:rPr>
          <w:rFonts w:ascii="Palatino Linotype" w:eastAsia="Palatino Linotype" w:hAnsi="Palatino Linotype" w:cs="Palatino Linotype"/>
        </w:rPr>
      </w:pPr>
    </w:p>
    <w:p w:rsidR="00FC4992" w:rsidRPr="003B372F" w:rsidRDefault="003B11C6">
      <w:pPr>
        <w:pBdr>
          <w:top w:val="nil"/>
          <w:left w:val="nil"/>
          <w:bottom w:val="nil"/>
          <w:right w:val="nil"/>
          <w:between w:val="nil"/>
        </w:pBdr>
        <w:spacing w:line="360" w:lineRule="auto"/>
        <w:ind w:right="-28"/>
        <w:jc w:val="both"/>
        <w:rPr>
          <w:rFonts w:ascii="Palatino Linotype" w:eastAsia="Palatino Linotype" w:hAnsi="Palatino Linotype" w:cs="Palatino Linotype"/>
        </w:rPr>
      </w:pPr>
      <w:r w:rsidRPr="003B372F">
        <w:rPr>
          <w:rFonts w:ascii="Palatino Linotype" w:eastAsia="Palatino Linotype" w:hAnsi="Palatino Linotype" w:cs="Palatino Linotype"/>
        </w:rPr>
        <w:t>En atención con lo anterior, se considera que las calificaciones obtenidas por un servidor público, es información íntima de los alumnos, pues corresponde a su desempeño escolar, lo cual únicamente atañe a estos, por lo que se considera que es un dato confidencial. </w:t>
      </w:r>
    </w:p>
    <w:p w:rsidR="00FC4992" w:rsidRPr="003B372F" w:rsidRDefault="00FC4992">
      <w:pPr>
        <w:spacing w:line="360" w:lineRule="auto"/>
        <w:rPr>
          <w:rFonts w:ascii="Palatino Linotype" w:eastAsia="Palatino Linotype" w:hAnsi="Palatino Linotype" w:cs="Palatino Linotype"/>
        </w:rPr>
      </w:pPr>
    </w:p>
    <w:p w:rsidR="00FC4992" w:rsidRPr="003B372F" w:rsidRDefault="003B11C6">
      <w:pPr>
        <w:pBdr>
          <w:top w:val="nil"/>
          <w:left w:val="nil"/>
          <w:bottom w:val="nil"/>
          <w:right w:val="nil"/>
          <w:between w:val="nil"/>
        </w:pBdr>
        <w:spacing w:line="360" w:lineRule="auto"/>
        <w:ind w:right="-28"/>
        <w:jc w:val="both"/>
        <w:rPr>
          <w:rFonts w:ascii="Palatino Linotype" w:eastAsia="Palatino Linotype" w:hAnsi="Palatino Linotype" w:cs="Palatino Linotype"/>
        </w:rPr>
      </w:pPr>
      <w:r w:rsidRPr="003B372F">
        <w:rPr>
          <w:rFonts w:ascii="Palatino Linotype" w:eastAsia="Palatino Linotype" w:hAnsi="Palatino Linotype" w:cs="Palatino Linotype"/>
        </w:rPr>
        <w:t>Ahora bien, sobre el promedio es la suma de las calificaciones que obtuvo una persona, durante un determinado curso, carrera, entre otros, por lo que, refleja el grado de conocimientos adquiridos durante el desarrollo escolar, lo cual, corresponde a una cuestión privada del servidor público.</w:t>
      </w:r>
    </w:p>
    <w:p w:rsidR="00FC4992" w:rsidRPr="003B372F" w:rsidRDefault="00FC4992">
      <w:pPr>
        <w:spacing w:line="360" w:lineRule="auto"/>
        <w:rPr>
          <w:rFonts w:ascii="Palatino Linotype" w:eastAsia="Palatino Linotype" w:hAnsi="Palatino Linotype" w:cs="Palatino Linotype"/>
        </w:rPr>
      </w:pPr>
    </w:p>
    <w:p w:rsidR="00FC4992" w:rsidRPr="003B372F" w:rsidRDefault="003B11C6">
      <w:pPr>
        <w:pBdr>
          <w:top w:val="nil"/>
          <w:left w:val="nil"/>
          <w:bottom w:val="nil"/>
          <w:right w:val="nil"/>
          <w:between w:val="nil"/>
        </w:pBd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Conforme a lo anterior y lo expuesto, se advierte que el desempeño escolar de una persona es información íntima de este, lo cual concierne también a su vida privada; por lo cual, se considera que las calificaciones, créditos y promedio, son confidenciales, en términos del artículo 143, fracción I, de la Ley de Transparencia y Acceso a la Información Pública del Estado de México y Municipios.</w:t>
      </w:r>
    </w:p>
    <w:p w:rsidR="00FC4992" w:rsidRPr="003B372F" w:rsidRDefault="00FC4992">
      <w:pPr>
        <w:spacing w:line="360" w:lineRule="auto"/>
        <w:rPr>
          <w:rFonts w:ascii="Palatino Linotype" w:eastAsia="Palatino Linotype" w:hAnsi="Palatino Linotype" w:cs="Palatino Linotype"/>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Por lo anterior, este Organismo Garante considera procedente su clasificación, en términos del numeral 143, fracción I de la de Ley de Transparencia y Acceso a la Información Pública del Estado de México se ordena dar vista al Titular de la Dirección de Datos Personales de este Órgano, con fundamento en el artículo 82 fracción XXVII de la Ley de Protección de Datos Personales del Estado de México, </w:t>
      </w:r>
      <w:r w:rsidRPr="003B372F">
        <w:rPr>
          <w:rFonts w:ascii="Palatino Linotype" w:eastAsia="Palatino Linotype" w:hAnsi="Palatino Linotype" w:cs="Palatino Linotype"/>
        </w:rPr>
        <w:lastRenderedPageBreak/>
        <w:t xml:space="preserve">para que en ejercicio de sus atribuciones contenidas en el numeral 24 fracciones V, XI, XII Y XIII del Reglamento Interior del Instituto de Transparencia, Acceso a la Información Pública y Protección de Datos Personales del Estado de México y Municipios, a efecto de que investigue y sanciones las posibles omisiones en las que el </w:t>
      </w:r>
      <w:r w:rsidRPr="003B372F">
        <w:rPr>
          <w:rFonts w:ascii="Palatino Linotype" w:eastAsia="Palatino Linotype" w:hAnsi="Palatino Linotype" w:cs="Palatino Linotype"/>
          <w:b/>
        </w:rPr>
        <w:t>SUJETO OBLIGADO</w:t>
      </w:r>
      <w:r w:rsidRPr="003B372F">
        <w:rPr>
          <w:rFonts w:ascii="Palatino Linotype" w:eastAsia="Palatino Linotype" w:hAnsi="Palatino Linotype" w:cs="Palatino Linotype"/>
        </w:rPr>
        <w:t xml:space="preserve"> pudo haber incurrido por el incumplimiento a las obligaciones previstas en la Ley de Protección de Datos Personales en Posesión de Sujetos Obligados del Estado de México y Municipios y, las demás disposiciones jurídicas aplicables en la materia; en caso de acreditarse las mismas, lo deberá hacer del conocimiento del Órgano de Control Interno del </w:t>
      </w:r>
      <w:r w:rsidRPr="003B372F">
        <w:rPr>
          <w:rFonts w:ascii="Palatino Linotype" w:eastAsia="Palatino Linotype" w:hAnsi="Palatino Linotype" w:cs="Palatino Linotype"/>
          <w:b/>
        </w:rPr>
        <w:t>SUJETO OBLIGADO</w:t>
      </w:r>
      <w:r w:rsidRPr="003B372F">
        <w:rPr>
          <w:rFonts w:ascii="Palatino Linotype" w:eastAsia="Palatino Linotype" w:hAnsi="Palatino Linotype" w:cs="Palatino Linotype"/>
        </w:rPr>
        <w:t xml:space="preserve"> para que este determine lo que conforme derecho corresponda, cuyo resultado deberá ser informado a este Instituto.</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pBdr>
          <w:top w:val="nil"/>
          <w:left w:val="nil"/>
          <w:bottom w:val="nil"/>
          <w:right w:val="nil"/>
          <w:between w:val="nil"/>
        </w:pBdr>
        <w:spacing w:line="360" w:lineRule="auto"/>
        <w:ind w:right="-91"/>
        <w:jc w:val="both"/>
        <w:rPr>
          <w:rFonts w:ascii="Palatino Linotype" w:eastAsia="Palatino Linotype" w:hAnsi="Palatino Linotype" w:cs="Palatino Linotype"/>
        </w:rPr>
      </w:pPr>
      <w:r w:rsidRPr="003B372F">
        <w:rPr>
          <w:rFonts w:ascii="Palatino Linotype" w:eastAsia="Palatino Linotype" w:hAnsi="Palatino Linotype" w:cs="Palatino Linotype"/>
          <w:b/>
        </w:rPr>
        <w:t xml:space="preserve">QUINTO. VERSIÓN PÚBLICA. </w:t>
      </w:r>
      <w:r w:rsidRPr="003B372F">
        <w:rPr>
          <w:rFonts w:ascii="Palatino Linotype" w:eastAsia="Palatino Linotype" w:hAnsi="Palatino Linotype" w:cs="Palatino Linotype"/>
        </w:rPr>
        <w:t xml:space="preserve">Finalmente, debe señalarse que de ser el caso en que los documentos que vayan a ser entregados por el sujeto obligado, para dar cumplimiento a la presente resolución, contengan datos que deban ser clasificados, el </w:t>
      </w:r>
      <w:r w:rsidRPr="003B372F">
        <w:rPr>
          <w:rFonts w:ascii="Palatino Linotype" w:eastAsia="Palatino Linotype" w:hAnsi="Palatino Linotype" w:cs="Palatino Linotype"/>
          <w:b/>
        </w:rPr>
        <w:t xml:space="preserve">SUJETO OBLIGADO </w:t>
      </w:r>
      <w:r w:rsidRPr="003B372F">
        <w:rPr>
          <w:rFonts w:ascii="Palatino Linotype" w:eastAsia="Palatino Linotype" w:hAnsi="Palatino Linotype" w:cs="Palatino Linotype"/>
        </w:rPr>
        <w:t>deberá hacer la elaboración de la versión pública de tales documentos a fin de satisfacer el derecho de acceso a la informació</w:t>
      </w:r>
      <w:bookmarkStart w:id="7" w:name="_GoBack"/>
      <w:bookmarkEnd w:id="7"/>
      <w:r w:rsidRPr="003B372F">
        <w:rPr>
          <w:rFonts w:ascii="Palatino Linotype" w:eastAsia="Palatino Linotype" w:hAnsi="Palatino Linotype" w:cs="Palatino Linotype"/>
        </w:rPr>
        <w:t>n pública del recurrente sin menoscabo al derecho a la protección de los datos personales de terceros.</w:t>
      </w:r>
    </w:p>
    <w:p w:rsidR="00FC4992" w:rsidRPr="003B372F" w:rsidRDefault="00FC4992">
      <w:pPr>
        <w:spacing w:line="360" w:lineRule="auto"/>
        <w:rPr>
          <w:rFonts w:ascii="Palatino Linotype" w:eastAsia="Palatino Linotype" w:hAnsi="Palatino Linotype" w:cs="Palatino Linotype"/>
        </w:rPr>
      </w:pPr>
    </w:p>
    <w:p w:rsidR="00FC4992" w:rsidRPr="003B372F" w:rsidRDefault="003B11C6">
      <w:pPr>
        <w:pBdr>
          <w:top w:val="nil"/>
          <w:left w:val="nil"/>
          <w:bottom w:val="nil"/>
          <w:right w:val="nil"/>
          <w:between w:val="nil"/>
        </w:pBd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Para efectos de la elaboración de la versión pública se deberá observar lo dispuesto por los artículos 3 fracciones IX, XX, XXI y XLV, 91, 132 fracciones II y III, y 143 </w:t>
      </w:r>
      <w:proofErr w:type="gramStart"/>
      <w:r w:rsidRPr="003B372F">
        <w:rPr>
          <w:rFonts w:ascii="Palatino Linotype" w:eastAsia="Palatino Linotype" w:hAnsi="Palatino Linotype" w:cs="Palatino Linotype"/>
        </w:rPr>
        <w:t>fracción</w:t>
      </w:r>
      <w:proofErr w:type="gramEnd"/>
      <w:r w:rsidRPr="003B372F">
        <w:rPr>
          <w:rFonts w:ascii="Palatino Linotype" w:eastAsia="Palatino Linotype" w:hAnsi="Palatino Linotype" w:cs="Palatino Linotype"/>
        </w:rPr>
        <w:t xml:space="preserve"> I de la Ley de Transparencia y Acceso a la Información Pública del Estado de México y Municipios que establecen:</w:t>
      </w:r>
    </w:p>
    <w:p w:rsidR="00FC4992" w:rsidRPr="003B372F" w:rsidRDefault="00FC4992">
      <w:pPr>
        <w:spacing w:line="276" w:lineRule="auto"/>
        <w:rPr>
          <w:rFonts w:ascii="Palatino Linotype" w:eastAsia="Palatino Linotype" w:hAnsi="Palatino Linotype" w:cs="Palatino Linotype"/>
          <w:sz w:val="22"/>
          <w:szCs w:val="22"/>
        </w:rPr>
      </w:pPr>
    </w:p>
    <w:p w:rsidR="00FC4992" w:rsidRPr="003B372F" w:rsidRDefault="003B11C6">
      <w:pPr>
        <w:pBdr>
          <w:top w:val="nil"/>
          <w:left w:val="nil"/>
          <w:bottom w:val="nil"/>
          <w:right w:val="nil"/>
          <w:between w:val="nil"/>
        </w:pBdr>
        <w:spacing w:line="276" w:lineRule="auto"/>
        <w:ind w:left="851" w:right="902"/>
        <w:jc w:val="both"/>
        <w:rPr>
          <w:rFonts w:ascii="Palatino Linotype" w:eastAsia="Palatino Linotype" w:hAnsi="Palatino Linotype" w:cs="Palatino Linotype"/>
          <w:sz w:val="22"/>
          <w:szCs w:val="22"/>
        </w:rPr>
      </w:pPr>
      <w:r w:rsidRPr="003B372F">
        <w:rPr>
          <w:rFonts w:ascii="Palatino Linotype" w:eastAsia="Palatino Linotype" w:hAnsi="Palatino Linotype" w:cs="Palatino Linotype"/>
          <w:i/>
          <w:sz w:val="22"/>
          <w:szCs w:val="22"/>
        </w:rPr>
        <w:lastRenderedPageBreak/>
        <w:t>“</w:t>
      </w:r>
      <w:r w:rsidRPr="003B372F">
        <w:rPr>
          <w:rFonts w:ascii="Palatino Linotype" w:eastAsia="Palatino Linotype" w:hAnsi="Palatino Linotype" w:cs="Palatino Linotype"/>
          <w:b/>
          <w:i/>
          <w:sz w:val="22"/>
          <w:szCs w:val="22"/>
        </w:rPr>
        <w:t>Artículo 3</w:t>
      </w:r>
      <w:r w:rsidRPr="003B372F">
        <w:rPr>
          <w:rFonts w:ascii="Palatino Linotype" w:eastAsia="Palatino Linotype" w:hAnsi="Palatino Linotype" w:cs="Palatino Linotype"/>
          <w:i/>
          <w:sz w:val="22"/>
          <w:szCs w:val="22"/>
        </w:rPr>
        <w:t>. Para los efectos de la presente Ley se entenderá por:</w:t>
      </w:r>
    </w:p>
    <w:p w:rsidR="00FC4992" w:rsidRPr="003B372F" w:rsidRDefault="003B11C6">
      <w:pPr>
        <w:pBdr>
          <w:top w:val="nil"/>
          <w:left w:val="nil"/>
          <w:bottom w:val="nil"/>
          <w:right w:val="nil"/>
          <w:between w:val="nil"/>
        </w:pBdr>
        <w:spacing w:after="120" w:line="276" w:lineRule="auto"/>
        <w:ind w:left="1134" w:right="902"/>
        <w:jc w:val="both"/>
        <w:rPr>
          <w:rFonts w:ascii="Palatino Linotype" w:eastAsia="Palatino Linotype" w:hAnsi="Palatino Linotype" w:cs="Palatino Linotype"/>
          <w:sz w:val="22"/>
          <w:szCs w:val="22"/>
        </w:rPr>
      </w:pPr>
      <w:r w:rsidRPr="003B372F">
        <w:rPr>
          <w:rFonts w:ascii="Palatino Linotype" w:eastAsia="Palatino Linotype" w:hAnsi="Palatino Linotype" w:cs="Palatino Linotype"/>
          <w:i/>
          <w:sz w:val="22"/>
          <w:szCs w:val="22"/>
        </w:rPr>
        <w:t>[…]</w:t>
      </w:r>
    </w:p>
    <w:p w:rsidR="00FC4992" w:rsidRPr="003B372F" w:rsidRDefault="003B11C6">
      <w:pPr>
        <w:pBdr>
          <w:top w:val="nil"/>
          <w:left w:val="nil"/>
          <w:bottom w:val="nil"/>
          <w:right w:val="nil"/>
          <w:between w:val="nil"/>
        </w:pBdr>
        <w:spacing w:before="120" w:after="120" w:line="276" w:lineRule="auto"/>
        <w:ind w:left="1134" w:right="902"/>
        <w:jc w:val="both"/>
        <w:rPr>
          <w:rFonts w:ascii="Palatino Linotype" w:eastAsia="Palatino Linotype" w:hAnsi="Palatino Linotype" w:cs="Palatino Linotype"/>
          <w:sz w:val="22"/>
          <w:szCs w:val="22"/>
        </w:rPr>
      </w:pPr>
      <w:r w:rsidRPr="003B372F">
        <w:rPr>
          <w:rFonts w:ascii="Palatino Linotype" w:eastAsia="Palatino Linotype" w:hAnsi="Palatino Linotype" w:cs="Palatino Linotype"/>
          <w:b/>
          <w:i/>
          <w:sz w:val="22"/>
          <w:szCs w:val="22"/>
        </w:rPr>
        <w:t>IX. Datos personales</w:t>
      </w:r>
      <w:r w:rsidRPr="003B372F">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 </w:t>
      </w:r>
    </w:p>
    <w:p w:rsidR="00FC4992" w:rsidRPr="003B372F" w:rsidRDefault="003B11C6">
      <w:pPr>
        <w:pBdr>
          <w:top w:val="nil"/>
          <w:left w:val="nil"/>
          <w:bottom w:val="nil"/>
          <w:right w:val="nil"/>
          <w:between w:val="nil"/>
        </w:pBdr>
        <w:spacing w:before="120" w:after="120" w:line="276" w:lineRule="auto"/>
        <w:ind w:left="1134" w:right="902"/>
        <w:jc w:val="both"/>
        <w:rPr>
          <w:rFonts w:ascii="Palatino Linotype" w:eastAsia="Palatino Linotype" w:hAnsi="Palatino Linotype" w:cs="Palatino Linotype"/>
          <w:sz w:val="22"/>
          <w:szCs w:val="22"/>
        </w:rPr>
      </w:pPr>
      <w:r w:rsidRPr="003B372F">
        <w:rPr>
          <w:rFonts w:ascii="Palatino Linotype" w:eastAsia="Palatino Linotype" w:hAnsi="Palatino Linotype" w:cs="Palatino Linotype"/>
          <w:b/>
          <w:i/>
          <w:sz w:val="22"/>
          <w:szCs w:val="22"/>
        </w:rPr>
        <w:t>XX. Información clasificada</w:t>
      </w:r>
      <w:r w:rsidRPr="003B372F">
        <w:rPr>
          <w:rFonts w:ascii="Palatino Linotype" w:eastAsia="Palatino Linotype" w:hAnsi="Palatino Linotype" w:cs="Palatino Linotype"/>
          <w:i/>
          <w:sz w:val="22"/>
          <w:szCs w:val="22"/>
        </w:rPr>
        <w:t>: Aquella considerada por la presente Ley como reservada o confidencial;</w:t>
      </w:r>
    </w:p>
    <w:p w:rsidR="00FC4992" w:rsidRPr="003B372F" w:rsidRDefault="003B11C6">
      <w:pPr>
        <w:pBdr>
          <w:top w:val="nil"/>
          <w:left w:val="nil"/>
          <w:bottom w:val="nil"/>
          <w:right w:val="nil"/>
          <w:between w:val="nil"/>
        </w:pBdr>
        <w:spacing w:before="120" w:after="120" w:line="276" w:lineRule="auto"/>
        <w:ind w:left="1134" w:right="902"/>
        <w:jc w:val="both"/>
        <w:rPr>
          <w:rFonts w:ascii="Palatino Linotype" w:eastAsia="Palatino Linotype" w:hAnsi="Palatino Linotype" w:cs="Palatino Linotype"/>
          <w:sz w:val="22"/>
          <w:szCs w:val="22"/>
        </w:rPr>
      </w:pPr>
      <w:r w:rsidRPr="003B372F">
        <w:rPr>
          <w:rFonts w:ascii="Palatino Linotype" w:eastAsia="Palatino Linotype" w:hAnsi="Palatino Linotype" w:cs="Palatino Linotype"/>
          <w:b/>
          <w:i/>
          <w:sz w:val="22"/>
          <w:szCs w:val="22"/>
        </w:rPr>
        <w:t xml:space="preserve">XXI. Información confidencial: </w:t>
      </w:r>
      <w:r w:rsidRPr="003B372F">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FC4992" w:rsidRPr="003B372F" w:rsidRDefault="003B11C6">
      <w:pPr>
        <w:pBdr>
          <w:top w:val="nil"/>
          <w:left w:val="nil"/>
          <w:bottom w:val="nil"/>
          <w:right w:val="nil"/>
          <w:between w:val="nil"/>
        </w:pBdr>
        <w:spacing w:before="120" w:after="120" w:line="276" w:lineRule="auto"/>
        <w:ind w:left="1134" w:right="902"/>
        <w:jc w:val="both"/>
        <w:rPr>
          <w:rFonts w:ascii="Palatino Linotype" w:eastAsia="Palatino Linotype" w:hAnsi="Palatino Linotype" w:cs="Palatino Linotype"/>
          <w:sz w:val="22"/>
          <w:szCs w:val="22"/>
        </w:rPr>
      </w:pPr>
      <w:r w:rsidRPr="003B372F">
        <w:rPr>
          <w:rFonts w:ascii="Palatino Linotype" w:eastAsia="Palatino Linotype" w:hAnsi="Palatino Linotype" w:cs="Palatino Linotype"/>
          <w:b/>
          <w:i/>
          <w:sz w:val="22"/>
          <w:szCs w:val="22"/>
        </w:rPr>
        <w:t>XLV. Versión pública:</w:t>
      </w:r>
      <w:r w:rsidRPr="003B372F">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FC4992" w:rsidRPr="003B372F" w:rsidRDefault="003B11C6">
      <w:pPr>
        <w:pBdr>
          <w:top w:val="nil"/>
          <w:left w:val="nil"/>
          <w:bottom w:val="nil"/>
          <w:right w:val="nil"/>
          <w:between w:val="nil"/>
        </w:pBdr>
        <w:spacing w:before="120" w:after="120" w:line="276" w:lineRule="auto"/>
        <w:ind w:left="1134" w:right="902"/>
        <w:jc w:val="both"/>
        <w:rPr>
          <w:rFonts w:ascii="Palatino Linotype" w:eastAsia="Palatino Linotype" w:hAnsi="Palatino Linotype" w:cs="Palatino Linotype"/>
          <w:sz w:val="22"/>
          <w:szCs w:val="22"/>
        </w:rPr>
      </w:pPr>
      <w:r w:rsidRPr="003B372F">
        <w:rPr>
          <w:rFonts w:ascii="Palatino Linotype" w:eastAsia="Palatino Linotype" w:hAnsi="Palatino Linotype" w:cs="Palatino Linotype"/>
          <w:i/>
          <w:sz w:val="22"/>
          <w:szCs w:val="22"/>
        </w:rPr>
        <w:t>[…]</w:t>
      </w:r>
    </w:p>
    <w:p w:rsidR="00FC4992" w:rsidRPr="003B372F" w:rsidRDefault="003B11C6">
      <w:pPr>
        <w:pBdr>
          <w:top w:val="nil"/>
          <w:left w:val="nil"/>
          <w:bottom w:val="nil"/>
          <w:right w:val="nil"/>
          <w:between w:val="nil"/>
        </w:pBdr>
        <w:spacing w:before="120" w:after="120" w:line="276" w:lineRule="auto"/>
        <w:ind w:left="851" w:right="902"/>
        <w:jc w:val="both"/>
        <w:rPr>
          <w:rFonts w:ascii="Palatino Linotype" w:eastAsia="Palatino Linotype" w:hAnsi="Palatino Linotype" w:cs="Palatino Linotype"/>
          <w:sz w:val="22"/>
          <w:szCs w:val="22"/>
        </w:rPr>
      </w:pPr>
      <w:r w:rsidRPr="003B372F">
        <w:rPr>
          <w:rFonts w:ascii="Palatino Linotype" w:eastAsia="Palatino Linotype" w:hAnsi="Palatino Linotype" w:cs="Palatino Linotype"/>
          <w:b/>
          <w:i/>
          <w:sz w:val="22"/>
          <w:szCs w:val="22"/>
        </w:rPr>
        <w:t>Artículo 91.</w:t>
      </w:r>
      <w:r w:rsidRPr="003B372F">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FC4992" w:rsidRPr="003B372F" w:rsidRDefault="003B11C6">
      <w:pPr>
        <w:pBdr>
          <w:top w:val="nil"/>
          <w:left w:val="nil"/>
          <w:bottom w:val="nil"/>
          <w:right w:val="nil"/>
          <w:between w:val="nil"/>
        </w:pBdr>
        <w:spacing w:before="120" w:after="120" w:line="276" w:lineRule="auto"/>
        <w:ind w:left="851" w:right="902"/>
        <w:jc w:val="both"/>
        <w:rPr>
          <w:rFonts w:ascii="Palatino Linotype" w:eastAsia="Palatino Linotype" w:hAnsi="Palatino Linotype" w:cs="Palatino Linotype"/>
          <w:sz w:val="22"/>
          <w:szCs w:val="22"/>
        </w:rPr>
      </w:pPr>
      <w:r w:rsidRPr="003B372F">
        <w:rPr>
          <w:rFonts w:ascii="Palatino Linotype" w:eastAsia="Palatino Linotype" w:hAnsi="Palatino Linotype" w:cs="Palatino Linotype"/>
          <w:b/>
          <w:i/>
          <w:sz w:val="22"/>
          <w:szCs w:val="22"/>
        </w:rPr>
        <w:t>Artículo 132.</w:t>
      </w:r>
      <w:r w:rsidRPr="003B372F">
        <w:rPr>
          <w:rFonts w:ascii="Palatino Linotype" w:eastAsia="Palatino Linotype" w:hAnsi="Palatino Linotype" w:cs="Palatino Linotype"/>
          <w:i/>
          <w:sz w:val="22"/>
          <w:szCs w:val="22"/>
        </w:rPr>
        <w:t xml:space="preserve"> La clasificación de la información se llevará a cabo en el momento en que:</w:t>
      </w:r>
    </w:p>
    <w:p w:rsidR="00FC4992" w:rsidRPr="003B372F" w:rsidRDefault="003B11C6">
      <w:pPr>
        <w:pBdr>
          <w:top w:val="nil"/>
          <w:left w:val="nil"/>
          <w:bottom w:val="nil"/>
          <w:right w:val="nil"/>
          <w:between w:val="nil"/>
        </w:pBdr>
        <w:spacing w:before="120" w:after="120" w:line="276" w:lineRule="auto"/>
        <w:ind w:left="1134" w:right="902"/>
        <w:jc w:val="both"/>
        <w:rPr>
          <w:rFonts w:ascii="Palatino Linotype" w:eastAsia="Palatino Linotype" w:hAnsi="Palatino Linotype" w:cs="Palatino Linotype"/>
          <w:sz w:val="22"/>
          <w:szCs w:val="22"/>
        </w:rPr>
      </w:pPr>
      <w:r w:rsidRPr="003B372F">
        <w:rPr>
          <w:rFonts w:ascii="Palatino Linotype" w:eastAsia="Palatino Linotype" w:hAnsi="Palatino Linotype" w:cs="Palatino Linotype"/>
          <w:b/>
          <w:i/>
          <w:sz w:val="22"/>
          <w:szCs w:val="22"/>
        </w:rPr>
        <w:t>I</w:t>
      </w:r>
      <w:r w:rsidRPr="003B372F">
        <w:rPr>
          <w:rFonts w:ascii="Palatino Linotype" w:eastAsia="Palatino Linotype" w:hAnsi="Palatino Linotype" w:cs="Palatino Linotype"/>
          <w:i/>
          <w:sz w:val="22"/>
          <w:szCs w:val="22"/>
        </w:rPr>
        <w:t>. Se reciba una solicitud de acceso a la información;</w:t>
      </w:r>
    </w:p>
    <w:p w:rsidR="00FC4992" w:rsidRPr="003B372F" w:rsidRDefault="003B11C6">
      <w:pPr>
        <w:pBdr>
          <w:top w:val="nil"/>
          <w:left w:val="nil"/>
          <w:bottom w:val="nil"/>
          <w:right w:val="nil"/>
          <w:between w:val="nil"/>
        </w:pBdr>
        <w:spacing w:before="120" w:after="120" w:line="276" w:lineRule="auto"/>
        <w:ind w:left="1134" w:right="902"/>
        <w:jc w:val="both"/>
        <w:rPr>
          <w:rFonts w:ascii="Palatino Linotype" w:eastAsia="Palatino Linotype" w:hAnsi="Palatino Linotype" w:cs="Palatino Linotype"/>
          <w:sz w:val="22"/>
          <w:szCs w:val="22"/>
        </w:rPr>
      </w:pPr>
      <w:r w:rsidRPr="003B372F">
        <w:rPr>
          <w:rFonts w:ascii="Palatino Linotype" w:eastAsia="Palatino Linotype" w:hAnsi="Palatino Linotype" w:cs="Palatino Linotype"/>
          <w:b/>
          <w:i/>
          <w:sz w:val="22"/>
          <w:szCs w:val="22"/>
        </w:rPr>
        <w:t>II.</w:t>
      </w:r>
      <w:r w:rsidRPr="003B372F">
        <w:rPr>
          <w:rFonts w:ascii="Palatino Linotype" w:eastAsia="Palatino Linotype" w:hAnsi="Palatino Linotype" w:cs="Palatino Linotype"/>
          <w:i/>
          <w:sz w:val="22"/>
          <w:szCs w:val="22"/>
        </w:rPr>
        <w:t xml:space="preserve"> Se determine mediante resolución de autoridad competente; o</w:t>
      </w:r>
    </w:p>
    <w:p w:rsidR="00FC4992" w:rsidRPr="003B372F" w:rsidRDefault="003B11C6">
      <w:pPr>
        <w:pBdr>
          <w:top w:val="nil"/>
          <w:left w:val="nil"/>
          <w:bottom w:val="nil"/>
          <w:right w:val="nil"/>
          <w:between w:val="nil"/>
        </w:pBdr>
        <w:spacing w:before="120" w:after="120" w:line="276" w:lineRule="auto"/>
        <w:ind w:left="1134" w:right="902"/>
        <w:jc w:val="both"/>
        <w:rPr>
          <w:rFonts w:ascii="Palatino Linotype" w:eastAsia="Palatino Linotype" w:hAnsi="Palatino Linotype" w:cs="Palatino Linotype"/>
          <w:sz w:val="22"/>
          <w:szCs w:val="22"/>
        </w:rPr>
      </w:pPr>
      <w:r w:rsidRPr="003B372F">
        <w:rPr>
          <w:rFonts w:ascii="Palatino Linotype" w:eastAsia="Palatino Linotype" w:hAnsi="Palatino Linotype" w:cs="Palatino Linotype"/>
          <w:b/>
          <w:i/>
          <w:sz w:val="22"/>
          <w:szCs w:val="22"/>
        </w:rPr>
        <w:t>III.</w:t>
      </w:r>
      <w:r w:rsidRPr="003B372F">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rsidR="00FC4992" w:rsidRPr="003B372F" w:rsidRDefault="003B11C6">
      <w:pPr>
        <w:pBdr>
          <w:top w:val="nil"/>
          <w:left w:val="nil"/>
          <w:bottom w:val="nil"/>
          <w:right w:val="nil"/>
          <w:between w:val="nil"/>
        </w:pBdr>
        <w:spacing w:before="120" w:after="120" w:line="276" w:lineRule="auto"/>
        <w:ind w:left="851" w:right="902"/>
        <w:jc w:val="both"/>
        <w:rPr>
          <w:rFonts w:ascii="Palatino Linotype" w:eastAsia="Palatino Linotype" w:hAnsi="Palatino Linotype" w:cs="Palatino Linotype"/>
          <w:sz w:val="22"/>
          <w:szCs w:val="22"/>
        </w:rPr>
      </w:pPr>
      <w:r w:rsidRPr="003B372F">
        <w:rPr>
          <w:rFonts w:ascii="Palatino Linotype" w:eastAsia="Palatino Linotype" w:hAnsi="Palatino Linotype" w:cs="Palatino Linotype"/>
          <w:i/>
          <w:sz w:val="22"/>
          <w:szCs w:val="22"/>
        </w:rPr>
        <w:t>[…]</w:t>
      </w:r>
    </w:p>
    <w:p w:rsidR="00FC4992" w:rsidRPr="003B372F" w:rsidRDefault="003B11C6">
      <w:pPr>
        <w:pBdr>
          <w:top w:val="nil"/>
          <w:left w:val="nil"/>
          <w:bottom w:val="nil"/>
          <w:right w:val="nil"/>
          <w:between w:val="nil"/>
        </w:pBdr>
        <w:spacing w:before="120" w:after="120" w:line="276" w:lineRule="auto"/>
        <w:ind w:left="851" w:right="902"/>
        <w:jc w:val="both"/>
        <w:rPr>
          <w:rFonts w:ascii="Palatino Linotype" w:eastAsia="Palatino Linotype" w:hAnsi="Palatino Linotype" w:cs="Palatino Linotype"/>
          <w:sz w:val="22"/>
          <w:szCs w:val="22"/>
        </w:rPr>
      </w:pPr>
      <w:r w:rsidRPr="003B372F">
        <w:rPr>
          <w:rFonts w:ascii="Palatino Linotype" w:eastAsia="Palatino Linotype" w:hAnsi="Palatino Linotype" w:cs="Palatino Linotype"/>
          <w:b/>
          <w:i/>
          <w:sz w:val="22"/>
          <w:szCs w:val="22"/>
        </w:rPr>
        <w:t>Artículo 143</w:t>
      </w:r>
      <w:r w:rsidRPr="003B372F">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FC4992" w:rsidRPr="003B372F" w:rsidRDefault="003B11C6">
      <w:pPr>
        <w:pBdr>
          <w:top w:val="nil"/>
          <w:left w:val="nil"/>
          <w:bottom w:val="nil"/>
          <w:right w:val="nil"/>
          <w:between w:val="nil"/>
        </w:pBdr>
        <w:spacing w:before="120" w:after="120" w:line="276" w:lineRule="auto"/>
        <w:ind w:left="1134" w:right="902"/>
        <w:jc w:val="both"/>
        <w:rPr>
          <w:rFonts w:ascii="Palatino Linotype" w:eastAsia="Palatino Linotype" w:hAnsi="Palatino Linotype" w:cs="Palatino Linotype"/>
          <w:sz w:val="22"/>
          <w:szCs w:val="22"/>
        </w:rPr>
      </w:pPr>
      <w:r w:rsidRPr="003B372F">
        <w:rPr>
          <w:rFonts w:ascii="Palatino Linotype" w:eastAsia="Palatino Linotype" w:hAnsi="Palatino Linotype" w:cs="Palatino Linotype"/>
          <w:b/>
          <w:i/>
          <w:sz w:val="22"/>
          <w:szCs w:val="22"/>
        </w:rPr>
        <w:t>I.</w:t>
      </w:r>
      <w:r w:rsidRPr="003B372F">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3B372F">
        <w:rPr>
          <w:rFonts w:ascii="Palatino Linotype" w:eastAsia="Palatino Linotype" w:hAnsi="Palatino Linotype" w:cs="Palatino Linotype"/>
          <w:i/>
          <w:sz w:val="22"/>
          <w:szCs w:val="22"/>
        </w:rPr>
        <w:t>jurídico</w:t>
      </w:r>
      <w:proofErr w:type="gramEnd"/>
      <w:r w:rsidRPr="003B372F">
        <w:rPr>
          <w:rFonts w:ascii="Palatino Linotype" w:eastAsia="Palatino Linotype" w:hAnsi="Palatino Linotype" w:cs="Palatino Linotype"/>
          <w:i/>
          <w:sz w:val="22"/>
          <w:szCs w:val="22"/>
        </w:rPr>
        <w:t xml:space="preserve"> colectiva identificada o identificable;</w:t>
      </w:r>
    </w:p>
    <w:p w:rsidR="00FC4992" w:rsidRPr="003B372F" w:rsidRDefault="003B11C6">
      <w:pPr>
        <w:pBdr>
          <w:top w:val="nil"/>
          <w:left w:val="nil"/>
          <w:bottom w:val="nil"/>
          <w:right w:val="nil"/>
          <w:between w:val="nil"/>
        </w:pBdr>
        <w:spacing w:before="120" w:after="120" w:line="276" w:lineRule="auto"/>
        <w:ind w:left="1134" w:right="902"/>
        <w:jc w:val="both"/>
        <w:rPr>
          <w:rFonts w:ascii="Palatino Linotype" w:eastAsia="Palatino Linotype" w:hAnsi="Palatino Linotype" w:cs="Palatino Linotype"/>
          <w:sz w:val="22"/>
          <w:szCs w:val="22"/>
        </w:rPr>
      </w:pPr>
      <w:r w:rsidRPr="003B372F">
        <w:rPr>
          <w:rFonts w:ascii="Palatino Linotype" w:eastAsia="Palatino Linotype" w:hAnsi="Palatino Linotype" w:cs="Palatino Linotype"/>
          <w:b/>
          <w:i/>
          <w:sz w:val="22"/>
          <w:szCs w:val="22"/>
        </w:rPr>
        <w:t>II.</w:t>
      </w:r>
      <w:r w:rsidRPr="003B372F">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w:t>
      </w:r>
      <w:r w:rsidRPr="003B372F">
        <w:rPr>
          <w:rFonts w:ascii="Palatino Linotype" w:eastAsia="Palatino Linotype" w:hAnsi="Palatino Linotype" w:cs="Palatino Linotype"/>
          <w:i/>
          <w:sz w:val="22"/>
          <w:szCs w:val="22"/>
        </w:rPr>
        <w:lastRenderedPageBreak/>
        <w:t>internacional o a sujetos obligados cuando no involucren el ejercicio de recursos públicos; y</w:t>
      </w:r>
    </w:p>
    <w:p w:rsidR="00FC4992" w:rsidRPr="003B372F" w:rsidRDefault="003B11C6">
      <w:pPr>
        <w:pBdr>
          <w:top w:val="nil"/>
          <w:left w:val="nil"/>
          <w:bottom w:val="nil"/>
          <w:right w:val="nil"/>
          <w:between w:val="nil"/>
        </w:pBdr>
        <w:spacing w:before="120" w:after="120" w:line="276" w:lineRule="auto"/>
        <w:ind w:left="1134" w:right="902"/>
        <w:jc w:val="both"/>
        <w:rPr>
          <w:rFonts w:ascii="Palatino Linotype" w:eastAsia="Palatino Linotype" w:hAnsi="Palatino Linotype" w:cs="Palatino Linotype"/>
          <w:sz w:val="22"/>
          <w:szCs w:val="22"/>
        </w:rPr>
      </w:pPr>
      <w:r w:rsidRPr="003B372F">
        <w:rPr>
          <w:rFonts w:ascii="Palatino Linotype" w:eastAsia="Palatino Linotype" w:hAnsi="Palatino Linotype" w:cs="Palatino Linotype"/>
          <w:b/>
          <w:i/>
          <w:sz w:val="22"/>
          <w:szCs w:val="22"/>
        </w:rPr>
        <w:t>III.</w:t>
      </w:r>
      <w:r w:rsidRPr="003B372F">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rsidR="00FC4992" w:rsidRPr="003B372F" w:rsidRDefault="003B11C6">
      <w:pPr>
        <w:pBdr>
          <w:top w:val="nil"/>
          <w:left w:val="nil"/>
          <w:bottom w:val="nil"/>
          <w:right w:val="nil"/>
          <w:between w:val="nil"/>
        </w:pBdr>
        <w:spacing w:before="120" w:after="120" w:line="276" w:lineRule="auto"/>
        <w:ind w:left="851" w:right="902"/>
        <w:jc w:val="both"/>
        <w:rPr>
          <w:rFonts w:ascii="Palatino Linotype" w:eastAsia="Palatino Linotype" w:hAnsi="Palatino Linotype" w:cs="Palatino Linotype"/>
          <w:sz w:val="22"/>
          <w:szCs w:val="22"/>
        </w:rPr>
      </w:pPr>
      <w:r w:rsidRPr="003B372F">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FC4992" w:rsidRPr="003B372F" w:rsidRDefault="003B11C6">
      <w:pPr>
        <w:pBdr>
          <w:top w:val="nil"/>
          <w:left w:val="nil"/>
          <w:bottom w:val="nil"/>
          <w:right w:val="nil"/>
          <w:between w:val="nil"/>
        </w:pBdr>
        <w:spacing w:before="120" w:after="120" w:line="276" w:lineRule="auto"/>
        <w:ind w:left="851" w:right="902"/>
        <w:jc w:val="both"/>
        <w:rPr>
          <w:rFonts w:ascii="Palatino Linotype" w:eastAsia="Palatino Linotype" w:hAnsi="Palatino Linotype" w:cs="Palatino Linotype"/>
          <w:sz w:val="22"/>
          <w:szCs w:val="22"/>
        </w:rPr>
      </w:pPr>
      <w:r w:rsidRPr="003B372F">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FC4992" w:rsidRPr="003B372F" w:rsidRDefault="00FC4992">
      <w:pPr>
        <w:spacing w:line="360" w:lineRule="auto"/>
        <w:rPr>
          <w:rFonts w:ascii="Palatino Linotype" w:eastAsia="Palatino Linotype" w:hAnsi="Palatino Linotype" w:cs="Palatino Linotype"/>
        </w:rPr>
      </w:pPr>
    </w:p>
    <w:p w:rsidR="00FC4992" w:rsidRPr="003B372F" w:rsidRDefault="003B11C6">
      <w:pPr>
        <w:pBdr>
          <w:top w:val="nil"/>
          <w:left w:val="nil"/>
          <w:bottom w:val="nil"/>
          <w:right w:val="nil"/>
          <w:between w:val="nil"/>
        </w:pBdr>
        <w:spacing w:before="120"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FC4992" w:rsidRPr="003B372F" w:rsidRDefault="00FC4992">
      <w:pPr>
        <w:spacing w:line="360" w:lineRule="auto"/>
        <w:rPr>
          <w:rFonts w:ascii="Palatino Linotype" w:eastAsia="Palatino Linotype" w:hAnsi="Palatino Linotype" w:cs="Palatino Linotype"/>
        </w:rPr>
      </w:pPr>
    </w:p>
    <w:p w:rsidR="00FC4992" w:rsidRPr="003B372F" w:rsidRDefault="003B11C6">
      <w:pPr>
        <w:pBdr>
          <w:top w:val="nil"/>
          <w:left w:val="nil"/>
          <w:bottom w:val="nil"/>
          <w:right w:val="nil"/>
          <w:between w:val="nil"/>
        </w:pBd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FC4992" w:rsidRPr="003B372F" w:rsidRDefault="00FC4992">
      <w:pPr>
        <w:spacing w:line="360" w:lineRule="auto"/>
        <w:rPr>
          <w:rFonts w:ascii="Palatino Linotype" w:eastAsia="Palatino Linotype" w:hAnsi="Palatino Linotype" w:cs="Palatino Linotype"/>
        </w:rPr>
      </w:pPr>
    </w:p>
    <w:p w:rsidR="00FC4992" w:rsidRPr="003B372F" w:rsidRDefault="003B11C6">
      <w:pPr>
        <w:pBdr>
          <w:top w:val="nil"/>
          <w:left w:val="nil"/>
          <w:bottom w:val="nil"/>
          <w:right w:val="nil"/>
          <w:between w:val="nil"/>
        </w:pBdr>
        <w:spacing w:after="120" w:line="276" w:lineRule="auto"/>
        <w:ind w:left="851" w:right="902"/>
        <w:jc w:val="both"/>
        <w:rPr>
          <w:rFonts w:ascii="Palatino Linotype" w:eastAsia="Palatino Linotype" w:hAnsi="Palatino Linotype" w:cs="Palatino Linotype"/>
          <w:sz w:val="22"/>
          <w:szCs w:val="22"/>
        </w:rPr>
      </w:pPr>
      <w:r w:rsidRPr="003B372F">
        <w:rPr>
          <w:rFonts w:ascii="Palatino Linotype" w:eastAsia="Palatino Linotype" w:hAnsi="Palatino Linotype" w:cs="Palatino Linotype"/>
          <w:b/>
          <w:i/>
          <w:sz w:val="22"/>
          <w:szCs w:val="22"/>
        </w:rPr>
        <w:t>“Quincuagésimo sexto</w:t>
      </w:r>
      <w:r w:rsidRPr="003B372F">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FC4992" w:rsidRPr="003B372F" w:rsidRDefault="003B11C6">
      <w:pPr>
        <w:pBdr>
          <w:top w:val="nil"/>
          <w:left w:val="nil"/>
          <w:bottom w:val="nil"/>
          <w:right w:val="nil"/>
          <w:between w:val="nil"/>
        </w:pBdr>
        <w:spacing w:before="120" w:after="120" w:line="276" w:lineRule="auto"/>
        <w:ind w:left="851" w:right="902"/>
        <w:jc w:val="both"/>
        <w:rPr>
          <w:rFonts w:ascii="Palatino Linotype" w:eastAsia="Palatino Linotype" w:hAnsi="Palatino Linotype" w:cs="Palatino Linotype"/>
          <w:sz w:val="22"/>
          <w:szCs w:val="22"/>
        </w:rPr>
      </w:pPr>
      <w:r w:rsidRPr="003B372F">
        <w:rPr>
          <w:rFonts w:ascii="Palatino Linotype" w:eastAsia="Palatino Linotype" w:hAnsi="Palatino Linotype" w:cs="Palatino Linotype"/>
          <w:b/>
          <w:i/>
          <w:sz w:val="22"/>
          <w:szCs w:val="22"/>
        </w:rPr>
        <w:lastRenderedPageBreak/>
        <w:t>Quincuagésimo séptimo</w:t>
      </w:r>
      <w:r w:rsidRPr="003B372F">
        <w:rPr>
          <w:rFonts w:ascii="Palatino Linotype" w:eastAsia="Palatino Linotype" w:hAnsi="Palatino Linotype" w:cs="Palatino Linotype"/>
          <w:i/>
          <w:sz w:val="22"/>
          <w:szCs w:val="22"/>
        </w:rPr>
        <w:t>. Se considera, en principio, como información pública y no podrá omitirse de las versiones públicas la siguiente: </w:t>
      </w:r>
    </w:p>
    <w:p w:rsidR="00FC4992" w:rsidRPr="003B372F" w:rsidRDefault="003B11C6">
      <w:pPr>
        <w:pBdr>
          <w:top w:val="nil"/>
          <w:left w:val="nil"/>
          <w:bottom w:val="nil"/>
          <w:right w:val="nil"/>
          <w:between w:val="nil"/>
        </w:pBdr>
        <w:spacing w:before="120" w:after="120" w:line="276" w:lineRule="auto"/>
        <w:ind w:left="1134" w:right="902"/>
        <w:jc w:val="both"/>
        <w:rPr>
          <w:rFonts w:ascii="Palatino Linotype" w:eastAsia="Palatino Linotype" w:hAnsi="Palatino Linotype" w:cs="Palatino Linotype"/>
          <w:sz w:val="22"/>
          <w:szCs w:val="22"/>
        </w:rPr>
      </w:pPr>
      <w:r w:rsidRPr="003B372F">
        <w:rPr>
          <w:rFonts w:ascii="Palatino Linotype" w:eastAsia="Palatino Linotype" w:hAnsi="Palatino Linotype" w:cs="Palatino Linotype"/>
          <w:b/>
          <w:i/>
          <w:sz w:val="22"/>
          <w:szCs w:val="22"/>
        </w:rPr>
        <w:t>I.</w:t>
      </w:r>
      <w:r w:rsidRPr="003B372F">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FC4992" w:rsidRPr="003B372F" w:rsidRDefault="003B11C6">
      <w:pPr>
        <w:pBdr>
          <w:top w:val="nil"/>
          <w:left w:val="nil"/>
          <w:bottom w:val="nil"/>
          <w:right w:val="nil"/>
          <w:between w:val="nil"/>
        </w:pBdr>
        <w:spacing w:before="120" w:after="120" w:line="276" w:lineRule="auto"/>
        <w:ind w:left="1134" w:right="902"/>
        <w:jc w:val="both"/>
        <w:rPr>
          <w:rFonts w:ascii="Palatino Linotype" w:eastAsia="Palatino Linotype" w:hAnsi="Palatino Linotype" w:cs="Palatino Linotype"/>
          <w:sz w:val="22"/>
          <w:szCs w:val="22"/>
        </w:rPr>
      </w:pPr>
      <w:r w:rsidRPr="003B372F">
        <w:rPr>
          <w:rFonts w:ascii="Palatino Linotype" w:eastAsia="Palatino Linotype" w:hAnsi="Palatino Linotype" w:cs="Palatino Linotype"/>
          <w:b/>
          <w:i/>
          <w:sz w:val="22"/>
          <w:szCs w:val="22"/>
        </w:rPr>
        <w:t>II.</w:t>
      </w:r>
      <w:r w:rsidRPr="003B372F">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FC4992" w:rsidRPr="003B372F" w:rsidRDefault="003B11C6">
      <w:pPr>
        <w:pBdr>
          <w:top w:val="nil"/>
          <w:left w:val="nil"/>
          <w:bottom w:val="nil"/>
          <w:right w:val="nil"/>
          <w:between w:val="nil"/>
        </w:pBdr>
        <w:spacing w:before="120" w:after="120" w:line="276" w:lineRule="auto"/>
        <w:ind w:left="1134" w:right="902"/>
        <w:jc w:val="both"/>
        <w:rPr>
          <w:rFonts w:ascii="Palatino Linotype" w:eastAsia="Palatino Linotype" w:hAnsi="Palatino Linotype" w:cs="Palatino Linotype"/>
          <w:sz w:val="22"/>
          <w:szCs w:val="22"/>
        </w:rPr>
      </w:pPr>
      <w:r w:rsidRPr="003B372F">
        <w:rPr>
          <w:rFonts w:ascii="Palatino Linotype" w:eastAsia="Palatino Linotype" w:hAnsi="Palatino Linotype" w:cs="Palatino Linotype"/>
          <w:b/>
          <w:i/>
          <w:sz w:val="22"/>
          <w:szCs w:val="22"/>
        </w:rPr>
        <w:t>III.</w:t>
      </w:r>
      <w:r w:rsidRPr="003B372F">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FC4992" w:rsidRPr="003B372F" w:rsidRDefault="003B11C6">
      <w:pPr>
        <w:pBdr>
          <w:top w:val="nil"/>
          <w:left w:val="nil"/>
          <w:bottom w:val="nil"/>
          <w:right w:val="nil"/>
          <w:between w:val="nil"/>
        </w:pBdr>
        <w:spacing w:before="120" w:after="120" w:line="276" w:lineRule="auto"/>
        <w:ind w:left="851" w:right="902"/>
        <w:jc w:val="both"/>
        <w:rPr>
          <w:rFonts w:ascii="Palatino Linotype" w:eastAsia="Palatino Linotype" w:hAnsi="Palatino Linotype" w:cs="Palatino Linotype"/>
          <w:sz w:val="22"/>
          <w:szCs w:val="22"/>
        </w:rPr>
      </w:pPr>
      <w:r w:rsidRPr="003B372F">
        <w:rPr>
          <w:rFonts w:ascii="Palatino Linotype" w:eastAsia="Palatino Linotype" w:hAnsi="Palatino Linotype" w:cs="Palatino Linotype"/>
          <w:i/>
          <w:sz w:val="22"/>
          <w:szCs w:val="22"/>
        </w:rPr>
        <w:t>Lo anterior, siempre y cuando no se acredite alguna causal de clasificación, prevista en las leyes o en los tratados internaciones suscritos por el Estado mexicano. </w:t>
      </w:r>
    </w:p>
    <w:p w:rsidR="00FC4992" w:rsidRPr="003B372F" w:rsidRDefault="003B11C6">
      <w:pPr>
        <w:pBdr>
          <w:top w:val="nil"/>
          <w:left w:val="nil"/>
          <w:bottom w:val="nil"/>
          <w:right w:val="nil"/>
          <w:between w:val="nil"/>
        </w:pBdr>
        <w:spacing w:before="120" w:line="276" w:lineRule="auto"/>
        <w:ind w:left="851" w:right="902"/>
        <w:jc w:val="both"/>
        <w:rPr>
          <w:rFonts w:ascii="Palatino Linotype" w:eastAsia="Palatino Linotype" w:hAnsi="Palatino Linotype" w:cs="Palatino Linotype"/>
        </w:rPr>
      </w:pPr>
      <w:r w:rsidRPr="003B372F">
        <w:rPr>
          <w:rFonts w:ascii="Palatino Linotype" w:eastAsia="Palatino Linotype" w:hAnsi="Palatino Linotype" w:cs="Palatino Linotype"/>
          <w:b/>
          <w:i/>
          <w:sz w:val="22"/>
          <w:szCs w:val="22"/>
        </w:rPr>
        <w:t>Quincuagésimo octavo</w:t>
      </w:r>
      <w:r w:rsidRPr="003B372F">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r w:rsidRPr="003B372F">
        <w:rPr>
          <w:rFonts w:ascii="Palatino Linotype" w:eastAsia="Palatino Linotype" w:hAnsi="Palatino Linotype" w:cs="Palatino Linotype"/>
          <w:i/>
        </w:rPr>
        <w:t>.”</w:t>
      </w:r>
    </w:p>
    <w:p w:rsidR="00FC4992" w:rsidRPr="003B372F" w:rsidRDefault="00FC4992">
      <w:pPr>
        <w:spacing w:line="360" w:lineRule="auto"/>
        <w:rPr>
          <w:rFonts w:ascii="Palatino Linotype" w:eastAsia="Palatino Linotype" w:hAnsi="Palatino Linotype" w:cs="Palatino Linotype"/>
        </w:rPr>
      </w:pPr>
    </w:p>
    <w:p w:rsidR="00FC4992" w:rsidRPr="003B372F" w:rsidRDefault="003B11C6">
      <w:pPr>
        <w:pBdr>
          <w:top w:val="nil"/>
          <w:left w:val="nil"/>
          <w:bottom w:val="nil"/>
          <w:right w:val="nil"/>
          <w:between w:val="nil"/>
        </w:pBd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3B372F">
        <w:rPr>
          <w:rFonts w:ascii="Palatino Linotype" w:eastAsia="Palatino Linotype" w:hAnsi="Palatino Linotype" w:cs="Palatino Linotype"/>
          <w:b/>
        </w:rPr>
        <w:t>SUJETO OBLIGADO</w:t>
      </w:r>
      <w:r w:rsidRPr="003B372F">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FC4992" w:rsidRPr="003B372F" w:rsidRDefault="00FC4992">
      <w:pPr>
        <w:spacing w:line="360" w:lineRule="auto"/>
        <w:rPr>
          <w:rFonts w:ascii="Palatino Linotype" w:eastAsia="Palatino Linotype" w:hAnsi="Palatino Linotype" w:cs="Palatino Linotype"/>
        </w:rPr>
      </w:pPr>
    </w:p>
    <w:p w:rsidR="00FC4992" w:rsidRPr="003B372F" w:rsidRDefault="003B11C6">
      <w:pPr>
        <w:pBdr>
          <w:top w:val="nil"/>
          <w:left w:val="nil"/>
          <w:bottom w:val="nil"/>
          <w:right w:val="nil"/>
          <w:between w:val="nil"/>
        </w:pBdr>
        <w:spacing w:after="240"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lastRenderedPageBreak/>
        <w:t>En relación directa con ello, los Lineamientos en estudio establecen los formatos para la clasificación parcial y total de los documentos, que atienden a lo siguiente:</w:t>
      </w:r>
    </w:p>
    <w:tbl>
      <w:tblPr>
        <w:tblStyle w:val="a8"/>
        <w:tblW w:w="8828" w:type="dxa"/>
        <w:tblInd w:w="0" w:type="dxa"/>
        <w:tblLayout w:type="fixed"/>
        <w:tblLook w:val="0400" w:firstRow="0" w:lastRow="0" w:firstColumn="0" w:lastColumn="0" w:noHBand="0" w:noVBand="1"/>
      </w:tblPr>
      <w:tblGrid>
        <w:gridCol w:w="1467"/>
        <w:gridCol w:w="3093"/>
        <w:gridCol w:w="1582"/>
        <w:gridCol w:w="2686"/>
      </w:tblGrid>
      <w:tr w:rsidR="00D24261" w:rsidRPr="003B372F">
        <w:tc>
          <w:tcPr>
            <w:tcW w:w="456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center"/>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Parcial</w:t>
            </w:r>
          </w:p>
        </w:tc>
        <w:tc>
          <w:tcPr>
            <w:tcW w:w="426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center"/>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Total</w:t>
            </w:r>
          </w:p>
        </w:tc>
      </w:tr>
      <w:tr w:rsidR="00D24261" w:rsidRPr="003B372F">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center"/>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Concepto</w:t>
            </w:r>
          </w:p>
        </w:tc>
        <w:tc>
          <w:tcPr>
            <w:tcW w:w="30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center"/>
              <w:rPr>
                <w:rFonts w:ascii="Palatino Linotype" w:eastAsia="Palatino Linotype" w:hAnsi="Palatino Linotype" w:cs="Palatino Linotype"/>
                <w:sz w:val="16"/>
                <w:szCs w:val="16"/>
              </w:rPr>
            </w:pPr>
            <w:r w:rsidRPr="003B372F">
              <w:rPr>
                <w:rFonts w:ascii="Palatino Linotype" w:eastAsia="Palatino Linotype" w:hAnsi="Palatino Linotype" w:cs="Palatino Linotype"/>
                <w:b/>
                <w:sz w:val="16"/>
                <w:szCs w:val="16"/>
              </w:rPr>
              <w:t>Dónde</w:t>
            </w:r>
          </w:p>
        </w:tc>
        <w:tc>
          <w:tcPr>
            <w:tcW w:w="15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center"/>
              <w:rPr>
                <w:rFonts w:ascii="Palatino Linotype" w:eastAsia="Palatino Linotype" w:hAnsi="Palatino Linotype" w:cs="Palatino Linotype"/>
                <w:sz w:val="16"/>
                <w:szCs w:val="16"/>
              </w:rPr>
            </w:pPr>
            <w:r w:rsidRPr="003B372F">
              <w:rPr>
                <w:rFonts w:ascii="Palatino Linotype" w:eastAsia="Palatino Linotype" w:hAnsi="Palatino Linotype" w:cs="Palatino Linotype"/>
                <w:b/>
                <w:sz w:val="16"/>
                <w:szCs w:val="16"/>
              </w:rPr>
              <w:t>Concepto</w:t>
            </w:r>
          </w:p>
        </w:tc>
        <w:tc>
          <w:tcPr>
            <w:tcW w:w="26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center"/>
              <w:rPr>
                <w:rFonts w:ascii="Palatino Linotype" w:eastAsia="Palatino Linotype" w:hAnsi="Palatino Linotype" w:cs="Palatino Linotype"/>
                <w:sz w:val="16"/>
                <w:szCs w:val="16"/>
              </w:rPr>
            </w:pPr>
            <w:r w:rsidRPr="003B372F">
              <w:rPr>
                <w:rFonts w:ascii="Palatino Linotype" w:eastAsia="Palatino Linotype" w:hAnsi="Palatino Linotype" w:cs="Palatino Linotype"/>
                <w:b/>
                <w:sz w:val="16"/>
                <w:szCs w:val="16"/>
              </w:rPr>
              <w:t>Dónde</w:t>
            </w:r>
          </w:p>
        </w:tc>
      </w:tr>
      <w:tr w:rsidR="00D24261" w:rsidRPr="003B372F">
        <w:tc>
          <w:tcPr>
            <w:tcW w:w="882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center"/>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Sello oficial o logotipo del sujeto obligado</w:t>
            </w:r>
          </w:p>
        </w:tc>
      </w:tr>
      <w:tr w:rsidR="00D24261" w:rsidRPr="003B372F">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Fecha de clasificación</w:t>
            </w:r>
          </w:p>
        </w:tc>
        <w:tc>
          <w:tcPr>
            <w:tcW w:w="30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Se anotará la fecha en la que el Comité de Transparencia confirmó la clasificación del documento, en su caso.</w:t>
            </w:r>
          </w:p>
        </w:tc>
        <w:tc>
          <w:tcPr>
            <w:tcW w:w="15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b/>
                <w:sz w:val="16"/>
                <w:szCs w:val="16"/>
              </w:rPr>
              <w:t>Fecha de clasificación</w:t>
            </w:r>
          </w:p>
        </w:tc>
        <w:tc>
          <w:tcPr>
            <w:tcW w:w="26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Se anotará la fecha en la que el Comité de Transparencia confirmó la clasificación del documento, en su caso.</w:t>
            </w:r>
          </w:p>
        </w:tc>
      </w:tr>
      <w:tr w:rsidR="00D24261" w:rsidRPr="003B372F">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Área</w:t>
            </w:r>
          </w:p>
        </w:tc>
        <w:tc>
          <w:tcPr>
            <w:tcW w:w="30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Se señalará el nombre del área del cual es titular quien clasifica.</w:t>
            </w:r>
          </w:p>
        </w:tc>
        <w:tc>
          <w:tcPr>
            <w:tcW w:w="15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b/>
                <w:sz w:val="16"/>
                <w:szCs w:val="16"/>
              </w:rPr>
              <w:t>Área</w:t>
            </w:r>
          </w:p>
        </w:tc>
        <w:tc>
          <w:tcPr>
            <w:tcW w:w="26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Se señalará el nombre del área de la cual es el titular quien clasifica.</w:t>
            </w:r>
          </w:p>
        </w:tc>
      </w:tr>
      <w:tr w:rsidR="00D24261" w:rsidRPr="003B372F">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Información reservada</w:t>
            </w:r>
          </w:p>
        </w:tc>
        <w:tc>
          <w:tcPr>
            <w:tcW w:w="30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 xml:space="preserve">Se indicarán, en su caso, las partes o páginas del documento que se clasifican como reservadas. Si el documento fuera reservado en su totalidad, se </w:t>
            </w:r>
            <w:proofErr w:type="gramStart"/>
            <w:r w:rsidRPr="003B372F">
              <w:rPr>
                <w:rFonts w:ascii="Palatino Linotype" w:eastAsia="Palatino Linotype" w:hAnsi="Palatino Linotype" w:cs="Palatino Linotype"/>
                <w:sz w:val="16"/>
                <w:szCs w:val="16"/>
              </w:rPr>
              <w:t>anotarán</w:t>
            </w:r>
            <w:proofErr w:type="gramEnd"/>
            <w:r w:rsidRPr="003B372F">
              <w:rPr>
                <w:rFonts w:ascii="Palatino Linotype" w:eastAsia="Palatino Linotype" w:hAnsi="Palatino Linotype" w:cs="Palatino Linotype"/>
                <w:sz w:val="16"/>
                <w:szCs w:val="16"/>
              </w:rPr>
              <w:t xml:space="preserve"> todas las páginas que lo conforman. Si el documento no contiene información reservada, se tachará este apartado.</w:t>
            </w:r>
          </w:p>
        </w:tc>
        <w:tc>
          <w:tcPr>
            <w:tcW w:w="15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b/>
                <w:sz w:val="16"/>
                <w:szCs w:val="16"/>
              </w:rPr>
              <w:t>Reservado</w:t>
            </w:r>
          </w:p>
        </w:tc>
        <w:tc>
          <w:tcPr>
            <w:tcW w:w="26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Leyenda de información RESERVADA.</w:t>
            </w:r>
          </w:p>
        </w:tc>
      </w:tr>
      <w:tr w:rsidR="00D24261" w:rsidRPr="003B372F">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Fundamento legal</w:t>
            </w:r>
          </w:p>
        </w:tc>
        <w:tc>
          <w:tcPr>
            <w:tcW w:w="30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Se señalará el nombre del ordenamiento, el o los artículos, fracción(es), párrafo(s) con base en los cuales se sustente la reserva.</w:t>
            </w:r>
          </w:p>
        </w:tc>
        <w:tc>
          <w:tcPr>
            <w:tcW w:w="15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b/>
                <w:sz w:val="16"/>
                <w:szCs w:val="16"/>
              </w:rPr>
              <w:t>Periodo de reserva</w:t>
            </w:r>
          </w:p>
        </w:tc>
        <w:tc>
          <w:tcPr>
            <w:tcW w:w="26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Se anotará el número de años o meses por los que se mantendrá el documento o las partes del mismo como reservado. Si el expediente no es reservado, sino confidencial, deberá tacharse este apartado.</w:t>
            </w:r>
          </w:p>
        </w:tc>
      </w:tr>
      <w:tr w:rsidR="00D24261" w:rsidRPr="003B372F">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Ampliación del periodo de reserva</w:t>
            </w:r>
          </w:p>
        </w:tc>
        <w:tc>
          <w:tcPr>
            <w:tcW w:w="30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En caso de haber solicitado la ampliación del periodo de reserva originalmente establecido, se deberá anotar el número de años o meses por los que se amplía la reserva.</w:t>
            </w:r>
          </w:p>
        </w:tc>
        <w:tc>
          <w:tcPr>
            <w:tcW w:w="15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b/>
                <w:sz w:val="16"/>
                <w:szCs w:val="16"/>
              </w:rPr>
              <w:t>Fundamento legal</w:t>
            </w:r>
          </w:p>
        </w:tc>
        <w:tc>
          <w:tcPr>
            <w:tcW w:w="26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Se señalará el nombre del o de los ordenamientos jurídicos, el o los artículos, fracción(es), párrafo(s) con base en los cuales se sustenta la reserva.</w:t>
            </w:r>
          </w:p>
        </w:tc>
      </w:tr>
      <w:tr w:rsidR="00D24261" w:rsidRPr="003B372F">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Confidencial</w:t>
            </w:r>
          </w:p>
        </w:tc>
        <w:tc>
          <w:tcPr>
            <w:tcW w:w="30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 xml:space="preserve">Se indicarán, en su caso, las partes o páginas del documento que se clasifica </w:t>
            </w:r>
            <w:r w:rsidRPr="003B372F">
              <w:rPr>
                <w:rFonts w:ascii="Palatino Linotype" w:eastAsia="Palatino Linotype" w:hAnsi="Palatino Linotype" w:cs="Palatino Linotype"/>
                <w:sz w:val="16"/>
                <w:szCs w:val="16"/>
              </w:rPr>
              <w:lastRenderedPageBreak/>
              <w:t>como confidencial. Si el documento fuera confidencial en su totalidad, se anotarán todas las páginas que lo conforman. Si el documento no contiene información confidencial, se tachará este apartado.</w:t>
            </w:r>
          </w:p>
        </w:tc>
        <w:tc>
          <w:tcPr>
            <w:tcW w:w="15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b/>
                <w:sz w:val="16"/>
                <w:szCs w:val="16"/>
              </w:rPr>
              <w:lastRenderedPageBreak/>
              <w:t>Ampliación del periodo de reserva</w:t>
            </w:r>
          </w:p>
        </w:tc>
        <w:tc>
          <w:tcPr>
            <w:tcW w:w="26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 xml:space="preserve">En caso de haber solicitado la ampliación del periodo de reserva </w:t>
            </w:r>
            <w:r w:rsidRPr="003B372F">
              <w:rPr>
                <w:rFonts w:ascii="Palatino Linotype" w:eastAsia="Palatino Linotype" w:hAnsi="Palatino Linotype" w:cs="Palatino Linotype"/>
                <w:sz w:val="16"/>
                <w:szCs w:val="16"/>
              </w:rPr>
              <w:lastRenderedPageBreak/>
              <w:t>originalmente establecido, se deberá anotar el número de años o meses por los que se amplía la reserva.</w:t>
            </w:r>
          </w:p>
        </w:tc>
      </w:tr>
      <w:tr w:rsidR="00D24261" w:rsidRPr="003B372F">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lastRenderedPageBreak/>
              <w:t>Fundamento legal</w:t>
            </w:r>
          </w:p>
        </w:tc>
        <w:tc>
          <w:tcPr>
            <w:tcW w:w="30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Se señalará el nombre del ordenamiento, el o los artículos, fracción(es), párrafo(s) con base en los cuales se sustente la confidencialidad.</w:t>
            </w:r>
          </w:p>
        </w:tc>
        <w:tc>
          <w:tcPr>
            <w:tcW w:w="15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b/>
                <w:sz w:val="16"/>
                <w:szCs w:val="16"/>
              </w:rPr>
              <w:t>Confidencial</w:t>
            </w:r>
          </w:p>
        </w:tc>
        <w:tc>
          <w:tcPr>
            <w:tcW w:w="26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Leyenda de información CONFIDENCIAL.</w:t>
            </w:r>
          </w:p>
        </w:tc>
      </w:tr>
      <w:tr w:rsidR="00D24261" w:rsidRPr="003B372F">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Rúbrica del titular del área</w:t>
            </w:r>
          </w:p>
        </w:tc>
        <w:tc>
          <w:tcPr>
            <w:tcW w:w="30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Rúbrica autógrafa de quien clasifica.</w:t>
            </w:r>
          </w:p>
        </w:tc>
        <w:tc>
          <w:tcPr>
            <w:tcW w:w="15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b/>
                <w:sz w:val="16"/>
                <w:szCs w:val="16"/>
              </w:rPr>
              <w:t>Fundamento legal</w:t>
            </w:r>
          </w:p>
        </w:tc>
        <w:tc>
          <w:tcPr>
            <w:tcW w:w="26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Se señalará el nombre del o de los ordenamientos jurídicos, el o los artículos, fracción(es), párrafo(s) con base en los cuales se sustente la confidencialidad.</w:t>
            </w:r>
          </w:p>
        </w:tc>
      </w:tr>
      <w:tr w:rsidR="00D24261" w:rsidRPr="003B372F">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Fecha de desclasificación</w:t>
            </w:r>
          </w:p>
        </w:tc>
        <w:tc>
          <w:tcPr>
            <w:tcW w:w="30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Se anotará la fecha en que se desclasifica el documento.</w:t>
            </w:r>
          </w:p>
        </w:tc>
        <w:tc>
          <w:tcPr>
            <w:tcW w:w="15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b/>
                <w:sz w:val="16"/>
                <w:szCs w:val="16"/>
              </w:rPr>
              <w:t>Rúbrica del titular del área</w:t>
            </w:r>
          </w:p>
        </w:tc>
        <w:tc>
          <w:tcPr>
            <w:tcW w:w="26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Rúbrica autógrafa de quien clasifica.</w:t>
            </w:r>
          </w:p>
        </w:tc>
      </w:tr>
      <w:tr w:rsidR="00D24261" w:rsidRPr="003B372F">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Rúbrica y cargo del servidor público</w:t>
            </w:r>
          </w:p>
        </w:tc>
        <w:tc>
          <w:tcPr>
            <w:tcW w:w="30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Rúbrica autógrafa de quien desclasifica.</w:t>
            </w:r>
          </w:p>
        </w:tc>
        <w:tc>
          <w:tcPr>
            <w:tcW w:w="15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b/>
                <w:sz w:val="16"/>
                <w:szCs w:val="16"/>
              </w:rPr>
              <w:t>Fecha de desclasificación</w:t>
            </w:r>
          </w:p>
        </w:tc>
        <w:tc>
          <w:tcPr>
            <w:tcW w:w="26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Se anotará la fecha en que se desclasifica.</w:t>
            </w:r>
          </w:p>
        </w:tc>
      </w:tr>
      <w:tr w:rsidR="00D24261" w:rsidRPr="003B372F">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FC4992">
            <w:pPr>
              <w:spacing w:line="360" w:lineRule="auto"/>
              <w:rPr>
                <w:rFonts w:ascii="Palatino Linotype" w:eastAsia="Palatino Linotype" w:hAnsi="Palatino Linotype" w:cs="Palatino Linotype"/>
                <w:sz w:val="16"/>
                <w:szCs w:val="16"/>
              </w:rPr>
            </w:pPr>
          </w:p>
        </w:tc>
        <w:tc>
          <w:tcPr>
            <w:tcW w:w="30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FC4992">
            <w:pPr>
              <w:spacing w:line="360" w:lineRule="auto"/>
              <w:rPr>
                <w:rFonts w:ascii="Palatino Linotype" w:eastAsia="Palatino Linotype" w:hAnsi="Palatino Linotype" w:cs="Palatino Linotype"/>
                <w:sz w:val="16"/>
                <w:szCs w:val="16"/>
              </w:rPr>
            </w:pPr>
          </w:p>
        </w:tc>
        <w:tc>
          <w:tcPr>
            <w:tcW w:w="15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b/>
                <w:sz w:val="16"/>
                <w:szCs w:val="16"/>
              </w:rPr>
              <w:t>Partes o secciones reservadas o confidenciales</w:t>
            </w:r>
          </w:p>
        </w:tc>
        <w:tc>
          <w:tcPr>
            <w:tcW w:w="26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 xml:space="preserve">En caso que una vez desclasificado el expediente, </w:t>
            </w:r>
            <w:proofErr w:type="spellStart"/>
            <w:r w:rsidRPr="003B372F">
              <w:rPr>
                <w:rFonts w:ascii="Palatino Linotype" w:eastAsia="Palatino Linotype" w:hAnsi="Palatino Linotype" w:cs="Palatino Linotype"/>
                <w:sz w:val="16"/>
                <w:szCs w:val="16"/>
              </w:rPr>
              <w:t>subsistanpartes</w:t>
            </w:r>
            <w:proofErr w:type="spellEnd"/>
            <w:r w:rsidRPr="003B372F">
              <w:rPr>
                <w:rFonts w:ascii="Palatino Linotype" w:eastAsia="Palatino Linotype" w:hAnsi="Palatino Linotype" w:cs="Palatino Linotype"/>
                <w:sz w:val="16"/>
                <w:szCs w:val="16"/>
              </w:rPr>
              <w:t xml:space="preserve"> o secciones del mismo reservadas o confidenciales, se señalará este hecho.</w:t>
            </w:r>
          </w:p>
        </w:tc>
      </w:tr>
      <w:tr w:rsidR="00FC4992" w:rsidRPr="003B372F">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FC4992">
            <w:pPr>
              <w:spacing w:line="360" w:lineRule="auto"/>
              <w:rPr>
                <w:rFonts w:ascii="Palatino Linotype" w:eastAsia="Palatino Linotype" w:hAnsi="Palatino Linotype" w:cs="Palatino Linotype"/>
                <w:sz w:val="16"/>
                <w:szCs w:val="16"/>
              </w:rPr>
            </w:pPr>
          </w:p>
        </w:tc>
        <w:tc>
          <w:tcPr>
            <w:tcW w:w="30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FC4992">
            <w:pPr>
              <w:spacing w:line="360" w:lineRule="auto"/>
              <w:rPr>
                <w:rFonts w:ascii="Palatino Linotype" w:eastAsia="Palatino Linotype" w:hAnsi="Palatino Linotype" w:cs="Palatino Linotype"/>
                <w:sz w:val="16"/>
                <w:szCs w:val="16"/>
              </w:rPr>
            </w:pPr>
          </w:p>
        </w:tc>
        <w:tc>
          <w:tcPr>
            <w:tcW w:w="15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b/>
                <w:sz w:val="16"/>
                <w:szCs w:val="16"/>
              </w:rPr>
              <w:t>Rúbrica y cargo del servidor público</w:t>
            </w:r>
          </w:p>
        </w:tc>
        <w:tc>
          <w:tcPr>
            <w:tcW w:w="26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C4992" w:rsidRPr="003B372F" w:rsidRDefault="003B11C6">
            <w:pPr>
              <w:pBdr>
                <w:top w:val="nil"/>
                <w:left w:val="nil"/>
                <w:bottom w:val="nil"/>
                <w:right w:val="nil"/>
                <w:between w:val="nil"/>
              </w:pBdr>
              <w:spacing w:after="160" w:line="360" w:lineRule="auto"/>
              <w:jc w:val="both"/>
              <w:rPr>
                <w:rFonts w:ascii="Palatino Linotype" w:eastAsia="Palatino Linotype" w:hAnsi="Palatino Linotype" w:cs="Palatino Linotype"/>
                <w:sz w:val="16"/>
                <w:szCs w:val="16"/>
              </w:rPr>
            </w:pPr>
            <w:r w:rsidRPr="003B372F">
              <w:rPr>
                <w:rFonts w:ascii="Palatino Linotype" w:eastAsia="Palatino Linotype" w:hAnsi="Palatino Linotype" w:cs="Palatino Linotype"/>
                <w:sz w:val="16"/>
                <w:szCs w:val="16"/>
              </w:rPr>
              <w:t>Rúbrica autógrafa de quien desclasifica.</w:t>
            </w:r>
          </w:p>
        </w:tc>
      </w:tr>
    </w:tbl>
    <w:p w:rsidR="00FC4992" w:rsidRPr="003B372F" w:rsidRDefault="00FC499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rsidR="00FC4992" w:rsidRPr="003B372F" w:rsidRDefault="003B11C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En consecuencia y en mérito de lo expuesto en líneas anteriores, resultan fundadas las razones o motivos de inconformidad hechos valer por el </w:t>
      </w:r>
      <w:r w:rsidRPr="003B372F">
        <w:rPr>
          <w:rFonts w:ascii="Palatino Linotype" w:eastAsia="Palatino Linotype" w:hAnsi="Palatino Linotype" w:cs="Palatino Linotype"/>
          <w:b/>
        </w:rPr>
        <w:t>RECURRENTE</w:t>
      </w:r>
      <w:r w:rsidRPr="003B372F">
        <w:rPr>
          <w:rFonts w:ascii="Palatino Linotype" w:eastAsia="Palatino Linotype" w:hAnsi="Palatino Linotype" w:cs="Palatino Linotype"/>
        </w:rPr>
        <w:t xml:space="preserve"> dentro </w:t>
      </w:r>
      <w:r w:rsidRPr="003B372F">
        <w:rPr>
          <w:rFonts w:ascii="Palatino Linotype" w:eastAsia="Palatino Linotype" w:hAnsi="Palatino Linotype" w:cs="Palatino Linotype"/>
        </w:rPr>
        <w:lastRenderedPageBreak/>
        <w:t xml:space="preserve">del recurso de revisión </w:t>
      </w:r>
      <w:r w:rsidRPr="003B372F">
        <w:rPr>
          <w:rFonts w:ascii="Palatino Linotype" w:eastAsia="Palatino Linotype" w:hAnsi="Palatino Linotype" w:cs="Palatino Linotype"/>
          <w:b/>
        </w:rPr>
        <w:t>07944/INFOEM/IP/RR/2021</w:t>
      </w:r>
      <w:r w:rsidRPr="003B372F">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sidRPr="003B372F">
        <w:rPr>
          <w:rFonts w:ascii="Palatino Linotype" w:eastAsia="Palatino Linotype" w:hAnsi="Palatino Linotype" w:cs="Palatino Linotype"/>
          <w:b/>
        </w:rPr>
        <w:t>MODIFICA</w:t>
      </w:r>
      <w:r w:rsidRPr="003B372F">
        <w:rPr>
          <w:rFonts w:ascii="Palatino Linotype" w:eastAsia="Palatino Linotype" w:hAnsi="Palatino Linotype" w:cs="Palatino Linotype"/>
        </w:rPr>
        <w:t xml:space="preserve"> la respuesta a la solicitud de información número </w:t>
      </w:r>
      <w:r w:rsidRPr="003B372F">
        <w:rPr>
          <w:rFonts w:ascii="Palatino Linotype" w:eastAsia="Palatino Linotype" w:hAnsi="Palatino Linotype" w:cs="Palatino Linotype"/>
          <w:b/>
        </w:rPr>
        <w:t>00070/ACULCO/IP/2021.</w:t>
      </w: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FC4992" w:rsidRPr="003B372F" w:rsidRDefault="00FC4992">
      <w:pPr>
        <w:spacing w:line="360" w:lineRule="auto"/>
        <w:jc w:val="center"/>
        <w:rPr>
          <w:rFonts w:ascii="Palatino Linotype" w:eastAsia="Palatino Linotype" w:hAnsi="Palatino Linotype" w:cs="Palatino Linotype"/>
        </w:rPr>
      </w:pPr>
    </w:p>
    <w:p w:rsidR="00FC4992" w:rsidRPr="003B372F" w:rsidRDefault="003B11C6">
      <w:pPr>
        <w:spacing w:line="360" w:lineRule="auto"/>
        <w:jc w:val="center"/>
        <w:rPr>
          <w:rFonts w:ascii="Palatino Linotype" w:eastAsia="Palatino Linotype" w:hAnsi="Palatino Linotype" w:cs="Palatino Linotype"/>
          <w:b/>
        </w:rPr>
      </w:pPr>
      <w:r w:rsidRPr="003B372F">
        <w:rPr>
          <w:rFonts w:ascii="Palatino Linotype" w:eastAsia="Palatino Linotype" w:hAnsi="Palatino Linotype" w:cs="Palatino Linotype"/>
          <w:b/>
        </w:rPr>
        <w:t>RESUELVE</w:t>
      </w:r>
    </w:p>
    <w:p w:rsidR="00FC4992" w:rsidRPr="003B372F" w:rsidRDefault="00FC4992">
      <w:pPr>
        <w:spacing w:line="360" w:lineRule="auto"/>
        <w:jc w:val="center"/>
        <w:rPr>
          <w:rFonts w:ascii="Palatino Linotype" w:eastAsia="Palatino Linotype" w:hAnsi="Palatino Linotype" w:cs="Palatino Linotype"/>
        </w:rPr>
      </w:pPr>
    </w:p>
    <w:p w:rsidR="00FC4992" w:rsidRPr="003B372F" w:rsidRDefault="003B11C6">
      <w:pPr>
        <w:spacing w:line="360" w:lineRule="auto"/>
        <w:jc w:val="both"/>
        <w:rPr>
          <w:rFonts w:ascii="Palatino Linotype" w:eastAsia="Palatino Linotype" w:hAnsi="Palatino Linotype" w:cs="Palatino Linotype"/>
          <w:b/>
        </w:rPr>
      </w:pPr>
      <w:r w:rsidRPr="003B372F">
        <w:rPr>
          <w:rFonts w:ascii="Palatino Linotype" w:eastAsia="Palatino Linotype" w:hAnsi="Palatino Linotype" w:cs="Palatino Linotype"/>
          <w:b/>
        </w:rPr>
        <w:t>PRIMERO.</w:t>
      </w:r>
      <w:r w:rsidRPr="003B372F">
        <w:rPr>
          <w:rFonts w:ascii="Palatino Linotype" w:eastAsia="Palatino Linotype" w:hAnsi="Palatino Linotype" w:cs="Palatino Linotype"/>
        </w:rPr>
        <w:t xml:space="preserve"> Resultan fundados los motivos de inconformidad hechos valer por la parte Recurrente en el Recurso de Revisión </w:t>
      </w:r>
      <w:r w:rsidRPr="003B372F">
        <w:rPr>
          <w:rFonts w:ascii="Palatino Linotype" w:eastAsia="Palatino Linotype" w:hAnsi="Palatino Linotype" w:cs="Palatino Linotype"/>
          <w:b/>
        </w:rPr>
        <w:t>07944/INFOEM/IP/RR/2022</w:t>
      </w:r>
      <w:r w:rsidRPr="003B372F">
        <w:rPr>
          <w:rFonts w:ascii="Palatino Linotype" w:eastAsia="Palatino Linotype" w:hAnsi="Palatino Linotype" w:cs="Palatino Linotype"/>
        </w:rPr>
        <w:t xml:space="preserve"> por lo que, en términos del Considerando </w:t>
      </w:r>
      <w:r w:rsidRPr="003B372F">
        <w:rPr>
          <w:rFonts w:ascii="Palatino Linotype" w:eastAsia="Palatino Linotype" w:hAnsi="Palatino Linotype" w:cs="Palatino Linotype"/>
          <w:b/>
        </w:rPr>
        <w:t>CUARTO</w:t>
      </w:r>
      <w:r w:rsidRPr="003B372F">
        <w:rPr>
          <w:rFonts w:ascii="Palatino Linotype" w:eastAsia="Palatino Linotype" w:hAnsi="Palatino Linotype" w:cs="Palatino Linotype"/>
        </w:rPr>
        <w:t xml:space="preserve"> de la presente resolución, se </w:t>
      </w:r>
      <w:r w:rsidRPr="003B372F">
        <w:rPr>
          <w:rFonts w:ascii="Palatino Linotype" w:eastAsia="Palatino Linotype" w:hAnsi="Palatino Linotype" w:cs="Palatino Linotype"/>
          <w:b/>
        </w:rPr>
        <w:t>MODIFICA</w:t>
      </w:r>
      <w:r w:rsidRPr="003B372F">
        <w:rPr>
          <w:rFonts w:ascii="Palatino Linotype" w:eastAsia="Palatino Linotype" w:hAnsi="Palatino Linotype" w:cs="Palatino Linotype"/>
        </w:rPr>
        <w:t xml:space="preserve"> la respuesta del Sujeto Obligado.</w:t>
      </w:r>
    </w:p>
    <w:p w:rsidR="00FC4992" w:rsidRPr="003B372F" w:rsidRDefault="00FC4992">
      <w:pPr>
        <w:spacing w:line="360" w:lineRule="auto"/>
        <w:ind w:right="51"/>
        <w:jc w:val="both"/>
        <w:rPr>
          <w:rFonts w:ascii="Palatino Linotype" w:eastAsia="Palatino Linotype" w:hAnsi="Palatino Linotype" w:cs="Palatino Linotype"/>
        </w:rPr>
      </w:pPr>
    </w:p>
    <w:p w:rsidR="00FC4992" w:rsidRPr="003B372F" w:rsidRDefault="003B11C6">
      <w:pPr>
        <w:spacing w:line="360" w:lineRule="auto"/>
        <w:ind w:right="51"/>
        <w:jc w:val="both"/>
        <w:rPr>
          <w:rFonts w:ascii="Palatino Linotype" w:eastAsia="Palatino Linotype" w:hAnsi="Palatino Linotype" w:cs="Palatino Linotype"/>
        </w:rPr>
      </w:pPr>
      <w:r w:rsidRPr="003B372F">
        <w:rPr>
          <w:rFonts w:ascii="Palatino Linotype" w:eastAsia="Palatino Linotype" w:hAnsi="Palatino Linotype" w:cs="Palatino Linotype"/>
          <w:b/>
        </w:rPr>
        <w:t xml:space="preserve">SEGUNDO. </w:t>
      </w:r>
      <w:r w:rsidRPr="003B372F">
        <w:rPr>
          <w:rFonts w:ascii="Palatino Linotype" w:eastAsia="Palatino Linotype" w:hAnsi="Palatino Linotype" w:cs="Palatino Linotype"/>
        </w:rPr>
        <w:t xml:space="preserve">Se Ordena al Sujeto Obligado que en términos de los Considerandos </w:t>
      </w:r>
      <w:r w:rsidRPr="003B372F">
        <w:rPr>
          <w:rFonts w:ascii="Palatino Linotype" w:eastAsia="Palatino Linotype" w:hAnsi="Palatino Linotype" w:cs="Palatino Linotype"/>
          <w:b/>
        </w:rPr>
        <w:t xml:space="preserve">CUARTO </w:t>
      </w:r>
      <w:r w:rsidRPr="003B372F">
        <w:rPr>
          <w:rFonts w:ascii="Palatino Linotype" w:eastAsia="Palatino Linotype" w:hAnsi="Palatino Linotype" w:cs="Palatino Linotype"/>
        </w:rPr>
        <w:t>y</w:t>
      </w:r>
      <w:r w:rsidRPr="003B372F">
        <w:rPr>
          <w:rFonts w:ascii="Palatino Linotype" w:eastAsia="Palatino Linotype" w:hAnsi="Palatino Linotype" w:cs="Palatino Linotype"/>
          <w:b/>
        </w:rPr>
        <w:t xml:space="preserve"> QUINTO</w:t>
      </w:r>
      <w:r w:rsidRPr="003B372F">
        <w:rPr>
          <w:rFonts w:ascii="Palatino Linotype" w:eastAsia="Palatino Linotype" w:hAnsi="Palatino Linotype" w:cs="Palatino Linotype"/>
        </w:rPr>
        <w:t xml:space="preserve"> de esta resolución haga entrega a través del SAIMEX, de ser procedente en versión pública, de lo siguiente: </w:t>
      </w:r>
    </w:p>
    <w:p w:rsidR="00FC4992" w:rsidRPr="003B372F" w:rsidRDefault="00FC4992">
      <w:pPr>
        <w:spacing w:after="120" w:line="360" w:lineRule="auto"/>
        <w:ind w:right="51"/>
        <w:jc w:val="both"/>
        <w:rPr>
          <w:rFonts w:ascii="Palatino Linotype" w:eastAsia="Palatino Linotype" w:hAnsi="Palatino Linotype" w:cs="Palatino Linotype"/>
        </w:rPr>
      </w:pPr>
    </w:p>
    <w:p w:rsidR="00FC4992" w:rsidRPr="003B372F" w:rsidRDefault="003B11C6">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rPr>
      </w:pPr>
      <w:r w:rsidRPr="003B372F">
        <w:rPr>
          <w:rFonts w:ascii="Palatino Linotype" w:eastAsia="Palatino Linotype" w:hAnsi="Palatino Linotype" w:cs="Palatino Linotype"/>
          <w:b/>
        </w:rPr>
        <w:t xml:space="preserve">Documento o documentos donde conste el número de cédula profesional de los integrantes del ayuntamiento y de los directores titulados referidos en informe justificado. </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360" w:lineRule="auto"/>
        <w:ind w:right="49"/>
        <w:jc w:val="both"/>
        <w:rPr>
          <w:rFonts w:ascii="Palatino Linotype" w:eastAsia="Palatino Linotype" w:hAnsi="Palatino Linotype" w:cs="Palatino Linotype"/>
          <w:i/>
        </w:rPr>
      </w:pPr>
      <w:r w:rsidRPr="003B372F">
        <w:rPr>
          <w:rFonts w:ascii="Palatino Linotype" w:eastAsia="Palatino Linotype" w:hAnsi="Palatino Linotype" w:cs="Palatino Linotype"/>
          <w:i/>
        </w:rPr>
        <w:t xml:space="preserve">Para la versión pública deberá emitir el Acuerdo del Comité de Transparencia en términos de la Ley de Transparencia y Acceso a la Información Pública del Estado de México y Municipios, en el que funde y motive las razones sobre los datos que se supriman o eliminen de los documentos que se remitan en cumplimiento de esta resolución y se ponga a disposición de la parte Recurrente, mismo que igualmente hará de su conocimiento. </w:t>
      </w:r>
    </w:p>
    <w:p w:rsidR="00FC4992" w:rsidRPr="003B372F" w:rsidRDefault="00FC4992">
      <w:pPr>
        <w:spacing w:line="360" w:lineRule="auto"/>
        <w:ind w:right="49"/>
        <w:jc w:val="both"/>
        <w:rPr>
          <w:rFonts w:ascii="Palatino Linotype" w:eastAsia="Palatino Linotype" w:hAnsi="Palatino Linotype" w:cs="Palatino Linotype"/>
          <w:i/>
        </w:rPr>
      </w:pPr>
    </w:p>
    <w:p w:rsidR="00FC4992" w:rsidRPr="003B372F" w:rsidRDefault="003B11C6">
      <w:pPr>
        <w:spacing w:line="360" w:lineRule="auto"/>
        <w:jc w:val="both"/>
        <w:rPr>
          <w:rFonts w:ascii="Palatino Linotype" w:eastAsia="Palatino Linotype" w:hAnsi="Palatino Linotype" w:cs="Palatino Linotype"/>
          <w:b/>
        </w:rPr>
      </w:pPr>
      <w:r w:rsidRPr="003B372F">
        <w:rPr>
          <w:rFonts w:ascii="Palatino Linotype" w:eastAsia="Palatino Linotype" w:hAnsi="Palatino Linotype" w:cs="Palatino Linotype"/>
          <w:b/>
        </w:rPr>
        <w:t xml:space="preserve">TERCERO. Notifíquese, </w:t>
      </w:r>
      <w:r w:rsidRPr="003B372F">
        <w:rPr>
          <w:rFonts w:ascii="Palatino Linotype" w:eastAsia="Palatino Linotype" w:hAnsi="Palatino Linotype" w:cs="Palatino Linotype"/>
        </w:rPr>
        <w:t xml:space="preserve">vía </w:t>
      </w:r>
      <w:r w:rsidRPr="003B372F">
        <w:rPr>
          <w:rFonts w:ascii="Palatino Linotype" w:eastAsia="Palatino Linotype" w:hAnsi="Palatino Linotype" w:cs="Palatino Linotype"/>
          <w:b/>
        </w:rPr>
        <w:t xml:space="preserve">SAIMEX, </w:t>
      </w:r>
      <w:r w:rsidRPr="003B372F">
        <w:rPr>
          <w:rFonts w:ascii="Palatino Linotype" w:eastAsia="Palatino Linotype" w:hAnsi="Palatino Linotype" w:cs="Palatino Linotype"/>
        </w:rPr>
        <w:t xml:space="preserve">al Titular de la Unidad de Transparencia del </w:t>
      </w:r>
      <w:r w:rsidRPr="003B372F">
        <w:rPr>
          <w:rFonts w:ascii="Palatino Linotype" w:eastAsia="Palatino Linotype" w:hAnsi="Palatino Linotype" w:cs="Palatino Linotype"/>
          <w:b/>
        </w:rPr>
        <w:t>SUJETO OBLIGADO</w:t>
      </w:r>
      <w:r w:rsidRPr="003B372F">
        <w:rPr>
          <w:rFonts w:ascii="Palatino Linotype" w:eastAsia="Palatino Linotype" w:hAnsi="Palatino Linotype" w:cs="Palatino Linotype"/>
        </w:rPr>
        <w:t xml:space="preserve"> la presente resolución, para su conocimiento.</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360" w:lineRule="auto"/>
        <w:jc w:val="both"/>
        <w:rPr>
          <w:rFonts w:ascii="Palatino Linotype" w:eastAsia="Palatino Linotype" w:hAnsi="Palatino Linotype" w:cs="Palatino Linotype"/>
        </w:rPr>
      </w:pPr>
      <w:r w:rsidRPr="003B372F">
        <w:rPr>
          <w:rFonts w:ascii="Palatino Linotype" w:eastAsia="Palatino Linotype" w:hAnsi="Palatino Linotype" w:cs="Palatino Linotype"/>
          <w:b/>
        </w:rPr>
        <w:t>CUARTO. Notifíquese vía SAIMEX</w:t>
      </w:r>
      <w:r w:rsidRPr="003B372F">
        <w:rPr>
          <w:rFonts w:ascii="Palatino Linotype" w:eastAsia="Palatino Linotype" w:hAnsi="Palatino Linotype" w:cs="Palatino Linotype"/>
        </w:rPr>
        <w:t xml:space="preserve">, al </w:t>
      </w:r>
      <w:r w:rsidRPr="003B372F">
        <w:rPr>
          <w:rFonts w:ascii="Palatino Linotype" w:eastAsia="Palatino Linotype" w:hAnsi="Palatino Linotype" w:cs="Palatino Linotype"/>
          <w:b/>
        </w:rPr>
        <w:t>RECURRENTE</w:t>
      </w:r>
      <w:r w:rsidRPr="003B372F">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vía Juicio de Amparo en los términos de las leyes aplicables.</w:t>
      </w:r>
    </w:p>
    <w:p w:rsidR="00FC4992" w:rsidRPr="003B372F" w:rsidRDefault="00FC4992">
      <w:pPr>
        <w:spacing w:line="360" w:lineRule="auto"/>
        <w:jc w:val="both"/>
        <w:rPr>
          <w:rFonts w:ascii="Palatino Linotype" w:eastAsia="Palatino Linotype" w:hAnsi="Palatino Linotype" w:cs="Palatino Linotype"/>
        </w:rPr>
      </w:pPr>
    </w:p>
    <w:p w:rsidR="00FC4992" w:rsidRPr="003B372F" w:rsidRDefault="003B11C6">
      <w:pPr>
        <w:spacing w:line="360" w:lineRule="auto"/>
        <w:ind w:right="49"/>
        <w:jc w:val="both"/>
        <w:rPr>
          <w:rFonts w:ascii="Palatino Linotype" w:eastAsia="Palatino Linotype" w:hAnsi="Palatino Linotype" w:cs="Palatino Linotype"/>
        </w:rPr>
      </w:pPr>
      <w:r w:rsidRPr="003B372F">
        <w:rPr>
          <w:rFonts w:ascii="Palatino Linotype" w:eastAsia="Palatino Linotype" w:hAnsi="Palatino Linotype" w:cs="Palatino Linotype"/>
          <w:b/>
        </w:rPr>
        <w:t>QUINTO. GÍRESE</w:t>
      </w:r>
      <w:r w:rsidRPr="003B372F">
        <w:rPr>
          <w:rFonts w:ascii="Palatino Linotype" w:eastAsia="Palatino Linotype" w:hAnsi="Palatino Linotype" w:cs="Palatino Linotype"/>
        </w:rPr>
        <w:t xml:space="preserve"> oficio al Titular de la Dirección General de Protección de Datos Personales de este Instituto con fundamento en el artículo 82 fracción XXVII de la Ley de Protección de Datos Personales en Posesión de Sujetos Obligados del Estado de México y Municipios, para que actúen en razón de su competencia, en términos de lo expuesto en el Considerando </w:t>
      </w:r>
      <w:r w:rsidRPr="003B372F">
        <w:rPr>
          <w:rFonts w:ascii="Palatino Linotype" w:eastAsia="Palatino Linotype" w:hAnsi="Palatino Linotype" w:cs="Palatino Linotype"/>
          <w:b/>
        </w:rPr>
        <w:t>Cuarto</w:t>
      </w:r>
      <w:r w:rsidRPr="003B372F">
        <w:rPr>
          <w:rFonts w:ascii="Palatino Linotype" w:eastAsia="Palatino Linotype" w:hAnsi="Palatino Linotype" w:cs="Palatino Linotype"/>
        </w:rPr>
        <w:t xml:space="preserve"> de la presente resolución.</w:t>
      </w:r>
    </w:p>
    <w:p w:rsidR="00FC4992" w:rsidRPr="003B372F" w:rsidRDefault="003B11C6">
      <w:pPr>
        <w:spacing w:line="360" w:lineRule="auto"/>
        <w:ind w:right="49"/>
        <w:jc w:val="both"/>
        <w:rPr>
          <w:rFonts w:ascii="Palatino Linotype" w:eastAsia="Palatino Linotype" w:hAnsi="Palatino Linotype" w:cs="Palatino Linotype"/>
        </w:rPr>
      </w:pPr>
      <w:r w:rsidRPr="003B372F">
        <w:rPr>
          <w:rFonts w:ascii="Palatino Linotype" w:eastAsia="Palatino Linotype" w:hAnsi="Palatino Linotype" w:cs="Palatino Linotype"/>
        </w:rPr>
        <w:t xml:space="preserve"> </w:t>
      </w:r>
    </w:p>
    <w:p w:rsidR="00FC4992" w:rsidRPr="003B372F" w:rsidRDefault="003B11C6">
      <w:pPr>
        <w:spacing w:before="120" w:after="120" w:line="360" w:lineRule="auto"/>
        <w:ind w:right="49"/>
        <w:jc w:val="both"/>
        <w:rPr>
          <w:rFonts w:ascii="Palatino Linotype" w:eastAsia="Palatino Linotype" w:hAnsi="Palatino Linotype" w:cs="Palatino Linotype"/>
        </w:rPr>
      </w:pPr>
      <w:bookmarkStart w:id="8" w:name="_heading=h.30j0zll" w:colFirst="0" w:colLast="0"/>
      <w:bookmarkEnd w:id="8"/>
      <w:r w:rsidRPr="003B372F">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3B372F">
        <w:rPr>
          <w:rFonts w:ascii="Palatino Linotype" w:eastAsia="Palatino Linotype" w:hAnsi="Palatino Linotype" w:cs="Palatino Linotype"/>
        </w:rPr>
        <w:lastRenderedPageBreak/>
        <w:t>VILCHIS, MARÍA DEL ROSARIO MEJÍA AYALA, SHARON CRISTINA MORALES MARTÍNEZ, LUIS GUSTAVO PARRA NORIEGA</w:t>
      </w:r>
      <w:r w:rsidR="00517EE5">
        <w:rPr>
          <w:rFonts w:ascii="Palatino Linotype" w:eastAsia="Palatino Linotype" w:hAnsi="Palatino Linotype" w:cs="Palatino Linotype"/>
        </w:rPr>
        <w:t xml:space="preserve"> EMITIENDO VOTO PARTICULAR</w:t>
      </w:r>
      <w:r w:rsidRPr="003B372F">
        <w:rPr>
          <w:rFonts w:ascii="Palatino Linotype" w:eastAsia="Palatino Linotype" w:hAnsi="Palatino Linotype" w:cs="Palatino Linotype"/>
        </w:rPr>
        <w:t xml:space="preserve"> Y GUADALUPE RAMÍREZ PEÑA; EN LA TRIGÉSIMA OCTAVA SESIÓN ORDINARIA CELEBRADA EL DIECINUEVE DE OCTUBRE DE DOS MIL VEINTIDÓS, ANTE EL SECRETARIO TÉCNICO DEL PLENO ALEXIS TAPIA RAMÍREZ.</w:t>
      </w:r>
    </w:p>
    <w:p w:rsidR="00FC4992" w:rsidRDefault="008C71B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190525</wp:posOffset>
                </wp:positionH>
                <wp:positionV relativeFrom="paragraph">
                  <wp:posOffset>286953</wp:posOffset>
                </wp:positionV>
                <wp:extent cx="5058888" cy="4940135"/>
                <wp:effectExtent l="0" t="0" r="27940" b="32385"/>
                <wp:wrapNone/>
                <wp:docPr id="1" name="Conector recto 1"/>
                <wp:cNvGraphicFramePr/>
                <a:graphic xmlns:a="http://schemas.openxmlformats.org/drawingml/2006/main">
                  <a:graphicData uri="http://schemas.microsoft.com/office/word/2010/wordprocessingShape">
                    <wps:wsp>
                      <wps:cNvCnPr/>
                      <wps:spPr>
                        <a:xfrm>
                          <a:off x="0" y="0"/>
                          <a:ext cx="5058888" cy="49401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6D1246"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pt,22.6pt" to="413.35pt,4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" strokecolor="#5b9bd5 [3204]" strokeweight=".5pt">
                <v:stroke joinstyle="miter"/>
              </v:line>
            </w:pict>
          </mc:Fallback>
        </mc:AlternateContent>
      </w:r>
    </w:p>
    <w:p w:rsidR="008C71B0" w:rsidRPr="00D24261" w:rsidRDefault="008C71B0">
      <w:pPr>
        <w:spacing w:line="360" w:lineRule="auto"/>
        <w:jc w:val="both"/>
        <w:rPr>
          <w:rFonts w:ascii="Palatino Linotype" w:eastAsia="Palatino Linotype" w:hAnsi="Palatino Linotype" w:cs="Palatino Linotype"/>
        </w:rPr>
      </w:pPr>
    </w:p>
    <w:p w:rsidR="00FC4992" w:rsidRPr="00D24261" w:rsidRDefault="00FC4992">
      <w:pPr>
        <w:spacing w:before="240" w:after="240" w:line="360" w:lineRule="auto"/>
        <w:jc w:val="both"/>
        <w:rPr>
          <w:rFonts w:ascii="Palatino Linotype" w:eastAsia="Palatino Linotype" w:hAnsi="Palatino Linotype" w:cs="Palatino Linotype"/>
        </w:rPr>
      </w:pPr>
    </w:p>
    <w:p w:rsidR="00FC4992" w:rsidRPr="00D24261" w:rsidRDefault="00FC4992">
      <w:pPr>
        <w:spacing w:before="240" w:after="240" w:line="360" w:lineRule="auto"/>
        <w:jc w:val="both"/>
        <w:rPr>
          <w:rFonts w:ascii="Palatino Linotype" w:eastAsia="Palatino Linotype" w:hAnsi="Palatino Linotype" w:cs="Palatino Linotype"/>
        </w:rPr>
        <w:sectPr w:rsidR="00FC4992" w:rsidRPr="00D24261">
          <w:headerReference w:type="default" r:id="rId13"/>
          <w:footerReference w:type="default" r:id="rId14"/>
          <w:headerReference w:type="first" r:id="rId15"/>
          <w:footerReference w:type="first" r:id="rId16"/>
          <w:pgSz w:w="12240" w:h="15840"/>
          <w:pgMar w:top="1417" w:right="1701" w:bottom="1417" w:left="1701" w:header="709" w:footer="709" w:gutter="0"/>
          <w:pgNumType w:start="1"/>
          <w:cols w:space="720"/>
          <w:titlePg/>
        </w:sectPr>
      </w:pPr>
    </w:p>
    <w:p w:rsidR="00FC4992" w:rsidRPr="00D24261" w:rsidRDefault="00FC4992">
      <w:pPr>
        <w:spacing w:before="240" w:after="240" w:line="360" w:lineRule="auto"/>
        <w:jc w:val="both"/>
        <w:rPr>
          <w:rFonts w:ascii="Palatino Linotype" w:eastAsia="Palatino Linotype" w:hAnsi="Palatino Linotype" w:cs="Palatino Linotype"/>
        </w:rPr>
      </w:pPr>
    </w:p>
    <w:p w:rsidR="00FC4992" w:rsidRPr="00D24261" w:rsidRDefault="00FC4992">
      <w:pPr>
        <w:spacing w:before="240" w:after="240" w:line="360" w:lineRule="auto"/>
        <w:jc w:val="both"/>
        <w:rPr>
          <w:rFonts w:ascii="Palatino Linotype" w:eastAsia="Palatino Linotype" w:hAnsi="Palatino Linotype" w:cs="Palatino Linotype"/>
        </w:rPr>
      </w:pPr>
    </w:p>
    <w:p w:rsidR="00FC4992" w:rsidRPr="00D24261" w:rsidRDefault="00FC4992">
      <w:pPr>
        <w:spacing w:before="240" w:after="240" w:line="360" w:lineRule="auto"/>
        <w:jc w:val="both"/>
        <w:rPr>
          <w:rFonts w:ascii="Palatino Linotype" w:eastAsia="Palatino Linotype" w:hAnsi="Palatino Linotype" w:cs="Palatino Linotype"/>
        </w:rPr>
      </w:pPr>
    </w:p>
    <w:sectPr w:rsidR="00FC4992" w:rsidRPr="00D24261">
      <w:headerReference w:type="first" r:id="rId17"/>
      <w:pgSz w:w="12240" w:h="15840"/>
      <w:pgMar w:top="1417" w:right="1701"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24A" w:rsidRDefault="0036424A">
      <w:r>
        <w:separator/>
      </w:r>
    </w:p>
  </w:endnote>
  <w:endnote w:type="continuationSeparator" w:id="0">
    <w:p w:rsidR="0036424A" w:rsidRDefault="00364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altName w:val="Palatino"/>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992" w:rsidRDefault="003B11C6">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3310D">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3310D">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rsidR="00FC4992" w:rsidRDefault="00FC499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992" w:rsidRDefault="003B11C6">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3310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3310D">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rsidR="00FC4992" w:rsidRDefault="00FC499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24A" w:rsidRDefault="0036424A">
      <w:r>
        <w:separator/>
      </w:r>
    </w:p>
  </w:footnote>
  <w:footnote w:type="continuationSeparator" w:id="0">
    <w:p w:rsidR="0036424A" w:rsidRDefault="0036424A">
      <w:r>
        <w:continuationSeparator/>
      </w:r>
    </w:p>
  </w:footnote>
  <w:footnote w:id="1">
    <w:p w:rsidR="00FC4992" w:rsidRDefault="003B11C6">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rsidR="00FC4992" w:rsidRDefault="003B11C6">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rsidR="00FC4992" w:rsidRDefault="003B11C6">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992" w:rsidRDefault="003B11C6">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8240" behindDoc="1" locked="0" layoutInCell="1" hidden="0" allowOverlap="1">
          <wp:simplePos x="0" y="0"/>
          <wp:positionH relativeFrom="column">
            <wp:posOffset>-665857</wp:posOffset>
          </wp:positionH>
          <wp:positionV relativeFrom="paragraph">
            <wp:posOffset>-453612</wp:posOffset>
          </wp:positionV>
          <wp:extent cx="7635600" cy="9943200"/>
          <wp:effectExtent l="0" t="0" r="0" b="0"/>
          <wp:wrapNone/>
          <wp:docPr id="30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a"/>
      <w:tblW w:w="5879" w:type="dxa"/>
      <w:tblInd w:w="3119" w:type="dxa"/>
      <w:tblLayout w:type="fixed"/>
      <w:tblLook w:val="0400" w:firstRow="0" w:lastRow="0" w:firstColumn="0" w:lastColumn="0" w:noHBand="0" w:noVBand="1"/>
    </w:tblPr>
    <w:tblGrid>
      <w:gridCol w:w="2645"/>
      <w:gridCol w:w="3234"/>
    </w:tblGrid>
    <w:tr w:rsidR="00FC4992">
      <w:trPr>
        <w:trHeight w:val="330"/>
      </w:trPr>
      <w:tc>
        <w:tcPr>
          <w:tcW w:w="2645" w:type="dxa"/>
          <w:vAlign w:val="center"/>
        </w:tcPr>
        <w:p w:rsidR="00FC4992" w:rsidRDefault="003B11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34" w:type="dxa"/>
          <w:vAlign w:val="center"/>
        </w:tcPr>
        <w:p w:rsidR="00FC4992" w:rsidRDefault="003B11C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07944/INFOEM/IP/RR/2022. </w:t>
          </w:r>
        </w:p>
      </w:tc>
    </w:tr>
    <w:tr w:rsidR="00FC4992">
      <w:trPr>
        <w:trHeight w:val="251"/>
      </w:trPr>
      <w:tc>
        <w:tcPr>
          <w:tcW w:w="2645" w:type="dxa"/>
          <w:vAlign w:val="center"/>
        </w:tcPr>
        <w:p w:rsidR="00FC4992" w:rsidRDefault="003B11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34" w:type="dxa"/>
          <w:vAlign w:val="center"/>
        </w:tcPr>
        <w:p w:rsidR="00FC4992" w:rsidRDefault="003B11C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Aculco</w:t>
          </w:r>
        </w:p>
      </w:tc>
    </w:tr>
    <w:tr w:rsidR="00FC4992">
      <w:trPr>
        <w:trHeight w:val="330"/>
      </w:trPr>
      <w:tc>
        <w:tcPr>
          <w:tcW w:w="2645" w:type="dxa"/>
          <w:vAlign w:val="center"/>
        </w:tcPr>
        <w:p w:rsidR="00FC4992" w:rsidRDefault="003B11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34" w:type="dxa"/>
          <w:vAlign w:val="center"/>
        </w:tcPr>
        <w:p w:rsidR="00FC4992" w:rsidRDefault="003B11C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C4992" w:rsidRDefault="00FC4992">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992" w:rsidRDefault="003B11C6">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simplePos x="0" y="0"/>
          <wp:positionH relativeFrom="column">
            <wp:posOffset>-680310</wp:posOffset>
          </wp:positionH>
          <wp:positionV relativeFrom="paragraph">
            <wp:posOffset>-168881</wp:posOffset>
          </wp:positionV>
          <wp:extent cx="7635600" cy="9943200"/>
          <wp:effectExtent l="0" t="0" r="0" b="0"/>
          <wp:wrapNone/>
          <wp:docPr id="30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9"/>
      <w:tblW w:w="6095" w:type="dxa"/>
      <w:tblInd w:w="2977" w:type="dxa"/>
      <w:tblLayout w:type="fixed"/>
      <w:tblLook w:val="0400" w:firstRow="0" w:lastRow="0" w:firstColumn="0" w:lastColumn="0" w:noHBand="0" w:noVBand="1"/>
    </w:tblPr>
    <w:tblGrid>
      <w:gridCol w:w="2552"/>
      <w:gridCol w:w="3543"/>
    </w:tblGrid>
    <w:tr w:rsidR="00FC4992">
      <w:tc>
        <w:tcPr>
          <w:tcW w:w="2552" w:type="dxa"/>
          <w:vAlign w:val="center"/>
        </w:tcPr>
        <w:p w:rsidR="00FC4992" w:rsidRDefault="003B11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vAlign w:val="center"/>
        </w:tcPr>
        <w:p w:rsidR="00FC4992" w:rsidRDefault="003B11C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07944/INFOEM/IP/RR/2022. </w:t>
          </w:r>
        </w:p>
      </w:tc>
    </w:tr>
    <w:tr w:rsidR="00FC4992">
      <w:tc>
        <w:tcPr>
          <w:tcW w:w="2552" w:type="dxa"/>
          <w:vAlign w:val="center"/>
        </w:tcPr>
        <w:p w:rsidR="00FC4992" w:rsidRDefault="003B11C6">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543" w:type="dxa"/>
          <w:vAlign w:val="center"/>
        </w:tcPr>
        <w:p w:rsidR="00FC4992" w:rsidRDefault="00FB4E88" w:rsidP="00FB4E88">
          <w:pPr>
            <w:ind w:right="-11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w:t>
          </w:r>
        </w:p>
      </w:tc>
    </w:tr>
    <w:tr w:rsidR="00FC4992">
      <w:trPr>
        <w:trHeight w:val="228"/>
      </w:trPr>
      <w:tc>
        <w:tcPr>
          <w:tcW w:w="2552" w:type="dxa"/>
          <w:vAlign w:val="center"/>
        </w:tcPr>
        <w:p w:rsidR="00FC4992" w:rsidRDefault="003B11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vAlign w:val="center"/>
        </w:tcPr>
        <w:p w:rsidR="00FC4992" w:rsidRDefault="003B11C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Aculco </w:t>
          </w:r>
        </w:p>
      </w:tc>
    </w:tr>
    <w:tr w:rsidR="00FC4992">
      <w:tc>
        <w:tcPr>
          <w:tcW w:w="2552" w:type="dxa"/>
          <w:vAlign w:val="center"/>
        </w:tcPr>
        <w:p w:rsidR="00FC4992" w:rsidRDefault="003B11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3" w:type="dxa"/>
          <w:vAlign w:val="center"/>
        </w:tcPr>
        <w:p w:rsidR="00FC4992" w:rsidRDefault="003B11C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C4992" w:rsidRDefault="00FC4992">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992" w:rsidRDefault="00FC4992">
    <w:pPr>
      <w:pBdr>
        <w:top w:val="nil"/>
        <w:left w:val="nil"/>
        <w:bottom w:val="nil"/>
        <w:right w:val="nil"/>
        <w:between w:val="nil"/>
      </w:pBdr>
      <w:tabs>
        <w:tab w:val="center" w:pos="4419"/>
        <w:tab w:val="right" w:pos="8838"/>
      </w:tabs>
      <w:jc w:val="both"/>
      <w:rPr>
        <w:color w:val="000000"/>
      </w:rPr>
    </w:pPr>
  </w:p>
  <w:p w:rsidR="00FC4992" w:rsidRDefault="00FC4992">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B82505"/>
    <w:multiLevelType w:val="multilevel"/>
    <w:tmpl w:val="D8FAB1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4D4472C"/>
    <w:multiLevelType w:val="multilevel"/>
    <w:tmpl w:val="452624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5115440"/>
    <w:multiLevelType w:val="multilevel"/>
    <w:tmpl w:val="A448CEB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02653C1"/>
    <w:multiLevelType w:val="multilevel"/>
    <w:tmpl w:val="D7AA1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3A140BB"/>
    <w:multiLevelType w:val="multilevel"/>
    <w:tmpl w:val="E9E6C18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nsid w:val="5845055C"/>
    <w:multiLevelType w:val="multilevel"/>
    <w:tmpl w:val="BA0CF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72F154DD"/>
    <w:multiLevelType w:val="multilevel"/>
    <w:tmpl w:val="C582C2AE"/>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5"/>
  </w:num>
  <w:num w:numId="3">
    <w:abstractNumId w:val="0"/>
  </w:num>
  <w:num w:numId="4">
    <w:abstractNumId w:val="3"/>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992"/>
    <w:rsid w:val="00185AA4"/>
    <w:rsid w:val="001D044E"/>
    <w:rsid w:val="0027271C"/>
    <w:rsid w:val="00332CF1"/>
    <w:rsid w:val="0035464F"/>
    <w:rsid w:val="0036424A"/>
    <w:rsid w:val="003B11C6"/>
    <w:rsid w:val="003B372F"/>
    <w:rsid w:val="003D7A14"/>
    <w:rsid w:val="00422D13"/>
    <w:rsid w:val="00453C09"/>
    <w:rsid w:val="004C50CA"/>
    <w:rsid w:val="00517EE5"/>
    <w:rsid w:val="00567082"/>
    <w:rsid w:val="005C68AD"/>
    <w:rsid w:val="006314D7"/>
    <w:rsid w:val="0066166D"/>
    <w:rsid w:val="006D2E9E"/>
    <w:rsid w:val="006D5A7F"/>
    <w:rsid w:val="00740EE6"/>
    <w:rsid w:val="00896ACE"/>
    <w:rsid w:val="008C71B0"/>
    <w:rsid w:val="0097597B"/>
    <w:rsid w:val="00A3310D"/>
    <w:rsid w:val="00A80368"/>
    <w:rsid w:val="00AD6C82"/>
    <w:rsid w:val="00AF4D90"/>
    <w:rsid w:val="00B279D5"/>
    <w:rsid w:val="00B8025D"/>
    <w:rsid w:val="00C47F72"/>
    <w:rsid w:val="00D24261"/>
    <w:rsid w:val="00E13427"/>
    <w:rsid w:val="00E65BF1"/>
    <w:rsid w:val="00E95644"/>
    <w:rsid w:val="00FB4E88"/>
    <w:rsid w:val="00FC49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7CCD64-515D-45EF-AD32-508BE8D6F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rPr>
      <w:lang w:eastAsia="es-ES"/>
    </w:rPr>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114A6D"/>
    <w:rPr>
      <w:vertAlign w:val="superscript"/>
    </w:rPr>
  </w:style>
  <w:style w:type="paragraph" w:customStyle="1" w:styleId="Default">
    <w:name w:val="Default"/>
    <w:rsid w:val="00DD33AE"/>
    <w:pPr>
      <w:autoSpaceDE w:val="0"/>
      <w:autoSpaceDN w:val="0"/>
      <w:adjustRightInd w:val="0"/>
    </w:pPr>
    <w:rPr>
      <w:rFonts w:ascii="Arial" w:hAnsi="Arial" w:cs="Arial"/>
      <w:color w:val="000000"/>
    </w:rPr>
  </w:style>
  <w:style w:type="paragraph" w:styleId="NormalWeb">
    <w:name w:val="Normal (Web)"/>
    <w:basedOn w:val="Normal"/>
    <w:uiPriority w:val="99"/>
    <w:unhideWhenUsed/>
    <w:rsid w:val="00DD33AE"/>
    <w:pPr>
      <w:spacing w:before="100" w:beforeAutospacing="1" w:after="100" w:afterAutospacing="1"/>
    </w:pPr>
    <w:rPr>
      <w:lang w:val="es-MX" w:eastAsia="es-MX"/>
    </w:rPr>
  </w:style>
  <w:style w:type="paragraph" w:customStyle="1" w:styleId="Standard">
    <w:name w:val="Standard"/>
    <w:rsid w:val="00DD33AE"/>
    <w:pPr>
      <w:widowControl w:val="0"/>
      <w:suppressAutoHyphens/>
      <w:autoSpaceDN w:val="0"/>
      <w:textAlignment w:val="baseline"/>
    </w:pPr>
    <w:rPr>
      <w:rFonts w:ascii="Liberation Serif" w:eastAsia="DejaVu Sans" w:hAnsi="Liberation Serif" w:cs="Lohit Hindi"/>
      <w:kern w:val="3"/>
      <w:lang w:eastAsia="zh-CN" w:bidi="hi-IN"/>
    </w:rPr>
  </w:style>
  <w:style w:type="paragraph" w:customStyle="1" w:styleId="j">
    <w:name w:val="j"/>
    <w:basedOn w:val="Normal"/>
    <w:rsid w:val="00DD33AE"/>
    <w:pPr>
      <w:spacing w:before="100" w:beforeAutospacing="1" w:after="100" w:afterAutospacing="1"/>
    </w:pPr>
    <w:rPr>
      <w:lang w:val="es-MX" w:eastAsia="es-MX"/>
    </w:rPr>
  </w:style>
  <w:style w:type="character" w:customStyle="1" w:styleId="nacep">
    <w:name w:val="n_acep"/>
    <w:basedOn w:val="Fuentedeprrafopredeter"/>
    <w:rsid w:val="00DD33AE"/>
  </w:style>
  <w:style w:type="character" w:customStyle="1" w:styleId="m-5890655947528156101gmail-msofootnotereference">
    <w:name w:val="m_-5890655947528156101gmail-msofootnotereference"/>
    <w:basedOn w:val="Fuentedeprrafopredeter"/>
    <w:rsid w:val="00DD33AE"/>
  </w:style>
  <w:style w:type="paragraph" w:customStyle="1" w:styleId="m-5890655947528156101gmail-msofootnotetext">
    <w:name w:val="m_-5890655947528156101gmail-msofootnotetext"/>
    <w:basedOn w:val="Normal"/>
    <w:rsid w:val="00DD33AE"/>
    <w:pPr>
      <w:spacing w:before="100" w:beforeAutospacing="1" w:after="100" w:afterAutospacing="1"/>
    </w:pPr>
    <w:rPr>
      <w:lang w:val="es-MX" w:eastAsia="es-MX"/>
    </w:rPr>
  </w:style>
  <w:style w:type="character" w:customStyle="1" w:styleId="apple-style-span">
    <w:name w:val="apple-style-span"/>
    <w:rsid w:val="00DD33AE"/>
  </w:style>
  <w:style w:type="character" w:styleId="Hipervnculovisitado">
    <w:name w:val="FollowedHyperlink"/>
    <w:basedOn w:val="Fuentedeprrafopredeter"/>
    <w:uiPriority w:val="99"/>
    <w:semiHidden/>
    <w:unhideWhenUsed/>
    <w:rsid w:val="001D67FB"/>
    <w:rPr>
      <w:color w:val="954F72" w:themeColor="followedHyperlink"/>
      <w:u w:val="single"/>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0" w:type="dxa"/>
        <w:left w:w="115" w:type="dxa"/>
        <w:bottom w:w="0" w:type="dxa"/>
        <w:right w:w="115"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1">
    <w:basedOn w:val="TableNormal2"/>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0" w:type="dxa"/>
        <w:left w:w="115" w:type="dxa"/>
        <w:bottom w:w="0" w:type="dxa"/>
        <w:right w:w="115" w:type="dxa"/>
      </w:tblCellMar>
    </w:tblPr>
  </w:style>
  <w:style w:type="table" w:customStyle="1" w:styleId="a3">
    <w:basedOn w:val="TableNormal2"/>
    <w:tblPr>
      <w:tblStyleRowBandSize w:val="1"/>
      <w:tblStyleColBandSize w:val="1"/>
      <w:tblCellMar>
        <w:top w:w="0" w:type="dxa"/>
        <w:left w:w="115" w:type="dxa"/>
        <w:bottom w:w="0" w:type="dxa"/>
        <w:right w:w="115" w:type="dxa"/>
      </w:tblCellMar>
    </w:tblPr>
  </w:style>
  <w:style w:type="table" w:customStyle="1" w:styleId="a4">
    <w:basedOn w:val="TableNormal2"/>
    <w:tblPr>
      <w:tblStyleRowBandSize w:val="1"/>
      <w:tblStyleColBandSize w:val="1"/>
      <w:tblCellMar>
        <w:top w:w="0" w:type="dxa"/>
        <w:left w:w="115" w:type="dxa"/>
        <w:bottom w:w="0" w:type="dxa"/>
        <w:right w:w="115" w:type="dxa"/>
      </w:tblCellMar>
    </w:tblPr>
  </w:style>
  <w:style w:type="character" w:customStyle="1" w:styleId="Mencinsinresolver1">
    <w:name w:val="Mención sin resolver1"/>
    <w:basedOn w:val="Fuentedeprrafopredeter"/>
    <w:uiPriority w:val="99"/>
    <w:semiHidden/>
    <w:unhideWhenUsed/>
    <w:rsid w:val="004C7173"/>
    <w:rPr>
      <w:color w:val="605E5C"/>
      <w:shd w:val="clear" w:color="auto" w:fill="E1DFDD"/>
    </w:rPr>
  </w:style>
  <w:style w:type="paragraph" w:styleId="Listaconvietas3">
    <w:name w:val="List Bullet 3"/>
    <w:basedOn w:val="Normal"/>
    <w:uiPriority w:val="99"/>
    <w:unhideWhenUsed/>
    <w:rsid w:val="00990F86"/>
    <w:pPr>
      <w:numPr>
        <w:numId w:val="7"/>
      </w:numPr>
      <w:contextualSpacing/>
    </w:pPr>
    <w:rPr>
      <w:lang w:eastAsia="es-MX"/>
    </w:r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character" w:customStyle="1" w:styleId="Ttulo1Car">
    <w:name w:val="Título 1 Car"/>
    <w:basedOn w:val="Fuentedeprrafopredeter"/>
    <w:link w:val="Ttulo1"/>
    <w:rsid w:val="00EF63E9"/>
    <w:rPr>
      <w:b/>
      <w:sz w:val="48"/>
      <w:szCs w:val="48"/>
      <w:lang w:eastAsia="es-ES"/>
    </w:rPr>
  </w:style>
  <w:style w:type="character" w:customStyle="1" w:styleId="Ttulo2Car">
    <w:name w:val="Título 2 Car"/>
    <w:basedOn w:val="Fuentedeprrafopredeter"/>
    <w:link w:val="Ttulo2"/>
    <w:rsid w:val="00EF63E9"/>
    <w:rPr>
      <w:b/>
      <w:sz w:val="36"/>
      <w:szCs w:val="36"/>
      <w:lang w:eastAsia="es-ES"/>
    </w:rPr>
  </w:style>
  <w:style w:type="character" w:customStyle="1" w:styleId="Ttulo3Car">
    <w:name w:val="Título 3 Car"/>
    <w:basedOn w:val="Fuentedeprrafopredeter"/>
    <w:link w:val="Ttulo3"/>
    <w:rsid w:val="00EF63E9"/>
    <w:rPr>
      <w:b/>
      <w:sz w:val="28"/>
      <w:szCs w:val="28"/>
      <w:lang w:eastAsia="es-ES"/>
    </w:rPr>
  </w:style>
  <w:style w:type="character" w:customStyle="1" w:styleId="Ttulo4Car">
    <w:name w:val="Título 4 Car"/>
    <w:basedOn w:val="Fuentedeprrafopredeter"/>
    <w:link w:val="Ttulo4"/>
    <w:rsid w:val="00EF63E9"/>
    <w:rPr>
      <w:b/>
      <w:lang w:eastAsia="es-ES"/>
    </w:rPr>
  </w:style>
  <w:style w:type="character" w:customStyle="1" w:styleId="Ttulo5Car">
    <w:name w:val="Título 5 Car"/>
    <w:basedOn w:val="Fuentedeprrafopredeter"/>
    <w:link w:val="Ttulo5"/>
    <w:rsid w:val="00EF63E9"/>
    <w:rPr>
      <w:b/>
      <w:sz w:val="22"/>
      <w:szCs w:val="22"/>
      <w:lang w:eastAsia="es-ES"/>
    </w:rPr>
  </w:style>
  <w:style w:type="character" w:customStyle="1" w:styleId="Ttulo6Car">
    <w:name w:val="Título 6 Car"/>
    <w:basedOn w:val="Fuentedeprrafopredeter"/>
    <w:link w:val="Ttulo6"/>
    <w:rsid w:val="00EF63E9"/>
    <w:rPr>
      <w:b/>
      <w:sz w:val="20"/>
      <w:szCs w:val="20"/>
      <w:lang w:eastAsia="es-ES"/>
    </w:rPr>
  </w:style>
  <w:style w:type="character" w:customStyle="1" w:styleId="PuestoCar">
    <w:name w:val="Puesto Car"/>
    <w:basedOn w:val="Fuentedeprrafopredeter"/>
    <w:link w:val="Puesto"/>
    <w:rsid w:val="00EF63E9"/>
    <w:rPr>
      <w:b/>
      <w:sz w:val="72"/>
      <w:szCs w:val="72"/>
      <w:lang w:eastAsia="es-ES"/>
    </w:rPr>
  </w:style>
  <w:style w:type="character" w:customStyle="1" w:styleId="SubttuloCar">
    <w:name w:val="Subtítulo Car"/>
    <w:basedOn w:val="Fuentedeprrafopredeter"/>
    <w:link w:val="Subttulo"/>
    <w:rsid w:val="00EF63E9"/>
    <w:rPr>
      <w:rFonts w:ascii="Georgia" w:eastAsia="Georgia" w:hAnsi="Georgia" w:cs="Georgia"/>
      <w:i/>
      <w:color w:val="666666"/>
      <w:sz w:val="48"/>
      <w:szCs w:val="48"/>
      <w:lang w:eastAsia="es-ES"/>
    </w:rPr>
  </w:style>
  <w:style w:type="character" w:customStyle="1" w:styleId="Mencinsinresolver2">
    <w:name w:val="Mención sin resolver2"/>
    <w:basedOn w:val="Fuentedeprrafopredeter"/>
    <w:uiPriority w:val="99"/>
    <w:semiHidden/>
    <w:unhideWhenUsed/>
    <w:rsid w:val="00EF63E9"/>
    <w:rPr>
      <w:color w:val="605E5C"/>
      <w:shd w:val="clear" w:color="auto" w:fill="E1DFDD"/>
    </w:r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a4ZObLlVOOMS/vMHiK4jOHfI+w==">AMUW2mV00K1/s8odu8HPmjsLIKm+H6hgiguS7o6nx3Ij7eEzx6RV1nGSNmYn4jqX3KAThq5VHvcqnuEz25cBEkHjI8U1FsvlEak77cJcFCX3jYwY+SzW5wydHHWGCWLO9Arx+ku30IWF5qunL5r/R11aE6bxfPwkFpTZ8/PviGIr0Qg0xWItE5QrQayv0xlqbdfJu41iUvb5B1uc8vZHntN2MyAbM84L5x8dDITEXXcMoJ9d6urHLx8=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11710</Words>
  <Characters>64405</Characters>
  <Application>Microsoft Office Word</Application>
  <DocSecurity>0</DocSecurity>
  <Lines>536</Lines>
  <Paragraphs>151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75964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cp:lastModifiedBy>
  <cp:revision>2</cp:revision>
  <cp:lastPrinted>2022-10-20T15:16:00Z</cp:lastPrinted>
  <dcterms:created xsi:type="dcterms:W3CDTF">2022-11-04T00:47:00Z</dcterms:created>
  <dcterms:modified xsi:type="dcterms:W3CDTF">2022-11-04T00:47:00Z</dcterms:modified>
</cp:coreProperties>
</file>