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4F" w:rsidRPr="00AC208B" w:rsidRDefault="00622B4F" w:rsidP="00622B4F">
      <w:pPr>
        <w:tabs>
          <w:tab w:val="left" w:pos="0"/>
        </w:tabs>
        <w:spacing w:before="240" w:after="240" w:line="360" w:lineRule="auto"/>
        <w:jc w:val="both"/>
        <w:rPr>
          <w:rFonts w:ascii="Palatino Linotype" w:hAnsi="Palatino Linotype"/>
        </w:rPr>
      </w:pPr>
      <w:r w:rsidRPr="00AC208B">
        <w:rPr>
          <w:rFonts w:ascii="Palatino Linotype" w:hAnsi="Palatino Linotype"/>
        </w:rPr>
        <w:t>Resolución del Pleno del Instituto de Transparencia, Acceso a la Información Pública y Protección de Datos Personales del Estado de México y Municipios, con domicilio en Metepec, Estado</w:t>
      </w:r>
      <w:r w:rsidR="00CA188D" w:rsidRPr="00AC208B">
        <w:rPr>
          <w:rFonts w:ascii="Palatino Linotype" w:hAnsi="Palatino Linotype"/>
        </w:rPr>
        <w:t xml:space="preserve"> de México; de </w:t>
      </w:r>
      <w:r w:rsidR="00A10D74" w:rsidRPr="00AC208B">
        <w:rPr>
          <w:rFonts w:ascii="Palatino Linotype" w:hAnsi="Palatino Linotype"/>
        </w:rPr>
        <w:t>trece (13) de julio</w:t>
      </w:r>
      <w:r w:rsidRPr="00AC208B">
        <w:rPr>
          <w:rFonts w:ascii="Palatino Linotype" w:hAnsi="Palatino Linotype"/>
        </w:rPr>
        <w:t xml:space="preserve"> de dos mil veintidós. </w:t>
      </w:r>
    </w:p>
    <w:p w:rsidR="00622B4F" w:rsidRPr="00AC208B" w:rsidRDefault="00622B4F" w:rsidP="00622B4F">
      <w:pPr>
        <w:spacing w:before="240" w:after="240" w:line="360" w:lineRule="auto"/>
        <w:jc w:val="both"/>
        <w:rPr>
          <w:rFonts w:ascii="Palatino Linotype" w:hAnsi="Palatino Linotype"/>
        </w:rPr>
      </w:pPr>
      <w:r w:rsidRPr="00AC208B">
        <w:rPr>
          <w:rFonts w:ascii="Palatino Linotype" w:hAnsi="Palatino Linotype"/>
          <w:b/>
        </w:rPr>
        <w:t>VISTO</w:t>
      </w:r>
      <w:r w:rsidRPr="00AC208B">
        <w:rPr>
          <w:rFonts w:ascii="Palatino Linotype" w:hAnsi="Palatino Linotype"/>
        </w:rPr>
        <w:t xml:space="preserve"> el expediente electrónico formado con motivo del recurso de revisión </w:t>
      </w:r>
      <w:r w:rsidR="00A10D74" w:rsidRPr="00AC208B">
        <w:rPr>
          <w:rFonts w:ascii="Palatino Linotype" w:hAnsi="Palatino Linotype" w:cs="Arial"/>
          <w:b/>
          <w:bCs/>
        </w:rPr>
        <w:t>03528</w:t>
      </w:r>
      <w:r w:rsidRPr="00AC208B">
        <w:rPr>
          <w:rFonts w:ascii="Palatino Linotype" w:hAnsi="Palatino Linotype" w:cs="Arial"/>
          <w:b/>
          <w:bCs/>
        </w:rPr>
        <w:t xml:space="preserve">/INFOEM/IP/RR/2022, </w:t>
      </w:r>
      <w:r w:rsidRPr="00AC208B">
        <w:rPr>
          <w:rFonts w:ascii="Palatino Linotype" w:hAnsi="Palatino Linotype"/>
        </w:rPr>
        <w:t xml:space="preserve">promovido por </w:t>
      </w:r>
      <w:r w:rsidR="00AC208B" w:rsidRPr="00AC208B">
        <w:rPr>
          <w:rFonts w:ascii="Palatino Linotype" w:hAnsi="Palatino Linotype"/>
          <w:lang w:val="es-ES"/>
        </w:rPr>
        <w:t xml:space="preserve">XXXXX </w:t>
      </w:r>
      <w:proofErr w:type="spellStart"/>
      <w:r w:rsidR="00AC208B" w:rsidRPr="00AC208B">
        <w:rPr>
          <w:rFonts w:ascii="Palatino Linotype" w:hAnsi="Palatino Linotype"/>
          <w:lang w:val="es-ES"/>
        </w:rPr>
        <w:t>XXXXX</w:t>
      </w:r>
      <w:proofErr w:type="spellEnd"/>
      <w:r w:rsidR="00AC208B" w:rsidRPr="00AC208B">
        <w:rPr>
          <w:rFonts w:ascii="Palatino Linotype" w:hAnsi="Palatino Linotype"/>
          <w:lang w:val="es-ES"/>
        </w:rPr>
        <w:t xml:space="preserve"> </w:t>
      </w:r>
      <w:proofErr w:type="spellStart"/>
      <w:r w:rsidR="00AC208B" w:rsidRPr="00AC208B">
        <w:rPr>
          <w:rFonts w:ascii="Palatino Linotype" w:hAnsi="Palatino Linotype"/>
          <w:lang w:val="es-ES"/>
        </w:rPr>
        <w:t>XXXXX</w:t>
      </w:r>
      <w:proofErr w:type="spellEnd"/>
      <w:r w:rsidRPr="00AC208B">
        <w:rPr>
          <w:rFonts w:ascii="Palatino Linotype" w:hAnsi="Palatino Linotype"/>
        </w:rPr>
        <w:t xml:space="preserve">, quien en lo sucesivo se le identificara como </w:t>
      </w:r>
      <w:r w:rsidRPr="00AC208B">
        <w:rPr>
          <w:rFonts w:ascii="Palatino Linotype" w:hAnsi="Palatino Linotype"/>
          <w:b/>
        </w:rPr>
        <w:t>RECURRENTE</w:t>
      </w:r>
      <w:r w:rsidRPr="00AC208B">
        <w:rPr>
          <w:rFonts w:ascii="Palatino Linotype" w:hAnsi="Palatino Linotype"/>
        </w:rPr>
        <w:t>, en contra de la</w:t>
      </w:r>
      <w:r w:rsidRPr="00AC208B">
        <w:rPr>
          <w:rFonts w:ascii="Palatino Linotype" w:hAnsi="Palatino Linotype" w:cs="Arial"/>
        </w:rPr>
        <w:t xml:space="preserve"> respuesta del  </w:t>
      </w:r>
      <w:r w:rsidR="00A10D74" w:rsidRPr="00AC208B">
        <w:rPr>
          <w:rFonts w:ascii="Palatino Linotype" w:eastAsia="Calibri" w:hAnsi="Palatino Linotype" w:cs="Tahoma"/>
          <w:b/>
          <w:bCs/>
          <w:lang w:eastAsia="en-US"/>
        </w:rPr>
        <w:t>Ayuntamiento de Nicolás Romero</w:t>
      </w:r>
      <w:r w:rsidRPr="00AC208B">
        <w:rPr>
          <w:rFonts w:ascii="Palatino Linotype" w:hAnsi="Palatino Linotype" w:cs="Arial"/>
          <w:b/>
        </w:rPr>
        <w:t xml:space="preserve">, </w:t>
      </w:r>
      <w:r w:rsidRPr="00AC208B">
        <w:rPr>
          <w:rFonts w:ascii="Palatino Linotype" w:hAnsi="Palatino Linotype"/>
        </w:rPr>
        <w:t>en lo sucesivo el</w:t>
      </w:r>
      <w:r w:rsidRPr="00AC208B">
        <w:rPr>
          <w:rFonts w:ascii="Palatino Linotype" w:hAnsi="Palatino Linotype"/>
          <w:b/>
        </w:rPr>
        <w:t xml:space="preserve"> SUJETO OBLIGADO, </w:t>
      </w:r>
      <w:r w:rsidRPr="00AC208B">
        <w:rPr>
          <w:rFonts w:ascii="Palatino Linotype" w:hAnsi="Palatino Linotype"/>
        </w:rPr>
        <w:t xml:space="preserve">se procede a dictar la presente resolución, con base en los siguientes: </w:t>
      </w:r>
    </w:p>
    <w:p w:rsidR="00622B4F" w:rsidRPr="00AC208B" w:rsidRDefault="00622B4F" w:rsidP="00622B4F">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AC208B">
        <w:rPr>
          <w:rFonts w:ascii="Palatino Linotype" w:hAnsi="Palatino Linotype"/>
          <w:b/>
          <w:lang w:eastAsia="en-US"/>
        </w:rPr>
        <w:t>ANTECEDENTES</w:t>
      </w:r>
      <w:bookmarkEnd w:id="0"/>
      <w:bookmarkEnd w:id="1"/>
      <w:bookmarkEnd w:id="2"/>
      <w:bookmarkEnd w:id="3"/>
    </w:p>
    <w:p w:rsidR="00622B4F" w:rsidRPr="00AC208B" w:rsidRDefault="00622B4F" w:rsidP="009D71AB">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AC208B">
        <w:rPr>
          <w:rFonts w:ascii="Palatino Linotype" w:eastAsia="Calibri" w:hAnsi="Palatino Linotype" w:cs="Arial"/>
          <w:lang w:val="es-ES"/>
        </w:rPr>
        <w:t xml:space="preserve">El </w:t>
      </w:r>
      <w:r w:rsidR="009D71AB" w:rsidRPr="00AC208B">
        <w:rPr>
          <w:rFonts w:ascii="Palatino Linotype" w:eastAsia="Calibri" w:hAnsi="Palatino Linotype" w:cs="Arial"/>
          <w:lang w:val="es-ES"/>
        </w:rPr>
        <w:t>veintiocho (28</w:t>
      </w:r>
      <w:r w:rsidR="00736B9F" w:rsidRPr="00AC208B">
        <w:rPr>
          <w:rFonts w:ascii="Palatino Linotype" w:eastAsia="Calibri" w:hAnsi="Palatino Linotype" w:cs="Arial"/>
          <w:lang w:val="es-ES"/>
        </w:rPr>
        <w:t xml:space="preserve">) de </w:t>
      </w:r>
      <w:r w:rsidR="009D71AB" w:rsidRPr="00AC208B">
        <w:rPr>
          <w:rFonts w:ascii="Palatino Linotype" w:eastAsia="Calibri" w:hAnsi="Palatino Linotype" w:cs="Arial"/>
          <w:lang w:val="es-ES"/>
        </w:rPr>
        <w:t>febrero</w:t>
      </w:r>
      <w:r w:rsidRPr="00AC208B">
        <w:rPr>
          <w:rFonts w:ascii="Palatino Linotype" w:eastAsia="Calibri" w:hAnsi="Palatino Linotype" w:cs="Arial"/>
          <w:lang w:val="es-ES"/>
        </w:rPr>
        <w:t xml:space="preserve">  de dos mil veintidós,</w:t>
      </w:r>
      <w:r w:rsidRPr="00AC208B">
        <w:rPr>
          <w:rFonts w:ascii="Palatino Linotype" w:eastAsia="Calibri" w:hAnsi="Palatino Linotype"/>
          <w:lang w:val="es-ES"/>
        </w:rPr>
        <w:t xml:space="preserve"> </w:t>
      </w:r>
      <w:r w:rsidRPr="00AC208B">
        <w:rPr>
          <w:rFonts w:ascii="Palatino Linotype" w:hAnsi="Palatino Linotype"/>
        </w:rPr>
        <w:t>el</w:t>
      </w:r>
      <w:r w:rsidRPr="00AC208B">
        <w:rPr>
          <w:rFonts w:ascii="Palatino Linotype" w:hAnsi="Palatino Linotype"/>
          <w:b/>
        </w:rPr>
        <w:t xml:space="preserve"> </w:t>
      </w:r>
      <w:r w:rsidRPr="00AC208B">
        <w:rPr>
          <w:rFonts w:ascii="Palatino Linotype" w:hAnsi="Palatino Linotype"/>
        </w:rPr>
        <w:t>solicitante</w:t>
      </w:r>
      <w:r w:rsidRPr="00AC208B">
        <w:rPr>
          <w:rFonts w:ascii="Palatino Linotype" w:hAnsi="Palatino Linotype"/>
          <w:b/>
        </w:rPr>
        <w:t xml:space="preserve">  </w:t>
      </w:r>
      <w:r w:rsidRPr="00AC208B">
        <w:rPr>
          <w:rFonts w:ascii="Palatino Linotype" w:hAnsi="Palatino Linotype"/>
        </w:rPr>
        <w:t>presentó</w:t>
      </w:r>
      <w:r w:rsidRPr="00AC208B">
        <w:rPr>
          <w:rFonts w:ascii="Palatino Linotype" w:hAnsi="Palatino Linotype"/>
          <w:b/>
        </w:rPr>
        <w:t xml:space="preserve"> </w:t>
      </w:r>
      <w:r w:rsidRPr="00AC208B">
        <w:rPr>
          <w:rFonts w:ascii="Palatino Linotype" w:eastAsia="Calibri" w:hAnsi="Palatino Linotype" w:cs="Arial"/>
          <w:lang w:val="es-ES"/>
        </w:rPr>
        <w:t xml:space="preserve">ante el </w:t>
      </w:r>
      <w:r w:rsidRPr="00AC208B">
        <w:rPr>
          <w:rFonts w:ascii="Palatino Linotype" w:eastAsia="Calibri" w:hAnsi="Palatino Linotype" w:cs="Arial"/>
          <w:b/>
          <w:lang w:val="es-ES"/>
        </w:rPr>
        <w:t>SUJETO OBLIGADO,</w:t>
      </w:r>
      <w:r w:rsidRPr="00AC208B">
        <w:rPr>
          <w:rFonts w:ascii="Palatino Linotype" w:eastAsia="Calibri" w:hAnsi="Palatino Linotype" w:cs="Arial"/>
        </w:rPr>
        <w:t xml:space="preserve"> a través de la Plataforma digital Sistema de Acceso a la Información Mexiquense (SAIMEX),</w:t>
      </w:r>
      <w:r w:rsidRPr="00AC208B">
        <w:rPr>
          <w:rFonts w:ascii="Palatino Linotype" w:eastAsia="Calibri" w:hAnsi="Palatino Linotype" w:cs="Arial"/>
          <w:lang w:val="es-ES"/>
        </w:rPr>
        <w:t xml:space="preserve"> la solicitud de información pública registrada con el número </w:t>
      </w:r>
      <w:r w:rsidRPr="00AC208B">
        <w:rPr>
          <w:rFonts w:ascii="Palatino Linotype" w:hAnsi="Palatino Linotype"/>
          <w:b/>
          <w:bCs/>
        </w:rPr>
        <w:t> </w:t>
      </w:r>
      <w:r w:rsidR="009D71AB" w:rsidRPr="00AC208B">
        <w:rPr>
          <w:rFonts w:ascii="Palatino Linotype" w:hAnsi="Palatino Linotype"/>
          <w:b/>
          <w:bCs/>
        </w:rPr>
        <w:t>00062/NICOROM/IP/2022</w:t>
      </w:r>
      <w:r w:rsidRPr="00AC208B">
        <w:rPr>
          <w:rFonts w:ascii="Palatino Linotype" w:eastAsia="Calibri" w:hAnsi="Palatino Linotype" w:cs="Arial"/>
          <w:lang w:val="es-ES"/>
        </w:rPr>
        <w:t>, mediante la cual se solicitó:</w:t>
      </w:r>
    </w:p>
    <w:p w:rsidR="00622B4F" w:rsidRPr="00AC208B" w:rsidRDefault="00622B4F" w:rsidP="00622B4F">
      <w:pPr>
        <w:tabs>
          <w:tab w:val="left" w:pos="0"/>
        </w:tabs>
        <w:spacing w:before="240" w:after="240" w:line="360" w:lineRule="auto"/>
        <w:ind w:left="360"/>
        <w:contextualSpacing/>
        <w:jc w:val="both"/>
        <w:rPr>
          <w:rFonts w:ascii="Palatino Linotype" w:eastAsia="Calibri" w:hAnsi="Palatino Linotype" w:cs="Arial"/>
          <w:lang w:val="es-ES"/>
        </w:rPr>
      </w:pPr>
    </w:p>
    <w:p w:rsidR="00622B4F" w:rsidRPr="00AC208B" w:rsidRDefault="00622B4F" w:rsidP="00035199">
      <w:pPr>
        <w:tabs>
          <w:tab w:val="left" w:pos="0"/>
        </w:tabs>
        <w:spacing w:before="240" w:after="240" w:line="360" w:lineRule="auto"/>
        <w:ind w:left="567" w:right="49"/>
        <w:contextualSpacing/>
        <w:jc w:val="both"/>
        <w:rPr>
          <w:rFonts w:ascii="Palatino Linotype" w:hAnsi="Palatino Linotype" w:cs="Arial"/>
          <w:i/>
          <w:sz w:val="22"/>
          <w:szCs w:val="22"/>
          <w:lang w:val="es-ES"/>
        </w:rPr>
      </w:pPr>
      <w:r w:rsidRPr="00AC208B">
        <w:rPr>
          <w:rFonts w:ascii="Palatino Linotype" w:hAnsi="Palatino Linotype" w:cs="Arial"/>
          <w:i/>
          <w:sz w:val="22"/>
          <w:szCs w:val="22"/>
          <w:lang w:val="es-ES"/>
        </w:rPr>
        <w:t>“</w:t>
      </w:r>
      <w:r w:rsidR="00A10D74" w:rsidRPr="00AC208B">
        <w:rPr>
          <w:rFonts w:ascii="Palatino Linotype" w:hAnsi="Palatino Linotype"/>
          <w:i/>
          <w:color w:val="000000"/>
          <w:sz w:val="22"/>
          <w:szCs w:val="22"/>
        </w:rPr>
        <w:t xml:space="preserve">solicito el presupuesto del 2022 </w:t>
      </w:r>
      <w:proofErr w:type="spellStart"/>
      <w:r w:rsidR="00A10D74" w:rsidRPr="00AC208B">
        <w:rPr>
          <w:rFonts w:ascii="Palatino Linotype" w:hAnsi="Palatino Linotype"/>
          <w:i/>
          <w:color w:val="000000"/>
          <w:sz w:val="22"/>
          <w:szCs w:val="22"/>
        </w:rPr>
        <w:t>asi</w:t>
      </w:r>
      <w:proofErr w:type="spellEnd"/>
      <w:r w:rsidR="00A10D74" w:rsidRPr="00AC208B">
        <w:rPr>
          <w:rFonts w:ascii="Palatino Linotype" w:hAnsi="Palatino Linotype"/>
          <w:i/>
          <w:color w:val="000000"/>
          <w:sz w:val="22"/>
          <w:szCs w:val="22"/>
        </w:rPr>
        <w:t xml:space="preserve"> como los </w:t>
      </w:r>
      <w:proofErr w:type="spellStart"/>
      <w:r w:rsidR="00A10D74" w:rsidRPr="00AC208B">
        <w:rPr>
          <w:rFonts w:ascii="Palatino Linotype" w:hAnsi="Palatino Linotype"/>
          <w:i/>
          <w:color w:val="000000"/>
          <w:sz w:val="22"/>
          <w:szCs w:val="22"/>
        </w:rPr>
        <w:t>indices</w:t>
      </w:r>
      <w:proofErr w:type="spellEnd"/>
      <w:r w:rsidR="00A10D74" w:rsidRPr="00AC208B">
        <w:rPr>
          <w:rFonts w:ascii="Palatino Linotype" w:hAnsi="Palatino Linotype"/>
          <w:i/>
          <w:color w:val="000000"/>
          <w:sz w:val="22"/>
          <w:szCs w:val="22"/>
        </w:rPr>
        <w:t xml:space="preserve"> de expedientes clasificados del 2021.</w:t>
      </w:r>
      <w:r w:rsidRPr="00AC208B">
        <w:rPr>
          <w:rFonts w:ascii="Palatino Linotype" w:hAnsi="Palatino Linotype" w:cs="Arial"/>
          <w:i/>
          <w:sz w:val="22"/>
          <w:szCs w:val="22"/>
          <w:lang w:val="es-ES"/>
        </w:rPr>
        <w:t>” (Sic)</w:t>
      </w:r>
    </w:p>
    <w:p w:rsidR="00622B4F" w:rsidRPr="00AC208B" w:rsidRDefault="00622B4F" w:rsidP="00035199">
      <w:pPr>
        <w:pStyle w:val="Prrafodelista"/>
        <w:numPr>
          <w:ilvl w:val="0"/>
          <w:numId w:val="1"/>
        </w:numPr>
        <w:spacing w:before="240" w:after="240" w:line="360" w:lineRule="auto"/>
        <w:ind w:left="0" w:firstLine="0"/>
        <w:jc w:val="both"/>
        <w:rPr>
          <w:rFonts w:ascii="Palatino Linotype" w:hAnsi="Palatino Linotype" w:cs="Arial"/>
          <w:i/>
          <w:sz w:val="24"/>
        </w:rPr>
      </w:pPr>
      <w:r w:rsidRPr="00AC208B">
        <w:rPr>
          <w:rFonts w:ascii="Palatino Linotype" w:hAnsi="Palatino Linotype" w:cs="Arial"/>
          <w:sz w:val="24"/>
        </w:rPr>
        <w:t>Se hace constar que se señaló como modalidad de entrega de la información a través del Sistema de Acceso a la Información Mexiquense (SAIMEX).</w:t>
      </w:r>
      <w:r w:rsidRPr="00AC208B">
        <w:rPr>
          <w:rFonts w:ascii="Palatino Linotype" w:hAnsi="Palatino Linotype" w:cs="Arial"/>
          <w:b/>
          <w:sz w:val="24"/>
        </w:rPr>
        <w:t xml:space="preserve">  </w:t>
      </w:r>
    </w:p>
    <w:p w:rsidR="00CA188D" w:rsidRPr="00AC208B" w:rsidRDefault="00CA188D" w:rsidP="00CA188D">
      <w:pPr>
        <w:pStyle w:val="Prrafodelista"/>
        <w:spacing w:before="240" w:after="240" w:line="360" w:lineRule="auto"/>
        <w:ind w:left="0"/>
        <w:jc w:val="both"/>
        <w:rPr>
          <w:rFonts w:ascii="Palatino Linotype" w:hAnsi="Palatino Linotype" w:cs="Arial"/>
          <w:i/>
          <w:sz w:val="24"/>
        </w:rPr>
      </w:pPr>
    </w:p>
    <w:p w:rsidR="00CA188D" w:rsidRPr="00AC208B" w:rsidRDefault="00CA188D" w:rsidP="00035199">
      <w:pPr>
        <w:pStyle w:val="Prrafodelista"/>
        <w:numPr>
          <w:ilvl w:val="0"/>
          <w:numId w:val="1"/>
        </w:numPr>
        <w:spacing w:before="240" w:after="240" w:line="360" w:lineRule="auto"/>
        <w:ind w:left="0" w:firstLine="0"/>
        <w:jc w:val="both"/>
        <w:rPr>
          <w:rFonts w:ascii="Palatino Linotype" w:hAnsi="Palatino Linotype" w:cs="Arial"/>
          <w:i/>
          <w:sz w:val="24"/>
        </w:rPr>
      </w:pPr>
      <w:r w:rsidRPr="00AC208B">
        <w:rPr>
          <w:rFonts w:ascii="Palatino Linotype" w:hAnsi="Palatino Linotype" w:cs="Arial"/>
          <w:sz w:val="24"/>
        </w:rPr>
        <w:t xml:space="preserve">El </w:t>
      </w:r>
      <w:r w:rsidR="00A10D74" w:rsidRPr="00AC208B">
        <w:rPr>
          <w:rFonts w:ascii="Palatino Linotype" w:hAnsi="Palatino Linotype" w:cs="Arial"/>
          <w:sz w:val="24"/>
        </w:rPr>
        <w:t xml:space="preserve">veintiocho (28) de febrero </w:t>
      </w:r>
      <w:r w:rsidRPr="00AC208B">
        <w:rPr>
          <w:rFonts w:ascii="Palatino Linotype" w:hAnsi="Palatino Linotype" w:cs="Arial"/>
          <w:sz w:val="24"/>
        </w:rPr>
        <w:t xml:space="preserve"> de dos mil veintidós, se realizó un requerimiento al servidor público habilitado.</w:t>
      </w:r>
    </w:p>
    <w:p w:rsidR="00622B4F" w:rsidRPr="00AC208B" w:rsidRDefault="00622B4F" w:rsidP="00622B4F">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AC208B">
        <w:rPr>
          <w:rFonts w:ascii="Palatino Linotype" w:eastAsia="Calibri" w:hAnsi="Palatino Linotype" w:cs="Arial"/>
          <w:lang w:val="es-AR"/>
        </w:rPr>
        <w:t>El</w:t>
      </w:r>
      <w:r w:rsidRPr="00AC208B">
        <w:rPr>
          <w:rFonts w:ascii="Palatino Linotype" w:hAnsi="Palatino Linotype" w:cs="Arial"/>
          <w:lang w:val="es-ES"/>
        </w:rPr>
        <w:t xml:space="preserve"> </w:t>
      </w:r>
      <w:r w:rsidR="00A10D74" w:rsidRPr="00AC208B">
        <w:rPr>
          <w:rFonts w:ascii="Palatino Linotype" w:hAnsi="Palatino Linotype" w:cs="Arial"/>
          <w:lang w:val="es-ES"/>
        </w:rPr>
        <w:t>siete (07) de marzo</w:t>
      </w:r>
      <w:r w:rsidRPr="00AC208B">
        <w:rPr>
          <w:rFonts w:ascii="Palatino Linotype" w:hAnsi="Palatino Linotype" w:cs="Arial"/>
          <w:lang w:val="es-ES"/>
        </w:rPr>
        <w:t xml:space="preserve"> de dos mil veintidós, el </w:t>
      </w:r>
      <w:r w:rsidRPr="00AC208B">
        <w:rPr>
          <w:rFonts w:ascii="Palatino Linotype" w:hAnsi="Palatino Linotype" w:cs="Arial"/>
          <w:b/>
          <w:lang w:val="es-ES"/>
        </w:rPr>
        <w:t xml:space="preserve">SUJETO OBLIGADO </w:t>
      </w:r>
      <w:bookmarkStart w:id="4" w:name="_Toc472500652"/>
      <w:bookmarkStart w:id="5" w:name="_Toc472427085"/>
      <w:bookmarkStart w:id="6" w:name="_Toc462307683"/>
      <w:r w:rsidRPr="00AC208B">
        <w:rPr>
          <w:rFonts w:ascii="Palatino Linotype" w:hAnsi="Palatino Linotype" w:cs="Arial"/>
          <w:lang w:val="es-ES"/>
        </w:rPr>
        <w:t>dio respuesta a la solicitud en el siguiente sentido:</w:t>
      </w:r>
    </w:p>
    <w:tbl>
      <w:tblPr>
        <w:tblW w:w="6654" w:type="dxa"/>
        <w:jc w:val="center"/>
        <w:tblCellSpacing w:w="0" w:type="dxa"/>
        <w:tblCellMar>
          <w:left w:w="0" w:type="dxa"/>
          <w:right w:w="0" w:type="dxa"/>
        </w:tblCellMar>
        <w:tblLook w:val="04A0" w:firstRow="1" w:lastRow="0" w:firstColumn="1" w:lastColumn="0" w:noHBand="0" w:noVBand="1"/>
      </w:tblPr>
      <w:tblGrid>
        <w:gridCol w:w="6654"/>
      </w:tblGrid>
      <w:tr w:rsidR="00A10D74" w:rsidRPr="00AC208B" w:rsidTr="00A10D74">
        <w:trPr>
          <w:trHeight w:val="333"/>
          <w:tblCellSpacing w:w="0" w:type="dxa"/>
          <w:jc w:val="center"/>
        </w:trPr>
        <w:tc>
          <w:tcPr>
            <w:tcW w:w="0" w:type="auto"/>
            <w:vAlign w:val="center"/>
            <w:hideMark/>
          </w:tcPr>
          <w:p w:rsidR="00A10D74" w:rsidRPr="00AC208B" w:rsidRDefault="00A10D74" w:rsidP="00A10D74">
            <w:pPr>
              <w:jc w:val="right"/>
              <w:rPr>
                <w:rFonts w:ascii="Palatino Linotype" w:hAnsi="Palatino Linotype"/>
                <w:i/>
                <w:sz w:val="22"/>
                <w:lang w:val="es-ES" w:eastAsia="es-ES"/>
              </w:rPr>
            </w:pPr>
            <w:r w:rsidRPr="00AC208B">
              <w:rPr>
                <w:rFonts w:ascii="Palatino Linotype" w:hAnsi="Palatino Linotype"/>
                <w:i/>
                <w:sz w:val="22"/>
                <w:szCs w:val="18"/>
                <w:lang w:val="es-ES" w:eastAsia="es-ES"/>
              </w:rPr>
              <w:lastRenderedPageBreak/>
              <w:t>Nicolás Romero, México a 07 de Marzo de 2022</w:t>
            </w:r>
          </w:p>
        </w:tc>
      </w:tr>
      <w:tr w:rsidR="00A10D74" w:rsidRPr="00AC208B" w:rsidTr="00A10D74">
        <w:trPr>
          <w:trHeight w:val="333"/>
          <w:tblCellSpacing w:w="0" w:type="dxa"/>
          <w:jc w:val="center"/>
        </w:trPr>
        <w:tc>
          <w:tcPr>
            <w:tcW w:w="0" w:type="auto"/>
            <w:vAlign w:val="center"/>
            <w:hideMark/>
          </w:tcPr>
          <w:p w:rsidR="00A10D74" w:rsidRPr="00AC208B" w:rsidRDefault="00A10D74" w:rsidP="00A10D74">
            <w:pPr>
              <w:jc w:val="right"/>
              <w:rPr>
                <w:rFonts w:ascii="Palatino Linotype" w:hAnsi="Palatino Linotype"/>
                <w:i/>
                <w:sz w:val="22"/>
                <w:lang w:val="es-ES" w:eastAsia="es-ES"/>
              </w:rPr>
            </w:pPr>
            <w:r w:rsidRPr="00AC208B">
              <w:rPr>
                <w:rFonts w:ascii="Palatino Linotype" w:hAnsi="Palatino Linotype"/>
                <w:i/>
                <w:sz w:val="22"/>
                <w:szCs w:val="18"/>
                <w:lang w:val="es-ES" w:eastAsia="es-ES"/>
              </w:rPr>
              <w:t>Nombre del solicitante: C. Solicitante</w:t>
            </w:r>
          </w:p>
        </w:tc>
      </w:tr>
      <w:tr w:rsidR="00A10D74" w:rsidRPr="00AC208B" w:rsidTr="00A10D74">
        <w:trPr>
          <w:trHeight w:val="333"/>
          <w:tblCellSpacing w:w="0" w:type="dxa"/>
          <w:jc w:val="center"/>
        </w:trPr>
        <w:tc>
          <w:tcPr>
            <w:tcW w:w="0" w:type="auto"/>
            <w:vAlign w:val="center"/>
            <w:hideMark/>
          </w:tcPr>
          <w:p w:rsidR="00A10D74" w:rsidRPr="00AC208B" w:rsidRDefault="00A10D74" w:rsidP="00A10D74">
            <w:pPr>
              <w:jc w:val="right"/>
              <w:rPr>
                <w:rFonts w:ascii="Palatino Linotype" w:hAnsi="Palatino Linotype"/>
                <w:i/>
                <w:sz w:val="22"/>
                <w:lang w:val="es-ES" w:eastAsia="es-ES"/>
              </w:rPr>
            </w:pPr>
            <w:r w:rsidRPr="00AC208B">
              <w:rPr>
                <w:rFonts w:ascii="Palatino Linotype" w:hAnsi="Palatino Linotype"/>
                <w:i/>
                <w:sz w:val="22"/>
                <w:szCs w:val="18"/>
                <w:lang w:val="es-ES" w:eastAsia="es-ES"/>
              </w:rPr>
              <w:t>Folio de la solicitud: 00062/NICOROM/IP/2022</w:t>
            </w:r>
          </w:p>
        </w:tc>
      </w:tr>
      <w:tr w:rsidR="00A10D74" w:rsidRPr="00AC208B" w:rsidTr="00A10D74">
        <w:trPr>
          <w:trHeight w:val="500"/>
          <w:tblCellSpacing w:w="0" w:type="dxa"/>
          <w:jc w:val="center"/>
        </w:trPr>
        <w:tc>
          <w:tcPr>
            <w:tcW w:w="0" w:type="auto"/>
            <w:vAlign w:val="center"/>
            <w:hideMark/>
          </w:tcPr>
          <w:p w:rsidR="00A10D74" w:rsidRPr="00AC208B" w:rsidRDefault="00A10D74" w:rsidP="00A10D74">
            <w:pPr>
              <w:jc w:val="right"/>
              <w:rPr>
                <w:rFonts w:ascii="Palatino Linotype" w:hAnsi="Palatino Linotype"/>
                <w:i/>
                <w:sz w:val="22"/>
                <w:lang w:val="es-ES" w:eastAsia="es-ES"/>
              </w:rPr>
            </w:pPr>
          </w:p>
        </w:tc>
      </w:tr>
      <w:tr w:rsidR="00A10D74" w:rsidRPr="00AC208B" w:rsidTr="00A10D74">
        <w:trPr>
          <w:trHeight w:val="166"/>
          <w:tblCellSpacing w:w="0" w:type="dxa"/>
          <w:jc w:val="center"/>
        </w:trPr>
        <w:tc>
          <w:tcPr>
            <w:tcW w:w="0" w:type="auto"/>
            <w:vAlign w:val="center"/>
            <w:hideMark/>
          </w:tcPr>
          <w:p w:rsidR="00A10D74" w:rsidRPr="00AC208B" w:rsidRDefault="00A10D74" w:rsidP="00A10D74">
            <w:pPr>
              <w:rPr>
                <w:rFonts w:ascii="Palatino Linotype" w:hAnsi="Palatino Linotype"/>
                <w:i/>
                <w:sz w:val="22"/>
                <w:lang w:val="es-ES" w:eastAsia="es-ES"/>
              </w:rPr>
            </w:pPr>
            <w:r w:rsidRPr="00AC208B">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10D74" w:rsidRPr="00AC208B" w:rsidTr="00A10D74">
        <w:trPr>
          <w:trHeight w:val="417"/>
          <w:tblCellSpacing w:w="0" w:type="dxa"/>
          <w:jc w:val="center"/>
        </w:trPr>
        <w:tc>
          <w:tcPr>
            <w:tcW w:w="0" w:type="auto"/>
            <w:vAlign w:val="center"/>
            <w:hideMark/>
          </w:tcPr>
          <w:p w:rsidR="00A10D74" w:rsidRPr="00AC208B" w:rsidRDefault="00A10D74" w:rsidP="00A10D74">
            <w:pPr>
              <w:rPr>
                <w:rFonts w:ascii="Palatino Linotype" w:hAnsi="Palatino Linotype"/>
                <w:i/>
                <w:sz w:val="22"/>
                <w:lang w:val="es-ES" w:eastAsia="es-ES"/>
              </w:rPr>
            </w:pPr>
          </w:p>
        </w:tc>
      </w:tr>
      <w:tr w:rsidR="00A10D74" w:rsidRPr="00AC208B" w:rsidTr="00A10D74">
        <w:trPr>
          <w:trHeight w:val="166"/>
          <w:tblCellSpacing w:w="0" w:type="dxa"/>
          <w:jc w:val="center"/>
        </w:trPr>
        <w:tc>
          <w:tcPr>
            <w:tcW w:w="0" w:type="auto"/>
            <w:vAlign w:val="center"/>
            <w:hideMark/>
          </w:tcPr>
          <w:p w:rsidR="00A10D74" w:rsidRPr="00AC208B" w:rsidRDefault="00A10D74" w:rsidP="00A10D74">
            <w:pPr>
              <w:rPr>
                <w:rFonts w:ascii="Palatino Linotype" w:hAnsi="Palatino Linotype"/>
                <w:i/>
                <w:sz w:val="22"/>
                <w:lang w:val="es-ES" w:eastAsia="es-ES"/>
              </w:rPr>
            </w:pPr>
            <w:r w:rsidRPr="00AC208B">
              <w:rPr>
                <w:rFonts w:ascii="Palatino Linotype" w:hAnsi="Palatino Linotype"/>
                <w:i/>
                <w:sz w:val="22"/>
                <w:szCs w:val="18"/>
                <w:lang w:val="es-ES" w:eastAsia="es-ES"/>
              </w:rPr>
              <w:t xml:space="preserve">Buenas tardes, por este medio envío respuesta a su solicitud de información. Sin </w:t>
            </w:r>
            <w:proofErr w:type="spellStart"/>
            <w:proofErr w:type="gramStart"/>
            <w:r w:rsidRPr="00AC208B">
              <w:rPr>
                <w:rFonts w:ascii="Palatino Linotype" w:hAnsi="Palatino Linotype"/>
                <w:i/>
                <w:sz w:val="22"/>
                <w:szCs w:val="18"/>
                <w:lang w:val="es-ES" w:eastAsia="es-ES"/>
              </w:rPr>
              <w:t>mas</w:t>
            </w:r>
            <w:proofErr w:type="spellEnd"/>
            <w:proofErr w:type="gramEnd"/>
            <w:r w:rsidRPr="00AC208B">
              <w:rPr>
                <w:rFonts w:ascii="Palatino Linotype" w:hAnsi="Palatino Linotype"/>
                <w:i/>
                <w:sz w:val="22"/>
                <w:szCs w:val="18"/>
                <w:lang w:val="es-ES" w:eastAsia="es-ES"/>
              </w:rPr>
              <w:t xml:space="preserve"> por el momento, reciba un cordial saludo.</w:t>
            </w:r>
          </w:p>
        </w:tc>
      </w:tr>
      <w:tr w:rsidR="00A10D74" w:rsidRPr="00AC208B" w:rsidTr="00A10D74">
        <w:trPr>
          <w:trHeight w:val="417"/>
          <w:tblCellSpacing w:w="0" w:type="dxa"/>
          <w:jc w:val="center"/>
        </w:trPr>
        <w:tc>
          <w:tcPr>
            <w:tcW w:w="0" w:type="auto"/>
            <w:vAlign w:val="center"/>
            <w:hideMark/>
          </w:tcPr>
          <w:p w:rsidR="00A10D74" w:rsidRPr="00AC208B" w:rsidRDefault="00A10D74" w:rsidP="00A10D74">
            <w:pPr>
              <w:rPr>
                <w:rFonts w:ascii="Palatino Linotype" w:hAnsi="Palatino Linotype"/>
                <w:i/>
                <w:sz w:val="22"/>
                <w:lang w:val="es-ES" w:eastAsia="es-ES"/>
              </w:rPr>
            </w:pPr>
          </w:p>
        </w:tc>
      </w:tr>
      <w:tr w:rsidR="00A10D74" w:rsidRPr="00AC208B" w:rsidTr="00A10D74">
        <w:trPr>
          <w:trHeight w:val="166"/>
          <w:tblCellSpacing w:w="0" w:type="dxa"/>
          <w:jc w:val="center"/>
        </w:trPr>
        <w:tc>
          <w:tcPr>
            <w:tcW w:w="0" w:type="auto"/>
            <w:vAlign w:val="center"/>
            <w:hideMark/>
          </w:tcPr>
          <w:p w:rsidR="00A10D74" w:rsidRPr="00AC208B" w:rsidRDefault="00A10D74" w:rsidP="00A10D74">
            <w:pPr>
              <w:jc w:val="center"/>
              <w:rPr>
                <w:rFonts w:ascii="Palatino Linotype" w:hAnsi="Palatino Linotype"/>
                <w:i/>
                <w:sz w:val="22"/>
                <w:szCs w:val="20"/>
                <w:lang w:val="es-ES" w:eastAsia="es-ES"/>
              </w:rPr>
            </w:pPr>
          </w:p>
        </w:tc>
      </w:tr>
      <w:tr w:rsidR="00A10D74" w:rsidRPr="00AC208B" w:rsidTr="00A10D74">
        <w:trPr>
          <w:trHeight w:val="166"/>
          <w:tblCellSpacing w:w="0" w:type="dxa"/>
          <w:jc w:val="center"/>
        </w:trPr>
        <w:tc>
          <w:tcPr>
            <w:tcW w:w="0" w:type="auto"/>
            <w:vAlign w:val="center"/>
            <w:hideMark/>
          </w:tcPr>
          <w:p w:rsidR="00A10D74" w:rsidRPr="00AC208B" w:rsidRDefault="00A10D74" w:rsidP="00A10D74">
            <w:pPr>
              <w:rPr>
                <w:rFonts w:ascii="Palatino Linotype" w:hAnsi="Palatino Linotype"/>
                <w:i/>
                <w:sz w:val="22"/>
                <w:szCs w:val="20"/>
                <w:lang w:val="es-ES" w:eastAsia="es-ES"/>
              </w:rPr>
            </w:pPr>
          </w:p>
        </w:tc>
      </w:tr>
      <w:tr w:rsidR="00A10D74" w:rsidRPr="00AC208B" w:rsidTr="00A10D74">
        <w:trPr>
          <w:trHeight w:val="166"/>
          <w:tblCellSpacing w:w="0" w:type="dxa"/>
          <w:jc w:val="center"/>
        </w:trPr>
        <w:tc>
          <w:tcPr>
            <w:tcW w:w="0" w:type="auto"/>
            <w:vAlign w:val="center"/>
            <w:hideMark/>
          </w:tcPr>
          <w:p w:rsidR="00A10D74" w:rsidRPr="00AC208B" w:rsidRDefault="00A10D74" w:rsidP="00A10D74">
            <w:pPr>
              <w:rPr>
                <w:rFonts w:ascii="Palatino Linotype" w:hAnsi="Palatino Linotype"/>
                <w:i/>
                <w:sz w:val="22"/>
                <w:lang w:val="es-ES" w:eastAsia="es-ES"/>
              </w:rPr>
            </w:pPr>
            <w:r w:rsidRPr="00AC208B">
              <w:rPr>
                <w:rFonts w:ascii="Palatino Linotype" w:hAnsi="Palatino Linotype"/>
                <w:i/>
                <w:sz w:val="22"/>
                <w:szCs w:val="18"/>
                <w:lang w:val="es-ES" w:eastAsia="es-ES"/>
              </w:rPr>
              <w:t>ATENTAMENTE</w:t>
            </w:r>
          </w:p>
        </w:tc>
      </w:tr>
      <w:tr w:rsidR="00A10D74" w:rsidRPr="00AC208B" w:rsidTr="00A10D74">
        <w:trPr>
          <w:trHeight w:val="250"/>
          <w:tblCellSpacing w:w="0" w:type="dxa"/>
          <w:jc w:val="center"/>
        </w:trPr>
        <w:tc>
          <w:tcPr>
            <w:tcW w:w="0" w:type="auto"/>
            <w:vAlign w:val="center"/>
            <w:hideMark/>
          </w:tcPr>
          <w:p w:rsidR="00A10D74" w:rsidRPr="00AC208B" w:rsidRDefault="00A10D74" w:rsidP="00A10D74">
            <w:pPr>
              <w:rPr>
                <w:rFonts w:ascii="Palatino Linotype" w:hAnsi="Palatino Linotype"/>
                <w:i/>
                <w:sz w:val="22"/>
                <w:lang w:val="es-ES" w:eastAsia="es-ES"/>
              </w:rPr>
            </w:pPr>
          </w:p>
        </w:tc>
      </w:tr>
      <w:tr w:rsidR="00A10D74" w:rsidRPr="00AC208B" w:rsidTr="00A10D74">
        <w:trPr>
          <w:trHeight w:val="166"/>
          <w:tblCellSpacing w:w="0" w:type="dxa"/>
          <w:jc w:val="center"/>
        </w:trPr>
        <w:tc>
          <w:tcPr>
            <w:tcW w:w="0" w:type="auto"/>
            <w:vAlign w:val="center"/>
            <w:hideMark/>
          </w:tcPr>
          <w:p w:rsidR="00A10D74" w:rsidRPr="00AC208B" w:rsidRDefault="00A10D74" w:rsidP="00A10D74">
            <w:pPr>
              <w:rPr>
                <w:rFonts w:ascii="Palatino Linotype" w:hAnsi="Palatino Linotype"/>
                <w:i/>
                <w:sz w:val="22"/>
                <w:lang w:val="es-ES" w:eastAsia="es-ES"/>
              </w:rPr>
            </w:pPr>
            <w:r w:rsidRPr="00AC208B">
              <w:rPr>
                <w:rFonts w:ascii="Palatino Linotype" w:hAnsi="Palatino Linotype"/>
                <w:i/>
                <w:sz w:val="22"/>
                <w:szCs w:val="18"/>
                <w:lang w:val="es-ES" w:eastAsia="es-ES"/>
              </w:rPr>
              <w:t>LIC. ALFONSO HERNANDEZ GASCA</w:t>
            </w:r>
          </w:p>
        </w:tc>
      </w:tr>
    </w:tbl>
    <w:p w:rsidR="00A10D74" w:rsidRPr="00AC208B" w:rsidRDefault="00A10D74" w:rsidP="00CA188D">
      <w:pPr>
        <w:tabs>
          <w:tab w:val="left" w:pos="0"/>
        </w:tabs>
        <w:spacing w:before="240" w:after="240" w:line="360" w:lineRule="auto"/>
        <w:ind w:right="34"/>
        <w:jc w:val="both"/>
        <w:rPr>
          <w:rFonts w:ascii="Palatino Linotype" w:hAnsi="Palatino Linotype" w:cs="Arial"/>
          <w:szCs w:val="22"/>
          <w:lang w:val="es-ES"/>
        </w:rPr>
      </w:pPr>
    </w:p>
    <w:p w:rsidR="00A10D74" w:rsidRPr="00AC208B" w:rsidRDefault="0037601F" w:rsidP="00CA188D">
      <w:pPr>
        <w:tabs>
          <w:tab w:val="left" w:pos="0"/>
        </w:tabs>
        <w:spacing w:before="240" w:after="240" w:line="360" w:lineRule="auto"/>
        <w:ind w:right="34"/>
        <w:jc w:val="both"/>
        <w:rPr>
          <w:rFonts w:ascii="Palatino Linotype" w:hAnsi="Palatino Linotype" w:cs="Arial"/>
          <w:szCs w:val="22"/>
          <w:lang w:val="es-ES"/>
        </w:rPr>
      </w:pPr>
      <w:r w:rsidRPr="00AC208B">
        <w:rPr>
          <w:rFonts w:ascii="Palatino Linotype" w:hAnsi="Palatino Linotype" w:cs="Arial"/>
          <w:szCs w:val="22"/>
          <w:lang w:val="es-ES"/>
        </w:rPr>
        <w:t xml:space="preserve">A la respuesta se </w:t>
      </w:r>
      <w:r w:rsidR="00A10D74" w:rsidRPr="00AC208B">
        <w:rPr>
          <w:rFonts w:ascii="Palatino Linotype" w:hAnsi="Palatino Linotype" w:cs="Arial"/>
          <w:szCs w:val="22"/>
          <w:lang w:val="es-ES"/>
        </w:rPr>
        <w:t>adjuntaron los documentos que se describen a continuación:</w:t>
      </w:r>
    </w:p>
    <w:p w:rsidR="00A10D74" w:rsidRPr="00AC208B" w:rsidRDefault="00273891" w:rsidP="00E3217E">
      <w:pPr>
        <w:pStyle w:val="Prrafodelista"/>
        <w:numPr>
          <w:ilvl w:val="0"/>
          <w:numId w:val="8"/>
        </w:numPr>
        <w:tabs>
          <w:tab w:val="left" w:pos="0"/>
        </w:tabs>
        <w:spacing w:before="240" w:after="240" w:line="360" w:lineRule="auto"/>
        <w:ind w:right="34"/>
        <w:jc w:val="both"/>
        <w:rPr>
          <w:rFonts w:ascii="Palatino Linotype" w:hAnsi="Palatino Linotype"/>
          <w:i/>
          <w:szCs w:val="22"/>
        </w:rPr>
      </w:pPr>
      <w:hyperlink r:id="rId7" w:tgtFrame="_blank" w:history="1">
        <w:r w:rsidR="00A10D74" w:rsidRPr="00AC208B">
          <w:rPr>
            <w:rStyle w:val="Hipervnculo"/>
            <w:rFonts w:ascii="Palatino Linotype" w:eastAsiaTheme="majorEastAsia" w:hAnsi="Palatino Linotype" w:cs="Arial"/>
            <w:b/>
            <w:bCs/>
            <w:color w:val="auto"/>
            <w:szCs w:val="22"/>
          </w:rPr>
          <w:t>NR_TM_197_2022 00062.pdf</w:t>
        </w:r>
      </w:hyperlink>
      <w:r w:rsidR="00A10D74" w:rsidRPr="00AC208B">
        <w:rPr>
          <w:rFonts w:ascii="Palatino Linotype" w:hAnsi="Palatino Linotype"/>
          <w:szCs w:val="22"/>
        </w:rPr>
        <w:t xml:space="preserve">: </w:t>
      </w:r>
      <w:r w:rsidR="00E3217E" w:rsidRPr="00AC208B">
        <w:rPr>
          <w:rFonts w:ascii="Palatino Linotype" w:hAnsi="Palatino Linotype"/>
          <w:szCs w:val="22"/>
        </w:rPr>
        <w:t xml:space="preserve">oficio NR/DIG/UT/110/2022 de fecha cuatro (04) de marzo de dos mil veintidós, suscrito por el Tesorero Municipal mediante el cual señaló </w:t>
      </w:r>
      <w:r w:rsidR="00E3217E" w:rsidRPr="00AC208B">
        <w:rPr>
          <w:rFonts w:ascii="Palatino Linotype" w:hAnsi="Palatino Linotype"/>
          <w:i/>
          <w:szCs w:val="22"/>
        </w:rPr>
        <w:t>“Al respecto me permito remitirle la información solicitada, digitalizada en el disco compacto que se anexa al presente”.</w:t>
      </w:r>
    </w:p>
    <w:p w:rsidR="00E3217E" w:rsidRPr="00AC208B" w:rsidRDefault="00E3217E" w:rsidP="00E3217E">
      <w:pPr>
        <w:pStyle w:val="Prrafodelista"/>
        <w:tabs>
          <w:tab w:val="left" w:pos="0"/>
        </w:tabs>
        <w:spacing w:before="240" w:after="240" w:line="360" w:lineRule="auto"/>
        <w:ind w:right="34"/>
        <w:jc w:val="both"/>
        <w:rPr>
          <w:rFonts w:ascii="Palatino Linotype" w:hAnsi="Palatino Linotype"/>
          <w:i/>
          <w:szCs w:val="22"/>
        </w:rPr>
      </w:pPr>
    </w:p>
    <w:p w:rsidR="00A10D74" w:rsidRPr="00AC208B" w:rsidRDefault="00273891" w:rsidP="00E3217E">
      <w:pPr>
        <w:pStyle w:val="Prrafodelista"/>
        <w:numPr>
          <w:ilvl w:val="0"/>
          <w:numId w:val="8"/>
        </w:numPr>
        <w:tabs>
          <w:tab w:val="left" w:pos="0"/>
        </w:tabs>
        <w:spacing w:before="240" w:after="240" w:line="360" w:lineRule="auto"/>
        <w:ind w:right="34"/>
        <w:jc w:val="both"/>
        <w:rPr>
          <w:rFonts w:ascii="Palatino Linotype" w:hAnsi="Palatino Linotype"/>
          <w:szCs w:val="22"/>
        </w:rPr>
      </w:pPr>
      <w:hyperlink r:id="rId8" w:tgtFrame="_blank" w:history="1">
        <w:r w:rsidR="00A10D74" w:rsidRPr="00AC208B">
          <w:rPr>
            <w:rStyle w:val="Hipervnculo"/>
            <w:rFonts w:ascii="Palatino Linotype" w:eastAsiaTheme="majorEastAsia" w:hAnsi="Palatino Linotype" w:cs="Arial"/>
            <w:b/>
            <w:bCs/>
            <w:color w:val="auto"/>
            <w:szCs w:val="22"/>
          </w:rPr>
          <w:t>197</w:t>
        </w:r>
        <w:proofErr w:type="gramStart"/>
        <w:r w:rsidR="00A10D74" w:rsidRPr="00AC208B">
          <w:rPr>
            <w:rStyle w:val="Hipervnculo"/>
            <w:rFonts w:ascii="Palatino Linotype" w:eastAsiaTheme="majorEastAsia" w:hAnsi="Palatino Linotype" w:cs="Arial"/>
            <w:b/>
            <w:bCs/>
            <w:color w:val="auto"/>
            <w:szCs w:val="22"/>
          </w:rPr>
          <w:t>.pdf</w:t>
        </w:r>
        <w:proofErr w:type="gramEnd"/>
      </w:hyperlink>
      <w:r w:rsidR="00A10D74" w:rsidRPr="00AC208B">
        <w:rPr>
          <w:rFonts w:ascii="Palatino Linotype" w:hAnsi="Palatino Linotype"/>
          <w:szCs w:val="22"/>
        </w:rPr>
        <w:t>:</w:t>
      </w:r>
      <w:r w:rsidR="00E3217E" w:rsidRPr="00AC208B">
        <w:rPr>
          <w:rFonts w:ascii="Palatino Linotype" w:hAnsi="Palatino Linotype"/>
          <w:szCs w:val="22"/>
        </w:rPr>
        <w:t xml:space="preserve"> Caratula de presupuesto de ingresos </w:t>
      </w:r>
      <w:proofErr w:type="spellStart"/>
      <w:r w:rsidR="00E3217E" w:rsidRPr="00AC208B">
        <w:rPr>
          <w:rFonts w:ascii="Palatino Linotype" w:hAnsi="Palatino Linotype"/>
          <w:szCs w:val="22"/>
        </w:rPr>
        <w:t>PbRM</w:t>
      </w:r>
      <w:proofErr w:type="spellEnd"/>
      <w:r w:rsidR="00E3217E" w:rsidRPr="00AC208B">
        <w:rPr>
          <w:rFonts w:ascii="Palatino Linotype" w:hAnsi="Palatino Linotype"/>
          <w:szCs w:val="22"/>
        </w:rPr>
        <w:t xml:space="preserve"> 03b del ejercicio Fiscal 2022.</w:t>
      </w:r>
    </w:p>
    <w:p w:rsidR="00E3217E" w:rsidRPr="00AC208B" w:rsidRDefault="00E3217E" w:rsidP="00E3217E">
      <w:pPr>
        <w:pStyle w:val="Prrafodelista"/>
        <w:rPr>
          <w:rFonts w:ascii="Palatino Linotype" w:hAnsi="Palatino Linotype"/>
          <w:szCs w:val="22"/>
        </w:rPr>
      </w:pPr>
    </w:p>
    <w:p w:rsidR="00E3217E" w:rsidRPr="00AC208B" w:rsidRDefault="00E3217E" w:rsidP="00E3217E">
      <w:pPr>
        <w:pStyle w:val="Prrafodelista"/>
        <w:tabs>
          <w:tab w:val="left" w:pos="0"/>
        </w:tabs>
        <w:spacing w:before="240" w:after="240" w:line="360" w:lineRule="auto"/>
        <w:ind w:right="34"/>
        <w:jc w:val="both"/>
        <w:rPr>
          <w:rFonts w:ascii="Palatino Linotype" w:hAnsi="Palatino Linotype"/>
          <w:szCs w:val="22"/>
        </w:rPr>
      </w:pPr>
    </w:p>
    <w:p w:rsidR="0037601F" w:rsidRPr="00AC208B" w:rsidRDefault="00273891" w:rsidP="00E3217E">
      <w:pPr>
        <w:pStyle w:val="Prrafodelista"/>
        <w:numPr>
          <w:ilvl w:val="0"/>
          <w:numId w:val="8"/>
        </w:numPr>
        <w:tabs>
          <w:tab w:val="left" w:pos="0"/>
        </w:tabs>
        <w:spacing w:before="240" w:after="240" w:line="360" w:lineRule="auto"/>
        <w:ind w:right="34"/>
        <w:jc w:val="both"/>
        <w:rPr>
          <w:rFonts w:ascii="Palatino Linotype" w:hAnsi="Palatino Linotype" w:cs="Arial"/>
          <w:szCs w:val="22"/>
          <w:lang w:val="es-ES"/>
        </w:rPr>
      </w:pPr>
      <w:hyperlink r:id="rId9" w:tgtFrame="_blank" w:history="1">
        <w:r w:rsidR="00A10D74" w:rsidRPr="00AC208B">
          <w:rPr>
            <w:rStyle w:val="Hipervnculo"/>
            <w:rFonts w:ascii="Palatino Linotype" w:eastAsiaTheme="majorEastAsia" w:hAnsi="Palatino Linotype" w:cs="Arial"/>
            <w:b/>
            <w:bCs/>
            <w:color w:val="auto"/>
            <w:szCs w:val="22"/>
          </w:rPr>
          <w:t>197</w:t>
        </w:r>
        <w:proofErr w:type="gramStart"/>
        <w:r w:rsidR="00A10D74" w:rsidRPr="00AC208B">
          <w:rPr>
            <w:rStyle w:val="Hipervnculo"/>
            <w:rFonts w:ascii="Palatino Linotype" w:eastAsiaTheme="majorEastAsia" w:hAnsi="Palatino Linotype" w:cs="Arial"/>
            <w:b/>
            <w:bCs/>
            <w:color w:val="auto"/>
            <w:szCs w:val="22"/>
          </w:rPr>
          <w:t>..pdf</w:t>
        </w:r>
        <w:proofErr w:type="gramEnd"/>
      </w:hyperlink>
      <w:r w:rsidR="00A10D74" w:rsidRPr="00AC208B">
        <w:rPr>
          <w:rFonts w:ascii="Palatino Linotype" w:hAnsi="Palatino Linotype"/>
          <w:szCs w:val="22"/>
        </w:rPr>
        <w:t xml:space="preserve">: </w:t>
      </w:r>
      <w:r w:rsidR="00A10D74" w:rsidRPr="00AC208B">
        <w:rPr>
          <w:rFonts w:ascii="Palatino Linotype" w:hAnsi="Palatino Linotype" w:cs="Arial"/>
          <w:szCs w:val="22"/>
          <w:lang w:val="es-ES"/>
        </w:rPr>
        <w:t xml:space="preserve"> </w:t>
      </w:r>
      <w:r w:rsidR="00E3217E" w:rsidRPr="00AC208B">
        <w:rPr>
          <w:rFonts w:ascii="Palatino Linotype" w:hAnsi="Palatino Linotype" w:cs="Arial"/>
          <w:szCs w:val="22"/>
        </w:rPr>
        <w:t xml:space="preserve">Caratula de presupuesto de egresos </w:t>
      </w:r>
      <w:proofErr w:type="spellStart"/>
      <w:r w:rsidR="00E3217E" w:rsidRPr="00AC208B">
        <w:rPr>
          <w:rFonts w:ascii="Palatino Linotype" w:hAnsi="Palatino Linotype" w:cs="Arial"/>
          <w:szCs w:val="22"/>
        </w:rPr>
        <w:t>PbRM</w:t>
      </w:r>
      <w:proofErr w:type="spellEnd"/>
      <w:r w:rsidR="00E3217E" w:rsidRPr="00AC208B">
        <w:rPr>
          <w:rFonts w:ascii="Palatino Linotype" w:hAnsi="Palatino Linotype" w:cs="Arial"/>
          <w:szCs w:val="22"/>
        </w:rPr>
        <w:t xml:space="preserve"> 04d del ejercicio Fiscal 2022.</w:t>
      </w:r>
    </w:p>
    <w:p w:rsidR="00E3217E" w:rsidRPr="00AC208B" w:rsidRDefault="00E3217E" w:rsidP="00E3217E">
      <w:pPr>
        <w:pStyle w:val="Prrafodelista"/>
        <w:tabs>
          <w:tab w:val="left" w:pos="0"/>
        </w:tabs>
        <w:spacing w:before="240" w:after="240" w:line="360" w:lineRule="auto"/>
        <w:ind w:right="34"/>
        <w:jc w:val="both"/>
        <w:rPr>
          <w:rFonts w:ascii="Palatino Linotype" w:hAnsi="Palatino Linotype" w:cs="Arial"/>
          <w:szCs w:val="22"/>
          <w:lang w:val="es-ES"/>
        </w:rPr>
      </w:pPr>
    </w:p>
    <w:p w:rsidR="00622B4F" w:rsidRPr="00AC208B" w:rsidRDefault="00622B4F" w:rsidP="00622B4F">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AC208B">
        <w:rPr>
          <w:rFonts w:ascii="Palatino Linotype" w:hAnsi="Palatino Linotype" w:cs="Arial"/>
          <w:sz w:val="24"/>
          <w:lang w:val="es-ES"/>
        </w:rPr>
        <w:lastRenderedPageBreak/>
        <w:t>E</w:t>
      </w:r>
      <w:r w:rsidR="008B3536" w:rsidRPr="00AC208B">
        <w:rPr>
          <w:rFonts w:ascii="Palatino Linotype" w:hAnsi="Palatino Linotype" w:cs="Arial"/>
          <w:sz w:val="24"/>
          <w:lang w:val="es-ES"/>
        </w:rPr>
        <w:t xml:space="preserve">n lo sucesivo el </w:t>
      </w:r>
      <w:r w:rsidR="00E3217E" w:rsidRPr="00AC208B">
        <w:rPr>
          <w:rFonts w:ascii="Palatino Linotype" w:hAnsi="Palatino Linotype" w:cs="Arial"/>
          <w:sz w:val="24"/>
          <w:lang w:val="es-ES"/>
        </w:rPr>
        <w:t>siete (07) de marzo</w:t>
      </w:r>
      <w:r w:rsidRPr="00AC208B">
        <w:rPr>
          <w:rFonts w:ascii="Palatino Linotype" w:hAnsi="Palatino Linotype" w:cs="Arial"/>
          <w:sz w:val="24"/>
          <w:lang w:val="es-ES"/>
        </w:rPr>
        <w:t xml:space="preserve"> de dos mil veintidós</w:t>
      </w:r>
      <w:r w:rsidRPr="00AC208B">
        <w:rPr>
          <w:rFonts w:ascii="Palatino Linotype" w:hAnsi="Palatino Linotype" w:cs="Arial"/>
          <w:b/>
          <w:sz w:val="24"/>
          <w:lang w:val="es-ES"/>
        </w:rPr>
        <w:t>,</w:t>
      </w:r>
      <w:r w:rsidRPr="00AC208B">
        <w:rPr>
          <w:rFonts w:ascii="Palatino Linotype" w:hAnsi="Palatino Linotype" w:cs="Arial"/>
          <w:sz w:val="24"/>
          <w:lang w:val="es-ES"/>
        </w:rPr>
        <w:t xml:space="preserve"> </w:t>
      </w:r>
      <w:r w:rsidRPr="00AC208B">
        <w:rPr>
          <w:rFonts w:ascii="Palatino Linotype" w:hAnsi="Palatino Linotype" w:cs="Arial"/>
          <w:b/>
          <w:sz w:val="24"/>
          <w:lang w:val="es-ES"/>
        </w:rPr>
        <w:t xml:space="preserve"> </w:t>
      </w:r>
      <w:r w:rsidRPr="00AC208B">
        <w:rPr>
          <w:rFonts w:ascii="Palatino Linotype" w:hAnsi="Palatino Linotype" w:cs="Arial"/>
          <w:sz w:val="24"/>
          <w:lang w:val="es-ES"/>
        </w:rPr>
        <w:t>el solicitante interpuso el recurso de revisión, señalando como:</w:t>
      </w:r>
    </w:p>
    <w:bookmarkEnd w:id="4"/>
    <w:bookmarkEnd w:id="5"/>
    <w:bookmarkEnd w:id="6"/>
    <w:p w:rsidR="00622B4F" w:rsidRPr="00AC208B" w:rsidRDefault="00622B4F" w:rsidP="00622B4F">
      <w:pPr>
        <w:tabs>
          <w:tab w:val="left" w:pos="851"/>
          <w:tab w:val="left" w:pos="8222"/>
        </w:tabs>
        <w:spacing w:before="240" w:after="240" w:line="360" w:lineRule="auto"/>
        <w:ind w:left="851" w:right="567"/>
        <w:contextualSpacing/>
        <w:jc w:val="both"/>
        <w:rPr>
          <w:rFonts w:ascii="Palatino Linotype" w:eastAsia="Calibri" w:hAnsi="Palatino Linotype" w:cs="Arial"/>
          <w:i/>
          <w:lang w:val="es-ES"/>
        </w:rPr>
      </w:pPr>
      <w:r w:rsidRPr="00AC208B">
        <w:rPr>
          <w:rFonts w:ascii="Palatino Linotype" w:eastAsia="Calibri" w:hAnsi="Palatino Linotype" w:cs="Arial"/>
          <w:b/>
          <w:lang w:val="es-ES"/>
        </w:rPr>
        <w:t>Acto impugnado:</w:t>
      </w:r>
      <w:r w:rsidRPr="00AC208B">
        <w:rPr>
          <w:rFonts w:ascii="Palatino Linotype" w:eastAsia="Calibri" w:hAnsi="Palatino Linotype" w:cs="Arial"/>
          <w:i/>
          <w:lang w:val="es-ES"/>
        </w:rPr>
        <w:t xml:space="preserve"> </w:t>
      </w:r>
      <w:r w:rsidRPr="00AC208B">
        <w:rPr>
          <w:rFonts w:ascii="Palatino Linotype" w:eastAsia="Calibri" w:hAnsi="Palatino Linotype" w:cs="Arial"/>
          <w:sz w:val="22"/>
          <w:szCs w:val="22"/>
          <w:lang w:val="es-ES"/>
        </w:rPr>
        <w:t>“</w:t>
      </w:r>
      <w:r w:rsidR="00E3217E" w:rsidRPr="00AC208B">
        <w:rPr>
          <w:rFonts w:ascii="Palatino Linotype" w:hAnsi="Palatino Linotype"/>
          <w:i/>
          <w:color w:val="000000"/>
          <w:sz w:val="22"/>
          <w:szCs w:val="22"/>
        </w:rPr>
        <w:t>Respuesta otorgada</w:t>
      </w:r>
      <w:r w:rsidRPr="00AC208B">
        <w:rPr>
          <w:rFonts w:ascii="Palatino Linotype" w:hAnsi="Palatino Linotype"/>
          <w:i/>
          <w:color w:val="000000"/>
          <w:sz w:val="22"/>
          <w:szCs w:val="22"/>
        </w:rPr>
        <w:t>”</w:t>
      </w:r>
      <w:r w:rsidRPr="00AC208B">
        <w:rPr>
          <w:rFonts w:ascii="Palatino Linotype" w:eastAsia="Calibri" w:hAnsi="Palatino Linotype" w:cs="Arial"/>
          <w:i/>
          <w:lang w:val="es-ES"/>
        </w:rPr>
        <w:t xml:space="preserve"> (Sic) </w:t>
      </w:r>
    </w:p>
    <w:p w:rsidR="00622B4F" w:rsidRPr="00AC208B" w:rsidRDefault="00622B4F" w:rsidP="00622B4F">
      <w:pPr>
        <w:tabs>
          <w:tab w:val="left" w:pos="0"/>
        </w:tabs>
        <w:spacing w:before="240" w:after="240" w:line="360" w:lineRule="auto"/>
        <w:ind w:left="567" w:hanging="141"/>
        <w:contextualSpacing/>
        <w:rPr>
          <w:rFonts w:ascii="Palatino Linotype" w:eastAsia="Calibri" w:hAnsi="Palatino Linotype" w:cs="Arial"/>
          <w:i/>
          <w:lang w:val="es-ES"/>
        </w:rPr>
      </w:pPr>
    </w:p>
    <w:p w:rsidR="00622B4F" w:rsidRPr="00AC208B" w:rsidRDefault="00622B4F" w:rsidP="00622B4F">
      <w:pPr>
        <w:tabs>
          <w:tab w:val="left" w:pos="851"/>
        </w:tabs>
        <w:spacing w:before="240" w:after="240" w:line="360" w:lineRule="auto"/>
        <w:ind w:left="851" w:right="567"/>
        <w:contextualSpacing/>
        <w:jc w:val="both"/>
        <w:rPr>
          <w:rFonts w:ascii="Palatino Linotype" w:eastAsia="MS Mincho" w:hAnsi="Palatino Linotype"/>
          <w:i/>
          <w:sz w:val="22"/>
          <w:szCs w:val="22"/>
        </w:rPr>
      </w:pPr>
      <w:r w:rsidRPr="00AC208B">
        <w:rPr>
          <w:rFonts w:ascii="Palatino Linotype" w:eastAsia="MS Gothic" w:hAnsi="Palatino Linotype"/>
          <w:b/>
          <w:lang w:val="es-ES"/>
        </w:rPr>
        <w:t>Razones o Motivos de inconformidad</w:t>
      </w:r>
      <w:r w:rsidRPr="00AC208B">
        <w:rPr>
          <w:rFonts w:ascii="Palatino Linotype" w:eastAsia="MS Mincho" w:hAnsi="Palatino Linotype"/>
          <w:i/>
        </w:rPr>
        <w:t xml:space="preserve">: </w:t>
      </w:r>
      <w:r w:rsidRPr="00AC208B">
        <w:rPr>
          <w:rFonts w:ascii="Palatino Linotype" w:eastAsia="MS Mincho" w:hAnsi="Palatino Linotype"/>
          <w:i/>
          <w:sz w:val="22"/>
          <w:szCs w:val="22"/>
        </w:rPr>
        <w:t>“</w:t>
      </w:r>
      <w:r w:rsidR="00E3217E" w:rsidRPr="00AC208B">
        <w:rPr>
          <w:rFonts w:ascii="Palatino Linotype" w:hAnsi="Palatino Linotype"/>
          <w:i/>
          <w:color w:val="000000"/>
          <w:sz w:val="22"/>
          <w:szCs w:val="22"/>
        </w:rPr>
        <w:t>Respuesta incompetente e incompleta</w:t>
      </w:r>
      <w:r w:rsidRPr="00AC208B">
        <w:rPr>
          <w:rFonts w:ascii="Palatino Linotype" w:eastAsia="MS Mincho" w:hAnsi="Palatino Linotype"/>
          <w:i/>
          <w:sz w:val="22"/>
          <w:szCs w:val="22"/>
        </w:rPr>
        <w:t>” (Sic)</w:t>
      </w:r>
    </w:p>
    <w:p w:rsidR="00622B4F" w:rsidRPr="00AC208B" w:rsidRDefault="00622B4F" w:rsidP="00622B4F">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rsidR="00622B4F" w:rsidRPr="00AC208B" w:rsidRDefault="00622B4F" w:rsidP="00622B4F">
      <w:pPr>
        <w:numPr>
          <w:ilvl w:val="0"/>
          <w:numId w:val="1"/>
        </w:numPr>
        <w:spacing w:before="240" w:after="240" w:line="360" w:lineRule="auto"/>
        <w:ind w:left="0" w:firstLine="0"/>
        <w:contextualSpacing/>
        <w:jc w:val="both"/>
        <w:rPr>
          <w:rFonts w:ascii="Palatino Linotype" w:eastAsia="MS Mincho" w:hAnsi="Palatino Linotype"/>
          <w:i/>
          <w:color w:val="000000"/>
        </w:rPr>
      </w:pPr>
      <w:r w:rsidRPr="00AC208B">
        <w:rPr>
          <w:rFonts w:ascii="Palatino Linotype" w:hAnsi="Palatino Linotype" w:cs="Arial"/>
          <w:lang w:val="es-ES"/>
        </w:rPr>
        <w:t xml:space="preserve">Se registró el recurso de revisión bajo el número de expediente </w:t>
      </w:r>
      <w:r w:rsidRPr="00AC208B">
        <w:rPr>
          <w:rFonts w:ascii="Palatino Linotype" w:eastAsia="MS Mincho" w:hAnsi="Palatino Linotype" w:cs="Arial"/>
          <w:bCs/>
        </w:rPr>
        <w:t xml:space="preserve">al rubro indicado, asimismo con fundamento en lo dispuesto por el </w:t>
      </w:r>
      <w:r w:rsidRPr="00AC208B">
        <w:rPr>
          <w:rFonts w:ascii="Palatino Linotype" w:eastAsia="Calibri" w:hAnsi="Palatino Linotype" w:cs="Arial"/>
          <w:lang w:val="es-ES"/>
        </w:rPr>
        <w:t xml:space="preserve">artículo 185 fracción I de la Ley de Transparencia y Acceso a la Información Pública del Estado de México y Municipios </w:t>
      </w:r>
      <w:r w:rsidRPr="00AC208B">
        <w:rPr>
          <w:rFonts w:ascii="Palatino Linotype" w:hAnsi="Palatino Linotype" w:cs="Arial"/>
          <w:lang w:val="es-ES"/>
        </w:rPr>
        <w:t xml:space="preserve">se turnó a la </w:t>
      </w:r>
      <w:r w:rsidRPr="00AC208B">
        <w:rPr>
          <w:rFonts w:ascii="Palatino Linotype" w:hAnsi="Palatino Linotype" w:cs="Arial"/>
          <w:b/>
          <w:lang w:val="es-ES"/>
        </w:rPr>
        <w:t>Comisionada María del Rosario Mejía Ayala</w:t>
      </w:r>
      <w:r w:rsidRPr="00AC208B">
        <w:rPr>
          <w:rFonts w:ascii="Palatino Linotype" w:hAnsi="Palatino Linotype" w:cs="Arial"/>
          <w:lang w:val="es-ES"/>
        </w:rPr>
        <w:t xml:space="preserve"> con el objeto de </w:t>
      </w:r>
      <w:r w:rsidRPr="00AC208B">
        <w:rPr>
          <w:rFonts w:ascii="Palatino Linotype" w:hAnsi="Palatino Linotype" w:cs="Arial"/>
        </w:rPr>
        <w:t>su análisis.</w:t>
      </w:r>
    </w:p>
    <w:p w:rsidR="00622B4F" w:rsidRPr="00AC208B" w:rsidRDefault="00622B4F" w:rsidP="00622B4F">
      <w:pPr>
        <w:spacing w:before="240" w:after="240" w:line="360" w:lineRule="auto"/>
        <w:contextualSpacing/>
        <w:jc w:val="both"/>
        <w:rPr>
          <w:rFonts w:ascii="Palatino Linotype" w:eastAsia="MS Mincho" w:hAnsi="Palatino Linotype"/>
          <w:i/>
          <w:color w:val="000000"/>
        </w:rPr>
      </w:pPr>
    </w:p>
    <w:p w:rsidR="00622B4F" w:rsidRPr="00AC208B" w:rsidRDefault="00622B4F" w:rsidP="00622B4F">
      <w:pPr>
        <w:numPr>
          <w:ilvl w:val="0"/>
          <w:numId w:val="1"/>
        </w:numPr>
        <w:spacing w:before="240" w:after="240" w:line="360" w:lineRule="auto"/>
        <w:ind w:left="0" w:firstLine="0"/>
        <w:contextualSpacing/>
        <w:jc w:val="both"/>
        <w:rPr>
          <w:rFonts w:ascii="Palatino Linotype" w:eastAsia="MS Mincho" w:hAnsi="Palatino Linotype"/>
          <w:i/>
          <w:color w:val="000000"/>
        </w:rPr>
      </w:pPr>
      <w:r w:rsidRPr="00AC208B">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E3217E" w:rsidRPr="00AC208B">
        <w:rPr>
          <w:rFonts w:ascii="Palatino Linotype" w:eastAsia="Calibri" w:hAnsi="Palatino Linotype" w:cs="Arial"/>
          <w:lang w:val="es-ES"/>
        </w:rPr>
        <w:t>once (11) de marzo</w:t>
      </w:r>
      <w:r w:rsidRPr="00AC208B">
        <w:rPr>
          <w:rFonts w:ascii="Palatino Linotype" w:eastAsia="Calibri" w:hAnsi="Palatino Linotype" w:cs="Arial"/>
          <w:lang w:val="es-ES"/>
        </w:rPr>
        <w:t xml:space="preserve"> de dos mil veintidós, puso a disposición de las partes el expediente electrónico </w:t>
      </w:r>
      <w:r w:rsidRPr="00AC208B">
        <w:rPr>
          <w:rFonts w:ascii="Palatino Linotype" w:eastAsia="Calibri" w:hAnsi="Palatino Linotype" w:cs="Arial"/>
        </w:rPr>
        <w:t xml:space="preserve">vía </w:t>
      </w:r>
      <w:r w:rsidRPr="00AC208B">
        <w:rPr>
          <w:rFonts w:ascii="Palatino Linotype" w:eastAsia="Calibri" w:hAnsi="Palatino Linotype" w:cs="Arial"/>
          <w:lang w:val="es-ES"/>
        </w:rPr>
        <w:t xml:space="preserve">Sistema de Acceso a la Información Mexiquense </w:t>
      </w:r>
      <w:r w:rsidRPr="00AC208B">
        <w:rPr>
          <w:rFonts w:ascii="Palatino Linotype" w:eastAsia="Calibri" w:hAnsi="Palatino Linotype" w:cs="Arial"/>
          <w:b/>
          <w:lang w:val="es-ES"/>
        </w:rPr>
        <w:t xml:space="preserve">(SAIMEX) </w:t>
      </w:r>
      <w:r w:rsidRPr="00AC208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C208B">
        <w:rPr>
          <w:rFonts w:ascii="Palatino Linotype" w:eastAsia="Calibri" w:hAnsi="Palatino Linotype" w:cs="Arial"/>
          <w:b/>
          <w:lang w:val="es-ES"/>
        </w:rPr>
        <w:t>SUJETO OBLIGADO</w:t>
      </w:r>
      <w:r w:rsidRPr="00AC208B">
        <w:rPr>
          <w:rFonts w:ascii="Palatino Linotype" w:eastAsia="Calibri" w:hAnsi="Palatino Linotype" w:cs="Arial"/>
          <w:lang w:val="es-ES"/>
        </w:rPr>
        <w:t xml:space="preserve"> presentara el Informe Justificado procedente.  </w:t>
      </w:r>
    </w:p>
    <w:p w:rsidR="00622B4F" w:rsidRPr="00AC208B" w:rsidRDefault="00622B4F" w:rsidP="00622B4F">
      <w:pPr>
        <w:spacing w:before="240" w:after="240" w:line="360" w:lineRule="auto"/>
        <w:contextualSpacing/>
        <w:jc w:val="both"/>
        <w:rPr>
          <w:rFonts w:ascii="Palatino Linotype" w:eastAsia="MS Mincho" w:hAnsi="Palatino Linotype"/>
          <w:i/>
          <w:color w:val="000000"/>
        </w:rPr>
      </w:pPr>
    </w:p>
    <w:p w:rsidR="00E3217E" w:rsidRPr="00AC208B" w:rsidRDefault="00622B4F" w:rsidP="00622B4F">
      <w:pPr>
        <w:numPr>
          <w:ilvl w:val="0"/>
          <w:numId w:val="1"/>
        </w:numPr>
        <w:spacing w:before="240" w:after="240" w:line="360" w:lineRule="auto"/>
        <w:ind w:left="0" w:firstLine="0"/>
        <w:contextualSpacing/>
        <w:jc w:val="both"/>
        <w:rPr>
          <w:rFonts w:ascii="Palatino Linotype" w:eastAsia="MS Mincho" w:hAnsi="Palatino Linotype"/>
          <w:i/>
          <w:color w:val="000000"/>
        </w:rPr>
      </w:pPr>
      <w:r w:rsidRPr="00AC208B">
        <w:rPr>
          <w:rFonts w:ascii="Palatino Linotype" w:eastAsia="Calibri" w:hAnsi="Palatino Linotype" w:cs="Arial"/>
          <w:lang w:val="es-ES"/>
        </w:rPr>
        <w:t>De las constancias que obran en el expediente electrónico SAIMEX, se advierte que el particular no realizó manifestaciones, ni ofreció pruebas o alega</w:t>
      </w:r>
      <w:r w:rsidR="00E3217E" w:rsidRPr="00AC208B">
        <w:rPr>
          <w:rFonts w:ascii="Palatino Linotype" w:eastAsia="Calibri" w:hAnsi="Palatino Linotype" w:cs="Arial"/>
          <w:lang w:val="es-ES"/>
        </w:rPr>
        <w:t>tos que a su derecho conviniera.</w:t>
      </w:r>
      <w:r w:rsidRPr="00AC208B">
        <w:rPr>
          <w:rFonts w:ascii="Palatino Linotype" w:eastAsia="Calibri" w:hAnsi="Palatino Linotype" w:cs="Arial"/>
          <w:lang w:val="es-ES"/>
        </w:rPr>
        <w:t xml:space="preserve"> </w:t>
      </w:r>
    </w:p>
    <w:p w:rsidR="00B51269" w:rsidRPr="00AC208B" w:rsidRDefault="00E3217E" w:rsidP="00B51269">
      <w:pPr>
        <w:numPr>
          <w:ilvl w:val="0"/>
          <w:numId w:val="1"/>
        </w:numPr>
        <w:spacing w:before="240" w:after="240" w:line="360" w:lineRule="auto"/>
        <w:ind w:left="0" w:firstLine="0"/>
        <w:contextualSpacing/>
        <w:jc w:val="both"/>
        <w:rPr>
          <w:rFonts w:ascii="Palatino Linotype" w:eastAsia="MS Mincho" w:hAnsi="Palatino Linotype"/>
          <w:i/>
          <w:color w:val="000000"/>
        </w:rPr>
      </w:pPr>
      <w:r w:rsidRPr="00AC208B">
        <w:rPr>
          <w:rFonts w:ascii="Palatino Linotype" w:eastAsia="Calibri" w:hAnsi="Palatino Linotype" w:cs="Arial"/>
          <w:lang w:val="es-ES"/>
        </w:rPr>
        <w:lastRenderedPageBreak/>
        <w:t>P</w:t>
      </w:r>
      <w:r w:rsidR="00622B4F" w:rsidRPr="00AC208B">
        <w:rPr>
          <w:rFonts w:ascii="Palatino Linotype" w:eastAsia="Calibri" w:hAnsi="Palatino Linotype" w:cs="Arial"/>
          <w:lang w:val="es-ES"/>
        </w:rPr>
        <w:t>o</w:t>
      </w:r>
      <w:r w:rsidRPr="00AC208B">
        <w:rPr>
          <w:rFonts w:ascii="Palatino Linotype" w:eastAsia="Calibri" w:hAnsi="Palatino Linotype" w:cs="Arial"/>
          <w:lang w:val="es-ES"/>
        </w:rPr>
        <w:t>r su parte el Sujeto Obligado remitió informe justificado el veintidós (22) de marzo de dos mil veintidós, mismo que fue puesto a la vista del particular en fecha cuatro</w:t>
      </w:r>
      <w:r w:rsidR="00B51269" w:rsidRPr="00AC208B">
        <w:rPr>
          <w:rFonts w:ascii="Palatino Linotype" w:eastAsia="Calibri" w:hAnsi="Palatino Linotype" w:cs="Arial"/>
          <w:lang w:val="es-ES"/>
        </w:rPr>
        <w:t xml:space="preserve"> de julio del presente año y en el cual señaló lo siguiente:</w:t>
      </w:r>
    </w:p>
    <w:p w:rsidR="00B51269" w:rsidRPr="00AC208B" w:rsidRDefault="00B51269" w:rsidP="00B51269">
      <w:pPr>
        <w:spacing w:before="240" w:after="240" w:line="360" w:lineRule="auto"/>
        <w:contextualSpacing/>
        <w:jc w:val="both"/>
        <w:rPr>
          <w:rFonts w:ascii="Palatino Linotype" w:eastAsia="MS Mincho" w:hAnsi="Palatino Linotype"/>
          <w:i/>
          <w:color w:val="000000"/>
        </w:rPr>
      </w:pPr>
    </w:p>
    <w:p w:rsidR="00B51269" w:rsidRPr="00AC208B" w:rsidRDefault="00B51269" w:rsidP="00B51269">
      <w:pPr>
        <w:spacing w:before="240" w:after="240" w:line="360" w:lineRule="auto"/>
        <w:ind w:left="851" w:right="822"/>
        <w:contextualSpacing/>
        <w:jc w:val="both"/>
        <w:rPr>
          <w:rFonts w:ascii="Palatino Linotype" w:eastAsia="MS Mincho" w:hAnsi="Palatino Linotype"/>
          <w:i/>
          <w:color w:val="000000"/>
          <w:sz w:val="20"/>
        </w:rPr>
      </w:pPr>
      <w:r w:rsidRPr="00AC208B">
        <w:rPr>
          <w:rFonts w:ascii="Palatino Linotype" w:hAnsi="Palatino Linotype" w:cs="Arial"/>
          <w:i/>
          <w:color w:val="333333"/>
          <w:sz w:val="22"/>
          <w:szCs w:val="27"/>
        </w:rPr>
        <w:t xml:space="preserve">“Nicolás Romero, Estado de México a 22 de marzo de 2022 RECURSO DE REVISIÓN: 03528/INFOEM/IP/RR/2022 ASUNTO: INFORME JUSTIFICADO MTRA. GUADALUPE RAMIRÉZ PEÑA COMISIONADA DEL INFOEM P R E S E N T E Con fundamento en los artículos 53, 162, 176, 178, 179, 185 fracción II, III de la Ley de Transparencia y Acceso a la Información Pública del Estado de México y Municipios, así como el artículo 150 del Reglamento de Transparencia, remito a usted el informe justificado dentro del recurso al rubro citado. Al respecto se manifiesta que: Con fecha 28 de febrero del presente año ingresó vía SAIMEX la solicitud 0062/NICOROM/IP/2022, en la cual el particular requirió: “solicito el presupuesto del 2022 </w:t>
      </w:r>
      <w:proofErr w:type="spellStart"/>
      <w:r w:rsidRPr="00AC208B">
        <w:rPr>
          <w:rFonts w:ascii="Palatino Linotype" w:hAnsi="Palatino Linotype" w:cs="Arial"/>
          <w:i/>
          <w:color w:val="333333"/>
          <w:sz w:val="22"/>
          <w:szCs w:val="27"/>
        </w:rPr>
        <w:t>asi</w:t>
      </w:r>
      <w:proofErr w:type="spellEnd"/>
      <w:r w:rsidRPr="00AC208B">
        <w:rPr>
          <w:rFonts w:ascii="Palatino Linotype" w:hAnsi="Palatino Linotype" w:cs="Arial"/>
          <w:i/>
          <w:color w:val="333333"/>
          <w:sz w:val="22"/>
          <w:szCs w:val="27"/>
        </w:rPr>
        <w:t xml:space="preserve"> como los </w:t>
      </w:r>
      <w:proofErr w:type="spellStart"/>
      <w:r w:rsidRPr="00AC208B">
        <w:rPr>
          <w:rFonts w:ascii="Palatino Linotype" w:hAnsi="Palatino Linotype" w:cs="Arial"/>
          <w:i/>
          <w:color w:val="333333"/>
          <w:sz w:val="22"/>
          <w:szCs w:val="27"/>
        </w:rPr>
        <w:t>indices</w:t>
      </w:r>
      <w:proofErr w:type="spellEnd"/>
      <w:r w:rsidRPr="00AC208B">
        <w:rPr>
          <w:rFonts w:ascii="Palatino Linotype" w:hAnsi="Palatino Linotype" w:cs="Arial"/>
          <w:i/>
          <w:color w:val="333333"/>
          <w:sz w:val="22"/>
          <w:szCs w:val="27"/>
        </w:rPr>
        <w:t xml:space="preserve"> de expedientes clasificados del 2021. (Sic) En fecha 28 de febrero del presente año, se </w:t>
      </w:r>
      <w:proofErr w:type="spellStart"/>
      <w:r w:rsidRPr="00AC208B">
        <w:rPr>
          <w:rFonts w:ascii="Palatino Linotype" w:hAnsi="Palatino Linotype" w:cs="Arial"/>
          <w:i/>
          <w:color w:val="333333"/>
          <w:sz w:val="22"/>
          <w:szCs w:val="27"/>
        </w:rPr>
        <w:t>turno</w:t>
      </w:r>
      <w:proofErr w:type="spellEnd"/>
      <w:r w:rsidRPr="00AC208B">
        <w:rPr>
          <w:rFonts w:ascii="Palatino Linotype" w:hAnsi="Palatino Linotype" w:cs="Arial"/>
          <w:i/>
          <w:color w:val="333333"/>
          <w:sz w:val="22"/>
          <w:szCs w:val="27"/>
        </w:rPr>
        <w:t xml:space="preserve"> la solicitud a la </w:t>
      </w:r>
      <w:proofErr w:type="spellStart"/>
      <w:r w:rsidRPr="00AC208B">
        <w:rPr>
          <w:rFonts w:ascii="Palatino Linotype" w:hAnsi="Palatino Linotype" w:cs="Arial"/>
          <w:i/>
          <w:color w:val="333333"/>
          <w:sz w:val="22"/>
          <w:szCs w:val="27"/>
        </w:rPr>
        <w:t>Tesoreria</w:t>
      </w:r>
      <w:proofErr w:type="spellEnd"/>
      <w:r w:rsidRPr="00AC208B">
        <w:rPr>
          <w:rFonts w:ascii="Palatino Linotype" w:hAnsi="Palatino Linotype" w:cs="Arial"/>
          <w:i/>
          <w:color w:val="333333"/>
          <w:sz w:val="22"/>
          <w:szCs w:val="27"/>
        </w:rPr>
        <w:t xml:space="preserve"> Municipal por medio del oficio NR_DIG_UT_110_2022. En fecha 07 de marzo del presente, se remitió el oficio NR/TM/197/2022 en el cual se brinda la respuesta al ciudadano solicitante, agregando posteriormente los documentos al sistema SAIMEX: NR_TM_197_2022, 197.pdf y 197</w:t>
      </w:r>
      <w:proofErr w:type="gramStart"/>
      <w:r w:rsidRPr="00AC208B">
        <w:rPr>
          <w:rFonts w:ascii="Palatino Linotype" w:hAnsi="Palatino Linotype" w:cs="Arial"/>
          <w:i/>
          <w:color w:val="333333"/>
          <w:sz w:val="22"/>
          <w:szCs w:val="27"/>
        </w:rPr>
        <w:t>..pdf</w:t>
      </w:r>
      <w:proofErr w:type="gramEnd"/>
      <w:r w:rsidRPr="00AC208B">
        <w:rPr>
          <w:rFonts w:ascii="Palatino Linotype" w:hAnsi="Palatino Linotype" w:cs="Arial"/>
          <w:i/>
          <w:color w:val="333333"/>
          <w:sz w:val="22"/>
          <w:szCs w:val="27"/>
        </w:rPr>
        <w:t xml:space="preserve">. En fecha 28 de octubre del presente, el particular interpone un recurso de revisión mencionando lo siguiente: RAZONES O MOTIVOS DE LA INCONFORMIDAD Respuesta incompetente e incompleta Por tal motivo me permito manifestar que: Respecto al Índice de expedientes clasificados como reservados puede ser consultado en el Portal de </w:t>
      </w:r>
      <w:proofErr w:type="spellStart"/>
      <w:r w:rsidRPr="00AC208B">
        <w:rPr>
          <w:rFonts w:ascii="Palatino Linotype" w:hAnsi="Palatino Linotype" w:cs="Arial"/>
          <w:i/>
          <w:color w:val="333333"/>
          <w:sz w:val="22"/>
          <w:szCs w:val="27"/>
        </w:rPr>
        <w:t>Ipomex</w:t>
      </w:r>
      <w:proofErr w:type="spellEnd"/>
      <w:r w:rsidRPr="00AC208B">
        <w:rPr>
          <w:rFonts w:ascii="Palatino Linotype" w:hAnsi="Palatino Linotype" w:cs="Arial"/>
          <w:i/>
          <w:color w:val="333333"/>
          <w:sz w:val="22"/>
          <w:szCs w:val="27"/>
        </w:rPr>
        <w:t xml:space="preserve"> en la fracción XIX </w:t>
      </w:r>
      <w:hyperlink r:id="rId10" w:history="1">
        <w:r w:rsidRPr="00AC208B">
          <w:rPr>
            <w:rStyle w:val="Hipervnculo"/>
            <w:rFonts w:ascii="Palatino Linotype" w:hAnsi="Palatino Linotype" w:cs="Arial"/>
            <w:i/>
            <w:sz w:val="22"/>
            <w:szCs w:val="27"/>
          </w:rPr>
          <w:t>https://www.ipomex.org.mx/ipo3/lgt/indice/NICOLASROMERO/art_92_xix.web</w:t>
        </w:r>
      </w:hyperlink>
      <w:r w:rsidRPr="00AC208B">
        <w:rPr>
          <w:rFonts w:ascii="Palatino Linotype" w:hAnsi="Palatino Linotype" w:cs="Arial"/>
          <w:i/>
          <w:color w:val="333333"/>
          <w:sz w:val="22"/>
          <w:szCs w:val="27"/>
        </w:rPr>
        <w:t xml:space="preserve"> , de igual manera se anexa la información. Derivado de lo antes expresado, solicito sobreseer el presente recurso de revisión, ya que se satisfizo el derecho de acceso a la </w:t>
      </w:r>
      <w:r w:rsidRPr="00AC208B">
        <w:rPr>
          <w:rFonts w:ascii="Palatino Linotype" w:hAnsi="Palatino Linotype" w:cs="Arial"/>
          <w:i/>
          <w:color w:val="333333"/>
          <w:sz w:val="22"/>
          <w:szCs w:val="27"/>
        </w:rPr>
        <w:lastRenderedPageBreak/>
        <w:t>información al entregarle la información solicitada y con la que cuenta este H. Ayuntamiento. Por lo anterior expuesto, Mtra. María Del Rosario Mejía Ayala, Comisionada del INFOEM, se solicita a usted: PRIMERO: Tener por presentado el informe justificado en términos del artículo 185 de la Ley de Transparencia y Acceso a la Información Pública del Estado de México y Municipios. SEGUNDO: Sobreseer el recurso de revisión en cita por encontrarse en términos del artículo 192 fracción III de la Ley de Transparencia y Acceso a la Información Pública del Estado de México y Municipios. Sin más por el momento, reciba un cordial saludo, quedando a sus órdenes para cualquier duda o aclaración”</w:t>
      </w:r>
    </w:p>
    <w:p w:rsidR="00B51269" w:rsidRPr="00AC208B" w:rsidRDefault="00273891" w:rsidP="00B51269">
      <w:pPr>
        <w:pStyle w:val="Prrafodelista"/>
        <w:numPr>
          <w:ilvl w:val="0"/>
          <w:numId w:val="9"/>
        </w:numPr>
        <w:spacing w:before="240" w:after="240" w:line="360" w:lineRule="auto"/>
        <w:jc w:val="both"/>
        <w:rPr>
          <w:rFonts w:ascii="Palatino Linotype" w:eastAsia="MS Mincho" w:hAnsi="Palatino Linotype"/>
          <w:i/>
        </w:rPr>
      </w:pPr>
      <w:hyperlink r:id="rId11" w:history="1">
        <w:r w:rsidR="00B51269" w:rsidRPr="00AC208B">
          <w:rPr>
            <w:rStyle w:val="Hipervnculo"/>
            <w:rFonts w:ascii="Palatino Linotype" w:eastAsiaTheme="majorEastAsia" w:hAnsi="Palatino Linotype" w:cs="Arial"/>
            <w:b/>
            <w:bCs/>
            <w:color w:val="auto"/>
            <w:sz w:val="24"/>
          </w:rPr>
          <w:t>info_Art92_19.xlsx</w:t>
        </w:r>
      </w:hyperlink>
      <w:r w:rsidR="00B51269" w:rsidRPr="00AC208B">
        <w:rPr>
          <w:rFonts w:ascii="Palatino Linotype" w:hAnsi="Palatino Linotype"/>
        </w:rPr>
        <w:t>: índice referente al año 2021.</w:t>
      </w:r>
    </w:p>
    <w:p w:rsidR="00B51269" w:rsidRPr="00AC208B" w:rsidRDefault="00B51269" w:rsidP="00622B4F">
      <w:pPr>
        <w:spacing w:before="240" w:after="240" w:line="360" w:lineRule="auto"/>
        <w:contextualSpacing/>
        <w:jc w:val="both"/>
        <w:rPr>
          <w:rFonts w:ascii="Palatino Linotype" w:eastAsia="MS Mincho" w:hAnsi="Palatino Linotype"/>
          <w:i/>
          <w:color w:val="000000"/>
        </w:rPr>
      </w:pPr>
    </w:p>
    <w:p w:rsidR="00B51269" w:rsidRPr="00AC208B" w:rsidRDefault="00B51269" w:rsidP="00622B4F">
      <w:pPr>
        <w:numPr>
          <w:ilvl w:val="0"/>
          <w:numId w:val="1"/>
        </w:numPr>
        <w:spacing w:before="240" w:after="240" w:line="360" w:lineRule="auto"/>
        <w:ind w:left="0" w:firstLine="0"/>
        <w:contextualSpacing/>
        <w:jc w:val="both"/>
        <w:rPr>
          <w:rFonts w:ascii="Palatino Linotype" w:eastAsia="MS Mincho" w:hAnsi="Palatino Linotype"/>
        </w:rPr>
      </w:pPr>
      <w:r w:rsidRPr="00AC208B">
        <w:rPr>
          <w:rFonts w:ascii="Palatino Linotype" w:eastAsia="MS Mincho" w:hAnsi="Palatino Linotype"/>
        </w:rPr>
        <w:t xml:space="preserve">El treinta y uno (31) de mayo de dos mil veintidós, se notificó el </w:t>
      </w:r>
      <w:r w:rsidR="00BD689E" w:rsidRPr="00AC208B">
        <w:rPr>
          <w:rFonts w:ascii="Palatino Linotype" w:eastAsia="MS Mincho" w:hAnsi="Palatino Linotype"/>
        </w:rPr>
        <w:t>acue</w:t>
      </w:r>
      <w:r w:rsidRPr="00AC208B">
        <w:rPr>
          <w:rFonts w:ascii="Palatino Linotype" w:eastAsia="MS Mincho" w:hAnsi="Palatino Linotype"/>
        </w:rPr>
        <w:t xml:space="preserve">rdo mediante el cual se aprobó la ampliación del plazo para emitir resolución. </w:t>
      </w:r>
    </w:p>
    <w:p w:rsidR="00B51269" w:rsidRPr="00AC208B" w:rsidRDefault="00B51269" w:rsidP="00B51269">
      <w:pPr>
        <w:spacing w:before="240" w:after="240" w:line="360" w:lineRule="auto"/>
        <w:contextualSpacing/>
        <w:jc w:val="both"/>
        <w:rPr>
          <w:rFonts w:ascii="Palatino Linotype" w:eastAsia="MS Mincho" w:hAnsi="Palatino Linotype"/>
          <w:b/>
        </w:rPr>
      </w:pPr>
    </w:p>
    <w:p w:rsidR="00622B4F" w:rsidRPr="00AC208B" w:rsidRDefault="00622B4F" w:rsidP="00622B4F">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eastAsia="MS Mincho" w:hAnsi="Palatino Linotype"/>
        </w:rPr>
        <w:t>La Comisionada Ponente decretó el cierre de instrucción</w:t>
      </w:r>
      <w:r w:rsidRPr="00AC208B">
        <w:rPr>
          <w:rFonts w:ascii="Palatino Linotype" w:eastAsia="MS Mincho" w:hAnsi="Palatino Linotype" w:cs="Arial"/>
        </w:rPr>
        <w:t xml:space="preserve"> </w:t>
      </w:r>
      <w:r w:rsidRPr="00AC208B">
        <w:rPr>
          <w:rFonts w:ascii="Palatino Linotype" w:eastAsia="MS Mincho" w:hAnsi="Palatino Linotype"/>
        </w:rPr>
        <w:t xml:space="preserve">mediante acuerdo de fecha </w:t>
      </w:r>
      <w:r w:rsidR="00BD689E" w:rsidRPr="00AC208B">
        <w:rPr>
          <w:rFonts w:ascii="Palatino Linotype" w:eastAsia="MS Mincho" w:hAnsi="Palatino Linotype"/>
        </w:rPr>
        <w:t>ocho (08) de julio</w:t>
      </w:r>
      <w:r w:rsidRPr="00AC208B">
        <w:rPr>
          <w:rFonts w:ascii="Palatino Linotype" w:eastAsia="MS Mincho" w:hAnsi="Palatino Linotype"/>
        </w:rPr>
        <w:t xml:space="preserve">  de dos mil veintidós, </w:t>
      </w:r>
      <w:r w:rsidRPr="00AC208B">
        <w:rPr>
          <w:rFonts w:ascii="Palatino Linotype" w:eastAsia="MS Mincho" w:hAnsi="Palatino Linotype" w:cs="Arial"/>
        </w:rPr>
        <w:t>por lo que, ordenó turnar el expediente a resolución, misma que a continuación se pronuncia.</w:t>
      </w:r>
    </w:p>
    <w:p w:rsidR="00622B4F" w:rsidRPr="00AC208B" w:rsidRDefault="00622B4F" w:rsidP="00622B4F">
      <w:pPr>
        <w:spacing w:before="240" w:after="240" w:line="360" w:lineRule="auto"/>
        <w:contextualSpacing/>
        <w:jc w:val="both"/>
        <w:rPr>
          <w:rFonts w:ascii="Palatino Linotype" w:eastAsia="MS Mincho" w:hAnsi="Palatino Linotype"/>
          <w:b/>
        </w:rPr>
      </w:pPr>
    </w:p>
    <w:p w:rsidR="00622B4F" w:rsidRPr="00AC208B" w:rsidRDefault="00622B4F" w:rsidP="00622B4F">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AC208B">
        <w:rPr>
          <w:rFonts w:ascii="Palatino Linotype" w:eastAsia="MS Gothic" w:hAnsi="Palatino Linotype"/>
          <w:b/>
          <w:lang w:eastAsia="en-US"/>
        </w:rPr>
        <w:t>CONSIDERANDO</w:t>
      </w:r>
      <w:bookmarkEnd w:id="7"/>
      <w:bookmarkEnd w:id="8"/>
      <w:bookmarkEnd w:id="9"/>
    </w:p>
    <w:p w:rsidR="00622B4F" w:rsidRPr="00AC208B" w:rsidRDefault="00622B4F" w:rsidP="00622B4F">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AC208B">
        <w:rPr>
          <w:rFonts w:ascii="Palatino Linotype" w:eastAsia="MS Gothic" w:hAnsi="Palatino Linotype"/>
          <w:b/>
          <w:lang w:eastAsia="en-US"/>
        </w:rPr>
        <w:t>PRIMERO. De la competencia</w:t>
      </w:r>
      <w:bookmarkEnd w:id="10"/>
      <w:bookmarkEnd w:id="11"/>
      <w:r w:rsidRPr="00AC208B">
        <w:rPr>
          <w:rFonts w:ascii="Palatino Linotype" w:eastAsia="MS Gothic" w:hAnsi="Palatino Linotype"/>
          <w:b/>
          <w:lang w:eastAsia="en-US"/>
        </w:rPr>
        <w:t>.</w:t>
      </w:r>
      <w:bookmarkEnd w:id="12"/>
    </w:p>
    <w:p w:rsidR="00622B4F" w:rsidRPr="00AC208B" w:rsidRDefault="00622B4F" w:rsidP="00622B4F">
      <w:pPr>
        <w:numPr>
          <w:ilvl w:val="0"/>
          <w:numId w:val="1"/>
        </w:numPr>
        <w:spacing w:before="240" w:after="240" w:line="360" w:lineRule="auto"/>
        <w:ind w:left="0" w:firstLine="0"/>
        <w:jc w:val="both"/>
        <w:rPr>
          <w:rFonts w:ascii="Palatino Linotype" w:eastAsia="Calibri" w:hAnsi="Palatino Linotype"/>
          <w:b/>
          <w:lang w:val="es-ES"/>
        </w:rPr>
      </w:pPr>
      <w:r w:rsidRPr="00AC208B">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w:t>
      </w:r>
      <w:r w:rsidRPr="00AC208B">
        <w:rPr>
          <w:rFonts w:ascii="Palatino Linotype" w:eastAsia="Calibri" w:hAnsi="Palatino Linotype"/>
          <w:lang w:val="es-ES"/>
        </w:rPr>
        <w:lastRenderedPageBreak/>
        <w:t xml:space="preserve">IV de la </w:t>
      </w:r>
      <w:r w:rsidRPr="00AC208B">
        <w:rPr>
          <w:rFonts w:ascii="Palatino Linotype" w:eastAsia="Calibri" w:hAnsi="Palatino Linotype"/>
          <w:b/>
          <w:lang w:val="es-ES"/>
        </w:rPr>
        <w:t>Constitución Política de los Estados Unidos Mexicanos</w:t>
      </w:r>
      <w:r w:rsidRPr="00AC208B">
        <w:rPr>
          <w:rFonts w:ascii="Palatino Linotype" w:eastAsia="Calibri" w:hAnsi="Palatino Linotype"/>
          <w:lang w:val="es-ES"/>
        </w:rPr>
        <w:t xml:space="preserve">; 5, párrafos trigésimo, trigésimo primero y trigésimo segundo, fracciones IV y V, de la </w:t>
      </w:r>
      <w:r w:rsidRPr="00AC208B">
        <w:rPr>
          <w:rFonts w:ascii="Palatino Linotype" w:eastAsia="Calibri" w:hAnsi="Palatino Linotype"/>
          <w:b/>
          <w:lang w:val="es-ES"/>
        </w:rPr>
        <w:t>Constitución Política del Estado Libre y Soberano de México</w:t>
      </w:r>
      <w:r w:rsidRPr="00AC208B">
        <w:rPr>
          <w:rFonts w:ascii="Palatino Linotype" w:eastAsia="Calibri" w:hAnsi="Palatino Linotype"/>
          <w:lang w:val="es-ES"/>
        </w:rPr>
        <w:t xml:space="preserve">; artículos 1, 2 fracción II, 13, 29, 36 fracciones I y II, 176, 178, 179, 181 párrafo tercero y 185 de la </w:t>
      </w:r>
      <w:r w:rsidRPr="00AC208B">
        <w:rPr>
          <w:rFonts w:ascii="Palatino Linotype" w:eastAsia="Calibri" w:hAnsi="Palatino Linotype"/>
          <w:b/>
          <w:lang w:val="es-ES"/>
        </w:rPr>
        <w:t>Ley de Transparencia y Acceso a la Información Pública del Estado de México y Municipios</w:t>
      </w:r>
      <w:r w:rsidRPr="00AC208B">
        <w:rPr>
          <w:rFonts w:ascii="Palatino Linotype" w:eastAsia="Calibri" w:hAnsi="Palatino Linotype"/>
          <w:lang w:val="es-ES"/>
        </w:rPr>
        <w:t xml:space="preserve">; y 10, 7, 9 fracciones I y XXIV, y 11 del </w:t>
      </w:r>
      <w:r w:rsidRPr="00AC208B">
        <w:rPr>
          <w:rFonts w:ascii="Palatino Linotype" w:eastAsia="Calibri" w:hAnsi="Palatino Linotype"/>
          <w:b/>
          <w:lang w:val="es-ES"/>
        </w:rPr>
        <w:t>Reglamento Interior del Instituto de Transparencia, Acceso a la Información Pública y Protección de Datos Personales del Estado de México y Municipios.</w:t>
      </w:r>
    </w:p>
    <w:p w:rsidR="00622B4F" w:rsidRPr="00AC208B" w:rsidRDefault="00622B4F" w:rsidP="00622B4F">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AC208B">
        <w:rPr>
          <w:rFonts w:ascii="Palatino Linotype" w:eastAsia="MS Gothic" w:hAnsi="Palatino Linotype"/>
          <w:b/>
          <w:lang w:eastAsia="en-US"/>
        </w:rPr>
        <w:t>SEGUNDO. De la oportunidad y procedencia.</w:t>
      </w:r>
      <w:bookmarkEnd w:id="13"/>
      <w:bookmarkEnd w:id="14"/>
      <w:bookmarkEnd w:id="15"/>
    </w:p>
    <w:p w:rsidR="00622B4F" w:rsidRPr="00AC208B" w:rsidRDefault="00622B4F" w:rsidP="00622B4F">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AC208B">
        <w:rPr>
          <w:rFonts w:ascii="Palatino Linotype" w:eastAsia="Calibri" w:hAnsi="Palatino Linotype" w:cs="Arial"/>
          <w:lang w:val="es-ES_tradnl" w:eastAsia="es-ES"/>
        </w:rPr>
        <w:t xml:space="preserve">El medio de impugnación fue presentado a través del </w:t>
      </w:r>
      <w:r w:rsidRPr="00AC208B">
        <w:rPr>
          <w:rFonts w:ascii="Palatino Linotype" w:eastAsia="Calibri" w:hAnsi="Palatino Linotype" w:cs="Arial"/>
          <w:b/>
          <w:lang w:val="es-ES_tradnl" w:eastAsia="es-ES"/>
        </w:rPr>
        <w:t>SAIMEX,</w:t>
      </w:r>
      <w:r w:rsidRPr="00AC208B">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AC208B">
        <w:rPr>
          <w:rFonts w:ascii="Palatino Linotype" w:eastAsia="Calibri" w:hAnsi="Palatino Linotype" w:cs="Arial"/>
          <w:b/>
          <w:lang w:val="es-ES_tradnl" w:eastAsia="es-ES"/>
        </w:rPr>
        <w:t>SUJETO OBLIGADO</w:t>
      </w:r>
      <w:r w:rsidRPr="00AC208B">
        <w:rPr>
          <w:rFonts w:ascii="Palatino Linotype" w:eastAsia="Calibri" w:hAnsi="Palatino Linotype" w:cs="Arial"/>
          <w:lang w:val="es-ES_tradnl" w:eastAsia="es-ES"/>
        </w:rPr>
        <w:t xml:space="preserve"> en</w:t>
      </w:r>
      <w:r w:rsidR="00C67B0C" w:rsidRPr="00AC208B">
        <w:rPr>
          <w:rFonts w:ascii="Palatino Linotype" w:eastAsia="Calibri" w:hAnsi="Palatino Linotype" w:cs="Arial"/>
          <w:lang w:val="es-ES_tradnl" w:eastAsia="es-ES"/>
        </w:rPr>
        <w:t>tregó</w:t>
      </w:r>
      <w:r w:rsidR="0037601F" w:rsidRPr="00AC208B">
        <w:rPr>
          <w:rFonts w:ascii="Palatino Linotype" w:eastAsia="Calibri" w:hAnsi="Palatino Linotype" w:cs="Arial"/>
          <w:lang w:val="es-ES_tradnl" w:eastAsia="es-ES"/>
        </w:rPr>
        <w:t xml:space="preserve"> respuesta el día </w:t>
      </w:r>
      <w:r w:rsidR="00BD689E" w:rsidRPr="00AC208B">
        <w:rPr>
          <w:rFonts w:ascii="Palatino Linotype" w:eastAsia="Calibri" w:hAnsi="Palatino Linotype" w:cs="Arial"/>
          <w:lang w:val="es-ES_tradnl" w:eastAsia="es-ES"/>
        </w:rPr>
        <w:t>siete (07) de marzo</w:t>
      </w:r>
      <w:r w:rsidRPr="00AC208B">
        <w:rPr>
          <w:rFonts w:ascii="Palatino Linotype" w:eastAsia="Calibri" w:hAnsi="Palatino Linotype" w:cs="Arial"/>
          <w:lang w:val="es-ES_tradnl" w:eastAsia="es-ES"/>
        </w:rPr>
        <w:t xml:space="preserve">  de dos mil veintidós, </w:t>
      </w:r>
      <w:r w:rsidRPr="00AC208B">
        <w:rPr>
          <w:rFonts w:ascii="Palatino Linotype" w:eastAsiaTheme="minorEastAsia" w:hAnsi="Palatino Linotype" w:cs="Arial"/>
          <w:lang w:val="es-ES_tradnl" w:eastAsia="es-ES"/>
        </w:rPr>
        <w:t xml:space="preserve">de tal forma que el plazo para interponer el recurso transcurrió del día </w:t>
      </w:r>
      <w:r w:rsidR="00BD689E" w:rsidRPr="00AC208B">
        <w:rPr>
          <w:rFonts w:ascii="Palatino Linotype" w:eastAsiaTheme="minorEastAsia" w:hAnsi="Palatino Linotype" w:cs="Arial"/>
          <w:lang w:val="es-ES_tradnl" w:eastAsia="es-ES"/>
        </w:rPr>
        <w:t xml:space="preserve">ocho (08) al veintinueve (29) de marzo </w:t>
      </w:r>
      <w:r w:rsidRPr="00AC208B">
        <w:rPr>
          <w:rFonts w:ascii="Palatino Linotype" w:eastAsiaTheme="minorEastAsia" w:hAnsi="Palatino Linotype" w:cs="Arial"/>
          <w:lang w:val="es-ES_tradnl" w:eastAsia="es-ES"/>
        </w:rPr>
        <w:t xml:space="preserve">de dos mil veintidós; en consecuencia, si el particular presentó su inconformidad el día </w:t>
      </w:r>
      <w:r w:rsidR="00BD689E" w:rsidRPr="00AC208B">
        <w:rPr>
          <w:rFonts w:ascii="Palatino Linotype" w:eastAsiaTheme="minorEastAsia" w:hAnsi="Palatino Linotype" w:cs="Arial"/>
          <w:lang w:val="es-ES_tradnl" w:eastAsia="es-ES"/>
        </w:rPr>
        <w:t xml:space="preserve">siete (07) de marzo </w:t>
      </w:r>
      <w:r w:rsidRPr="00AC208B">
        <w:rPr>
          <w:rFonts w:ascii="Palatino Linotype" w:eastAsiaTheme="minorEastAsia" w:hAnsi="Palatino Linotype" w:cs="Arial"/>
          <w:lang w:val="es-ES_tradnl" w:eastAsia="es-ES"/>
        </w:rPr>
        <w:t xml:space="preserve">del presente año, se encuentra dentro de los márgenes temporales previstos en el artículo 178 de la </w:t>
      </w:r>
      <w:r w:rsidRPr="00AC208B">
        <w:rPr>
          <w:rFonts w:ascii="Palatino Linotype" w:eastAsiaTheme="minorEastAsia" w:hAnsi="Palatino Linotype" w:cs="Arial"/>
          <w:b/>
          <w:lang w:val="es-ES_tradnl" w:eastAsia="es-ES"/>
        </w:rPr>
        <w:t xml:space="preserve">Ley de Transparencia y Acceso a la Información Pública del Estado de México y Municipios </w:t>
      </w:r>
      <w:r w:rsidRPr="00AC208B">
        <w:rPr>
          <w:rFonts w:ascii="Palatino Linotype" w:eastAsiaTheme="minorEastAsia" w:hAnsi="Palatino Linotype" w:cs="Arial"/>
          <w:lang w:val="es-ES_tradnl" w:eastAsia="es-ES"/>
        </w:rPr>
        <w:t xml:space="preserve">vigente. </w:t>
      </w:r>
    </w:p>
    <w:p w:rsidR="00622B4F" w:rsidRPr="00AC208B" w:rsidRDefault="00622B4F" w:rsidP="00622B4F">
      <w:pPr>
        <w:spacing w:before="240" w:after="240" w:line="360" w:lineRule="auto"/>
        <w:ind w:right="48"/>
        <w:contextualSpacing/>
        <w:jc w:val="both"/>
        <w:rPr>
          <w:rFonts w:ascii="Palatino Linotype" w:eastAsiaTheme="minorEastAsia" w:hAnsi="Palatino Linotype"/>
          <w:lang w:val="es-ES_tradnl" w:eastAsia="es-ES"/>
        </w:rPr>
      </w:pPr>
    </w:p>
    <w:p w:rsidR="00622B4F" w:rsidRPr="00AC208B" w:rsidRDefault="00622B4F" w:rsidP="00622B4F">
      <w:pPr>
        <w:numPr>
          <w:ilvl w:val="0"/>
          <w:numId w:val="1"/>
        </w:numPr>
        <w:spacing w:before="240" w:after="240" w:line="360" w:lineRule="auto"/>
        <w:ind w:left="0" w:right="49" w:firstLine="0"/>
        <w:contextualSpacing/>
        <w:jc w:val="both"/>
        <w:rPr>
          <w:rFonts w:ascii="Palatino Linotype" w:eastAsia="Calibri" w:hAnsi="Palatino Linotype" w:cs="Arial"/>
          <w:b/>
        </w:rPr>
      </w:pPr>
      <w:r w:rsidRPr="00AC208B">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D689E" w:rsidRPr="00AC208B" w:rsidRDefault="00BD689E" w:rsidP="00BD689E">
      <w:pPr>
        <w:keepNext/>
        <w:keepLines/>
        <w:spacing w:before="240" w:after="240" w:line="360" w:lineRule="auto"/>
        <w:ind w:right="48"/>
        <w:outlineLvl w:val="0"/>
        <w:rPr>
          <w:rFonts w:ascii="Palatino Linotype" w:eastAsia="MS Mincho" w:hAnsi="Palatino Linotype" w:cstheme="majorBidi"/>
          <w:b/>
          <w:lang w:val="es-ES_tradnl" w:eastAsia="es-ES"/>
        </w:rPr>
      </w:pPr>
      <w:r w:rsidRPr="00AC208B">
        <w:rPr>
          <w:rFonts w:ascii="Palatino Linotype" w:eastAsia="MS Mincho" w:hAnsi="Palatino Linotype" w:cstheme="majorBidi"/>
          <w:b/>
          <w:lang w:val="es-ES_tradnl" w:eastAsia="es-ES"/>
        </w:rPr>
        <w:lastRenderedPageBreak/>
        <w:t>TERCERO. De previo y especial pronunciamiento</w:t>
      </w:r>
    </w:p>
    <w:p w:rsidR="00BD689E" w:rsidRPr="00AC208B" w:rsidRDefault="00BD689E" w:rsidP="00BD689E">
      <w:pPr>
        <w:rPr>
          <w:rFonts w:ascii="Palatino Linotype" w:eastAsia="Calibri" w:hAnsi="Palatino Linotype" w:cs="Arial"/>
          <w:b/>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 xml:space="preserve">En ese sentido, el legislador fijó los términos procesales en las leyes, de manera general, sin que pudiera prever la variada gama de casos que son resueltos por los </w:t>
      </w:r>
      <w:r w:rsidRPr="00AC208B">
        <w:rPr>
          <w:rFonts w:ascii="Palatino Linotype" w:hAnsi="Palatino Linotype"/>
        </w:rPr>
        <w:lastRenderedPageBreak/>
        <w:t xml:space="preserve">órganos jurisdiccionales o cuasi jurisdiccionales, tanto por la complejidad de los hechos, como por el número de casos que conocen. </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BD689E" w:rsidRPr="00AC208B" w:rsidRDefault="00BD689E" w:rsidP="00BD689E">
      <w:pPr>
        <w:rPr>
          <w:rFonts w:ascii="Palatino Linotype" w:hAnsi="Palatino Linotype"/>
        </w:rPr>
      </w:pPr>
    </w:p>
    <w:p w:rsidR="00BD689E" w:rsidRPr="00AC208B" w:rsidRDefault="00BD689E" w:rsidP="00BD689E">
      <w:pPr>
        <w:pStyle w:val="Prrafodelista"/>
        <w:numPr>
          <w:ilvl w:val="0"/>
          <w:numId w:val="11"/>
        </w:numPr>
        <w:jc w:val="both"/>
        <w:rPr>
          <w:rFonts w:ascii="Palatino Linotype" w:hAnsi="Palatino Linotype"/>
          <w:sz w:val="24"/>
        </w:rPr>
      </w:pPr>
      <w:r w:rsidRPr="00AC208B">
        <w:rPr>
          <w:rFonts w:ascii="Palatino Linotype" w:hAnsi="Palatino Linotype"/>
          <w:sz w:val="24"/>
        </w:rPr>
        <w:t xml:space="preserve">Complejidad del Asunto: La complejidad de la prueba, la pluralidad de sujetos procesales, el tiempo transcurrido, las características y contexto del recurso. </w:t>
      </w:r>
    </w:p>
    <w:p w:rsidR="00BD689E" w:rsidRPr="00AC208B" w:rsidRDefault="00BD689E" w:rsidP="00BD689E">
      <w:pPr>
        <w:pStyle w:val="Prrafodelista"/>
        <w:ind w:left="927"/>
        <w:jc w:val="both"/>
        <w:rPr>
          <w:rFonts w:ascii="Palatino Linotype" w:hAnsi="Palatino Linotype"/>
          <w:sz w:val="24"/>
        </w:rPr>
      </w:pPr>
    </w:p>
    <w:p w:rsidR="00BD689E" w:rsidRPr="00AC208B" w:rsidRDefault="00BD689E" w:rsidP="00BD689E">
      <w:pPr>
        <w:pStyle w:val="Prrafodelista"/>
        <w:numPr>
          <w:ilvl w:val="0"/>
          <w:numId w:val="11"/>
        </w:numPr>
        <w:jc w:val="both"/>
        <w:rPr>
          <w:rFonts w:ascii="Palatino Linotype" w:hAnsi="Palatino Linotype"/>
          <w:sz w:val="24"/>
        </w:rPr>
      </w:pPr>
      <w:r w:rsidRPr="00AC208B">
        <w:rPr>
          <w:rFonts w:ascii="Palatino Linotype" w:hAnsi="Palatino Linotype"/>
          <w:sz w:val="24"/>
        </w:rPr>
        <w:t>Actividad Procesal del interesado. Acciones u omisiones del interesado.</w:t>
      </w:r>
    </w:p>
    <w:p w:rsidR="00BD689E" w:rsidRPr="00AC208B" w:rsidRDefault="00BD689E" w:rsidP="00BD689E">
      <w:pPr>
        <w:jc w:val="both"/>
        <w:rPr>
          <w:rFonts w:ascii="Palatino Linotype" w:hAnsi="Palatino Linotype"/>
        </w:rPr>
      </w:pPr>
    </w:p>
    <w:p w:rsidR="00BD689E" w:rsidRPr="00AC208B" w:rsidRDefault="00BD689E" w:rsidP="00BD689E">
      <w:pPr>
        <w:pStyle w:val="Prrafodelista"/>
        <w:numPr>
          <w:ilvl w:val="0"/>
          <w:numId w:val="11"/>
        </w:numPr>
        <w:jc w:val="both"/>
        <w:rPr>
          <w:rFonts w:ascii="Palatino Linotype" w:hAnsi="Palatino Linotype"/>
          <w:sz w:val="24"/>
        </w:rPr>
      </w:pPr>
      <w:r w:rsidRPr="00AC208B">
        <w:rPr>
          <w:rFonts w:ascii="Palatino Linotype" w:hAnsi="Palatino Linotype"/>
          <w:sz w:val="24"/>
        </w:rPr>
        <w:t>Conducta de la Autoridad: Las Acciones u omisiones realizadas en el procedimiento. Así como si la autoridad actuó con la debida diligencia.</w:t>
      </w:r>
    </w:p>
    <w:p w:rsidR="00BD689E" w:rsidRPr="00AC208B" w:rsidRDefault="00BD689E" w:rsidP="00BD689E">
      <w:pPr>
        <w:pStyle w:val="Prrafodelista"/>
        <w:rPr>
          <w:rFonts w:ascii="Palatino Linotype" w:hAnsi="Palatino Linotype"/>
          <w:sz w:val="24"/>
        </w:rPr>
      </w:pPr>
    </w:p>
    <w:p w:rsidR="00BD689E" w:rsidRPr="00AC208B" w:rsidRDefault="00BD689E" w:rsidP="00BD689E">
      <w:pPr>
        <w:ind w:left="567"/>
        <w:jc w:val="both"/>
        <w:rPr>
          <w:rFonts w:ascii="Palatino Linotype" w:hAnsi="Palatino Linotype"/>
        </w:rPr>
      </w:pPr>
      <w:r w:rsidRPr="00AC208B">
        <w:rPr>
          <w:rFonts w:ascii="Palatino Linotype" w:hAnsi="Palatino Linotype"/>
        </w:rPr>
        <w:t>d) La afectación generada en la situación jurídica de la persona involucrada en el proceso: Violación a sus derechos humanos.</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D689E" w:rsidRPr="00AC208B" w:rsidRDefault="00BD689E" w:rsidP="00BD689E">
      <w:pPr>
        <w:spacing w:before="240" w:after="240" w:line="360" w:lineRule="auto"/>
        <w:contextualSpacing/>
        <w:jc w:val="both"/>
        <w:rPr>
          <w:rFonts w:ascii="Palatino Linotype" w:eastAsia="MS Mincho" w:hAnsi="Palatino Linotype"/>
          <w:b/>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Argumento que encuentra sustento en la jurisprudencia P</w:t>
      </w:r>
      <w:proofErr w:type="gramStart"/>
      <w:r w:rsidRPr="00AC208B">
        <w:rPr>
          <w:rFonts w:ascii="Palatino Linotype" w:hAnsi="Palatino Linotype"/>
        </w:rPr>
        <w:t>./</w:t>
      </w:r>
      <w:proofErr w:type="gramEnd"/>
      <w:r w:rsidRPr="00AC208B">
        <w:rPr>
          <w:rFonts w:ascii="Palatino Linotype" w:hAnsi="Palatino Linotype"/>
        </w:rPr>
        <w:t xml:space="preserve">J. 32/92 emitida por el Pleno de la Suprema Corte de Justicia de la Nación de rubro </w:t>
      </w:r>
      <w:r w:rsidRPr="00AC208B">
        <w:rPr>
          <w:rFonts w:ascii="Palatino Linotype" w:hAnsi="Palatino Linotype"/>
          <w:i/>
        </w:rPr>
        <w:t xml:space="preserve">“TÉRMINOS PROCESALES. PARA DETERMINAR SI UN FUNCIONARIO JUDICIAL ACTUÓ INDEBIDAMENTE POR NO RESPETARLOS SE DEBE ATENDER AL PRESUPUESTO </w:t>
      </w:r>
      <w:r w:rsidRPr="00AC208B">
        <w:rPr>
          <w:rFonts w:ascii="Palatino Linotype" w:hAnsi="Palatino Linotype"/>
          <w:i/>
        </w:rPr>
        <w:lastRenderedPageBreak/>
        <w:t>QUE CONSIDERÓ EL LEGISLADOR AL FIJARLOS Y LAS CARACTERÍSTICAS DEL CASO.”</w:t>
      </w:r>
      <w:r w:rsidRPr="00AC208B">
        <w:rPr>
          <w:rFonts w:ascii="Palatino Linotype" w:hAnsi="Palatino Linotype"/>
        </w:rPr>
        <w:t>, visible en la Gaceta del Seminario Judicial de la Federación con el registro digital 205635.</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BD689E" w:rsidRPr="00AC208B" w:rsidRDefault="00BD689E" w:rsidP="00BD689E">
      <w:pPr>
        <w:rPr>
          <w:rFonts w:ascii="Palatino Linotype" w:hAnsi="Palatino Linotype"/>
        </w:rPr>
      </w:pPr>
    </w:p>
    <w:p w:rsidR="00BD689E" w:rsidRPr="00AC208B" w:rsidRDefault="00BD689E" w:rsidP="00BD689E">
      <w:pPr>
        <w:numPr>
          <w:ilvl w:val="0"/>
          <w:numId w:val="1"/>
        </w:numPr>
        <w:spacing w:before="240" w:after="240" w:line="360" w:lineRule="auto"/>
        <w:ind w:left="0" w:firstLine="0"/>
        <w:contextualSpacing/>
        <w:jc w:val="both"/>
        <w:rPr>
          <w:rFonts w:ascii="Palatino Linotype" w:eastAsia="MS Mincho" w:hAnsi="Palatino Linotype"/>
          <w:b/>
        </w:rPr>
      </w:pPr>
      <w:r w:rsidRPr="00AC208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BD689E" w:rsidRPr="00AC208B" w:rsidRDefault="00BD689E" w:rsidP="00BD689E">
      <w:pPr>
        <w:jc w:val="both"/>
        <w:rPr>
          <w:rFonts w:ascii="Palatino Linotype" w:hAnsi="Palatino Linotype"/>
        </w:rPr>
      </w:pPr>
    </w:p>
    <w:p w:rsidR="00BD689E" w:rsidRPr="00AC208B" w:rsidRDefault="00BD689E" w:rsidP="00BD689E">
      <w:pPr>
        <w:spacing w:line="360" w:lineRule="auto"/>
        <w:ind w:left="851" w:right="822"/>
        <w:jc w:val="both"/>
        <w:rPr>
          <w:rFonts w:ascii="Palatino Linotype" w:hAnsi="Palatino Linotype"/>
        </w:rPr>
      </w:pPr>
      <w:r w:rsidRPr="00AC208B">
        <w:rPr>
          <w:rFonts w:ascii="Palatino Linotype" w:hAnsi="Palatino Linotype"/>
        </w:rPr>
        <w:t xml:space="preserve"> </w:t>
      </w:r>
      <w:r w:rsidRPr="00AC208B">
        <w:rPr>
          <w:rFonts w:ascii="Palatino Linotype" w:hAnsi="Palatino Linotype"/>
          <w:i/>
        </w:rPr>
        <w:t xml:space="preserve">“PLAZO RAZONABLE PARA RESOLVER. DIMENSIÓN Y EFECTOS DE ESTE CONCEPTO CUANDO SE ADUCE EXCESIVA CARGA DE </w:t>
      </w:r>
      <w:r w:rsidRPr="00AC208B">
        <w:rPr>
          <w:rFonts w:ascii="Palatino Linotype" w:hAnsi="Palatino Linotype"/>
          <w:i/>
        </w:rPr>
        <w:lastRenderedPageBreak/>
        <w:t>TRABAJO.”</w:t>
      </w:r>
      <w:r w:rsidRPr="00AC208B">
        <w:rPr>
          <w:rFonts w:ascii="Palatino Linotype" w:hAnsi="Palatino Linotype"/>
        </w:rPr>
        <w:t xml:space="preserve"> consultable en el Seminario Judicial de la Federación y su gaceta, con el registro digital 2002351.</w:t>
      </w:r>
    </w:p>
    <w:p w:rsidR="00BD689E" w:rsidRPr="00AC208B" w:rsidRDefault="00BD689E" w:rsidP="00BD689E">
      <w:pPr>
        <w:spacing w:line="360" w:lineRule="auto"/>
        <w:ind w:left="851" w:right="822"/>
        <w:jc w:val="both"/>
        <w:rPr>
          <w:rFonts w:ascii="Palatino Linotype" w:hAnsi="Palatino Linotype"/>
          <w:b/>
        </w:rPr>
      </w:pPr>
    </w:p>
    <w:p w:rsidR="00BD689E" w:rsidRPr="00AC208B" w:rsidRDefault="00BD689E" w:rsidP="00BD689E">
      <w:pPr>
        <w:spacing w:line="360" w:lineRule="auto"/>
        <w:ind w:left="851" w:right="822"/>
        <w:jc w:val="both"/>
        <w:rPr>
          <w:rFonts w:ascii="Palatino Linotype" w:hAnsi="Palatino Linotype"/>
        </w:rPr>
      </w:pPr>
      <w:r w:rsidRPr="00AC208B">
        <w:rPr>
          <w:rFonts w:ascii="Palatino Linotype" w:hAnsi="Palatino Linotype"/>
          <w:i/>
        </w:rPr>
        <w:t>“PLAZO RAZONABLE PARA RESOLVER. CONCEPTO Y ELEMENTOS QUE LO INTEGRAN A LA LUZ DEL DERECHO INTERNACIONAL DE LOS DERECHOS HUMANOS.”</w:t>
      </w:r>
      <w:r w:rsidRPr="00AC208B">
        <w:rPr>
          <w:rFonts w:ascii="Palatino Linotype" w:hAnsi="Palatino Linotype"/>
        </w:rPr>
        <w:t>, visible en el Seminario Judicial de la Federación y su gaceta, con el registro digital 2002350.</w:t>
      </w:r>
    </w:p>
    <w:p w:rsidR="00BD689E" w:rsidRPr="00AC208B" w:rsidRDefault="00BD689E" w:rsidP="00BD689E">
      <w:pPr>
        <w:spacing w:line="360" w:lineRule="auto"/>
        <w:ind w:right="822"/>
        <w:jc w:val="both"/>
        <w:rPr>
          <w:rFonts w:ascii="Palatino Linotype" w:hAnsi="Palatino Linotype"/>
          <w:i/>
        </w:rPr>
      </w:pPr>
    </w:p>
    <w:p w:rsidR="00622B4F" w:rsidRPr="00AC208B" w:rsidRDefault="00BD689E" w:rsidP="00BD689E">
      <w:pPr>
        <w:pStyle w:val="Prrafodelista"/>
        <w:numPr>
          <w:ilvl w:val="0"/>
          <w:numId w:val="1"/>
        </w:numPr>
        <w:spacing w:line="360" w:lineRule="auto"/>
        <w:ind w:left="0" w:right="822" w:firstLine="0"/>
        <w:jc w:val="both"/>
        <w:rPr>
          <w:rFonts w:ascii="Palatino Linotype" w:hAnsi="Palatino Linotype"/>
          <w:sz w:val="24"/>
        </w:rPr>
      </w:pPr>
      <w:r w:rsidRPr="00AC208B">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622B4F" w:rsidRPr="00AC208B" w:rsidRDefault="00BD689E" w:rsidP="00622B4F">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AC208B">
        <w:rPr>
          <w:rFonts w:ascii="Palatino Linotype" w:eastAsia="MS Mincho" w:hAnsi="Palatino Linotype" w:cstheme="majorBidi"/>
          <w:b/>
          <w:lang w:val="es-ES_tradnl" w:eastAsia="es-ES"/>
        </w:rPr>
        <w:t>CUART</w:t>
      </w:r>
      <w:r w:rsidR="00622B4F" w:rsidRPr="00AC208B">
        <w:rPr>
          <w:rFonts w:ascii="Palatino Linotype" w:eastAsia="MS Mincho" w:hAnsi="Palatino Linotype" w:cstheme="majorBidi"/>
          <w:b/>
          <w:lang w:val="es-ES_tradnl" w:eastAsia="es-ES"/>
        </w:rPr>
        <w:t>O. Planteamiento de la Litis</w:t>
      </w:r>
      <w:r w:rsidR="00622B4F" w:rsidRPr="00AC208B">
        <w:rPr>
          <w:rFonts w:ascii="Palatino Linotype" w:eastAsia="MS Gothic" w:hAnsi="Palatino Linotype"/>
          <w:b/>
        </w:rPr>
        <w:t>.</w:t>
      </w:r>
      <w:bookmarkEnd w:id="16"/>
      <w:bookmarkEnd w:id="17"/>
    </w:p>
    <w:p w:rsidR="0003404E" w:rsidRPr="00AC208B" w:rsidRDefault="00BD689E" w:rsidP="00DD09BB">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AC208B">
        <w:rPr>
          <w:rFonts w:ascii="Palatino Linotype" w:hAnsi="Palatino Linotype" w:cs="Arial"/>
          <w:color w:val="000000" w:themeColor="text1"/>
          <w:sz w:val="24"/>
        </w:rPr>
        <w:t>El particular solicitó:</w:t>
      </w:r>
    </w:p>
    <w:p w:rsidR="00BD689E" w:rsidRPr="00AC208B" w:rsidRDefault="00BD689E" w:rsidP="00BD689E">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BD689E" w:rsidRPr="00AC208B" w:rsidRDefault="00BD689E" w:rsidP="00BD689E">
      <w:pPr>
        <w:pStyle w:val="Prrafodelista"/>
        <w:numPr>
          <w:ilvl w:val="0"/>
          <w:numId w:val="9"/>
        </w:numPr>
        <w:spacing w:before="240" w:after="240" w:line="360" w:lineRule="auto"/>
        <w:ind w:right="48"/>
        <w:jc w:val="both"/>
        <w:rPr>
          <w:rFonts w:ascii="Palatino Linotype" w:hAnsi="Palatino Linotype" w:cs="Arial"/>
          <w:color w:val="000000" w:themeColor="text1"/>
          <w:sz w:val="24"/>
        </w:rPr>
      </w:pPr>
      <w:r w:rsidRPr="00AC208B">
        <w:rPr>
          <w:rFonts w:ascii="Palatino Linotype" w:hAnsi="Palatino Linotype" w:cs="Arial"/>
          <w:color w:val="000000" w:themeColor="text1"/>
          <w:sz w:val="24"/>
        </w:rPr>
        <w:t>El presup</w:t>
      </w:r>
      <w:r w:rsidR="00D64C3A" w:rsidRPr="00AC208B">
        <w:rPr>
          <w:rFonts w:ascii="Palatino Linotype" w:hAnsi="Palatino Linotype" w:cs="Arial"/>
          <w:color w:val="000000" w:themeColor="text1"/>
          <w:sz w:val="24"/>
        </w:rPr>
        <w:t>uesto del ejercicio fiscal 2022;</w:t>
      </w:r>
    </w:p>
    <w:p w:rsidR="00BD689E" w:rsidRPr="00AC208B" w:rsidRDefault="00BD689E" w:rsidP="00BD689E">
      <w:pPr>
        <w:pStyle w:val="Prrafodelista"/>
        <w:numPr>
          <w:ilvl w:val="0"/>
          <w:numId w:val="9"/>
        </w:numPr>
        <w:spacing w:before="240" w:after="240" w:line="360" w:lineRule="auto"/>
        <w:ind w:right="48"/>
        <w:jc w:val="both"/>
        <w:rPr>
          <w:rFonts w:ascii="Palatino Linotype" w:hAnsi="Palatino Linotype" w:cs="Arial"/>
          <w:color w:val="000000" w:themeColor="text1"/>
          <w:sz w:val="24"/>
        </w:rPr>
      </w:pPr>
      <w:r w:rsidRPr="00AC208B">
        <w:rPr>
          <w:rFonts w:ascii="Palatino Linotype" w:hAnsi="Palatino Linotype" w:cs="Arial"/>
          <w:color w:val="000000" w:themeColor="text1"/>
          <w:sz w:val="24"/>
        </w:rPr>
        <w:t>Índices de expedientes clasificados de 2021.</w:t>
      </w:r>
    </w:p>
    <w:p w:rsidR="00BD689E" w:rsidRPr="00AC208B" w:rsidRDefault="00BD689E" w:rsidP="00BD689E">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622B4F" w:rsidRPr="00AC208B" w:rsidRDefault="00622B4F" w:rsidP="00622B4F">
      <w:pPr>
        <w:pStyle w:val="Prrafodelista"/>
        <w:numPr>
          <w:ilvl w:val="0"/>
          <w:numId w:val="1"/>
        </w:numPr>
        <w:spacing w:before="240" w:after="240" w:line="360" w:lineRule="auto"/>
        <w:ind w:left="0" w:right="48" w:firstLine="0"/>
        <w:jc w:val="both"/>
        <w:rPr>
          <w:rFonts w:ascii="Palatino Linotype" w:eastAsia="MS Mincho" w:hAnsi="Palatino Linotype" w:cs="Arial"/>
          <w:sz w:val="28"/>
          <w:lang w:val="es-ES_tradnl" w:eastAsia="es-ES"/>
        </w:rPr>
      </w:pPr>
      <w:r w:rsidRPr="00AC208B">
        <w:rPr>
          <w:rFonts w:ascii="Palatino Linotype" w:hAnsi="Palatino Linotype"/>
          <w:iCs/>
          <w:color w:val="000000"/>
          <w:sz w:val="24"/>
        </w:rPr>
        <w:t xml:space="preserve">En respuesta, el SUJETO OBLIGADO </w:t>
      </w:r>
      <w:r w:rsidR="00D64C3A" w:rsidRPr="00AC208B">
        <w:rPr>
          <w:rFonts w:ascii="Palatino Linotype" w:hAnsi="Palatino Linotype"/>
          <w:iCs/>
          <w:color w:val="000000"/>
          <w:sz w:val="24"/>
        </w:rPr>
        <w:t xml:space="preserve"> adjuntó la caratula de egreso e ingresos del ejercicio fiscal 2022. Derivado de la respuesta, el particular interpuso recurso de revisión, señaló en sus motivos de inconformidad la entrega de la información incompleta. </w:t>
      </w:r>
    </w:p>
    <w:p w:rsidR="00622B4F" w:rsidRPr="00AC208B" w:rsidRDefault="00622B4F" w:rsidP="00622B4F">
      <w:pPr>
        <w:pStyle w:val="Prrafodelista"/>
        <w:rPr>
          <w:rFonts w:ascii="Palatino Linotype" w:eastAsia="MS Gothic" w:hAnsi="Palatino Linotype"/>
          <w:sz w:val="24"/>
        </w:rPr>
      </w:pPr>
    </w:p>
    <w:p w:rsidR="00622B4F" w:rsidRPr="00AC208B" w:rsidRDefault="00622B4F" w:rsidP="00622B4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C208B">
        <w:rPr>
          <w:rFonts w:ascii="Palatino Linotype" w:eastAsia="MS Gothic" w:hAnsi="Palatino Linotype"/>
          <w:sz w:val="24"/>
        </w:rPr>
        <w:lastRenderedPageBreak/>
        <w:t>En consecuencia, la Litis a resolver en este recurso, se circunscribe a determinar si la respuesta colma con lo solicitado o si se actualiza</w:t>
      </w:r>
      <w:r w:rsidR="00CD098A" w:rsidRPr="00AC208B">
        <w:rPr>
          <w:rFonts w:ascii="Palatino Linotype" w:eastAsia="MS Gothic" w:hAnsi="Palatino Linotype"/>
          <w:sz w:val="24"/>
        </w:rPr>
        <w:t>n</w:t>
      </w:r>
      <w:r w:rsidRPr="00AC208B">
        <w:rPr>
          <w:rFonts w:ascii="Palatino Linotype" w:eastAsia="MS Gothic" w:hAnsi="Palatino Linotype"/>
          <w:sz w:val="24"/>
        </w:rPr>
        <w:t xml:space="preserve"> la</w:t>
      </w:r>
      <w:r w:rsidR="00CD098A" w:rsidRPr="00AC208B">
        <w:rPr>
          <w:rFonts w:ascii="Palatino Linotype" w:eastAsia="MS Gothic" w:hAnsi="Palatino Linotype"/>
          <w:sz w:val="24"/>
        </w:rPr>
        <w:t>s</w:t>
      </w:r>
      <w:r w:rsidRPr="00AC208B">
        <w:rPr>
          <w:rFonts w:ascii="Palatino Linotype" w:eastAsia="MS Gothic" w:hAnsi="Palatino Linotype"/>
          <w:sz w:val="24"/>
        </w:rPr>
        <w:t xml:space="preserve"> causal</w:t>
      </w:r>
      <w:r w:rsidR="00CD098A" w:rsidRPr="00AC208B">
        <w:rPr>
          <w:rFonts w:ascii="Palatino Linotype" w:eastAsia="MS Gothic" w:hAnsi="Palatino Linotype"/>
          <w:sz w:val="24"/>
        </w:rPr>
        <w:t>es</w:t>
      </w:r>
      <w:r w:rsidRPr="00AC208B">
        <w:rPr>
          <w:rFonts w:ascii="Palatino Linotype" w:eastAsia="MS Gothic" w:hAnsi="Palatino Linotype"/>
          <w:sz w:val="24"/>
        </w:rPr>
        <w:t xml:space="preserve"> de procedencia prevista</w:t>
      </w:r>
      <w:r w:rsidR="00CD098A" w:rsidRPr="00AC208B">
        <w:rPr>
          <w:rFonts w:ascii="Palatino Linotype" w:eastAsia="MS Gothic" w:hAnsi="Palatino Linotype"/>
          <w:sz w:val="24"/>
        </w:rPr>
        <w:t>s</w:t>
      </w:r>
      <w:r w:rsidRPr="00AC208B">
        <w:rPr>
          <w:rFonts w:ascii="Palatino Linotype" w:eastAsia="MS Gothic" w:hAnsi="Palatino Linotype"/>
          <w:sz w:val="24"/>
        </w:rPr>
        <w:t xml:space="preserve"> </w:t>
      </w:r>
      <w:r w:rsidRPr="00AC208B">
        <w:rPr>
          <w:rFonts w:ascii="Palatino Linotype" w:hAnsi="Palatino Linotype"/>
          <w:sz w:val="24"/>
        </w:rPr>
        <w:t xml:space="preserve">en el artículo 179, fracción I </w:t>
      </w:r>
      <w:r w:rsidR="00D64C3A" w:rsidRPr="00AC208B">
        <w:rPr>
          <w:rFonts w:ascii="Palatino Linotype" w:hAnsi="Palatino Linotype"/>
          <w:sz w:val="24"/>
        </w:rPr>
        <w:t>y V</w:t>
      </w:r>
      <w:r w:rsidR="00CD098A" w:rsidRPr="00AC208B">
        <w:rPr>
          <w:rFonts w:ascii="Palatino Linotype" w:hAnsi="Palatino Linotype"/>
          <w:sz w:val="24"/>
        </w:rPr>
        <w:t xml:space="preserve"> </w:t>
      </w:r>
      <w:r w:rsidRPr="00AC208B">
        <w:rPr>
          <w:rFonts w:ascii="Palatino Linotype" w:hAnsi="Palatino Linotype"/>
          <w:sz w:val="24"/>
        </w:rPr>
        <w:t>de la Ley de Transparencia y Acceso a la Información Pública del Estado de México y Municipios; que establec</w:t>
      </w:r>
      <w:r w:rsidR="00CD098A" w:rsidRPr="00AC208B">
        <w:rPr>
          <w:rFonts w:ascii="Palatino Linotype" w:hAnsi="Palatino Linotype"/>
          <w:sz w:val="24"/>
        </w:rPr>
        <w:t xml:space="preserve">e la negativa de la información y la </w:t>
      </w:r>
      <w:r w:rsidR="00D64C3A" w:rsidRPr="00AC208B">
        <w:rPr>
          <w:rFonts w:ascii="Palatino Linotype" w:hAnsi="Palatino Linotype"/>
          <w:sz w:val="24"/>
        </w:rPr>
        <w:t>entrega de la información incompleta</w:t>
      </w:r>
      <w:r w:rsidR="00CD098A" w:rsidRPr="00AC208B">
        <w:rPr>
          <w:rFonts w:ascii="Palatino Linotype" w:hAnsi="Palatino Linotype"/>
          <w:sz w:val="24"/>
        </w:rPr>
        <w:t>.</w:t>
      </w:r>
    </w:p>
    <w:p w:rsidR="00622B4F" w:rsidRPr="00AC208B" w:rsidRDefault="00BD689E" w:rsidP="00622B4F">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AC208B">
        <w:rPr>
          <w:rFonts w:ascii="Palatino Linotype" w:eastAsia="MS Gothic" w:hAnsi="Palatino Linotype"/>
          <w:b/>
          <w:color w:val="auto"/>
          <w:sz w:val="24"/>
          <w:szCs w:val="24"/>
          <w:lang w:val="es-ES_tradnl"/>
        </w:rPr>
        <w:t>QUINT</w:t>
      </w:r>
      <w:r w:rsidR="00622B4F" w:rsidRPr="00AC208B">
        <w:rPr>
          <w:rFonts w:ascii="Palatino Linotype" w:eastAsia="MS Gothic" w:hAnsi="Palatino Linotype"/>
          <w:b/>
          <w:color w:val="auto"/>
          <w:sz w:val="24"/>
          <w:szCs w:val="24"/>
          <w:lang w:val="es-ES_tradnl"/>
        </w:rPr>
        <w:t>O. Del estudio y resolución del recurso de revisión.</w:t>
      </w:r>
      <w:bookmarkEnd w:id="18"/>
      <w:bookmarkEnd w:id="19"/>
    </w:p>
    <w:p w:rsidR="00622B4F" w:rsidRPr="00AC208B" w:rsidRDefault="00622B4F" w:rsidP="00622B4F">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AC208B">
        <w:rPr>
          <w:rFonts w:ascii="Palatino Linotype" w:eastAsia="MS Gothic" w:hAnsi="Palatino Linotype"/>
          <w:b/>
          <w:color w:val="auto"/>
          <w:sz w:val="24"/>
          <w:lang w:val="es-ES_tradnl" w:eastAsia="es-ES"/>
        </w:rPr>
        <w:t>I. De</w:t>
      </w:r>
      <w:bookmarkEnd w:id="20"/>
      <w:r w:rsidRPr="00AC208B">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rsidR="00622B4F" w:rsidRPr="00AC208B" w:rsidRDefault="00622B4F" w:rsidP="00622B4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C208B">
        <w:rPr>
          <w:rFonts w:ascii="Palatino Linotype" w:eastAsiaTheme="minorEastAsia" w:hAnsi="Palatino Linotype"/>
          <w:lang w:val="es-ES_tradnl" w:eastAsia="es-ES"/>
        </w:rPr>
        <w:t>E</w:t>
      </w:r>
      <w:r w:rsidRPr="00AC208B">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AC208B">
        <w:rPr>
          <w:rFonts w:ascii="Palatino Linotype" w:hAnsi="Palatino Linotype" w:cs="Arial"/>
          <w:color w:val="000000"/>
          <w:lang w:val="es-ES_tradnl" w:eastAsia="es-ES"/>
        </w:rPr>
        <w:t xml:space="preserve">. </w:t>
      </w:r>
    </w:p>
    <w:p w:rsidR="00622B4F" w:rsidRPr="00AC208B"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C208B">
        <w:rPr>
          <w:rFonts w:ascii="Palatino Linotype" w:hAnsi="Palatino Linotype"/>
          <w:lang w:val="es-ES_tradnl" w:eastAsia="es-ES"/>
        </w:rPr>
        <w:t xml:space="preserve">Definiendo el Derecho de Acceso a la Información Pública como: </w:t>
      </w:r>
      <w:r w:rsidRPr="00AC208B">
        <w:rPr>
          <w:rFonts w:ascii="Palatino Linotype" w:eastAsiaTheme="minorEastAsia" w:hAnsi="Palatino Linotype"/>
          <w:i/>
          <w:color w:val="000000"/>
          <w:lang w:val="es-ES_tradnl" w:eastAsia="es-ES"/>
        </w:rPr>
        <w:t>La igualdad de oportunidades para recibir, buscar e impartir información</w:t>
      </w:r>
      <w:r w:rsidRPr="00AC208B">
        <w:rPr>
          <w:rFonts w:ascii="Palatino Linotype" w:eastAsiaTheme="minorEastAsia" w:hAnsi="Palatino Linotype"/>
          <w:i/>
          <w:vertAlign w:val="superscript"/>
          <w:lang w:val="es-ES_tradnl" w:eastAsia="es-ES"/>
        </w:rPr>
        <w:footnoteReference w:id="1"/>
      </w:r>
      <w:r w:rsidRPr="00AC208B">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C208B">
        <w:rPr>
          <w:rFonts w:ascii="Palatino Linotype" w:eastAsiaTheme="minorEastAsia" w:hAnsi="Palatino Linotype"/>
          <w:i/>
          <w:vertAlign w:val="superscript"/>
          <w:lang w:val="es-ES_tradnl" w:eastAsia="es-ES"/>
        </w:rPr>
        <w:footnoteReference w:id="2"/>
      </w:r>
      <w:r w:rsidRPr="00AC208B">
        <w:rPr>
          <w:rFonts w:ascii="Palatino Linotype" w:eastAsiaTheme="minorEastAsia" w:hAnsi="Palatino Linotype"/>
          <w:color w:val="000000"/>
          <w:lang w:val="es-ES_tradnl" w:eastAsia="es-ES"/>
        </w:rPr>
        <w:t>que se constituye como una herramienta fundamental para ejercer</w:t>
      </w:r>
      <w:r w:rsidRPr="00AC208B">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AC208B">
        <w:rPr>
          <w:rFonts w:ascii="Palatino Linotype" w:eastAsiaTheme="minorEastAsia" w:hAnsi="Palatino Linotype"/>
          <w:i/>
          <w:vertAlign w:val="superscript"/>
          <w:lang w:val="es-ES_tradnl" w:eastAsia="es-ES"/>
        </w:rPr>
        <w:footnoteReference w:id="3"/>
      </w:r>
      <w:r w:rsidRPr="00AC208B">
        <w:rPr>
          <w:rFonts w:ascii="Palatino Linotype" w:eastAsiaTheme="minorEastAsia" w:hAnsi="Palatino Linotype"/>
          <w:color w:val="000000"/>
          <w:lang w:val="es-ES_tradnl" w:eastAsia="es-ES"/>
        </w:rPr>
        <w:t>fomentando</w:t>
      </w:r>
      <w:r w:rsidRPr="00AC208B">
        <w:rPr>
          <w:rFonts w:ascii="Palatino Linotype" w:eastAsiaTheme="minorEastAsia" w:hAnsi="Palatino Linotype"/>
          <w:i/>
          <w:color w:val="000000"/>
          <w:lang w:val="es-ES_tradnl" w:eastAsia="es-ES"/>
        </w:rPr>
        <w:t xml:space="preserve"> la transparencia de las actividades estatales y </w:t>
      </w:r>
      <w:r w:rsidRPr="00AC208B">
        <w:rPr>
          <w:rFonts w:ascii="Palatino Linotype" w:eastAsiaTheme="minorEastAsia" w:hAnsi="Palatino Linotype"/>
          <w:color w:val="000000"/>
          <w:lang w:val="es-ES_tradnl" w:eastAsia="es-ES"/>
        </w:rPr>
        <w:t>promoviendo</w:t>
      </w:r>
      <w:r w:rsidRPr="00AC208B">
        <w:rPr>
          <w:rFonts w:ascii="Palatino Linotype" w:eastAsiaTheme="minorEastAsia" w:hAnsi="Palatino Linotype"/>
          <w:i/>
          <w:color w:val="000000"/>
          <w:lang w:val="es-ES_tradnl" w:eastAsia="es-ES"/>
        </w:rPr>
        <w:t xml:space="preserve"> </w:t>
      </w:r>
      <w:r w:rsidRPr="00AC208B">
        <w:rPr>
          <w:rFonts w:ascii="Palatino Linotype" w:eastAsiaTheme="minorEastAsia" w:hAnsi="Palatino Linotype"/>
          <w:i/>
          <w:color w:val="000000"/>
          <w:lang w:val="es-ES_tradnl" w:eastAsia="es-ES"/>
        </w:rPr>
        <w:lastRenderedPageBreak/>
        <w:t>la responsabilidad de los funcionarios sobre su gestión pública,</w:t>
      </w:r>
      <w:r w:rsidRPr="00AC208B">
        <w:rPr>
          <w:rFonts w:ascii="Palatino Linotype" w:eastAsiaTheme="minorEastAsia" w:hAnsi="Palatino Linotype"/>
          <w:i/>
          <w:vertAlign w:val="superscript"/>
          <w:lang w:val="es-ES_tradnl" w:eastAsia="es-ES"/>
        </w:rPr>
        <w:footnoteReference w:id="4"/>
      </w:r>
      <w:r w:rsidRPr="00AC208B">
        <w:rPr>
          <w:rFonts w:ascii="Palatino Linotype" w:eastAsiaTheme="minorEastAsia" w:hAnsi="Palatino Linotype"/>
          <w:color w:val="000000"/>
          <w:lang w:val="es-ES_tradnl" w:eastAsia="es-ES"/>
        </w:rPr>
        <w:t>que permite</w:t>
      </w:r>
      <w:r w:rsidRPr="00AC208B">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622B4F" w:rsidRPr="00AC208B"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AC208B"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C208B">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622B4F" w:rsidRPr="00AC208B" w:rsidRDefault="00622B4F" w:rsidP="00622B4F">
      <w:pPr>
        <w:spacing w:before="240" w:after="240" w:line="360" w:lineRule="auto"/>
        <w:ind w:right="49"/>
        <w:contextualSpacing/>
        <w:jc w:val="both"/>
        <w:rPr>
          <w:rFonts w:ascii="Palatino Linotype" w:hAnsi="Palatino Linotype"/>
          <w:lang w:val="es-ES_tradnl" w:eastAsia="es-ES"/>
        </w:rPr>
      </w:pPr>
    </w:p>
    <w:p w:rsidR="00622B4F" w:rsidRPr="00AC208B" w:rsidRDefault="00622B4F" w:rsidP="00622B4F">
      <w:pPr>
        <w:spacing w:before="240" w:after="240" w:line="360" w:lineRule="auto"/>
        <w:ind w:left="567" w:right="567"/>
        <w:contextualSpacing/>
        <w:jc w:val="both"/>
        <w:rPr>
          <w:rFonts w:ascii="Palatino Linotype" w:hAnsi="Palatino Linotype"/>
          <w:i/>
          <w:sz w:val="22"/>
          <w:lang w:val="es-ES_tradnl" w:eastAsia="es-ES"/>
        </w:rPr>
      </w:pPr>
      <w:r w:rsidRPr="00AC208B">
        <w:rPr>
          <w:rFonts w:ascii="Palatino Linotype" w:hAnsi="Palatino Linotype"/>
          <w:i/>
          <w:sz w:val="22"/>
          <w:lang w:val="es-ES_tradnl" w:eastAsia="es-ES"/>
        </w:rPr>
        <w:t>“</w:t>
      </w:r>
      <w:r w:rsidRPr="00AC208B">
        <w:rPr>
          <w:rFonts w:ascii="Palatino Linotype" w:hAnsi="Palatino Linotype"/>
          <w:b/>
          <w:i/>
          <w:sz w:val="22"/>
          <w:lang w:val="es-ES_tradnl" w:eastAsia="es-ES"/>
        </w:rPr>
        <w:t>Artículo 1.-</w:t>
      </w:r>
      <w:r w:rsidRPr="00AC208B">
        <w:rPr>
          <w:rFonts w:ascii="Palatino Linotype" w:hAnsi="Palatino Linotype"/>
          <w:i/>
          <w:sz w:val="22"/>
          <w:lang w:val="es-ES_tradnl" w:eastAsia="es-ES"/>
        </w:rPr>
        <w:t xml:space="preserve"> </w:t>
      </w:r>
    </w:p>
    <w:p w:rsidR="00622B4F" w:rsidRPr="00AC208B" w:rsidRDefault="00622B4F" w:rsidP="00622B4F">
      <w:pPr>
        <w:spacing w:before="240" w:after="240" w:line="360" w:lineRule="auto"/>
        <w:ind w:left="567" w:right="567"/>
        <w:contextualSpacing/>
        <w:jc w:val="both"/>
        <w:rPr>
          <w:rFonts w:ascii="Palatino Linotype" w:hAnsi="Palatino Linotype"/>
          <w:i/>
          <w:sz w:val="22"/>
          <w:lang w:val="es-ES_tradnl" w:eastAsia="es-ES"/>
        </w:rPr>
      </w:pPr>
      <w:r w:rsidRPr="00AC208B">
        <w:rPr>
          <w:rFonts w:ascii="Palatino Linotype" w:hAnsi="Palatino Linotype"/>
          <w:i/>
          <w:sz w:val="22"/>
          <w:lang w:val="es-ES_tradnl" w:eastAsia="es-ES"/>
        </w:rPr>
        <w:t>(…)</w:t>
      </w:r>
    </w:p>
    <w:p w:rsidR="00622B4F" w:rsidRPr="00AC208B" w:rsidRDefault="00622B4F" w:rsidP="00622B4F">
      <w:pPr>
        <w:spacing w:before="240" w:after="240" w:line="360" w:lineRule="auto"/>
        <w:ind w:left="567" w:right="567"/>
        <w:contextualSpacing/>
        <w:jc w:val="both"/>
        <w:rPr>
          <w:rFonts w:ascii="Palatino Linotype" w:hAnsi="Palatino Linotype"/>
          <w:i/>
          <w:sz w:val="22"/>
        </w:rPr>
      </w:pPr>
      <w:r w:rsidRPr="00AC208B">
        <w:rPr>
          <w:rFonts w:ascii="Palatino Linotype" w:hAnsi="Palatino Linotype"/>
          <w:i/>
          <w:sz w:val="22"/>
          <w:lang w:val="es-ES_tradnl" w:eastAsia="es-ES"/>
        </w:rPr>
        <w:t>Todas las</w:t>
      </w:r>
      <w:r w:rsidRPr="00AC208B">
        <w:rPr>
          <w:rFonts w:ascii="Palatino Linotype" w:hAnsi="Palatino Linotype"/>
          <w:sz w:val="22"/>
          <w:lang w:val="es-ES_tradnl" w:eastAsia="es-ES"/>
        </w:rPr>
        <w:t xml:space="preserve"> </w:t>
      </w:r>
      <w:r w:rsidRPr="00AC208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22B4F" w:rsidRPr="00AC208B" w:rsidRDefault="00622B4F" w:rsidP="00622B4F">
      <w:pPr>
        <w:spacing w:before="240" w:after="240" w:line="360" w:lineRule="auto"/>
        <w:ind w:left="567" w:right="567"/>
        <w:contextualSpacing/>
        <w:jc w:val="both"/>
        <w:rPr>
          <w:rFonts w:ascii="Palatino Linotype" w:hAnsi="Palatino Linotype"/>
          <w:sz w:val="22"/>
          <w:lang w:val="es-ES_tradnl" w:eastAsia="es-ES"/>
        </w:rPr>
      </w:pPr>
      <w:r w:rsidRPr="00AC208B">
        <w:rPr>
          <w:rFonts w:ascii="Palatino Linotype" w:hAnsi="Palatino Linotype"/>
          <w:i/>
          <w:sz w:val="22"/>
        </w:rPr>
        <w:t>(…)</w:t>
      </w:r>
      <w:r w:rsidRPr="00AC208B">
        <w:rPr>
          <w:rFonts w:ascii="Palatino Linotype" w:hAnsi="Palatino Linotype"/>
          <w:sz w:val="22"/>
          <w:lang w:val="es-ES_tradnl" w:eastAsia="es-ES"/>
        </w:rPr>
        <w:t>”.</w:t>
      </w:r>
    </w:p>
    <w:p w:rsidR="00622B4F" w:rsidRPr="00AC208B" w:rsidRDefault="00622B4F" w:rsidP="00622B4F">
      <w:pPr>
        <w:spacing w:before="240" w:after="240" w:line="360" w:lineRule="auto"/>
        <w:ind w:left="567" w:right="567"/>
        <w:contextualSpacing/>
        <w:jc w:val="both"/>
        <w:rPr>
          <w:rFonts w:ascii="Palatino Linotype" w:hAnsi="Palatino Linotype"/>
          <w:b/>
          <w:sz w:val="22"/>
          <w:lang w:val="es-ES_tradnl" w:eastAsia="es-ES"/>
        </w:rPr>
      </w:pPr>
      <w:r w:rsidRPr="00AC208B">
        <w:rPr>
          <w:rFonts w:ascii="Palatino Linotype" w:hAnsi="Palatino Linotype"/>
          <w:b/>
          <w:i/>
          <w:sz w:val="22"/>
        </w:rPr>
        <w:t>(Énfasis Añadido)</w:t>
      </w:r>
    </w:p>
    <w:p w:rsidR="00622B4F" w:rsidRPr="00AC208B"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AC208B"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C208B">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622B4F" w:rsidRPr="00AC208B"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AC208B"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C208B">
        <w:rPr>
          <w:rFonts w:ascii="Palatino Linotype" w:eastAsiaTheme="minorEastAsia" w:hAnsi="Palatino Linotype"/>
          <w:lang w:val="es-ES_tradnl" w:eastAsia="es-ES"/>
        </w:rPr>
        <w:lastRenderedPageBreak/>
        <w:t xml:space="preserve">Así, conforme a la Constitución Política de las Estado Unidos Mexicanos </w:t>
      </w:r>
      <w:r w:rsidRPr="00AC208B">
        <w:rPr>
          <w:rFonts w:ascii="Palatino Linotype" w:eastAsia="Calibri" w:hAnsi="Palatino Linotype"/>
          <w:lang w:val="es-ES_tradnl" w:eastAsia="es-ES"/>
        </w:rPr>
        <w:t>y la Constitución Política del Estado Libre y Soberano de México respectivamente</w:t>
      </w:r>
      <w:r w:rsidRPr="00AC208B">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622B4F" w:rsidRPr="00AC208B"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AC208B" w:rsidRDefault="00622B4F" w:rsidP="00622B4F">
      <w:pPr>
        <w:spacing w:before="240" w:after="240" w:line="360" w:lineRule="auto"/>
        <w:ind w:left="567" w:right="567"/>
        <w:jc w:val="center"/>
        <w:rPr>
          <w:rFonts w:ascii="Palatino Linotype" w:eastAsiaTheme="minorEastAsia" w:hAnsi="Palatino Linotype" w:cs="Arial"/>
          <w:b/>
          <w:bCs/>
          <w:i/>
          <w:sz w:val="22"/>
          <w:lang w:val="es-ES_tradnl" w:eastAsia="es-ES"/>
        </w:rPr>
      </w:pPr>
      <w:r w:rsidRPr="00AC208B">
        <w:rPr>
          <w:rFonts w:ascii="Palatino Linotype" w:eastAsiaTheme="minorEastAsia" w:hAnsi="Palatino Linotype" w:cs="Arial"/>
          <w:b/>
          <w:bCs/>
          <w:i/>
          <w:sz w:val="22"/>
          <w:lang w:val="es-ES_tradnl" w:eastAsia="es-ES"/>
        </w:rPr>
        <w:t>Constitución Política de los Estados Unidos Mexicanos</w:t>
      </w:r>
    </w:p>
    <w:p w:rsidR="00622B4F" w:rsidRPr="00AC208B" w:rsidRDefault="00622B4F" w:rsidP="00622B4F">
      <w:pPr>
        <w:spacing w:before="240" w:after="240" w:line="360" w:lineRule="auto"/>
        <w:ind w:left="567" w:right="567"/>
        <w:jc w:val="both"/>
        <w:rPr>
          <w:rFonts w:ascii="Palatino Linotype" w:eastAsiaTheme="minorEastAsia" w:hAnsi="Palatino Linotype" w:cs="Arial"/>
          <w:b/>
          <w:bCs/>
          <w:i/>
          <w:sz w:val="22"/>
          <w:lang w:val="es-ES_tradnl" w:eastAsia="es-ES"/>
        </w:rPr>
      </w:pPr>
      <w:r w:rsidRPr="00AC208B">
        <w:rPr>
          <w:rFonts w:ascii="Palatino Linotype" w:eastAsiaTheme="minorEastAsia" w:hAnsi="Palatino Linotype" w:cs="Arial"/>
          <w:b/>
          <w:bCs/>
          <w:i/>
          <w:sz w:val="22"/>
          <w:lang w:val="es-ES_tradnl" w:eastAsia="es-ES"/>
        </w:rPr>
        <w:t>“Artículo 6.</w:t>
      </w:r>
      <w:r w:rsidRPr="00AC208B">
        <w:rPr>
          <w:rFonts w:ascii="Palatino Linotype" w:eastAsiaTheme="minorEastAsia" w:hAnsi="Palatino Linotype" w:cs="Arial"/>
          <w:bCs/>
          <w:i/>
          <w:sz w:val="22"/>
          <w:lang w:val="es-ES_tradnl" w:eastAsia="es-ES"/>
        </w:rPr>
        <w:t xml:space="preserve"> …</w:t>
      </w: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Cs/>
          <w:i/>
          <w:sz w:val="22"/>
          <w:lang w:val="es-ES_tradnl" w:eastAsia="es-ES"/>
        </w:rPr>
        <w:t>…</w:t>
      </w: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Cs/>
          <w:i/>
          <w:sz w:val="22"/>
          <w:lang w:val="es-ES_tradnl" w:eastAsia="es-ES"/>
        </w:rPr>
        <w:t>Para efectos de lo dispuesto en el presente artículo se observará lo siguiente:</w:t>
      </w:r>
    </w:p>
    <w:p w:rsidR="00622B4F" w:rsidRPr="00AC208B" w:rsidRDefault="00622B4F" w:rsidP="00622B4F">
      <w:pPr>
        <w:spacing w:before="240" w:after="240" w:line="360" w:lineRule="auto"/>
        <w:ind w:left="567" w:right="567"/>
        <w:jc w:val="both"/>
        <w:rPr>
          <w:rFonts w:ascii="Palatino Linotype" w:eastAsiaTheme="minorEastAsia" w:hAnsi="Palatino Linotype" w:cs="Arial"/>
          <w:b/>
          <w:bCs/>
          <w:i/>
          <w:sz w:val="22"/>
          <w:lang w:val="es-ES_tradnl" w:eastAsia="es-ES"/>
        </w:rPr>
      </w:pPr>
      <w:r w:rsidRPr="00AC208B">
        <w:rPr>
          <w:rFonts w:ascii="Palatino Linotype" w:eastAsiaTheme="minorEastAsia" w:hAnsi="Palatino Linotype" w:cs="Arial"/>
          <w:b/>
          <w:bCs/>
          <w:i/>
          <w:sz w:val="22"/>
          <w:lang w:val="es-ES_tradnl" w:eastAsia="es-ES"/>
        </w:rPr>
        <w:t>A</w:t>
      </w:r>
      <w:r w:rsidRPr="00AC208B">
        <w:rPr>
          <w:rFonts w:ascii="Palatino Linotype" w:eastAsiaTheme="minorEastAsia" w:hAnsi="Palatino Linotype" w:cs="Arial"/>
          <w:bCs/>
          <w:i/>
          <w:sz w:val="22"/>
          <w:lang w:val="es-ES_tradnl" w:eastAsia="es-ES"/>
        </w:rPr>
        <w:t xml:space="preserve">. </w:t>
      </w:r>
      <w:r w:rsidRPr="00AC208B">
        <w:rPr>
          <w:rFonts w:ascii="Palatino Linotype" w:eastAsiaTheme="minorEastAsia" w:hAnsi="Palatino Linotype" w:cs="Arial"/>
          <w:b/>
          <w:bCs/>
          <w:i/>
          <w:sz w:val="22"/>
          <w:lang w:val="es-ES_tradnl" w:eastAsia="es-ES"/>
        </w:rPr>
        <w:t>Para el ejercicio del derecho de acceso a la información</w:t>
      </w:r>
      <w:r w:rsidRPr="00AC208B">
        <w:rPr>
          <w:rFonts w:ascii="Palatino Linotype" w:eastAsiaTheme="minorEastAsia" w:hAnsi="Palatino Linotype" w:cs="Arial"/>
          <w:bCs/>
          <w:i/>
          <w:sz w:val="22"/>
          <w:lang w:val="es-ES_tradnl" w:eastAsia="es-ES"/>
        </w:rPr>
        <w:t xml:space="preserve">, la Federación y </w:t>
      </w:r>
      <w:r w:rsidRPr="00AC208B">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622B4F" w:rsidRPr="00AC208B" w:rsidRDefault="00622B4F" w:rsidP="00622B4F">
      <w:pPr>
        <w:spacing w:before="240" w:after="240" w:line="360" w:lineRule="auto"/>
        <w:ind w:left="567" w:right="567"/>
        <w:jc w:val="both"/>
        <w:rPr>
          <w:rFonts w:ascii="Palatino Linotype" w:eastAsiaTheme="minorEastAsia" w:hAnsi="Palatino Linotype" w:cs="Arial"/>
          <w:b/>
          <w:bCs/>
          <w:i/>
          <w:sz w:val="22"/>
          <w:lang w:val="es-ES_tradnl" w:eastAsia="es-ES"/>
        </w:rPr>
      </w:pP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
          <w:bCs/>
          <w:i/>
          <w:sz w:val="22"/>
          <w:lang w:val="es-ES_tradnl" w:eastAsia="es-ES"/>
        </w:rPr>
        <w:t xml:space="preserve">I. </w:t>
      </w:r>
      <w:r w:rsidRPr="00AC208B">
        <w:rPr>
          <w:rFonts w:ascii="Palatino Linotype" w:eastAsiaTheme="minorEastAsia" w:hAnsi="Palatino Linotype" w:cs="Arial"/>
          <w:b/>
          <w:bCs/>
          <w:i/>
          <w:sz w:val="22"/>
          <w:lang w:val="es-ES_tradnl" w:eastAsia="es-ES"/>
        </w:rPr>
        <w:tab/>
        <w:t>Toda la información en posesión de cualquier</w:t>
      </w:r>
      <w:r w:rsidRPr="00AC208B">
        <w:rPr>
          <w:rFonts w:ascii="Palatino Linotype" w:eastAsiaTheme="minorEastAsia" w:hAnsi="Palatino Linotype" w:cs="Arial"/>
          <w:bCs/>
          <w:i/>
          <w:sz w:val="22"/>
          <w:lang w:val="es-ES_tradnl" w:eastAsia="es-ES"/>
        </w:rPr>
        <w:t xml:space="preserve"> </w:t>
      </w:r>
      <w:r w:rsidRPr="00AC208B">
        <w:rPr>
          <w:rFonts w:ascii="Palatino Linotype" w:eastAsiaTheme="minorEastAsia" w:hAnsi="Palatino Linotype" w:cs="Arial"/>
          <w:b/>
          <w:bCs/>
          <w:i/>
          <w:sz w:val="22"/>
          <w:lang w:val="es-ES_tradnl" w:eastAsia="es-ES"/>
        </w:rPr>
        <w:t>autoridad</w:t>
      </w:r>
      <w:r w:rsidRPr="00AC208B">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C208B">
        <w:rPr>
          <w:rFonts w:ascii="Palatino Linotype" w:eastAsiaTheme="minorEastAsia" w:hAnsi="Palatino Linotype" w:cs="Arial"/>
          <w:b/>
          <w:bCs/>
          <w:i/>
          <w:sz w:val="22"/>
          <w:lang w:val="es-ES_tradnl" w:eastAsia="es-ES"/>
        </w:rPr>
        <w:t>municipal</w:t>
      </w:r>
      <w:r w:rsidRPr="00AC208B">
        <w:rPr>
          <w:rFonts w:ascii="Palatino Linotype" w:eastAsiaTheme="minorEastAsia" w:hAnsi="Palatino Linotype" w:cs="Arial"/>
          <w:bCs/>
          <w:i/>
          <w:sz w:val="22"/>
          <w:lang w:val="es-ES_tradnl" w:eastAsia="es-ES"/>
        </w:rPr>
        <w:t xml:space="preserve">, </w:t>
      </w:r>
      <w:r w:rsidRPr="00AC208B">
        <w:rPr>
          <w:rFonts w:ascii="Palatino Linotype" w:eastAsiaTheme="minorEastAsia" w:hAnsi="Palatino Linotype" w:cs="Arial"/>
          <w:b/>
          <w:bCs/>
          <w:i/>
          <w:sz w:val="22"/>
          <w:lang w:val="es-ES_tradnl" w:eastAsia="es-ES"/>
        </w:rPr>
        <w:t>es pública</w:t>
      </w:r>
      <w:r w:rsidRPr="00AC208B">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AC208B">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AC208B">
        <w:rPr>
          <w:rFonts w:ascii="Palatino Linotype" w:eastAsiaTheme="minorEastAsia" w:hAnsi="Palatino Linotype" w:cs="Arial"/>
          <w:b/>
          <w:bCs/>
          <w:i/>
          <w:sz w:val="22"/>
          <w:lang w:val="es-ES_tradnl" w:eastAsia="es-ES"/>
        </w:rPr>
        <w:lastRenderedPageBreak/>
        <w:t>ejercicio de sus facultades, competencias o funciones</w:t>
      </w:r>
      <w:r w:rsidRPr="00AC208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622B4F" w:rsidRPr="00AC208B" w:rsidRDefault="00622B4F" w:rsidP="00622B4F">
      <w:pPr>
        <w:pStyle w:val="Prrafodelista"/>
        <w:tabs>
          <w:tab w:val="left" w:pos="567"/>
        </w:tabs>
        <w:spacing w:before="240" w:after="240" w:line="360" w:lineRule="auto"/>
        <w:ind w:left="567" w:right="567"/>
        <w:jc w:val="both"/>
        <w:rPr>
          <w:rFonts w:ascii="Palatino Linotype" w:hAnsi="Palatino Linotype" w:cs="Arial"/>
          <w:b/>
          <w:bCs/>
          <w:i/>
        </w:rPr>
      </w:pPr>
      <w:r w:rsidRPr="00AC208B">
        <w:rPr>
          <w:rFonts w:ascii="Palatino Linotype" w:hAnsi="Palatino Linotype" w:cs="Arial"/>
          <w:b/>
          <w:bCs/>
          <w:i/>
        </w:rPr>
        <w:t>(Énfasis añadido)</w:t>
      </w:r>
    </w:p>
    <w:p w:rsidR="00622B4F" w:rsidRPr="00AC208B" w:rsidRDefault="00622B4F" w:rsidP="00622B4F">
      <w:pPr>
        <w:pStyle w:val="Prrafodelista"/>
        <w:tabs>
          <w:tab w:val="left" w:pos="567"/>
        </w:tabs>
        <w:spacing w:before="240" w:after="240" w:line="360" w:lineRule="auto"/>
        <w:ind w:left="567" w:right="567"/>
        <w:jc w:val="both"/>
        <w:rPr>
          <w:rFonts w:ascii="Palatino Linotype" w:hAnsi="Palatino Linotype" w:cs="Arial"/>
          <w:b/>
          <w:bCs/>
          <w:i/>
        </w:rPr>
      </w:pPr>
    </w:p>
    <w:p w:rsidR="00622B4F" w:rsidRPr="00AC208B" w:rsidRDefault="00622B4F" w:rsidP="00622B4F">
      <w:pPr>
        <w:spacing w:before="240" w:after="240" w:line="360" w:lineRule="auto"/>
        <w:ind w:left="567" w:right="567"/>
        <w:jc w:val="center"/>
        <w:rPr>
          <w:rFonts w:ascii="Palatino Linotype" w:eastAsiaTheme="minorEastAsia" w:hAnsi="Palatino Linotype" w:cs="Arial"/>
          <w:b/>
          <w:bCs/>
          <w:i/>
          <w:sz w:val="22"/>
          <w:lang w:val="es-ES_tradnl" w:eastAsia="es-ES"/>
        </w:rPr>
      </w:pPr>
      <w:r w:rsidRPr="00AC208B">
        <w:rPr>
          <w:rFonts w:ascii="Palatino Linotype" w:eastAsiaTheme="minorEastAsia" w:hAnsi="Palatino Linotype" w:cs="Arial"/>
          <w:b/>
          <w:bCs/>
          <w:i/>
          <w:sz w:val="22"/>
          <w:lang w:val="es-ES_tradnl" w:eastAsia="es-ES"/>
        </w:rPr>
        <w:t>Constitución Política del Estado Libre y Soberano de México</w:t>
      </w: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
          <w:bCs/>
          <w:i/>
          <w:sz w:val="22"/>
          <w:lang w:val="es-ES_tradnl" w:eastAsia="es-ES"/>
        </w:rPr>
        <w:t>“Artículo 5</w:t>
      </w:r>
      <w:r w:rsidRPr="00AC208B">
        <w:rPr>
          <w:rFonts w:ascii="Palatino Linotype" w:eastAsiaTheme="minorEastAsia" w:hAnsi="Palatino Linotype" w:cs="Arial"/>
          <w:bCs/>
          <w:i/>
          <w:sz w:val="22"/>
          <w:lang w:val="es-ES_tradnl" w:eastAsia="es-ES"/>
        </w:rPr>
        <w:t>.</w:t>
      </w:r>
      <w:proofErr w:type="gramStart"/>
      <w:r w:rsidRPr="00AC208B">
        <w:rPr>
          <w:rFonts w:ascii="Palatino Linotype" w:eastAsiaTheme="minorEastAsia" w:hAnsi="Palatino Linotype" w:cs="Arial"/>
          <w:bCs/>
          <w:i/>
          <w:sz w:val="22"/>
          <w:lang w:val="es-ES_tradnl" w:eastAsia="es-ES"/>
        </w:rPr>
        <w:t>- …</w:t>
      </w:r>
      <w:proofErr w:type="gramEnd"/>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Cs/>
          <w:i/>
          <w:sz w:val="22"/>
          <w:lang w:val="es-ES_tradnl" w:eastAsia="es-ES"/>
        </w:rPr>
        <w:t>…</w:t>
      </w: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AC208B">
        <w:rPr>
          <w:rFonts w:ascii="Palatino Linotype" w:eastAsiaTheme="minorEastAsia" w:hAnsi="Palatino Linotype" w:cs="Arial"/>
          <w:bCs/>
          <w:i/>
          <w:sz w:val="22"/>
          <w:lang w:val="es-ES_tradnl" w:eastAsia="es-ES"/>
        </w:rPr>
        <w:t>.</w:t>
      </w: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
          <w:bCs/>
          <w:i/>
          <w:sz w:val="22"/>
          <w:lang w:val="es-ES_tradnl" w:eastAsia="es-ES"/>
        </w:rPr>
        <w:t>Este derecho se regirá por los principios y bases siguientes</w:t>
      </w:r>
      <w:r w:rsidRPr="00AC208B">
        <w:rPr>
          <w:rFonts w:ascii="Palatino Linotype" w:eastAsiaTheme="minorEastAsia" w:hAnsi="Palatino Linotype" w:cs="Arial"/>
          <w:bCs/>
          <w:i/>
          <w:sz w:val="22"/>
          <w:lang w:val="es-ES_tradnl" w:eastAsia="es-ES"/>
        </w:rPr>
        <w:t>:</w:t>
      </w:r>
    </w:p>
    <w:p w:rsidR="00622B4F" w:rsidRPr="00AC208B" w:rsidRDefault="00622B4F" w:rsidP="00622B4F">
      <w:pPr>
        <w:spacing w:before="240" w:after="240" w:line="360" w:lineRule="auto"/>
        <w:ind w:left="567" w:right="567"/>
        <w:jc w:val="both"/>
        <w:rPr>
          <w:rFonts w:ascii="Palatino Linotype" w:eastAsiaTheme="minorEastAsia" w:hAnsi="Palatino Linotype" w:cs="Arial"/>
          <w:bCs/>
          <w:i/>
          <w:sz w:val="22"/>
          <w:lang w:val="es-ES_tradnl" w:eastAsia="es-ES"/>
        </w:rPr>
      </w:pPr>
      <w:r w:rsidRPr="00AC208B">
        <w:rPr>
          <w:rFonts w:ascii="Palatino Linotype" w:eastAsiaTheme="minorEastAsia" w:hAnsi="Palatino Linotype" w:cs="Arial"/>
          <w:b/>
          <w:bCs/>
          <w:i/>
          <w:sz w:val="22"/>
          <w:lang w:val="es-ES_tradnl" w:eastAsia="es-ES"/>
        </w:rPr>
        <w:t>I. Toda la información en posesión de cualquier autoridad, entidad, órgano y organismos de los</w:t>
      </w:r>
      <w:r w:rsidRPr="00AC208B">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AC208B">
        <w:rPr>
          <w:rFonts w:ascii="Palatino Linotype" w:eastAsiaTheme="minorEastAsia" w:hAnsi="Palatino Linotype" w:cs="Arial"/>
          <w:b/>
          <w:bCs/>
          <w:i/>
          <w:sz w:val="22"/>
          <w:lang w:val="es-ES_tradnl" w:eastAsia="es-ES"/>
        </w:rPr>
        <w:t>municipales</w:t>
      </w:r>
      <w:r w:rsidRPr="00AC208B">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C208B">
        <w:rPr>
          <w:rFonts w:ascii="Palatino Linotype" w:eastAsiaTheme="minorEastAsia" w:hAnsi="Palatino Linotype" w:cs="Arial"/>
          <w:b/>
          <w:bCs/>
          <w:i/>
          <w:sz w:val="22"/>
          <w:lang w:val="es-ES_tradnl" w:eastAsia="es-ES"/>
        </w:rPr>
        <w:t>es pública</w:t>
      </w:r>
      <w:r w:rsidRPr="00AC208B">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AC208B">
        <w:rPr>
          <w:rFonts w:ascii="Palatino Linotype" w:eastAsiaTheme="minorEastAsia" w:hAnsi="Palatino Linotype" w:cs="Arial"/>
          <w:b/>
          <w:bCs/>
          <w:i/>
          <w:sz w:val="22"/>
          <w:lang w:val="es-ES_tradnl" w:eastAsia="es-ES"/>
        </w:rPr>
        <w:t xml:space="preserve">En </w:t>
      </w:r>
      <w:r w:rsidRPr="00AC208B">
        <w:rPr>
          <w:rFonts w:ascii="Palatino Linotype" w:eastAsiaTheme="minorEastAsia" w:hAnsi="Palatino Linotype" w:cs="Arial"/>
          <w:b/>
          <w:bCs/>
          <w:i/>
          <w:sz w:val="22"/>
          <w:lang w:val="es-ES_tradnl" w:eastAsia="es-ES"/>
        </w:rPr>
        <w:lastRenderedPageBreak/>
        <w:t>la interpretación de este derecho deberá prevalecer el principio de máxima publicidad</w:t>
      </w:r>
      <w:r w:rsidRPr="00AC208B">
        <w:rPr>
          <w:rFonts w:ascii="Palatino Linotype" w:eastAsiaTheme="minorEastAsia" w:hAnsi="Palatino Linotype" w:cs="Arial"/>
          <w:bCs/>
          <w:i/>
          <w:sz w:val="22"/>
          <w:lang w:val="es-ES_tradnl" w:eastAsia="es-ES"/>
        </w:rPr>
        <w:t xml:space="preserve">. </w:t>
      </w:r>
      <w:r w:rsidRPr="00AC208B">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AC208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622B4F" w:rsidRPr="00AC208B" w:rsidRDefault="00622B4F" w:rsidP="00622B4F">
      <w:pPr>
        <w:pStyle w:val="Prrafodelista"/>
        <w:tabs>
          <w:tab w:val="left" w:pos="567"/>
        </w:tabs>
        <w:spacing w:before="240" w:after="240" w:line="360" w:lineRule="auto"/>
        <w:ind w:left="567" w:right="567"/>
        <w:jc w:val="both"/>
        <w:rPr>
          <w:rFonts w:ascii="Palatino Linotype" w:hAnsi="Palatino Linotype" w:cs="Arial"/>
          <w:b/>
          <w:bCs/>
          <w:i/>
        </w:rPr>
      </w:pPr>
      <w:r w:rsidRPr="00AC208B">
        <w:rPr>
          <w:rFonts w:ascii="Palatino Linotype" w:hAnsi="Palatino Linotype" w:cs="Arial"/>
          <w:b/>
          <w:bCs/>
          <w:i/>
        </w:rPr>
        <w:t>(Énfasis añadido)</w:t>
      </w:r>
    </w:p>
    <w:p w:rsidR="00622B4F" w:rsidRPr="00AC208B"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C208B">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AC208B">
        <w:rPr>
          <w:rFonts w:ascii="Palatino Linotype" w:eastAsiaTheme="minorEastAsia" w:hAnsi="Palatino Linotype" w:cs="Arial"/>
          <w:i/>
          <w:lang w:val="es-ES_tradnl" w:eastAsia="es-ES"/>
        </w:rPr>
        <w:t>por los principios de simplicidad, rapidez gratuidad del procedimiento, auxilio y orientación a los particulares</w:t>
      </w:r>
      <w:r w:rsidRPr="00AC208B">
        <w:rPr>
          <w:rFonts w:ascii="Palatino Linotype" w:eastAsiaTheme="minorEastAsia" w:hAnsi="Palatino Linotype" w:cs="Arial"/>
          <w:lang w:val="es-ES_tradnl" w:eastAsia="es-ES"/>
        </w:rPr>
        <w:t>, contemplando el derecho de las personas con discapacidad y hablantes de lengua indígena.</w:t>
      </w:r>
    </w:p>
    <w:p w:rsidR="00622B4F" w:rsidRPr="00AC208B"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AC208B" w:rsidRDefault="00622B4F" w:rsidP="00622B4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C208B">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AC208B">
        <w:rPr>
          <w:rFonts w:ascii="Palatino Linotype" w:eastAsiaTheme="minorEastAsia" w:hAnsi="Palatino Linotype" w:cs="Arial"/>
          <w:i/>
          <w:lang w:val="es-ES_tradnl" w:eastAsia="es-ES"/>
        </w:rPr>
        <w:t>solicitudes de acceso a la información</w:t>
      </w:r>
      <w:r w:rsidRPr="00AC208B">
        <w:rPr>
          <w:rFonts w:ascii="Palatino Linotype" w:eastAsiaTheme="minorEastAsia" w:hAnsi="Palatino Linotype" w:cs="Arial"/>
          <w:lang w:val="es-ES_tradnl" w:eastAsia="es-ES"/>
        </w:rPr>
        <w:t>.</w:t>
      </w:r>
    </w:p>
    <w:p w:rsidR="00622B4F" w:rsidRPr="00AC208B" w:rsidRDefault="00622B4F" w:rsidP="00622B4F">
      <w:pPr>
        <w:spacing w:before="240" w:after="240" w:line="360" w:lineRule="auto"/>
        <w:ind w:right="49"/>
        <w:contextualSpacing/>
        <w:jc w:val="both"/>
        <w:rPr>
          <w:rFonts w:ascii="Palatino Linotype" w:eastAsiaTheme="minorEastAsia" w:hAnsi="Palatino Linotype"/>
          <w:lang w:val="es-ES_tradnl" w:eastAsia="es-ES"/>
        </w:rPr>
      </w:pPr>
    </w:p>
    <w:p w:rsidR="00622B4F" w:rsidRPr="00AC208B" w:rsidRDefault="00622B4F" w:rsidP="00622B4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208B">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26" w:name="_Toc80812777"/>
    </w:p>
    <w:p w:rsidR="00622B4F" w:rsidRPr="00AC208B" w:rsidRDefault="00622B4F" w:rsidP="00622B4F">
      <w:pPr>
        <w:spacing w:line="360" w:lineRule="auto"/>
        <w:ind w:right="49"/>
        <w:contextualSpacing/>
        <w:jc w:val="both"/>
        <w:rPr>
          <w:rFonts w:ascii="Palatino Linotype" w:eastAsiaTheme="minorEastAsia" w:hAnsi="Palatino Linotype"/>
          <w:lang w:val="es-ES_tradnl" w:eastAsia="es-ES"/>
        </w:rPr>
      </w:pPr>
    </w:p>
    <w:p w:rsidR="00622B4F" w:rsidRPr="00AC208B" w:rsidRDefault="00622B4F" w:rsidP="00622B4F">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AC208B">
        <w:rPr>
          <w:rFonts w:ascii="Palatino Linotype" w:hAnsi="Palatino Linotype"/>
          <w:b/>
          <w:color w:val="auto"/>
          <w:sz w:val="24"/>
          <w:szCs w:val="24"/>
        </w:rPr>
        <w:t>II. De la información solicitada</w:t>
      </w:r>
      <w:bookmarkEnd w:id="26"/>
      <w:bookmarkEnd w:id="27"/>
      <w:r w:rsidRPr="00AC208B">
        <w:rPr>
          <w:rFonts w:ascii="Palatino Linotype" w:hAnsi="Palatino Linotype"/>
          <w:b/>
          <w:color w:val="auto"/>
          <w:sz w:val="24"/>
          <w:szCs w:val="24"/>
        </w:rPr>
        <w:t xml:space="preserve"> y la respuesta del Sujeto Obligado</w:t>
      </w:r>
      <w:bookmarkEnd w:id="28"/>
    </w:p>
    <w:p w:rsidR="00691507" w:rsidRPr="00AC208B" w:rsidRDefault="00622B4F"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 xml:space="preserve">Derivado del Planteamiento de la Litis, se procede a analizar el contenido íntegro de las actuaciones que obran en el expediente electrónico y con ello, este </w:t>
      </w:r>
      <w:r w:rsidRPr="00AC208B">
        <w:rPr>
          <w:rFonts w:ascii="Palatino Linotype" w:eastAsia="Calibri" w:hAnsi="Palatino Linotype" w:cs="Arial"/>
          <w:sz w:val="24"/>
        </w:rPr>
        <w:lastRenderedPageBreak/>
        <w:t>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691507" w:rsidRPr="00AC208B" w:rsidRDefault="00691507" w:rsidP="00691507">
      <w:pPr>
        <w:pStyle w:val="Prrafodelista"/>
        <w:spacing w:before="240" w:after="240" w:line="360" w:lineRule="auto"/>
        <w:ind w:left="0"/>
        <w:jc w:val="both"/>
        <w:rPr>
          <w:rFonts w:ascii="Palatino Linotype" w:eastAsia="Calibri" w:hAnsi="Palatino Linotype" w:cs="Arial"/>
          <w:sz w:val="24"/>
        </w:rPr>
      </w:pPr>
    </w:p>
    <w:p w:rsidR="00691507" w:rsidRPr="00AC208B" w:rsidRDefault="00691507"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Al respecto, es necesario recordar que</w:t>
      </w:r>
      <w:r w:rsidR="00622B4F" w:rsidRPr="00AC208B">
        <w:rPr>
          <w:rFonts w:ascii="Palatino Linotype" w:eastAsia="Calibri" w:hAnsi="Palatino Linotype" w:cs="Arial"/>
          <w:sz w:val="24"/>
        </w:rPr>
        <w:t xml:space="preserve"> el particular solicitó </w:t>
      </w:r>
      <w:r w:rsidRPr="00AC208B">
        <w:rPr>
          <w:rFonts w:ascii="Palatino Linotype" w:hAnsi="Palatino Linotype" w:cs="Arial"/>
          <w:color w:val="000000" w:themeColor="text1"/>
          <w:sz w:val="24"/>
        </w:rPr>
        <w:t>el presupuesto del ejercicio fiscal 2022 y los índices de expedientes clasificados de 2021.</w:t>
      </w:r>
    </w:p>
    <w:p w:rsidR="00691507" w:rsidRPr="00AC208B" w:rsidRDefault="00691507" w:rsidP="00691507">
      <w:pPr>
        <w:pStyle w:val="Prrafodelista"/>
        <w:spacing w:before="240" w:after="240" w:line="360" w:lineRule="auto"/>
        <w:ind w:left="0"/>
        <w:jc w:val="both"/>
        <w:rPr>
          <w:rFonts w:ascii="Palatino Linotype" w:eastAsia="Calibri" w:hAnsi="Palatino Linotype" w:cs="Arial"/>
          <w:sz w:val="24"/>
        </w:rPr>
      </w:pPr>
    </w:p>
    <w:p w:rsidR="00691507" w:rsidRPr="00AC208B" w:rsidRDefault="00691507"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 xml:space="preserve">Ahora bien, primeramente es necesario señalar que la Constitución Política del Estado Libre y Soberano de México señala en sus artículos 125, fracción III tercer párrafo y 128, fracción IX, lo siguiente: </w:t>
      </w:r>
    </w:p>
    <w:p w:rsidR="00691507" w:rsidRPr="00AC208B" w:rsidRDefault="00691507" w:rsidP="00691507">
      <w:pPr>
        <w:pStyle w:val="Prrafodelista"/>
        <w:spacing w:before="240" w:after="240" w:line="360" w:lineRule="auto"/>
        <w:ind w:left="0"/>
        <w:jc w:val="both"/>
        <w:rPr>
          <w:rFonts w:ascii="Palatino Linotype" w:eastAsia="Calibri" w:hAnsi="Palatino Linotype" w:cs="Arial"/>
          <w:sz w:val="24"/>
        </w:rPr>
      </w:pPr>
    </w:p>
    <w:p w:rsidR="00691507" w:rsidRPr="00AC208B" w:rsidRDefault="00691507" w:rsidP="00691507">
      <w:pPr>
        <w:pStyle w:val="Prrafodelista"/>
        <w:spacing w:before="240" w:after="240" w:line="360" w:lineRule="auto"/>
        <w:ind w:left="851" w:right="822"/>
        <w:jc w:val="both"/>
        <w:rPr>
          <w:rFonts w:ascii="Palatino Linotype" w:eastAsia="Calibri" w:hAnsi="Palatino Linotype" w:cs="Arial"/>
          <w:i/>
          <w:sz w:val="24"/>
        </w:rPr>
      </w:pPr>
      <w:r w:rsidRPr="00AC208B">
        <w:rPr>
          <w:rFonts w:ascii="Palatino Linotype" w:eastAsia="Calibri" w:hAnsi="Palatino Linotype" w:cs="Arial"/>
          <w:i/>
          <w:sz w:val="24"/>
        </w:rPr>
        <w:t>“Artículo 125…</w:t>
      </w:r>
    </w:p>
    <w:p w:rsidR="00691507" w:rsidRPr="00AC208B" w:rsidRDefault="00691507" w:rsidP="00691507">
      <w:pPr>
        <w:pStyle w:val="Prrafodelista"/>
        <w:spacing w:before="240" w:after="240" w:line="360" w:lineRule="auto"/>
        <w:ind w:left="851" w:right="822"/>
        <w:jc w:val="both"/>
        <w:rPr>
          <w:rFonts w:ascii="Palatino Linotype" w:eastAsia="Calibri" w:hAnsi="Palatino Linotype" w:cs="Arial"/>
          <w:b/>
          <w:i/>
          <w:sz w:val="24"/>
        </w:rPr>
      </w:pPr>
      <w:r w:rsidRPr="00AC208B">
        <w:rPr>
          <w:rFonts w:ascii="Palatino Linotype" w:eastAsia="Calibri" w:hAnsi="Palatino Linotype" w:cs="Arial"/>
          <w:i/>
          <w:sz w:val="24"/>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AC208B">
        <w:rPr>
          <w:rFonts w:ascii="Palatino Linotype" w:eastAsia="Calibri" w:hAnsi="Palatino Linotype" w:cs="Arial"/>
          <w:b/>
          <w:i/>
          <w:sz w:val="24"/>
        </w:rPr>
        <w:t xml:space="preserve">El Presidente Municipal, promulgará y publicará el Presupuesto de Egresos Municipal, a más tardar el día 25 de febrero de cada año debiendo enviarlo al Órgano Superior de Fiscalización en la misma fecha. </w:t>
      </w:r>
    </w:p>
    <w:p w:rsidR="00691507" w:rsidRPr="00AC208B" w:rsidRDefault="00691507" w:rsidP="00691507">
      <w:pPr>
        <w:pStyle w:val="Prrafodelista"/>
        <w:spacing w:before="240" w:after="240" w:line="360" w:lineRule="auto"/>
        <w:ind w:left="851" w:right="822"/>
        <w:jc w:val="both"/>
        <w:rPr>
          <w:rFonts w:ascii="Palatino Linotype" w:eastAsia="Calibri" w:hAnsi="Palatino Linotype" w:cs="Arial"/>
          <w:i/>
          <w:sz w:val="24"/>
        </w:rPr>
      </w:pPr>
      <w:r w:rsidRPr="00AC208B">
        <w:rPr>
          <w:rFonts w:ascii="Palatino Linotype" w:eastAsia="Calibri" w:hAnsi="Palatino Linotype" w:cs="Arial"/>
          <w:i/>
          <w:sz w:val="24"/>
        </w:rPr>
        <w:t xml:space="preserve">… </w:t>
      </w:r>
    </w:p>
    <w:p w:rsidR="00691507" w:rsidRPr="00AC208B" w:rsidRDefault="00691507" w:rsidP="00691507">
      <w:pPr>
        <w:pStyle w:val="Prrafodelista"/>
        <w:spacing w:before="240" w:after="240" w:line="360" w:lineRule="auto"/>
        <w:ind w:left="851" w:right="822"/>
        <w:jc w:val="both"/>
        <w:rPr>
          <w:rFonts w:ascii="Palatino Linotype" w:eastAsia="Calibri" w:hAnsi="Palatino Linotype" w:cs="Arial"/>
          <w:i/>
          <w:sz w:val="24"/>
        </w:rPr>
      </w:pPr>
      <w:r w:rsidRPr="00AC208B">
        <w:rPr>
          <w:rFonts w:ascii="Palatino Linotype" w:eastAsia="Calibri" w:hAnsi="Palatino Linotype" w:cs="Arial"/>
          <w:i/>
          <w:sz w:val="24"/>
        </w:rPr>
        <w:t xml:space="preserve">Artículo 128.- Son atribuciones de los presidentes municipales: … </w:t>
      </w:r>
    </w:p>
    <w:p w:rsidR="00691507" w:rsidRPr="00AC208B" w:rsidRDefault="00691507" w:rsidP="00691507">
      <w:pPr>
        <w:pStyle w:val="Prrafodelista"/>
        <w:spacing w:before="240" w:after="240" w:line="360" w:lineRule="auto"/>
        <w:ind w:left="851" w:right="822"/>
        <w:jc w:val="both"/>
        <w:rPr>
          <w:rFonts w:ascii="Palatino Linotype" w:eastAsia="Calibri" w:hAnsi="Palatino Linotype" w:cs="Arial"/>
          <w:b/>
          <w:i/>
          <w:sz w:val="24"/>
        </w:rPr>
      </w:pPr>
      <w:r w:rsidRPr="00AC208B">
        <w:rPr>
          <w:rFonts w:ascii="Palatino Linotype" w:eastAsia="Calibri" w:hAnsi="Palatino Linotype" w:cs="Arial"/>
          <w:b/>
          <w:i/>
          <w:sz w:val="24"/>
        </w:rPr>
        <w:t>IX. Presentar al Ayuntamiento la propuesta de presupuesto de egresos para su respectiva discusión y dictamen</w:t>
      </w:r>
      <w:proofErr w:type="gramStart"/>
      <w:r w:rsidRPr="00AC208B">
        <w:rPr>
          <w:rFonts w:ascii="Palatino Linotype" w:eastAsia="Calibri" w:hAnsi="Palatino Linotype" w:cs="Arial"/>
          <w:b/>
          <w:i/>
          <w:sz w:val="24"/>
        </w:rPr>
        <w:t>; …”</w:t>
      </w:r>
      <w:proofErr w:type="gramEnd"/>
      <w:r w:rsidRPr="00AC208B">
        <w:rPr>
          <w:rFonts w:ascii="Palatino Linotype" w:eastAsia="Calibri" w:hAnsi="Palatino Linotype" w:cs="Arial"/>
          <w:b/>
          <w:i/>
          <w:sz w:val="24"/>
        </w:rPr>
        <w:t xml:space="preserve"> </w:t>
      </w:r>
    </w:p>
    <w:p w:rsidR="00691507" w:rsidRPr="00AC208B" w:rsidRDefault="00691507" w:rsidP="00691507">
      <w:pPr>
        <w:pStyle w:val="Prrafodelista"/>
        <w:spacing w:before="240" w:after="240" w:line="360" w:lineRule="auto"/>
        <w:ind w:left="851" w:right="822"/>
        <w:jc w:val="both"/>
        <w:rPr>
          <w:rFonts w:ascii="Palatino Linotype" w:eastAsia="Calibri" w:hAnsi="Palatino Linotype" w:cs="Arial"/>
          <w:i/>
          <w:sz w:val="24"/>
        </w:rPr>
      </w:pPr>
      <w:r w:rsidRPr="00AC208B">
        <w:rPr>
          <w:rFonts w:ascii="Palatino Linotype" w:eastAsia="Calibri" w:hAnsi="Palatino Linotype" w:cs="Arial"/>
          <w:i/>
          <w:sz w:val="24"/>
        </w:rPr>
        <w:lastRenderedPageBreak/>
        <w:t>(Énfasis añadido)</w:t>
      </w:r>
    </w:p>
    <w:p w:rsidR="00691507" w:rsidRPr="00AC208B" w:rsidRDefault="00691507" w:rsidP="00691507">
      <w:pPr>
        <w:pStyle w:val="Prrafodelista"/>
        <w:spacing w:before="240" w:after="240" w:line="360" w:lineRule="auto"/>
        <w:ind w:left="0"/>
        <w:jc w:val="both"/>
        <w:rPr>
          <w:rFonts w:ascii="Palatino Linotype" w:eastAsia="Calibri" w:hAnsi="Palatino Linotype" w:cs="Arial"/>
          <w:i/>
          <w:sz w:val="24"/>
        </w:rPr>
      </w:pPr>
    </w:p>
    <w:p w:rsidR="00691507" w:rsidRPr="00AC208B" w:rsidRDefault="00691507"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De los preceptos señalados, tenemos que el Presidente Municipal presentará al Ayuntamiento la propuesta de presupuesto de egresos para su discusión y dictamen, y posteriormente promulgar y publicar dicho documento a más tardar el día veinticinco de febrero de cada año debiendo enviarlo al Órgano Superior de Fiscalización en la misma fecha.</w:t>
      </w:r>
    </w:p>
    <w:p w:rsidR="00691507" w:rsidRPr="00AC208B" w:rsidRDefault="00691507" w:rsidP="00691507">
      <w:pPr>
        <w:pStyle w:val="Prrafodelista"/>
        <w:spacing w:before="240" w:after="240" w:line="360" w:lineRule="auto"/>
        <w:ind w:left="0"/>
        <w:jc w:val="both"/>
        <w:rPr>
          <w:rFonts w:ascii="Palatino Linotype" w:eastAsia="Calibri" w:hAnsi="Palatino Linotype" w:cs="Arial"/>
          <w:sz w:val="24"/>
        </w:rPr>
      </w:pPr>
    </w:p>
    <w:p w:rsidR="00691507" w:rsidRPr="00AC208B" w:rsidRDefault="00691507"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Correlativo a lo anteriormente expuesto, el artículo 285 del Código Financiero del Estado de México, establece que el Presupuesto de Egresos Municipal se conceptualiza como el instrumento jurídico, de política económica y de política de gasto, que aprueba el Cabildo, conforme a la propuesta que presenta el Presidente Municipal, en el cual se establece el ejercicio, control y evaluación del gasto público de las Dependencias y Organismos Municipales, a través de los programas derivados del Plan de Desarrollo Municipal, durante el ejercicio fiscal correspondiente.</w:t>
      </w:r>
    </w:p>
    <w:p w:rsidR="00691507" w:rsidRPr="00AC208B" w:rsidRDefault="00691507" w:rsidP="00691507">
      <w:pPr>
        <w:pStyle w:val="Prrafodelista"/>
        <w:spacing w:before="240" w:after="240" w:line="360" w:lineRule="auto"/>
        <w:ind w:left="0"/>
        <w:jc w:val="both"/>
        <w:rPr>
          <w:rFonts w:ascii="Palatino Linotype" w:eastAsia="Calibri" w:hAnsi="Palatino Linotype" w:cs="Arial"/>
          <w:sz w:val="24"/>
        </w:rPr>
      </w:pPr>
    </w:p>
    <w:p w:rsidR="00691507" w:rsidRPr="00AC208B" w:rsidRDefault="00691507"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En ese mismo orden de ideas, la Ley Orgánica Municipal del Estado de México establece en su artículo 31 en su fracción XIX que el presupuesto de egresos se debe aprobar anualmente a más tardar el 20 de diciembre,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691507" w:rsidRPr="00AC208B" w:rsidRDefault="00691507" w:rsidP="00691507">
      <w:pPr>
        <w:pStyle w:val="Prrafodelista"/>
        <w:spacing w:before="240" w:after="240" w:line="360" w:lineRule="auto"/>
        <w:ind w:left="0"/>
        <w:jc w:val="both"/>
        <w:rPr>
          <w:rFonts w:ascii="Palatino Linotype" w:eastAsia="Calibri" w:hAnsi="Palatino Linotype" w:cs="Arial"/>
          <w:sz w:val="24"/>
        </w:rPr>
      </w:pPr>
    </w:p>
    <w:p w:rsidR="002658B5" w:rsidRPr="00AC208B" w:rsidRDefault="00691507" w:rsidP="0006034E">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hAnsi="Palatino Linotype"/>
          <w:sz w:val="24"/>
        </w:rPr>
        <w:lastRenderedPageBreak/>
        <w:t>El Manual para la Planeación, Programación y Presupuesto</w:t>
      </w:r>
      <w:r w:rsidR="002658B5" w:rsidRPr="00AC208B">
        <w:rPr>
          <w:rFonts w:ascii="Palatino Linotype" w:hAnsi="Palatino Linotype"/>
          <w:sz w:val="24"/>
        </w:rPr>
        <w:t xml:space="preserve"> de Egresos </w:t>
      </w:r>
      <w:r w:rsidRPr="00AC208B">
        <w:rPr>
          <w:rFonts w:ascii="Palatino Linotype" w:hAnsi="Palatino Linotype"/>
          <w:sz w:val="24"/>
        </w:rPr>
        <w:t xml:space="preserve"> Municipal para el ejercicio fiscal 2022, publicado en el periódico</w:t>
      </w:r>
      <w:r w:rsidR="002658B5" w:rsidRPr="00AC208B">
        <w:rPr>
          <w:rFonts w:ascii="Palatino Linotype" w:hAnsi="Palatino Linotype"/>
          <w:sz w:val="24"/>
        </w:rPr>
        <w:t xml:space="preserve"> Oficial del Gobierno del Estado de México, en el Marco Conceptual, define al presupuesto como:</w:t>
      </w:r>
    </w:p>
    <w:p w:rsidR="002658B5" w:rsidRPr="00AC208B" w:rsidRDefault="002658B5" w:rsidP="002658B5">
      <w:pPr>
        <w:pStyle w:val="Prrafodelista"/>
        <w:spacing w:before="240" w:after="240" w:line="360" w:lineRule="auto"/>
        <w:ind w:left="851" w:right="822"/>
        <w:jc w:val="both"/>
        <w:rPr>
          <w:rFonts w:ascii="Palatino Linotype" w:hAnsi="Palatino Linotype"/>
          <w:i/>
        </w:rPr>
      </w:pPr>
    </w:p>
    <w:p w:rsidR="002658B5" w:rsidRPr="00AC208B" w:rsidRDefault="002658B5" w:rsidP="002658B5">
      <w:pPr>
        <w:pStyle w:val="Prrafodelista"/>
        <w:spacing w:before="240" w:after="240" w:line="360" w:lineRule="auto"/>
        <w:ind w:left="851" w:right="822"/>
        <w:jc w:val="both"/>
        <w:rPr>
          <w:rFonts w:ascii="Palatino Linotype" w:eastAsia="Calibri" w:hAnsi="Palatino Linotype" w:cs="Arial"/>
          <w:b/>
          <w:i/>
        </w:rPr>
      </w:pPr>
      <w:r w:rsidRPr="00AC208B">
        <w:rPr>
          <w:rFonts w:ascii="Palatino Linotype" w:eastAsia="Calibri" w:hAnsi="Palatino Linotype" w:cs="Arial"/>
          <w:b/>
          <w:i/>
        </w:rPr>
        <w:t xml:space="preserve">“Definición del Presupuesto </w:t>
      </w:r>
    </w:p>
    <w:p w:rsidR="002658B5" w:rsidRPr="00AC208B" w:rsidRDefault="002658B5" w:rsidP="002658B5">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i/>
        </w:rPr>
        <w:t xml:space="preserve">… </w:t>
      </w:r>
    </w:p>
    <w:p w:rsidR="002658B5" w:rsidRPr="00AC208B" w:rsidRDefault="002658B5" w:rsidP="002658B5">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i/>
        </w:rPr>
        <w:t xml:space="preserve">Para efecto de este manual, el presupuesto es la estimación financiera anticipada, generalmente anual, de los egresos e ingresos del gobierno, necesario para cumplir con los propósitos de un programa determinado. Asimismo, constituye el instrumento operativo básico para la ejecución de las decisiones de política económica y de planeación.” </w:t>
      </w:r>
    </w:p>
    <w:p w:rsidR="002658B5" w:rsidRPr="00AC208B" w:rsidRDefault="002658B5" w:rsidP="002658B5">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i/>
        </w:rPr>
        <w:t>(Énfasis Añadido)</w:t>
      </w:r>
    </w:p>
    <w:p w:rsidR="002658B5" w:rsidRPr="00AC208B" w:rsidRDefault="002658B5" w:rsidP="002658B5">
      <w:pPr>
        <w:pStyle w:val="Prrafodelista"/>
        <w:spacing w:before="240" w:after="240" w:line="360" w:lineRule="auto"/>
        <w:ind w:left="851" w:right="822"/>
        <w:jc w:val="both"/>
        <w:rPr>
          <w:rFonts w:ascii="Palatino Linotype" w:eastAsia="Calibri" w:hAnsi="Palatino Linotype" w:cs="Arial"/>
          <w:i/>
        </w:rPr>
      </w:pPr>
    </w:p>
    <w:p w:rsidR="00691507" w:rsidRPr="00AC208B" w:rsidRDefault="002658B5"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El referido Manual, de igual forma establece los lineamientos para la integración del Presupuesto de Egresos Municipal, en los cuales se puede observar los siguientes:</w:t>
      </w:r>
    </w:p>
    <w:p w:rsidR="002658B5" w:rsidRPr="00AC208B" w:rsidRDefault="002658B5" w:rsidP="002658B5">
      <w:pPr>
        <w:pStyle w:val="Prrafodelista"/>
        <w:spacing w:before="240" w:after="240" w:line="360" w:lineRule="auto"/>
        <w:ind w:left="0"/>
        <w:jc w:val="both"/>
        <w:rPr>
          <w:rFonts w:ascii="Palatino Linotype" w:eastAsia="Calibri" w:hAnsi="Palatino Linotype" w:cs="Arial"/>
          <w:sz w:val="24"/>
        </w:rPr>
      </w:pPr>
    </w:p>
    <w:p w:rsidR="002658B5" w:rsidRPr="00AC208B" w:rsidRDefault="00A75B1D" w:rsidP="00A75B1D">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i/>
        </w:rPr>
        <w:t>“</w:t>
      </w:r>
      <w:r w:rsidR="002658B5" w:rsidRPr="00AC208B">
        <w:rPr>
          <w:rFonts w:ascii="Palatino Linotype" w:eastAsia="Calibri" w:hAnsi="Palatino Linotype" w:cs="Arial"/>
          <w:i/>
        </w:rPr>
        <w:t>3.1. Lineamientos Generales.</w:t>
      </w: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i/>
        </w:rPr>
        <w:t xml:space="preserve">A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 </w:t>
      </w: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b/>
          <w:i/>
        </w:rPr>
        <w:t>1. La Tesorería y la UIPPE</w:t>
      </w:r>
      <w:r w:rsidRPr="00AC208B">
        <w:rPr>
          <w:rFonts w:ascii="Palatino Linotype" w:eastAsia="Calibri" w:hAnsi="Palatino Linotype" w:cs="Arial"/>
          <w:i/>
        </w:rPr>
        <w:t xml:space="preserve"> serán, en el ámbito de sus competencias, los </w:t>
      </w:r>
      <w:r w:rsidRPr="00AC208B">
        <w:rPr>
          <w:rFonts w:ascii="Palatino Linotype" w:eastAsia="Calibri" w:hAnsi="Palatino Linotype" w:cs="Arial"/>
          <w:b/>
          <w:i/>
        </w:rPr>
        <w:t xml:space="preserve">responsables de coordinar los trabajos de anteproyecto de las Dependencias </w:t>
      </w:r>
      <w:r w:rsidRPr="00AC208B">
        <w:rPr>
          <w:rFonts w:ascii="Palatino Linotype" w:eastAsia="Calibri" w:hAnsi="Palatino Linotype" w:cs="Arial"/>
          <w:b/>
          <w:i/>
        </w:rPr>
        <w:lastRenderedPageBreak/>
        <w:t>Generales, Auxiliares y Organismos Municipales</w:t>
      </w:r>
      <w:r w:rsidRPr="00AC208B">
        <w:rPr>
          <w:rFonts w:ascii="Palatino Linotype" w:eastAsia="Calibri" w:hAnsi="Palatino Linotype" w:cs="Arial"/>
          <w:i/>
        </w:rPr>
        <w:t xml:space="preserve">,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 </w:t>
      </w: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b/>
          <w:i/>
        </w:rPr>
        <w:t>2. Las Dependencias Generales, Auxiliares y Organismos Municipales o similares, deben integrar y presentar a la UIPPE y Tesorería sus respectivos anteproyectos de acuerdo con el presente manual</w:t>
      </w:r>
      <w:r w:rsidRPr="00AC208B">
        <w:rPr>
          <w:rFonts w:ascii="Palatino Linotype" w:eastAsia="Calibri" w:hAnsi="Palatino Linotype" w:cs="Arial"/>
          <w:i/>
        </w:rPr>
        <w:t xml:space="preserve">, identificando la congruencia con el PDM vigente y la asignación de los recursos públicos, que deberán ser presupuestados observando las disposiciones de disciplina financiera y un enfoque para resultados. En la integración del anteproyecto, proyecto y eventualmente el Presupuesto de Egresos Municipal, se deberán observar en lo conducente las leyes y reglamentaciones establecidas sobre la igualdad entre mujeres y hombres, la atención de niños, niñas y adolescentes, el desarrollo integral de los pueblos y comunidades indígenas, el desarrollo de los jóvenes, la </w:t>
      </w:r>
      <w:r w:rsidRPr="00AC208B">
        <w:rPr>
          <w:rFonts w:ascii="Palatino Linotype" w:eastAsia="Calibri" w:hAnsi="Palatino Linotype" w:cs="Arial"/>
          <w:b/>
          <w:i/>
        </w:rPr>
        <w:t>atención a grupos vulnerables y para la protección al ambiente, así como los catálogos que en este manual se anexan, a fin de cumplir con la presentación del Presupuesto de Egresos en su clasificación funcional, administrativa y económica homologada para todos los gobiernos municipales de la Entidad.</w:t>
      </w:r>
      <w:r w:rsidRPr="00AC208B">
        <w:rPr>
          <w:rFonts w:ascii="Palatino Linotype" w:eastAsia="Calibri" w:hAnsi="Palatino Linotype" w:cs="Arial"/>
          <w:i/>
        </w:rPr>
        <w:t xml:space="preserve"> </w:t>
      </w: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b/>
          <w:i/>
        </w:rPr>
        <w:t>…</w:t>
      </w:r>
    </w:p>
    <w:p w:rsidR="002658B5" w:rsidRPr="00AC208B" w:rsidRDefault="00A75B1D" w:rsidP="00A75B1D">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b/>
          <w:i/>
        </w:rPr>
        <w:t>4. Las Dependencias Generales, Auxiliares y Organismos</w:t>
      </w:r>
      <w:r w:rsidRPr="00AC208B">
        <w:rPr>
          <w:rFonts w:ascii="Palatino Linotype" w:eastAsia="Calibri" w:hAnsi="Palatino Linotype" w:cs="Arial"/>
          <w:i/>
        </w:rPr>
        <w:t xml:space="preserve"> formularán su Anteproyecto de Presupuesto de Egresos con estricto apego al marco jurídico y normativo aplicable, ajustándose al techo presupuestario que la Tesorería comunique, aplicando criterios de racionalidad para la programación de recursos a cada proyecto, de acuerdo al catálogo de la estructura programática municipal, </w:t>
      </w:r>
      <w:r w:rsidRPr="00AC208B">
        <w:rPr>
          <w:rFonts w:ascii="Palatino Linotype" w:eastAsia="Calibri" w:hAnsi="Palatino Linotype" w:cs="Arial"/>
          <w:i/>
        </w:rPr>
        <w:lastRenderedPageBreak/>
        <w:t xml:space="preserve">capítulo y partida del gasto, a fin de que les permita desarrollar y cumplir los procesos sustantivos y prioritarios comprometidos en el Programa Anual. </w:t>
      </w: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r w:rsidRPr="00AC208B">
        <w:rPr>
          <w:rFonts w:ascii="Palatino Linotype" w:eastAsia="Calibri" w:hAnsi="Palatino Linotype" w:cs="Arial"/>
          <w:b/>
          <w:i/>
        </w:rPr>
        <w:t>…”</w:t>
      </w:r>
    </w:p>
    <w:p w:rsidR="00A75B1D" w:rsidRPr="00AC208B" w:rsidRDefault="00A75B1D" w:rsidP="00A75B1D">
      <w:pPr>
        <w:pStyle w:val="Prrafodelista"/>
        <w:spacing w:before="240" w:after="240" w:line="360" w:lineRule="auto"/>
        <w:ind w:left="851" w:right="822"/>
        <w:jc w:val="both"/>
        <w:rPr>
          <w:rFonts w:ascii="Palatino Linotype" w:eastAsia="Calibri" w:hAnsi="Palatino Linotype" w:cs="Arial"/>
          <w:i/>
        </w:rPr>
      </w:pPr>
    </w:p>
    <w:p w:rsidR="00691507" w:rsidRPr="00AC208B" w:rsidRDefault="00A75B1D" w:rsidP="00691507">
      <w:pPr>
        <w:pStyle w:val="Prrafodelista"/>
        <w:numPr>
          <w:ilvl w:val="0"/>
          <w:numId w:val="1"/>
        </w:numPr>
        <w:spacing w:before="240" w:after="240" w:line="360" w:lineRule="auto"/>
        <w:ind w:left="0" w:firstLine="0"/>
        <w:jc w:val="both"/>
        <w:rPr>
          <w:rFonts w:ascii="Palatino Linotype" w:eastAsia="Calibri" w:hAnsi="Palatino Linotype" w:cs="Arial"/>
          <w:sz w:val="28"/>
        </w:rPr>
      </w:pPr>
      <w:r w:rsidRPr="00AC208B">
        <w:rPr>
          <w:rFonts w:ascii="Palatino Linotype" w:hAnsi="Palatino Linotype"/>
          <w:sz w:val="24"/>
        </w:rPr>
        <w:t xml:space="preserve">De los preceptos jurídicos que anteceden, es necesario advertir que, para la elaboración y aprobación del presupuesto, los Sujetos Obligados, deben cumplir con tres etapas, como son, el anteproyecto de presupuesto, el proyecto de presupuesto y el presupuesto definitivo para cada Ejercicio Fiscal; siendo este último, el que una vez publicada la Ley de Ingresos, Participaciones Federales y Programas Federales y Estatales, se podrá tener la estimación más precisa de los ingresos totales y el cual de acuerdo a lo señalado en </w:t>
      </w:r>
      <w:proofErr w:type="spellStart"/>
      <w:r w:rsidRPr="00AC208B">
        <w:rPr>
          <w:rFonts w:ascii="Palatino Linotype" w:hAnsi="Palatino Linotype"/>
          <w:sz w:val="24"/>
        </w:rPr>
        <w:t>el</w:t>
      </w:r>
      <w:proofErr w:type="spellEnd"/>
      <w:r w:rsidRPr="00AC208B">
        <w:rPr>
          <w:rFonts w:ascii="Palatino Linotype" w:hAnsi="Palatino Linotype"/>
          <w:sz w:val="24"/>
        </w:rPr>
        <w:t xml:space="preserve"> se deberá plasmar en los siguientes formatos:</w:t>
      </w:r>
    </w:p>
    <w:p w:rsidR="00A75B1D" w:rsidRPr="00AC208B" w:rsidRDefault="00A75B1D" w:rsidP="00A75B1D">
      <w:pPr>
        <w:pStyle w:val="Prrafodelista"/>
        <w:spacing w:before="240" w:after="240" w:line="360" w:lineRule="auto"/>
        <w:ind w:left="0"/>
        <w:jc w:val="both"/>
        <w:rPr>
          <w:rFonts w:ascii="Palatino Linotype" w:hAnsi="Palatino Linotype"/>
          <w:sz w:val="24"/>
        </w:rPr>
      </w:pPr>
    </w:p>
    <w:p w:rsidR="00A75B1D" w:rsidRPr="00AC208B" w:rsidRDefault="00B703A6"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w:t>
      </w:r>
      <w:r w:rsidR="00A75B1D" w:rsidRPr="00AC208B">
        <w:rPr>
          <w:rFonts w:ascii="Palatino Linotype" w:hAnsi="Palatino Linotype"/>
          <w:i/>
        </w:rPr>
        <w:t xml:space="preserve">3.4.1. Formatos que integran el Presupuesto de Egresos aprobado. </w:t>
      </w:r>
    </w:p>
    <w:p w:rsidR="00A75B1D" w:rsidRPr="00AC208B" w:rsidRDefault="00A75B1D" w:rsidP="00B703A6">
      <w:pPr>
        <w:pStyle w:val="Prrafodelista"/>
        <w:spacing w:before="240" w:after="240" w:line="360" w:lineRule="auto"/>
        <w:ind w:left="851" w:right="822"/>
        <w:jc w:val="both"/>
        <w:rPr>
          <w:rFonts w:ascii="Palatino Linotype" w:hAnsi="Palatino Linotype"/>
          <w:i/>
        </w:rPr>
      </w:pPr>
    </w:p>
    <w:p w:rsidR="00A75B1D"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 xml:space="preserve">Considerando como base el Proyecto de Presupuesto se realizará el Presupuesto de Egresos, con la información siguiente: </w:t>
      </w:r>
    </w:p>
    <w:p w:rsidR="00A75B1D" w:rsidRPr="00AC208B" w:rsidRDefault="00A75B1D" w:rsidP="00B703A6">
      <w:pPr>
        <w:pStyle w:val="Prrafodelista"/>
        <w:spacing w:before="240" w:after="240" w:line="360" w:lineRule="auto"/>
        <w:ind w:left="851" w:right="822"/>
        <w:jc w:val="both"/>
        <w:rPr>
          <w:rFonts w:ascii="Palatino Linotype" w:hAnsi="Palatino Linotype"/>
          <w:i/>
        </w:rPr>
      </w:pPr>
    </w:p>
    <w:p w:rsidR="00A75B1D"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 xml:space="preserve">Una vez publicada la Ley de Ingresos, las Participaciones Federales, así como los Programas Federales y Estatales, se podrá tener una estimación más precisa de los Ingresos Totales, lo cual se deberá plasmar en los formatos: </w:t>
      </w:r>
    </w:p>
    <w:p w:rsidR="00A75B1D" w:rsidRPr="00AC208B" w:rsidRDefault="00A75B1D" w:rsidP="00B703A6">
      <w:pPr>
        <w:pStyle w:val="Prrafodelista"/>
        <w:spacing w:before="240" w:after="240" w:line="360" w:lineRule="auto"/>
        <w:ind w:left="851" w:right="822"/>
        <w:jc w:val="both"/>
        <w:rPr>
          <w:rFonts w:ascii="Palatino Linotype" w:hAnsi="Palatino Linotype"/>
          <w:i/>
        </w:rPr>
      </w:pPr>
    </w:p>
    <w:p w:rsidR="00A75B1D"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b/>
          <w:i/>
        </w:rPr>
        <w:t>Presupuesto de Ingresos Detallado PbRM-03a</w:t>
      </w:r>
      <w:r w:rsidRPr="00AC208B">
        <w:rPr>
          <w:rFonts w:ascii="Palatino Linotype" w:hAnsi="Palatino Linotype"/>
          <w:i/>
        </w:rPr>
        <w:t xml:space="preserve">, registrando los ingresos estimados a nivel concepto y su distribución por mes. </w:t>
      </w:r>
    </w:p>
    <w:p w:rsidR="00A75B1D" w:rsidRPr="00AC208B" w:rsidRDefault="00A75B1D" w:rsidP="00B703A6">
      <w:pPr>
        <w:pStyle w:val="Prrafodelista"/>
        <w:spacing w:before="240" w:after="240" w:line="360" w:lineRule="auto"/>
        <w:ind w:left="851" w:right="822"/>
        <w:jc w:val="both"/>
        <w:rPr>
          <w:rFonts w:ascii="Palatino Linotype" w:hAnsi="Palatino Linotype"/>
          <w:i/>
        </w:rPr>
      </w:pPr>
    </w:p>
    <w:p w:rsidR="00A75B1D"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b/>
          <w:i/>
        </w:rPr>
        <w:t>Carátula de Presupuesto de Ingresos PbRM-03b</w:t>
      </w:r>
      <w:r w:rsidRPr="00AC208B">
        <w:rPr>
          <w:rFonts w:ascii="Palatino Linotype" w:hAnsi="Palatino Linotype"/>
          <w:i/>
        </w:rPr>
        <w:t xml:space="preserve">, registrando los importes por tipo de Ingreso. </w:t>
      </w:r>
    </w:p>
    <w:p w:rsidR="00A75B1D" w:rsidRPr="00AC208B" w:rsidRDefault="00A75B1D" w:rsidP="00B703A6">
      <w:pPr>
        <w:pStyle w:val="Prrafodelista"/>
        <w:spacing w:before="240" w:after="240" w:line="360" w:lineRule="auto"/>
        <w:ind w:left="851" w:right="822"/>
        <w:jc w:val="both"/>
        <w:rPr>
          <w:rFonts w:ascii="Palatino Linotype" w:hAnsi="Palatino Linotype"/>
          <w:i/>
        </w:rPr>
      </w:pPr>
    </w:p>
    <w:p w:rsidR="00B703A6"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 xml:space="preserve">Los formatos que conforman el </w:t>
      </w:r>
      <w:r w:rsidRPr="00AC208B">
        <w:rPr>
          <w:rFonts w:ascii="Palatino Linotype" w:hAnsi="Palatino Linotype"/>
          <w:b/>
          <w:i/>
        </w:rPr>
        <w:t>Programa Anual</w:t>
      </w:r>
      <w:r w:rsidRPr="00AC208B">
        <w:rPr>
          <w:rFonts w:ascii="Palatino Linotype" w:hAnsi="Palatino Linotype"/>
          <w:i/>
        </w:rPr>
        <w:t xml:space="preserve"> </w:t>
      </w:r>
      <w:r w:rsidRPr="00AC208B">
        <w:rPr>
          <w:rFonts w:ascii="Palatino Linotype" w:hAnsi="Palatino Linotype"/>
          <w:b/>
          <w:i/>
        </w:rPr>
        <w:t>(PbRM-01a, PbRM-01b, PbRM-01c, PbRM-01d, PbRM-01e)</w:t>
      </w:r>
      <w:r w:rsidRPr="00AC208B">
        <w:rPr>
          <w:rFonts w:ascii="Palatino Linotype" w:hAnsi="Palatino Linotype"/>
          <w:i/>
        </w:rPr>
        <w:t xml:space="preserve">, así como del </w:t>
      </w:r>
      <w:r w:rsidRPr="00AC208B">
        <w:rPr>
          <w:rFonts w:ascii="Palatino Linotype" w:hAnsi="Palatino Linotype"/>
          <w:b/>
          <w:i/>
        </w:rPr>
        <w:t>Presupuesto de Egresos Detallado PbRM-04a</w:t>
      </w:r>
      <w:r w:rsidRPr="00AC208B">
        <w:rPr>
          <w:rFonts w:ascii="Palatino Linotype" w:hAnsi="Palatino Linotype"/>
          <w:i/>
        </w:rPr>
        <w:t xml:space="preserve">, formato en el que se deberán registrar los proyectos por partida de gasto, los cuales tendrán que coincidir en estructura programática y gasto estimado por proyecto, con los formatos </w:t>
      </w:r>
      <w:proofErr w:type="spellStart"/>
      <w:r w:rsidRPr="00AC208B">
        <w:rPr>
          <w:rFonts w:ascii="Palatino Linotype" w:hAnsi="Palatino Linotype"/>
          <w:i/>
        </w:rPr>
        <w:t>PbRM</w:t>
      </w:r>
      <w:proofErr w:type="spellEnd"/>
      <w:r w:rsidRPr="00AC208B">
        <w:rPr>
          <w:rFonts w:ascii="Palatino Linotype" w:hAnsi="Palatino Linotype"/>
          <w:i/>
        </w:rPr>
        <w:t xml:space="preserve"> 01a y </w:t>
      </w:r>
      <w:proofErr w:type="spellStart"/>
      <w:r w:rsidRPr="00AC208B">
        <w:rPr>
          <w:rFonts w:ascii="Palatino Linotype" w:hAnsi="Palatino Linotype"/>
          <w:i/>
        </w:rPr>
        <w:t>PbRM</w:t>
      </w:r>
      <w:proofErr w:type="spellEnd"/>
      <w:r w:rsidRPr="00AC208B">
        <w:rPr>
          <w:rFonts w:ascii="Palatino Linotype" w:hAnsi="Palatino Linotype"/>
          <w:i/>
        </w:rPr>
        <w:t xml:space="preserve"> 01c. </w:t>
      </w:r>
    </w:p>
    <w:p w:rsidR="00B703A6" w:rsidRPr="00AC208B" w:rsidRDefault="00B703A6" w:rsidP="00B703A6">
      <w:pPr>
        <w:pStyle w:val="Prrafodelista"/>
        <w:spacing w:before="240" w:after="240" w:line="360" w:lineRule="auto"/>
        <w:ind w:left="851" w:right="822"/>
        <w:jc w:val="both"/>
        <w:rPr>
          <w:rFonts w:ascii="Palatino Linotype" w:hAnsi="Palatino Linotype"/>
          <w:i/>
        </w:rPr>
      </w:pPr>
    </w:p>
    <w:p w:rsidR="00B703A6"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 xml:space="preserve">Al contar con un presupuesto definido se deben corroborar las metas de actividad a realizar e identificar los tiempos de su ejecución, por lo que para este fin se requisita el formato </w:t>
      </w:r>
      <w:r w:rsidRPr="00AC208B">
        <w:rPr>
          <w:rFonts w:ascii="Palatino Linotype" w:hAnsi="Palatino Linotype"/>
          <w:b/>
          <w:i/>
        </w:rPr>
        <w:t>PbRM-02a Calendarización de metas de actividad</w:t>
      </w:r>
      <w:r w:rsidRPr="00AC208B">
        <w:rPr>
          <w:rFonts w:ascii="Palatino Linotype" w:hAnsi="Palatino Linotype"/>
          <w:i/>
        </w:rPr>
        <w:t xml:space="preserve">, el cual tiene por objeto identificar trimestralmente las cantidades de las metas programadas anuales por proyecto, mismas que fueron planteadas en el formato PbRM-01c. </w:t>
      </w:r>
    </w:p>
    <w:p w:rsidR="00B703A6" w:rsidRPr="00AC208B" w:rsidRDefault="00B703A6" w:rsidP="00B703A6">
      <w:pPr>
        <w:pStyle w:val="Prrafodelista"/>
        <w:spacing w:before="240" w:after="240" w:line="360" w:lineRule="auto"/>
        <w:ind w:left="851" w:right="822"/>
        <w:jc w:val="both"/>
        <w:rPr>
          <w:rFonts w:ascii="Palatino Linotype" w:hAnsi="Palatino Linotype"/>
          <w:i/>
        </w:rPr>
      </w:pPr>
    </w:p>
    <w:p w:rsidR="00B703A6"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 xml:space="preserve">En este formato se identifica el compromiso de fechas en que se realizarán las metas. Asimismo, será necesario revisar los indicadores en el formato </w:t>
      </w:r>
      <w:r w:rsidRPr="00AC208B">
        <w:rPr>
          <w:rFonts w:ascii="Palatino Linotype" w:hAnsi="Palatino Linotype"/>
          <w:b/>
          <w:i/>
        </w:rPr>
        <w:t>PbRM-01d Ficha técnica del diseño de indicadores estratégicos o de gestión</w:t>
      </w:r>
      <w:r w:rsidRPr="00AC208B">
        <w:rPr>
          <w:rFonts w:ascii="Palatino Linotype" w:hAnsi="Palatino Linotype"/>
          <w:i/>
        </w:rPr>
        <w:t xml:space="preserve">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rsidR="00B703A6" w:rsidRPr="00AC208B" w:rsidRDefault="00B703A6" w:rsidP="00B703A6">
      <w:pPr>
        <w:pStyle w:val="Prrafodelista"/>
        <w:spacing w:before="240" w:after="240" w:line="360" w:lineRule="auto"/>
        <w:ind w:left="851" w:right="822"/>
        <w:jc w:val="both"/>
        <w:rPr>
          <w:rFonts w:ascii="Palatino Linotype" w:hAnsi="Palatino Linotype"/>
          <w:i/>
        </w:rPr>
      </w:pPr>
    </w:p>
    <w:p w:rsidR="00B703A6"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 xml:space="preserve">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w:t>
      </w:r>
      <w:proofErr w:type="spellStart"/>
      <w:r w:rsidRPr="00AC208B">
        <w:rPr>
          <w:rFonts w:ascii="Palatino Linotype" w:hAnsi="Palatino Linotype"/>
          <w:i/>
        </w:rPr>
        <w:t>Presupuestación</w:t>
      </w:r>
      <w:proofErr w:type="spellEnd"/>
      <w:r w:rsidRPr="00AC208B">
        <w:rPr>
          <w:rFonts w:ascii="Palatino Linotype" w:hAnsi="Palatino Linotype"/>
          <w:i/>
        </w:rPr>
        <w:t xml:space="preserve"> y Evaluación para orientar la integración del Proyecto de Presupuesto de Egresos Municipal de dichos programas, utilizando para ello los formatos establecidos en este </w:t>
      </w:r>
      <w:r w:rsidRPr="00AC208B">
        <w:rPr>
          <w:rFonts w:ascii="Palatino Linotype" w:hAnsi="Palatino Linotype"/>
          <w:i/>
        </w:rPr>
        <w:lastRenderedPageBreak/>
        <w:t xml:space="preserve">manual, mismos que deberán guardar como ya se mencionó, la debida alineación y correspondencia con el Plan de Desarrollo Municipal. </w:t>
      </w:r>
    </w:p>
    <w:p w:rsidR="00B703A6" w:rsidRPr="00AC208B" w:rsidRDefault="00B703A6" w:rsidP="00B703A6">
      <w:pPr>
        <w:pStyle w:val="Prrafodelista"/>
        <w:spacing w:before="240" w:after="240" w:line="360" w:lineRule="auto"/>
        <w:ind w:left="851" w:right="822"/>
        <w:jc w:val="both"/>
        <w:rPr>
          <w:rFonts w:ascii="Palatino Linotype" w:hAnsi="Palatino Linotype"/>
          <w:i/>
        </w:rPr>
      </w:pPr>
    </w:p>
    <w:p w:rsidR="00B703A6"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 xml:space="preserve">En esta etapa del Presupuesto de Egresos el responsable de la UIPPE municipal o equivalente, con base en la información proporcionada por cada una de las Dependencias y Organismos, será quien estructure el Programa Anual del Municipio, para integrarlo al Presupuesto de Egresos Municipal para su presentación y aprobación en sesión de cabildo. </w:t>
      </w:r>
    </w:p>
    <w:p w:rsidR="00B703A6" w:rsidRPr="00AC208B" w:rsidRDefault="00B703A6" w:rsidP="00B703A6">
      <w:pPr>
        <w:pStyle w:val="Prrafodelista"/>
        <w:spacing w:before="240" w:after="240" w:line="360" w:lineRule="auto"/>
        <w:ind w:left="851" w:right="822"/>
        <w:jc w:val="both"/>
        <w:rPr>
          <w:rFonts w:ascii="Palatino Linotype" w:hAnsi="Palatino Linotype"/>
          <w:i/>
        </w:rPr>
      </w:pPr>
    </w:p>
    <w:p w:rsidR="00B703A6"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b/>
          <w:i/>
        </w:rPr>
        <w:t>Presupuesto de Egresos por Objeto del Gasto y Dependencia General PbRM-04b</w:t>
      </w:r>
      <w:r w:rsidRPr="00AC208B">
        <w:rPr>
          <w:rFonts w:ascii="Palatino Linotype" w:hAnsi="Palatino Linotype"/>
          <w:i/>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rsidR="00B703A6" w:rsidRPr="00AC208B" w:rsidRDefault="00B703A6" w:rsidP="00B703A6">
      <w:pPr>
        <w:pStyle w:val="Prrafodelista"/>
        <w:spacing w:before="240" w:after="240" w:line="360" w:lineRule="auto"/>
        <w:ind w:left="851" w:right="822"/>
        <w:jc w:val="both"/>
        <w:rPr>
          <w:rFonts w:ascii="Palatino Linotype" w:hAnsi="Palatino Linotype"/>
          <w:i/>
        </w:rPr>
      </w:pPr>
    </w:p>
    <w:p w:rsidR="00B703A6"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b/>
          <w:i/>
        </w:rPr>
        <w:t>Presupuesto de Egreso Global Calendarizado PbRM-04c</w:t>
      </w:r>
      <w:r w:rsidRPr="00AC208B">
        <w:rPr>
          <w:rFonts w:ascii="Palatino Linotype" w:hAnsi="Palatino Linotype"/>
          <w:i/>
        </w:rPr>
        <w:t xml:space="preserve">. Este formato deberá ser la suma de los formatos de </w:t>
      </w:r>
      <w:r w:rsidRPr="00AC208B">
        <w:rPr>
          <w:rFonts w:ascii="Palatino Linotype" w:hAnsi="Palatino Linotype"/>
          <w:b/>
          <w:i/>
        </w:rPr>
        <w:t>Presupuesto de Egresos por Objeto del Gasto y Dependencia General PbRM-04b</w:t>
      </w:r>
      <w:r w:rsidRPr="00AC208B">
        <w:rPr>
          <w:rFonts w:ascii="Palatino Linotype" w:hAnsi="Palatino Linotype"/>
          <w:i/>
        </w:rPr>
        <w:t xml:space="preserve">. </w:t>
      </w:r>
    </w:p>
    <w:p w:rsidR="00B703A6" w:rsidRPr="00AC208B" w:rsidRDefault="00B703A6" w:rsidP="00B703A6">
      <w:pPr>
        <w:pStyle w:val="Prrafodelista"/>
        <w:spacing w:before="240" w:after="240" w:line="360" w:lineRule="auto"/>
        <w:ind w:left="851" w:right="822"/>
        <w:jc w:val="both"/>
        <w:rPr>
          <w:rFonts w:ascii="Palatino Linotype" w:hAnsi="Palatino Linotype"/>
          <w:i/>
        </w:rPr>
      </w:pPr>
    </w:p>
    <w:p w:rsidR="00A75B1D"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b/>
          <w:i/>
        </w:rPr>
        <w:t>Carátula de Presupuesto de Egresos PbRM-04d.</w:t>
      </w:r>
      <w:r w:rsidRPr="00AC208B">
        <w:rPr>
          <w:rFonts w:ascii="Palatino Linotype" w:hAnsi="Palatino Linotype"/>
          <w:i/>
        </w:rPr>
        <w:t xml:space="preserve"> Este formato deberá registrar los importes del formato PbRM-04c.</w:t>
      </w:r>
      <w:r w:rsidR="00B703A6" w:rsidRPr="00AC208B">
        <w:rPr>
          <w:rFonts w:ascii="Palatino Linotype" w:hAnsi="Palatino Linotype"/>
          <w:i/>
        </w:rPr>
        <w:t>”</w:t>
      </w:r>
    </w:p>
    <w:p w:rsidR="00A75B1D" w:rsidRPr="00AC208B" w:rsidRDefault="00A75B1D" w:rsidP="00B703A6">
      <w:pPr>
        <w:pStyle w:val="Prrafodelista"/>
        <w:spacing w:before="240" w:after="240" w:line="360" w:lineRule="auto"/>
        <w:ind w:left="851" w:right="822"/>
        <w:jc w:val="both"/>
        <w:rPr>
          <w:rFonts w:ascii="Palatino Linotype" w:hAnsi="Palatino Linotype"/>
          <w:i/>
        </w:rPr>
      </w:pPr>
    </w:p>
    <w:p w:rsidR="00A75B1D" w:rsidRPr="00AC208B" w:rsidRDefault="00A75B1D" w:rsidP="00B703A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Lo anterior se refleja en la siguiente figura:</w:t>
      </w:r>
    </w:p>
    <w:p w:rsidR="00A75B1D" w:rsidRPr="00AC208B" w:rsidRDefault="00A75B1D" w:rsidP="00A75B1D">
      <w:pPr>
        <w:pStyle w:val="Prrafodelista"/>
        <w:spacing w:before="240" w:after="240" w:line="360" w:lineRule="auto"/>
        <w:ind w:left="0"/>
        <w:jc w:val="center"/>
        <w:rPr>
          <w:rFonts w:ascii="Palatino Linotype" w:eastAsia="Calibri" w:hAnsi="Palatino Linotype" w:cs="Arial"/>
          <w:sz w:val="28"/>
        </w:rPr>
      </w:pPr>
      <w:r w:rsidRPr="00AC208B">
        <w:rPr>
          <w:noProof/>
        </w:rPr>
        <w:lastRenderedPageBreak/>
        <w:drawing>
          <wp:inline distT="0" distB="0" distL="0" distR="0" wp14:anchorId="5137F55D" wp14:editId="3AB924E4">
            <wp:extent cx="4899804"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44" t="38039" r="32829" b="15077"/>
                    <a:stretch/>
                  </pic:blipFill>
                  <pic:spPr bwMode="auto">
                    <a:xfrm>
                      <a:off x="0" y="0"/>
                      <a:ext cx="4910097" cy="3665284"/>
                    </a:xfrm>
                    <a:prstGeom prst="rect">
                      <a:avLst/>
                    </a:prstGeom>
                    <a:ln>
                      <a:noFill/>
                    </a:ln>
                    <a:extLst>
                      <a:ext uri="{53640926-AAD7-44D8-BBD7-CCE9431645EC}">
                        <a14:shadowObscured xmlns:a14="http://schemas.microsoft.com/office/drawing/2010/main"/>
                      </a:ext>
                    </a:extLst>
                  </pic:spPr>
                </pic:pic>
              </a:graphicData>
            </a:graphic>
          </wp:inline>
        </w:drawing>
      </w:r>
    </w:p>
    <w:p w:rsidR="00A75B1D" w:rsidRPr="00AC208B" w:rsidRDefault="00A75B1D" w:rsidP="00A75B1D">
      <w:pPr>
        <w:pStyle w:val="Prrafodelista"/>
        <w:spacing w:before="240" w:after="240" w:line="360" w:lineRule="auto"/>
        <w:ind w:left="0"/>
        <w:jc w:val="center"/>
        <w:rPr>
          <w:rFonts w:ascii="Palatino Linotype" w:eastAsia="Calibri" w:hAnsi="Palatino Linotype" w:cs="Arial"/>
          <w:sz w:val="28"/>
        </w:rPr>
      </w:pPr>
    </w:p>
    <w:p w:rsidR="00691507" w:rsidRPr="00AC208B" w:rsidRDefault="00B703A6"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De lo anterior se concluye que con la entrega de las caratulas del presupuesto de egresos r</w:t>
      </w:r>
      <w:r w:rsidR="00832513" w:rsidRPr="00AC208B">
        <w:rPr>
          <w:rFonts w:ascii="Palatino Linotype" w:eastAsia="Calibri" w:hAnsi="Palatino Linotype" w:cs="Arial"/>
          <w:sz w:val="24"/>
        </w:rPr>
        <w:t xml:space="preserve">emitida en respuesta, </w:t>
      </w:r>
      <w:r w:rsidRPr="00AC208B">
        <w:rPr>
          <w:rFonts w:ascii="Palatino Linotype" w:eastAsia="Calibri" w:hAnsi="Palatino Linotype" w:cs="Arial"/>
          <w:sz w:val="24"/>
        </w:rPr>
        <w:t>se colma con la solicitud del particular</w:t>
      </w:r>
      <w:r w:rsidR="00832513" w:rsidRPr="00AC208B">
        <w:rPr>
          <w:rFonts w:ascii="Palatino Linotype" w:eastAsia="Calibri" w:hAnsi="Palatino Linotype" w:cs="Arial"/>
          <w:sz w:val="24"/>
        </w:rPr>
        <w:t>.</w:t>
      </w:r>
    </w:p>
    <w:p w:rsidR="00B703A6" w:rsidRPr="00AC208B" w:rsidRDefault="00B703A6" w:rsidP="00B703A6">
      <w:pPr>
        <w:pStyle w:val="Prrafodelista"/>
        <w:spacing w:before="240" w:after="240" w:line="360" w:lineRule="auto"/>
        <w:ind w:left="0"/>
        <w:jc w:val="both"/>
        <w:rPr>
          <w:rFonts w:ascii="Palatino Linotype" w:eastAsia="Calibri" w:hAnsi="Palatino Linotype" w:cs="Arial"/>
          <w:sz w:val="24"/>
        </w:rPr>
      </w:pPr>
    </w:p>
    <w:p w:rsidR="00A21C56" w:rsidRPr="00AC208B" w:rsidRDefault="00B703A6"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 xml:space="preserve">Por otro lado, el particular solicitó los índices </w:t>
      </w:r>
      <w:r w:rsidR="008D6D50" w:rsidRPr="00AC208B">
        <w:rPr>
          <w:rFonts w:ascii="Palatino Linotype" w:eastAsia="Calibri" w:hAnsi="Palatino Linotype" w:cs="Arial"/>
          <w:sz w:val="24"/>
        </w:rPr>
        <w:t>de expedientes  clasificados de dos mil veintiuno,</w:t>
      </w:r>
      <w:r w:rsidR="00A21C56" w:rsidRPr="00AC208B">
        <w:rPr>
          <w:rFonts w:ascii="Palatino Linotype" w:eastAsia="Calibri" w:hAnsi="Palatino Linotype" w:cs="Arial"/>
          <w:sz w:val="24"/>
        </w:rPr>
        <w:t xml:space="preserve"> al respecto, la ley de Transparencia y Acceso a la información Pública del Estado de México y Municipios señala en su fracción XIX, artículo 92:</w:t>
      </w:r>
    </w:p>
    <w:p w:rsidR="00A21C56" w:rsidRPr="00AC208B" w:rsidRDefault="00A21C56" w:rsidP="00A21C56">
      <w:pPr>
        <w:pStyle w:val="Prrafodelista"/>
        <w:spacing w:before="240" w:after="240" w:line="360" w:lineRule="auto"/>
        <w:ind w:left="0"/>
        <w:jc w:val="both"/>
        <w:rPr>
          <w:rFonts w:ascii="Palatino Linotype" w:eastAsia="Calibri" w:hAnsi="Palatino Linotype" w:cs="Arial"/>
          <w:sz w:val="24"/>
        </w:rPr>
      </w:pPr>
    </w:p>
    <w:p w:rsidR="00A21C56" w:rsidRPr="00AC208B" w:rsidRDefault="00A21C56" w:rsidP="00A21C5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21C56" w:rsidRPr="00AC208B" w:rsidRDefault="00A21C56" w:rsidP="00A21C5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lastRenderedPageBreak/>
        <w:t>…</w:t>
      </w:r>
    </w:p>
    <w:p w:rsidR="00A21C56" w:rsidRPr="00AC208B" w:rsidRDefault="00A21C56" w:rsidP="00A21C5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XIX. Índices semestrales en formatos abiertos de los expedientes clasificados como reservados que cada sujeto obligado posee y maneja;</w:t>
      </w:r>
    </w:p>
    <w:p w:rsidR="00A21C56" w:rsidRPr="00AC208B" w:rsidRDefault="00A21C56" w:rsidP="00A21C5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w:t>
      </w:r>
    </w:p>
    <w:p w:rsidR="00A21C56" w:rsidRPr="00AC208B" w:rsidRDefault="00A21C56" w:rsidP="00A21C56">
      <w:pPr>
        <w:pStyle w:val="Prrafodelista"/>
        <w:spacing w:before="240" w:after="240" w:line="360" w:lineRule="auto"/>
        <w:ind w:left="0"/>
        <w:jc w:val="both"/>
        <w:rPr>
          <w:rFonts w:ascii="Palatino Linotype" w:eastAsia="Calibri" w:hAnsi="Palatino Linotype" w:cs="Arial"/>
          <w:sz w:val="24"/>
        </w:rPr>
      </w:pPr>
    </w:p>
    <w:p w:rsidR="00A21C56" w:rsidRPr="00AC208B" w:rsidRDefault="008D6D50"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 xml:space="preserve"> </w:t>
      </w:r>
      <w:r w:rsidR="00A21C56" w:rsidRPr="00AC208B">
        <w:rPr>
          <w:rFonts w:ascii="Palatino Linotype" w:eastAsia="Calibri" w:hAnsi="Palatino Linotype" w:cs="Arial"/>
          <w:sz w:val="24"/>
        </w:rPr>
        <w:t>Asimismo, el artículo 126 de la Ley de Transparencia citada en el párrafo anterior, señala:</w:t>
      </w:r>
    </w:p>
    <w:p w:rsidR="00A21C56" w:rsidRPr="00AC208B" w:rsidRDefault="00A21C56" w:rsidP="00A21C56">
      <w:pPr>
        <w:pStyle w:val="Prrafodelista"/>
        <w:spacing w:before="240" w:after="240" w:line="360" w:lineRule="auto"/>
        <w:ind w:left="0"/>
        <w:jc w:val="both"/>
        <w:rPr>
          <w:rFonts w:ascii="Palatino Linotype" w:eastAsia="Calibri" w:hAnsi="Palatino Linotype" w:cs="Arial"/>
          <w:sz w:val="24"/>
        </w:rPr>
      </w:pPr>
    </w:p>
    <w:p w:rsidR="00A21C56" w:rsidRPr="00AC208B" w:rsidRDefault="00A21C56" w:rsidP="00A21C56">
      <w:pPr>
        <w:pStyle w:val="Prrafodelista"/>
        <w:spacing w:before="240" w:after="240" w:line="360" w:lineRule="auto"/>
        <w:ind w:left="851" w:right="822"/>
        <w:jc w:val="both"/>
        <w:rPr>
          <w:rFonts w:ascii="Palatino Linotype" w:hAnsi="Palatino Linotype"/>
          <w:i/>
        </w:rPr>
      </w:pPr>
      <w:r w:rsidRPr="00AC208B">
        <w:rPr>
          <w:rFonts w:ascii="Palatino Linotype" w:hAnsi="Palatino Linotype"/>
          <w:i/>
        </w:rPr>
        <w:t>Artículo 126. Cada área del sujeto obligado elaborará un índice de los expedientes clasificados como reservados, por área responsable de la información y tema. 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rsidR="00A21C56" w:rsidRPr="00AC208B" w:rsidRDefault="00A21C56" w:rsidP="00A21C56">
      <w:pPr>
        <w:pStyle w:val="Prrafodelista"/>
        <w:spacing w:before="240" w:after="240" w:line="360" w:lineRule="auto"/>
        <w:ind w:left="0"/>
        <w:jc w:val="both"/>
        <w:rPr>
          <w:rFonts w:ascii="Palatino Linotype" w:eastAsia="Calibri" w:hAnsi="Palatino Linotype" w:cs="Arial"/>
          <w:sz w:val="24"/>
        </w:rPr>
      </w:pPr>
    </w:p>
    <w:p w:rsidR="00691507" w:rsidRPr="00AC208B" w:rsidRDefault="00A21C56"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En este caso,</w:t>
      </w:r>
      <w:r w:rsidR="008D6D50" w:rsidRPr="00AC208B">
        <w:rPr>
          <w:rFonts w:ascii="Palatino Linotype" w:eastAsia="Calibri" w:hAnsi="Palatino Linotype" w:cs="Arial"/>
          <w:sz w:val="24"/>
        </w:rPr>
        <w:t xml:space="preserve"> el Sujeto Obligado no </w:t>
      </w:r>
      <w:r w:rsidRPr="00AC208B">
        <w:rPr>
          <w:rFonts w:ascii="Palatino Linotype" w:eastAsia="Calibri" w:hAnsi="Palatino Linotype" w:cs="Arial"/>
          <w:sz w:val="24"/>
        </w:rPr>
        <w:t>remitió la información solicitada en respuesta</w:t>
      </w:r>
      <w:r w:rsidR="008D6D50" w:rsidRPr="00AC208B">
        <w:rPr>
          <w:rFonts w:ascii="Palatino Linotype" w:eastAsia="Calibri" w:hAnsi="Palatino Linotype" w:cs="Arial"/>
          <w:sz w:val="24"/>
        </w:rPr>
        <w:t xml:space="preserve">; sin embargo, mediante informe justificado </w:t>
      </w:r>
      <w:r w:rsidRPr="00AC208B">
        <w:rPr>
          <w:rFonts w:ascii="Palatino Linotype" w:eastAsia="Calibri" w:hAnsi="Palatino Linotype" w:cs="Arial"/>
          <w:sz w:val="24"/>
        </w:rPr>
        <w:t>entregó</w:t>
      </w:r>
      <w:r w:rsidR="008D6D50" w:rsidRPr="00AC208B">
        <w:rPr>
          <w:rFonts w:ascii="Palatino Linotype" w:eastAsia="Calibri" w:hAnsi="Palatino Linotype" w:cs="Arial"/>
          <w:sz w:val="24"/>
        </w:rPr>
        <w:t xml:space="preserve"> las siguientes dos ligas electr</w:t>
      </w:r>
      <w:r w:rsidRPr="00AC208B">
        <w:rPr>
          <w:rFonts w:ascii="Palatino Linotype" w:eastAsia="Calibri" w:hAnsi="Palatino Linotype" w:cs="Arial"/>
          <w:sz w:val="24"/>
        </w:rPr>
        <w:t>ónicas, que remiten a la siguiente información:</w:t>
      </w:r>
    </w:p>
    <w:p w:rsidR="008D6D50" w:rsidRPr="00AC208B" w:rsidRDefault="008D6D50" w:rsidP="008D6D50">
      <w:pPr>
        <w:pStyle w:val="Prrafodelista"/>
        <w:spacing w:before="240" w:after="240" w:line="360" w:lineRule="auto"/>
        <w:ind w:left="0"/>
        <w:jc w:val="both"/>
        <w:rPr>
          <w:rFonts w:ascii="Palatino Linotype" w:eastAsia="Calibri" w:hAnsi="Palatino Linotype" w:cs="Arial"/>
          <w:sz w:val="24"/>
        </w:rPr>
      </w:pPr>
    </w:p>
    <w:p w:rsidR="008D6D50" w:rsidRPr="00AC208B" w:rsidRDefault="00273891" w:rsidP="008D6D50">
      <w:pPr>
        <w:pStyle w:val="Prrafodelista"/>
        <w:numPr>
          <w:ilvl w:val="0"/>
          <w:numId w:val="12"/>
        </w:numPr>
        <w:spacing w:before="240" w:after="240" w:line="360" w:lineRule="auto"/>
        <w:jc w:val="both"/>
        <w:rPr>
          <w:rFonts w:ascii="Palatino Linotype" w:eastAsia="Calibri" w:hAnsi="Palatino Linotype" w:cs="Arial"/>
          <w:sz w:val="24"/>
        </w:rPr>
      </w:pPr>
      <w:hyperlink r:id="rId13" w:history="1">
        <w:r w:rsidR="008D6D50" w:rsidRPr="00AC208B">
          <w:rPr>
            <w:rStyle w:val="Hipervnculo"/>
            <w:rFonts w:ascii="Palatino Linotype" w:eastAsiaTheme="majorEastAsia" w:hAnsi="Palatino Linotype" w:cs="Arial"/>
            <w:b/>
            <w:bCs/>
            <w:color w:val="auto"/>
            <w:sz w:val="24"/>
          </w:rPr>
          <w:t>info_Art92_19.xlsx</w:t>
        </w:r>
      </w:hyperlink>
      <w:r w:rsidR="008D6D50" w:rsidRPr="00AC208B">
        <w:rPr>
          <w:rFonts w:ascii="Palatino Linotype" w:hAnsi="Palatino Linotype"/>
        </w:rPr>
        <w:t xml:space="preserve"> :</w:t>
      </w:r>
    </w:p>
    <w:p w:rsidR="008D6D50" w:rsidRPr="00AC208B" w:rsidRDefault="008D6D50" w:rsidP="008D6D50">
      <w:pPr>
        <w:pStyle w:val="Prrafodelista"/>
        <w:spacing w:before="240" w:after="240" w:line="360" w:lineRule="auto"/>
        <w:jc w:val="both"/>
        <w:rPr>
          <w:rFonts w:ascii="Palatino Linotype" w:hAnsi="Palatino Linotype"/>
        </w:rPr>
      </w:pPr>
    </w:p>
    <w:p w:rsidR="008D6D50" w:rsidRPr="00AC208B" w:rsidRDefault="008D6D50" w:rsidP="008D6D50">
      <w:pPr>
        <w:pStyle w:val="Prrafodelista"/>
        <w:spacing w:before="240" w:after="240" w:line="360" w:lineRule="auto"/>
        <w:jc w:val="both"/>
        <w:rPr>
          <w:rFonts w:ascii="Palatino Linotype" w:eastAsia="Calibri" w:hAnsi="Palatino Linotype" w:cs="Arial"/>
          <w:sz w:val="24"/>
        </w:rPr>
      </w:pPr>
      <w:r w:rsidRPr="00AC208B">
        <w:rPr>
          <w:noProof/>
        </w:rPr>
        <w:lastRenderedPageBreak/>
        <w:drawing>
          <wp:inline distT="0" distB="0" distL="0" distR="0" wp14:anchorId="12D82440" wp14:editId="53FA3BE3">
            <wp:extent cx="4695825" cy="1209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538" r="18233" b="59013"/>
                    <a:stretch/>
                  </pic:blipFill>
                  <pic:spPr bwMode="auto">
                    <a:xfrm>
                      <a:off x="0" y="0"/>
                      <a:ext cx="4695825" cy="1209675"/>
                    </a:xfrm>
                    <a:prstGeom prst="rect">
                      <a:avLst/>
                    </a:prstGeom>
                    <a:ln>
                      <a:noFill/>
                    </a:ln>
                    <a:extLst>
                      <a:ext uri="{53640926-AAD7-44D8-BBD7-CCE9431645EC}">
                        <a14:shadowObscured xmlns:a14="http://schemas.microsoft.com/office/drawing/2010/main"/>
                      </a:ext>
                    </a:extLst>
                  </pic:spPr>
                </pic:pic>
              </a:graphicData>
            </a:graphic>
          </wp:inline>
        </w:drawing>
      </w:r>
    </w:p>
    <w:p w:rsidR="008D6D50" w:rsidRPr="00AC208B" w:rsidRDefault="008D6D50" w:rsidP="008D6D50">
      <w:pPr>
        <w:pStyle w:val="Prrafodelista"/>
        <w:spacing w:before="240" w:after="240" w:line="360" w:lineRule="auto"/>
        <w:jc w:val="both"/>
        <w:rPr>
          <w:rFonts w:ascii="Palatino Linotype" w:eastAsia="Calibri" w:hAnsi="Palatino Linotype" w:cs="Arial"/>
          <w:sz w:val="24"/>
        </w:rPr>
      </w:pPr>
    </w:p>
    <w:p w:rsidR="008D6D50" w:rsidRPr="00AC208B" w:rsidRDefault="00273891" w:rsidP="008D6D50">
      <w:pPr>
        <w:pStyle w:val="Prrafodelista"/>
        <w:numPr>
          <w:ilvl w:val="0"/>
          <w:numId w:val="12"/>
        </w:numPr>
        <w:spacing w:before="240" w:after="240" w:line="360" w:lineRule="auto"/>
        <w:jc w:val="both"/>
        <w:rPr>
          <w:rFonts w:ascii="Palatino Linotype" w:eastAsia="Calibri" w:hAnsi="Palatino Linotype" w:cs="Arial"/>
          <w:sz w:val="24"/>
        </w:rPr>
      </w:pPr>
      <w:hyperlink r:id="rId15" w:history="1">
        <w:r w:rsidR="008D6D50" w:rsidRPr="00AC208B">
          <w:rPr>
            <w:rStyle w:val="Hipervnculo"/>
            <w:rFonts w:ascii="Palatino Linotype" w:hAnsi="Palatino Linotype" w:cs="Arial"/>
            <w:i/>
            <w:szCs w:val="27"/>
          </w:rPr>
          <w:t>https://www.ipomex.org.mx/ipo3/lgt/indice/NICOLASROMERO/art_92_xix.web</w:t>
        </w:r>
      </w:hyperlink>
      <w:r w:rsidR="008D6D50" w:rsidRPr="00AC208B">
        <w:rPr>
          <w:rFonts w:ascii="Palatino Linotype" w:hAnsi="Palatino Linotype" w:cs="Arial"/>
          <w:i/>
          <w:color w:val="333333"/>
          <w:szCs w:val="27"/>
        </w:rPr>
        <w:t xml:space="preserve">: </w:t>
      </w:r>
    </w:p>
    <w:p w:rsidR="008D6D50" w:rsidRPr="00AC208B" w:rsidRDefault="008D6D50" w:rsidP="008D6D50">
      <w:pPr>
        <w:pStyle w:val="Prrafodelista"/>
        <w:spacing w:before="240" w:after="240" w:line="360" w:lineRule="auto"/>
        <w:jc w:val="both"/>
        <w:rPr>
          <w:rFonts w:ascii="Palatino Linotype" w:eastAsia="Calibri" w:hAnsi="Palatino Linotype" w:cs="Arial"/>
          <w:sz w:val="24"/>
        </w:rPr>
      </w:pPr>
    </w:p>
    <w:p w:rsidR="008D6D50" w:rsidRPr="00AC208B" w:rsidRDefault="008D6D50" w:rsidP="008D6D50">
      <w:pPr>
        <w:pStyle w:val="Prrafodelista"/>
        <w:spacing w:before="240" w:after="240" w:line="360" w:lineRule="auto"/>
        <w:ind w:left="0"/>
        <w:jc w:val="center"/>
        <w:rPr>
          <w:rFonts w:ascii="Palatino Linotype" w:eastAsia="Calibri" w:hAnsi="Palatino Linotype" w:cs="Arial"/>
          <w:sz w:val="24"/>
        </w:rPr>
      </w:pPr>
      <w:r w:rsidRPr="00AC208B">
        <w:rPr>
          <w:noProof/>
        </w:rPr>
        <w:drawing>
          <wp:inline distT="0" distB="0" distL="0" distR="0" wp14:anchorId="654A5448" wp14:editId="157ABB1B">
            <wp:extent cx="4040505" cy="1924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66" t="25359" r="27356" b="36308"/>
                    <a:stretch/>
                  </pic:blipFill>
                  <pic:spPr bwMode="auto">
                    <a:xfrm>
                      <a:off x="0" y="0"/>
                      <a:ext cx="4043600" cy="1925524"/>
                    </a:xfrm>
                    <a:prstGeom prst="rect">
                      <a:avLst/>
                    </a:prstGeom>
                    <a:ln>
                      <a:noFill/>
                    </a:ln>
                    <a:extLst>
                      <a:ext uri="{53640926-AAD7-44D8-BBD7-CCE9431645EC}">
                        <a14:shadowObscured xmlns:a14="http://schemas.microsoft.com/office/drawing/2010/main"/>
                      </a:ext>
                    </a:extLst>
                  </pic:spPr>
                </pic:pic>
              </a:graphicData>
            </a:graphic>
          </wp:inline>
        </w:drawing>
      </w:r>
    </w:p>
    <w:p w:rsidR="00A21C56" w:rsidRPr="00AC208B" w:rsidRDefault="00A21C56" w:rsidP="008D6D50">
      <w:pPr>
        <w:pStyle w:val="Prrafodelista"/>
        <w:spacing w:before="240" w:after="240" w:line="360" w:lineRule="auto"/>
        <w:ind w:left="0"/>
        <w:jc w:val="center"/>
        <w:rPr>
          <w:rFonts w:ascii="Palatino Linotype" w:eastAsia="Calibri" w:hAnsi="Palatino Linotype" w:cs="Arial"/>
          <w:sz w:val="24"/>
        </w:rPr>
      </w:pPr>
      <w:r w:rsidRPr="00AC208B">
        <w:rPr>
          <w:noProof/>
        </w:rPr>
        <w:lastRenderedPageBreak/>
        <w:drawing>
          <wp:inline distT="0" distB="0" distL="0" distR="0" wp14:anchorId="31F8959E" wp14:editId="20FD74D9">
            <wp:extent cx="4057650" cy="582900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366" t="10910" r="39960" b="5642"/>
                    <a:stretch/>
                  </pic:blipFill>
                  <pic:spPr bwMode="auto">
                    <a:xfrm>
                      <a:off x="0" y="0"/>
                      <a:ext cx="4065482" cy="5840261"/>
                    </a:xfrm>
                    <a:prstGeom prst="rect">
                      <a:avLst/>
                    </a:prstGeom>
                    <a:ln>
                      <a:noFill/>
                    </a:ln>
                    <a:extLst>
                      <a:ext uri="{53640926-AAD7-44D8-BBD7-CCE9431645EC}">
                        <a14:shadowObscured xmlns:a14="http://schemas.microsoft.com/office/drawing/2010/main"/>
                      </a:ext>
                    </a:extLst>
                  </pic:spPr>
                </pic:pic>
              </a:graphicData>
            </a:graphic>
          </wp:inline>
        </w:drawing>
      </w:r>
    </w:p>
    <w:p w:rsidR="008D6D50" w:rsidRPr="00AC208B" w:rsidRDefault="008D6D50" w:rsidP="00A21C56">
      <w:pPr>
        <w:pStyle w:val="Prrafodelista"/>
        <w:spacing w:before="240" w:after="240" w:line="360" w:lineRule="auto"/>
        <w:ind w:left="0"/>
        <w:rPr>
          <w:rFonts w:ascii="Palatino Linotype" w:eastAsia="Calibri" w:hAnsi="Palatino Linotype" w:cs="Arial"/>
          <w:sz w:val="24"/>
        </w:rPr>
      </w:pPr>
    </w:p>
    <w:p w:rsidR="00691507" w:rsidRPr="00AC208B" w:rsidRDefault="00A21C56" w:rsidP="00691507">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C208B">
        <w:rPr>
          <w:rFonts w:ascii="Palatino Linotype" w:eastAsia="Calibri" w:hAnsi="Palatino Linotype" w:cs="Arial"/>
          <w:sz w:val="24"/>
        </w:rPr>
        <w:t xml:space="preserve">Derivado de lo anteriormente señalado, podemos concluir que con las ligas electrónicas remitidas en respuesta, el Sujeto Obligado colmo con la solicitud del particular sobre los índices de la información clasificada del año dos mil veintiuno. </w:t>
      </w:r>
    </w:p>
    <w:p w:rsidR="00987183" w:rsidRPr="00AC208B" w:rsidRDefault="00987183" w:rsidP="00691507">
      <w:pPr>
        <w:pStyle w:val="Prrafodelista"/>
        <w:spacing w:before="240" w:after="240" w:line="360" w:lineRule="auto"/>
        <w:ind w:left="0"/>
        <w:jc w:val="both"/>
        <w:rPr>
          <w:rFonts w:ascii="Palatino Linotype" w:eastAsia="Calibri" w:hAnsi="Palatino Linotype" w:cs="Arial"/>
          <w:sz w:val="24"/>
        </w:rPr>
      </w:pPr>
    </w:p>
    <w:p w:rsidR="009C17A5" w:rsidRPr="00AC208B" w:rsidRDefault="009C17A5" w:rsidP="009C17A5">
      <w:pPr>
        <w:pStyle w:val="Prrafodelista"/>
        <w:shd w:val="clear" w:color="auto" w:fill="FFFFFF"/>
        <w:spacing w:after="200" w:line="360" w:lineRule="auto"/>
        <w:ind w:left="0"/>
        <w:jc w:val="both"/>
        <w:rPr>
          <w:rFonts w:ascii="Palatino Linotype" w:hAnsi="Palatino Linotype" w:cs="Arial"/>
          <w:sz w:val="24"/>
        </w:rPr>
      </w:pPr>
    </w:p>
    <w:p w:rsidR="00622B4F" w:rsidRPr="00AC208B" w:rsidRDefault="00622B4F" w:rsidP="009C17A5">
      <w:pPr>
        <w:pStyle w:val="Prrafodelista"/>
        <w:numPr>
          <w:ilvl w:val="0"/>
          <w:numId w:val="1"/>
        </w:numPr>
        <w:shd w:val="clear" w:color="auto" w:fill="FFFFFF"/>
        <w:spacing w:after="200" w:line="360" w:lineRule="auto"/>
        <w:ind w:left="0" w:firstLine="0"/>
        <w:jc w:val="both"/>
        <w:rPr>
          <w:rFonts w:ascii="Palatino Linotype" w:hAnsi="Palatino Linotype" w:cs="Arial"/>
          <w:sz w:val="24"/>
        </w:rPr>
      </w:pPr>
      <w:r w:rsidRPr="00AC208B">
        <w:rPr>
          <w:rFonts w:ascii="Palatino Linotype" w:hAnsi="Palatino Linotype"/>
          <w:lang w:val="es-ES"/>
        </w:rPr>
        <w:t xml:space="preserve">Por lo anteriormente expuesto y fundado, este </w:t>
      </w:r>
      <w:r w:rsidRPr="00AC208B">
        <w:rPr>
          <w:rFonts w:ascii="Palatino Linotype" w:hAnsi="Palatino Linotype"/>
          <w:b/>
          <w:bCs/>
          <w:lang w:val="es-ES"/>
        </w:rPr>
        <w:t>ÓRGANO GARANTE</w:t>
      </w:r>
      <w:r w:rsidRPr="00AC208B">
        <w:rPr>
          <w:rFonts w:ascii="Palatino Linotype" w:hAnsi="Palatino Linotype"/>
          <w:lang w:val="es-ES"/>
        </w:rPr>
        <w:t xml:space="preserve"> emite los siguientes:</w:t>
      </w:r>
    </w:p>
    <w:p w:rsidR="00622B4F" w:rsidRPr="00AC208B" w:rsidRDefault="00622B4F" w:rsidP="00622B4F">
      <w:pPr>
        <w:spacing w:before="240" w:after="240" w:line="360" w:lineRule="auto"/>
        <w:contextualSpacing/>
        <w:jc w:val="both"/>
        <w:rPr>
          <w:rFonts w:ascii="Palatino Linotype" w:hAnsi="Palatino Linotype" w:cs="Arial"/>
        </w:rPr>
      </w:pPr>
    </w:p>
    <w:p w:rsidR="00622B4F" w:rsidRPr="00AC208B" w:rsidRDefault="00622B4F" w:rsidP="00622B4F">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29" w:name="_Toc528153792"/>
      <w:bookmarkStart w:id="30" w:name="_Toc94119621"/>
      <w:r w:rsidRPr="00AC208B">
        <w:rPr>
          <w:rFonts w:ascii="Palatino Linotype" w:eastAsiaTheme="majorEastAsia" w:hAnsi="Palatino Linotype" w:cstheme="majorBidi"/>
          <w:b/>
          <w:color w:val="000000" w:themeColor="text1"/>
          <w:lang w:eastAsia="en-US"/>
        </w:rPr>
        <w:t>R E S O L U T I V O S</w:t>
      </w:r>
      <w:bookmarkEnd w:id="29"/>
      <w:bookmarkEnd w:id="30"/>
    </w:p>
    <w:p w:rsidR="00832513" w:rsidRPr="00AC208B" w:rsidRDefault="00832513" w:rsidP="00832513">
      <w:pPr>
        <w:spacing w:line="360" w:lineRule="auto"/>
        <w:jc w:val="both"/>
        <w:rPr>
          <w:rFonts w:ascii="Palatino Linotype" w:eastAsiaTheme="minorEastAsia" w:hAnsi="Palatino Linotype" w:cs="Arial"/>
          <w:bCs/>
          <w:lang w:val="es-ES_tradnl" w:eastAsia="es-ES"/>
        </w:rPr>
      </w:pPr>
      <w:r w:rsidRPr="00AC208B">
        <w:rPr>
          <w:rFonts w:ascii="Palatino Linotype" w:hAnsi="Palatino Linotype" w:cs="Arial"/>
          <w:b/>
          <w:lang w:val="es-ES_tradnl" w:eastAsia="es-ES"/>
        </w:rPr>
        <w:t xml:space="preserve">PRIMERO. </w:t>
      </w:r>
      <w:r w:rsidRPr="00AC208B">
        <w:rPr>
          <w:rFonts w:ascii="Palatino Linotype" w:hAnsi="Palatino Linotype" w:cs="Arial"/>
          <w:lang w:val="es-ES_tradnl" w:eastAsia="es-ES"/>
        </w:rPr>
        <w:t>Resultan infundadas las</w:t>
      </w:r>
      <w:r w:rsidRPr="00AC208B">
        <w:rPr>
          <w:rFonts w:ascii="Palatino Linotype" w:hAnsi="Palatino Linotype" w:cs="Arial"/>
          <w:b/>
          <w:lang w:val="es-ES_tradnl" w:eastAsia="es-ES"/>
        </w:rPr>
        <w:t xml:space="preserve"> </w:t>
      </w:r>
      <w:r w:rsidRPr="00AC208B">
        <w:rPr>
          <w:rFonts w:ascii="Palatino Linotype" w:hAnsi="Palatino Linotype" w:cs="Arial"/>
          <w:lang w:val="es-ES" w:eastAsia="es-ES"/>
        </w:rPr>
        <w:t xml:space="preserve">razones o motivos de inconformidad hechos valer </w:t>
      </w:r>
      <w:r w:rsidRPr="00AC208B">
        <w:rPr>
          <w:rFonts w:ascii="Palatino Linotype" w:eastAsia="Calibri" w:hAnsi="Palatino Linotype" w:cs="Arial"/>
          <w:lang w:val="es-ES" w:eastAsia="es-ES"/>
        </w:rPr>
        <w:t>en el recurso de revisión 0</w:t>
      </w:r>
      <w:r w:rsidRPr="00AC208B">
        <w:rPr>
          <w:rFonts w:ascii="Palatino Linotype" w:eastAsiaTheme="minorEastAsia" w:hAnsi="Palatino Linotype" w:cs="Arial"/>
          <w:b/>
          <w:bCs/>
          <w:lang w:val="es-ES_tradnl" w:eastAsia="es-ES"/>
        </w:rPr>
        <w:t xml:space="preserve">3528/INFOEM/IP/RR/2022, </w:t>
      </w:r>
      <w:r w:rsidRPr="00AC208B">
        <w:rPr>
          <w:rFonts w:ascii="Palatino Linotype" w:eastAsiaTheme="minorEastAsia" w:hAnsi="Palatino Linotype" w:cs="Arial"/>
          <w:bCs/>
          <w:lang w:val="es-ES_tradnl" w:eastAsia="es-ES"/>
        </w:rPr>
        <w:t xml:space="preserve">en términos del </w:t>
      </w:r>
      <w:r w:rsidRPr="00AC208B">
        <w:rPr>
          <w:rFonts w:ascii="Palatino Linotype" w:eastAsiaTheme="minorEastAsia" w:hAnsi="Palatino Linotype" w:cs="Arial"/>
          <w:b/>
          <w:bCs/>
          <w:lang w:val="es-ES_tradnl" w:eastAsia="es-ES"/>
        </w:rPr>
        <w:t>Considerando</w:t>
      </w:r>
      <w:r w:rsidRPr="00AC208B">
        <w:rPr>
          <w:rFonts w:ascii="Palatino Linotype" w:eastAsiaTheme="minorEastAsia" w:hAnsi="Palatino Linotype" w:cs="Arial"/>
          <w:bCs/>
          <w:lang w:val="es-ES_tradnl" w:eastAsia="es-ES"/>
        </w:rPr>
        <w:t xml:space="preserve"> </w:t>
      </w:r>
      <w:r w:rsidRPr="00AC208B">
        <w:rPr>
          <w:rFonts w:ascii="Palatino Linotype" w:eastAsiaTheme="minorEastAsia" w:hAnsi="Palatino Linotype" w:cs="Arial"/>
          <w:b/>
          <w:bCs/>
          <w:lang w:val="es-ES_tradnl" w:eastAsia="es-ES"/>
        </w:rPr>
        <w:t>QUINTO</w:t>
      </w:r>
      <w:r w:rsidRPr="00AC208B">
        <w:rPr>
          <w:rFonts w:ascii="Palatino Linotype" w:eastAsiaTheme="minorEastAsia" w:hAnsi="Palatino Linotype" w:cs="Arial"/>
          <w:bCs/>
          <w:lang w:val="es-ES_tradnl" w:eastAsia="es-ES"/>
        </w:rPr>
        <w:t xml:space="preserve"> de la presente resolución.</w:t>
      </w:r>
    </w:p>
    <w:p w:rsidR="00832513" w:rsidRPr="00AC208B" w:rsidRDefault="00832513" w:rsidP="00832513">
      <w:pPr>
        <w:spacing w:line="360" w:lineRule="auto"/>
        <w:jc w:val="both"/>
        <w:rPr>
          <w:rFonts w:ascii="Palatino Linotype" w:hAnsi="Palatino Linotype"/>
          <w:lang w:val="es-ES_tradnl" w:eastAsia="es-ES"/>
        </w:rPr>
      </w:pPr>
    </w:p>
    <w:p w:rsidR="00832513" w:rsidRPr="00AC208B" w:rsidRDefault="00832513" w:rsidP="00832513">
      <w:pPr>
        <w:spacing w:line="360" w:lineRule="auto"/>
        <w:jc w:val="both"/>
        <w:rPr>
          <w:rFonts w:ascii="Palatino Linotype" w:eastAsia="Calibri" w:hAnsi="Palatino Linotype" w:cs="Arial"/>
          <w:lang w:val="es-ES" w:eastAsia="es-ES"/>
        </w:rPr>
      </w:pPr>
      <w:r w:rsidRPr="00AC208B">
        <w:rPr>
          <w:rFonts w:ascii="Palatino Linotype" w:eastAsiaTheme="minorEastAsia" w:hAnsi="Palatino Linotype"/>
          <w:b/>
          <w:lang w:val="es-ES_tradnl" w:eastAsia="es-ES"/>
        </w:rPr>
        <w:t>SEGUNDO.</w:t>
      </w:r>
      <w:r w:rsidRPr="00AC208B">
        <w:rPr>
          <w:rFonts w:ascii="Palatino Linotype" w:eastAsiaTheme="majorEastAsia" w:hAnsi="Palatino Linotype" w:cstheme="majorBidi"/>
          <w:b/>
          <w:color w:val="2E74B5" w:themeColor="accent1" w:themeShade="BF"/>
          <w:sz w:val="26"/>
          <w:szCs w:val="26"/>
          <w:lang w:val="es-ES_tradnl" w:eastAsia="es-ES"/>
        </w:rPr>
        <w:t xml:space="preserve"> </w:t>
      </w:r>
      <w:r w:rsidRPr="00AC208B">
        <w:rPr>
          <w:rFonts w:ascii="Palatino Linotype" w:eastAsia="Calibri" w:hAnsi="Palatino Linotype" w:cs="Arial"/>
          <w:lang w:val="es-ES" w:eastAsia="es-ES"/>
        </w:rPr>
        <w:t>Se</w:t>
      </w:r>
      <w:r w:rsidRPr="00AC208B">
        <w:rPr>
          <w:rFonts w:ascii="Palatino Linotype" w:eastAsia="Calibri" w:hAnsi="Palatino Linotype" w:cs="Arial"/>
          <w:b/>
          <w:lang w:val="es-ES" w:eastAsia="es-ES"/>
        </w:rPr>
        <w:t xml:space="preserve"> CONFIRMA </w:t>
      </w:r>
      <w:r w:rsidR="003522D0" w:rsidRPr="00AC208B">
        <w:rPr>
          <w:rFonts w:ascii="Palatino Linotype" w:eastAsia="Calibri" w:hAnsi="Palatino Linotype" w:cs="Arial"/>
          <w:lang w:val="es-ES" w:eastAsia="es-ES"/>
        </w:rPr>
        <w:t>la respuesta emitida por el</w:t>
      </w:r>
      <w:r w:rsidRPr="00AC208B">
        <w:rPr>
          <w:rFonts w:ascii="Palatino Linotype" w:eastAsia="Calibri" w:hAnsi="Palatino Linotype" w:cs="Arial"/>
          <w:lang w:val="es-ES" w:eastAsia="es-ES"/>
        </w:rPr>
        <w:t xml:space="preserve"> </w:t>
      </w:r>
      <w:r w:rsidRPr="00AC208B">
        <w:rPr>
          <w:rFonts w:ascii="Palatino Linotype" w:eastAsiaTheme="minorEastAsia" w:hAnsi="Palatino Linotype" w:cs="Arial"/>
          <w:b/>
          <w:lang w:val="es-ES_tradnl" w:eastAsia="es-ES"/>
        </w:rPr>
        <w:t xml:space="preserve">Ayuntamiento de Nicolás Romero </w:t>
      </w:r>
      <w:r w:rsidRPr="00AC208B">
        <w:rPr>
          <w:rFonts w:ascii="Palatino Linotype" w:eastAsia="Calibri" w:hAnsi="Palatino Linotype" w:cs="Arial"/>
          <w:lang w:val="es-ES" w:eastAsia="es-ES"/>
        </w:rPr>
        <w:t xml:space="preserve">a la solicitud </w:t>
      </w:r>
      <w:r w:rsidR="009D71AB" w:rsidRPr="00AC208B">
        <w:rPr>
          <w:rFonts w:ascii="Palatino Linotype" w:hAnsi="Palatino Linotype"/>
          <w:b/>
          <w:bCs/>
        </w:rPr>
        <w:t>00062/NICOROM/IP/2022</w:t>
      </w:r>
      <w:r w:rsidRPr="00AC208B">
        <w:rPr>
          <w:rFonts w:ascii="Palatino Linotype" w:eastAsia="Calibri" w:hAnsi="Palatino Linotype" w:cs="Arial"/>
          <w:b/>
          <w:lang w:val="es-ES" w:eastAsia="es-ES"/>
        </w:rPr>
        <w:t>.</w:t>
      </w:r>
      <w:r w:rsidRPr="00AC208B">
        <w:rPr>
          <w:rFonts w:ascii="Palatino Linotype" w:eastAsia="Calibri" w:hAnsi="Palatino Linotype" w:cs="Arial"/>
          <w:lang w:val="es-ES" w:eastAsia="es-ES"/>
        </w:rPr>
        <w:t xml:space="preserve"> </w:t>
      </w:r>
    </w:p>
    <w:p w:rsidR="00832513" w:rsidRPr="00AC208B" w:rsidRDefault="00832513" w:rsidP="00832513">
      <w:pPr>
        <w:spacing w:line="360" w:lineRule="auto"/>
        <w:jc w:val="both"/>
        <w:rPr>
          <w:rFonts w:ascii="Palatino Linotype" w:eastAsia="Calibri" w:hAnsi="Palatino Linotype" w:cs="Arial"/>
          <w:lang w:val="es-ES" w:eastAsia="es-ES"/>
        </w:rPr>
      </w:pPr>
    </w:p>
    <w:p w:rsidR="00832513" w:rsidRPr="00AC208B" w:rsidRDefault="00832513" w:rsidP="00832513">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AC208B">
        <w:rPr>
          <w:rFonts w:ascii="Palatino Linotype" w:eastAsia="Palatino Linotype" w:hAnsi="Palatino Linotype" w:cs="Palatino Linotype"/>
          <w:b/>
          <w:lang w:val="es-ES_tradnl" w:eastAsia="es-ES"/>
        </w:rPr>
        <w:t xml:space="preserve">TERCERO. REMÍTASE, </w:t>
      </w:r>
      <w:r w:rsidRPr="00AC208B">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AC208B">
        <w:rPr>
          <w:rFonts w:ascii="Palatino Linotype" w:eastAsia="Palatino Linotype" w:hAnsi="Palatino Linotype" w:cs="Palatino Linotype"/>
          <w:b/>
          <w:lang w:val="es-ES_tradnl" w:eastAsia="es-ES"/>
        </w:rPr>
        <w:t>SUJETO OBLIGADO.</w:t>
      </w:r>
    </w:p>
    <w:p w:rsidR="00832513" w:rsidRPr="00AC208B" w:rsidRDefault="00832513" w:rsidP="00832513">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832513" w:rsidRPr="00AC208B" w:rsidRDefault="00832513" w:rsidP="00832513">
      <w:pPr>
        <w:shd w:val="clear" w:color="auto" w:fill="FFFFFF"/>
        <w:spacing w:line="360" w:lineRule="auto"/>
        <w:jc w:val="both"/>
        <w:rPr>
          <w:rFonts w:ascii="Palatino Linotype" w:eastAsiaTheme="minorEastAsia" w:hAnsi="Palatino Linotype"/>
          <w:lang w:val="es-ES_tradnl" w:eastAsia="es-ES"/>
        </w:rPr>
      </w:pPr>
      <w:r w:rsidRPr="00AC208B">
        <w:rPr>
          <w:rFonts w:ascii="Palatino Linotype" w:hAnsi="Palatino Linotype" w:cs="Arial"/>
          <w:b/>
          <w:lang w:val="es-ES_tradnl" w:eastAsia="es-ES"/>
        </w:rPr>
        <w:t xml:space="preserve">CUARTO. </w:t>
      </w:r>
      <w:r w:rsidRPr="00AC208B">
        <w:rPr>
          <w:rFonts w:ascii="Palatino Linotype" w:hAnsi="Palatino Linotype"/>
          <w:b/>
          <w:bCs/>
          <w:lang w:val="es-ES" w:eastAsia="es-ES"/>
        </w:rPr>
        <w:t>Notifíquese a</w:t>
      </w:r>
      <w:r w:rsidRPr="00AC208B">
        <w:rPr>
          <w:rFonts w:ascii="Palatino Linotype" w:eastAsiaTheme="minorEastAsia" w:hAnsi="Palatino Linotype"/>
          <w:b/>
          <w:lang w:val="es-ES_tradnl" w:eastAsia="es-ES"/>
        </w:rPr>
        <w:t xml:space="preserve">l RECURRENTE </w:t>
      </w:r>
      <w:r w:rsidRPr="00AC208B">
        <w:rPr>
          <w:rFonts w:ascii="Palatino Linotype" w:eastAsiaTheme="minorEastAsia" w:hAnsi="Palatino Linotype"/>
          <w:lang w:val="es-ES_tradnl" w:eastAsia="es-ES"/>
        </w:rPr>
        <w:t>la presente resolución.</w:t>
      </w:r>
    </w:p>
    <w:p w:rsidR="00832513" w:rsidRPr="00AC208B" w:rsidRDefault="00832513" w:rsidP="00832513">
      <w:pPr>
        <w:shd w:val="clear" w:color="auto" w:fill="FFFFFF"/>
        <w:spacing w:line="360" w:lineRule="auto"/>
        <w:jc w:val="both"/>
        <w:rPr>
          <w:rFonts w:ascii="Palatino Linotype" w:eastAsiaTheme="minorEastAsia" w:hAnsi="Palatino Linotype"/>
          <w:lang w:val="es-ES_tradnl" w:eastAsia="es-ES"/>
        </w:rPr>
      </w:pPr>
    </w:p>
    <w:p w:rsidR="00832513" w:rsidRPr="00AC208B" w:rsidRDefault="00832513" w:rsidP="00832513">
      <w:pPr>
        <w:spacing w:line="360" w:lineRule="auto"/>
        <w:jc w:val="both"/>
        <w:rPr>
          <w:rFonts w:ascii="Palatino Linotype" w:eastAsia="MS Mincho" w:hAnsi="Palatino Linotype"/>
          <w:lang w:val="es-ES" w:eastAsia="es-ES"/>
        </w:rPr>
      </w:pPr>
      <w:r w:rsidRPr="00AC208B">
        <w:rPr>
          <w:rFonts w:ascii="Palatino Linotype" w:eastAsia="MS Mincho" w:hAnsi="Palatino Linotype"/>
          <w:b/>
          <w:lang w:eastAsia="es-ES"/>
        </w:rPr>
        <w:t>QUINTO.</w:t>
      </w:r>
      <w:r w:rsidRPr="00AC208B">
        <w:rPr>
          <w:rFonts w:ascii="Palatino Linotype" w:eastAsia="MS Mincho" w:hAnsi="Palatino Linotype"/>
          <w:lang w:eastAsia="es-ES"/>
        </w:rPr>
        <w:t xml:space="preserve"> </w:t>
      </w:r>
      <w:r w:rsidRPr="00AC208B">
        <w:rPr>
          <w:rFonts w:ascii="Palatino Linotype" w:eastAsia="MS Mincho" w:hAnsi="Palatino Linotype"/>
          <w:lang w:val="es-ES" w:eastAsia="es-ES"/>
        </w:rPr>
        <w:t xml:space="preserve">Se hace del conocimiento del </w:t>
      </w:r>
      <w:r w:rsidRPr="00AC208B">
        <w:rPr>
          <w:rFonts w:ascii="Palatino Linotype" w:eastAsiaTheme="minorEastAsia" w:hAnsi="Palatino Linotype"/>
          <w:b/>
          <w:lang w:val="es-ES_tradnl" w:eastAsia="es-ES"/>
        </w:rPr>
        <w:t xml:space="preserve">RECURRENTE </w:t>
      </w:r>
      <w:r w:rsidRPr="00AC208B">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C208B">
        <w:rPr>
          <w:rFonts w:ascii="Palatino Linotype" w:eastAsia="MS Mincho" w:hAnsi="Palatino Linotype"/>
          <w:bCs/>
          <w:lang w:val="es-ES" w:eastAsia="es-ES"/>
        </w:rPr>
        <w:t>vía juicio de amparo</w:t>
      </w:r>
      <w:r w:rsidRPr="00AC208B">
        <w:rPr>
          <w:rFonts w:ascii="Palatino Linotype" w:eastAsia="MS Mincho" w:hAnsi="Palatino Linotype"/>
          <w:lang w:val="es-ES" w:eastAsia="es-ES"/>
        </w:rPr>
        <w:t> en los términos de las leyes aplicables.</w:t>
      </w:r>
    </w:p>
    <w:p w:rsidR="003522D0" w:rsidRDefault="003522D0" w:rsidP="003522D0">
      <w:pPr>
        <w:spacing w:before="240" w:after="240" w:line="360" w:lineRule="auto"/>
        <w:jc w:val="both"/>
        <w:rPr>
          <w:rFonts w:ascii="Palatino Linotype" w:hAnsi="Palatino Linotype"/>
        </w:rPr>
      </w:pPr>
      <w:r w:rsidRPr="00AC208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(13) DE JULIO DE DOS MIL VEINTIDÓS, ANTE EL SECRETARIO TÉCNICO DEL PLENO ALEXIS TAPIA RAMÍREZ.</w:t>
      </w:r>
      <w:bookmarkStart w:id="31" w:name="_GoBack"/>
      <w:bookmarkEnd w:id="31"/>
      <w:r w:rsidRPr="00624AAD">
        <w:rPr>
          <w:rFonts w:ascii="Palatino Linotype" w:hAnsi="Palatino Linotype"/>
        </w:rPr>
        <w:t xml:space="preserve"> </w:t>
      </w:r>
    </w:p>
    <w:p w:rsidR="00622B4F" w:rsidRPr="00730D0C" w:rsidRDefault="00622B4F" w:rsidP="00622B4F">
      <w:pPr>
        <w:spacing w:before="240" w:after="240" w:line="360" w:lineRule="auto"/>
        <w:jc w:val="both"/>
        <w:rPr>
          <w:rFonts w:ascii="Palatino Linotype" w:hAnsi="Palatino Linotype" w:cs="Arial"/>
        </w:rPr>
      </w:pPr>
    </w:p>
    <w:p w:rsidR="00622B4F" w:rsidRPr="00730D0C" w:rsidRDefault="00622B4F" w:rsidP="00622B4F">
      <w:pPr>
        <w:spacing w:before="240" w:after="240" w:line="360" w:lineRule="auto"/>
        <w:jc w:val="both"/>
        <w:rPr>
          <w:rFonts w:ascii="Palatino Linotype" w:hAnsi="Palatino Linotype" w:cs="Arial"/>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Pr="00730D0C" w:rsidRDefault="00622B4F" w:rsidP="00622B4F">
      <w:pPr>
        <w:spacing w:before="240" w:after="240" w:line="360" w:lineRule="auto"/>
        <w:rPr>
          <w:rFonts w:ascii="Palatino Linotype" w:hAnsi="Palatino Linotype"/>
        </w:rPr>
      </w:pPr>
    </w:p>
    <w:p w:rsidR="00622B4F" w:rsidRDefault="00622B4F" w:rsidP="00622B4F"/>
    <w:p w:rsidR="00A8074A" w:rsidRDefault="00A8074A"/>
    <w:sectPr w:rsidR="00A8074A" w:rsidSect="00987183">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891" w:rsidRDefault="00273891" w:rsidP="00622B4F">
      <w:r>
        <w:separator/>
      </w:r>
    </w:p>
  </w:endnote>
  <w:endnote w:type="continuationSeparator" w:id="0">
    <w:p w:rsidR="00273891" w:rsidRDefault="00273891" w:rsidP="00622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83" w:rsidRDefault="00987183">
    <w:pPr>
      <w:pStyle w:val="Piedepgina"/>
      <w:jc w:val="right"/>
    </w:pPr>
    <w:r>
      <w:rPr>
        <w:lang w:val="es-ES"/>
      </w:rPr>
      <w:t xml:space="preserve">Página </w:t>
    </w:r>
    <w:r>
      <w:rPr>
        <w:b/>
        <w:bCs/>
      </w:rPr>
      <w:fldChar w:fldCharType="begin"/>
    </w:r>
    <w:r>
      <w:rPr>
        <w:b/>
        <w:bCs/>
      </w:rPr>
      <w:instrText>PAGE</w:instrText>
    </w:r>
    <w:r>
      <w:rPr>
        <w:b/>
        <w:bCs/>
      </w:rPr>
      <w:fldChar w:fldCharType="separate"/>
    </w:r>
    <w:r w:rsidR="00AC208B">
      <w:rPr>
        <w:b/>
        <w:bCs/>
        <w:noProof/>
      </w:rPr>
      <w:t>28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C208B">
      <w:rPr>
        <w:b/>
        <w:bCs/>
        <w:noProof/>
      </w:rPr>
      <w:t>28</w:t>
    </w:r>
    <w:r>
      <w:rPr>
        <w:b/>
        <w:bCs/>
      </w:rPr>
      <w:fldChar w:fldCharType="end"/>
    </w:r>
  </w:p>
  <w:p w:rsidR="00987183" w:rsidRDefault="009871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83" w:rsidRDefault="00987183">
    <w:pPr>
      <w:pStyle w:val="Piedepgina"/>
      <w:jc w:val="right"/>
    </w:pPr>
    <w:r>
      <w:rPr>
        <w:lang w:val="es-ES"/>
      </w:rPr>
      <w:t xml:space="preserve">Página </w:t>
    </w:r>
    <w:r>
      <w:rPr>
        <w:b/>
        <w:bCs/>
      </w:rPr>
      <w:fldChar w:fldCharType="begin"/>
    </w:r>
    <w:r>
      <w:rPr>
        <w:b/>
        <w:bCs/>
      </w:rPr>
      <w:instrText>PAGE</w:instrText>
    </w:r>
    <w:r>
      <w:rPr>
        <w:b/>
        <w:bCs/>
      </w:rPr>
      <w:fldChar w:fldCharType="separate"/>
    </w:r>
    <w:r w:rsidR="00AC208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C208B">
      <w:rPr>
        <w:b/>
        <w:bCs/>
        <w:noProof/>
      </w:rPr>
      <w:t>28</w:t>
    </w:r>
    <w:r>
      <w:rPr>
        <w:b/>
        <w:bCs/>
      </w:rPr>
      <w:fldChar w:fldCharType="end"/>
    </w:r>
  </w:p>
  <w:p w:rsidR="00987183" w:rsidRDefault="009871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891" w:rsidRDefault="00273891" w:rsidP="00622B4F">
      <w:r>
        <w:separator/>
      </w:r>
    </w:p>
  </w:footnote>
  <w:footnote w:type="continuationSeparator" w:id="0">
    <w:p w:rsidR="00273891" w:rsidRDefault="00273891" w:rsidP="00622B4F">
      <w:r>
        <w:continuationSeparator/>
      </w:r>
    </w:p>
  </w:footnote>
  <w:footnote w:id="1">
    <w:p w:rsidR="00987183" w:rsidRDefault="00987183" w:rsidP="00622B4F">
      <w:pPr>
        <w:pStyle w:val="Textonotapie"/>
      </w:pPr>
      <w:r>
        <w:rPr>
          <w:rStyle w:val="Refdenotaalpie"/>
        </w:rPr>
        <w:footnoteRef/>
      </w:r>
      <w:r>
        <w:t xml:space="preserve"> Convención Americana sobre Derechos Humanos. Artículo 13.</w:t>
      </w:r>
    </w:p>
  </w:footnote>
  <w:footnote w:id="2">
    <w:p w:rsidR="00987183" w:rsidRDefault="00987183" w:rsidP="00622B4F">
      <w:pPr>
        <w:pStyle w:val="Textonotapie"/>
      </w:pPr>
      <w:r>
        <w:rPr>
          <w:rStyle w:val="Refdenotaalpie"/>
        </w:rPr>
        <w:footnoteRef/>
      </w:r>
      <w:r>
        <w:t xml:space="preserve"> Constitución Política de los Estados Unidos Mexicanos. Artículo sexto, sección A, fracción I.</w:t>
      </w:r>
    </w:p>
  </w:footnote>
  <w:footnote w:id="3">
    <w:p w:rsidR="00987183" w:rsidRDefault="00987183" w:rsidP="00622B4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87183" w:rsidRDefault="00987183" w:rsidP="00622B4F">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83" w:rsidRDefault="0027389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87183" w:rsidRPr="005C106F" w:rsidTr="00987183">
      <w:trPr>
        <w:trHeight w:val="1435"/>
      </w:trPr>
      <w:tc>
        <w:tcPr>
          <w:tcW w:w="2268" w:type="dxa"/>
          <w:shd w:val="clear" w:color="auto" w:fill="auto"/>
        </w:tcPr>
        <w:p w:rsidR="00987183" w:rsidRPr="005C106F" w:rsidRDefault="00987183" w:rsidP="00987183">
          <w:pPr>
            <w:tabs>
              <w:tab w:val="right" w:pos="4273"/>
            </w:tabs>
            <w:rPr>
              <w:rFonts w:ascii="Garamond" w:eastAsia="Calibri" w:hAnsi="Garamond"/>
              <w:sz w:val="16"/>
              <w:szCs w:val="16"/>
              <w:lang w:eastAsia="en-US"/>
            </w:rPr>
          </w:pPr>
        </w:p>
      </w:tc>
      <w:tc>
        <w:tcPr>
          <w:tcW w:w="6946" w:type="dxa"/>
          <w:shd w:val="clear" w:color="auto" w:fill="auto"/>
        </w:tcPr>
        <w:p w:rsidR="00987183" w:rsidRDefault="00987183" w:rsidP="00987183"/>
        <w:tbl>
          <w:tblPr>
            <w:tblW w:w="6662" w:type="dxa"/>
            <w:tblInd w:w="40" w:type="dxa"/>
            <w:tblLayout w:type="fixed"/>
            <w:tblLook w:val="0420" w:firstRow="1" w:lastRow="0" w:firstColumn="0" w:lastColumn="0" w:noHBand="0" w:noVBand="1"/>
          </w:tblPr>
          <w:tblGrid>
            <w:gridCol w:w="2551"/>
            <w:gridCol w:w="4111"/>
          </w:tblGrid>
          <w:tr w:rsidR="00987183" w:rsidTr="00987183">
            <w:trPr>
              <w:trHeight w:val="150"/>
            </w:trPr>
            <w:tc>
              <w:tcPr>
                <w:tcW w:w="2551" w:type="dxa"/>
                <w:shd w:val="clear" w:color="auto" w:fill="auto"/>
              </w:tcPr>
              <w:p w:rsidR="00987183" w:rsidRPr="00020E73" w:rsidRDefault="00987183" w:rsidP="0098718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987183" w:rsidRPr="00020E73" w:rsidRDefault="00A10D74" w:rsidP="00987183">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03528</w:t>
                </w:r>
                <w:r w:rsidR="00987183">
                  <w:rPr>
                    <w:rFonts w:ascii="Palatino Linotype" w:eastAsia="Calibri" w:hAnsi="Palatino Linotype" w:cs="Tahoma"/>
                    <w:bCs/>
                    <w:sz w:val="22"/>
                    <w:szCs w:val="22"/>
                    <w:lang w:eastAsia="en-US"/>
                  </w:rPr>
                  <w:t>/INFOEM/IP/RR/2022</w:t>
                </w:r>
              </w:p>
            </w:tc>
          </w:tr>
          <w:tr w:rsidR="00987183" w:rsidTr="00987183">
            <w:trPr>
              <w:trHeight w:val="295"/>
            </w:trPr>
            <w:tc>
              <w:tcPr>
                <w:tcW w:w="2551" w:type="dxa"/>
                <w:shd w:val="clear" w:color="auto" w:fill="auto"/>
              </w:tcPr>
              <w:p w:rsidR="00987183" w:rsidRPr="00020E73" w:rsidRDefault="00987183" w:rsidP="0098718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987183" w:rsidRPr="00020E73" w:rsidRDefault="00A10D74" w:rsidP="00987183">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bCs/>
                    <w:sz w:val="22"/>
                    <w:szCs w:val="22"/>
                    <w:lang w:eastAsia="en-US"/>
                  </w:rPr>
                  <w:t>Ayuntamiento de Nicolás Romero</w:t>
                </w:r>
              </w:p>
            </w:tc>
          </w:tr>
          <w:tr w:rsidR="00987183" w:rsidTr="00987183">
            <w:trPr>
              <w:trHeight w:val="295"/>
            </w:trPr>
            <w:tc>
              <w:tcPr>
                <w:tcW w:w="2551" w:type="dxa"/>
                <w:shd w:val="clear" w:color="auto" w:fill="auto"/>
              </w:tcPr>
              <w:p w:rsidR="00987183" w:rsidRPr="00020E73" w:rsidRDefault="00987183" w:rsidP="00987183">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987183" w:rsidRPr="00020E73" w:rsidRDefault="00987183" w:rsidP="00987183">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87183" w:rsidRPr="00020E73" w:rsidRDefault="00987183" w:rsidP="00987183">
                <w:pPr>
                  <w:tabs>
                    <w:tab w:val="right" w:pos="8838"/>
                  </w:tabs>
                  <w:ind w:left="-108" w:right="171"/>
                  <w:jc w:val="both"/>
                  <w:rPr>
                    <w:rFonts w:ascii="Palatino Linotype" w:eastAsia="Calibri" w:hAnsi="Palatino Linotype" w:cs="Tahoma"/>
                    <w:b/>
                    <w:sz w:val="22"/>
                    <w:szCs w:val="22"/>
                    <w:lang w:val="es-ES" w:eastAsia="en-US"/>
                  </w:rPr>
                </w:pPr>
              </w:p>
            </w:tc>
          </w:tr>
        </w:tbl>
        <w:p w:rsidR="00987183" w:rsidRPr="005C106F" w:rsidRDefault="00987183" w:rsidP="00987183">
          <w:pPr>
            <w:tabs>
              <w:tab w:val="right" w:pos="8838"/>
            </w:tabs>
            <w:ind w:left="-28"/>
            <w:jc w:val="both"/>
            <w:rPr>
              <w:rFonts w:ascii="Arial" w:eastAsia="Calibri" w:hAnsi="Arial" w:cs="Arial"/>
              <w:b/>
              <w:sz w:val="22"/>
              <w:szCs w:val="22"/>
              <w:lang w:eastAsia="en-US"/>
            </w:rPr>
          </w:pPr>
        </w:p>
      </w:tc>
    </w:tr>
  </w:tbl>
  <w:p w:rsidR="00987183" w:rsidRPr="00443C6B" w:rsidRDefault="00273891" w:rsidP="00987183">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987183" w:rsidRPr="00330DA7" w:rsidTr="00987183">
      <w:trPr>
        <w:trHeight w:val="1435"/>
      </w:trPr>
      <w:tc>
        <w:tcPr>
          <w:tcW w:w="2268" w:type="dxa"/>
          <w:shd w:val="clear" w:color="auto" w:fill="auto"/>
        </w:tcPr>
        <w:p w:rsidR="00987183" w:rsidRPr="00330DA7" w:rsidRDefault="00987183" w:rsidP="00987183">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87183" w:rsidRPr="00330DA7" w:rsidTr="00987183">
            <w:trPr>
              <w:trHeight w:val="144"/>
            </w:trPr>
            <w:tc>
              <w:tcPr>
                <w:tcW w:w="2444" w:type="dxa"/>
                <w:shd w:val="clear" w:color="auto" w:fill="auto"/>
              </w:tcPr>
              <w:p w:rsidR="00987183" w:rsidRPr="00020E73" w:rsidRDefault="00987183" w:rsidP="00987183">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987183" w:rsidRPr="00020E73" w:rsidRDefault="00A10D74" w:rsidP="00987183">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03528</w:t>
                </w:r>
                <w:r w:rsidR="00987183">
                  <w:rPr>
                    <w:rFonts w:ascii="Palatino Linotype" w:eastAsia="Calibri" w:hAnsi="Palatino Linotype" w:cs="Tahoma"/>
                    <w:sz w:val="22"/>
                    <w:szCs w:val="22"/>
                    <w:lang w:eastAsia="en-US"/>
                  </w:rPr>
                  <w:t>/INFOEM/IP/RR/2022</w:t>
                </w:r>
                <w:r w:rsidR="00987183">
                  <w:rPr>
                    <w:rFonts w:ascii="Palatino Linotype" w:eastAsia="Calibri" w:hAnsi="Palatino Linotype" w:cs="Tahoma"/>
                    <w:b/>
                    <w:bCs/>
                    <w:sz w:val="22"/>
                    <w:szCs w:val="22"/>
                    <w:lang w:eastAsia="en-US"/>
                  </w:rPr>
                  <w:t xml:space="preserve"> </w:t>
                </w:r>
              </w:p>
            </w:tc>
          </w:tr>
          <w:tr w:rsidR="00987183" w:rsidRPr="00330DA7" w:rsidTr="00987183">
            <w:trPr>
              <w:trHeight w:val="144"/>
            </w:trPr>
            <w:tc>
              <w:tcPr>
                <w:tcW w:w="2444" w:type="dxa"/>
                <w:shd w:val="clear" w:color="auto" w:fill="auto"/>
              </w:tcPr>
              <w:p w:rsidR="00987183" w:rsidRPr="00020E73" w:rsidRDefault="00987183" w:rsidP="0098718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987183" w:rsidRPr="00020E73" w:rsidRDefault="00AC208B" w:rsidP="00987183">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XXX XXXXX </w:t>
                </w:r>
                <w:proofErr w:type="spellStart"/>
                <w:r>
                  <w:rPr>
                    <w:rFonts w:ascii="Palatino Linotype" w:eastAsia="Calibri" w:hAnsi="Palatino Linotype" w:cs="Tahoma"/>
                    <w:sz w:val="22"/>
                    <w:szCs w:val="22"/>
                    <w:lang w:val="es-ES" w:eastAsia="en-US"/>
                  </w:rPr>
                  <w:t>XXXXX</w:t>
                </w:r>
                <w:proofErr w:type="spellEnd"/>
              </w:p>
            </w:tc>
          </w:tr>
          <w:tr w:rsidR="00987183" w:rsidRPr="00330DA7" w:rsidTr="00987183">
            <w:trPr>
              <w:trHeight w:val="283"/>
            </w:trPr>
            <w:tc>
              <w:tcPr>
                <w:tcW w:w="2444" w:type="dxa"/>
                <w:shd w:val="clear" w:color="auto" w:fill="auto"/>
              </w:tcPr>
              <w:p w:rsidR="00987183" w:rsidRPr="00020E73" w:rsidRDefault="00987183" w:rsidP="0098718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987183" w:rsidRPr="00CA188D" w:rsidRDefault="00A10D74" w:rsidP="00987183">
                <w:pPr>
                  <w:tabs>
                    <w:tab w:val="left" w:pos="2834"/>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Nicolás Romero</w:t>
                </w:r>
              </w:p>
            </w:tc>
          </w:tr>
          <w:tr w:rsidR="00987183" w:rsidRPr="00330DA7" w:rsidTr="00987183">
            <w:trPr>
              <w:trHeight w:val="283"/>
            </w:trPr>
            <w:tc>
              <w:tcPr>
                <w:tcW w:w="2444" w:type="dxa"/>
                <w:shd w:val="clear" w:color="auto" w:fill="auto"/>
              </w:tcPr>
              <w:p w:rsidR="00987183" w:rsidRPr="00020E73" w:rsidRDefault="00987183" w:rsidP="00987183">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987183" w:rsidRPr="00020E73" w:rsidRDefault="00987183" w:rsidP="00987183">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87183" w:rsidRPr="00020E73" w:rsidRDefault="00987183" w:rsidP="00987183">
                <w:pPr>
                  <w:tabs>
                    <w:tab w:val="right" w:pos="8838"/>
                  </w:tabs>
                  <w:ind w:left="-74" w:right="-105"/>
                  <w:jc w:val="both"/>
                  <w:rPr>
                    <w:rFonts w:ascii="Palatino Linotype" w:eastAsia="Calibri" w:hAnsi="Palatino Linotype" w:cs="Tahoma"/>
                    <w:b/>
                    <w:sz w:val="22"/>
                    <w:szCs w:val="22"/>
                    <w:lang w:val="es-ES" w:eastAsia="en-US"/>
                  </w:rPr>
                </w:pPr>
              </w:p>
            </w:tc>
          </w:tr>
        </w:tbl>
        <w:p w:rsidR="00987183" w:rsidRPr="00330DA7" w:rsidRDefault="00987183" w:rsidP="00987183">
          <w:pPr>
            <w:tabs>
              <w:tab w:val="right" w:pos="8838"/>
            </w:tabs>
            <w:ind w:left="-28"/>
            <w:jc w:val="both"/>
            <w:rPr>
              <w:rFonts w:ascii="Arial" w:eastAsia="Calibri" w:hAnsi="Arial" w:cs="Arial"/>
              <w:b/>
              <w:sz w:val="22"/>
              <w:szCs w:val="22"/>
              <w:lang w:eastAsia="en-US"/>
            </w:rPr>
          </w:pPr>
        </w:p>
      </w:tc>
    </w:tr>
  </w:tbl>
  <w:p w:rsidR="00987183" w:rsidRPr="00827FA0" w:rsidRDefault="00273891" w:rsidP="00987183">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7A25B1"/>
    <w:multiLevelType w:val="hybridMultilevel"/>
    <w:tmpl w:val="713EC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F80BC6"/>
    <w:multiLevelType w:val="hybridMultilevel"/>
    <w:tmpl w:val="10CA7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83445BC"/>
    <w:multiLevelType w:val="hybridMultilevel"/>
    <w:tmpl w:val="1D6283E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5">
    <w:nsid w:val="4CAD431B"/>
    <w:multiLevelType w:val="hybridMultilevel"/>
    <w:tmpl w:val="118A4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4952983"/>
    <w:multiLevelType w:val="hybridMultilevel"/>
    <w:tmpl w:val="777AE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FA17EDD"/>
    <w:multiLevelType w:val="hybridMultilevel"/>
    <w:tmpl w:val="C97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02B190D"/>
    <w:multiLevelType w:val="hybridMultilevel"/>
    <w:tmpl w:val="936ACE08"/>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CD14D80"/>
    <w:multiLevelType w:val="hybridMultilevel"/>
    <w:tmpl w:val="BA16950A"/>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ACD65CA"/>
    <w:multiLevelType w:val="hybridMultilevel"/>
    <w:tmpl w:val="6016AB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7"/>
  </w:num>
  <w:num w:numId="3">
    <w:abstractNumId w:val="1"/>
  </w:num>
  <w:num w:numId="4">
    <w:abstractNumId w:val="3"/>
  </w:num>
  <w:num w:numId="5">
    <w:abstractNumId w:val="0"/>
  </w:num>
  <w:num w:numId="6">
    <w:abstractNumId w:val="2"/>
  </w:num>
  <w:num w:numId="7">
    <w:abstractNumId w:val="4"/>
  </w:num>
  <w:num w:numId="8">
    <w:abstractNumId w:val="10"/>
  </w:num>
  <w:num w:numId="9">
    <w:abstractNumId w:val="5"/>
  </w:num>
  <w:num w:numId="10">
    <w:abstractNumId w:val="9"/>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4F"/>
    <w:rsid w:val="000153A2"/>
    <w:rsid w:val="0003404E"/>
    <w:rsid w:val="00035199"/>
    <w:rsid w:val="000B0745"/>
    <w:rsid w:val="000B20D1"/>
    <w:rsid w:val="00120478"/>
    <w:rsid w:val="002305A0"/>
    <w:rsid w:val="002658B5"/>
    <w:rsid w:val="00273891"/>
    <w:rsid w:val="00295AA8"/>
    <w:rsid w:val="003511A8"/>
    <w:rsid w:val="003522D0"/>
    <w:rsid w:val="0037601F"/>
    <w:rsid w:val="003A4373"/>
    <w:rsid w:val="003E6314"/>
    <w:rsid w:val="004406D3"/>
    <w:rsid w:val="00487B05"/>
    <w:rsid w:val="00587B85"/>
    <w:rsid w:val="005B01FD"/>
    <w:rsid w:val="00622B4F"/>
    <w:rsid w:val="0068418C"/>
    <w:rsid w:val="00691507"/>
    <w:rsid w:val="00704A2D"/>
    <w:rsid w:val="007317B9"/>
    <w:rsid w:val="00736B9F"/>
    <w:rsid w:val="0078319F"/>
    <w:rsid w:val="007B217D"/>
    <w:rsid w:val="00832513"/>
    <w:rsid w:val="008B1EC1"/>
    <w:rsid w:val="008B3536"/>
    <w:rsid w:val="008D0365"/>
    <w:rsid w:val="008D6D50"/>
    <w:rsid w:val="00987183"/>
    <w:rsid w:val="009B04B3"/>
    <w:rsid w:val="009B13DC"/>
    <w:rsid w:val="009C17A5"/>
    <w:rsid w:val="009D71AB"/>
    <w:rsid w:val="00A05063"/>
    <w:rsid w:val="00A10D74"/>
    <w:rsid w:val="00A21C56"/>
    <w:rsid w:val="00A75B1D"/>
    <w:rsid w:val="00A8074A"/>
    <w:rsid w:val="00AC208B"/>
    <w:rsid w:val="00AE18E6"/>
    <w:rsid w:val="00AE2E52"/>
    <w:rsid w:val="00B51269"/>
    <w:rsid w:val="00B63227"/>
    <w:rsid w:val="00B703A6"/>
    <w:rsid w:val="00BD689E"/>
    <w:rsid w:val="00BE6355"/>
    <w:rsid w:val="00BF4B7D"/>
    <w:rsid w:val="00C16DE5"/>
    <w:rsid w:val="00C67B0C"/>
    <w:rsid w:val="00C77EBC"/>
    <w:rsid w:val="00C82481"/>
    <w:rsid w:val="00CA188D"/>
    <w:rsid w:val="00CD098A"/>
    <w:rsid w:val="00D137E3"/>
    <w:rsid w:val="00D64C3A"/>
    <w:rsid w:val="00D7053A"/>
    <w:rsid w:val="00DC5C83"/>
    <w:rsid w:val="00E3217E"/>
    <w:rsid w:val="00E51F87"/>
    <w:rsid w:val="00F16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432E568-0796-40AB-ACFB-DBFBABEC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4F"/>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622B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2B4F"/>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622B4F"/>
    <w:pPr>
      <w:tabs>
        <w:tab w:val="center" w:pos="4419"/>
        <w:tab w:val="right" w:pos="8838"/>
      </w:tabs>
    </w:pPr>
  </w:style>
  <w:style w:type="character" w:customStyle="1" w:styleId="EncabezadoCar">
    <w:name w:val="Encabezado Car"/>
    <w:basedOn w:val="Fuentedeprrafopredeter"/>
    <w:link w:val="Encabezado"/>
    <w:uiPriority w:val="99"/>
    <w:rsid w:val="00622B4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22B4F"/>
    <w:pPr>
      <w:tabs>
        <w:tab w:val="center" w:pos="4419"/>
        <w:tab w:val="right" w:pos="8838"/>
      </w:tabs>
    </w:pPr>
  </w:style>
  <w:style w:type="character" w:customStyle="1" w:styleId="PiedepginaCar">
    <w:name w:val="Pie de página Car"/>
    <w:basedOn w:val="Fuentedeprrafopredeter"/>
    <w:link w:val="Piedepgina"/>
    <w:uiPriority w:val="99"/>
    <w:rsid w:val="00622B4F"/>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22B4F"/>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622B4F"/>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622B4F"/>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22B4F"/>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22B4F"/>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22B4F"/>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622B4F"/>
    <w:rPr>
      <w:rFonts w:ascii="Times New Roman" w:eastAsia="Times New Roman" w:hAnsi="Times New Roman" w:cs="Times New Roman"/>
      <w:sz w:val="20"/>
      <w:szCs w:val="20"/>
      <w:lang w:eastAsia="es-MX"/>
    </w:rPr>
  </w:style>
  <w:style w:type="table" w:styleId="Tablanormal1">
    <w:name w:val="Plain Table 1"/>
    <w:basedOn w:val="Tablanormal"/>
    <w:uiPriority w:val="41"/>
    <w:rsid w:val="003511A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aliases w:val="Francesa,INAI"/>
    <w:link w:val="SinespaciadoCar"/>
    <w:uiPriority w:val="1"/>
    <w:qFormat/>
    <w:rsid w:val="00487B0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87B05"/>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B512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591887">
      <w:bodyDiv w:val="1"/>
      <w:marLeft w:val="0"/>
      <w:marRight w:val="0"/>
      <w:marTop w:val="0"/>
      <w:marBottom w:val="0"/>
      <w:divBdr>
        <w:top w:val="none" w:sz="0" w:space="0" w:color="auto"/>
        <w:left w:val="none" w:sz="0" w:space="0" w:color="auto"/>
        <w:bottom w:val="none" w:sz="0" w:space="0" w:color="auto"/>
        <w:right w:val="none" w:sz="0" w:space="0" w:color="auto"/>
      </w:divBdr>
    </w:div>
    <w:div w:id="1134640894">
      <w:bodyDiv w:val="1"/>
      <w:marLeft w:val="0"/>
      <w:marRight w:val="0"/>
      <w:marTop w:val="0"/>
      <w:marBottom w:val="0"/>
      <w:divBdr>
        <w:top w:val="none" w:sz="0" w:space="0" w:color="auto"/>
        <w:left w:val="none" w:sz="0" w:space="0" w:color="auto"/>
        <w:bottom w:val="none" w:sz="0" w:space="0" w:color="auto"/>
        <w:right w:val="none" w:sz="0" w:space="0" w:color="auto"/>
      </w:divBdr>
    </w:div>
    <w:div w:id="1235774684">
      <w:bodyDiv w:val="1"/>
      <w:marLeft w:val="0"/>
      <w:marRight w:val="0"/>
      <w:marTop w:val="0"/>
      <w:marBottom w:val="0"/>
      <w:divBdr>
        <w:top w:val="none" w:sz="0" w:space="0" w:color="auto"/>
        <w:left w:val="none" w:sz="0" w:space="0" w:color="auto"/>
        <w:bottom w:val="none" w:sz="0" w:space="0" w:color="auto"/>
        <w:right w:val="none" w:sz="0" w:space="0" w:color="auto"/>
      </w:divBdr>
    </w:div>
    <w:div w:id="1755399427">
      <w:bodyDiv w:val="1"/>
      <w:marLeft w:val="0"/>
      <w:marRight w:val="0"/>
      <w:marTop w:val="0"/>
      <w:marBottom w:val="0"/>
      <w:divBdr>
        <w:top w:val="none" w:sz="0" w:space="0" w:color="auto"/>
        <w:left w:val="none" w:sz="0" w:space="0" w:color="auto"/>
        <w:bottom w:val="none" w:sz="0" w:space="0" w:color="auto"/>
        <w:right w:val="none" w:sz="0" w:space="0" w:color="auto"/>
      </w:divBdr>
    </w:div>
    <w:div w:id="175651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55534.page" TargetMode="External"/><Relationship Id="rId13" Type="http://schemas.openxmlformats.org/officeDocument/2006/relationships/hyperlink" Target="https://saimex.org.mx/saimex/solicitud/downloadAttach/1371145.pag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saimex.org.mx/saimex/solicitud/downloadAttach/1354094.page" TargetMode="Externa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371145.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pomex.org.mx/ipo3/lgt/indice/NICOLASROMERO/art_92_xix.web" TargetMode="External"/><Relationship Id="rId23" Type="http://schemas.openxmlformats.org/officeDocument/2006/relationships/fontTable" Target="fontTable.xml"/><Relationship Id="rId10" Type="http://schemas.openxmlformats.org/officeDocument/2006/relationships/hyperlink" Target="https://www.ipomex.org.mx/ipo3/lgt/indice/NICOLASROMERO/art_92_xix.web"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saimex.org.mx/saimex/solicitud/downloadAttach/1355535.page"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28</Pages>
  <Words>5590</Words>
  <Characters>30750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5</cp:revision>
  <dcterms:created xsi:type="dcterms:W3CDTF">2022-07-12T16:39:00Z</dcterms:created>
  <dcterms:modified xsi:type="dcterms:W3CDTF">2022-08-12T16:13:00Z</dcterms:modified>
</cp:coreProperties>
</file>