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64B5B6E4"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7900A4">
        <w:rPr>
          <w:rFonts w:ascii="Palatino Linotype" w:eastAsia="Times New Roman" w:hAnsi="Palatino Linotype" w:cs="Arial"/>
          <w:color w:val="000000"/>
          <w:sz w:val="24"/>
          <w:szCs w:val="24"/>
          <w:lang w:eastAsia="es-MX"/>
        </w:rPr>
        <w:t xml:space="preserve">, a </w:t>
      </w:r>
      <w:r w:rsidR="00FD6B57" w:rsidRPr="007900A4">
        <w:rPr>
          <w:rFonts w:ascii="Palatino Linotype" w:eastAsia="Times New Roman" w:hAnsi="Palatino Linotype" w:cs="Arial"/>
          <w:color w:val="000000"/>
          <w:sz w:val="24"/>
          <w:szCs w:val="24"/>
          <w:lang w:eastAsia="es-MX"/>
        </w:rPr>
        <w:t>dieciséis de febrero de dos mil veintidós.</w:t>
      </w:r>
      <w:r w:rsidR="00FD6B57">
        <w:rPr>
          <w:rFonts w:ascii="Palatino Linotype" w:eastAsia="Times New Roman" w:hAnsi="Palatino Linotype" w:cs="Arial"/>
          <w:color w:val="000000"/>
          <w:sz w:val="24"/>
          <w:szCs w:val="24"/>
          <w:lang w:eastAsia="es-MX"/>
        </w:rPr>
        <w:t xml:space="preserve"> </w:t>
      </w:r>
      <w:r w:rsidR="00073E92">
        <w:rPr>
          <w:rFonts w:ascii="Palatino Linotype" w:eastAsia="Times New Roman" w:hAnsi="Palatino Linotype" w:cs="Arial"/>
          <w:color w:val="000000"/>
          <w:sz w:val="24"/>
          <w:szCs w:val="24"/>
          <w:lang w:eastAsia="es-MX"/>
        </w:rPr>
        <w:t xml:space="preserve"> </w:t>
      </w:r>
      <w:r w:rsidR="00D414E0">
        <w:rPr>
          <w:rFonts w:ascii="Palatino Linotype" w:eastAsia="Times New Roman" w:hAnsi="Palatino Linotype" w:cs="Arial"/>
          <w:color w:val="000000"/>
          <w:sz w:val="24"/>
          <w:szCs w:val="24"/>
          <w:lang w:eastAsia="es-MX"/>
        </w:rPr>
        <w:t xml:space="preserve"> </w:t>
      </w:r>
      <w:r w:rsidR="003A241D">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5F9B75EB" w14:textId="21CCE95E" w:rsidR="00073E92" w:rsidRPr="00073E92" w:rsidRDefault="006D5803" w:rsidP="006D5803">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FD6B57">
        <w:rPr>
          <w:rFonts w:ascii="Palatino Linotype" w:hAnsi="Palatino Linotype" w:cs="Arial"/>
          <w:b/>
          <w:sz w:val="24"/>
        </w:rPr>
        <w:t>00100/INFOEM/IP/RR/2022</w:t>
      </w:r>
      <w:r>
        <w:rPr>
          <w:rFonts w:ascii="Palatino Linotype" w:hAnsi="Palatino Linotype" w:cs="Arial"/>
          <w:b/>
          <w:sz w:val="24"/>
        </w:rPr>
        <w:t xml:space="preserve">, </w:t>
      </w:r>
      <w:r>
        <w:rPr>
          <w:rFonts w:ascii="Palatino Linotype" w:hAnsi="Palatino Linotype" w:cs="Arial"/>
          <w:sz w:val="24"/>
        </w:rPr>
        <w:t xml:space="preserve">interpuesto por </w:t>
      </w:r>
      <w:r w:rsidR="00811DCF">
        <w:rPr>
          <w:rFonts w:ascii="Palatino Linotype" w:hAnsi="Palatino Linotype" w:cs="Arial"/>
          <w:sz w:val="24"/>
        </w:rPr>
        <w:t xml:space="preserve">el </w:t>
      </w:r>
      <w:r w:rsidR="00FD6B57">
        <w:rPr>
          <w:rFonts w:ascii="Palatino Linotype" w:hAnsi="Palatino Linotype" w:cs="Arial"/>
          <w:b/>
          <w:sz w:val="24"/>
        </w:rPr>
        <w:t xml:space="preserve">C. </w:t>
      </w:r>
      <w:r w:rsidR="00A44D5C">
        <w:rPr>
          <w:rFonts w:ascii="Palatino Linotype" w:hAnsi="Palatino Linotype" w:cs="Arial"/>
          <w:b/>
          <w:sz w:val="24"/>
        </w:rPr>
        <w:t>xxxxxxxxxx</w:t>
      </w:r>
      <w:r w:rsidR="00FD6B57">
        <w:rPr>
          <w:rFonts w:ascii="Palatino Linotype" w:hAnsi="Palatino Linotype" w:cs="Arial"/>
          <w:b/>
          <w:sz w:val="24"/>
        </w:rPr>
        <w:t xml:space="preserve">, </w:t>
      </w:r>
      <w:r w:rsidR="00FD6B57">
        <w:rPr>
          <w:rFonts w:ascii="Palatino Linotype" w:hAnsi="Palatino Linotype" w:cs="Arial"/>
          <w:sz w:val="24"/>
        </w:rPr>
        <w:t xml:space="preserve">en lo sucesivo </w:t>
      </w:r>
      <w:r w:rsidR="00FD6B57">
        <w:rPr>
          <w:rFonts w:ascii="Palatino Linotype" w:hAnsi="Palatino Linotype" w:cs="Arial"/>
          <w:b/>
          <w:sz w:val="24"/>
        </w:rPr>
        <w:t xml:space="preserve">El Recurrente, </w:t>
      </w:r>
      <w:r w:rsidR="00FD6B57">
        <w:rPr>
          <w:rFonts w:ascii="Palatino Linotype" w:hAnsi="Palatino Linotype" w:cs="Arial"/>
          <w:sz w:val="24"/>
        </w:rPr>
        <w:t xml:space="preserve">en contra de la respuesta del </w:t>
      </w:r>
      <w:r w:rsidR="00FD6B57">
        <w:rPr>
          <w:rFonts w:ascii="Palatino Linotype" w:hAnsi="Palatino Linotype" w:cs="Arial"/>
          <w:b/>
          <w:sz w:val="24"/>
        </w:rPr>
        <w:t xml:space="preserve">Ayuntamiento de Naucalpan de Juárez, </w:t>
      </w:r>
      <w:r w:rsidR="00073E92">
        <w:rPr>
          <w:rFonts w:ascii="Palatino Linotype" w:hAnsi="Palatino Linotype" w:cs="Arial"/>
          <w:sz w:val="24"/>
        </w:rPr>
        <w:t xml:space="preserve">en lo sucesivo </w:t>
      </w:r>
      <w:r w:rsidR="00073E92">
        <w:rPr>
          <w:rFonts w:ascii="Palatino Linotype" w:hAnsi="Palatino Linotype" w:cs="Arial"/>
          <w:b/>
          <w:sz w:val="24"/>
        </w:rPr>
        <w:t xml:space="preserve">El Sujeto Obligado, </w:t>
      </w:r>
      <w:r w:rsidR="00073E92">
        <w:rPr>
          <w:rFonts w:ascii="Palatino Linotype" w:hAnsi="Palatino Linotype" w:cs="Arial"/>
          <w:sz w:val="24"/>
        </w:rPr>
        <w:t xml:space="preserve">se procede a dictar la presente resolución. </w:t>
      </w:r>
    </w:p>
    <w:p w14:paraId="3A021C61" w14:textId="77777777" w:rsidR="00D414E0" w:rsidRDefault="00D414E0"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5B8590C" w14:textId="61F5D185" w:rsidR="00FD6B57"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D414E0">
        <w:rPr>
          <w:rFonts w:ascii="Palatino Linotype" w:hAnsi="Palatino Linotype" w:cs="Arial"/>
          <w:sz w:val="24"/>
        </w:rPr>
        <w:t xml:space="preserve"> </w:t>
      </w:r>
      <w:r w:rsidR="00FD6B57">
        <w:rPr>
          <w:rFonts w:ascii="Palatino Linotype" w:hAnsi="Palatino Linotype" w:cs="Arial"/>
          <w:sz w:val="24"/>
        </w:rPr>
        <w:t xml:space="preserve">catorce de diciembre de dos mil veintiuno, </w:t>
      </w:r>
      <w:r w:rsidR="00FD6B57">
        <w:rPr>
          <w:rFonts w:ascii="Palatino Linotype" w:hAnsi="Palatino Linotype" w:cs="Arial"/>
          <w:b/>
          <w:sz w:val="24"/>
        </w:rPr>
        <w:t xml:space="preserve">El Recurrente </w:t>
      </w:r>
      <w:r w:rsidR="00FD6B57" w:rsidRPr="00B22B55">
        <w:rPr>
          <w:rFonts w:ascii="Palatino Linotype" w:hAnsi="Palatino Linotype" w:cs="Arial"/>
          <w:sz w:val="24"/>
        </w:rPr>
        <w:t xml:space="preserve">presentó a través del </w:t>
      </w:r>
      <w:r w:rsidR="00FD6B57" w:rsidRPr="00EF3A46">
        <w:rPr>
          <w:rFonts w:ascii="Palatino Linotype" w:hAnsi="Palatino Linotype" w:cs="Arial"/>
          <w:sz w:val="24"/>
        </w:rPr>
        <w:t>a través de la Plataforma Nacional de Trasparencia (PNT)</w:t>
      </w:r>
      <w:r w:rsidR="00FD6B57">
        <w:rPr>
          <w:rFonts w:ascii="Palatino Linotype" w:hAnsi="Palatino Linotype" w:cs="Arial"/>
          <w:sz w:val="24"/>
        </w:rPr>
        <w:t>,</w:t>
      </w:r>
      <w:r w:rsidR="00FD6B57" w:rsidRPr="00EF3A46">
        <w:rPr>
          <w:rFonts w:ascii="Palatino Linotype" w:hAnsi="Palatino Linotype" w:cs="Arial"/>
          <w:sz w:val="24"/>
        </w:rPr>
        <w:t xml:space="preserve"> vinculada al </w:t>
      </w:r>
      <w:r w:rsidR="00FD6B57" w:rsidRPr="00B22B55">
        <w:rPr>
          <w:rFonts w:ascii="Palatino Linotype" w:hAnsi="Palatino Linotype" w:cs="Arial"/>
          <w:sz w:val="24"/>
        </w:rPr>
        <w:t>Sistema de Acceso a la Información Mexiquense (</w:t>
      </w:r>
      <w:r w:rsidR="00FD6B57" w:rsidRPr="00B22B55">
        <w:rPr>
          <w:rFonts w:ascii="Palatino Linotype" w:hAnsi="Palatino Linotype" w:cs="Arial"/>
          <w:b/>
          <w:sz w:val="24"/>
        </w:rPr>
        <w:t>SAIMEX</w:t>
      </w:r>
      <w:r w:rsidR="00FD6B57" w:rsidRPr="00B22B55">
        <w:rPr>
          <w:rFonts w:ascii="Palatino Linotype" w:hAnsi="Palatino Linotype" w:cs="Arial"/>
          <w:sz w:val="24"/>
        </w:rPr>
        <w:t xml:space="preserve">) ante </w:t>
      </w:r>
      <w:r w:rsidR="00FD6B57" w:rsidRPr="00B22B55">
        <w:rPr>
          <w:rFonts w:ascii="Palatino Linotype" w:hAnsi="Palatino Linotype" w:cs="Arial"/>
          <w:b/>
          <w:sz w:val="24"/>
        </w:rPr>
        <w:t>El Sujeto Obligado</w:t>
      </w:r>
      <w:r w:rsidR="00FD6B57" w:rsidRPr="00B22B55">
        <w:rPr>
          <w:rFonts w:ascii="Palatino Linotype" w:hAnsi="Palatino Linotype" w:cs="Arial"/>
          <w:sz w:val="24"/>
        </w:rPr>
        <w:t>, la solicitud de acceso a la información, registrada bajo el número de expediente</w:t>
      </w:r>
      <w:r w:rsidR="00FD6B57" w:rsidRPr="00B22B55">
        <w:rPr>
          <w:rFonts w:ascii="Palatino Linotype" w:hAnsi="Palatino Linotype" w:cs="Arial"/>
          <w:b/>
          <w:sz w:val="24"/>
        </w:rPr>
        <w:t xml:space="preserve"> </w:t>
      </w:r>
      <w:r w:rsidR="00FD6B57">
        <w:rPr>
          <w:rFonts w:ascii="Palatino Linotype" w:hAnsi="Palatino Linotype" w:cs="Arial"/>
          <w:b/>
          <w:sz w:val="24"/>
        </w:rPr>
        <w:t xml:space="preserve">00932/NAUCALPA/IP/2021, </w:t>
      </w:r>
      <w:r w:rsidR="00FD6B57">
        <w:rPr>
          <w:rFonts w:ascii="Palatino Linotype" w:hAnsi="Palatino Linotype" w:cs="Arial"/>
          <w:sz w:val="24"/>
        </w:rPr>
        <w:t>mediante la cual solicitó lo siguiente:</w:t>
      </w:r>
    </w:p>
    <w:p w14:paraId="2E73BDC6" w14:textId="077057EB" w:rsidR="00FD6B57" w:rsidRDefault="00FD6B57" w:rsidP="00FD6B57">
      <w:pPr>
        <w:pStyle w:val="Citas"/>
        <w:rPr>
          <w:b/>
        </w:rPr>
      </w:pPr>
      <w:r>
        <w:t xml:space="preserve">“1. El Convenio o contrato de comodato celebrado entre el Municipio o Ayuntamiento de Naucalpan de Juárez, Estado de México, el Consejo de Participación Ciudadana, Asociación de Colonos de Satélite, AC, y el titular del inmueble ubicado en la calle de </w:t>
      </w:r>
      <w:r w:rsidR="00596E2E">
        <w:t>xxxxxxxxxxxxxxxx</w:t>
      </w:r>
      <w:r>
        <w:t xml:space="preserve">, </w:t>
      </w:r>
      <w:r w:rsidR="00596E2E">
        <w:t>xxxxxxxxxxx</w:t>
      </w:r>
      <w:r>
        <w:t xml:space="preserve">, Naucalpan, Estado de México. 2. La licencia de construcción para la construcción en área común </w:t>
      </w:r>
      <w:r>
        <w:lastRenderedPageBreak/>
        <w:t xml:space="preserve">del inmueble ubicado en la Calle </w:t>
      </w:r>
      <w:r w:rsidR="00596E2E">
        <w:t>xxxxxxxxxxxxxxx</w:t>
      </w:r>
      <w:r>
        <w:t xml:space="preserve">, </w:t>
      </w:r>
      <w:r w:rsidR="00596E2E">
        <w:t>xxxxxxxxxxxxx</w:t>
      </w:r>
      <w:r>
        <w:t xml:space="preserve">, Naucalpan, Estado de México.” </w:t>
      </w:r>
      <w:r>
        <w:rPr>
          <w:b/>
        </w:rPr>
        <w:t xml:space="preserve">[Sic] </w:t>
      </w:r>
    </w:p>
    <w:p w14:paraId="661E47BA" w14:textId="69515242" w:rsidR="007818E1" w:rsidRDefault="00842697" w:rsidP="00842697">
      <w:pPr>
        <w:pStyle w:val="Citas"/>
        <w:tabs>
          <w:tab w:val="left" w:pos="7655"/>
        </w:tabs>
        <w:ind w:left="0" w:right="0"/>
        <w:rPr>
          <w:i w:val="0"/>
          <w:sz w:val="24"/>
        </w:rPr>
      </w:pPr>
      <w:r>
        <w:rPr>
          <w:i w:val="0"/>
          <w:sz w:val="24"/>
        </w:rPr>
        <w:t xml:space="preserve">De forma complementaria, remitió el documento electrónico </w:t>
      </w:r>
      <w:r>
        <w:rPr>
          <w:b/>
          <w:i w:val="0"/>
          <w:sz w:val="24"/>
        </w:rPr>
        <w:t xml:space="preserve">“Archivo Adjunto a la Solicitud” </w:t>
      </w:r>
      <w:r>
        <w:rPr>
          <w:i w:val="0"/>
          <w:sz w:val="24"/>
        </w:rPr>
        <w:t xml:space="preserve">mismo que compila una captura de pantalla correspondiente a una aplicación de geolocalización, así como tres fotografías. </w:t>
      </w:r>
    </w:p>
    <w:p w14:paraId="6FCDA616" w14:textId="77777777" w:rsidR="00842697" w:rsidRPr="00FD6B57" w:rsidRDefault="00842697" w:rsidP="00842697">
      <w:pPr>
        <w:pStyle w:val="Citas"/>
        <w:tabs>
          <w:tab w:val="left" w:pos="7655"/>
        </w:tabs>
        <w:ind w:left="0" w:right="0"/>
        <w:rPr>
          <w:b/>
          <w:sz w:val="24"/>
        </w:rPr>
      </w:pPr>
    </w:p>
    <w:p w14:paraId="284BBE4E" w14:textId="1554D421" w:rsidR="006D5803" w:rsidRDefault="00985AD2" w:rsidP="00073E92">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w:t>
      </w:r>
      <w:r w:rsidR="006D5803" w:rsidRPr="00124209">
        <w:rPr>
          <w:rFonts w:ascii="Palatino Linotype" w:eastAsia="Times New Roman" w:hAnsi="Palatino Linotype" w:cs="Times New Roman"/>
          <w:b/>
          <w:sz w:val="24"/>
          <w:szCs w:val="24"/>
          <w:lang w:val="es-ES_tradnl" w:eastAsia="es-ES"/>
        </w:rPr>
        <w:t>odalidad de entrega:</w:t>
      </w:r>
      <w:r w:rsidR="006D5803" w:rsidRPr="00124209">
        <w:rPr>
          <w:rFonts w:ascii="Palatino Linotype" w:eastAsia="Times New Roman" w:hAnsi="Palatino Linotype" w:cs="Times New Roman"/>
          <w:sz w:val="24"/>
          <w:szCs w:val="24"/>
          <w:lang w:val="es-ES_tradnl" w:eastAsia="es-ES"/>
        </w:rPr>
        <w:t xml:space="preserve"> </w:t>
      </w:r>
      <w:r w:rsidR="00FD6B57" w:rsidRPr="00124209">
        <w:rPr>
          <w:rFonts w:ascii="Palatino Linotype" w:eastAsia="Times New Roman" w:hAnsi="Palatino Linotype" w:cs="Times New Roman"/>
          <w:sz w:val="24"/>
          <w:szCs w:val="24"/>
          <w:lang w:val="es-ES_tradnl" w:eastAsia="es-ES"/>
        </w:rPr>
        <w:t xml:space="preserve">A través del SAIMEX, correo electrónico, </w:t>
      </w:r>
      <w:r w:rsidR="00B51FC0" w:rsidRPr="00124209">
        <w:rPr>
          <w:rFonts w:ascii="Palatino Linotype" w:eastAsia="Times New Roman" w:hAnsi="Palatino Linotype" w:cs="Times New Roman"/>
          <w:sz w:val="24"/>
          <w:szCs w:val="24"/>
          <w:lang w:val="es-ES_tradnl" w:eastAsia="es-ES"/>
        </w:rPr>
        <w:t>USB, SD Y CD-ROM, en formato Pdf o Word.</w:t>
      </w:r>
      <w:r w:rsidR="00B51FC0">
        <w:rPr>
          <w:rFonts w:ascii="Palatino Linotype" w:eastAsia="Times New Roman" w:hAnsi="Palatino Linotype" w:cs="Times New Roman"/>
          <w:sz w:val="24"/>
          <w:szCs w:val="24"/>
          <w:lang w:val="es-ES_tradnl" w:eastAsia="es-ES"/>
        </w:rPr>
        <w:t xml:space="preserve"> </w:t>
      </w:r>
    </w:p>
    <w:p w14:paraId="029956B8" w14:textId="77777777" w:rsidR="00073E92" w:rsidRDefault="00073E92" w:rsidP="00073E92">
      <w:pPr>
        <w:spacing w:before="240" w:line="360" w:lineRule="auto"/>
        <w:jc w:val="both"/>
        <w:rPr>
          <w:rFonts w:ascii="Palatino Linotype" w:eastAsia="Times New Roman" w:hAnsi="Palatino Linotype" w:cs="Times New Roman"/>
          <w:sz w:val="24"/>
          <w:szCs w:val="24"/>
          <w:lang w:val="es-ES_tradnl" w:eastAsia="es-ES"/>
        </w:rPr>
      </w:pPr>
    </w:p>
    <w:p w14:paraId="3D1C9994" w14:textId="77777777" w:rsidR="00073E92" w:rsidRDefault="00073E92" w:rsidP="00073E92">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E308D72" w14:textId="2419BE33" w:rsidR="00AB65D4"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AB65D4">
        <w:rPr>
          <w:rFonts w:ascii="Palatino Linotype" w:hAnsi="Palatino Linotype" w:cs="Arial"/>
          <w:sz w:val="24"/>
          <w:szCs w:val="24"/>
        </w:rPr>
        <w:t xml:space="preserve">diez de enero de dos mil veintidós, </w:t>
      </w:r>
      <w:r w:rsidR="00AB65D4">
        <w:rPr>
          <w:rFonts w:ascii="Palatino Linotype" w:hAnsi="Palatino Linotype" w:cs="Arial"/>
          <w:b/>
          <w:sz w:val="24"/>
          <w:szCs w:val="24"/>
        </w:rPr>
        <w:t xml:space="preserve">El Sujeto Obligado </w:t>
      </w:r>
      <w:r w:rsidR="00AB65D4">
        <w:rPr>
          <w:rFonts w:ascii="Palatino Linotype" w:hAnsi="Palatino Linotype" w:cs="Arial"/>
          <w:sz w:val="24"/>
          <w:szCs w:val="24"/>
        </w:rPr>
        <w:t xml:space="preserve">dio respuesta a la solicitud de información en los siguientes términos: </w:t>
      </w:r>
    </w:p>
    <w:p w14:paraId="0B9F9BF4" w14:textId="040D8128" w:rsidR="00AB65D4" w:rsidRDefault="00AB65D4" w:rsidP="00AB65D4">
      <w:pPr>
        <w:pStyle w:val="Citas"/>
      </w:pPr>
      <w:r w:rsidRPr="00AB65D4">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15208A70" w14:textId="72F2CBBA" w:rsidR="00AB65D4" w:rsidRPr="00AB65D4" w:rsidRDefault="00AB65D4" w:rsidP="00AB65D4">
      <w:pPr>
        <w:pStyle w:val="Citas"/>
        <w:rPr>
          <w:b/>
        </w:rPr>
      </w:pPr>
      <w:r w:rsidRPr="00AB65D4">
        <w:t xml:space="preserve">Se hace entrega en archivo adjunto de la información proporcionada por el área responsable de la información requerida "Secretaría del Ayuntamiento", por lo tanto se otorga respuesta en términos de los artículo 6 de la Constitución Política de los </w:t>
      </w:r>
      <w:r w:rsidRPr="00AB65D4">
        <w:lastRenderedPageBreak/>
        <w:t>Estados Unidos Mexicanos; 5 de la Constitución Política del Estado Libre y Soberano de México; 1, 2 fracciones II, V, y VIII, 3, 4, 11, 41 y 46 de la Ley de Transparencia y Acceso a la Información Pública del Estado de México;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w:t>
      </w:r>
      <w:r>
        <w:t xml:space="preserve"> información” </w:t>
      </w:r>
      <w:r>
        <w:rPr>
          <w:b/>
        </w:rPr>
        <w:t xml:space="preserve">[Sic] </w:t>
      </w:r>
    </w:p>
    <w:p w14:paraId="052E8F86" w14:textId="59D55500" w:rsidR="00AB65D4" w:rsidRPr="00AB65D4" w:rsidRDefault="00AB65D4"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sz w:val="24"/>
          <w:szCs w:val="24"/>
        </w:rPr>
        <w:t xml:space="preserve">“Respuesta solicitud 00932.pdf”, </w:t>
      </w:r>
      <w:r>
        <w:rPr>
          <w:rFonts w:ascii="Palatino Linotype" w:hAnsi="Palatino Linotype" w:cs="Arial"/>
          <w:sz w:val="24"/>
          <w:szCs w:val="24"/>
        </w:rPr>
        <w:t xml:space="preserve">cuyo contenido será materia de análisis en el considerando respectivo. </w:t>
      </w:r>
    </w:p>
    <w:p w14:paraId="32DBFF68" w14:textId="77777777" w:rsidR="00DF75B7" w:rsidRPr="007E24F0" w:rsidRDefault="00DF75B7" w:rsidP="00073E92">
      <w:pPr>
        <w:spacing w:before="240" w:line="360" w:lineRule="auto"/>
        <w:jc w:val="both"/>
        <w:rPr>
          <w:rFonts w:ascii="Palatino Linotype" w:hAnsi="Palatino Linotype" w:cs="Arial"/>
          <w:sz w:val="24"/>
          <w:szCs w:val="24"/>
        </w:rPr>
      </w:pPr>
    </w:p>
    <w:p w14:paraId="067753A9" w14:textId="77777777" w:rsidR="00073E92" w:rsidRDefault="00073E92" w:rsidP="00073E92">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682AC0C2" w14:textId="609C52AC" w:rsidR="00AB65D4" w:rsidRPr="00AB65D4"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sidR="00AB65D4">
        <w:rPr>
          <w:rFonts w:ascii="Palatino Linotype" w:hAnsi="Palatino Linotype" w:cs="Arial"/>
          <w:sz w:val="24"/>
          <w:szCs w:val="24"/>
        </w:rPr>
        <w:t xml:space="preserve">trece de enero de dos mil veintidós, el cual fue registrado en el sistema electrónico con el expediente número </w:t>
      </w:r>
      <w:r w:rsidR="00AB65D4">
        <w:rPr>
          <w:rFonts w:ascii="Palatino Linotype" w:hAnsi="Palatino Linotype" w:cs="Arial"/>
          <w:b/>
          <w:sz w:val="24"/>
          <w:szCs w:val="24"/>
        </w:rPr>
        <w:t xml:space="preserve">00100/INFOEM/IP/RR/2022, </w:t>
      </w:r>
      <w:r w:rsidR="00AB65D4">
        <w:rPr>
          <w:rFonts w:ascii="Palatino Linotype" w:hAnsi="Palatino Linotype" w:cs="Arial"/>
          <w:sz w:val="24"/>
          <w:szCs w:val="24"/>
        </w:rPr>
        <w:t xml:space="preserve">en el cual arguye </w:t>
      </w:r>
      <w:r w:rsidR="0072378A">
        <w:rPr>
          <w:rFonts w:ascii="Palatino Linotype" w:hAnsi="Palatino Linotype" w:cs="Arial"/>
          <w:sz w:val="24"/>
          <w:szCs w:val="24"/>
        </w:rPr>
        <w:t>únicamente las siguientes manifestaciones:</w:t>
      </w:r>
      <w:r w:rsidR="00AB65D4">
        <w:rPr>
          <w:rFonts w:ascii="Palatino Linotype" w:hAnsi="Palatino Linotype" w:cs="Arial"/>
          <w:sz w:val="24"/>
          <w:szCs w:val="24"/>
        </w:rPr>
        <w:t xml:space="preserve"> </w:t>
      </w:r>
    </w:p>
    <w:p w14:paraId="340DAA60" w14:textId="77777777" w:rsidR="00073E92" w:rsidRDefault="00073E92" w:rsidP="00073E92">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B4E0576" w14:textId="262346A6" w:rsidR="00073E92" w:rsidRPr="00C2092D" w:rsidRDefault="00073E92" w:rsidP="00073E92">
      <w:pPr>
        <w:pStyle w:val="Citas"/>
        <w:rPr>
          <w:b/>
          <w:sz w:val="24"/>
        </w:rPr>
      </w:pPr>
      <w:r w:rsidRPr="00AB65D4">
        <w:t>“</w:t>
      </w:r>
      <w:r w:rsidR="00AB65D4" w:rsidRPr="00AB65D4">
        <w:t xml:space="preserve">Son dos motivos: 1. El archivo que el Municipio entrega está incompleto (escaneado intercalado): es decir, al momento de escanear el oficio SA/DT/SPN/A/006/2019 solo se escanearon la página 1 y 3 . Faltan las páginas 2 y 4. A reserva de ver el oficio </w:t>
      </w:r>
      <w:r w:rsidR="00AB65D4" w:rsidRPr="00AB65D4">
        <w:lastRenderedPageBreak/>
        <w:t xml:space="preserve">completo, parece que el oficio que comparten es de la Asociación de Colonos de Jardines de Satélite y no de Asociación de Colonos de Ciudad Satélite. 2. Falta la licencia de construcción relativa al área común del inmueble ubicado en </w:t>
      </w:r>
      <w:r w:rsidR="00596E2E">
        <w:t>xxxxxxx</w:t>
      </w:r>
      <w:r w:rsidR="00AB65D4" w:rsidRPr="00AB65D4">
        <w:t xml:space="preserve"> </w:t>
      </w:r>
      <w:r w:rsidR="00596E2E">
        <w:t>xxxxxxxxxx</w:t>
      </w:r>
      <w:r w:rsidR="00AB65D4" w:rsidRPr="00AB65D4">
        <w:t xml:space="preserve">, </w:t>
      </w:r>
      <w:r w:rsidR="00596E2E">
        <w:t>xxxxxxxxxxxx</w:t>
      </w:r>
      <w:bookmarkStart w:id="0" w:name="_GoBack"/>
      <w:bookmarkEnd w:id="0"/>
      <w:r w:rsidR="00AB65D4" w:rsidRPr="00AB65D4">
        <w:t>, Naucalpan, Estado de México.</w:t>
      </w:r>
      <w:r w:rsidRPr="00AB65D4">
        <w:t>”</w:t>
      </w:r>
      <w:r w:rsidRPr="007E24F0">
        <w:t xml:space="preserve"> </w:t>
      </w:r>
      <w:r>
        <w:rPr>
          <w:b/>
        </w:rPr>
        <w:t xml:space="preserve">[Sic] </w:t>
      </w:r>
    </w:p>
    <w:p w14:paraId="2B5B5F6D" w14:textId="77777777" w:rsidR="00073E92" w:rsidRDefault="00073E92" w:rsidP="00073E92">
      <w:pPr>
        <w:pStyle w:val="Citas"/>
        <w:ind w:left="0"/>
        <w:rPr>
          <w:b/>
        </w:rPr>
      </w:pPr>
    </w:p>
    <w:p w14:paraId="50083FA1" w14:textId="09ECB8DA" w:rsidR="00AB65D4" w:rsidRPr="0072378A" w:rsidRDefault="0072378A" w:rsidP="0072378A">
      <w:pPr>
        <w:pStyle w:val="Citas"/>
        <w:ind w:left="0" w:right="0"/>
        <w:rPr>
          <w:i w:val="0"/>
          <w:sz w:val="24"/>
          <w:szCs w:val="24"/>
        </w:rPr>
      </w:pPr>
      <w:r w:rsidRPr="0072378A">
        <w:rPr>
          <w:i w:val="0"/>
          <w:sz w:val="24"/>
          <w:szCs w:val="24"/>
        </w:rPr>
        <w:t xml:space="preserve">Precisando que fue omiso en rendir razones o motivos de inconformidad. En contraste, remitió el documento electrónico </w:t>
      </w:r>
      <w:r w:rsidRPr="0072378A">
        <w:rPr>
          <w:b/>
          <w:i w:val="0"/>
          <w:sz w:val="24"/>
          <w:szCs w:val="24"/>
        </w:rPr>
        <w:t xml:space="preserve">“Archivo1642100225562” </w:t>
      </w:r>
      <w:r>
        <w:rPr>
          <w:i w:val="0"/>
          <w:sz w:val="24"/>
          <w:szCs w:val="24"/>
        </w:rPr>
        <w:t xml:space="preserve">cuyo contenido fue imposible de visualizar. </w:t>
      </w:r>
    </w:p>
    <w:p w14:paraId="709DF4DA" w14:textId="77777777" w:rsidR="00AB65D4" w:rsidRPr="00AB65D4" w:rsidRDefault="00AB65D4" w:rsidP="00073E92">
      <w:pPr>
        <w:pStyle w:val="Citas"/>
        <w:ind w:left="0"/>
        <w:rPr>
          <w:i w:val="0"/>
        </w:rPr>
      </w:pPr>
    </w:p>
    <w:p w14:paraId="6B689A4F" w14:textId="77777777" w:rsidR="00073E92" w:rsidRDefault="00073E92"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2059E6D4" w14:textId="06BC0146" w:rsidR="007E24F0" w:rsidRDefault="00073E92" w:rsidP="007E24F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72378A">
        <w:rPr>
          <w:rFonts w:ascii="Palatino Linotype" w:hAnsi="Palatino Linotype" w:cs="Arial"/>
          <w:sz w:val="24"/>
          <w:szCs w:val="24"/>
        </w:rPr>
        <w:t xml:space="preserve">dieciocho de enero de dos mil veintidós, </w:t>
      </w:r>
      <w:r w:rsidR="007E24F0">
        <w:rPr>
          <w:rFonts w:ascii="Palatino Linotype" w:hAnsi="Palatino Linotype" w:cs="Arial"/>
          <w:sz w:val="24"/>
          <w:szCs w:val="24"/>
        </w:rPr>
        <w:t>determinándose en él, un plazo de siete días para que las partes manifestaran lo que a su derecho corresponda en términos del numeral ya citado.</w:t>
      </w:r>
    </w:p>
    <w:p w14:paraId="441E39F5" w14:textId="12BB73EC" w:rsidR="007E24F0" w:rsidRDefault="007E24F0" w:rsidP="00073E92">
      <w:pPr>
        <w:spacing w:before="240" w:line="360" w:lineRule="auto"/>
        <w:jc w:val="both"/>
        <w:rPr>
          <w:rFonts w:ascii="Palatino Linotype" w:hAnsi="Palatino Linotype" w:cs="Arial"/>
          <w:sz w:val="24"/>
          <w:szCs w:val="24"/>
        </w:rPr>
      </w:pPr>
    </w:p>
    <w:p w14:paraId="66F3567F" w14:textId="77777777" w:rsidR="00073E92" w:rsidRDefault="00073E92"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6F686582" w14:textId="77777777" w:rsidR="0072378A" w:rsidRDefault="0072378A" w:rsidP="0072378A">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130B31C1" w14:textId="4DA6AE78" w:rsidR="0072378A" w:rsidRDefault="0072378A" w:rsidP="0072378A">
      <w:pPr>
        <w:spacing w:before="240" w:line="360" w:lineRule="auto"/>
        <w:jc w:val="both"/>
        <w:rPr>
          <w:rFonts w:ascii="Palatino Linotype" w:hAnsi="Palatino Linotype" w:cs="Arial"/>
          <w:sz w:val="24"/>
          <w:szCs w:val="24"/>
        </w:rPr>
      </w:pPr>
      <w:r w:rsidRPr="00EC07C3">
        <w:rPr>
          <w:rFonts w:ascii="Palatino Linotype" w:hAnsi="Palatino Linotype" w:cs="Arial"/>
          <w:sz w:val="24"/>
          <w:szCs w:val="24"/>
        </w:rPr>
        <w:t xml:space="preserve">Por lo que una vez transcurrido el plazo establecido para que las partes manifestaran lo que a su derecho conviniera, en </w:t>
      </w:r>
      <w:r w:rsidRPr="00FE7406">
        <w:rPr>
          <w:rFonts w:ascii="Palatino Linotype" w:hAnsi="Palatino Linotype" w:cs="Arial"/>
          <w:sz w:val="24"/>
          <w:szCs w:val="24"/>
        </w:rPr>
        <w:t xml:space="preserve">fecha </w:t>
      </w:r>
      <w:r>
        <w:rPr>
          <w:rFonts w:ascii="Palatino Linotype" w:hAnsi="Palatino Linotype" w:cs="Arial"/>
          <w:sz w:val="24"/>
          <w:szCs w:val="24"/>
        </w:rPr>
        <w:t>treinta y uno de enero</w:t>
      </w:r>
      <w:r w:rsidRPr="00FE7406">
        <w:rPr>
          <w:rFonts w:ascii="Palatino Linotype" w:hAnsi="Palatino Linotype" w:cs="Arial"/>
          <w:sz w:val="24"/>
          <w:szCs w:val="24"/>
        </w:rPr>
        <w:t xml:space="preserve"> de los corrientes, se decretó</w:t>
      </w:r>
      <w:r>
        <w:rPr>
          <w:rFonts w:ascii="Palatino Linotype" w:hAnsi="Palatino Linotype" w:cs="Arial"/>
          <w:sz w:val="24"/>
          <w:szCs w:val="24"/>
        </w:rPr>
        <w:t xml:space="preserve"> el cierre de instrucción en términos del artículo 185 fracción VI de la Ley de Transparencia y Acceso a la Información Pública del Estado de México y Municipios, iniciando el término legal para dictar resolución definitiva del asunto.</w:t>
      </w:r>
    </w:p>
    <w:p w14:paraId="25166C24" w14:textId="77777777" w:rsidR="00073E92" w:rsidRDefault="00073E92" w:rsidP="00073E92">
      <w:pPr>
        <w:spacing w:before="240" w:line="360" w:lineRule="auto"/>
        <w:jc w:val="both"/>
        <w:rPr>
          <w:rFonts w:ascii="Palatino Linotype" w:eastAsia="Times New Roman" w:hAnsi="Palatino Linotype" w:cs="Times New Roman"/>
          <w:sz w:val="24"/>
          <w:szCs w:val="24"/>
          <w:lang w:val="es-ES_tradnl" w:eastAsia="es-ES"/>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lastRenderedPageBreak/>
        <w:t>Reglamento Interior del Instituto de Transparencia, Acceso a la Información Pública y Protección de Datos Personales del Estado de México y Municipios.</w:t>
      </w:r>
    </w:p>
    <w:p w14:paraId="0A2CE89C" w14:textId="77777777" w:rsidR="007E24F0" w:rsidRPr="008F797B" w:rsidRDefault="007E24F0"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6B301BE4" w14:textId="77777777" w:rsidR="00965139" w:rsidRDefault="00965139" w:rsidP="0096513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FAAD804" w14:textId="77777777" w:rsidR="00965139" w:rsidRPr="00514E66" w:rsidRDefault="00965139" w:rsidP="00965139">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82DD15E" w14:textId="77777777" w:rsidR="00965139" w:rsidRDefault="00965139" w:rsidP="00965139">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186B0D77" w14:textId="77777777" w:rsidR="00D266BE" w:rsidRDefault="00D266BE"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w:t>
      </w:r>
      <w:r w:rsidRPr="006010FE">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E80103B" w14:textId="77777777" w:rsidR="0072378A" w:rsidRDefault="0072378A" w:rsidP="006D5803">
      <w:pPr>
        <w:tabs>
          <w:tab w:val="left" w:pos="709"/>
        </w:tabs>
        <w:spacing w:before="240" w:line="360" w:lineRule="auto"/>
        <w:ind w:right="51"/>
        <w:jc w:val="both"/>
        <w:rPr>
          <w:rFonts w:ascii="Palatino Linotype" w:hAnsi="Palatino Linotype"/>
          <w:sz w:val="24"/>
          <w:szCs w:val="24"/>
        </w:rPr>
      </w:pPr>
    </w:p>
    <w:p w14:paraId="3B579EF6" w14:textId="2CCF2065" w:rsidR="0072378A" w:rsidRDefault="0072378A" w:rsidP="0072378A">
      <w:pPr>
        <w:spacing w:before="240" w:line="360" w:lineRule="auto"/>
        <w:jc w:val="both"/>
        <w:rPr>
          <w:rFonts w:ascii="Palatino Linotype" w:hAnsi="Palatino Linotype"/>
          <w:sz w:val="24"/>
          <w:szCs w:val="24"/>
        </w:rPr>
      </w:pPr>
      <w:r w:rsidRPr="009C6D9D">
        <w:rPr>
          <w:rFonts w:ascii="Palatino Linotype" w:hAnsi="Palatino Linotype"/>
          <w:sz w:val="24"/>
          <w:szCs w:val="24"/>
        </w:rPr>
        <w:t>Una vez sentado lo anterior, en una aproximación inicial, es proce</w:t>
      </w:r>
      <w:r w:rsidR="00612954">
        <w:rPr>
          <w:rFonts w:ascii="Palatino Linotype" w:hAnsi="Palatino Linotype"/>
          <w:sz w:val="24"/>
          <w:szCs w:val="24"/>
        </w:rPr>
        <w:t>dente mencionar que mediante la solicitud</w:t>
      </w:r>
      <w:r w:rsidRPr="009C6D9D">
        <w:rPr>
          <w:rFonts w:ascii="Palatino Linotype" w:hAnsi="Palatino Linotype"/>
          <w:sz w:val="24"/>
          <w:szCs w:val="24"/>
        </w:rPr>
        <w:t xml:space="preserve"> de información </w:t>
      </w:r>
      <w:r>
        <w:rPr>
          <w:rFonts w:ascii="Palatino Linotype" w:hAnsi="Palatino Linotype"/>
          <w:b/>
          <w:sz w:val="24"/>
          <w:szCs w:val="24"/>
        </w:rPr>
        <w:t xml:space="preserve">00932/NAUCALPA/IP/2021, </w:t>
      </w:r>
      <w:r>
        <w:rPr>
          <w:rFonts w:ascii="Palatino Linotype" w:hAnsi="Palatino Linotype"/>
          <w:sz w:val="24"/>
          <w:szCs w:val="24"/>
        </w:rPr>
        <w:t xml:space="preserve">fueron formulados </w:t>
      </w:r>
      <w:r>
        <w:rPr>
          <w:rFonts w:ascii="Palatino Linotype" w:hAnsi="Palatino Linotype"/>
          <w:b/>
          <w:sz w:val="24"/>
          <w:szCs w:val="24"/>
        </w:rPr>
        <w:t xml:space="preserve">2 –dos- </w:t>
      </w:r>
      <w:r>
        <w:rPr>
          <w:rFonts w:ascii="Palatino Linotype" w:hAnsi="Palatino Linotype"/>
          <w:sz w:val="24"/>
          <w:szCs w:val="24"/>
        </w:rPr>
        <w:t xml:space="preserve">requerimientos, respecto de los cuales no fue delimitado elemento temporal, debiendo de ser fijado a la fecha en que se ejerció el derecho de acceso a la información, es decir, al catorce de diciembre de dos mil veintiuno. </w:t>
      </w:r>
    </w:p>
    <w:p w14:paraId="616E4AFE" w14:textId="77777777" w:rsidR="0072378A" w:rsidRPr="0051062B" w:rsidRDefault="0072378A" w:rsidP="0072378A">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Dicha precisión, </w:t>
      </w:r>
      <w:r w:rsidRPr="0051062B">
        <w:rPr>
          <w:rFonts w:ascii="Palatino Linotype" w:hAnsi="Palatino Linotype"/>
          <w:sz w:val="24"/>
          <w:szCs w:val="24"/>
        </w:rPr>
        <w:t xml:space="preserve">con fundamento en los artículos 13 y 181 cuarto párrafo de la Ley en materia, los cuales a la letra rezan: </w:t>
      </w:r>
    </w:p>
    <w:p w14:paraId="5F3FE24A" w14:textId="77777777" w:rsidR="0072378A" w:rsidRPr="0051062B" w:rsidRDefault="0072378A" w:rsidP="0072378A">
      <w:pPr>
        <w:pStyle w:val="Citas"/>
      </w:pPr>
      <w:r w:rsidRPr="0051062B">
        <w:rPr>
          <w:b/>
          <w:bCs/>
        </w:rPr>
        <w:lastRenderedPageBreak/>
        <w:t xml:space="preserve">“Artículo 13. </w:t>
      </w:r>
      <w:r w:rsidRPr="0051062B">
        <w:t>El Instituto, en el ámbito de sus atribuciones, deberá suplir cualquier deficiencia para garantizar el ejercicio del derecho de acceso a la información.</w:t>
      </w:r>
    </w:p>
    <w:p w14:paraId="30D91FEE" w14:textId="77777777" w:rsidR="0072378A" w:rsidRPr="0051062B" w:rsidRDefault="0072378A" w:rsidP="0072378A">
      <w:pPr>
        <w:pStyle w:val="Citas"/>
        <w:rPr>
          <w:b/>
        </w:rPr>
      </w:pPr>
      <w:r w:rsidRPr="0051062B">
        <w:rPr>
          <w:b/>
        </w:rPr>
        <w:t xml:space="preserve">Artículo 181. … </w:t>
      </w:r>
    </w:p>
    <w:p w14:paraId="14AAA848" w14:textId="77777777" w:rsidR="0072378A" w:rsidRPr="0051062B" w:rsidRDefault="0072378A" w:rsidP="0072378A">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7115E5BD" w14:textId="77777777" w:rsidR="00842697" w:rsidRDefault="00842697" w:rsidP="006D5803">
      <w:pPr>
        <w:tabs>
          <w:tab w:val="left" w:pos="709"/>
        </w:tabs>
        <w:spacing w:before="240" w:line="360" w:lineRule="auto"/>
        <w:ind w:right="51"/>
        <w:jc w:val="both"/>
        <w:rPr>
          <w:rFonts w:ascii="Palatino Linotype" w:hAnsi="Palatino Linotype"/>
          <w:sz w:val="24"/>
          <w:szCs w:val="24"/>
        </w:rPr>
      </w:pPr>
    </w:p>
    <w:p w14:paraId="3E665DD4" w14:textId="723D1D80" w:rsidR="007E24F0" w:rsidRDefault="002B5A2F" w:rsidP="006D580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w:t>
      </w:r>
      <w:r w:rsidR="00842697">
        <w:rPr>
          <w:rFonts w:ascii="Palatino Linotype" w:hAnsi="Palatino Linotype"/>
          <w:sz w:val="24"/>
          <w:szCs w:val="24"/>
        </w:rPr>
        <w:t>,</w:t>
      </w:r>
      <w:r>
        <w:rPr>
          <w:rFonts w:ascii="Palatino Linotype" w:hAnsi="Palatino Linotype"/>
          <w:sz w:val="24"/>
          <w:szCs w:val="24"/>
        </w:rPr>
        <w:t xml:space="preserve"> la siguiente información</w:t>
      </w:r>
      <w:r w:rsidR="00842697">
        <w:rPr>
          <w:rFonts w:ascii="Palatino Linotype" w:hAnsi="Palatino Linotype"/>
          <w:sz w:val="24"/>
          <w:szCs w:val="24"/>
        </w:rPr>
        <w:t>, en form</w:t>
      </w:r>
      <w:r w:rsidR="00780A54">
        <w:rPr>
          <w:rFonts w:ascii="Palatino Linotype" w:hAnsi="Palatino Linotype"/>
          <w:sz w:val="24"/>
          <w:szCs w:val="24"/>
        </w:rPr>
        <w:t>ato Word, pdf o</w:t>
      </w:r>
      <w:r w:rsidR="00842697">
        <w:rPr>
          <w:rFonts w:ascii="Palatino Linotype" w:hAnsi="Palatino Linotype"/>
          <w:sz w:val="24"/>
          <w:szCs w:val="24"/>
        </w:rPr>
        <w:t xml:space="preserve"> aquel en el que la información haya sido generada: </w:t>
      </w:r>
    </w:p>
    <w:p w14:paraId="6D74F943" w14:textId="4080CD85" w:rsidR="00721D87" w:rsidRDefault="0072378A" w:rsidP="0072378A">
      <w:pPr>
        <w:pStyle w:val="Prrafodelista"/>
        <w:numPr>
          <w:ilvl w:val="0"/>
          <w:numId w:val="11"/>
        </w:numPr>
        <w:tabs>
          <w:tab w:val="left" w:pos="709"/>
        </w:tabs>
        <w:spacing w:before="240" w:line="360" w:lineRule="auto"/>
        <w:ind w:right="51"/>
        <w:jc w:val="both"/>
        <w:rPr>
          <w:rFonts w:ascii="Palatino Linotype" w:hAnsi="Palatino Linotype"/>
        </w:rPr>
      </w:pPr>
      <w:r>
        <w:rPr>
          <w:rFonts w:ascii="Palatino Linotype" w:hAnsi="Palatino Linotype"/>
        </w:rPr>
        <w:t xml:space="preserve">Contrato de comodato celebrado entre el Ayuntamiento de Naucalpan de Juárez y </w:t>
      </w:r>
      <w:r w:rsidR="002548EC">
        <w:rPr>
          <w:rFonts w:ascii="Palatino Linotype" w:hAnsi="Palatino Linotype"/>
        </w:rPr>
        <w:t xml:space="preserve">las personas físicas y morales referidas mediante la solicitud de información </w:t>
      </w:r>
      <w:r w:rsidR="002548EC">
        <w:rPr>
          <w:rFonts w:ascii="Palatino Linotype" w:hAnsi="Palatino Linotype"/>
          <w:b/>
        </w:rPr>
        <w:t xml:space="preserve">00932/NAUCALPA/IP/2021, </w:t>
      </w:r>
      <w:r w:rsidR="002548EC">
        <w:rPr>
          <w:rFonts w:ascii="Palatino Linotype" w:hAnsi="Palatino Linotype"/>
        </w:rPr>
        <w:t xml:space="preserve">respecto del inmueble señalado en la propia solicitud, al catorce de diciembre de dos mil veintiuno. </w:t>
      </w:r>
    </w:p>
    <w:p w14:paraId="35F148CB" w14:textId="386F92EC" w:rsidR="002548EC" w:rsidRPr="0072378A" w:rsidRDefault="002548EC" w:rsidP="0072378A">
      <w:pPr>
        <w:pStyle w:val="Prrafodelista"/>
        <w:numPr>
          <w:ilvl w:val="0"/>
          <w:numId w:val="11"/>
        </w:numPr>
        <w:tabs>
          <w:tab w:val="left" w:pos="709"/>
        </w:tabs>
        <w:spacing w:before="240" w:line="360" w:lineRule="auto"/>
        <w:ind w:right="51"/>
        <w:jc w:val="both"/>
        <w:rPr>
          <w:rFonts w:ascii="Palatino Linotype" w:hAnsi="Palatino Linotype"/>
        </w:rPr>
      </w:pPr>
      <w:r>
        <w:rPr>
          <w:rFonts w:ascii="Palatino Linotype" w:hAnsi="Palatino Linotype"/>
        </w:rPr>
        <w:t xml:space="preserve">Licencia de construcción para área común respecto del inmueble señalado mediante la solicitud de información </w:t>
      </w:r>
      <w:r>
        <w:rPr>
          <w:rFonts w:ascii="Palatino Linotype" w:hAnsi="Palatino Linotype"/>
          <w:b/>
        </w:rPr>
        <w:t xml:space="preserve">00932/NAUCALPA/IP/2021, </w:t>
      </w:r>
      <w:r>
        <w:rPr>
          <w:rFonts w:ascii="Palatino Linotype" w:hAnsi="Palatino Linotype"/>
        </w:rPr>
        <w:t xml:space="preserve">al catorce de diciembre de dos mil veintiuno. </w:t>
      </w:r>
    </w:p>
    <w:p w14:paraId="61BF2E23" w14:textId="77777777" w:rsidR="00721D87" w:rsidRDefault="00721D87" w:rsidP="00721D87">
      <w:pPr>
        <w:tabs>
          <w:tab w:val="left" w:pos="709"/>
        </w:tabs>
        <w:spacing w:before="240" w:line="360" w:lineRule="auto"/>
        <w:ind w:right="51"/>
        <w:jc w:val="both"/>
        <w:rPr>
          <w:rFonts w:ascii="Palatino Linotype" w:hAnsi="Palatino Linotype"/>
        </w:rPr>
      </w:pPr>
    </w:p>
    <w:p w14:paraId="6B20F1D8" w14:textId="21669D87" w:rsidR="009A1915" w:rsidRPr="009A1915" w:rsidRDefault="009A1915" w:rsidP="00721D87">
      <w:pPr>
        <w:tabs>
          <w:tab w:val="left" w:pos="709"/>
        </w:tabs>
        <w:spacing w:before="240" w:line="360" w:lineRule="auto"/>
        <w:ind w:right="51"/>
        <w:jc w:val="both"/>
        <w:rPr>
          <w:rFonts w:ascii="Palatino Linotype" w:hAnsi="Palatino Linotype"/>
          <w:b/>
          <w:i/>
          <w:sz w:val="24"/>
          <w:szCs w:val="24"/>
        </w:rPr>
      </w:pPr>
      <w:r w:rsidRPr="009A1915">
        <w:rPr>
          <w:rFonts w:ascii="Palatino Linotype" w:hAnsi="Palatino Linotype" w:cs="Arial"/>
          <w:sz w:val="24"/>
          <w:szCs w:val="24"/>
        </w:rPr>
        <w:lastRenderedPageBreak/>
        <w:t xml:space="preserve">Ahora bien, desde una perspectiva etimológica, la palabra </w:t>
      </w:r>
      <w:r w:rsidRPr="009A1915">
        <w:rPr>
          <w:rFonts w:ascii="Palatino Linotype" w:hAnsi="Palatino Linotype" w:cs="Arial"/>
          <w:b/>
          <w:sz w:val="24"/>
          <w:szCs w:val="24"/>
        </w:rPr>
        <w:t>comodato</w:t>
      </w:r>
      <w:r w:rsidRPr="009A1915">
        <w:rPr>
          <w:rFonts w:ascii="Palatino Linotype" w:hAnsi="Palatino Linotype" w:cs="Arial"/>
          <w:sz w:val="24"/>
          <w:szCs w:val="24"/>
        </w:rPr>
        <w:t xml:space="preserve"> proviene del latín </w:t>
      </w:r>
      <w:r w:rsidRPr="009A1915">
        <w:rPr>
          <w:rFonts w:ascii="Palatino Linotype" w:hAnsi="Palatino Linotype" w:cs="Arial"/>
          <w:b/>
          <w:i/>
          <w:sz w:val="24"/>
          <w:szCs w:val="24"/>
        </w:rPr>
        <w:t xml:space="preserve">commodatum </w:t>
      </w:r>
      <w:r w:rsidRPr="009A1915">
        <w:rPr>
          <w:rFonts w:ascii="Palatino Linotype" w:hAnsi="Palatino Linotype" w:cs="Arial"/>
          <w:sz w:val="24"/>
          <w:szCs w:val="24"/>
        </w:rPr>
        <w:t xml:space="preserve">(préstamo), compuesto por la preposición </w:t>
      </w:r>
      <w:r w:rsidRPr="009A1915">
        <w:rPr>
          <w:rFonts w:ascii="Palatino Linotype" w:hAnsi="Palatino Linotype" w:cs="Arial"/>
          <w:b/>
          <w:i/>
          <w:sz w:val="24"/>
          <w:szCs w:val="24"/>
        </w:rPr>
        <w:t xml:space="preserve">cum </w:t>
      </w:r>
      <w:r w:rsidRPr="009A1915">
        <w:rPr>
          <w:rFonts w:ascii="Palatino Linotype" w:hAnsi="Palatino Linotype" w:cs="Arial"/>
          <w:sz w:val="24"/>
          <w:szCs w:val="24"/>
        </w:rPr>
        <w:t xml:space="preserve">(con), el sustantivo </w:t>
      </w:r>
      <w:r w:rsidRPr="009A1915">
        <w:rPr>
          <w:rFonts w:ascii="Palatino Linotype" w:hAnsi="Palatino Linotype" w:cs="Arial"/>
          <w:b/>
          <w:i/>
          <w:sz w:val="24"/>
          <w:szCs w:val="24"/>
        </w:rPr>
        <w:t xml:space="preserve">modus </w:t>
      </w:r>
      <w:r w:rsidRPr="009A1915">
        <w:rPr>
          <w:rFonts w:ascii="Palatino Linotype" w:hAnsi="Palatino Linotype" w:cs="Arial"/>
          <w:sz w:val="24"/>
          <w:szCs w:val="24"/>
        </w:rPr>
        <w:t xml:space="preserve">(moderación) y con el sufijo </w:t>
      </w:r>
      <w:r w:rsidRPr="009A1915">
        <w:rPr>
          <w:rFonts w:ascii="Palatino Linotype" w:hAnsi="Palatino Linotype" w:cs="Arial"/>
          <w:b/>
          <w:i/>
          <w:sz w:val="24"/>
          <w:szCs w:val="24"/>
        </w:rPr>
        <w:t>ato.</w:t>
      </w:r>
    </w:p>
    <w:p w14:paraId="6E5C6346" w14:textId="613C8C0D" w:rsidR="009A1915" w:rsidRPr="00ED1D32" w:rsidRDefault="009A1915" w:rsidP="009A191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Por su parte, la Real Academia Española define la palabra </w:t>
      </w:r>
      <w:r>
        <w:rPr>
          <w:rFonts w:ascii="Palatino Linotype" w:hAnsi="Palatino Linotype" w:cs="Arial"/>
          <w:b/>
          <w:sz w:val="24"/>
          <w:szCs w:val="24"/>
        </w:rPr>
        <w:t xml:space="preserve">comodato </w:t>
      </w:r>
      <w:r>
        <w:rPr>
          <w:rFonts w:ascii="Palatino Linotype" w:hAnsi="Palatino Linotype" w:cs="Arial"/>
          <w:sz w:val="24"/>
          <w:szCs w:val="24"/>
        </w:rPr>
        <w:t xml:space="preserve">en los siguientes términos: </w:t>
      </w:r>
    </w:p>
    <w:p w14:paraId="3C7B7DB1" w14:textId="61E43119" w:rsidR="009A1915" w:rsidRDefault="009A1915" w:rsidP="009A1915">
      <w:pPr>
        <w:pStyle w:val="Citas"/>
        <w:rPr>
          <w:b/>
        </w:rPr>
      </w:pPr>
      <w:r>
        <w:t xml:space="preserve">“1. Contrato por el cual se da o recibe prestada una cosa de las que pueden usarse sin destruirse, con la obligación de restituirla” </w:t>
      </w:r>
      <w:r>
        <w:rPr>
          <w:b/>
        </w:rPr>
        <w:t>[Sic]</w:t>
      </w:r>
    </w:p>
    <w:p w14:paraId="4DD65599" w14:textId="77777777" w:rsidR="009A1915" w:rsidRDefault="009A1915" w:rsidP="009A1915">
      <w:pPr>
        <w:pStyle w:val="Citas"/>
        <w:ind w:left="0"/>
        <w:rPr>
          <w:b/>
        </w:rPr>
      </w:pPr>
    </w:p>
    <w:p w14:paraId="472D667C" w14:textId="2C7C4F52" w:rsidR="009A1915" w:rsidRPr="00995FAD" w:rsidRDefault="009A1915" w:rsidP="009A191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Asimismo</w:t>
      </w:r>
      <w:r w:rsidRPr="00995FAD">
        <w:rPr>
          <w:rFonts w:ascii="Palatino Linotype" w:hAnsi="Palatino Linotype" w:cs="Arial"/>
        </w:rPr>
        <w:t xml:space="preserve">, Rafael de Pina (2013) en su obra </w:t>
      </w:r>
      <w:r w:rsidRPr="00995FAD">
        <w:rPr>
          <w:rFonts w:ascii="Palatino Linotype" w:hAnsi="Palatino Linotype" w:cs="Arial"/>
          <w:i/>
        </w:rPr>
        <w:t xml:space="preserve">“Diccionario de Derecho” </w:t>
      </w:r>
      <w:r w:rsidRPr="00995FAD">
        <w:rPr>
          <w:rFonts w:ascii="Palatino Linotype" w:hAnsi="Palatino Linotype" w:cs="Arial"/>
        </w:rPr>
        <w:t xml:space="preserve">delimita </w:t>
      </w:r>
      <w:r>
        <w:rPr>
          <w:rFonts w:ascii="Palatino Linotype" w:hAnsi="Palatino Linotype" w:cs="Arial"/>
        </w:rPr>
        <w:t>los alcances</w:t>
      </w:r>
      <w:r w:rsidRPr="00995FAD">
        <w:rPr>
          <w:rFonts w:ascii="Palatino Linotype" w:hAnsi="Palatino Linotype" w:cs="Arial"/>
        </w:rPr>
        <w:t xml:space="preserve"> </w:t>
      </w:r>
      <w:r>
        <w:rPr>
          <w:rFonts w:ascii="Palatino Linotype" w:hAnsi="Palatino Linotype" w:cs="Arial"/>
        </w:rPr>
        <w:t xml:space="preserve">jurídicos </w:t>
      </w:r>
      <w:r w:rsidRPr="00995FAD">
        <w:rPr>
          <w:rFonts w:ascii="Palatino Linotype" w:hAnsi="Palatino Linotype" w:cs="Arial"/>
        </w:rPr>
        <w:t xml:space="preserve">de la palabra </w:t>
      </w:r>
      <w:r>
        <w:rPr>
          <w:rFonts w:ascii="Palatino Linotype" w:hAnsi="Palatino Linotype" w:cs="Arial"/>
          <w:b/>
          <w:i/>
        </w:rPr>
        <w:t>comodato</w:t>
      </w:r>
      <w:r w:rsidRPr="00995FAD">
        <w:rPr>
          <w:rFonts w:ascii="Palatino Linotype" w:hAnsi="Palatino Linotype" w:cs="Arial"/>
          <w:b/>
          <w:i/>
        </w:rPr>
        <w:t xml:space="preserve"> </w:t>
      </w:r>
      <w:r w:rsidR="00780A54">
        <w:rPr>
          <w:rFonts w:ascii="Palatino Linotype" w:hAnsi="Palatino Linotype" w:cs="Arial"/>
        </w:rPr>
        <w:t>al definirla como el</w:t>
      </w:r>
      <w:r>
        <w:rPr>
          <w:rFonts w:ascii="Palatino Linotype" w:hAnsi="Palatino Linotype" w:cs="Arial"/>
        </w:rPr>
        <w:t>:</w:t>
      </w:r>
      <w:r w:rsidRPr="00995FAD">
        <w:rPr>
          <w:rFonts w:ascii="Palatino Linotype" w:hAnsi="Palatino Linotype" w:cs="Arial"/>
        </w:rPr>
        <w:t xml:space="preserve"> </w:t>
      </w:r>
    </w:p>
    <w:p w14:paraId="329EB8FB" w14:textId="446D533B" w:rsidR="009A1915" w:rsidRDefault="009A1915" w:rsidP="009A1915">
      <w:pPr>
        <w:pStyle w:val="Citas"/>
      </w:pPr>
      <w:r>
        <w:t>“Contrato por virtud del cual uno de los contratantes se obliga a conceder gratuitamente el uso de una cosa no fungible y el otro contrae la obligación de restituirla individualmente.</w:t>
      </w:r>
    </w:p>
    <w:p w14:paraId="2A958072" w14:textId="505EFC9C" w:rsidR="009A1915" w:rsidRPr="009A1915" w:rsidRDefault="009A1915" w:rsidP="009A1915">
      <w:pPr>
        <w:pStyle w:val="Citas"/>
        <w:rPr>
          <w:b/>
        </w:rPr>
      </w:pPr>
      <w:r>
        <w:t xml:space="preserve">Cuando el préstamo tenga por objeto cosas consumibles, soló será comodato si fueren prestadas como no fungibles, es decir, para ser restituidas idénticamente” </w:t>
      </w:r>
      <w:r>
        <w:rPr>
          <w:b/>
        </w:rPr>
        <w:t>[Sic]</w:t>
      </w:r>
    </w:p>
    <w:p w14:paraId="72DBE89D" w14:textId="77777777" w:rsidR="009A1915" w:rsidRDefault="009A1915" w:rsidP="00721D87">
      <w:pPr>
        <w:tabs>
          <w:tab w:val="left" w:pos="709"/>
        </w:tabs>
        <w:spacing w:before="240" w:line="360" w:lineRule="auto"/>
        <w:ind w:right="51"/>
        <w:jc w:val="both"/>
        <w:rPr>
          <w:rFonts w:ascii="Palatino Linotype" w:hAnsi="Palatino Linotype"/>
        </w:rPr>
      </w:pPr>
    </w:p>
    <w:p w14:paraId="67BE1705" w14:textId="77777777" w:rsidR="0068792F" w:rsidRPr="0068792F" w:rsidRDefault="0068792F" w:rsidP="00721D87">
      <w:pPr>
        <w:tabs>
          <w:tab w:val="left" w:pos="709"/>
        </w:tabs>
        <w:spacing w:before="240" w:line="360" w:lineRule="auto"/>
        <w:ind w:right="51"/>
        <w:jc w:val="both"/>
        <w:rPr>
          <w:rFonts w:ascii="Palatino Linotype" w:hAnsi="Palatino Linotype"/>
          <w:sz w:val="24"/>
          <w:szCs w:val="24"/>
        </w:rPr>
      </w:pPr>
      <w:r w:rsidRPr="0068792F">
        <w:rPr>
          <w:rFonts w:ascii="Palatino Linotype" w:hAnsi="Palatino Linotype"/>
          <w:sz w:val="24"/>
          <w:szCs w:val="24"/>
        </w:rPr>
        <w:t>De forma complementaria, el Código Civil del Estado de México dispone que el comodato es un contrato por el cual uno de los contratantes concede gratuitamente el uso de un bien, y el otro contrae la obligación de restituirlo individualmente.</w:t>
      </w:r>
    </w:p>
    <w:p w14:paraId="4F11799C" w14:textId="7BA9FDE2" w:rsidR="002548EC" w:rsidRPr="00212797" w:rsidRDefault="0068792F" w:rsidP="0068792F">
      <w:pPr>
        <w:tabs>
          <w:tab w:val="left" w:pos="709"/>
        </w:tabs>
        <w:spacing w:before="240" w:line="360" w:lineRule="auto"/>
        <w:ind w:right="51"/>
        <w:jc w:val="both"/>
        <w:rPr>
          <w:rFonts w:ascii="Palatino Linotype" w:hAnsi="Palatino Linotype"/>
          <w:bCs/>
          <w:sz w:val="24"/>
          <w:szCs w:val="24"/>
        </w:rPr>
      </w:pPr>
      <w:r>
        <w:rPr>
          <w:rFonts w:ascii="Palatino Linotype" w:hAnsi="Palatino Linotype"/>
        </w:rPr>
        <w:lastRenderedPageBreak/>
        <w:t xml:space="preserve"> </w:t>
      </w:r>
      <w:r w:rsidR="002548EC">
        <w:rPr>
          <w:rFonts w:ascii="Palatino Linotype" w:hAnsi="Palatino Linotype"/>
          <w:bCs/>
          <w:sz w:val="24"/>
          <w:szCs w:val="24"/>
        </w:rPr>
        <w:t>En este tenor, en alusión a los requerimientos formulados por el particular, resul</w:t>
      </w:r>
      <w:r w:rsidR="000D69D7">
        <w:rPr>
          <w:rFonts w:ascii="Palatino Linotype" w:hAnsi="Palatino Linotype"/>
          <w:bCs/>
          <w:sz w:val="24"/>
          <w:szCs w:val="24"/>
        </w:rPr>
        <w:t>ta oportuno traer a colación</w:t>
      </w:r>
      <w:r>
        <w:rPr>
          <w:rFonts w:ascii="Palatino Linotype" w:hAnsi="Palatino Linotype"/>
          <w:bCs/>
          <w:sz w:val="24"/>
          <w:szCs w:val="24"/>
        </w:rPr>
        <w:t xml:space="preserve"> el artículo 31, fracción XXVIII de la Ley Orgánica Municipal del Estado de México, </w:t>
      </w:r>
      <w:r w:rsidR="000D69D7">
        <w:rPr>
          <w:rFonts w:ascii="Palatino Linotype" w:hAnsi="Palatino Linotype"/>
          <w:bCs/>
          <w:sz w:val="24"/>
          <w:szCs w:val="24"/>
        </w:rPr>
        <w:t xml:space="preserve"> los numerales </w:t>
      </w:r>
      <w:r w:rsidR="00212797">
        <w:rPr>
          <w:rFonts w:ascii="Palatino Linotype" w:hAnsi="Palatino Linotype"/>
          <w:bCs/>
          <w:sz w:val="24"/>
          <w:szCs w:val="24"/>
        </w:rPr>
        <w:t xml:space="preserve">32 </w:t>
      </w:r>
      <w:r w:rsidR="00B63AA2">
        <w:rPr>
          <w:rFonts w:ascii="Palatino Linotype" w:hAnsi="Palatino Linotype"/>
          <w:bCs/>
          <w:sz w:val="24"/>
          <w:szCs w:val="24"/>
        </w:rPr>
        <w:t xml:space="preserve">y 98 del </w:t>
      </w:r>
      <w:r w:rsidR="00212797">
        <w:rPr>
          <w:rFonts w:ascii="Palatino Linotype" w:hAnsi="Palatino Linotype"/>
          <w:bCs/>
          <w:sz w:val="24"/>
          <w:szCs w:val="24"/>
        </w:rPr>
        <w:t xml:space="preserve">Bando Municipal del </w:t>
      </w:r>
      <w:r w:rsidR="00212797">
        <w:rPr>
          <w:rFonts w:ascii="Palatino Linotype" w:hAnsi="Palatino Linotype"/>
          <w:b/>
          <w:bCs/>
          <w:sz w:val="24"/>
          <w:szCs w:val="24"/>
        </w:rPr>
        <w:t xml:space="preserve">Sujeto Obligado, </w:t>
      </w:r>
      <w:r w:rsidR="00212797">
        <w:rPr>
          <w:rFonts w:ascii="Palatino Linotype" w:hAnsi="Palatino Linotype"/>
          <w:bCs/>
          <w:sz w:val="24"/>
          <w:szCs w:val="24"/>
        </w:rPr>
        <w:t xml:space="preserve">así como los </w:t>
      </w:r>
      <w:r w:rsidR="00842697">
        <w:rPr>
          <w:rFonts w:ascii="Palatino Linotype" w:hAnsi="Palatino Linotype"/>
          <w:bCs/>
          <w:sz w:val="24"/>
          <w:szCs w:val="24"/>
        </w:rPr>
        <w:t>artículos</w:t>
      </w:r>
      <w:r w:rsidR="00212797">
        <w:rPr>
          <w:rFonts w:ascii="Palatino Linotype" w:hAnsi="Palatino Linotype"/>
          <w:bCs/>
          <w:sz w:val="24"/>
          <w:szCs w:val="24"/>
        </w:rPr>
        <w:t xml:space="preserve"> 15.1 y 15.3 del Reglamento Orgánico de la Administración Pública Municipal de Naucalpan de Juárez</w:t>
      </w:r>
      <w:r w:rsidR="00630E5F">
        <w:rPr>
          <w:rFonts w:ascii="Palatino Linotype" w:hAnsi="Palatino Linotype"/>
          <w:bCs/>
          <w:sz w:val="24"/>
          <w:szCs w:val="24"/>
        </w:rPr>
        <w:t>, porciones normativas que disponen a la literalidad lo siguiente:</w:t>
      </w:r>
    </w:p>
    <w:p w14:paraId="0EE69CC2" w14:textId="4018856F" w:rsidR="0068792F" w:rsidRPr="00780A54" w:rsidRDefault="0068792F" w:rsidP="0068792F">
      <w:pPr>
        <w:pStyle w:val="Citas"/>
        <w:jc w:val="center"/>
        <w:rPr>
          <w:b/>
        </w:rPr>
      </w:pPr>
      <w:r w:rsidRPr="00780A54">
        <w:rPr>
          <w:b/>
          <w:bCs/>
        </w:rPr>
        <w:t>Ley Orgánica Municipal del Estado de México</w:t>
      </w:r>
    </w:p>
    <w:p w14:paraId="14CB0679" w14:textId="654B8A15" w:rsidR="00212797" w:rsidRDefault="0068792F" w:rsidP="00212797">
      <w:pPr>
        <w:pStyle w:val="Citas"/>
        <w:jc w:val="left"/>
      </w:pPr>
      <w:r>
        <w:t>“</w:t>
      </w:r>
      <w:r w:rsidR="00212797">
        <w:t>Artículo 31.- Son atribuciones de los ayuntamientos:</w:t>
      </w:r>
    </w:p>
    <w:p w14:paraId="08E0C445" w14:textId="11327650" w:rsidR="00212797" w:rsidRDefault="00212797" w:rsidP="00212797">
      <w:pPr>
        <w:pStyle w:val="Citas"/>
        <w:jc w:val="left"/>
      </w:pPr>
      <w:r>
        <w:t>(…)</w:t>
      </w:r>
    </w:p>
    <w:p w14:paraId="57F18B17" w14:textId="048AC26A" w:rsidR="00212797" w:rsidRPr="0068792F" w:rsidRDefault="00212797" w:rsidP="00212797">
      <w:pPr>
        <w:pStyle w:val="Citas"/>
        <w:jc w:val="left"/>
        <w:rPr>
          <w:b/>
          <w:u w:val="single"/>
        </w:rPr>
      </w:pPr>
      <w:r w:rsidRPr="0068792F">
        <w:rPr>
          <w:b/>
          <w:u w:val="single"/>
        </w:rPr>
        <w:t>XXVIII. Enajenar y dar en arrendamiento, usufructo o comodato los bienes del municipio, previa autorización, en su caso, de la Legislatura del Estado;</w:t>
      </w:r>
    </w:p>
    <w:p w14:paraId="1DFD3ED8" w14:textId="0F3875AB" w:rsidR="0068792F" w:rsidRPr="0068792F" w:rsidRDefault="0068792F" w:rsidP="00212797">
      <w:pPr>
        <w:pStyle w:val="Citas"/>
        <w:jc w:val="left"/>
        <w:rPr>
          <w:b/>
        </w:rPr>
      </w:pPr>
      <w:r>
        <w:t xml:space="preserve">(…)” </w:t>
      </w:r>
      <w:r>
        <w:rPr>
          <w:b/>
        </w:rPr>
        <w:t xml:space="preserve">[Sic] </w:t>
      </w:r>
    </w:p>
    <w:p w14:paraId="4BC41710" w14:textId="77777777" w:rsidR="00212797" w:rsidRDefault="00212797" w:rsidP="00212797">
      <w:pPr>
        <w:pStyle w:val="Citas"/>
        <w:jc w:val="center"/>
        <w:rPr>
          <w:b/>
        </w:rPr>
      </w:pPr>
    </w:p>
    <w:p w14:paraId="72EEC0C6" w14:textId="2B214BF8" w:rsidR="00212797" w:rsidRPr="00212797" w:rsidRDefault="00212797" w:rsidP="00212797">
      <w:pPr>
        <w:pStyle w:val="Citas"/>
        <w:jc w:val="center"/>
        <w:rPr>
          <w:b/>
        </w:rPr>
      </w:pPr>
      <w:r>
        <w:rPr>
          <w:b/>
        </w:rPr>
        <w:t>Bando Municipal del Ayuntamiento de Naucalpan de Juárez</w:t>
      </w:r>
    </w:p>
    <w:p w14:paraId="629F7117" w14:textId="786CD711" w:rsidR="000D69D7" w:rsidRDefault="00212797" w:rsidP="00B63AA2">
      <w:pPr>
        <w:pStyle w:val="Citas"/>
      </w:pPr>
      <w:r>
        <w:t>“</w:t>
      </w:r>
      <w:r w:rsidR="000D69D7">
        <w:t>Artículo 32. La Administración Pública Centralizada se constituye por las dependencias que señala la Ley Orgánica Municipal del Estado de México, así como por aquellas que sean creadas por acuerdo de Cabildo; dependen del Ayuntamiento y están subordinados jerárquicamente a la Presidenta Municipal.</w:t>
      </w:r>
    </w:p>
    <w:p w14:paraId="39039C7C" w14:textId="77777777" w:rsidR="000D69D7" w:rsidRDefault="000D69D7" w:rsidP="00B63AA2">
      <w:pPr>
        <w:pStyle w:val="Citas"/>
      </w:pPr>
      <w:r>
        <w:t xml:space="preserve">La Administración Pública Centralizada se integra por: </w:t>
      </w:r>
    </w:p>
    <w:p w14:paraId="6F294814" w14:textId="77777777" w:rsidR="000D69D7" w:rsidRDefault="000D69D7" w:rsidP="00B63AA2">
      <w:pPr>
        <w:pStyle w:val="Citas"/>
      </w:pPr>
      <w:r>
        <w:lastRenderedPageBreak/>
        <w:t>I. Secretaría del Ayuntamiento;</w:t>
      </w:r>
    </w:p>
    <w:p w14:paraId="2C03A087" w14:textId="77777777" w:rsidR="000D69D7" w:rsidRDefault="000D69D7" w:rsidP="00B63AA2">
      <w:pPr>
        <w:pStyle w:val="Citas"/>
      </w:pPr>
      <w:r>
        <w:t xml:space="preserve"> II. Tesorería Municipal;</w:t>
      </w:r>
    </w:p>
    <w:p w14:paraId="7663AA7A" w14:textId="77777777" w:rsidR="000D69D7" w:rsidRDefault="000D69D7" w:rsidP="00B63AA2">
      <w:pPr>
        <w:pStyle w:val="Citas"/>
      </w:pPr>
      <w:r>
        <w:t xml:space="preserve"> III. Contraloría Interna Municipal; </w:t>
      </w:r>
    </w:p>
    <w:p w14:paraId="75A64E64" w14:textId="77777777" w:rsidR="000D69D7" w:rsidRDefault="000D69D7" w:rsidP="00B63AA2">
      <w:pPr>
        <w:pStyle w:val="Citas"/>
      </w:pPr>
      <w:r>
        <w:t xml:space="preserve">IV. Secretarías de: </w:t>
      </w:r>
    </w:p>
    <w:p w14:paraId="73DD28BC" w14:textId="77777777" w:rsidR="000D69D7" w:rsidRDefault="000D69D7" w:rsidP="00B63AA2">
      <w:pPr>
        <w:pStyle w:val="Citas"/>
      </w:pPr>
      <w:r>
        <w:t xml:space="preserve">a. Administración; </w:t>
      </w:r>
    </w:p>
    <w:p w14:paraId="2C480A25" w14:textId="77777777" w:rsidR="000D69D7" w:rsidRDefault="000D69D7" w:rsidP="00B63AA2">
      <w:pPr>
        <w:pStyle w:val="Citas"/>
      </w:pPr>
      <w:r>
        <w:t xml:space="preserve">b. Desarrollo Económico; </w:t>
      </w:r>
    </w:p>
    <w:p w14:paraId="11077CC3" w14:textId="77777777" w:rsidR="000D69D7" w:rsidRDefault="000D69D7" w:rsidP="00B63AA2">
      <w:pPr>
        <w:pStyle w:val="Citas"/>
      </w:pPr>
      <w:r>
        <w:t xml:space="preserve">c. Desarrollo Social; </w:t>
      </w:r>
    </w:p>
    <w:p w14:paraId="1A88FB75" w14:textId="77777777" w:rsidR="000D69D7" w:rsidRPr="000D69D7" w:rsidRDefault="000D69D7" w:rsidP="00B63AA2">
      <w:pPr>
        <w:pStyle w:val="Citas"/>
        <w:rPr>
          <w:b/>
          <w:u w:val="single"/>
        </w:rPr>
      </w:pPr>
      <w:r w:rsidRPr="000D69D7">
        <w:rPr>
          <w:b/>
          <w:u w:val="single"/>
        </w:rPr>
        <w:t xml:space="preserve">d. Planeación Urbana y Obras Públicas; </w:t>
      </w:r>
    </w:p>
    <w:p w14:paraId="2D4A96AD" w14:textId="77777777" w:rsidR="000D69D7" w:rsidRDefault="000D69D7" w:rsidP="00B63AA2">
      <w:pPr>
        <w:pStyle w:val="Citas"/>
      </w:pPr>
      <w:r>
        <w:t xml:space="preserve">e. Medio Ambiente; </w:t>
      </w:r>
    </w:p>
    <w:p w14:paraId="42E95161" w14:textId="77777777" w:rsidR="000D69D7" w:rsidRDefault="000D69D7" w:rsidP="00B63AA2">
      <w:pPr>
        <w:pStyle w:val="Citas"/>
      </w:pPr>
      <w:r>
        <w:t xml:space="preserve">f. Servicios Públicos; </w:t>
      </w:r>
    </w:p>
    <w:p w14:paraId="3C569096" w14:textId="77777777" w:rsidR="000D69D7" w:rsidRDefault="000D69D7" w:rsidP="00B63AA2">
      <w:pPr>
        <w:pStyle w:val="Citas"/>
      </w:pPr>
      <w:r>
        <w:t xml:space="preserve">g. Las Mujeres Naucalpenses y la Igualdad Sustantiva; </w:t>
      </w:r>
    </w:p>
    <w:p w14:paraId="6D9A0374" w14:textId="77777777" w:rsidR="000D69D7" w:rsidRDefault="000D69D7" w:rsidP="00B63AA2">
      <w:pPr>
        <w:pStyle w:val="Citas"/>
      </w:pPr>
      <w:r>
        <w:t>h. Gobierno;</w:t>
      </w:r>
    </w:p>
    <w:p w14:paraId="7554A7FD" w14:textId="77777777" w:rsidR="000D69D7" w:rsidRDefault="000D69D7" w:rsidP="00B63AA2">
      <w:pPr>
        <w:pStyle w:val="Citas"/>
      </w:pPr>
      <w:r>
        <w:t xml:space="preserve"> i. Cultura; y </w:t>
      </w:r>
    </w:p>
    <w:p w14:paraId="40FA8348" w14:textId="77777777" w:rsidR="000D69D7" w:rsidRDefault="000D69D7" w:rsidP="00B63AA2">
      <w:pPr>
        <w:pStyle w:val="Citas"/>
      </w:pPr>
      <w:r w:rsidRPr="000D69D7">
        <w:rPr>
          <w:b/>
          <w:u w:val="single"/>
        </w:rPr>
        <w:t>j. Asuntos Jurídicos.</w:t>
      </w:r>
      <w:r>
        <w:t xml:space="preserve"> </w:t>
      </w:r>
    </w:p>
    <w:p w14:paraId="2AADAB70" w14:textId="77777777" w:rsidR="000D69D7" w:rsidRDefault="000D69D7" w:rsidP="00B63AA2">
      <w:pPr>
        <w:pStyle w:val="Citas"/>
      </w:pPr>
      <w:r>
        <w:t xml:space="preserve">V. Dirección General de Seguridad Ciudadana y Tránsito Municipal, y </w:t>
      </w:r>
    </w:p>
    <w:p w14:paraId="2771A1E7" w14:textId="77777777" w:rsidR="000D69D7" w:rsidRDefault="000D69D7" w:rsidP="00B63AA2">
      <w:pPr>
        <w:pStyle w:val="Citas"/>
      </w:pPr>
      <w:r>
        <w:t xml:space="preserve">VI. Coordinación Municipal de Protección Civil. </w:t>
      </w:r>
    </w:p>
    <w:p w14:paraId="44640B92" w14:textId="4D5CD151" w:rsidR="000D69D7" w:rsidRDefault="000D69D7" w:rsidP="00B63AA2">
      <w:pPr>
        <w:pStyle w:val="Citas"/>
        <w:rPr>
          <w:bCs/>
          <w:sz w:val="24"/>
          <w:szCs w:val="24"/>
        </w:rPr>
      </w:pPr>
      <w:r>
        <w:lastRenderedPageBreak/>
        <w:t>Las dependencias y entidades se auxiliarán de las áreas administrativas que les señale el Reglamento correspondiente.</w:t>
      </w:r>
    </w:p>
    <w:p w14:paraId="220E9C24" w14:textId="77777777" w:rsidR="000D69D7" w:rsidRPr="00B63AA2" w:rsidRDefault="000D69D7" w:rsidP="000D69D7">
      <w:pPr>
        <w:pStyle w:val="Citas"/>
        <w:rPr>
          <w:b/>
          <w:u w:val="single"/>
        </w:rPr>
      </w:pPr>
      <w:r w:rsidRPr="00B63AA2">
        <w:rPr>
          <w:b/>
          <w:u w:val="single"/>
        </w:rPr>
        <w:t xml:space="preserve">Artículo 98. El Ayuntamiento, a través de Secretaría de Planeación Urbana y Obras Públicas conminará a los residentes dentro del territorio del Municipio a mantener bardeados o cercados los predios de su propiedad o posesión, para lo cual se requerirá la respectiva licencia de construcción emitida por la Secretaría de Planeación Urbana y Obras Públicas en aquellas bardas o cercas que rebasen los 10 metros de largo por 2.20 metros de alto. </w:t>
      </w:r>
    </w:p>
    <w:p w14:paraId="3EF8444D" w14:textId="75333555" w:rsidR="002548EC" w:rsidRPr="00212797" w:rsidRDefault="000D69D7" w:rsidP="000D69D7">
      <w:pPr>
        <w:pStyle w:val="Citas"/>
        <w:rPr>
          <w:b/>
        </w:rPr>
      </w:pPr>
      <w:r>
        <w:t>De igual forma es obligación de los residentes del territorio del Municipio colaborar, en la medida de sus posibilidades, en el barrido y limpieza de las calles o banquetas de sus predios, o en su caso, celebrar convenio con el Ayuntamiento, a efecto de que por conducto de la dependencia respectiva, se lleve a cabo la limpieza necesaria, con cargo al propietario, de conformidad con lo previsto para tal efecto en el Código Financiero del Estado de México y Municipios.</w:t>
      </w:r>
      <w:r w:rsidR="00212797">
        <w:t xml:space="preserve">” </w:t>
      </w:r>
      <w:r w:rsidR="00212797">
        <w:rPr>
          <w:b/>
        </w:rPr>
        <w:t>[Sic]</w:t>
      </w:r>
    </w:p>
    <w:p w14:paraId="55611051" w14:textId="77777777" w:rsidR="002548EC" w:rsidRDefault="002548EC" w:rsidP="00297A36">
      <w:pPr>
        <w:pStyle w:val="Sinespaciado"/>
        <w:spacing w:line="360" w:lineRule="auto"/>
        <w:jc w:val="both"/>
        <w:rPr>
          <w:rFonts w:ascii="Palatino Linotype" w:hAnsi="Palatino Linotype" w:cs="Arial"/>
        </w:rPr>
      </w:pPr>
    </w:p>
    <w:p w14:paraId="77E7D36A" w14:textId="0406D400" w:rsidR="000D69D7" w:rsidRPr="0068792F" w:rsidRDefault="00212797" w:rsidP="0068792F">
      <w:pPr>
        <w:pStyle w:val="Citas"/>
        <w:jc w:val="center"/>
        <w:rPr>
          <w:b/>
        </w:rPr>
      </w:pPr>
      <w:r w:rsidRPr="0068792F">
        <w:rPr>
          <w:b/>
        </w:rPr>
        <w:t>Reglamento Orgánico de la Administración Pública Municipal</w:t>
      </w:r>
    </w:p>
    <w:p w14:paraId="141C4F86" w14:textId="0C1F68F8" w:rsidR="000D69D7" w:rsidRDefault="0068792F" w:rsidP="000D69D7">
      <w:pPr>
        <w:pStyle w:val="Citas"/>
      </w:pPr>
      <w:r>
        <w:t>“</w:t>
      </w:r>
      <w:r w:rsidR="000D69D7">
        <w:t xml:space="preserve">Artículo 15.1.- La Secretaría de Asuntos Jurídicos, tendrá a su cargo atender la actividad de la Administración Pública Municipal, en cuanto a la defensa de la legalidad en su ejercicio, a fin de acrecentar la confianza de la ciudadanía en sus instituciones. </w:t>
      </w:r>
    </w:p>
    <w:p w14:paraId="791272D7" w14:textId="77777777" w:rsidR="000D69D7" w:rsidRDefault="000D69D7" w:rsidP="000D69D7">
      <w:pPr>
        <w:pStyle w:val="Citas"/>
      </w:pPr>
      <w:r>
        <w:lastRenderedPageBreak/>
        <w:t xml:space="preserve">Es la responsable de coordinarse con las diferentes Direcciones, coordinaciones y unidades jurídicas de las Dependencias, así como brindar asesoría jurídica a la Presidenta Municipal y a las unidades administrativas de la Administración Pública Municipal. </w:t>
      </w:r>
    </w:p>
    <w:p w14:paraId="13A691CE" w14:textId="53CCA7C7" w:rsidR="000D69D7" w:rsidRDefault="000D69D7" w:rsidP="000D69D7">
      <w:pPr>
        <w:pStyle w:val="Citas"/>
      </w:pPr>
      <w:r>
        <w:t>De igual forma es responsable de promover los medios de defensa en los litigios en que el Municipio o el Ayuntamiento sean parte.</w:t>
      </w:r>
    </w:p>
    <w:p w14:paraId="6D4D58EE" w14:textId="4C708D29" w:rsidR="000D69D7" w:rsidRDefault="000D69D7" w:rsidP="000D69D7">
      <w:pPr>
        <w:pStyle w:val="Citas"/>
      </w:pPr>
      <w:r>
        <w:t>Artículo 15.3.- La Secretaría de Asuntos Jurídicos estará a cargo de un titular, a quien le corresponderá además del ejercicio de las atribuciones contenidas en el artículo 1.13 del presente reglamento, dentro del ámbito de su competencia, las siguientes:</w:t>
      </w:r>
    </w:p>
    <w:p w14:paraId="0EDDCE84" w14:textId="7AC7F47B" w:rsidR="00B63AA2" w:rsidRDefault="00B63AA2" w:rsidP="000D69D7">
      <w:pPr>
        <w:pStyle w:val="Citas"/>
      </w:pPr>
      <w:r>
        <w:t>I. Emitir opinión, cuando así se requiera, sobre los proyectos de convenios, acuerdos, reglamentos y demás documentos jurídicos que se someterán a consideración del Cabildo o de la Presidenta Municipal, haciendo del conocimiento a la Secretaría del Ayuntamiento en su caso, a efecto de que sea considerada en la elaboración de los instrumentos jurídicos a que se refiere la presente fracción;</w:t>
      </w:r>
    </w:p>
    <w:p w14:paraId="3A535F5B" w14:textId="0A6ACDEE" w:rsidR="00212797" w:rsidRPr="0068792F" w:rsidRDefault="00212797" w:rsidP="000D69D7">
      <w:pPr>
        <w:pStyle w:val="Citas"/>
        <w:rPr>
          <w:b/>
        </w:rPr>
      </w:pPr>
      <w:r>
        <w:t>(…)</w:t>
      </w:r>
      <w:r w:rsidR="0068792F">
        <w:t xml:space="preserve">” </w:t>
      </w:r>
      <w:r w:rsidR="0068792F">
        <w:rPr>
          <w:b/>
        </w:rPr>
        <w:t xml:space="preserve">[Sic] </w:t>
      </w:r>
    </w:p>
    <w:p w14:paraId="63FB0E50" w14:textId="77777777" w:rsidR="00B63AA2" w:rsidRDefault="00B63AA2" w:rsidP="000D69D7">
      <w:pPr>
        <w:pStyle w:val="Citas"/>
      </w:pPr>
    </w:p>
    <w:p w14:paraId="005DC374" w14:textId="77777777" w:rsidR="0093422A" w:rsidRDefault="0093422A" w:rsidP="00297A36">
      <w:pPr>
        <w:pStyle w:val="Sinespaciado"/>
        <w:spacing w:line="360" w:lineRule="auto"/>
        <w:jc w:val="both"/>
        <w:rPr>
          <w:rFonts w:ascii="Palatino Linotype" w:hAnsi="Palatino Linotype"/>
          <w:bCs/>
        </w:rPr>
      </w:pPr>
      <w:r>
        <w:rPr>
          <w:rFonts w:ascii="Palatino Linotype" w:hAnsi="Palatino Linotype"/>
          <w:bCs/>
        </w:rPr>
        <w:t xml:space="preserve">En efecto, de la normatividad plasmada con anterioridad se desprende que los municipios podrán dar en comodato sus bienes, requiriendo autorización de la Legislatura cuando el término exceda el periodo de gestión del Ayuntamiento. </w:t>
      </w:r>
    </w:p>
    <w:p w14:paraId="69135A1C" w14:textId="77777777" w:rsidR="0093422A" w:rsidRDefault="0093422A" w:rsidP="00297A36">
      <w:pPr>
        <w:pStyle w:val="Sinespaciado"/>
        <w:spacing w:line="360" w:lineRule="auto"/>
        <w:jc w:val="both"/>
        <w:rPr>
          <w:rFonts w:ascii="Palatino Linotype" w:hAnsi="Palatino Linotype"/>
          <w:bCs/>
        </w:rPr>
      </w:pPr>
    </w:p>
    <w:p w14:paraId="78344EE5" w14:textId="03B2681C" w:rsidR="000D69D7" w:rsidRDefault="0093422A" w:rsidP="00297A36">
      <w:pPr>
        <w:pStyle w:val="Sinespaciado"/>
        <w:spacing w:line="360" w:lineRule="auto"/>
        <w:jc w:val="both"/>
        <w:rPr>
          <w:rFonts w:ascii="Palatino Linotype" w:hAnsi="Palatino Linotype"/>
          <w:bCs/>
        </w:rPr>
      </w:pPr>
      <w:r>
        <w:rPr>
          <w:rFonts w:ascii="Palatino Linotype" w:hAnsi="Palatino Linotype"/>
          <w:bCs/>
        </w:rPr>
        <w:lastRenderedPageBreak/>
        <w:t>Asimismo, es posible advertir que la Dirección de Planeación Urbana y Obras Públicas funge como la unidad administrativa competente para expedir licencias de construcción. En contraste, la Dirección de Asuntos Jurídicos emitirá su opinión sobre proyectos de convenios, acuerdos, reglamentos y otros instrumentos jurídicos. Luego entonces, los titulares de las Unidades Administrativas en cita fungen como los sujetos habilitados competentes para atender la solicitud de información.</w:t>
      </w:r>
    </w:p>
    <w:p w14:paraId="1594ACB5" w14:textId="77777777" w:rsidR="0093422A" w:rsidRDefault="0093422A" w:rsidP="00297A36">
      <w:pPr>
        <w:pStyle w:val="Sinespaciado"/>
        <w:spacing w:line="360" w:lineRule="auto"/>
        <w:jc w:val="both"/>
        <w:rPr>
          <w:rFonts w:ascii="Palatino Linotype" w:hAnsi="Palatino Linotype"/>
          <w:bCs/>
        </w:rPr>
      </w:pPr>
    </w:p>
    <w:p w14:paraId="22F5084D" w14:textId="37E5D77E" w:rsidR="00EC1B22" w:rsidRPr="00842697" w:rsidRDefault="00697492" w:rsidP="00EC1B22">
      <w:pPr>
        <w:spacing w:before="240" w:line="360" w:lineRule="auto"/>
        <w:jc w:val="both"/>
        <w:rPr>
          <w:rFonts w:ascii="Palatino Linotype" w:hAnsi="Palatino Linotype"/>
          <w:bCs/>
          <w:sz w:val="24"/>
          <w:szCs w:val="24"/>
        </w:rPr>
      </w:pPr>
      <w:r w:rsidRPr="00842697">
        <w:rPr>
          <w:rFonts w:ascii="Palatino Linotype" w:hAnsi="Palatino Linotype"/>
          <w:bCs/>
          <w:sz w:val="24"/>
          <w:szCs w:val="24"/>
        </w:rPr>
        <w:t xml:space="preserve">Por otra parte, </w:t>
      </w:r>
      <w:r w:rsidR="00842697" w:rsidRPr="00842697">
        <w:rPr>
          <w:rFonts w:ascii="Palatino Linotype" w:hAnsi="Palatino Linotype"/>
          <w:bCs/>
          <w:sz w:val="24"/>
          <w:szCs w:val="24"/>
        </w:rPr>
        <w:t>la información requerida estriba</w:t>
      </w:r>
      <w:r w:rsidR="00EC1B22" w:rsidRPr="00842697">
        <w:rPr>
          <w:rFonts w:ascii="Palatino Linotype" w:hAnsi="Palatino Linotype"/>
          <w:bCs/>
          <w:sz w:val="24"/>
          <w:szCs w:val="24"/>
        </w:rPr>
        <w:t xml:space="preserve"> en el interés general y el alcance público, lo anterior con fundamento en el artículo 24, fracción XII, 92, fracción</w:t>
      </w:r>
      <w:r w:rsidR="00780A54">
        <w:rPr>
          <w:rFonts w:ascii="Palatino Linotype" w:hAnsi="Palatino Linotype"/>
          <w:bCs/>
          <w:sz w:val="24"/>
          <w:szCs w:val="24"/>
        </w:rPr>
        <w:t xml:space="preserve"> XXXII, 94, fracción I, inciso f</w:t>
      </w:r>
      <w:r w:rsidR="00EC1B22" w:rsidRPr="00842697">
        <w:rPr>
          <w:rFonts w:ascii="Palatino Linotype" w:hAnsi="Palatino Linotype"/>
          <w:bCs/>
          <w:sz w:val="24"/>
          <w:szCs w:val="24"/>
        </w:rPr>
        <w:t xml:space="preserve">) de la Ley de Transparencia y Acceso a la Información Pública del Estado de México y Municipios, dispositivos jurídicos que disponen a la literalidad lo siguiente: </w:t>
      </w:r>
    </w:p>
    <w:p w14:paraId="2AC87A50" w14:textId="190654EF" w:rsidR="00EC1B22" w:rsidRDefault="00EC1B22" w:rsidP="00EC1B22">
      <w:pPr>
        <w:pStyle w:val="Citas"/>
      </w:pPr>
      <w:r>
        <w:t xml:space="preserve"> “Artículo 24. Para el cumplimiento de los objetivos de esta Ley, los sujetos obligados deberán cumplir con las siguientes obligaciones, según corresponda, de acuerdo a su naturaleza:</w:t>
      </w:r>
    </w:p>
    <w:p w14:paraId="68090AEE" w14:textId="77777777" w:rsidR="00EC1B22" w:rsidRDefault="00EC1B22" w:rsidP="00EC1B22">
      <w:pPr>
        <w:pStyle w:val="Citas"/>
      </w:pPr>
      <w:r>
        <w:t>(…)</w:t>
      </w:r>
    </w:p>
    <w:p w14:paraId="3DF52B52" w14:textId="77777777" w:rsidR="00EC1B22" w:rsidRDefault="00EC1B22" w:rsidP="00EC1B22">
      <w:pPr>
        <w:pStyle w:val="Citas"/>
      </w:pPr>
      <w:r>
        <w:t>XII. Publicar y mantener actualizada la información relativa a las obligaciones generales de transparencia previstas en la presente Ley o determinadas así por el Instituto, y en general aquella que sea de interés público;</w:t>
      </w:r>
    </w:p>
    <w:p w14:paraId="018BC0FC" w14:textId="77777777" w:rsidR="00EC1B22" w:rsidRDefault="00EC1B22" w:rsidP="00EC1B22">
      <w:pPr>
        <w:pStyle w:val="Citas"/>
      </w:pPr>
      <w:r>
        <w:t>(…)</w:t>
      </w:r>
    </w:p>
    <w:p w14:paraId="69772F01" w14:textId="77777777" w:rsidR="00EC1B22" w:rsidRDefault="00EC1B22" w:rsidP="00EC1B22">
      <w:pPr>
        <w:pStyle w:val="Citas"/>
      </w:pPr>
      <w: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C5320B1" w14:textId="77777777" w:rsidR="00EC1B22" w:rsidRDefault="00EC1B22" w:rsidP="00EC1B22">
      <w:pPr>
        <w:pStyle w:val="Citas"/>
      </w:pPr>
      <w:r>
        <w:t>(…)</w:t>
      </w:r>
    </w:p>
    <w:p w14:paraId="2F144598" w14:textId="67485102" w:rsidR="00EC1B22" w:rsidRPr="00EC1B22" w:rsidRDefault="00EC1B22" w:rsidP="00EC1B22">
      <w:pPr>
        <w:pStyle w:val="Citas"/>
        <w:rPr>
          <w:b/>
          <w:u w:val="single"/>
        </w:rPr>
      </w:pPr>
      <w:r w:rsidRPr="00EC1B22">
        <w:rPr>
          <w:b/>
          <w:u w:val="single"/>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5C5894EA" w14:textId="1C7F8261" w:rsidR="00EC1B22" w:rsidRDefault="00EC1B22" w:rsidP="00EC1B22">
      <w:pPr>
        <w:pStyle w:val="Citas"/>
      </w:pPr>
      <w:r>
        <w:t>(…)</w:t>
      </w:r>
    </w:p>
    <w:p w14:paraId="6DE7B920" w14:textId="77777777" w:rsidR="00EC1B22" w:rsidRDefault="00EC1B22" w:rsidP="00EC1B22">
      <w:pPr>
        <w:pStyle w:val="Citas"/>
      </w:pPr>
      <w:r>
        <w:t xml:space="preserve">Artículo 94. Además de las obligaciones de transparencia común a que se refiere el Capítulo II de este Título, los sujetos obligados del Poder Ejecutivo Local y municipales, deberán poner a disposición del público y actualizar la siguiente información: </w:t>
      </w:r>
    </w:p>
    <w:p w14:paraId="62B977E9" w14:textId="6DB5E9AC" w:rsidR="00EC1B22" w:rsidRDefault="00EC1B22" w:rsidP="00EC1B22">
      <w:pPr>
        <w:pStyle w:val="Citas"/>
      </w:pPr>
      <w:r>
        <w:t>I. En el caso del Poder Ejecutivo y los Municipios, en el ámbito de su competencia:</w:t>
      </w:r>
    </w:p>
    <w:p w14:paraId="76D25ECC" w14:textId="2BCC1EEF" w:rsidR="00EC1B22" w:rsidRDefault="00EC1B22" w:rsidP="00EC1B22">
      <w:pPr>
        <w:pStyle w:val="Citas"/>
      </w:pPr>
      <w:r>
        <w:t>(…)</w:t>
      </w:r>
    </w:p>
    <w:p w14:paraId="50CB7145" w14:textId="00A25A72" w:rsidR="00EC1B22" w:rsidRDefault="00EC1B22" w:rsidP="00EC1B22">
      <w:pPr>
        <w:pStyle w:val="Citas"/>
        <w:rPr>
          <w:b/>
          <w:u w:val="single"/>
        </w:rPr>
      </w:pPr>
      <w:r w:rsidRPr="00EC1B22">
        <w:rPr>
          <w:b/>
          <w:u w:val="single"/>
        </w:rPr>
        <w:t>f) La información detallada que contengan los planes de desarrollo urbano, ordenamiento territorial y ecológico, los tipos y usos de suelo, licencias de uso y construcción otorgadas por los gobiernos municipales;</w:t>
      </w:r>
    </w:p>
    <w:p w14:paraId="2D4C43A5" w14:textId="35D91C3F" w:rsidR="00EC1B22" w:rsidRPr="00EC1B22" w:rsidRDefault="00EC1B22" w:rsidP="00EC1B22">
      <w:pPr>
        <w:pStyle w:val="Citas"/>
        <w:rPr>
          <w:b/>
        </w:rPr>
      </w:pPr>
      <w:r>
        <w:lastRenderedPageBreak/>
        <w:t xml:space="preserve">(…)” </w:t>
      </w:r>
      <w:r>
        <w:rPr>
          <w:b/>
        </w:rPr>
        <w:t xml:space="preserve">[Sic] </w:t>
      </w:r>
    </w:p>
    <w:p w14:paraId="6E50B12B" w14:textId="0AC40B7F" w:rsidR="0093422A" w:rsidRPr="00697492" w:rsidRDefault="0093422A" w:rsidP="00297A36">
      <w:pPr>
        <w:pStyle w:val="Sinespaciado"/>
        <w:spacing w:line="360" w:lineRule="auto"/>
        <w:jc w:val="both"/>
        <w:rPr>
          <w:rFonts w:ascii="Palatino Linotype" w:hAnsi="Palatino Linotype"/>
          <w:bCs/>
        </w:rPr>
      </w:pPr>
    </w:p>
    <w:p w14:paraId="1F433C4D" w14:textId="77777777" w:rsidR="0093422A" w:rsidRDefault="0093422A" w:rsidP="00297A36">
      <w:pPr>
        <w:pStyle w:val="Sinespaciado"/>
        <w:spacing w:line="360" w:lineRule="auto"/>
        <w:jc w:val="both"/>
        <w:rPr>
          <w:rFonts w:ascii="Palatino Linotype" w:hAnsi="Palatino Linotype"/>
          <w:bCs/>
        </w:rPr>
      </w:pPr>
    </w:p>
    <w:p w14:paraId="58A4259E" w14:textId="7A24E0E3" w:rsidR="00EC1B22" w:rsidRDefault="00EC1B22" w:rsidP="00EC1B2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Robustecen lo anterior las siguientes imágenes ilustrativas correspondientes a la tabla de aplicabilidad del </w:t>
      </w:r>
      <w:r>
        <w:rPr>
          <w:rFonts w:ascii="Palatino Linotype" w:hAnsi="Palatino Linotype" w:cs="Arial"/>
          <w:b/>
          <w:sz w:val="24"/>
          <w:szCs w:val="24"/>
        </w:rPr>
        <w:t xml:space="preserve">Sujeto Obligado, </w:t>
      </w:r>
      <w:r>
        <w:rPr>
          <w:rFonts w:ascii="Palatino Linotype" w:hAnsi="Palatino Linotype" w:cs="Arial"/>
          <w:sz w:val="24"/>
          <w:szCs w:val="24"/>
        </w:rPr>
        <w:t xml:space="preserve">misma que puede ser consultada en la siguiente dirección electrónica: </w:t>
      </w:r>
    </w:p>
    <w:p w14:paraId="2C43F4F1" w14:textId="39D52F43" w:rsidR="00EC1B22" w:rsidRDefault="00596E2E" w:rsidP="00EC1B22">
      <w:pPr>
        <w:autoSpaceDE w:val="0"/>
        <w:autoSpaceDN w:val="0"/>
        <w:adjustRightInd w:val="0"/>
        <w:spacing w:after="0" w:line="360" w:lineRule="auto"/>
        <w:jc w:val="both"/>
        <w:rPr>
          <w:rFonts w:ascii="Palatino Linotype" w:hAnsi="Palatino Linotype" w:cs="Arial"/>
          <w:sz w:val="24"/>
          <w:szCs w:val="24"/>
        </w:rPr>
      </w:pPr>
      <w:hyperlink r:id="rId8" w:history="1">
        <w:r w:rsidR="00EC1B22" w:rsidRPr="009636A4">
          <w:rPr>
            <w:rStyle w:val="Hipervnculo"/>
            <w:rFonts w:ascii="Palatino Linotype" w:hAnsi="Palatino Linotype"/>
            <w:bCs/>
            <w:sz w:val="24"/>
            <w:szCs w:val="24"/>
          </w:rPr>
          <w:t>https://www.infoem.org.mx/es/contenido/transparencia/directorio-de-sujetos-obligados</w:t>
        </w:r>
      </w:hyperlink>
    </w:p>
    <w:p w14:paraId="4FD9ECBA" w14:textId="474B75AB" w:rsidR="0093422A" w:rsidRDefault="0093422A" w:rsidP="00297A36">
      <w:pPr>
        <w:pStyle w:val="Sinespaciado"/>
        <w:spacing w:line="360" w:lineRule="auto"/>
        <w:jc w:val="both"/>
        <w:rPr>
          <w:rFonts w:ascii="Palatino Linotype" w:hAnsi="Palatino Linotype"/>
          <w:bCs/>
        </w:rPr>
      </w:pPr>
    </w:p>
    <w:p w14:paraId="765B6FF0" w14:textId="3B6C2055" w:rsidR="0093422A" w:rsidRDefault="00780A54" w:rsidP="00297A36">
      <w:pPr>
        <w:pStyle w:val="Sinespaciado"/>
        <w:spacing w:line="360" w:lineRule="auto"/>
        <w:jc w:val="both"/>
        <w:rPr>
          <w:rFonts w:ascii="Palatino Linotype" w:hAnsi="Palatino Linotype"/>
          <w:bCs/>
        </w:rPr>
      </w:pPr>
      <w:r>
        <w:rPr>
          <w:rFonts w:ascii="Palatino Linotype" w:hAnsi="Palatino Linotype" w:cs="Arial"/>
          <w:noProof/>
          <w:lang w:eastAsia="es-MX"/>
        </w:rPr>
        <w:drawing>
          <wp:anchor distT="0" distB="0" distL="114300" distR="114300" simplePos="0" relativeHeight="251662336" behindDoc="0" locked="0" layoutInCell="1" allowOverlap="1" wp14:anchorId="4105AC4C" wp14:editId="51D2C256">
            <wp:simplePos x="0" y="0"/>
            <wp:positionH relativeFrom="column">
              <wp:posOffset>-53975</wp:posOffset>
            </wp:positionH>
            <wp:positionV relativeFrom="paragraph">
              <wp:posOffset>257810</wp:posOffset>
            </wp:positionV>
            <wp:extent cx="5756910" cy="3344545"/>
            <wp:effectExtent l="19050" t="19050" r="15240" b="27305"/>
            <wp:wrapThrough wrapText="bothSides">
              <wp:wrapPolygon edited="0">
                <wp:start x="-71" y="-123"/>
                <wp:lineTo x="-71" y="21653"/>
                <wp:lineTo x="21586" y="21653"/>
                <wp:lineTo x="21586" y="-123"/>
                <wp:lineTo x="-71" y="-123"/>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6910" cy="33445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CE23842" w14:textId="693BEFD1" w:rsidR="0093422A" w:rsidRDefault="0093422A" w:rsidP="00297A36">
      <w:pPr>
        <w:pStyle w:val="Sinespaciado"/>
        <w:spacing w:line="360" w:lineRule="auto"/>
        <w:jc w:val="both"/>
        <w:rPr>
          <w:rFonts w:ascii="Palatino Linotype" w:hAnsi="Palatino Linotype" w:cs="Arial"/>
        </w:rPr>
      </w:pPr>
    </w:p>
    <w:p w14:paraId="71ECA4CA" w14:textId="42C833F1" w:rsidR="00EC1B22" w:rsidRDefault="00780A54" w:rsidP="00297A36">
      <w:pPr>
        <w:pStyle w:val="Sinespaciado"/>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64384" behindDoc="0" locked="0" layoutInCell="1" allowOverlap="1" wp14:anchorId="498E2862" wp14:editId="23A2EF2C">
            <wp:simplePos x="0" y="0"/>
            <wp:positionH relativeFrom="column">
              <wp:posOffset>-46355</wp:posOffset>
            </wp:positionH>
            <wp:positionV relativeFrom="paragraph">
              <wp:posOffset>3776980</wp:posOffset>
            </wp:positionV>
            <wp:extent cx="5756275" cy="3344545"/>
            <wp:effectExtent l="19050" t="19050" r="15875" b="27305"/>
            <wp:wrapThrough wrapText="bothSides">
              <wp:wrapPolygon edited="0">
                <wp:start x="-71" y="-123"/>
                <wp:lineTo x="-71" y="21653"/>
                <wp:lineTo x="21588" y="21653"/>
                <wp:lineTo x="21588" y="-123"/>
                <wp:lineTo x="-71" y="-123"/>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275" cy="33445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842697">
        <w:rPr>
          <w:rFonts w:ascii="Palatino Linotype" w:hAnsi="Palatino Linotype" w:cs="Arial"/>
          <w:noProof/>
          <w:lang w:eastAsia="es-MX"/>
        </w:rPr>
        <w:drawing>
          <wp:anchor distT="0" distB="0" distL="114300" distR="114300" simplePos="0" relativeHeight="251663360" behindDoc="0" locked="0" layoutInCell="1" allowOverlap="1" wp14:anchorId="46508310" wp14:editId="01CC76A7">
            <wp:simplePos x="0" y="0"/>
            <wp:positionH relativeFrom="column">
              <wp:posOffset>-53975</wp:posOffset>
            </wp:positionH>
            <wp:positionV relativeFrom="paragraph">
              <wp:posOffset>94623</wp:posOffset>
            </wp:positionV>
            <wp:extent cx="5756910" cy="3344545"/>
            <wp:effectExtent l="19050" t="19050" r="15240" b="27305"/>
            <wp:wrapThrough wrapText="bothSides">
              <wp:wrapPolygon edited="0">
                <wp:start x="-71" y="-123"/>
                <wp:lineTo x="-71" y="21653"/>
                <wp:lineTo x="21586" y="21653"/>
                <wp:lineTo x="21586" y="-123"/>
                <wp:lineTo x="-71" y="-123"/>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33445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7238B75" w14:textId="342C157D" w:rsidR="00780A54" w:rsidRDefault="00780A54" w:rsidP="00780A54">
      <w:pPr>
        <w:pStyle w:val="Sinespaciado"/>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65408" behindDoc="0" locked="0" layoutInCell="1" allowOverlap="1" wp14:anchorId="7B8E34D9" wp14:editId="1A826F0D">
            <wp:simplePos x="0" y="0"/>
            <wp:positionH relativeFrom="column">
              <wp:posOffset>-70485</wp:posOffset>
            </wp:positionH>
            <wp:positionV relativeFrom="paragraph">
              <wp:posOffset>19228</wp:posOffset>
            </wp:positionV>
            <wp:extent cx="5756910" cy="3344545"/>
            <wp:effectExtent l="19050" t="19050" r="15240" b="27305"/>
            <wp:wrapThrough wrapText="bothSides">
              <wp:wrapPolygon edited="0">
                <wp:start x="-71" y="-123"/>
                <wp:lineTo x="-71" y="21653"/>
                <wp:lineTo x="21586" y="21653"/>
                <wp:lineTo x="21586" y="-123"/>
                <wp:lineTo x="-71" y="-123"/>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33445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F55C31F" w14:textId="2E34A1B3" w:rsidR="007818E1" w:rsidRDefault="007818E1" w:rsidP="00780A54">
      <w:pPr>
        <w:pStyle w:val="Sinespaciado"/>
        <w:spacing w:line="360" w:lineRule="auto"/>
        <w:jc w:val="both"/>
        <w:rPr>
          <w:rFonts w:ascii="Palatino Linotype" w:hAnsi="Palatino Linotype" w:cs="Arial"/>
        </w:rPr>
      </w:pPr>
      <w:r>
        <w:rPr>
          <w:rFonts w:ascii="Palatino Linotype" w:hAnsi="Palatino Linotype" w:cs="Arial"/>
        </w:rPr>
        <w:t xml:space="preserve">Con base en lo anteriormente expuesto, resulta inconcuso que la información que resulta de interés al particular es susceptible de ser generada, poseída y administrada por </w:t>
      </w:r>
      <w:r>
        <w:rPr>
          <w:rFonts w:ascii="Palatino Linotype" w:hAnsi="Palatino Linotype" w:cs="Arial"/>
          <w:b/>
        </w:rPr>
        <w:t xml:space="preserve">El Sujeto Obligado, </w:t>
      </w:r>
      <w:r>
        <w:rPr>
          <w:rFonts w:ascii="Palatino Linotype" w:hAnsi="Palatino Linotype" w:cs="Arial"/>
        </w:rPr>
        <w:t xml:space="preserve">asimismo, ésta estriba como obligaciones de transparencia común. </w:t>
      </w:r>
    </w:p>
    <w:p w14:paraId="2D278995" w14:textId="26F9B3CE" w:rsidR="007818E1" w:rsidRDefault="007818E1" w:rsidP="007818E1">
      <w:pPr>
        <w:spacing w:before="240" w:line="360" w:lineRule="auto"/>
        <w:jc w:val="both"/>
        <w:rPr>
          <w:rFonts w:ascii="Palatino Linotype" w:hAnsi="Palatino Linotype"/>
          <w:bCs/>
          <w:sz w:val="24"/>
          <w:szCs w:val="24"/>
        </w:rPr>
      </w:pPr>
      <w:r>
        <w:rPr>
          <w:rFonts w:ascii="Palatino Linotype" w:hAnsi="Palatino Linotype"/>
          <w:bCs/>
          <w:sz w:val="24"/>
          <w:szCs w:val="24"/>
        </w:rPr>
        <w:t xml:space="preserve">Una vez sentado lo anterior, como se mencionó en el antecedente segundo </w:t>
      </w:r>
      <w:r>
        <w:rPr>
          <w:rFonts w:ascii="Palatino Linotype" w:hAnsi="Palatino Linotype"/>
          <w:b/>
          <w:sz w:val="24"/>
          <w:szCs w:val="24"/>
        </w:rPr>
        <w:t xml:space="preserve">El Sujeto Obligado </w:t>
      </w:r>
      <w:r>
        <w:rPr>
          <w:rFonts w:ascii="Palatino Linotype" w:hAnsi="Palatino Linotype"/>
          <w:bCs/>
          <w:sz w:val="24"/>
          <w:szCs w:val="24"/>
        </w:rPr>
        <w:t>rindió su respuesta en fecha diez de enero de dos mil veintidós, adjuntando para tal efecto lo siguiente:</w:t>
      </w:r>
    </w:p>
    <w:p w14:paraId="34367B01" w14:textId="11A64B15" w:rsidR="007818E1" w:rsidRDefault="007818E1" w:rsidP="007818E1">
      <w:pPr>
        <w:pStyle w:val="Prrafodelista"/>
        <w:numPr>
          <w:ilvl w:val="0"/>
          <w:numId w:val="12"/>
        </w:numPr>
        <w:spacing w:before="240" w:line="360" w:lineRule="auto"/>
        <w:jc w:val="both"/>
        <w:rPr>
          <w:rFonts w:ascii="Palatino Linotype" w:hAnsi="Palatino Linotype"/>
          <w:b/>
          <w:bCs/>
        </w:rPr>
      </w:pPr>
      <w:r>
        <w:rPr>
          <w:rFonts w:ascii="Palatino Linotype" w:hAnsi="Palatino Linotype"/>
          <w:b/>
          <w:bCs/>
        </w:rPr>
        <w:t xml:space="preserve">“Respuesta solicitud 00932.pdf”: </w:t>
      </w:r>
      <w:r>
        <w:rPr>
          <w:rFonts w:ascii="Palatino Linotype" w:hAnsi="Palatino Linotype"/>
          <w:bCs/>
        </w:rPr>
        <w:t xml:space="preserve">Autorización de comodato con nomenclatura </w:t>
      </w:r>
      <w:r>
        <w:rPr>
          <w:rFonts w:ascii="Palatino Linotype" w:hAnsi="Palatino Linotype"/>
          <w:b/>
          <w:bCs/>
        </w:rPr>
        <w:t xml:space="preserve">SA/DT/SPN/A/006/2019, </w:t>
      </w:r>
      <w:r>
        <w:rPr>
          <w:rFonts w:ascii="Palatino Linotype" w:hAnsi="Palatino Linotype"/>
          <w:bCs/>
        </w:rPr>
        <w:t xml:space="preserve">de su lectura integral se desprende que el documento se encuentra incompleto, al no haber remitido las fojas con número par </w:t>
      </w:r>
      <w:r>
        <w:rPr>
          <w:rFonts w:ascii="Palatino Linotype" w:hAnsi="Palatino Linotype"/>
          <w:b/>
          <w:bCs/>
        </w:rPr>
        <w:t xml:space="preserve">(2 y 4). </w:t>
      </w:r>
    </w:p>
    <w:p w14:paraId="0B3740A4" w14:textId="6D8343B2" w:rsidR="007818E1" w:rsidRDefault="007818E1" w:rsidP="007818E1">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lastRenderedPageBreak/>
        <w:t xml:space="preserve">Inconforme con la respuesta rendida por </w:t>
      </w:r>
      <w:r>
        <w:rPr>
          <w:rFonts w:ascii="Palatino Linotype" w:hAnsi="Palatino Linotype"/>
          <w:b/>
          <w:noProof/>
          <w:lang w:eastAsia="es-MX"/>
        </w:rPr>
        <w:t xml:space="preserve">El Sujeto Obligado, El Recurrente </w:t>
      </w:r>
      <w:r>
        <w:rPr>
          <w:rFonts w:ascii="Palatino Linotype" w:hAnsi="Palatino Linotype"/>
          <w:noProof/>
          <w:lang w:eastAsia="es-MX"/>
        </w:rPr>
        <w:t>interpuso recurso de revisión en fecha trece de enero, admitiendose el dieciocho de enero, ambos de dos mil veintidos. Señalando como acto impugnado:</w:t>
      </w:r>
    </w:p>
    <w:p w14:paraId="5FC90285" w14:textId="0D4F6699" w:rsidR="007818E1" w:rsidRDefault="007818E1" w:rsidP="007818E1">
      <w:pPr>
        <w:pStyle w:val="Citas"/>
        <w:rPr>
          <w:b/>
        </w:rPr>
      </w:pPr>
      <w:r>
        <w:t xml:space="preserve">“Son dos motivos: </w:t>
      </w:r>
      <w:r w:rsidRPr="007818E1">
        <w:rPr>
          <w:b/>
          <w:u w:val="single"/>
        </w:rPr>
        <w:t>1. El archivo que el Municipio entrega está incompleto</w:t>
      </w:r>
      <w:r>
        <w:t xml:space="preserve"> (escaneado intercalado): es decir, al momento de escanear el oficio SA/DT/SPN/A/006/2019 solo se escanearon la página 1 y 3 . Faltan las páginas 2 y 4. A reserva de ver el oficio completo, parece que el oficio que comparten es de la Asociación de Colonos de Jardines de Satélite y no de Asociación de Colonos de Ciudad Satélite. </w:t>
      </w:r>
      <w:r w:rsidRPr="007818E1">
        <w:rPr>
          <w:b/>
          <w:u w:val="single"/>
        </w:rPr>
        <w:t>2. Falta la licencia de construcción relativa al área común</w:t>
      </w:r>
      <w:r>
        <w:t xml:space="preserve"> del inmueble ubicado en Lucas Alamán 14, Ciudad Satélite, Naucalpan, Estado de México.” </w:t>
      </w:r>
      <w:r>
        <w:rPr>
          <w:b/>
        </w:rPr>
        <w:t xml:space="preserve">[Sic] </w:t>
      </w:r>
    </w:p>
    <w:p w14:paraId="7DA00D57" w14:textId="77777777" w:rsidR="0085439C" w:rsidRDefault="0085439C" w:rsidP="007818E1">
      <w:pPr>
        <w:pStyle w:val="Citas"/>
        <w:ind w:left="0" w:right="0"/>
        <w:rPr>
          <w:i w:val="0"/>
          <w:sz w:val="24"/>
          <w:szCs w:val="24"/>
        </w:rPr>
      </w:pPr>
    </w:p>
    <w:p w14:paraId="01341094" w14:textId="21CDD5B6" w:rsidR="007818E1" w:rsidRDefault="007818E1" w:rsidP="007818E1">
      <w:pPr>
        <w:pStyle w:val="Citas"/>
        <w:ind w:left="0" w:right="0"/>
        <w:rPr>
          <w:i w:val="0"/>
          <w:sz w:val="24"/>
          <w:szCs w:val="24"/>
        </w:rPr>
      </w:pPr>
      <w:r>
        <w:rPr>
          <w:i w:val="0"/>
          <w:sz w:val="24"/>
          <w:szCs w:val="24"/>
        </w:rPr>
        <w:t>En virtud de lo anterior, a toda luz se desprende que las razones o motivos de inconformidad esgrimidos por el particular se encuentran encauzados a denotar la actualización de la causal de procedencia prevista en el artículo 179, fracción V de la Ley de Transparencia y Acceso a la Información Pública del Estado de México y Municipios, normatividad que dispone a la literalidad lo siguiente:</w:t>
      </w:r>
    </w:p>
    <w:p w14:paraId="456CC014" w14:textId="77777777" w:rsidR="007818E1" w:rsidRPr="00615A99" w:rsidRDefault="007818E1" w:rsidP="007818E1">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78118F96" w14:textId="77777777" w:rsidR="007818E1" w:rsidRPr="00615A99" w:rsidRDefault="007818E1" w:rsidP="007818E1">
      <w:pPr>
        <w:pStyle w:val="Citas"/>
      </w:pPr>
      <w:r w:rsidRPr="00615A99">
        <w:t>(…)</w:t>
      </w:r>
    </w:p>
    <w:p w14:paraId="7287C54A" w14:textId="77777777" w:rsidR="007818E1" w:rsidRPr="007818E1" w:rsidRDefault="007818E1" w:rsidP="007818E1">
      <w:pPr>
        <w:pStyle w:val="Citas"/>
        <w:rPr>
          <w:b/>
          <w:u w:val="single"/>
        </w:rPr>
      </w:pPr>
      <w:r w:rsidRPr="007818E1">
        <w:rPr>
          <w:b/>
          <w:u w:val="single"/>
        </w:rPr>
        <w:t xml:space="preserve">V. La entrega de información incompleta; </w:t>
      </w:r>
    </w:p>
    <w:p w14:paraId="46C99427" w14:textId="219892DF" w:rsidR="007818E1" w:rsidRPr="007818E1" w:rsidRDefault="007818E1" w:rsidP="007818E1">
      <w:pPr>
        <w:pStyle w:val="Citas"/>
        <w:rPr>
          <w:b/>
        </w:rPr>
      </w:pPr>
      <w:r>
        <w:lastRenderedPageBreak/>
        <w:t xml:space="preserve">(…)” </w:t>
      </w:r>
      <w:r>
        <w:rPr>
          <w:b/>
        </w:rPr>
        <w:t>[Sic]</w:t>
      </w:r>
    </w:p>
    <w:p w14:paraId="289CF62C" w14:textId="754748A1" w:rsidR="007818E1" w:rsidRDefault="007818E1" w:rsidP="007818E1">
      <w:pPr>
        <w:pStyle w:val="Citas"/>
        <w:rPr>
          <w:b/>
        </w:rPr>
      </w:pPr>
      <w:r>
        <w:rPr>
          <w:b/>
        </w:rPr>
        <w:t xml:space="preserve"> </w:t>
      </w:r>
    </w:p>
    <w:p w14:paraId="0CF3F811" w14:textId="02246D12" w:rsidR="00ED3C5C" w:rsidRPr="00ED3C5C" w:rsidRDefault="00ED3C5C" w:rsidP="00630E5F">
      <w:pPr>
        <w:spacing w:after="0" w:line="360" w:lineRule="auto"/>
        <w:jc w:val="both"/>
        <w:rPr>
          <w:rFonts w:ascii="Palatino Linotype" w:hAnsi="Palatino Linotype" w:cs="Arial"/>
          <w:b/>
          <w:color w:val="000000"/>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 xml:space="preserve">El Sujeto Obligado </w:t>
      </w:r>
      <w:r w:rsidR="00630E5F">
        <w:rPr>
          <w:rFonts w:ascii="Palatino Linotype" w:hAnsi="Palatino Linotype" w:cs="Arial"/>
          <w:color w:val="000000"/>
          <w:sz w:val="24"/>
          <w:lang w:val="es-ES_tradnl"/>
        </w:rPr>
        <w:t xml:space="preserve">fue omiso en rendir su informe justificado, luego entonces no fue subsanada la violación al derecho de acceso a la información pública. </w:t>
      </w:r>
    </w:p>
    <w:p w14:paraId="6747E5FD" w14:textId="77777777" w:rsidR="00ED3C5C" w:rsidRDefault="00ED3C5C" w:rsidP="00ED3C5C">
      <w:pPr>
        <w:spacing w:after="0" w:line="360" w:lineRule="auto"/>
        <w:jc w:val="both"/>
        <w:rPr>
          <w:rFonts w:ascii="Palatino Linotype" w:hAnsi="Palatino Linotype" w:cs="Arial"/>
          <w:color w:val="000000"/>
          <w:sz w:val="24"/>
          <w:lang w:val="es-ES_tradnl"/>
        </w:rPr>
      </w:pPr>
    </w:p>
    <w:p w14:paraId="46E9DC28" w14:textId="77777777" w:rsidR="00027921" w:rsidRPr="001C649D" w:rsidRDefault="00027921" w:rsidP="00027921">
      <w:pPr>
        <w:spacing w:after="0" w:line="360" w:lineRule="auto"/>
        <w:jc w:val="both"/>
        <w:rPr>
          <w:rFonts w:ascii="Palatino Linotype" w:hAnsi="Palatino Linotype"/>
          <w:noProof/>
          <w:sz w:val="24"/>
          <w:szCs w:val="24"/>
          <w:lang w:eastAsia="es-MX"/>
        </w:rPr>
      </w:pPr>
      <w:r w:rsidRPr="001C649D">
        <w:rPr>
          <w:rFonts w:ascii="Palatino Linotype" w:hAnsi="Palatino Linotype"/>
          <w:noProof/>
          <w:sz w:val="24"/>
          <w:szCs w:val="24"/>
          <w:lang w:eastAsia="es-MX"/>
        </w:rPr>
        <w:t>Hasta aquí lo expuesto deben de arribarse a las siguientes consideraciones:</w:t>
      </w:r>
    </w:p>
    <w:p w14:paraId="14AFCC9E" w14:textId="3F60B841" w:rsidR="00027921" w:rsidRPr="00630E5F" w:rsidRDefault="00027921" w:rsidP="00FB1D16">
      <w:pPr>
        <w:pStyle w:val="Prrafodelista"/>
        <w:numPr>
          <w:ilvl w:val="0"/>
          <w:numId w:val="9"/>
        </w:numPr>
        <w:autoSpaceDE w:val="0"/>
        <w:autoSpaceDN w:val="0"/>
        <w:adjustRightInd w:val="0"/>
        <w:spacing w:line="360" w:lineRule="auto"/>
        <w:jc w:val="both"/>
        <w:rPr>
          <w:rFonts w:ascii="Palatino Linotype" w:hAnsi="Palatino Linotype" w:cs="Arial"/>
          <w:b/>
          <w:u w:val="single"/>
        </w:rPr>
      </w:pPr>
      <w:r w:rsidRPr="00BB739A">
        <w:rPr>
          <w:rFonts w:ascii="Palatino Linotype" w:hAnsi="Palatino Linotype" w:cs="Arial"/>
          <w:color w:val="000000"/>
        </w:rPr>
        <w:t>A través del derecho de acceso a la información</w:t>
      </w:r>
      <w:r w:rsidR="00124209">
        <w:rPr>
          <w:rFonts w:ascii="Palatino Linotype" w:hAnsi="Palatino Linotype" w:cs="Arial"/>
          <w:color w:val="000000"/>
        </w:rPr>
        <w:t xml:space="preserve"> fue</w:t>
      </w:r>
      <w:r>
        <w:rPr>
          <w:rFonts w:ascii="Palatino Linotype" w:hAnsi="Palatino Linotype" w:cs="Arial"/>
          <w:color w:val="000000"/>
        </w:rPr>
        <w:t xml:space="preserve"> </w:t>
      </w:r>
      <w:r w:rsidR="00630E5F">
        <w:rPr>
          <w:rFonts w:ascii="Palatino Linotype" w:hAnsi="Palatino Linotype" w:cs="Arial"/>
          <w:color w:val="000000"/>
        </w:rPr>
        <w:t>requerida la siguiente información:</w:t>
      </w:r>
    </w:p>
    <w:p w14:paraId="273DF25C" w14:textId="77777777" w:rsidR="00630E5F" w:rsidRDefault="00630E5F" w:rsidP="00204006">
      <w:pPr>
        <w:pStyle w:val="Prrafodelista"/>
        <w:numPr>
          <w:ilvl w:val="0"/>
          <w:numId w:val="14"/>
        </w:numPr>
        <w:tabs>
          <w:tab w:val="left" w:pos="709"/>
        </w:tabs>
        <w:spacing w:before="240" w:line="360" w:lineRule="auto"/>
        <w:ind w:left="720" w:right="51"/>
        <w:jc w:val="both"/>
        <w:rPr>
          <w:rFonts w:ascii="Palatino Linotype" w:hAnsi="Palatino Linotype"/>
        </w:rPr>
      </w:pPr>
      <w:r w:rsidRPr="00630E5F">
        <w:rPr>
          <w:rFonts w:ascii="Palatino Linotype" w:hAnsi="Palatino Linotype"/>
        </w:rPr>
        <w:t xml:space="preserve">Contrato de comodato celebrado entre el Ayuntamiento de Naucalpan de Juárez y las personas físicas y morales referidas mediante la solicitud de información </w:t>
      </w:r>
      <w:r w:rsidRPr="00630E5F">
        <w:rPr>
          <w:rFonts w:ascii="Palatino Linotype" w:hAnsi="Palatino Linotype"/>
          <w:b/>
        </w:rPr>
        <w:t xml:space="preserve">00932/NAUCALPA/IP/2021, </w:t>
      </w:r>
      <w:r w:rsidRPr="00630E5F">
        <w:rPr>
          <w:rFonts w:ascii="Palatino Linotype" w:hAnsi="Palatino Linotype"/>
        </w:rPr>
        <w:t xml:space="preserve">respecto del inmueble señalado en la propia solicitud, al catorce de diciembre de dos mil veintiuno. </w:t>
      </w:r>
    </w:p>
    <w:p w14:paraId="28E11049" w14:textId="0E8770F1" w:rsidR="00630E5F" w:rsidRPr="00630E5F" w:rsidRDefault="00630E5F" w:rsidP="00204006">
      <w:pPr>
        <w:pStyle w:val="Prrafodelista"/>
        <w:numPr>
          <w:ilvl w:val="0"/>
          <w:numId w:val="14"/>
        </w:numPr>
        <w:tabs>
          <w:tab w:val="left" w:pos="709"/>
        </w:tabs>
        <w:spacing w:before="240" w:line="360" w:lineRule="auto"/>
        <w:ind w:left="720" w:right="51"/>
        <w:jc w:val="both"/>
        <w:rPr>
          <w:rFonts w:ascii="Palatino Linotype" w:hAnsi="Palatino Linotype"/>
        </w:rPr>
      </w:pPr>
      <w:r w:rsidRPr="00630E5F">
        <w:rPr>
          <w:rFonts w:ascii="Palatino Linotype" w:hAnsi="Palatino Linotype"/>
        </w:rPr>
        <w:t xml:space="preserve">Licencia de construcción para área común respecto del inmueble señalado mediante la solicitud de información </w:t>
      </w:r>
      <w:r w:rsidRPr="00630E5F">
        <w:rPr>
          <w:rFonts w:ascii="Palatino Linotype" w:hAnsi="Palatino Linotype"/>
          <w:b/>
        </w:rPr>
        <w:t xml:space="preserve">00932/NAUCALPA/IP/2021, </w:t>
      </w:r>
      <w:r w:rsidRPr="00630E5F">
        <w:rPr>
          <w:rFonts w:ascii="Palatino Linotype" w:hAnsi="Palatino Linotype"/>
        </w:rPr>
        <w:t xml:space="preserve">al catorce de diciembre de dos mil veintiuno. </w:t>
      </w:r>
    </w:p>
    <w:p w14:paraId="2780B57A" w14:textId="77777777" w:rsidR="00630E5F" w:rsidRPr="00630E5F" w:rsidRDefault="00630E5F" w:rsidP="00630E5F">
      <w:pPr>
        <w:autoSpaceDE w:val="0"/>
        <w:autoSpaceDN w:val="0"/>
        <w:adjustRightInd w:val="0"/>
        <w:spacing w:line="360" w:lineRule="auto"/>
        <w:jc w:val="both"/>
        <w:rPr>
          <w:rFonts w:ascii="Palatino Linotype" w:hAnsi="Palatino Linotype" w:cs="Arial"/>
          <w:b/>
          <w:u w:val="single"/>
        </w:rPr>
      </w:pPr>
    </w:p>
    <w:p w14:paraId="380893FA" w14:textId="2955EA35" w:rsidR="00630E5F" w:rsidRDefault="00027921" w:rsidP="00630E5F">
      <w:pPr>
        <w:pStyle w:val="Prrafodelista"/>
        <w:numPr>
          <w:ilvl w:val="0"/>
          <w:numId w:val="9"/>
        </w:numPr>
        <w:autoSpaceDE w:val="0"/>
        <w:autoSpaceDN w:val="0"/>
        <w:adjustRightInd w:val="0"/>
        <w:spacing w:line="360" w:lineRule="auto"/>
        <w:jc w:val="both"/>
        <w:rPr>
          <w:rFonts w:ascii="Palatino Linotype" w:hAnsi="Palatino Linotype" w:cs="Arial"/>
        </w:rPr>
      </w:pPr>
      <w:r w:rsidRPr="008071F1">
        <w:rPr>
          <w:rFonts w:ascii="Palatino Linotype" w:hAnsi="Palatino Linotype" w:cs="Arial"/>
        </w:rPr>
        <w:t xml:space="preserve">Que de una interpretación sistemática </w:t>
      </w:r>
      <w:r w:rsidR="00BB2E89">
        <w:rPr>
          <w:rFonts w:ascii="Palatino Linotype" w:hAnsi="Palatino Linotype" w:cs="Arial"/>
        </w:rPr>
        <w:t xml:space="preserve">al </w:t>
      </w:r>
      <w:r w:rsidR="00630E5F">
        <w:rPr>
          <w:rFonts w:ascii="Palatino Linotype" w:hAnsi="Palatino Linotype"/>
          <w:bCs/>
        </w:rPr>
        <w:t xml:space="preserve">artículo 31, fracción XXVIII de la Ley Orgánica Municipal del Estado de México,  los numerales 32 y 98 del Bando Municipal del </w:t>
      </w:r>
      <w:r w:rsidR="00630E5F">
        <w:rPr>
          <w:rFonts w:ascii="Palatino Linotype" w:hAnsi="Palatino Linotype"/>
          <w:b/>
          <w:bCs/>
        </w:rPr>
        <w:t xml:space="preserve">Sujeto Obligado, </w:t>
      </w:r>
      <w:r w:rsidR="00630E5F">
        <w:rPr>
          <w:rFonts w:ascii="Palatino Linotype" w:hAnsi="Palatino Linotype"/>
          <w:bCs/>
        </w:rPr>
        <w:t xml:space="preserve">así como los numerales 15.1 y 15.3 del Reglamento Orgánico de la Administración Pública Municipal de Naucalpan de Juárez, se advierte que el Director de Planeación Urbana y Obras Públicas, </w:t>
      </w:r>
      <w:r w:rsidR="00630E5F">
        <w:rPr>
          <w:rFonts w:ascii="Palatino Linotype" w:hAnsi="Palatino Linotype"/>
          <w:bCs/>
        </w:rPr>
        <w:lastRenderedPageBreak/>
        <w:t xml:space="preserve">así como el Director de Asuntos Jurídicos fungen como los sujetos habilitados competentes para atender la solicitud de información. </w:t>
      </w:r>
    </w:p>
    <w:p w14:paraId="6006B51D" w14:textId="1A45920F" w:rsidR="00630E5F" w:rsidRPr="00630E5F" w:rsidRDefault="009D1B1E" w:rsidP="00FB1D16">
      <w:pPr>
        <w:pStyle w:val="Prrafodelista"/>
        <w:numPr>
          <w:ilvl w:val="0"/>
          <w:numId w:val="9"/>
        </w:numPr>
        <w:autoSpaceDE w:val="0"/>
        <w:autoSpaceDN w:val="0"/>
        <w:adjustRightInd w:val="0"/>
        <w:spacing w:line="360" w:lineRule="auto"/>
        <w:jc w:val="both"/>
        <w:rPr>
          <w:rFonts w:ascii="Palatino Linotype" w:hAnsi="Palatino Linotype" w:cs="Arial"/>
          <w:b/>
          <w:u w:val="single"/>
        </w:rPr>
      </w:pPr>
      <w:r>
        <w:rPr>
          <w:rFonts w:ascii="Palatino Linotype" w:hAnsi="Palatino Linotype" w:cs="Arial"/>
        </w:rPr>
        <w:t xml:space="preserve">Mediante respuesta, </w:t>
      </w:r>
      <w:r>
        <w:rPr>
          <w:rFonts w:ascii="Palatino Linotype" w:hAnsi="Palatino Linotype" w:cs="Arial"/>
          <w:b/>
        </w:rPr>
        <w:t xml:space="preserve">El Sujeto Obligado </w:t>
      </w:r>
      <w:r>
        <w:rPr>
          <w:rFonts w:ascii="Palatino Linotype" w:hAnsi="Palatino Linotype" w:cs="Arial"/>
        </w:rPr>
        <w:t xml:space="preserve">se limitó a </w:t>
      </w:r>
      <w:r w:rsidR="00630E5F">
        <w:rPr>
          <w:rFonts w:ascii="Palatino Linotype" w:hAnsi="Palatino Linotype" w:cs="Arial"/>
        </w:rPr>
        <w:t xml:space="preserve">remitir una autorización de comodato incompleta, al omitir el envío de sus fojas pares </w:t>
      </w:r>
      <w:r w:rsidR="00630E5F">
        <w:rPr>
          <w:rFonts w:ascii="Palatino Linotype" w:hAnsi="Palatino Linotype" w:cs="Arial"/>
          <w:b/>
        </w:rPr>
        <w:t xml:space="preserve">(2 y 4), </w:t>
      </w:r>
      <w:r w:rsidR="00630E5F">
        <w:rPr>
          <w:rFonts w:ascii="Palatino Linotype" w:hAnsi="Palatino Linotype" w:cs="Arial"/>
        </w:rPr>
        <w:t xml:space="preserve">actualizando en consecuencia, la causal de procedencia inmersa en el numeral 179, fracción V de la Ley de Transparencia local. </w:t>
      </w:r>
    </w:p>
    <w:p w14:paraId="3524D8AB" w14:textId="481A0C28" w:rsidR="00027921" w:rsidRDefault="009D1B1E" w:rsidP="00FB1D16">
      <w:pPr>
        <w:pStyle w:val="Prrafodelista"/>
        <w:numPr>
          <w:ilvl w:val="0"/>
          <w:numId w:val="9"/>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Asimismo, mediante etapa de manifestaciones </w:t>
      </w:r>
      <w:r>
        <w:rPr>
          <w:rFonts w:ascii="Palatino Linotype" w:hAnsi="Palatino Linotype" w:cs="Arial"/>
          <w:b/>
        </w:rPr>
        <w:t xml:space="preserve">El Sujeto Obligado </w:t>
      </w:r>
      <w:r w:rsidR="00630E5F">
        <w:rPr>
          <w:rFonts w:ascii="Palatino Linotype" w:hAnsi="Palatino Linotype" w:cs="Arial"/>
        </w:rPr>
        <w:t xml:space="preserve">fue omiso en rendir su informe justificado, es decir, no subsanó la violación al derecho de acceso a la información pública. </w:t>
      </w:r>
    </w:p>
    <w:p w14:paraId="45BB0CD1" w14:textId="77777777" w:rsidR="00027921" w:rsidRDefault="00027921" w:rsidP="00027921">
      <w:pPr>
        <w:spacing w:after="0" w:line="360" w:lineRule="auto"/>
        <w:jc w:val="both"/>
        <w:rPr>
          <w:rFonts w:ascii="Palatino Linotype" w:hAnsi="Palatino Linotype" w:cs="Arial"/>
          <w:color w:val="000000"/>
          <w:lang w:val="es-ES_tradnl"/>
        </w:rPr>
      </w:pPr>
    </w:p>
    <w:p w14:paraId="33E78CF0" w14:textId="77777777" w:rsidR="00027921" w:rsidRDefault="00027921" w:rsidP="00027921">
      <w:pPr>
        <w:spacing w:after="0" w:line="360" w:lineRule="auto"/>
        <w:jc w:val="both"/>
        <w:rPr>
          <w:rFonts w:ascii="Palatino Linotype" w:hAnsi="Palatino Linotype" w:cs="Arial"/>
          <w:color w:val="000000"/>
          <w:lang w:val="es-ES_tradnl"/>
        </w:rPr>
      </w:pPr>
    </w:p>
    <w:p w14:paraId="093EA795" w14:textId="29539138" w:rsidR="00630E5F" w:rsidRPr="00A42326" w:rsidRDefault="003D4806" w:rsidP="00027921">
      <w:pPr>
        <w:spacing w:after="0" w:line="360" w:lineRule="auto"/>
        <w:jc w:val="both"/>
        <w:rPr>
          <w:rFonts w:ascii="Palatino Linotype" w:hAnsi="Palatino Linotype" w:cs="Arial"/>
          <w:color w:val="000000"/>
          <w:sz w:val="24"/>
          <w:szCs w:val="24"/>
          <w:lang w:val="es-ES_tradnl"/>
        </w:rPr>
      </w:pPr>
      <w:r w:rsidRPr="00A42326">
        <w:rPr>
          <w:rFonts w:ascii="Palatino Linotype" w:hAnsi="Palatino Linotype" w:cs="Arial"/>
          <w:color w:val="000000"/>
          <w:sz w:val="24"/>
          <w:szCs w:val="24"/>
          <w:lang w:val="es-ES_tradnl"/>
        </w:rPr>
        <w:t>Con base en lo anteriormente expuesto, resulta procedente ordenar una búsqueda exhaustiva y razonable a efecto de hacer entrega de la siguiente información:</w:t>
      </w:r>
    </w:p>
    <w:p w14:paraId="1641F8EB" w14:textId="77777777" w:rsidR="003D4806" w:rsidRPr="00A42326" w:rsidRDefault="003D4806" w:rsidP="00544016">
      <w:pPr>
        <w:pStyle w:val="Prrafodelista"/>
        <w:numPr>
          <w:ilvl w:val="0"/>
          <w:numId w:val="18"/>
        </w:numPr>
        <w:tabs>
          <w:tab w:val="left" w:pos="709"/>
        </w:tabs>
        <w:spacing w:before="240" w:line="360" w:lineRule="auto"/>
        <w:ind w:right="51"/>
        <w:jc w:val="both"/>
        <w:rPr>
          <w:rFonts w:ascii="Palatino Linotype" w:hAnsi="Palatino Linotype"/>
        </w:rPr>
      </w:pPr>
      <w:r w:rsidRPr="00A42326">
        <w:rPr>
          <w:rFonts w:ascii="Palatino Linotype" w:hAnsi="Palatino Linotype"/>
        </w:rPr>
        <w:t xml:space="preserve">Contrato de comodato celebrado entre el Ayuntamiento de Naucalpan de Juárez y las personas físicas y morales referidas mediante la solicitud de información </w:t>
      </w:r>
      <w:r w:rsidRPr="00A42326">
        <w:rPr>
          <w:rFonts w:ascii="Palatino Linotype" w:hAnsi="Palatino Linotype"/>
          <w:b/>
        </w:rPr>
        <w:t xml:space="preserve">00932/NAUCALPA/IP/2021, </w:t>
      </w:r>
      <w:r w:rsidRPr="00A42326">
        <w:rPr>
          <w:rFonts w:ascii="Palatino Linotype" w:hAnsi="Palatino Linotype"/>
        </w:rPr>
        <w:t xml:space="preserve">respecto del inmueble señalado en la propia solicitud, al catorce de diciembre de dos mil veintiuno. </w:t>
      </w:r>
    </w:p>
    <w:p w14:paraId="7BF71D38" w14:textId="77777777" w:rsidR="003D4806" w:rsidRPr="00A42326" w:rsidRDefault="003D4806" w:rsidP="00544016">
      <w:pPr>
        <w:pStyle w:val="Prrafodelista"/>
        <w:numPr>
          <w:ilvl w:val="0"/>
          <w:numId w:val="18"/>
        </w:numPr>
        <w:tabs>
          <w:tab w:val="left" w:pos="709"/>
        </w:tabs>
        <w:spacing w:before="240" w:line="360" w:lineRule="auto"/>
        <w:ind w:right="51"/>
        <w:jc w:val="both"/>
        <w:rPr>
          <w:rFonts w:ascii="Palatino Linotype" w:hAnsi="Palatino Linotype"/>
        </w:rPr>
      </w:pPr>
      <w:r w:rsidRPr="00A42326">
        <w:rPr>
          <w:rFonts w:ascii="Palatino Linotype" w:hAnsi="Palatino Linotype"/>
        </w:rPr>
        <w:t xml:space="preserve">Licencia de construcción para área común respecto del inmueble señalado mediante la solicitud de información </w:t>
      </w:r>
      <w:r w:rsidRPr="00A42326">
        <w:rPr>
          <w:rFonts w:ascii="Palatino Linotype" w:hAnsi="Palatino Linotype"/>
          <w:b/>
        </w:rPr>
        <w:t xml:space="preserve">00932/NAUCALPA/IP/2021, </w:t>
      </w:r>
      <w:r w:rsidRPr="00A42326">
        <w:rPr>
          <w:rFonts w:ascii="Palatino Linotype" w:hAnsi="Palatino Linotype"/>
        </w:rPr>
        <w:t xml:space="preserve">al catorce de diciembre de dos mil veintiuno. </w:t>
      </w:r>
    </w:p>
    <w:p w14:paraId="43AFB980" w14:textId="77777777" w:rsidR="00630E5F" w:rsidRDefault="00630E5F" w:rsidP="00027921">
      <w:pPr>
        <w:spacing w:after="0" w:line="360" w:lineRule="auto"/>
        <w:jc w:val="both"/>
        <w:rPr>
          <w:rFonts w:ascii="Palatino Linotype" w:hAnsi="Palatino Linotype" w:cs="Arial"/>
          <w:color w:val="000000"/>
          <w:lang w:val="es-ES_tradnl"/>
        </w:rPr>
      </w:pPr>
    </w:p>
    <w:p w14:paraId="476C2A15" w14:textId="6A07B80A" w:rsidR="00630E5F" w:rsidRPr="00A42326" w:rsidRDefault="003D4806" w:rsidP="00027921">
      <w:pPr>
        <w:spacing w:after="0" w:line="360" w:lineRule="auto"/>
        <w:jc w:val="both"/>
        <w:rPr>
          <w:rFonts w:ascii="Palatino Linotype" w:hAnsi="Palatino Linotype" w:cs="Arial"/>
          <w:color w:val="000000"/>
          <w:sz w:val="24"/>
          <w:szCs w:val="24"/>
          <w:lang w:val="es-ES_tradnl"/>
        </w:rPr>
      </w:pPr>
      <w:r w:rsidRPr="00A42326">
        <w:rPr>
          <w:rFonts w:ascii="Palatino Linotype" w:hAnsi="Palatino Linotype" w:cs="Arial"/>
          <w:color w:val="000000"/>
          <w:sz w:val="24"/>
          <w:szCs w:val="24"/>
          <w:lang w:val="es-ES_tradnl"/>
        </w:rPr>
        <w:lastRenderedPageBreak/>
        <w:t xml:space="preserve">Ahora bien, no debe de resultar desapercibido el contenido del numeral </w:t>
      </w:r>
      <w:r w:rsidR="00544016" w:rsidRPr="00A42326">
        <w:rPr>
          <w:rFonts w:ascii="Palatino Linotype" w:hAnsi="Palatino Linotype" w:cs="Arial"/>
          <w:color w:val="000000"/>
          <w:sz w:val="24"/>
          <w:szCs w:val="24"/>
          <w:lang w:val="es-ES_tradnl"/>
        </w:rPr>
        <w:t xml:space="preserve">83 del Bando Municipal del </w:t>
      </w:r>
      <w:r w:rsidR="00544016" w:rsidRPr="00A42326">
        <w:rPr>
          <w:rFonts w:ascii="Palatino Linotype" w:hAnsi="Palatino Linotype" w:cs="Arial"/>
          <w:b/>
          <w:color w:val="000000"/>
          <w:sz w:val="24"/>
          <w:szCs w:val="24"/>
          <w:lang w:val="es-ES_tradnl"/>
        </w:rPr>
        <w:t xml:space="preserve">Sujeto Obligado, </w:t>
      </w:r>
      <w:r w:rsidR="00544016" w:rsidRPr="00A42326">
        <w:rPr>
          <w:rFonts w:ascii="Palatino Linotype" w:hAnsi="Palatino Linotype" w:cs="Arial"/>
          <w:color w:val="000000"/>
          <w:sz w:val="24"/>
          <w:szCs w:val="24"/>
          <w:lang w:val="es-ES_tradnl"/>
        </w:rPr>
        <w:t>porción normativa que enlista los supuestos que no requieren licencias de construcción tales como:</w:t>
      </w:r>
    </w:p>
    <w:p w14:paraId="452C512B" w14:textId="09E42C1E" w:rsidR="00544016" w:rsidRPr="00A42326" w:rsidRDefault="00544016" w:rsidP="00544016">
      <w:pPr>
        <w:pStyle w:val="Prrafodelista"/>
        <w:numPr>
          <w:ilvl w:val="0"/>
          <w:numId w:val="17"/>
        </w:numPr>
        <w:spacing w:line="360" w:lineRule="auto"/>
        <w:jc w:val="both"/>
        <w:rPr>
          <w:rFonts w:ascii="Palatino Linotype" w:hAnsi="Palatino Linotype" w:cs="Arial"/>
          <w:color w:val="000000"/>
          <w:lang w:val="es-ES_tradnl"/>
        </w:rPr>
      </w:pPr>
      <w:r w:rsidRPr="00A42326">
        <w:rPr>
          <w:rFonts w:ascii="Palatino Linotype" w:hAnsi="Palatino Linotype" w:cs="Arial"/>
          <w:color w:val="000000"/>
          <w:lang w:val="es-ES_tradnl"/>
        </w:rPr>
        <w:t>Construcción de hasta veinte metros cuadrados.</w:t>
      </w:r>
    </w:p>
    <w:p w14:paraId="2B98398A" w14:textId="519219AB" w:rsidR="00544016" w:rsidRPr="00A42326" w:rsidRDefault="00544016" w:rsidP="00544016">
      <w:pPr>
        <w:pStyle w:val="Prrafodelista"/>
        <w:numPr>
          <w:ilvl w:val="0"/>
          <w:numId w:val="17"/>
        </w:numPr>
        <w:spacing w:line="360" w:lineRule="auto"/>
        <w:jc w:val="both"/>
        <w:rPr>
          <w:rFonts w:ascii="Palatino Linotype" w:hAnsi="Palatino Linotype" w:cs="Arial"/>
          <w:color w:val="000000"/>
          <w:lang w:val="es-ES_tradnl"/>
        </w:rPr>
      </w:pPr>
      <w:r w:rsidRPr="00A42326">
        <w:rPr>
          <w:rFonts w:ascii="Palatino Linotype" w:hAnsi="Palatino Linotype" w:cs="Arial"/>
          <w:color w:val="000000"/>
          <w:lang w:val="es-ES_tradnl"/>
        </w:rPr>
        <w:t>Bardas de hasta diez metros de largo y dos metros con veinte centímetros de altura.</w:t>
      </w:r>
    </w:p>
    <w:p w14:paraId="4D0846D4" w14:textId="782176F4" w:rsidR="00544016" w:rsidRPr="00A42326" w:rsidRDefault="00544016" w:rsidP="00544016">
      <w:pPr>
        <w:pStyle w:val="Prrafodelista"/>
        <w:numPr>
          <w:ilvl w:val="0"/>
          <w:numId w:val="17"/>
        </w:numPr>
        <w:spacing w:line="360" w:lineRule="auto"/>
        <w:jc w:val="both"/>
        <w:rPr>
          <w:rFonts w:ascii="Palatino Linotype" w:hAnsi="Palatino Linotype" w:cs="Arial"/>
          <w:color w:val="000000"/>
          <w:lang w:val="es-ES_tradnl"/>
        </w:rPr>
      </w:pPr>
      <w:r w:rsidRPr="00A42326">
        <w:rPr>
          <w:rFonts w:ascii="Palatino Linotype" w:hAnsi="Palatino Linotype" w:cs="Arial"/>
          <w:color w:val="000000"/>
          <w:lang w:val="es-ES_tradnl"/>
        </w:rPr>
        <w:t>Impermiabilización y reparación de azoteas, sin afectar elementos estructurales</w:t>
      </w:r>
    </w:p>
    <w:p w14:paraId="39F49C6B" w14:textId="54FE9882" w:rsidR="00544016" w:rsidRPr="00A42326" w:rsidRDefault="00544016" w:rsidP="00544016">
      <w:pPr>
        <w:pStyle w:val="Prrafodelista"/>
        <w:numPr>
          <w:ilvl w:val="0"/>
          <w:numId w:val="17"/>
        </w:numPr>
        <w:spacing w:line="360" w:lineRule="auto"/>
        <w:jc w:val="both"/>
        <w:rPr>
          <w:rFonts w:ascii="Palatino Linotype" w:hAnsi="Palatino Linotype" w:cs="Arial"/>
          <w:color w:val="000000"/>
          <w:lang w:val="es-ES_tradnl"/>
        </w:rPr>
      </w:pPr>
      <w:r w:rsidRPr="00A42326">
        <w:rPr>
          <w:rFonts w:ascii="Palatino Linotype" w:hAnsi="Palatino Linotype" w:cs="Arial"/>
          <w:color w:val="000000"/>
          <w:lang w:val="es-ES_tradnl"/>
        </w:rPr>
        <w:t>Reposición de pisos, ventanas, puertas, cortinas.</w:t>
      </w:r>
    </w:p>
    <w:p w14:paraId="758D9E4B" w14:textId="02CE1AD6" w:rsidR="00544016" w:rsidRPr="00A42326" w:rsidRDefault="00544016" w:rsidP="00544016">
      <w:pPr>
        <w:pStyle w:val="Prrafodelista"/>
        <w:numPr>
          <w:ilvl w:val="0"/>
          <w:numId w:val="17"/>
        </w:numPr>
        <w:spacing w:line="360" w:lineRule="auto"/>
        <w:jc w:val="both"/>
        <w:rPr>
          <w:rFonts w:ascii="Palatino Linotype" w:hAnsi="Palatino Linotype" w:cs="Arial"/>
          <w:color w:val="000000"/>
          <w:lang w:val="es-ES_tradnl"/>
        </w:rPr>
      </w:pPr>
      <w:r w:rsidRPr="00A42326">
        <w:rPr>
          <w:rFonts w:ascii="Palatino Linotype" w:hAnsi="Palatino Linotype" w:cs="Arial"/>
          <w:color w:val="000000"/>
          <w:lang w:val="es-ES_tradnl"/>
        </w:rPr>
        <w:t>Obras urgentes para prevenir accidentes o en ejecución de medidas de seguridad</w:t>
      </w:r>
    </w:p>
    <w:p w14:paraId="149A6980" w14:textId="3BB3CB38" w:rsidR="00544016" w:rsidRPr="00A42326" w:rsidRDefault="00544016" w:rsidP="00544016">
      <w:pPr>
        <w:pStyle w:val="Prrafodelista"/>
        <w:numPr>
          <w:ilvl w:val="0"/>
          <w:numId w:val="17"/>
        </w:numPr>
        <w:spacing w:line="360" w:lineRule="auto"/>
        <w:jc w:val="both"/>
        <w:rPr>
          <w:rFonts w:ascii="Palatino Linotype" w:hAnsi="Palatino Linotype" w:cs="Arial"/>
          <w:color w:val="000000"/>
          <w:lang w:val="es-ES_tradnl"/>
        </w:rPr>
      </w:pPr>
      <w:r w:rsidRPr="00A42326">
        <w:rPr>
          <w:rFonts w:ascii="Palatino Linotype" w:hAnsi="Palatino Linotype" w:cs="Arial"/>
          <w:color w:val="000000"/>
          <w:lang w:val="es-ES_tradnl"/>
        </w:rPr>
        <w:t>Otras.</w:t>
      </w:r>
    </w:p>
    <w:p w14:paraId="62283630" w14:textId="77777777" w:rsidR="00544016" w:rsidRDefault="00544016" w:rsidP="00544016">
      <w:pPr>
        <w:spacing w:line="360" w:lineRule="auto"/>
        <w:jc w:val="both"/>
        <w:rPr>
          <w:rFonts w:ascii="Palatino Linotype" w:hAnsi="Palatino Linotype" w:cs="Arial"/>
          <w:color w:val="000000"/>
          <w:lang w:val="es-ES_tradnl"/>
        </w:rPr>
      </w:pPr>
    </w:p>
    <w:p w14:paraId="521BE68E" w14:textId="3325C4BB" w:rsidR="00544016" w:rsidRPr="00A42326" w:rsidRDefault="00544016" w:rsidP="00544016">
      <w:pPr>
        <w:spacing w:line="360" w:lineRule="auto"/>
        <w:jc w:val="both"/>
        <w:rPr>
          <w:rFonts w:ascii="Palatino Linotype" w:hAnsi="Palatino Linotype" w:cs="Arial"/>
          <w:color w:val="000000"/>
          <w:sz w:val="24"/>
          <w:szCs w:val="24"/>
          <w:lang w:val="es-ES_tradnl"/>
        </w:rPr>
      </w:pPr>
      <w:r w:rsidRPr="00A42326">
        <w:rPr>
          <w:rFonts w:ascii="Palatino Linotype" w:hAnsi="Palatino Linotype" w:cs="Arial"/>
          <w:color w:val="000000"/>
          <w:sz w:val="24"/>
          <w:szCs w:val="24"/>
          <w:lang w:val="es-ES_tradnl"/>
        </w:rPr>
        <w:t xml:space="preserve">Luego entonces, al considerar los supuestos que no requieren licencia de construcción, así como la naturaleza de dicho soporte documental </w:t>
      </w:r>
      <w:r w:rsidRPr="00A42326">
        <w:rPr>
          <w:rFonts w:ascii="Palatino Linotype" w:hAnsi="Palatino Linotype" w:cs="Arial"/>
          <w:b/>
          <w:color w:val="000000"/>
          <w:sz w:val="24"/>
          <w:szCs w:val="24"/>
          <w:lang w:val="es-ES_tradnl"/>
        </w:rPr>
        <w:t xml:space="preserve">–a petición de parte-, </w:t>
      </w:r>
      <w:r w:rsidRPr="00A42326">
        <w:rPr>
          <w:rFonts w:ascii="Palatino Linotype" w:hAnsi="Palatino Linotype" w:cs="Arial"/>
          <w:color w:val="000000"/>
          <w:sz w:val="24"/>
          <w:szCs w:val="24"/>
          <w:lang w:val="es-ES_tradnl"/>
        </w:rPr>
        <w:t xml:space="preserve">para el caso de que no se haya generado, poseído o administrado el soporte documental requerido mediante el numeral 2, bastará con que </w:t>
      </w:r>
      <w:r w:rsidRPr="00A42326">
        <w:rPr>
          <w:rFonts w:ascii="Palatino Linotype" w:hAnsi="Palatino Linotype" w:cs="Arial"/>
          <w:b/>
          <w:color w:val="000000"/>
          <w:sz w:val="24"/>
          <w:szCs w:val="24"/>
          <w:lang w:val="es-ES_tradnl"/>
        </w:rPr>
        <w:t xml:space="preserve">El Sujeto Obligado </w:t>
      </w:r>
      <w:r w:rsidRPr="00A42326">
        <w:rPr>
          <w:rFonts w:ascii="Palatino Linotype" w:hAnsi="Palatino Linotype" w:cs="Arial"/>
          <w:color w:val="000000"/>
          <w:sz w:val="24"/>
          <w:szCs w:val="24"/>
          <w:lang w:val="es-ES_tradnl"/>
        </w:rPr>
        <w:t xml:space="preserve">así lo manifieste </w:t>
      </w:r>
      <w:r w:rsidR="00F2380A" w:rsidRPr="00A42326">
        <w:rPr>
          <w:rFonts w:ascii="Palatino Linotype" w:hAnsi="Palatino Linotype" w:cs="Arial"/>
          <w:color w:val="000000"/>
          <w:sz w:val="24"/>
          <w:szCs w:val="24"/>
          <w:lang w:val="es-ES_tradnl"/>
        </w:rPr>
        <w:t xml:space="preserve">al momento de dar cumplimiento a la presente resolución. </w:t>
      </w:r>
    </w:p>
    <w:p w14:paraId="71EB172A" w14:textId="06872883" w:rsidR="00EC7410" w:rsidRPr="00A42326" w:rsidRDefault="00EC7410" w:rsidP="00EC7410">
      <w:pPr>
        <w:spacing w:after="0" w:line="360" w:lineRule="auto"/>
        <w:contextualSpacing/>
        <w:jc w:val="both"/>
        <w:rPr>
          <w:rFonts w:ascii="Palatino Linotype" w:hAnsi="Palatino Linotype"/>
          <w:sz w:val="24"/>
          <w:szCs w:val="24"/>
          <w:lang w:val="es-ES"/>
        </w:rPr>
      </w:pPr>
      <w:r w:rsidRPr="00A42326">
        <w:rPr>
          <w:rFonts w:ascii="Palatino Linotype" w:hAnsi="Palatino Linotype" w:cs="Arial"/>
          <w:color w:val="000000"/>
          <w:sz w:val="24"/>
          <w:szCs w:val="24"/>
          <w:lang w:val="es-ES_tradnl"/>
        </w:rPr>
        <w:t xml:space="preserve">Finalmente, con relación a las modalidad de entrega de la información </w:t>
      </w:r>
      <w:r w:rsidRPr="00A42326">
        <w:rPr>
          <w:rFonts w:ascii="Palatino Linotype" w:hAnsi="Palatino Linotype" w:cs="Arial"/>
          <w:i/>
          <w:color w:val="000000"/>
          <w:sz w:val="24"/>
          <w:szCs w:val="24"/>
          <w:lang w:val="es-ES_tradnl"/>
        </w:rPr>
        <w:t>“…</w:t>
      </w:r>
      <w:r w:rsidRPr="00A42326">
        <w:rPr>
          <w:rFonts w:ascii="Palatino Linotype" w:eastAsia="Times New Roman" w:hAnsi="Palatino Linotype" w:cs="Times New Roman"/>
          <w:i/>
          <w:sz w:val="24"/>
          <w:szCs w:val="24"/>
          <w:lang w:val="es-ES_tradnl" w:eastAsia="es-ES"/>
        </w:rPr>
        <w:t xml:space="preserve">usb, sd y cd-rom.” </w:t>
      </w:r>
      <w:r w:rsidRPr="00A42326">
        <w:rPr>
          <w:rFonts w:ascii="Palatino Linotype" w:eastAsia="Times New Roman" w:hAnsi="Palatino Linotype" w:cs="Times New Roman"/>
          <w:sz w:val="24"/>
          <w:szCs w:val="24"/>
          <w:lang w:val="es-ES_tradnl" w:eastAsia="es-ES"/>
        </w:rPr>
        <w:t xml:space="preserve">es menester señalar que se encuentran reguladas por el </w:t>
      </w:r>
      <w:r w:rsidRPr="00A42326">
        <w:rPr>
          <w:rFonts w:ascii="Palatino Linotype" w:hAnsi="Palatino Linotype"/>
          <w:sz w:val="24"/>
          <w:szCs w:val="24"/>
          <w:lang w:val="es-ES"/>
        </w:rPr>
        <w:t xml:space="preserve">Código Financiero del Estado de México y Municipios en su artículo 148, fracciones III y IV, aplicable al </w:t>
      </w:r>
      <w:r w:rsidRPr="00A42326">
        <w:rPr>
          <w:rFonts w:ascii="Palatino Linotype" w:hAnsi="Palatino Linotype"/>
          <w:b/>
          <w:sz w:val="24"/>
          <w:szCs w:val="24"/>
          <w:lang w:val="es-ES"/>
        </w:rPr>
        <w:t xml:space="preserve">Sujeto Obligado </w:t>
      </w:r>
      <w:r w:rsidRPr="00A42326">
        <w:rPr>
          <w:rFonts w:ascii="Palatino Linotype" w:hAnsi="Palatino Linotype"/>
          <w:sz w:val="24"/>
          <w:szCs w:val="24"/>
          <w:lang w:val="es-ES"/>
        </w:rPr>
        <w:t xml:space="preserve">al estar incluido en el Título Cuarto “De los Ingresos de los Municipios”, Capítulo segundo “De los Derechos”, Sección cuarta “De los Derechos </w:t>
      </w:r>
      <w:r w:rsidRPr="00A42326">
        <w:rPr>
          <w:rFonts w:ascii="Palatino Linotype" w:hAnsi="Palatino Linotype"/>
          <w:sz w:val="24"/>
          <w:szCs w:val="24"/>
          <w:lang w:val="es-ES"/>
        </w:rPr>
        <w:lastRenderedPageBreak/>
        <w:t xml:space="preserve">por Servicios Prestados por Autoridades Fiscales, Administrativas y de Acceso a la Información Pública”, porción normativa que dispone a la literalidad lo siguiente: </w:t>
      </w:r>
    </w:p>
    <w:p w14:paraId="62E4ADA7" w14:textId="77777777" w:rsidR="00EC7410" w:rsidRPr="00F86EDD" w:rsidRDefault="00EC7410" w:rsidP="00EC7410">
      <w:pPr>
        <w:pStyle w:val="Citas"/>
        <w:spacing w:line="240" w:lineRule="auto"/>
      </w:pPr>
      <w:r w:rsidRPr="00F86EDD">
        <w:rPr>
          <w:b/>
        </w:rPr>
        <w:t xml:space="preserve"> </w:t>
      </w:r>
      <w:r>
        <w:rPr>
          <w:b/>
        </w:rPr>
        <w:t>“Artículo 148</w:t>
      </w:r>
      <w:r w:rsidRPr="00F86EDD">
        <w:rPr>
          <w:b/>
        </w:rPr>
        <w:t xml:space="preserve">.- </w:t>
      </w:r>
      <w:r w:rsidRPr="00F86EDD">
        <w:t xml:space="preserve">Por la expedición </w:t>
      </w:r>
      <w:r>
        <w:t xml:space="preserve">de documentos solicitados en el ejercicio del derecho de acceso a la información pública, se pagarán los derechos conforme a lo siguiente: </w:t>
      </w:r>
    </w:p>
    <w:p w14:paraId="79E6C232" w14:textId="77777777" w:rsidR="00EC7410" w:rsidRPr="00CF4DE8" w:rsidRDefault="00EC7410" w:rsidP="00EC7410">
      <w:pPr>
        <w:pStyle w:val="Citas"/>
        <w:spacing w:line="240" w:lineRule="auto"/>
        <w:jc w:val="center"/>
        <w:rPr>
          <w:b/>
        </w:rPr>
      </w:pPr>
      <w:r w:rsidRPr="00CF4DE8">
        <w:rPr>
          <w:b/>
        </w:rPr>
        <w:t>TARIFA</w:t>
      </w:r>
    </w:p>
    <w:p w14:paraId="24B4F2E6" w14:textId="77777777" w:rsidR="00EC7410" w:rsidRDefault="00EC7410" w:rsidP="00EC7410">
      <w:pPr>
        <w:pStyle w:val="Citas"/>
        <w:spacing w:line="240" w:lineRule="auto"/>
        <w:rPr>
          <w:b/>
        </w:rPr>
      </w:pPr>
      <w:r>
        <w:rPr>
          <w:b/>
          <w:noProof/>
          <w:lang w:eastAsia="es-MX"/>
        </w:rPr>
        <mc:AlternateContent>
          <mc:Choice Requires="wps">
            <w:drawing>
              <wp:anchor distT="0" distB="0" distL="114300" distR="114300" simplePos="0" relativeHeight="251661312" behindDoc="0" locked="0" layoutInCell="1" allowOverlap="1" wp14:anchorId="1DA741B8" wp14:editId="49F1E0BA">
                <wp:simplePos x="0" y="0"/>
                <wp:positionH relativeFrom="column">
                  <wp:posOffset>3271698</wp:posOffset>
                </wp:positionH>
                <wp:positionV relativeFrom="paragraph">
                  <wp:posOffset>281660</wp:posOffset>
                </wp:positionV>
                <wp:extent cx="2457450" cy="927100"/>
                <wp:effectExtent l="0" t="0" r="0" b="6350"/>
                <wp:wrapNone/>
                <wp:docPr id="8" name="Cuadro de texto 8"/>
                <wp:cNvGraphicFramePr/>
                <a:graphic xmlns:a="http://schemas.openxmlformats.org/drawingml/2006/main">
                  <a:graphicData uri="http://schemas.microsoft.com/office/word/2010/wordprocessingShape">
                    <wps:wsp>
                      <wps:cNvSpPr txBox="1"/>
                      <wps:spPr>
                        <a:xfrm>
                          <a:off x="0" y="0"/>
                          <a:ext cx="2457450" cy="927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5E3460" w14:textId="77777777" w:rsidR="00EC7410" w:rsidRPr="00CF4DE8" w:rsidRDefault="00EC7410" w:rsidP="00EC7410">
                            <w:pPr>
                              <w:jc w:val="both"/>
                              <w:rPr>
                                <w:rFonts w:ascii="Palatino Linotype" w:hAnsi="Palatino Linotype"/>
                                <w:b/>
                                <w:i/>
                              </w:rPr>
                            </w:pPr>
                            <w:r w:rsidRPr="00CF4DE8">
                              <w:rPr>
                                <w:rFonts w:ascii="Palatino Linotype" w:hAnsi="Palatino Linotype"/>
                                <w:b/>
                                <w:i/>
                              </w:rPr>
                              <w:t>NÚMERO DE VECES EL VALOR DIARIO DE LA UNIDAD DE MEDIDA Y ACTUALIZACIÓN VIGENTE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741B8" id="_x0000_t202" coordsize="21600,21600" o:spt="202" path="m,l,21600r21600,l21600,xe">
                <v:stroke joinstyle="miter"/>
                <v:path gradientshapeok="t" o:connecttype="rect"/>
              </v:shapetype>
              <v:shape id="Cuadro de texto 8" o:spid="_x0000_s1026" type="#_x0000_t202" style="position:absolute;left:0;text-align:left;margin-left:257.6pt;margin-top:22.2pt;width:193.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" filled="f" stroked="f" strokeweight=".5pt">
                <v:textbox>
                  <w:txbxContent>
                    <w:p w14:paraId="505E3460" w14:textId="77777777" w:rsidR="00EC7410" w:rsidRPr="00CF4DE8" w:rsidRDefault="00EC7410" w:rsidP="00EC7410">
                      <w:pPr>
                        <w:jc w:val="both"/>
                        <w:rPr>
                          <w:rFonts w:ascii="Palatino Linotype" w:hAnsi="Palatino Linotype"/>
                          <w:b/>
                          <w:i/>
                        </w:rPr>
                      </w:pPr>
                      <w:r w:rsidRPr="00CF4DE8">
                        <w:rPr>
                          <w:rFonts w:ascii="Palatino Linotype" w:hAnsi="Palatino Linotype"/>
                          <w:b/>
                          <w:i/>
                        </w:rPr>
                        <w:t>NÚMERO DE VECES EL VALOR DIARIO DE LA UNIDAD DE MEDIDA Y ACTUALIZACIÓN VIGENTE</w:t>
                      </w:r>
                    </w:p>
                  </w:txbxContent>
                </v:textbox>
              </v:shape>
            </w:pict>
          </mc:Fallback>
        </mc:AlternateContent>
      </w:r>
    </w:p>
    <w:p w14:paraId="4CD72969" w14:textId="77777777" w:rsidR="00EC7410" w:rsidRDefault="00EC7410" w:rsidP="00EC7410">
      <w:pPr>
        <w:pStyle w:val="Citas"/>
        <w:spacing w:line="240" w:lineRule="auto"/>
        <w:rPr>
          <w:b/>
        </w:rPr>
      </w:pPr>
    </w:p>
    <w:p w14:paraId="755C8266" w14:textId="77777777" w:rsidR="00EC7410" w:rsidRDefault="00EC7410" w:rsidP="00EC7410">
      <w:pPr>
        <w:pStyle w:val="Citas"/>
        <w:spacing w:line="240" w:lineRule="auto"/>
        <w:rPr>
          <w:b/>
        </w:rPr>
      </w:pPr>
      <w:r w:rsidRPr="00F86EDD">
        <w:rPr>
          <w:b/>
        </w:rPr>
        <w:t xml:space="preserve">Concepto           </w:t>
      </w:r>
      <w:r>
        <w:rPr>
          <w:b/>
        </w:rPr>
        <w:tab/>
      </w:r>
      <w:r>
        <w:rPr>
          <w:b/>
        </w:rPr>
        <w:tab/>
      </w:r>
      <w:r>
        <w:rPr>
          <w:b/>
        </w:rPr>
        <w:tab/>
      </w:r>
      <w:r>
        <w:rPr>
          <w:b/>
        </w:rPr>
        <w:tab/>
      </w:r>
      <w:r>
        <w:rPr>
          <w:b/>
        </w:rPr>
        <w:tab/>
        <w:t xml:space="preserve"> </w:t>
      </w:r>
    </w:p>
    <w:p w14:paraId="79037A6A" w14:textId="77777777" w:rsidR="00EC7410" w:rsidRPr="00F86EDD" w:rsidRDefault="00EC7410" w:rsidP="00EC7410">
      <w:pPr>
        <w:pStyle w:val="Citas"/>
        <w:spacing w:line="240" w:lineRule="auto"/>
      </w:pPr>
      <w:r>
        <w:t>(…)</w:t>
      </w:r>
      <w:r w:rsidRPr="00F86EDD">
        <w:rPr>
          <w:b/>
        </w:rPr>
        <w:t xml:space="preserve">                                          </w:t>
      </w:r>
    </w:p>
    <w:p w14:paraId="3B346197" w14:textId="2724F3FD" w:rsidR="00EC7410" w:rsidRDefault="00EC7410" w:rsidP="00EC7410">
      <w:pPr>
        <w:pStyle w:val="Citas"/>
        <w:spacing w:line="240" w:lineRule="auto"/>
      </w:pPr>
      <w:r>
        <w:t xml:space="preserve">III. Por la expedición de la información  en medios magnéticos </w:t>
      </w:r>
      <w:r>
        <w:tab/>
        <w:t>0.224</w:t>
      </w:r>
    </w:p>
    <w:p w14:paraId="11E363DF" w14:textId="1CC38BA3" w:rsidR="00EC7410" w:rsidRDefault="00EC7410" w:rsidP="00EC7410">
      <w:pPr>
        <w:pStyle w:val="Citas"/>
        <w:spacing w:line="240" w:lineRule="auto"/>
      </w:pPr>
      <w:r>
        <w:t>IV. Para la expedición de información en disco compacto</w:t>
      </w:r>
      <w:r>
        <w:tab/>
      </w:r>
      <w:r>
        <w:tab/>
        <w:t>0.336</w:t>
      </w:r>
    </w:p>
    <w:p w14:paraId="157C1BFD" w14:textId="5B7B15A3" w:rsidR="00EC7410" w:rsidRPr="00F86EDD" w:rsidRDefault="00EC7410" w:rsidP="00EC7410">
      <w:pPr>
        <w:pStyle w:val="Citas"/>
        <w:spacing w:line="240" w:lineRule="auto"/>
      </w:pPr>
      <w:r>
        <w:t xml:space="preserve"> por cada disco</w:t>
      </w:r>
    </w:p>
    <w:p w14:paraId="3F2FC893" w14:textId="77777777" w:rsidR="00EC7410" w:rsidRDefault="00EC7410" w:rsidP="00EC7410">
      <w:pPr>
        <w:pStyle w:val="Citas"/>
        <w:spacing w:line="240" w:lineRule="auto"/>
      </w:pPr>
      <w:r w:rsidRPr="00F86EDD">
        <w:t xml:space="preserve"> (…)</w:t>
      </w:r>
    </w:p>
    <w:p w14:paraId="72B17A21" w14:textId="394AB17E" w:rsidR="00EC7410" w:rsidRPr="00CF4DE8" w:rsidRDefault="00EC7410" w:rsidP="00EC7410">
      <w:pPr>
        <w:pStyle w:val="Citas"/>
        <w:spacing w:line="240" w:lineRule="auto"/>
        <w:rPr>
          <w:b/>
        </w:rPr>
      </w:pPr>
      <w:r>
        <w:t>Para los supuestos establecidos en las fracciones III y IV, el solicitante podrá proporcionar a la autoridad municipal, el medio en el que requiera le sea entregada la información pública, en cuyo caso no habrá costo que cubrir.</w:t>
      </w:r>
      <w:r w:rsidRPr="00F86EDD">
        <w:t xml:space="preserve">” </w:t>
      </w:r>
      <w:r>
        <w:rPr>
          <w:b/>
        </w:rPr>
        <w:t xml:space="preserve">[Sic] </w:t>
      </w:r>
    </w:p>
    <w:p w14:paraId="5ED882FB" w14:textId="191B83F8" w:rsidR="00F2380A" w:rsidRPr="00EC7410" w:rsidRDefault="00F2380A" w:rsidP="00544016">
      <w:pPr>
        <w:spacing w:line="360" w:lineRule="auto"/>
        <w:jc w:val="both"/>
        <w:rPr>
          <w:rFonts w:ascii="Palatino Linotype" w:hAnsi="Palatino Linotype" w:cs="Arial"/>
          <w:color w:val="000000"/>
          <w:lang w:val="es-ES_tradnl"/>
        </w:rPr>
      </w:pPr>
    </w:p>
    <w:p w14:paraId="2C13B2DA" w14:textId="7FCACB1D" w:rsidR="00EC7410" w:rsidRPr="00A42326" w:rsidRDefault="00EC7410" w:rsidP="00544016">
      <w:pPr>
        <w:spacing w:line="360" w:lineRule="auto"/>
        <w:jc w:val="both"/>
        <w:rPr>
          <w:rFonts w:ascii="Palatino Linotype" w:hAnsi="Palatino Linotype"/>
          <w:sz w:val="24"/>
          <w:szCs w:val="24"/>
          <w:lang w:val="es-ES"/>
        </w:rPr>
      </w:pPr>
      <w:r w:rsidRPr="00A42326">
        <w:rPr>
          <w:rFonts w:ascii="Palatino Linotype" w:hAnsi="Palatino Linotype"/>
          <w:sz w:val="24"/>
          <w:szCs w:val="24"/>
          <w:lang w:val="es-ES"/>
        </w:rPr>
        <w:t>Así, se tiene que en el derecho de acceso a la información el cobro por su entrega en medios magnéticos o disco compacto es un derecho que cobra el Estado y sus organismos y su destino es cubrir el gasto público y demás obligaciones a su cargo</w:t>
      </w:r>
      <w:r w:rsidR="00177BC8" w:rsidRPr="00A42326">
        <w:rPr>
          <w:rFonts w:ascii="Palatino Linotype" w:hAnsi="Palatino Linotype"/>
          <w:sz w:val="24"/>
          <w:szCs w:val="24"/>
          <w:lang w:val="es-ES"/>
        </w:rPr>
        <w:t xml:space="preserve">. No obstante lo anterior, en el caso en particular su cobró no resultará procedente para el </w:t>
      </w:r>
      <w:r w:rsidR="00177BC8" w:rsidRPr="00A42326">
        <w:rPr>
          <w:rFonts w:ascii="Palatino Linotype" w:hAnsi="Palatino Linotype"/>
          <w:sz w:val="24"/>
          <w:szCs w:val="24"/>
          <w:lang w:val="es-ES"/>
        </w:rPr>
        <w:lastRenderedPageBreak/>
        <w:t>caso de que el solicitante proporcione el medio en el que requiera le sea entregada la información pública.</w:t>
      </w:r>
    </w:p>
    <w:p w14:paraId="2DA9BB4D" w14:textId="77777777" w:rsidR="00EC7410" w:rsidRDefault="00EC7410" w:rsidP="00544016">
      <w:pPr>
        <w:spacing w:line="360" w:lineRule="auto"/>
        <w:jc w:val="both"/>
        <w:rPr>
          <w:rFonts w:ascii="Palatino Linotype" w:hAnsi="Palatino Linotype"/>
          <w:lang w:val="es-ES"/>
        </w:rPr>
      </w:pPr>
    </w:p>
    <w:p w14:paraId="083F6E08" w14:textId="77777777" w:rsidR="004E1AC5" w:rsidRPr="00C22506" w:rsidRDefault="004E1AC5" w:rsidP="004E1AC5">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046CD006" w14:textId="77777777" w:rsidR="004E1AC5" w:rsidRPr="001571EB" w:rsidRDefault="004E1AC5" w:rsidP="004E1AC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D75229C" w14:textId="77777777" w:rsidR="004E1AC5" w:rsidRPr="00E60DEF" w:rsidRDefault="004E1AC5" w:rsidP="004E1AC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1BDAFDB" w14:textId="77777777" w:rsidR="004E1AC5" w:rsidRPr="00E60DEF" w:rsidRDefault="004E1AC5" w:rsidP="004E1AC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5106810" w14:textId="77777777" w:rsidR="004E1AC5" w:rsidRPr="001571EB" w:rsidRDefault="004E1AC5" w:rsidP="004E1A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174D8E6" w14:textId="77777777" w:rsidR="004E1AC5" w:rsidRPr="001571EB" w:rsidRDefault="004E1AC5" w:rsidP="004E1AC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AB1B409" w14:textId="77777777" w:rsidR="004E1AC5" w:rsidRPr="001571EB" w:rsidRDefault="004E1AC5" w:rsidP="004E1A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E54BE39" w14:textId="77777777" w:rsidR="004E1AC5" w:rsidRPr="001571EB" w:rsidRDefault="004E1AC5" w:rsidP="004E1AC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54125B56" w14:textId="77777777" w:rsidR="004E1AC5" w:rsidRPr="001571EB" w:rsidRDefault="004E1AC5" w:rsidP="004E1A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F46C8C8" w14:textId="77777777" w:rsidR="004E1AC5" w:rsidRPr="001571EB" w:rsidRDefault="004E1AC5" w:rsidP="004E1AC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99198FE" w14:textId="77777777" w:rsidR="004E1AC5" w:rsidRPr="001571EB" w:rsidRDefault="004E1AC5" w:rsidP="004E1A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1A7172D" w14:textId="77777777" w:rsidR="004E1AC5" w:rsidRPr="00E60DEF" w:rsidRDefault="004E1AC5" w:rsidP="004E1AC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230D717" w14:textId="77777777" w:rsidR="004E1AC5" w:rsidRPr="001571EB" w:rsidRDefault="004E1AC5" w:rsidP="004E1AC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6B85A9B" w14:textId="77777777" w:rsidR="004E1AC5" w:rsidRDefault="004E1AC5" w:rsidP="004E1AC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978D090" w14:textId="77777777" w:rsidR="004E1AC5" w:rsidRPr="00E60DEF" w:rsidRDefault="004E1AC5" w:rsidP="004E1AC5">
      <w:pPr>
        <w:spacing w:before="240" w:line="360" w:lineRule="auto"/>
        <w:ind w:left="851" w:right="851"/>
        <w:jc w:val="both"/>
        <w:rPr>
          <w:rFonts w:ascii="Palatino Linotype" w:hAnsi="Palatino Linotype" w:cs="Arial"/>
          <w:b/>
          <w:i/>
        </w:rPr>
      </w:pPr>
    </w:p>
    <w:p w14:paraId="1AE5FF81" w14:textId="77777777" w:rsidR="004E1AC5" w:rsidRPr="001571EB" w:rsidRDefault="004E1AC5" w:rsidP="004E1AC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w:t>
      </w:r>
      <w:r w:rsidRPr="001571EB">
        <w:rPr>
          <w:rFonts w:ascii="Palatino Linotype" w:hAnsi="Palatino Linotype" w:cs="Arial"/>
          <w:sz w:val="24"/>
          <w:szCs w:val="24"/>
        </w:rPr>
        <w:lastRenderedPageBreak/>
        <w:t>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487AD84" w14:textId="77777777" w:rsidR="004E1AC5" w:rsidRPr="001571EB" w:rsidRDefault="004E1AC5" w:rsidP="004E1AC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4185686" w14:textId="77777777" w:rsidR="004E1AC5" w:rsidRPr="001571EB" w:rsidRDefault="004E1AC5" w:rsidP="004E1A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4BC4E04" w14:textId="77777777" w:rsidR="004E1AC5" w:rsidRDefault="004E1AC5" w:rsidP="004E1A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709A22F" w14:textId="77777777" w:rsidR="004E1AC5" w:rsidRDefault="004E1AC5" w:rsidP="004E1AC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79F976D"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0810CD5"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1D63839"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237AB77"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CB9B605" w14:textId="77777777" w:rsidR="004E1AC5" w:rsidRPr="00EE0180"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B88A3BA" w14:textId="77777777" w:rsidR="004E1AC5" w:rsidRPr="001571EB" w:rsidRDefault="004E1AC5" w:rsidP="004E1AC5">
      <w:pPr>
        <w:autoSpaceDE w:val="0"/>
        <w:autoSpaceDN w:val="0"/>
        <w:adjustRightInd w:val="0"/>
        <w:spacing w:before="120" w:after="120"/>
        <w:ind w:left="567" w:right="850"/>
        <w:jc w:val="both"/>
        <w:rPr>
          <w:rFonts w:ascii="Palatino Linotype" w:eastAsia="Times New Roman" w:hAnsi="Palatino Linotype" w:cs="Arial"/>
          <w:i/>
        </w:rPr>
      </w:pPr>
    </w:p>
    <w:p w14:paraId="63FDDC1A" w14:textId="77777777" w:rsidR="004E1AC5" w:rsidRPr="001571EB" w:rsidRDefault="004E1AC5" w:rsidP="004E1AC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CF1C0DE" w14:textId="77777777" w:rsidR="004E1AC5" w:rsidRPr="001571EB" w:rsidRDefault="004E1AC5" w:rsidP="004E1AC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180BBF3" w14:textId="77777777" w:rsidR="004E1AC5" w:rsidRDefault="004E1AC5" w:rsidP="004E1AC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4DB38E7" w14:textId="77777777" w:rsidR="0085439C" w:rsidRDefault="0085439C" w:rsidP="004E1AC5">
      <w:pPr>
        <w:spacing w:before="240" w:after="240" w:line="360" w:lineRule="auto"/>
        <w:ind w:right="-91"/>
        <w:jc w:val="both"/>
        <w:rPr>
          <w:rFonts w:ascii="Palatino Linotype" w:eastAsia="Times New Roman" w:hAnsi="Palatino Linotype" w:cs="Arial"/>
          <w:sz w:val="24"/>
          <w:szCs w:val="24"/>
        </w:rPr>
      </w:pPr>
    </w:p>
    <w:p w14:paraId="42B70EB4" w14:textId="77777777" w:rsidR="004E1AC5" w:rsidRDefault="004E1AC5" w:rsidP="004E1AC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w:t>
      </w:r>
      <w:r w:rsidRPr="001571EB">
        <w:rPr>
          <w:rFonts w:ascii="Palatino Linotype" w:eastAsia="Times New Roman" w:hAnsi="Palatino Linotype" w:cs="Arial"/>
          <w:b/>
          <w:bCs/>
          <w:i/>
          <w:lang w:eastAsia="es-MX"/>
        </w:rPr>
        <w:t>CLAVE ÚNICA DE REGISTRO DE POBLACIÓN (CURP).</w:t>
      </w:r>
    </w:p>
    <w:p w14:paraId="03BBD66E"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81DDA07"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C4234DC"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62F28821"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D5D3A46" w14:textId="77777777" w:rsidR="004E1AC5" w:rsidRPr="00151D16"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w:t>
      </w:r>
      <w:r w:rsidRPr="00151D16">
        <w:rPr>
          <w:rFonts w:ascii="Palatino Linotype" w:eastAsia="Times New Roman" w:hAnsi="Palatino Linotype" w:cs="Arial"/>
          <w:i/>
          <w:sz w:val="24"/>
          <w:szCs w:val="24"/>
          <w:lang w:eastAsia="es-MX"/>
        </w:rPr>
        <w:t xml:space="preserve">ente Areli Cano Guadiana.” </w:t>
      </w:r>
      <w:r w:rsidRPr="00151D16">
        <w:rPr>
          <w:rFonts w:ascii="Palatino Linotype" w:eastAsia="Times New Roman" w:hAnsi="Palatino Linotype" w:cs="Arial"/>
          <w:b/>
          <w:i/>
          <w:sz w:val="24"/>
          <w:szCs w:val="24"/>
          <w:lang w:eastAsia="es-MX"/>
        </w:rPr>
        <w:t>[Sic]</w:t>
      </w:r>
    </w:p>
    <w:p w14:paraId="033B42AD" w14:textId="77777777" w:rsidR="00151D16" w:rsidRPr="00151D16" w:rsidRDefault="00151D16" w:rsidP="004E1AC5">
      <w:pPr>
        <w:spacing w:after="0" w:line="360" w:lineRule="auto"/>
        <w:ind w:right="51"/>
        <w:jc w:val="both"/>
        <w:rPr>
          <w:rFonts w:ascii="Palatino Linotype" w:hAnsi="Palatino Linotype" w:cs="Arial"/>
          <w:sz w:val="24"/>
          <w:szCs w:val="24"/>
        </w:rPr>
      </w:pPr>
    </w:p>
    <w:p w14:paraId="48746024" w14:textId="77777777" w:rsidR="00151D16" w:rsidRPr="00151D16" w:rsidRDefault="00151D16" w:rsidP="00151D16">
      <w:pPr>
        <w:spacing w:line="360" w:lineRule="auto"/>
        <w:ind w:right="-93"/>
        <w:jc w:val="both"/>
        <w:rPr>
          <w:rFonts w:ascii="Palatino Linotype" w:eastAsia="Calibri" w:hAnsi="Palatino Linotype" w:cs="Tahoma"/>
          <w:bCs/>
          <w:sz w:val="24"/>
          <w:szCs w:val="24"/>
        </w:rPr>
      </w:pPr>
      <w:r w:rsidRPr="00151D16">
        <w:rPr>
          <w:rFonts w:ascii="Palatino Linotype" w:hAnsi="Palatino Linotype" w:cs="Arial"/>
          <w:sz w:val="24"/>
          <w:szCs w:val="24"/>
        </w:rPr>
        <w:t xml:space="preserve">Ahora bien, con relación a la clave catastral es </w:t>
      </w:r>
      <w:r w:rsidRPr="00151D16">
        <w:rPr>
          <w:rFonts w:ascii="Palatino Linotype" w:hAnsi="Palatino Linotype"/>
          <w:sz w:val="24"/>
          <w:szCs w:val="24"/>
        </w:rPr>
        <w:t>menester señalar que el</w:t>
      </w:r>
      <w:r w:rsidRPr="00151D16">
        <w:rPr>
          <w:rFonts w:ascii="Palatino Linotype" w:eastAsia="Calibri" w:hAnsi="Palatino Linotype" w:cs="Tahoma"/>
          <w:bCs/>
          <w:sz w:val="24"/>
          <w:szCs w:val="24"/>
        </w:rPr>
        <w:t xml:space="preserve">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3399104F" w14:textId="77777777" w:rsidR="00151D16" w:rsidRPr="00151D16" w:rsidRDefault="00151D16" w:rsidP="00151D16">
      <w:pPr>
        <w:spacing w:line="360" w:lineRule="auto"/>
        <w:ind w:right="-93"/>
        <w:jc w:val="both"/>
        <w:rPr>
          <w:rFonts w:ascii="Palatino Linotype" w:eastAsia="Calibri" w:hAnsi="Palatino Linotype" w:cs="Tahoma"/>
          <w:bCs/>
          <w:sz w:val="24"/>
          <w:szCs w:val="24"/>
        </w:rPr>
      </w:pPr>
      <w:r w:rsidRPr="00151D16">
        <w:rPr>
          <w:rFonts w:ascii="Palatino Linotype" w:eastAsia="Calibri" w:hAnsi="Palatino Linotype" w:cs="Tahoma"/>
          <w:bCs/>
          <w:sz w:val="24"/>
          <w:szCs w:val="24"/>
        </w:rPr>
        <w:lastRenderedPageBreak/>
        <w:t>Conforme a lo descrito, se advierte que el dato en comento, hace referencia a un predio determinado, en el presente caso, a un establecimiento comercial de un particular.</w:t>
      </w:r>
    </w:p>
    <w:p w14:paraId="12136844" w14:textId="77777777" w:rsidR="00151D16" w:rsidRPr="00151D16" w:rsidRDefault="00151D16" w:rsidP="00151D16">
      <w:pPr>
        <w:spacing w:after="0" w:line="360" w:lineRule="auto"/>
        <w:jc w:val="both"/>
        <w:rPr>
          <w:rFonts w:ascii="Palatino Linotype" w:hAnsi="Palatino Linotype"/>
          <w:sz w:val="24"/>
          <w:szCs w:val="24"/>
        </w:rPr>
      </w:pPr>
      <w:r w:rsidRPr="00151D16">
        <w:rPr>
          <w:rFonts w:ascii="Palatino Linotype" w:hAnsi="Palatino Linotype"/>
          <w:sz w:val="24"/>
          <w:szCs w:val="24"/>
        </w:rPr>
        <w:t>El “Diccionario de Datos catastrales Escala 1:1000” del Instituto Nacional de Estadística y Geografía (INEGI), contempla en su Glosario la definición de la Clave Catastral, la cual, apunta lo siguiente:</w:t>
      </w:r>
    </w:p>
    <w:p w14:paraId="0D93A9B6" w14:textId="77777777" w:rsidR="00151D16" w:rsidRPr="009E33A7" w:rsidRDefault="00151D16" w:rsidP="00151D16">
      <w:pPr>
        <w:spacing w:before="240" w:line="360" w:lineRule="auto"/>
        <w:ind w:left="851" w:right="851"/>
        <w:jc w:val="both"/>
        <w:rPr>
          <w:rFonts w:ascii="Palatino Linotype" w:hAnsi="Palatino Linotype"/>
          <w:i/>
          <w:sz w:val="24"/>
          <w:szCs w:val="24"/>
        </w:rPr>
      </w:pPr>
      <w:r w:rsidRPr="009E33A7">
        <w:rPr>
          <w:rFonts w:ascii="Palatino Linotype" w:hAnsi="Palatino Linotype"/>
          <w:i/>
          <w:sz w:val="24"/>
          <w:szCs w:val="24"/>
        </w:rPr>
        <w:t>“Clave Catastral: El código que identifica al predio de forma única para su localización geográfica, mismo que es asignado a cada uno de ellos en el momento de su inscripción en el padrón catastral por las Unidades del Estado con atribuciones catastrales.”</w:t>
      </w:r>
    </w:p>
    <w:p w14:paraId="74E256A6" w14:textId="77777777" w:rsidR="00151D16" w:rsidRPr="009E33A7" w:rsidRDefault="00151D16" w:rsidP="00151D16">
      <w:pPr>
        <w:spacing w:after="0" w:line="360" w:lineRule="auto"/>
        <w:jc w:val="both"/>
        <w:rPr>
          <w:rFonts w:ascii="Palatino Linotype" w:hAnsi="Palatino Linotype"/>
          <w:sz w:val="24"/>
          <w:szCs w:val="24"/>
        </w:rPr>
      </w:pPr>
    </w:p>
    <w:p w14:paraId="2A230C9A" w14:textId="77777777" w:rsidR="00151D16" w:rsidRPr="00151D16" w:rsidRDefault="00151D16" w:rsidP="00151D16">
      <w:pPr>
        <w:spacing w:after="0" w:line="360" w:lineRule="auto"/>
        <w:jc w:val="both"/>
        <w:rPr>
          <w:rFonts w:ascii="Palatino Linotype" w:hAnsi="Palatino Linotype"/>
          <w:sz w:val="24"/>
          <w:szCs w:val="24"/>
        </w:rPr>
      </w:pPr>
      <w:r w:rsidRPr="00151D16">
        <w:rPr>
          <w:rFonts w:ascii="Palatino Linotype" w:hAnsi="Palatino Linotype"/>
          <w:sz w:val="24"/>
          <w:szCs w:val="24"/>
        </w:rPr>
        <w:t>Adicionalmente, dicho diccionario estipula dos tipos de Claves Catastrales, siendo estas la Estándar y la Original, cuyo Diccionario de Datos catastrales Escala 1:1000 del INEGI, las define como:</w:t>
      </w:r>
    </w:p>
    <w:p w14:paraId="1DA731CF" w14:textId="77777777" w:rsidR="00151D16" w:rsidRPr="009E33A7" w:rsidRDefault="00151D16" w:rsidP="00151D16">
      <w:pPr>
        <w:spacing w:before="240" w:line="360" w:lineRule="auto"/>
        <w:ind w:left="851" w:right="851"/>
        <w:jc w:val="both"/>
        <w:rPr>
          <w:rFonts w:ascii="Palatino Linotype" w:hAnsi="Palatino Linotype"/>
          <w:i/>
          <w:sz w:val="24"/>
          <w:szCs w:val="24"/>
        </w:rPr>
      </w:pPr>
      <w:r w:rsidRPr="009E33A7">
        <w:rPr>
          <w:rFonts w:ascii="Palatino Linotype" w:hAnsi="Palatino Linotype"/>
          <w:i/>
          <w:sz w:val="24"/>
          <w:szCs w:val="24"/>
        </w:rPr>
        <w:t>“CLAVE CATASTRAL ESTÁNDAR: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14:paraId="322E9F14" w14:textId="77777777" w:rsidR="00151D16" w:rsidRPr="00C017B8" w:rsidRDefault="00151D16" w:rsidP="00151D16">
      <w:pPr>
        <w:spacing w:before="240" w:line="360" w:lineRule="auto"/>
        <w:ind w:left="851" w:right="851"/>
        <w:jc w:val="both"/>
        <w:rPr>
          <w:rFonts w:ascii="Palatino Linotype" w:hAnsi="Palatino Linotype"/>
          <w:b/>
          <w:i/>
          <w:sz w:val="24"/>
          <w:szCs w:val="24"/>
        </w:rPr>
      </w:pPr>
      <w:r w:rsidRPr="009E33A7">
        <w:rPr>
          <w:rFonts w:ascii="Palatino Linotype" w:hAnsi="Palatino Linotype"/>
          <w:i/>
          <w:sz w:val="24"/>
          <w:szCs w:val="24"/>
        </w:rPr>
        <w:t>CLAVE CATASTRAL ORIGINAL: Código que identifica al objeto espacial, el cual es asignado por el Catastro Estatal, Municipal o por el Registro Agrario Nacional.”</w:t>
      </w:r>
      <w:r>
        <w:rPr>
          <w:rFonts w:ascii="Palatino Linotype" w:hAnsi="Palatino Linotype"/>
          <w:b/>
          <w:i/>
          <w:sz w:val="24"/>
          <w:szCs w:val="24"/>
        </w:rPr>
        <w:t>[Sic]</w:t>
      </w:r>
    </w:p>
    <w:p w14:paraId="512A34B7" w14:textId="2A561A81" w:rsidR="00151D16" w:rsidRPr="00151D16" w:rsidRDefault="00151D16" w:rsidP="00151D16">
      <w:pPr>
        <w:spacing w:after="0" w:line="360" w:lineRule="auto"/>
        <w:jc w:val="both"/>
        <w:rPr>
          <w:rFonts w:ascii="Palatino Linotype" w:hAnsi="Palatino Linotype"/>
          <w:sz w:val="24"/>
          <w:szCs w:val="24"/>
        </w:rPr>
      </w:pPr>
      <w:r w:rsidRPr="00151D16">
        <w:rPr>
          <w:rFonts w:ascii="Palatino Linotype" w:hAnsi="Palatino Linotype"/>
          <w:sz w:val="24"/>
          <w:szCs w:val="24"/>
        </w:rPr>
        <w:lastRenderedPageBreak/>
        <w:t xml:space="preserve">Bajo estas líneas argumentativas, de los conceptos expuestos previamente, se arriba a la conclusión que la Clave Catastral se encuentra compuesta por una serie de elementos que hacen identificable un inmueble para su localización geográfica y posterior inscripción al padrón catastral de cada Entidad Federativa y, quizá hasta podría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 resultando procedente su clasificación como confidencial. </w:t>
      </w:r>
    </w:p>
    <w:p w14:paraId="419983AE" w14:textId="77777777" w:rsidR="00151D16" w:rsidRDefault="00151D16" w:rsidP="004E1AC5">
      <w:pPr>
        <w:spacing w:after="0" w:line="360" w:lineRule="auto"/>
        <w:ind w:right="51"/>
        <w:jc w:val="both"/>
        <w:rPr>
          <w:rFonts w:ascii="Palatino Linotype" w:hAnsi="Palatino Linotype" w:cs="Arial"/>
          <w:sz w:val="24"/>
          <w:szCs w:val="24"/>
        </w:rPr>
      </w:pPr>
    </w:p>
    <w:p w14:paraId="4C915291" w14:textId="77777777" w:rsidR="004E1AC5" w:rsidRDefault="004E1AC5" w:rsidP="004E1AC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DE503D3" w14:textId="77777777" w:rsidR="00A42326" w:rsidRDefault="00A42326" w:rsidP="004E1AC5">
      <w:pPr>
        <w:spacing w:after="0" w:line="360" w:lineRule="auto"/>
        <w:ind w:right="51"/>
        <w:jc w:val="both"/>
        <w:rPr>
          <w:rFonts w:ascii="Palatino Linotype" w:hAnsi="Palatino Linotype" w:cs="Arial"/>
          <w:sz w:val="24"/>
          <w:szCs w:val="24"/>
        </w:rPr>
      </w:pPr>
    </w:p>
    <w:p w14:paraId="1225E2D9" w14:textId="2C4B77F4" w:rsidR="00BB2E89" w:rsidRPr="000F5B7E" w:rsidRDefault="00BB2E89" w:rsidP="00BB2E89">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lastRenderedPageBreak/>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177BC8">
        <w:rPr>
          <w:rFonts w:ascii="Palatino Linotype" w:hAnsi="Palatino Linotype" w:cs="Arial"/>
          <w:b/>
          <w:sz w:val="24"/>
          <w:szCs w:val="24"/>
        </w:rPr>
        <w:t xml:space="preserve">00932/NAUCALPA/IP/2021 </w:t>
      </w:r>
      <w:r w:rsidRPr="000F5B7E">
        <w:rPr>
          <w:rFonts w:ascii="Palatino Linotype" w:eastAsia="Times New Roman" w:hAnsi="Palatino Linotype" w:cs="Times New Roman"/>
          <w:sz w:val="24"/>
          <w:szCs w:val="24"/>
          <w:lang w:eastAsia="es-ES"/>
        </w:rPr>
        <w:t>que ha sido materia del presente fallo.</w:t>
      </w:r>
    </w:p>
    <w:p w14:paraId="527C49FD" w14:textId="77777777" w:rsidR="00BB2E89" w:rsidRDefault="00BB2E89" w:rsidP="00BB2E89">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52F60BB" w14:textId="77777777" w:rsidR="00BB2E89" w:rsidRDefault="00BB2E89" w:rsidP="00BB2E89">
      <w:pPr>
        <w:spacing w:line="360" w:lineRule="auto"/>
        <w:contextualSpacing/>
        <w:jc w:val="both"/>
        <w:rPr>
          <w:rFonts w:ascii="Palatino Linotype" w:eastAsia="MS Mincho" w:hAnsi="Palatino Linotype"/>
        </w:rPr>
      </w:pPr>
    </w:p>
    <w:p w14:paraId="2FEEC8A3" w14:textId="77777777" w:rsidR="00BB2E89" w:rsidRPr="00413327" w:rsidRDefault="00BB2E89" w:rsidP="00BB2E89">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7693E83B" w14:textId="1A23F497" w:rsidR="00BB2E89" w:rsidRDefault="00BB2E89" w:rsidP="00BB2E89">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177BC8">
        <w:rPr>
          <w:rFonts w:ascii="Palatino Linotype" w:hAnsi="Palatino Linotype" w:cs="Arial"/>
          <w:b/>
          <w:sz w:val="24"/>
          <w:szCs w:val="24"/>
        </w:rPr>
        <w:t xml:space="preserve">00932/NAUCALPA/IP/2021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5922CF02" w14:textId="77777777" w:rsidR="0085439C" w:rsidRDefault="0085439C" w:rsidP="00BB2E89">
      <w:pPr>
        <w:spacing w:before="240" w:line="360" w:lineRule="auto"/>
        <w:jc w:val="both"/>
        <w:rPr>
          <w:rFonts w:ascii="Palatino Linotype" w:hAnsi="Palatino Linotype" w:cs="Arial"/>
          <w:sz w:val="24"/>
          <w:szCs w:val="24"/>
        </w:rPr>
      </w:pPr>
    </w:p>
    <w:p w14:paraId="09E1EE00" w14:textId="23F8FE15" w:rsidR="00177BC8" w:rsidRPr="00177BC8" w:rsidRDefault="00BB2E89" w:rsidP="00BB2E89">
      <w:pPr>
        <w:pStyle w:val="Sinespaciado"/>
        <w:spacing w:line="360" w:lineRule="auto"/>
        <w:jc w:val="both"/>
        <w:rPr>
          <w:rFonts w:ascii="Palatino Linotype" w:hAnsi="Palatino Linotype" w:cs="Arial"/>
        </w:rPr>
      </w:pPr>
      <w:r w:rsidRPr="001C7462">
        <w:rPr>
          <w:rFonts w:ascii="Palatino Linotype" w:hAnsi="Palatino Linotype" w:cs="Arial"/>
          <w:b/>
          <w:sz w:val="28"/>
          <w:szCs w:val="28"/>
        </w:rPr>
        <w:t>SEGUNDO.</w:t>
      </w:r>
      <w:r w:rsidRPr="001C7462">
        <w:rPr>
          <w:rFonts w:ascii="Palatino Linotype" w:hAnsi="Palatino Linotype" w:cs="Arial"/>
        </w:rPr>
        <w:t xml:space="preserve"> Se </w:t>
      </w:r>
      <w:r w:rsidRPr="001C7462">
        <w:rPr>
          <w:rFonts w:ascii="Palatino Linotype" w:hAnsi="Palatino Linotype" w:cs="Arial"/>
          <w:b/>
        </w:rPr>
        <w:t>ORDENA</w:t>
      </w:r>
      <w:r w:rsidRPr="001C7462">
        <w:rPr>
          <w:rFonts w:ascii="Palatino Linotype" w:hAnsi="Palatino Linotype" w:cs="Arial"/>
        </w:rPr>
        <w:t xml:space="preserve"> al </w:t>
      </w:r>
      <w:r w:rsidRPr="001C7462">
        <w:rPr>
          <w:rFonts w:ascii="Palatino Linotype" w:hAnsi="Palatino Linotype" w:cs="Arial"/>
          <w:b/>
        </w:rPr>
        <w:t>SUJETO OBLIGADO</w:t>
      </w:r>
      <w:r w:rsidRPr="001C7462">
        <w:rPr>
          <w:rFonts w:ascii="Palatino Linotype" w:hAnsi="Palatino Linotype" w:cs="Arial"/>
        </w:rPr>
        <w:t xml:space="preserve"> haga entrega </w:t>
      </w:r>
      <w:r w:rsidR="006321C8">
        <w:rPr>
          <w:rFonts w:ascii="Palatino Linotype" w:hAnsi="Palatino Linotype" w:cs="Arial"/>
        </w:rPr>
        <w:t>al</w:t>
      </w:r>
      <w:r w:rsidRPr="001C7462">
        <w:rPr>
          <w:rFonts w:ascii="Palatino Linotype" w:hAnsi="Palatino Linotype" w:cs="Arial"/>
        </w:rPr>
        <w:t xml:space="preserve"> </w:t>
      </w:r>
      <w:r w:rsidRPr="001C7462">
        <w:rPr>
          <w:rFonts w:ascii="Palatino Linotype" w:hAnsi="Palatino Linotype" w:cs="Arial"/>
          <w:b/>
        </w:rPr>
        <w:t xml:space="preserve">RECURRENTE </w:t>
      </w:r>
      <w:r w:rsidRPr="001C7462">
        <w:rPr>
          <w:rFonts w:ascii="Palatino Linotype" w:hAnsi="Palatino Linotype" w:cs="Arial"/>
        </w:rPr>
        <w:t xml:space="preserve">en términos del Considerando </w:t>
      </w:r>
      <w:r w:rsidRPr="001C7462">
        <w:rPr>
          <w:rFonts w:ascii="Palatino Linotype" w:hAnsi="Palatino Linotype" w:cs="Arial"/>
          <w:b/>
        </w:rPr>
        <w:t xml:space="preserve">CUARTO </w:t>
      </w:r>
      <w:r w:rsidRPr="001C7462">
        <w:rPr>
          <w:rFonts w:ascii="Palatino Linotype" w:hAnsi="Palatino Linotype" w:cs="Arial"/>
        </w:rPr>
        <w:t>de esta resolución,</w:t>
      </w:r>
      <w:r>
        <w:rPr>
          <w:rFonts w:ascii="Palatino Linotype" w:hAnsi="Palatino Linotype" w:cs="Arial"/>
        </w:rPr>
        <w:t xml:space="preserve"> previa búsqueda exhaustiva y razonable,</w:t>
      </w:r>
      <w:r w:rsidRPr="001C7462">
        <w:rPr>
          <w:rFonts w:ascii="Palatino Linotype" w:hAnsi="Palatino Linotype" w:cs="Arial"/>
        </w:rPr>
        <w:t xml:space="preserve"> </w:t>
      </w:r>
      <w:r w:rsidR="00177BC8" w:rsidRPr="00A116CF">
        <w:rPr>
          <w:rFonts w:ascii="Palatino Linotype" w:hAnsi="Palatino Linotype" w:cs="Arial"/>
        </w:rPr>
        <w:t>en versión pública</w:t>
      </w:r>
      <w:r w:rsidR="00177BC8">
        <w:rPr>
          <w:rFonts w:ascii="Palatino Linotype" w:hAnsi="Palatino Linotype" w:cs="Arial"/>
        </w:rPr>
        <w:t xml:space="preserve"> de ser </w:t>
      </w:r>
      <w:r w:rsidR="00177BC8" w:rsidRPr="00151D16">
        <w:rPr>
          <w:rFonts w:ascii="Palatino Linotype" w:hAnsi="Palatino Linotype" w:cs="Arial"/>
        </w:rPr>
        <w:t>procedente</w:t>
      </w:r>
      <w:r w:rsidR="00B51FC0" w:rsidRPr="00151D16">
        <w:rPr>
          <w:rFonts w:ascii="Palatino Linotype" w:hAnsi="Palatino Linotype" w:cs="Arial"/>
        </w:rPr>
        <w:t>, en formato Word, Pdf o en el formato en el que lo genere,</w:t>
      </w:r>
      <w:r w:rsidR="00177BC8" w:rsidRPr="00151D16">
        <w:rPr>
          <w:rFonts w:ascii="Palatino Linotype" w:hAnsi="Palatino Linotype" w:cs="Arial"/>
        </w:rPr>
        <w:t xml:space="preserve"> </w:t>
      </w:r>
      <w:r w:rsidRPr="00151D16">
        <w:rPr>
          <w:rFonts w:ascii="Palatino Linotype" w:hAnsi="Palatino Linotype" w:cs="Arial"/>
        </w:rPr>
        <w:t>a través del Sistema de Acceso a la Información Mexiquense (</w:t>
      </w:r>
      <w:r w:rsidRPr="00151D16">
        <w:rPr>
          <w:rFonts w:ascii="Palatino Linotype" w:hAnsi="Palatino Linotype" w:cs="Arial"/>
          <w:b/>
        </w:rPr>
        <w:t>SAIMEX)</w:t>
      </w:r>
      <w:r w:rsidRPr="00151D16">
        <w:rPr>
          <w:rFonts w:ascii="Palatino Linotype" w:hAnsi="Palatino Linotype" w:cs="Arial"/>
        </w:rPr>
        <w:t xml:space="preserve">, </w:t>
      </w:r>
      <w:r w:rsidR="00177BC8" w:rsidRPr="00151D16">
        <w:rPr>
          <w:rFonts w:ascii="Palatino Linotype" w:hAnsi="Palatino Linotype" w:cs="Arial"/>
        </w:rPr>
        <w:t xml:space="preserve">correo electrónico, medios magnéticos </w:t>
      </w:r>
      <w:r w:rsidR="00177BC8" w:rsidRPr="00151D16">
        <w:rPr>
          <w:rFonts w:ascii="Palatino Linotype" w:hAnsi="Palatino Linotype" w:cs="Arial"/>
          <w:b/>
        </w:rPr>
        <w:t xml:space="preserve">(con costo) </w:t>
      </w:r>
      <w:r w:rsidR="00177BC8" w:rsidRPr="00151D16">
        <w:rPr>
          <w:rFonts w:ascii="Palatino Linotype" w:hAnsi="Palatino Linotype" w:cs="Arial"/>
        </w:rPr>
        <w:t xml:space="preserve">y CD-ROM </w:t>
      </w:r>
      <w:r w:rsidR="00177BC8" w:rsidRPr="00151D16">
        <w:rPr>
          <w:rFonts w:ascii="Palatino Linotype" w:hAnsi="Palatino Linotype" w:cs="Arial"/>
          <w:b/>
        </w:rPr>
        <w:t xml:space="preserve">(con costo) </w:t>
      </w:r>
      <w:r w:rsidR="00177BC8" w:rsidRPr="00151D16">
        <w:rPr>
          <w:rFonts w:ascii="Palatino Linotype" w:hAnsi="Palatino Linotype" w:cs="Arial"/>
        </w:rPr>
        <w:t>de lo siguiente:</w:t>
      </w:r>
    </w:p>
    <w:p w14:paraId="1ED87DF3" w14:textId="6B3B879B" w:rsidR="00177BC8" w:rsidRPr="00177BC8" w:rsidRDefault="00177BC8" w:rsidP="00177BC8">
      <w:pPr>
        <w:pStyle w:val="Prrafodelista"/>
        <w:numPr>
          <w:ilvl w:val="0"/>
          <w:numId w:val="10"/>
        </w:numPr>
        <w:tabs>
          <w:tab w:val="left" w:pos="709"/>
        </w:tabs>
        <w:spacing w:before="240" w:line="360" w:lineRule="auto"/>
        <w:ind w:right="51"/>
        <w:jc w:val="both"/>
        <w:rPr>
          <w:rFonts w:ascii="Palatino Linotype" w:hAnsi="Palatino Linotype"/>
          <w:i/>
        </w:rPr>
      </w:pPr>
      <w:r w:rsidRPr="00177BC8">
        <w:rPr>
          <w:rFonts w:ascii="Palatino Linotype" w:hAnsi="Palatino Linotype"/>
          <w:i/>
        </w:rPr>
        <w:lastRenderedPageBreak/>
        <w:t>Contrato de comodato</w:t>
      </w:r>
      <w:r w:rsidR="00BF41EE">
        <w:rPr>
          <w:rFonts w:ascii="Palatino Linotype" w:hAnsi="Palatino Linotype"/>
          <w:i/>
        </w:rPr>
        <w:t xml:space="preserve"> y/o equivalente</w:t>
      </w:r>
      <w:r w:rsidRPr="00177BC8">
        <w:rPr>
          <w:rFonts w:ascii="Palatino Linotype" w:hAnsi="Palatino Linotype"/>
          <w:i/>
        </w:rPr>
        <w:t xml:space="preserve"> celebrado entre el Ayuntamiento de Naucalpan de Juárez y las personas físicas y morales referidas mediante la solicitud de información </w:t>
      </w:r>
      <w:r w:rsidRPr="00177BC8">
        <w:rPr>
          <w:rFonts w:ascii="Palatino Linotype" w:hAnsi="Palatino Linotype"/>
          <w:b/>
          <w:i/>
        </w:rPr>
        <w:t xml:space="preserve">00932/NAUCALPA/IP/2021, </w:t>
      </w:r>
      <w:r w:rsidRPr="00177BC8">
        <w:rPr>
          <w:rFonts w:ascii="Palatino Linotype" w:hAnsi="Palatino Linotype"/>
          <w:i/>
        </w:rPr>
        <w:t xml:space="preserve">respecto del inmueble señalado en la propia solicitud, al catorce de diciembre de dos mil veintiuno. </w:t>
      </w:r>
    </w:p>
    <w:p w14:paraId="7264A03A" w14:textId="77777777" w:rsidR="00177BC8" w:rsidRPr="00177BC8" w:rsidRDefault="00177BC8" w:rsidP="00177BC8">
      <w:pPr>
        <w:pStyle w:val="Prrafodelista"/>
        <w:numPr>
          <w:ilvl w:val="0"/>
          <w:numId w:val="10"/>
        </w:numPr>
        <w:tabs>
          <w:tab w:val="left" w:pos="709"/>
        </w:tabs>
        <w:spacing w:before="240" w:line="360" w:lineRule="auto"/>
        <w:ind w:right="51"/>
        <w:jc w:val="both"/>
        <w:rPr>
          <w:rFonts w:ascii="Palatino Linotype" w:hAnsi="Palatino Linotype"/>
          <w:i/>
        </w:rPr>
      </w:pPr>
      <w:r w:rsidRPr="00177BC8">
        <w:rPr>
          <w:rFonts w:ascii="Palatino Linotype" w:hAnsi="Palatino Linotype"/>
          <w:i/>
        </w:rPr>
        <w:t xml:space="preserve">Licencia de construcción para área común respecto del inmueble señalado mediante la solicitud de información </w:t>
      </w:r>
      <w:r w:rsidRPr="00177BC8">
        <w:rPr>
          <w:rFonts w:ascii="Palatino Linotype" w:hAnsi="Palatino Linotype"/>
          <w:b/>
          <w:i/>
        </w:rPr>
        <w:t xml:space="preserve">00932/NAUCALPA/IP/2021, </w:t>
      </w:r>
      <w:r w:rsidRPr="00177BC8">
        <w:rPr>
          <w:rFonts w:ascii="Palatino Linotype" w:hAnsi="Palatino Linotype"/>
          <w:i/>
        </w:rPr>
        <w:t xml:space="preserve">al catorce de diciembre de dos mil veintiuno. </w:t>
      </w:r>
    </w:p>
    <w:p w14:paraId="3A17E612" w14:textId="55F1D116" w:rsidR="00031A66" w:rsidRPr="00151D16" w:rsidRDefault="00177BC8" w:rsidP="00031A66">
      <w:pPr>
        <w:pStyle w:val="Prrafodelista"/>
        <w:spacing w:before="240" w:line="360" w:lineRule="auto"/>
        <w:ind w:left="720"/>
        <w:jc w:val="both"/>
        <w:rPr>
          <w:rFonts w:ascii="Palatino Linotype" w:hAnsi="Palatino Linotype" w:cs="Arial"/>
          <w:b/>
          <w:i/>
          <w:lang w:val="es-ES_tradnl"/>
        </w:rPr>
      </w:pPr>
      <w:r w:rsidRPr="00151D16">
        <w:rPr>
          <w:rFonts w:ascii="Palatino Linotype" w:hAnsi="Palatino Linotype" w:cs="Arial"/>
          <w:i/>
        </w:rPr>
        <w:t xml:space="preserve">Para la expedición de la información en </w:t>
      </w:r>
      <w:r w:rsidR="00031A66" w:rsidRPr="00151D16">
        <w:rPr>
          <w:rFonts w:ascii="Palatino Linotype" w:hAnsi="Palatino Linotype" w:cs="Arial"/>
          <w:i/>
        </w:rPr>
        <w:t xml:space="preserve">medios magnéticos (con costo)  y CD-ROM (con costo), </w:t>
      </w:r>
      <w:r w:rsidR="00031A66" w:rsidRPr="00151D16">
        <w:rPr>
          <w:rFonts w:ascii="Palatino Linotype" w:hAnsi="Palatino Linotype" w:cs="Arial"/>
          <w:b/>
          <w:bCs/>
          <w:i/>
        </w:rPr>
        <w:t xml:space="preserve">El Sujeto Obligado </w:t>
      </w:r>
      <w:r w:rsidR="00031A66" w:rsidRPr="00151D16">
        <w:rPr>
          <w:rFonts w:ascii="Palatino Linotype" w:hAnsi="Palatino Linotype" w:cs="Arial"/>
          <w:i/>
        </w:rPr>
        <w:t xml:space="preserve">deberá informar </w:t>
      </w:r>
      <w:r w:rsidR="00031A66" w:rsidRPr="00151D16">
        <w:rPr>
          <w:rFonts w:ascii="Palatino Linotype" w:hAnsi="Palatino Linotype" w:cs="Arial"/>
          <w:i/>
          <w:lang w:val="es-ES_tradnl"/>
        </w:rPr>
        <w:t xml:space="preserve"> al</w:t>
      </w:r>
      <w:r w:rsidR="00031A66" w:rsidRPr="00151D16">
        <w:rPr>
          <w:rFonts w:ascii="Palatino Linotype" w:hAnsi="Palatino Linotype" w:cs="Arial"/>
          <w:b/>
          <w:bCs/>
          <w:i/>
          <w:lang w:val="es-ES_tradnl"/>
        </w:rPr>
        <w:t xml:space="preserve"> </w:t>
      </w:r>
      <w:r w:rsidR="00031A66" w:rsidRPr="00151D16">
        <w:rPr>
          <w:rFonts w:ascii="Palatino Linotype" w:hAnsi="Palatino Linotype" w:cs="Arial"/>
          <w:b/>
          <w:i/>
          <w:lang w:val="es-ES_tradnl"/>
        </w:rPr>
        <w:t>Recurrente</w:t>
      </w:r>
      <w:r w:rsidR="00031A66" w:rsidRPr="00151D16">
        <w:rPr>
          <w:rFonts w:ascii="Palatino Linotype" w:hAnsi="Palatino Linotype" w:cs="Arial"/>
          <w:i/>
          <w:lang w:val="es-ES_tradnl"/>
        </w:rPr>
        <w:t xml:space="preserve"> </w:t>
      </w:r>
      <w:r w:rsidR="00031A66" w:rsidRPr="00151D16">
        <w:rPr>
          <w:rFonts w:ascii="Palatino Linotype" w:hAnsi="Palatino Linotype" w:cs="Arial"/>
          <w:i/>
        </w:rPr>
        <w:t xml:space="preserve">mediante </w:t>
      </w:r>
      <w:r w:rsidR="00031A66" w:rsidRPr="00151D16">
        <w:rPr>
          <w:rFonts w:ascii="Palatino Linotype" w:hAnsi="Palatino Linotype" w:cs="Arial"/>
          <w:b/>
          <w:i/>
        </w:rPr>
        <w:t>SAIMEX</w:t>
      </w:r>
      <w:r w:rsidR="00031A66" w:rsidRPr="00151D16">
        <w:rPr>
          <w:rFonts w:ascii="Palatino Linotype" w:hAnsi="Palatino Linotype" w:cs="Arial"/>
          <w:i/>
        </w:rPr>
        <w:t xml:space="preserve"> </w:t>
      </w:r>
      <w:r w:rsidR="00031A66" w:rsidRPr="00151D16">
        <w:rPr>
          <w:rFonts w:ascii="Palatino Linotype" w:hAnsi="Palatino Linotype" w:cs="Arial"/>
          <w:i/>
          <w:lang w:val="es-ES_tradnl"/>
        </w:rPr>
        <w:t xml:space="preserve">el procedimiento exacto y detallado para su obtención (lugar, días, horas hábiles, etc.), debiendo acreditar </w:t>
      </w:r>
      <w:r w:rsidR="00031A66" w:rsidRPr="00151D16">
        <w:rPr>
          <w:rFonts w:ascii="Palatino Linotype" w:hAnsi="Palatino Linotype" w:cs="Arial"/>
          <w:b/>
          <w:i/>
          <w:lang w:val="es-ES_tradnl"/>
        </w:rPr>
        <w:t>El Sujeto Obligado</w:t>
      </w:r>
      <w:r w:rsidR="00031A66" w:rsidRPr="00151D16">
        <w:rPr>
          <w:rFonts w:ascii="Palatino Linotype" w:hAnsi="Palatino Linotype" w:cs="Arial"/>
          <w:i/>
          <w:lang w:val="es-ES_tradnl"/>
        </w:rPr>
        <w:t xml:space="preserve"> la entrega de la información al</w:t>
      </w:r>
      <w:r w:rsidR="00031A66" w:rsidRPr="00151D16">
        <w:rPr>
          <w:rFonts w:ascii="Palatino Linotype" w:hAnsi="Palatino Linotype" w:cs="Arial"/>
          <w:b/>
          <w:bCs/>
          <w:i/>
          <w:lang w:val="es-ES_tradnl"/>
        </w:rPr>
        <w:t xml:space="preserve"> </w:t>
      </w:r>
      <w:r w:rsidR="00031A66" w:rsidRPr="00151D16">
        <w:rPr>
          <w:rFonts w:ascii="Palatino Linotype" w:hAnsi="Palatino Linotype" w:cs="Arial"/>
          <w:b/>
          <w:i/>
          <w:lang w:val="es-ES_tradnl"/>
        </w:rPr>
        <w:t>Recurrente.</w:t>
      </w:r>
    </w:p>
    <w:p w14:paraId="22C27A63" w14:textId="0A1321F0" w:rsidR="00177BC8" w:rsidRDefault="00031A66" w:rsidP="00BB2E89">
      <w:pPr>
        <w:pStyle w:val="Prrafodelista"/>
        <w:spacing w:before="240" w:line="360" w:lineRule="auto"/>
        <w:ind w:left="709"/>
        <w:jc w:val="both"/>
        <w:rPr>
          <w:rFonts w:ascii="Palatino Linotype" w:hAnsi="Palatino Linotype" w:cs="Arial"/>
          <w:i/>
        </w:rPr>
      </w:pPr>
      <w:r w:rsidRPr="00151D16">
        <w:rPr>
          <w:rFonts w:ascii="Palatino Linotype" w:hAnsi="Palatino Linotype" w:cs="Arial"/>
          <w:i/>
        </w:rPr>
        <w:t>Para el caso de que el particular proporcione a l</w:t>
      </w:r>
      <w:r w:rsidR="0023220E" w:rsidRPr="00151D16">
        <w:rPr>
          <w:rFonts w:ascii="Palatino Linotype" w:hAnsi="Palatino Linotype" w:cs="Arial"/>
          <w:i/>
        </w:rPr>
        <w:t xml:space="preserve">a autoridad municipal el medio </w:t>
      </w:r>
      <w:r w:rsidRPr="00151D16">
        <w:rPr>
          <w:rFonts w:ascii="Palatino Linotype" w:hAnsi="Palatino Linotype" w:cs="Arial"/>
          <w:i/>
        </w:rPr>
        <w:t>mag</w:t>
      </w:r>
      <w:r w:rsidR="0023220E" w:rsidRPr="00151D16">
        <w:rPr>
          <w:rFonts w:ascii="Palatino Linotype" w:hAnsi="Palatino Linotype" w:cs="Arial"/>
          <w:i/>
        </w:rPr>
        <w:t>nético o CD-ROM</w:t>
      </w:r>
      <w:r w:rsidRPr="00151D16">
        <w:rPr>
          <w:rFonts w:ascii="Palatino Linotype" w:hAnsi="Palatino Linotype" w:cs="Arial"/>
          <w:i/>
        </w:rPr>
        <w:t xml:space="preserve"> en el que requiera le sea entregada la información pública no habrá costo que cubrir.</w:t>
      </w:r>
      <w:r>
        <w:rPr>
          <w:rFonts w:ascii="Palatino Linotype" w:hAnsi="Palatino Linotype" w:cs="Arial"/>
          <w:i/>
        </w:rPr>
        <w:t xml:space="preserve"> </w:t>
      </w:r>
    </w:p>
    <w:p w14:paraId="185514AF" w14:textId="249D7E2B" w:rsidR="00BB2E89" w:rsidRDefault="00BB2E89" w:rsidP="00BB2E89">
      <w:pPr>
        <w:pStyle w:val="Prrafodelista"/>
        <w:spacing w:before="240" w:line="360" w:lineRule="auto"/>
        <w:ind w:left="709"/>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w:t>
      </w:r>
      <w:r w:rsidR="004336AE">
        <w:rPr>
          <w:rFonts w:ascii="Palatino Linotype" w:hAnsi="Palatino Linotype" w:cs="Arial"/>
          <w:i/>
        </w:rPr>
        <w:t>del</w:t>
      </w:r>
      <w:r>
        <w:rPr>
          <w:rFonts w:ascii="Palatino Linotype" w:hAnsi="Palatino Linotype" w:cs="Arial"/>
          <w:i/>
        </w:rPr>
        <w:t xml:space="preserve"> recurrente.</w:t>
      </w:r>
    </w:p>
    <w:p w14:paraId="79931616" w14:textId="191C16D3" w:rsidR="00BB2E89" w:rsidRDefault="00BB2E89" w:rsidP="00BB2E89">
      <w:pPr>
        <w:pStyle w:val="Prrafodelista"/>
        <w:spacing w:before="240" w:line="360" w:lineRule="auto"/>
        <w:ind w:left="720"/>
        <w:jc w:val="both"/>
        <w:rPr>
          <w:rFonts w:ascii="Palatino Linotype" w:hAnsi="Palatino Linotype" w:cs="Arial"/>
          <w:i/>
        </w:rPr>
      </w:pPr>
      <w:r w:rsidRPr="00151D16">
        <w:rPr>
          <w:rFonts w:ascii="Palatino Linotype" w:hAnsi="Palatino Linotype" w:cs="Arial"/>
          <w:i/>
        </w:rPr>
        <w:lastRenderedPageBreak/>
        <w:t xml:space="preserve">Una vez realizada la búsqueda exhaustiva y razonable, para el caso de no contar con la información previamente referida en </w:t>
      </w:r>
      <w:r w:rsidR="00177BC8" w:rsidRPr="00151D16">
        <w:rPr>
          <w:rFonts w:ascii="Palatino Linotype" w:hAnsi="Palatino Linotype" w:cs="Arial"/>
          <w:i/>
        </w:rPr>
        <w:t>el numeral</w:t>
      </w:r>
      <w:r w:rsidRPr="00151D16">
        <w:rPr>
          <w:rFonts w:ascii="Palatino Linotype" w:hAnsi="Palatino Linotype" w:cs="Arial"/>
          <w:i/>
        </w:rPr>
        <w:t xml:space="preserve"> </w:t>
      </w:r>
      <w:r w:rsidR="00DE1FC5" w:rsidRPr="00151D16">
        <w:rPr>
          <w:rFonts w:ascii="Palatino Linotype" w:hAnsi="Palatino Linotype" w:cs="Arial"/>
          <w:i/>
        </w:rPr>
        <w:t xml:space="preserve"> </w:t>
      </w:r>
      <w:r w:rsidR="00177BC8" w:rsidRPr="00151D16">
        <w:rPr>
          <w:rFonts w:ascii="Palatino Linotype" w:hAnsi="Palatino Linotype" w:cs="Arial"/>
          <w:i/>
        </w:rPr>
        <w:t>2</w:t>
      </w:r>
      <w:r w:rsidRPr="00151D16">
        <w:rPr>
          <w:rFonts w:ascii="Palatino Linotype" w:hAnsi="Palatino Linotype" w:cs="Arial"/>
          <w:i/>
        </w:rPr>
        <w:t>, bastará con que El Sujeto Obligado lo haga del conocimiento del Recurrente.</w:t>
      </w:r>
      <w:r>
        <w:rPr>
          <w:rFonts w:ascii="Palatino Linotype" w:hAnsi="Palatino Linotype" w:cs="Arial"/>
          <w:i/>
        </w:rPr>
        <w:t xml:space="preserve"> </w:t>
      </w:r>
    </w:p>
    <w:p w14:paraId="38EF20B2" w14:textId="77777777" w:rsidR="00031A66" w:rsidRDefault="00031A66" w:rsidP="00BB2E89">
      <w:pPr>
        <w:pStyle w:val="Prrafodelista"/>
        <w:spacing w:before="240" w:line="360" w:lineRule="auto"/>
        <w:ind w:left="720"/>
        <w:jc w:val="both"/>
        <w:rPr>
          <w:rFonts w:ascii="Palatino Linotype" w:hAnsi="Palatino Linotype" w:cs="Arial"/>
          <w:i/>
        </w:rPr>
      </w:pPr>
    </w:p>
    <w:p w14:paraId="19ABE676" w14:textId="77777777" w:rsidR="00BB2E89" w:rsidRDefault="00BB2E89" w:rsidP="00BB2E89">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72B4FCC7" w14:textId="77777777" w:rsidR="00BB2E89" w:rsidRDefault="00BB2E89" w:rsidP="00BB2E89">
      <w:pPr>
        <w:autoSpaceDE w:val="0"/>
        <w:autoSpaceDN w:val="0"/>
        <w:adjustRightInd w:val="0"/>
        <w:spacing w:before="240" w:line="360" w:lineRule="auto"/>
        <w:jc w:val="both"/>
        <w:rPr>
          <w:rFonts w:ascii="Palatino Linotype" w:hAnsi="Palatino Linotype" w:cs="Arial"/>
          <w:sz w:val="24"/>
          <w:szCs w:val="24"/>
        </w:rPr>
      </w:pPr>
    </w:p>
    <w:p w14:paraId="24525C2D" w14:textId="77777777" w:rsidR="00BB2E89" w:rsidRDefault="00BB2E89" w:rsidP="00BB2E8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6A6E3D2" w14:textId="77777777" w:rsidR="00BB2E89" w:rsidRPr="005751B7" w:rsidRDefault="00BB2E89" w:rsidP="00BB2E8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B7EAEFA" w14:textId="77777777" w:rsidR="00BB2E89" w:rsidRPr="00F77047" w:rsidRDefault="00BB2E89" w:rsidP="00BB2E89">
      <w:pPr>
        <w:spacing w:after="0" w:line="360" w:lineRule="auto"/>
        <w:jc w:val="both"/>
        <w:rPr>
          <w:rFonts w:ascii="Palatino Linotype" w:eastAsia="Times New Roman" w:hAnsi="Palatino Linotype" w:cs="Arial"/>
          <w:b/>
          <w:sz w:val="18"/>
          <w:szCs w:val="24"/>
          <w:lang w:eastAsia="es-ES"/>
        </w:rPr>
      </w:pPr>
    </w:p>
    <w:p w14:paraId="560B95CB" w14:textId="10EB722D" w:rsidR="00BB2E89" w:rsidRDefault="00BB2E89" w:rsidP="00BB2E89">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1625D">
        <w:rPr>
          <w:rFonts w:ascii="Palatino Linotype" w:eastAsia="Times New Roman" w:hAnsi="Palatino Linotype" w:cs="Arial"/>
          <w:b/>
          <w:sz w:val="24"/>
          <w:szCs w:val="24"/>
          <w:lang w:eastAsia="es-ES"/>
        </w:rPr>
        <w:t xml:space="preserve">QUINTO. NOTIFÍQUESE </w:t>
      </w:r>
      <w:r w:rsidRPr="00C1625D">
        <w:rPr>
          <w:rFonts w:ascii="Palatino Linotype" w:eastAsia="Times New Roman" w:hAnsi="Palatino Linotype" w:cs="Arial"/>
          <w:sz w:val="24"/>
          <w:szCs w:val="24"/>
          <w:lang w:eastAsia="es-ES"/>
        </w:rPr>
        <w:t xml:space="preserve">la presente resolución al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sidR="00031A66" w:rsidRPr="00151D16">
        <w:rPr>
          <w:rFonts w:ascii="Palatino Linotype" w:hAnsi="Palatino Linotype" w:cs="Arial"/>
          <w:sz w:val="24"/>
          <w:szCs w:val="24"/>
        </w:rPr>
        <w:t xml:space="preserve"> </w:t>
      </w:r>
      <w:r w:rsidR="00031A66" w:rsidRPr="00151D16">
        <w:rPr>
          <w:rFonts w:ascii="Palatino Linotype" w:hAnsi="Palatino Linotype" w:cs="Arial"/>
          <w:b/>
          <w:sz w:val="24"/>
          <w:szCs w:val="24"/>
        </w:rPr>
        <w:t>y por correo electrónico</w:t>
      </w:r>
      <w:r w:rsidRPr="00151D16">
        <w:rPr>
          <w:rFonts w:ascii="Palatino Linotype" w:hAnsi="Palatino Linotype" w:cs="Arial"/>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w:t>
      </w:r>
      <w:r w:rsidRPr="00C1625D">
        <w:rPr>
          <w:rFonts w:ascii="Palatino Linotype" w:eastAsia="Times New Roman" w:hAnsi="Palatino Linotype" w:cs="Times New Roman"/>
          <w:color w:val="222222"/>
          <w:sz w:val="24"/>
          <w:szCs w:val="24"/>
          <w:lang w:eastAsia="es-ES"/>
        </w:rPr>
        <w:lastRenderedPageBreak/>
        <w:t>Municipios, podrá promover el Juicio de Amparo en los términos de las leyes aplicables.</w:t>
      </w:r>
    </w:p>
    <w:p w14:paraId="7E1954EC" w14:textId="48C91319" w:rsidR="004E1AC5" w:rsidRDefault="004E1AC5" w:rsidP="00ED3C5C">
      <w:pPr>
        <w:spacing w:after="0" w:line="360" w:lineRule="auto"/>
        <w:jc w:val="both"/>
        <w:rPr>
          <w:rFonts w:ascii="Palatino Linotype" w:hAnsi="Palatino Linotype" w:cs="Arial"/>
          <w:color w:val="000000"/>
          <w:sz w:val="24"/>
          <w:lang w:val="es-ES_tradnl"/>
        </w:rPr>
      </w:pPr>
    </w:p>
    <w:p w14:paraId="6FA0E6FD" w14:textId="0DD15BA7"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 xml:space="preserve">MEJÍA AYALA, SHARON CRISTINA MORALES MARTÍNEZ (AUSENCIA JUSTIFICADA), LUIS GUSTAVO PARRA NORIEGA Y GUADALUPE RAMÍREZ PEÑA; EN LA </w:t>
      </w:r>
      <w:r w:rsidR="00031A66">
        <w:rPr>
          <w:rFonts w:ascii="Palatino Linotype" w:hAnsi="Palatino Linotype" w:cs="Arial"/>
        </w:rPr>
        <w:t>SEXTA</w:t>
      </w:r>
      <w:r w:rsidRPr="00266B85">
        <w:rPr>
          <w:rFonts w:ascii="Palatino Linotype" w:hAnsi="Palatino Linotype" w:cs="Arial"/>
        </w:rPr>
        <w:t xml:space="preserve">  SESIÓN ORDINARIA CELEBRADA EL </w:t>
      </w:r>
      <w:r w:rsidR="00031A66">
        <w:rPr>
          <w:rFonts w:ascii="Palatino Linotype" w:hAnsi="Palatino Linotype" w:cs="Arial"/>
        </w:rPr>
        <w:t xml:space="preserve">DIECISÉIS </w:t>
      </w:r>
      <w:r>
        <w:rPr>
          <w:rFonts w:ascii="Palatino Linotype" w:hAnsi="Palatino Linotype" w:cs="Arial"/>
        </w:rPr>
        <w:t>DE FEBRERO</w:t>
      </w:r>
      <w:r w:rsidRPr="00266B85">
        <w:rPr>
          <w:rFonts w:ascii="Palatino Linotype" w:hAnsi="Palatino Linotype" w:cs="Arial"/>
        </w:rPr>
        <w:t xml:space="preserve"> DE DOS MIL VEINTIDÓS, ANTE</w:t>
      </w:r>
      <w:r>
        <w:rPr>
          <w:rFonts w:ascii="Palatino Linotype" w:hAnsi="Palatino Linotype" w:cs="Arial"/>
        </w:rPr>
        <w:t xml:space="preserve"> EL  SECRETARIO TÉCNICO DEL PLENO, ALEXIS TAPIA RAMÍREZ. </w:t>
      </w:r>
    </w:p>
    <w:p w14:paraId="0ACA7651" w14:textId="33B5D5E2" w:rsidR="00C1625D" w:rsidRDefault="00031A66"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59264" behindDoc="0" locked="0" layoutInCell="1" allowOverlap="1" wp14:anchorId="2C54146D" wp14:editId="6D53F56E">
                <wp:simplePos x="0" y="0"/>
                <wp:positionH relativeFrom="column">
                  <wp:posOffset>-51435</wp:posOffset>
                </wp:positionH>
                <wp:positionV relativeFrom="paragraph">
                  <wp:posOffset>296545</wp:posOffset>
                </wp:positionV>
                <wp:extent cx="6270184" cy="3019425"/>
                <wp:effectExtent l="0" t="0" r="35560" b="28575"/>
                <wp:wrapNone/>
                <wp:docPr id="4" name="Conector recto 4"/>
                <wp:cNvGraphicFramePr/>
                <a:graphic xmlns:a="http://schemas.openxmlformats.org/drawingml/2006/main">
                  <a:graphicData uri="http://schemas.microsoft.com/office/word/2010/wordprocessingShape">
                    <wps:wsp>
                      <wps:cNvCnPr/>
                      <wps:spPr>
                        <a:xfrm>
                          <a:off x="0" y="0"/>
                          <a:ext cx="6270184" cy="3019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1AC59"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23.35pt" to="489.65pt,2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" strokecolor="#5b9bd5 [3204]" strokeweight=".5pt">
                <v:stroke joinstyle="miter"/>
              </v:line>
            </w:pict>
          </mc:Fallback>
        </mc:AlternateContent>
      </w:r>
      <w:r w:rsidR="00C1625D">
        <w:rPr>
          <w:rFonts w:ascii="Palatino Linotype" w:hAnsi="Palatino Linotype"/>
          <w:bCs/>
          <w:sz w:val="18"/>
          <w:szCs w:val="18"/>
        </w:rPr>
        <w:t>CCR/J</w:t>
      </w:r>
      <w:r w:rsidR="00C1625D" w:rsidRPr="00280B8B">
        <w:rPr>
          <w:rFonts w:ascii="Palatino Linotype" w:hAnsi="Palatino Linotype"/>
          <w:bCs/>
          <w:sz w:val="18"/>
          <w:szCs w:val="18"/>
        </w:rPr>
        <w:t>CMA</w:t>
      </w:r>
    </w:p>
    <w:p w14:paraId="5CB984C9" w14:textId="0B0B0C47"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27E883" w14:textId="77777777"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0FCD19" w14:textId="77777777"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B3BF3F3" w14:textId="77777777"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60A9022" w14:textId="77777777" w:rsidR="00C1625D" w:rsidRPr="00280B8B"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6E2106F" w14:textId="77777777" w:rsidR="00C1625D" w:rsidRDefault="00C1625D" w:rsidP="00ED3C5C">
      <w:pPr>
        <w:spacing w:after="0" w:line="360" w:lineRule="auto"/>
        <w:jc w:val="both"/>
        <w:rPr>
          <w:rFonts w:ascii="Palatino Linotype" w:hAnsi="Palatino Linotype" w:cs="Arial"/>
          <w:color w:val="000000"/>
          <w:sz w:val="24"/>
          <w:lang w:val="es-ES_tradnl"/>
        </w:rPr>
      </w:pPr>
    </w:p>
    <w:p w14:paraId="1053903D" w14:textId="77777777" w:rsidR="00867FEE" w:rsidRDefault="00867FEE" w:rsidP="00ED3C5C">
      <w:pPr>
        <w:spacing w:after="0" w:line="360" w:lineRule="auto"/>
        <w:jc w:val="both"/>
        <w:rPr>
          <w:rFonts w:ascii="Palatino Linotype" w:hAnsi="Palatino Linotype" w:cs="Arial"/>
          <w:color w:val="000000"/>
          <w:sz w:val="24"/>
          <w:lang w:val="es-ES_tradnl"/>
        </w:rPr>
      </w:pPr>
    </w:p>
    <w:p w14:paraId="70D12BD4" w14:textId="77777777" w:rsidR="00867FEE" w:rsidRDefault="00867FEE" w:rsidP="00ED3C5C">
      <w:pPr>
        <w:spacing w:after="0" w:line="360" w:lineRule="auto"/>
        <w:jc w:val="both"/>
        <w:rPr>
          <w:rFonts w:ascii="Palatino Linotype" w:hAnsi="Palatino Linotype" w:cs="Arial"/>
          <w:color w:val="000000"/>
          <w:sz w:val="24"/>
          <w:lang w:val="es-ES_tradnl"/>
        </w:rPr>
      </w:pPr>
    </w:p>
    <w:p w14:paraId="238B62A6" w14:textId="77777777" w:rsidR="00867FEE" w:rsidRDefault="00867FEE" w:rsidP="00ED3C5C">
      <w:pPr>
        <w:spacing w:after="0" w:line="360" w:lineRule="auto"/>
        <w:jc w:val="both"/>
        <w:rPr>
          <w:rFonts w:ascii="Palatino Linotype" w:hAnsi="Palatino Linotype" w:cs="Arial"/>
          <w:color w:val="000000"/>
          <w:sz w:val="24"/>
          <w:lang w:val="es-ES_tradnl"/>
        </w:rPr>
      </w:pPr>
    </w:p>
    <w:p w14:paraId="35542CE2" w14:textId="77777777" w:rsidR="00867FEE" w:rsidRDefault="00867FEE" w:rsidP="00ED3C5C">
      <w:pPr>
        <w:spacing w:after="0" w:line="360" w:lineRule="auto"/>
        <w:jc w:val="both"/>
        <w:rPr>
          <w:rFonts w:ascii="Palatino Linotype" w:hAnsi="Palatino Linotype" w:cs="Arial"/>
          <w:color w:val="000000"/>
          <w:sz w:val="24"/>
          <w:lang w:val="es-ES_tradnl"/>
        </w:rPr>
      </w:pPr>
    </w:p>
    <w:p w14:paraId="794AA4E0" w14:textId="77777777" w:rsidR="00867FEE" w:rsidRDefault="00867FEE" w:rsidP="00ED3C5C">
      <w:pPr>
        <w:spacing w:after="0" w:line="360" w:lineRule="auto"/>
        <w:jc w:val="both"/>
        <w:rPr>
          <w:rFonts w:ascii="Palatino Linotype" w:hAnsi="Palatino Linotype" w:cs="Arial"/>
          <w:color w:val="000000"/>
          <w:sz w:val="24"/>
          <w:lang w:val="es-ES_tradnl"/>
        </w:rPr>
      </w:pPr>
    </w:p>
    <w:p w14:paraId="3FA43038" w14:textId="77777777" w:rsidR="00867FEE" w:rsidRDefault="00867FEE" w:rsidP="00ED3C5C">
      <w:pPr>
        <w:spacing w:after="0" w:line="360" w:lineRule="auto"/>
        <w:jc w:val="both"/>
        <w:rPr>
          <w:rFonts w:ascii="Palatino Linotype" w:hAnsi="Palatino Linotype" w:cs="Arial"/>
          <w:color w:val="000000"/>
          <w:sz w:val="24"/>
          <w:lang w:val="es-ES_tradnl"/>
        </w:rPr>
      </w:pPr>
    </w:p>
    <w:p w14:paraId="18DA9E27" w14:textId="77777777" w:rsidR="00867FEE" w:rsidRDefault="00867FEE" w:rsidP="00ED3C5C">
      <w:pPr>
        <w:spacing w:after="0" w:line="360" w:lineRule="auto"/>
        <w:jc w:val="both"/>
        <w:rPr>
          <w:rFonts w:ascii="Palatino Linotype" w:hAnsi="Palatino Linotype" w:cs="Arial"/>
          <w:color w:val="000000"/>
          <w:sz w:val="24"/>
          <w:lang w:val="es-ES_tradnl"/>
        </w:rPr>
      </w:pPr>
    </w:p>
    <w:p w14:paraId="15F1EE6D" w14:textId="77777777" w:rsidR="00867FEE" w:rsidRDefault="00867FEE" w:rsidP="00ED3C5C">
      <w:pPr>
        <w:spacing w:after="0" w:line="360" w:lineRule="auto"/>
        <w:jc w:val="both"/>
        <w:rPr>
          <w:rFonts w:ascii="Palatino Linotype" w:hAnsi="Palatino Linotype" w:cs="Arial"/>
          <w:color w:val="000000"/>
          <w:sz w:val="24"/>
          <w:lang w:val="es-ES_tradnl"/>
        </w:rPr>
      </w:pPr>
    </w:p>
    <w:p w14:paraId="7D547E2C" w14:textId="77777777" w:rsidR="00867FEE" w:rsidRDefault="00867FEE" w:rsidP="00ED3C5C">
      <w:pPr>
        <w:spacing w:after="0" w:line="360" w:lineRule="auto"/>
        <w:jc w:val="both"/>
        <w:rPr>
          <w:rFonts w:ascii="Palatino Linotype" w:hAnsi="Palatino Linotype" w:cs="Arial"/>
          <w:color w:val="000000"/>
          <w:sz w:val="24"/>
          <w:lang w:val="es-ES_tradnl"/>
        </w:rPr>
      </w:pPr>
    </w:p>
    <w:p w14:paraId="2D794F21" w14:textId="77777777" w:rsidR="00867FEE" w:rsidRDefault="00867FEE" w:rsidP="00ED3C5C">
      <w:pPr>
        <w:spacing w:after="0" w:line="360" w:lineRule="auto"/>
        <w:jc w:val="both"/>
        <w:rPr>
          <w:rFonts w:ascii="Palatino Linotype" w:hAnsi="Palatino Linotype" w:cs="Arial"/>
          <w:color w:val="000000"/>
          <w:sz w:val="24"/>
          <w:lang w:val="es-ES_tradnl"/>
        </w:rPr>
      </w:pPr>
    </w:p>
    <w:p w14:paraId="21DD6342" w14:textId="77777777" w:rsidR="00867FEE" w:rsidRDefault="00867FEE" w:rsidP="00ED3C5C">
      <w:pPr>
        <w:spacing w:after="0" w:line="360" w:lineRule="auto"/>
        <w:jc w:val="both"/>
        <w:rPr>
          <w:rFonts w:ascii="Palatino Linotype" w:hAnsi="Palatino Linotype" w:cs="Arial"/>
          <w:color w:val="000000"/>
          <w:sz w:val="24"/>
          <w:lang w:val="es-ES_tradnl"/>
        </w:rPr>
      </w:pPr>
    </w:p>
    <w:p w14:paraId="45358C48" w14:textId="77777777" w:rsidR="00867FEE" w:rsidRDefault="00867FEE" w:rsidP="00ED3C5C">
      <w:pPr>
        <w:spacing w:after="0" w:line="360" w:lineRule="auto"/>
        <w:jc w:val="both"/>
        <w:rPr>
          <w:rFonts w:ascii="Palatino Linotype" w:hAnsi="Palatino Linotype" w:cs="Arial"/>
          <w:color w:val="000000"/>
          <w:sz w:val="24"/>
          <w:lang w:val="es-ES_tradnl"/>
        </w:rPr>
      </w:pPr>
    </w:p>
    <w:p w14:paraId="32536D90" w14:textId="77777777" w:rsidR="00867FEE" w:rsidRDefault="00867FEE" w:rsidP="00ED3C5C">
      <w:pPr>
        <w:spacing w:after="0" w:line="360" w:lineRule="auto"/>
        <w:jc w:val="both"/>
        <w:rPr>
          <w:rFonts w:ascii="Palatino Linotype" w:hAnsi="Palatino Linotype" w:cs="Arial"/>
          <w:color w:val="000000"/>
          <w:sz w:val="24"/>
          <w:lang w:val="es-ES_tradnl"/>
        </w:rPr>
      </w:pPr>
    </w:p>
    <w:sectPr w:rsidR="00867FEE"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FE3E0" w14:textId="77777777" w:rsidR="00114FD0" w:rsidRDefault="00114FD0" w:rsidP="006168E4">
      <w:pPr>
        <w:spacing w:after="0" w:line="240" w:lineRule="auto"/>
      </w:pPr>
      <w:r>
        <w:separator/>
      </w:r>
    </w:p>
  </w:endnote>
  <w:endnote w:type="continuationSeparator" w:id="0">
    <w:p w14:paraId="729E087C" w14:textId="77777777" w:rsidR="00114FD0" w:rsidRDefault="00114FD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A1915" w:rsidRPr="000B69FA" w:rsidRDefault="009A191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6E2E">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96E2E">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9A1915" w:rsidRPr="000B69FA" w:rsidRDefault="009A191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6E2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96E2E">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25E08" w14:textId="77777777" w:rsidR="00114FD0" w:rsidRDefault="00114FD0" w:rsidP="006168E4">
      <w:pPr>
        <w:spacing w:after="0" w:line="240" w:lineRule="auto"/>
      </w:pPr>
      <w:r>
        <w:separator/>
      </w:r>
    </w:p>
  </w:footnote>
  <w:footnote w:type="continuationSeparator" w:id="0">
    <w:p w14:paraId="7A7CCDCF" w14:textId="77777777" w:rsidR="00114FD0" w:rsidRDefault="00114FD0" w:rsidP="006168E4">
      <w:pPr>
        <w:spacing w:after="0" w:line="240" w:lineRule="auto"/>
      </w:pPr>
      <w:r>
        <w:continuationSeparator/>
      </w:r>
    </w:p>
  </w:footnote>
  <w:footnote w:id="1">
    <w:p w14:paraId="20C5DAAB" w14:textId="77777777" w:rsidR="009A1915" w:rsidRPr="005552A8" w:rsidRDefault="009A1915" w:rsidP="00965139">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1628B97" w14:textId="77777777" w:rsidR="009A1915" w:rsidRPr="005552A8" w:rsidRDefault="009A1915" w:rsidP="00965139">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9A1915" w:rsidRDefault="009A1915">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A1915" w14:paraId="17981A04" w14:textId="77777777" w:rsidTr="00073E92">
      <w:trPr>
        <w:trHeight w:val="227"/>
      </w:trPr>
      <w:tc>
        <w:tcPr>
          <w:tcW w:w="5529" w:type="dxa"/>
          <w:hideMark/>
        </w:tcPr>
        <w:p w14:paraId="0E414BC5" w14:textId="19670DF2" w:rsidR="009A1915" w:rsidRDefault="009A191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E331D40" w:rsidR="009A1915" w:rsidRPr="00B4142F" w:rsidRDefault="009A191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00100/INFOEM/IP/RR/2022</w:t>
          </w:r>
        </w:p>
      </w:tc>
    </w:tr>
    <w:tr w:rsidR="009A1915" w14:paraId="637042F0" w14:textId="77777777" w:rsidTr="00073E92">
      <w:trPr>
        <w:trHeight w:val="242"/>
      </w:trPr>
      <w:tc>
        <w:tcPr>
          <w:tcW w:w="5529" w:type="dxa"/>
          <w:hideMark/>
        </w:tcPr>
        <w:p w14:paraId="412AD568" w14:textId="582E7AD7" w:rsidR="009A1915" w:rsidRDefault="009A191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09E387B" w:rsidR="009A1915" w:rsidRPr="00F06FED" w:rsidRDefault="009A1915" w:rsidP="00FD6B57">
          <w:pPr>
            <w:spacing w:after="120" w:line="256" w:lineRule="auto"/>
            <w:ind w:left="639" w:right="214"/>
            <w:jc w:val="both"/>
            <w:rPr>
              <w:rFonts w:ascii="Palatino Linotype" w:hAnsi="Palatino Linotype" w:cs="Arial"/>
            </w:rPr>
          </w:pPr>
          <w:r>
            <w:rPr>
              <w:rFonts w:ascii="Palatino Linotype" w:hAnsi="Palatino Linotype" w:cs="Arial"/>
              <w:szCs w:val="20"/>
            </w:rPr>
            <w:t>Ayuntamiento de Naucalpan de Juárez</w:t>
          </w:r>
        </w:p>
      </w:tc>
    </w:tr>
    <w:tr w:rsidR="009A1915" w14:paraId="21BFE746" w14:textId="77777777" w:rsidTr="00073E92">
      <w:trPr>
        <w:trHeight w:val="342"/>
      </w:trPr>
      <w:tc>
        <w:tcPr>
          <w:tcW w:w="5529" w:type="dxa"/>
          <w:hideMark/>
        </w:tcPr>
        <w:p w14:paraId="64C4E314" w14:textId="2A83840C" w:rsidR="009A1915" w:rsidRDefault="009A1915"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9A1915" w:rsidRDefault="009A1915"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9A1915" w:rsidRDefault="009A19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A1915" w14:paraId="385FD437" w14:textId="77777777" w:rsidTr="00073E92">
      <w:trPr>
        <w:trHeight w:val="227"/>
      </w:trPr>
      <w:tc>
        <w:tcPr>
          <w:tcW w:w="5529" w:type="dxa"/>
          <w:hideMark/>
        </w:tcPr>
        <w:p w14:paraId="272860E8" w14:textId="6340DBC0" w:rsidR="009A1915" w:rsidRDefault="009A191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6F6CF73" w:rsidR="009A1915" w:rsidRPr="00B4142F" w:rsidRDefault="009A191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00100/INFOEM/IP/RR/2022</w:t>
          </w:r>
        </w:p>
      </w:tc>
    </w:tr>
    <w:tr w:rsidR="009A1915" w14:paraId="33FC5097" w14:textId="77777777" w:rsidTr="00073E92">
      <w:trPr>
        <w:trHeight w:val="196"/>
      </w:trPr>
      <w:tc>
        <w:tcPr>
          <w:tcW w:w="5529" w:type="dxa"/>
          <w:hideMark/>
        </w:tcPr>
        <w:p w14:paraId="4F5D01E5" w14:textId="77777777" w:rsidR="009A1915" w:rsidRDefault="009A191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8C27389" w:rsidR="009A1915" w:rsidRPr="00F06FED" w:rsidRDefault="00A44D5C" w:rsidP="007A3BB5">
          <w:pPr>
            <w:spacing w:after="120" w:line="256" w:lineRule="auto"/>
            <w:ind w:left="639" w:right="214"/>
            <w:jc w:val="both"/>
            <w:rPr>
              <w:rFonts w:ascii="Palatino Linotype" w:hAnsi="Palatino Linotype" w:cs="Arial"/>
            </w:rPr>
          </w:pPr>
          <w:r>
            <w:rPr>
              <w:rFonts w:ascii="Palatino Linotype" w:hAnsi="Palatino Linotype" w:cs="Arial"/>
            </w:rPr>
            <w:t>xxxxxxxxxxx</w:t>
          </w:r>
          <w:r w:rsidR="009A1915">
            <w:rPr>
              <w:rFonts w:ascii="Palatino Linotype" w:hAnsi="Palatino Linotype" w:cs="Arial"/>
            </w:rPr>
            <w:t xml:space="preserve"> </w:t>
          </w:r>
        </w:p>
      </w:tc>
    </w:tr>
    <w:tr w:rsidR="009A1915" w14:paraId="178280DE" w14:textId="77777777" w:rsidTr="00073E92">
      <w:trPr>
        <w:trHeight w:val="242"/>
      </w:trPr>
      <w:tc>
        <w:tcPr>
          <w:tcW w:w="5529" w:type="dxa"/>
          <w:hideMark/>
        </w:tcPr>
        <w:p w14:paraId="71AC708B" w14:textId="77777777" w:rsidR="009A1915" w:rsidRDefault="009A191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A064843" w:rsidR="009A1915" w:rsidRDefault="009A1915" w:rsidP="00FD6B57">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Naucalpan de Juárez</w:t>
          </w:r>
        </w:p>
      </w:tc>
    </w:tr>
    <w:tr w:rsidR="009A1915" w14:paraId="0518978B" w14:textId="77777777" w:rsidTr="00073E92">
      <w:trPr>
        <w:trHeight w:val="342"/>
      </w:trPr>
      <w:tc>
        <w:tcPr>
          <w:tcW w:w="5529" w:type="dxa"/>
          <w:hideMark/>
        </w:tcPr>
        <w:p w14:paraId="04968A43" w14:textId="7BE2A222" w:rsidR="009A1915" w:rsidRDefault="009A1915"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9A1915" w:rsidRDefault="009A1915"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9A1915" w:rsidRDefault="009A1915">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0853"/>
    <w:multiLevelType w:val="hybridMultilevel"/>
    <w:tmpl w:val="0A444D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FF7E5F"/>
    <w:multiLevelType w:val="hybridMultilevel"/>
    <w:tmpl w:val="F75E5A1E"/>
    <w:lvl w:ilvl="0" w:tplc="AAC60D5C">
      <w:start w:val="5"/>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151C0AD2"/>
    <w:multiLevelType w:val="hybridMultilevel"/>
    <w:tmpl w:val="9F588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nsid w:val="27DA028C"/>
    <w:multiLevelType w:val="hybridMultilevel"/>
    <w:tmpl w:val="0E3C7B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87775E2"/>
    <w:multiLevelType w:val="hybridMultilevel"/>
    <w:tmpl w:val="640CA94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0007F14"/>
    <w:multiLevelType w:val="hybridMultilevel"/>
    <w:tmpl w:val="0FA6955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nsid w:val="41F75CCC"/>
    <w:multiLevelType w:val="hybridMultilevel"/>
    <w:tmpl w:val="E5045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4813E8E"/>
    <w:multiLevelType w:val="hybridMultilevel"/>
    <w:tmpl w:val="2D464856"/>
    <w:lvl w:ilvl="0" w:tplc="8D661C82">
      <w:start w:val="2"/>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47752A29"/>
    <w:multiLevelType w:val="hybridMultilevel"/>
    <w:tmpl w:val="75082954"/>
    <w:lvl w:ilvl="0" w:tplc="5CD4B0F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4A085077"/>
    <w:multiLevelType w:val="hybridMultilevel"/>
    <w:tmpl w:val="E5045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F2A48DA"/>
    <w:multiLevelType w:val="hybridMultilevel"/>
    <w:tmpl w:val="273229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1416012"/>
    <w:multiLevelType w:val="hybridMultilevel"/>
    <w:tmpl w:val="9A1A52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8975DA0"/>
    <w:multiLevelType w:val="multilevel"/>
    <w:tmpl w:val="7AAEF1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35A16DD"/>
    <w:multiLevelType w:val="multilevel"/>
    <w:tmpl w:val="7AAEF1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7">
    <w:nsid w:val="7FCA4805"/>
    <w:multiLevelType w:val="hybridMultilevel"/>
    <w:tmpl w:val="F3A6BCBE"/>
    <w:lvl w:ilvl="0" w:tplc="C9EC21E0">
      <w:start w:val="5"/>
      <w:numFmt w:val="bullet"/>
      <w:lvlText w:val="-"/>
      <w:lvlJc w:val="left"/>
      <w:pPr>
        <w:ind w:left="1080" w:hanging="360"/>
      </w:pPr>
      <w:rPr>
        <w:rFonts w:ascii="Palatino Linotype" w:eastAsia="Times New Roman" w:hAnsi="Palatino Linotype" w:cs="Arial" w:hint="default"/>
        <w:b w:val="0"/>
        <w:color w:val="000000"/>
        <w:u w:val="none"/>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7"/>
  </w:num>
  <w:num w:numId="2">
    <w:abstractNumId w:val="14"/>
  </w:num>
  <w:num w:numId="3">
    <w:abstractNumId w:val="15"/>
  </w:num>
  <w:num w:numId="4">
    <w:abstractNumId w:val="9"/>
  </w:num>
  <w:num w:numId="5">
    <w:abstractNumId w:val="0"/>
  </w:num>
  <w:num w:numId="6">
    <w:abstractNumId w:val="4"/>
  </w:num>
  <w:num w:numId="7">
    <w:abstractNumId w:val="5"/>
  </w:num>
  <w:num w:numId="8">
    <w:abstractNumId w:val="10"/>
  </w:num>
  <w:num w:numId="9">
    <w:abstractNumId w:val="1"/>
  </w:num>
  <w:num w:numId="10">
    <w:abstractNumId w:val="16"/>
  </w:num>
  <w:num w:numId="11">
    <w:abstractNumId w:val="8"/>
  </w:num>
  <w:num w:numId="12">
    <w:abstractNumId w:val="13"/>
  </w:num>
  <w:num w:numId="13">
    <w:abstractNumId w:val="17"/>
  </w:num>
  <w:num w:numId="14">
    <w:abstractNumId w:val="2"/>
  </w:num>
  <w:num w:numId="15">
    <w:abstractNumId w:val="11"/>
  </w:num>
  <w:num w:numId="16">
    <w:abstractNumId w:val="6"/>
  </w:num>
  <w:num w:numId="17">
    <w:abstractNumId w:val="3"/>
  </w:num>
  <w:num w:numId="1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27921"/>
    <w:rsid w:val="000306A7"/>
    <w:rsid w:val="000315CA"/>
    <w:rsid w:val="00031A66"/>
    <w:rsid w:val="00031B3B"/>
    <w:rsid w:val="0003281E"/>
    <w:rsid w:val="00032896"/>
    <w:rsid w:val="000329BE"/>
    <w:rsid w:val="0004186E"/>
    <w:rsid w:val="00044C7F"/>
    <w:rsid w:val="000451BE"/>
    <w:rsid w:val="00045379"/>
    <w:rsid w:val="000458B5"/>
    <w:rsid w:val="00045CB8"/>
    <w:rsid w:val="000508FA"/>
    <w:rsid w:val="0005171D"/>
    <w:rsid w:val="00055224"/>
    <w:rsid w:val="000610F9"/>
    <w:rsid w:val="00061821"/>
    <w:rsid w:val="000623F9"/>
    <w:rsid w:val="00063A10"/>
    <w:rsid w:val="00064EA6"/>
    <w:rsid w:val="000662F8"/>
    <w:rsid w:val="00066CAB"/>
    <w:rsid w:val="00070E99"/>
    <w:rsid w:val="00073E78"/>
    <w:rsid w:val="00073E92"/>
    <w:rsid w:val="00073FC2"/>
    <w:rsid w:val="00076AE0"/>
    <w:rsid w:val="0007756F"/>
    <w:rsid w:val="0008033D"/>
    <w:rsid w:val="0008151E"/>
    <w:rsid w:val="000821BF"/>
    <w:rsid w:val="00085007"/>
    <w:rsid w:val="0008548C"/>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B03E0"/>
    <w:rsid w:val="000B45EB"/>
    <w:rsid w:val="000B4B51"/>
    <w:rsid w:val="000B4D0F"/>
    <w:rsid w:val="000B5864"/>
    <w:rsid w:val="000B7158"/>
    <w:rsid w:val="000C0B33"/>
    <w:rsid w:val="000C2602"/>
    <w:rsid w:val="000C5B8B"/>
    <w:rsid w:val="000D1A4E"/>
    <w:rsid w:val="000D1B55"/>
    <w:rsid w:val="000D3C75"/>
    <w:rsid w:val="000D4532"/>
    <w:rsid w:val="000D4A3A"/>
    <w:rsid w:val="000D5800"/>
    <w:rsid w:val="000D67B8"/>
    <w:rsid w:val="000D69D7"/>
    <w:rsid w:val="000D7523"/>
    <w:rsid w:val="000E0C4D"/>
    <w:rsid w:val="000E30C2"/>
    <w:rsid w:val="000E3AEA"/>
    <w:rsid w:val="000E6545"/>
    <w:rsid w:val="000E686B"/>
    <w:rsid w:val="000F2A5E"/>
    <w:rsid w:val="000F2E5A"/>
    <w:rsid w:val="000F3F8D"/>
    <w:rsid w:val="00100C19"/>
    <w:rsid w:val="00104391"/>
    <w:rsid w:val="00106372"/>
    <w:rsid w:val="00111DCD"/>
    <w:rsid w:val="00112C29"/>
    <w:rsid w:val="00114CF9"/>
    <w:rsid w:val="00114FD0"/>
    <w:rsid w:val="00121E3A"/>
    <w:rsid w:val="001228AB"/>
    <w:rsid w:val="00124209"/>
    <w:rsid w:val="00124855"/>
    <w:rsid w:val="001254F5"/>
    <w:rsid w:val="00127033"/>
    <w:rsid w:val="00136C13"/>
    <w:rsid w:val="00136FAD"/>
    <w:rsid w:val="00140557"/>
    <w:rsid w:val="001408A0"/>
    <w:rsid w:val="001414E7"/>
    <w:rsid w:val="001439C9"/>
    <w:rsid w:val="00146F0A"/>
    <w:rsid w:val="00151D16"/>
    <w:rsid w:val="00152AB2"/>
    <w:rsid w:val="00152C2B"/>
    <w:rsid w:val="00161FBE"/>
    <w:rsid w:val="0016613D"/>
    <w:rsid w:val="0016745C"/>
    <w:rsid w:val="001705AC"/>
    <w:rsid w:val="001710C0"/>
    <w:rsid w:val="001733A0"/>
    <w:rsid w:val="00175897"/>
    <w:rsid w:val="00177BC8"/>
    <w:rsid w:val="00180B9F"/>
    <w:rsid w:val="00181CC5"/>
    <w:rsid w:val="001829B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E0C3F"/>
    <w:rsid w:val="001E11BF"/>
    <w:rsid w:val="001E3960"/>
    <w:rsid w:val="001E5168"/>
    <w:rsid w:val="001E58D8"/>
    <w:rsid w:val="001E6631"/>
    <w:rsid w:val="001E78AA"/>
    <w:rsid w:val="001F2101"/>
    <w:rsid w:val="001F2360"/>
    <w:rsid w:val="001F3969"/>
    <w:rsid w:val="001F61DA"/>
    <w:rsid w:val="00204420"/>
    <w:rsid w:val="00205ACD"/>
    <w:rsid w:val="002075A5"/>
    <w:rsid w:val="00212797"/>
    <w:rsid w:val="00212A9D"/>
    <w:rsid w:val="0021501E"/>
    <w:rsid w:val="00215192"/>
    <w:rsid w:val="0021530C"/>
    <w:rsid w:val="002205C0"/>
    <w:rsid w:val="00221889"/>
    <w:rsid w:val="002248AC"/>
    <w:rsid w:val="00226AF5"/>
    <w:rsid w:val="0023220E"/>
    <w:rsid w:val="0023373D"/>
    <w:rsid w:val="0023423C"/>
    <w:rsid w:val="002406B0"/>
    <w:rsid w:val="002420E3"/>
    <w:rsid w:val="002448CB"/>
    <w:rsid w:val="002525C7"/>
    <w:rsid w:val="002526E7"/>
    <w:rsid w:val="002548EC"/>
    <w:rsid w:val="00254BA9"/>
    <w:rsid w:val="002577FE"/>
    <w:rsid w:val="00261125"/>
    <w:rsid w:val="002659E9"/>
    <w:rsid w:val="00267074"/>
    <w:rsid w:val="00267244"/>
    <w:rsid w:val="002717B7"/>
    <w:rsid w:val="00273D0E"/>
    <w:rsid w:val="00274159"/>
    <w:rsid w:val="00274300"/>
    <w:rsid w:val="00274BE8"/>
    <w:rsid w:val="002765A6"/>
    <w:rsid w:val="0028097F"/>
    <w:rsid w:val="0028588E"/>
    <w:rsid w:val="00286784"/>
    <w:rsid w:val="00287700"/>
    <w:rsid w:val="00292BF6"/>
    <w:rsid w:val="0029431D"/>
    <w:rsid w:val="00294823"/>
    <w:rsid w:val="00295749"/>
    <w:rsid w:val="0029598B"/>
    <w:rsid w:val="00297A36"/>
    <w:rsid w:val="002A0229"/>
    <w:rsid w:val="002A0ABA"/>
    <w:rsid w:val="002A2034"/>
    <w:rsid w:val="002A24F4"/>
    <w:rsid w:val="002A38BF"/>
    <w:rsid w:val="002A4319"/>
    <w:rsid w:val="002A5409"/>
    <w:rsid w:val="002A56AE"/>
    <w:rsid w:val="002A597E"/>
    <w:rsid w:val="002B113A"/>
    <w:rsid w:val="002B18B5"/>
    <w:rsid w:val="002B19E0"/>
    <w:rsid w:val="002B1A1F"/>
    <w:rsid w:val="002B2879"/>
    <w:rsid w:val="002B5A2F"/>
    <w:rsid w:val="002B5DBD"/>
    <w:rsid w:val="002C07C4"/>
    <w:rsid w:val="002C1B76"/>
    <w:rsid w:val="002C3189"/>
    <w:rsid w:val="002C72D2"/>
    <w:rsid w:val="002D08E3"/>
    <w:rsid w:val="002D30CB"/>
    <w:rsid w:val="002D310D"/>
    <w:rsid w:val="002E23F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45B43"/>
    <w:rsid w:val="00346B14"/>
    <w:rsid w:val="00361B9C"/>
    <w:rsid w:val="00365C45"/>
    <w:rsid w:val="00371031"/>
    <w:rsid w:val="003736ED"/>
    <w:rsid w:val="00374444"/>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C2632"/>
    <w:rsid w:val="003C2A8E"/>
    <w:rsid w:val="003C7873"/>
    <w:rsid w:val="003C78F7"/>
    <w:rsid w:val="003C79D5"/>
    <w:rsid w:val="003D0A89"/>
    <w:rsid w:val="003D11E5"/>
    <w:rsid w:val="003D153C"/>
    <w:rsid w:val="003D305F"/>
    <w:rsid w:val="003D4806"/>
    <w:rsid w:val="003E0BC5"/>
    <w:rsid w:val="003E16E1"/>
    <w:rsid w:val="003E2624"/>
    <w:rsid w:val="003E34C9"/>
    <w:rsid w:val="003E4B54"/>
    <w:rsid w:val="003F0DF5"/>
    <w:rsid w:val="003F332C"/>
    <w:rsid w:val="003F3BA1"/>
    <w:rsid w:val="003F659A"/>
    <w:rsid w:val="00400E16"/>
    <w:rsid w:val="004012CF"/>
    <w:rsid w:val="004012E1"/>
    <w:rsid w:val="004020B1"/>
    <w:rsid w:val="004028F5"/>
    <w:rsid w:val="00402FF3"/>
    <w:rsid w:val="00404627"/>
    <w:rsid w:val="00405192"/>
    <w:rsid w:val="00405EAB"/>
    <w:rsid w:val="00406265"/>
    <w:rsid w:val="004069EB"/>
    <w:rsid w:val="004111DA"/>
    <w:rsid w:val="00413327"/>
    <w:rsid w:val="00413F1C"/>
    <w:rsid w:val="0041440A"/>
    <w:rsid w:val="00423213"/>
    <w:rsid w:val="0042416D"/>
    <w:rsid w:val="00433507"/>
    <w:rsid w:val="004336AE"/>
    <w:rsid w:val="00437A0E"/>
    <w:rsid w:val="00441566"/>
    <w:rsid w:val="00443B76"/>
    <w:rsid w:val="0044504F"/>
    <w:rsid w:val="004460C0"/>
    <w:rsid w:val="004502F1"/>
    <w:rsid w:val="004516EB"/>
    <w:rsid w:val="004529B6"/>
    <w:rsid w:val="00453DBD"/>
    <w:rsid w:val="00454CE6"/>
    <w:rsid w:val="00457162"/>
    <w:rsid w:val="00457A9F"/>
    <w:rsid w:val="0046133D"/>
    <w:rsid w:val="00462881"/>
    <w:rsid w:val="00462B0D"/>
    <w:rsid w:val="0046475C"/>
    <w:rsid w:val="00464805"/>
    <w:rsid w:val="00466B1C"/>
    <w:rsid w:val="004702BF"/>
    <w:rsid w:val="00470F88"/>
    <w:rsid w:val="00472649"/>
    <w:rsid w:val="004726B1"/>
    <w:rsid w:val="0047555B"/>
    <w:rsid w:val="00475F48"/>
    <w:rsid w:val="0047718A"/>
    <w:rsid w:val="00477430"/>
    <w:rsid w:val="00477CC2"/>
    <w:rsid w:val="00480C13"/>
    <w:rsid w:val="00481325"/>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6011"/>
    <w:rsid w:val="004A7195"/>
    <w:rsid w:val="004A7CE2"/>
    <w:rsid w:val="004B376D"/>
    <w:rsid w:val="004B5DEC"/>
    <w:rsid w:val="004B7F32"/>
    <w:rsid w:val="004C1DF1"/>
    <w:rsid w:val="004C4E77"/>
    <w:rsid w:val="004C74FD"/>
    <w:rsid w:val="004D08EB"/>
    <w:rsid w:val="004D6029"/>
    <w:rsid w:val="004D6663"/>
    <w:rsid w:val="004E0166"/>
    <w:rsid w:val="004E0679"/>
    <w:rsid w:val="004E0B32"/>
    <w:rsid w:val="004E1AC5"/>
    <w:rsid w:val="004E1B1C"/>
    <w:rsid w:val="004E2371"/>
    <w:rsid w:val="004E6BE9"/>
    <w:rsid w:val="004E79A4"/>
    <w:rsid w:val="004F26CF"/>
    <w:rsid w:val="004F4792"/>
    <w:rsid w:val="004F4DF1"/>
    <w:rsid w:val="004F74F7"/>
    <w:rsid w:val="00502F50"/>
    <w:rsid w:val="00503655"/>
    <w:rsid w:val="00505759"/>
    <w:rsid w:val="00505784"/>
    <w:rsid w:val="0050578D"/>
    <w:rsid w:val="0051107C"/>
    <w:rsid w:val="00514187"/>
    <w:rsid w:val="00515090"/>
    <w:rsid w:val="00517F23"/>
    <w:rsid w:val="00521A89"/>
    <w:rsid w:val="00521E57"/>
    <w:rsid w:val="00525E83"/>
    <w:rsid w:val="005268A3"/>
    <w:rsid w:val="00527EBC"/>
    <w:rsid w:val="005305EA"/>
    <w:rsid w:val="00530E3E"/>
    <w:rsid w:val="005311BB"/>
    <w:rsid w:val="00535C9F"/>
    <w:rsid w:val="00536723"/>
    <w:rsid w:val="005371E7"/>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7500"/>
    <w:rsid w:val="00580802"/>
    <w:rsid w:val="00581A22"/>
    <w:rsid w:val="005833A8"/>
    <w:rsid w:val="00584485"/>
    <w:rsid w:val="0058661B"/>
    <w:rsid w:val="00587E4A"/>
    <w:rsid w:val="00591165"/>
    <w:rsid w:val="00593E91"/>
    <w:rsid w:val="00595600"/>
    <w:rsid w:val="00596DC4"/>
    <w:rsid w:val="00596E2E"/>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2954"/>
    <w:rsid w:val="006168E4"/>
    <w:rsid w:val="00616943"/>
    <w:rsid w:val="00620EEE"/>
    <w:rsid w:val="006214B9"/>
    <w:rsid w:val="00621940"/>
    <w:rsid w:val="006223C1"/>
    <w:rsid w:val="0062421A"/>
    <w:rsid w:val="00624FE9"/>
    <w:rsid w:val="00625866"/>
    <w:rsid w:val="006300D6"/>
    <w:rsid w:val="00630382"/>
    <w:rsid w:val="00630E5F"/>
    <w:rsid w:val="006321C8"/>
    <w:rsid w:val="0063265C"/>
    <w:rsid w:val="00633079"/>
    <w:rsid w:val="006332DC"/>
    <w:rsid w:val="00635020"/>
    <w:rsid w:val="00635846"/>
    <w:rsid w:val="00637512"/>
    <w:rsid w:val="0063765F"/>
    <w:rsid w:val="00640EE4"/>
    <w:rsid w:val="0064168D"/>
    <w:rsid w:val="00643161"/>
    <w:rsid w:val="006466F5"/>
    <w:rsid w:val="006468D6"/>
    <w:rsid w:val="006529A5"/>
    <w:rsid w:val="00655735"/>
    <w:rsid w:val="00660155"/>
    <w:rsid w:val="00661404"/>
    <w:rsid w:val="00661753"/>
    <w:rsid w:val="006646AC"/>
    <w:rsid w:val="00664D5B"/>
    <w:rsid w:val="00671D7C"/>
    <w:rsid w:val="00672112"/>
    <w:rsid w:val="00676C2E"/>
    <w:rsid w:val="00681802"/>
    <w:rsid w:val="00682225"/>
    <w:rsid w:val="006822F4"/>
    <w:rsid w:val="00682B6F"/>
    <w:rsid w:val="00683417"/>
    <w:rsid w:val="00684893"/>
    <w:rsid w:val="006848B7"/>
    <w:rsid w:val="00684CBE"/>
    <w:rsid w:val="00686FC2"/>
    <w:rsid w:val="0068792F"/>
    <w:rsid w:val="0069391E"/>
    <w:rsid w:val="00694735"/>
    <w:rsid w:val="00697281"/>
    <w:rsid w:val="00697492"/>
    <w:rsid w:val="006A2C7F"/>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594D"/>
    <w:rsid w:val="006E5C99"/>
    <w:rsid w:val="006F1B61"/>
    <w:rsid w:val="006F1FC1"/>
    <w:rsid w:val="006F4A27"/>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1D87"/>
    <w:rsid w:val="007234D1"/>
    <w:rsid w:val="0072378A"/>
    <w:rsid w:val="00731428"/>
    <w:rsid w:val="0073157A"/>
    <w:rsid w:val="00735209"/>
    <w:rsid w:val="0074023C"/>
    <w:rsid w:val="00743818"/>
    <w:rsid w:val="00744E29"/>
    <w:rsid w:val="00744EEF"/>
    <w:rsid w:val="0074726D"/>
    <w:rsid w:val="00751095"/>
    <w:rsid w:val="007517D1"/>
    <w:rsid w:val="007524CA"/>
    <w:rsid w:val="00753F8F"/>
    <w:rsid w:val="00754CAE"/>
    <w:rsid w:val="00757559"/>
    <w:rsid w:val="007658D5"/>
    <w:rsid w:val="00772BA8"/>
    <w:rsid w:val="00774266"/>
    <w:rsid w:val="0078028A"/>
    <w:rsid w:val="007806CB"/>
    <w:rsid w:val="00780A54"/>
    <w:rsid w:val="007818E1"/>
    <w:rsid w:val="00781C64"/>
    <w:rsid w:val="007848FB"/>
    <w:rsid w:val="007851D5"/>
    <w:rsid w:val="00785698"/>
    <w:rsid w:val="0078693A"/>
    <w:rsid w:val="007900A4"/>
    <w:rsid w:val="007906E0"/>
    <w:rsid w:val="00794153"/>
    <w:rsid w:val="0079486A"/>
    <w:rsid w:val="00794E74"/>
    <w:rsid w:val="00794F80"/>
    <w:rsid w:val="0079666D"/>
    <w:rsid w:val="00797B4F"/>
    <w:rsid w:val="007A139A"/>
    <w:rsid w:val="007A1C9E"/>
    <w:rsid w:val="007A3BB5"/>
    <w:rsid w:val="007A4532"/>
    <w:rsid w:val="007A5926"/>
    <w:rsid w:val="007A6C53"/>
    <w:rsid w:val="007B2C77"/>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661B"/>
    <w:rsid w:val="007E1016"/>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21792"/>
    <w:rsid w:val="008230AE"/>
    <w:rsid w:val="00824DCD"/>
    <w:rsid w:val="00831D3F"/>
    <w:rsid w:val="00832986"/>
    <w:rsid w:val="00833DB5"/>
    <w:rsid w:val="00835692"/>
    <w:rsid w:val="008419A8"/>
    <w:rsid w:val="00842697"/>
    <w:rsid w:val="008436AD"/>
    <w:rsid w:val="00844569"/>
    <w:rsid w:val="00846539"/>
    <w:rsid w:val="0084766D"/>
    <w:rsid w:val="008479F1"/>
    <w:rsid w:val="00847D23"/>
    <w:rsid w:val="0085439C"/>
    <w:rsid w:val="00854887"/>
    <w:rsid w:val="00854BB0"/>
    <w:rsid w:val="00855544"/>
    <w:rsid w:val="00856D15"/>
    <w:rsid w:val="0086020D"/>
    <w:rsid w:val="00863327"/>
    <w:rsid w:val="008671BD"/>
    <w:rsid w:val="00867B2F"/>
    <w:rsid w:val="00867FEE"/>
    <w:rsid w:val="00870F44"/>
    <w:rsid w:val="00874015"/>
    <w:rsid w:val="00876A75"/>
    <w:rsid w:val="0087786C"/>
    <w:rsid w:val="00883587"/>
    <w:rsid w:val="00884054"/>
    <w:rsid w:val="00886712"/>
    <w:rsid w:val="008868B6"/>
    <w:rsid w:val="00890A5B"/>
    <w:rsid w:val="00891715"/>
    <w:rsid w:val="00893C5F"/>
    <w:rsid w:val="00895089"/>
    <w:rsid w:val="008951ED"/>
    <w:rsid w:val="008966B3"/>
    <w:rsid w:val="00896BBD"/>
    <w:rsid w:val="008A1129"/>
    <w:rsid w:val="008A322D"/>
    <w:rsid w:val="008A75BE"/>
    <w:rsid w:val="008B00BD"/>
    <w:rsid w:val="008B14D0"/>
    <w:rsid w:val="008B5026"/>
    <w:rsid w:val="008C2BCF"/>
    <w:rsid w:val="008C32A8"/>
    <w:rsid w:val="008C55A3"/>
    <w:rsid w:val="008C5EC3"/>
    <w:rsid w:val="008D06E0"/>
    <w:rsid w:val="008D1DFF"/>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869"/>
    <w:rsid w:val="0092113F"/>
    <w:rsid w:val="00921DB9"/>
    <w:rsid w:val="00922358"/>
    <w:rsid w:val="0092403D"/>
    <w:rsid w:val="00927C53"/>
    <w:rsid w:val="00932888"/>
    <w:rsid w:val="009331C2"/>
    <w:rsid w:val="0093422A"/>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69C"/>
    <w:rsid w:val="009706B5"/>
    <w:rsid w:val="00970CE3"/>
    <w:rsid w:val="009718BF"/>
    <w:rsid w:val="00972BDF"/>
    <w:rsid w:val="0097390F"/>
    <w:rsid w:val="0098182D"/>
    <w:rsid w:val="00985AD2"/>
    <w:rsid w:val="00985C4C"/>
    <w:rsid w:val="0098704B"/>
    <w:rsid w:val="00993821"/>
    <w:rsid w:val="009940F6"/>
    <w:rsid w:val="00994280"/>
    <w:rsid w:val="009970B5"/>
    <w:rsid w:val="009A0D0A"/>
    <w:rsid w:val="009A0FAE"/>
    <w:rsid w:val="009A110C"/>
    <w:rsid w:val="009A1915"/>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1B1E"/>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30C44"/>
    <w:rsid w:val="00A328AE"/>
    <w:rsid w:val="00A347D8"/>
    <w:rsid w:val="00A36D20"/>
    <w:rsid w:val="00A4131E"/>
    <w:rsid w:val="00A41694"/>
    <w:rsid w:val="00A42326"/>
    <w:rsid w:val="00A43501"/>
    <w:rsid w:val="00A44D5C"/>
    <w:rsid w:val="00A453DC"/>
    <w:rsid w:val="00A469C4"/>
    <w:rsid w:val="00A46BDA"/>
    <w:rsid w:val="00A475D9"/>
    <w:rsid w:val="00A535E3"/>
    <w:rsid w:val="00A5450F"/>
    <w:rsid w:val="00A570A7"/>
    <w:rsid w:val="00A57E92"/>
    <w:rsid w:val="00A61900"/>
    <w:rsid w:val="00A625E2"/>
    <w:rsid w:val="00A62AA3"/>
    <w:rsid w:val="00A62B55"/>
    <w:rsid w:val="00A64C80"/>
    <w:rsid w:val="00A67EF9"/>
    <w:rsid w:val="00A72465"/>
    <w:rsid w:val="00A80C92"/>
    <w:rsid w:val="00A81BCB"/>
    <w:rsid w:val="00A82461"/>
    <w:rsid w:val="00A840FB"/>
    <w:rsid w:val="00A84571"/>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7A73"/>
    <w:rsid w:val="00AC7C82"/>
    <w:rsid w:val="00AD1553"/>
    <w:rsid w:val="00AD25F0"/>
    <w:rsid w:val="00AD2EBD"/>
    <w:rsid w:val="00AD461A"/>
    <w:rsid w:val="00AD6CC6"/>
    <w:rsid w:val="00AD6EAA"/>
    <w:rsid w:val="00AE008F"/>
    <w:rsid w:val="00AE04E8"/>
    <w:rsid w:val="00AE09FB"/>
    <w:rsid w:val="00AE0D01"/>
    <w:rsid w:val="00AE2056"/>
    <w:rsid w:val="00AE43EE"/>
    <w:rsid w:val="00AE74E9"/>
    <w:rsid w:val="00AF16C8"/>
    <w:rsid w:val="00AF4AAA"/>
    <w:rsid w:val="00AF54EF"/>
    <w:rsid w:val="00AF74DA"/>
    <w:rsid w:val="00B00C72"/>
    <w:rsid w:val="00B01443"/>
    <w:rsid w:val="00B024D6"/>
    <w:rsid w:val="00B04CF0"/>
    <w:rsid w:val="00B070A2"/>
    <w:rsid w:val="00B0761F"/>
    <w:rsid w:val="00B10E49"/>
    <w:rsid w:val="00B11E08"/>
    <w:rsid w:val="00B145FA"/>
    <w:rsid w:val="00B2037B"/>
    <w:rsid w:val="00B23274"/>
    <w:rsid w:val="00B264D4"/>
    <w:rsid w:val="00B272A6"/>
    <w:rsid w:val="00B30856"/>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481A"/>
    <w:rsid w:val="00B75A2C"/>
    <w:rsid w:val="00B813AC"/>
    <w:rsid w:val="00B8287F"/>
    <w:rsid w:val="00B8376C"/>
    <w:rsid w:val="00B84260"/>
    <w:rsid w:val="00B86811"/>
    <w:rsid w:val="00B86CC9"/>
    <w:rsid w:val="00B8738D"/>
    <w:rsid w:val="00B91F0B"/>
    <w:rsid w:val="00B9223B"/>
    <w:rsid w:val="00B92D47"/>
    <w:rsid w:val="00B961A5"/>
    <w:rsid w:val="00BA18D5"/>
    <w:rsid w:val="00BA1FC4"/>
    <w:rsid w:val="00BA49CC"/>
    <w:rsid w:val="00BA4D1F"/>
    <w:rsid w:val="00BA7AD1"/>
    <w:rsid w:val="00BB0B9D"/>
    <w:rsid w:val="00BB1CC2"/>
    <w:rsid w:val="00BB2250"/>
    <w:rsid w:val="00BB2E89"/>
    <w:rsid w:val="00BB4F63"/>
    <w:rsid w:val="00BB744D"/>
    <w:rsid w:val="00BB7708"/>
    <w:rsid w:val="00BC0FDD"/>
    <w:rsid w:val="00BC22E0"/>
    <w:rsid w:val="00BC4AA7"/>
    <w:rsid w:val="00BC5852"/>
    <w:rsid w:val="00BD293B"/>
    <w:rsid w:val="00BD5425"/>
    <w:rsid w:val="00BD6F2F"/>
    <w:rsid w:val="00BD705F"/>
    <w:rsid w:val="00BE28ED"/>
    <w:rsid w:val="00BE55D6"/>
    <w:rsid w:val="00BE61B8"/>
    <w:rsid w:val="00BF030A"/>
    <w:rsid w:val="00BF2DD7"/>
    <w:rsid w:val="00BF2EA1"/>
    <w:rsid w:val="00BF41EE"/>
    <w:rsid w:val="00BF543F"/>
    <w:rsid w:val="00BF6902"/>
    <w:rsid w:val="00BF7421"/>
    <w:rsid w:val="00C01E2A"/>
    <w:rsid w:val="00C06E2B"/>
    <w:rsid w:val="00C07650"/>
    <w:rsid w:val="00C104DD"/>
    <w:rsid w:val="00C1331F"/>
    <w:rsid w:val="00C15275"/>
    <w:rsid w:val="00C15E31"/>
    <w:rsid w:val="00C1625D"/>
    <w:rsid w:val="00C16479"/>
    <w:rsid w:val="00C2058D"/>
    <w:rsid w:val="00C24754"/>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FF3"/>
    <w:rsid w:val="00CD7178"/>
    <w:rsid w:val="00CE2ADF"/>
    <w:rsid w:val="00CE33FC"/>
    <w:rsid w:val="00CE4B84"/>
    <w:rsid w:val="00CE74B0"/>
    <w:rsid w:val="00CF00DE"/>
    <w:rsid w:val="00CF052D"/>
    <w:rsid w:val="00CF1D7D"/>
    <w:rsid w:val="00CF2623"/>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2B01"/>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2355"/>
    <w:rsid w:val="00D52AC7"/>
    <w:rsid w:val="00D53360"/>
    <w:rsid w:val="00D53A66"/>
    <w:rsid w:val="00D54514"/>
    <w:rsid w:val="00D54935"/>
    <w:rsid w:val="00D54CA9"/>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97AC9"/>
    <w:rsid w:val="00DA2E2B"/>
    <w:rsid w:val="00DA354D"/>
    <w:rsid w:val="00DA3DE4"/>
    <w:rsid w:val="00DA69DE"/>
    <w:rsid w:val="00DB5C0A"/>
    <w:rsid w:val="00DB6DAF"/>
    <w:rsid w:val="00DC0AF1"/>
    <w:rsid w:val="00DC2393"/>
    <w:rsid w:val="00DC588B"/>
    <w:rsid w:val="00DC64BF"/>
    <w:rsid w:val="00DD0123"/>
    <w:rsid w:val="00DD13E2"/>
    <w:rsid w:val="00DD4938"/>
    <w:rsid w:val="00DD7977"/>
    <w:rsid w:val="00DE1FC5"/>
    <w:rsid w:val="00DE34FF"/>
    <w:rsid w:val="00DE4454"/>
    <w:rsid w:val="00DE44AB"/>
    <w:rsid w:val="00DF003C"/>
    <w:rsid w:val="00DF00D4"/>
    <w:rsid w:val="00DF4501"/>
    <w:rsid w:val="00DF7233"/>
    <w:rsid w:val="00DF73DC"/>
    <w:rsid w:val="00DF75B7"/>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206"/>
    <w:rsid w:val="00E42DA5"/>
    <w:rsid w:val="00E44B8D"/>
    <w:rsid w:val="00E51EF9"/>
    <w:rsid w:val="00E523B5"/>
    <w:rsid w:val="00E54816"/>
    <w:rsid w:val="00E5512E"/>
    <w:rsid w:val="00E55E60"/>
    <w:rsid w:val="00E56594"/>
    <w:rsid w:val="00E578DF"/>
    <w:rsid w:val="00E57D18"/>
    <w:rsid w:val="00E605C2"/>
    <w:rsid w:val="00E6129C"/>
    <w:rsid w:val="00E61E5F"/>
    <w:rsid w:val="00E644A0"/>
    <w:rsid w:val="00E67395"/>
    <w:rsid w:val="00E72707"/>
    <w:rsid w:val="00E72AE3"/>
    <w:rsid w:val="00E7349C"/>
    <w:rsid w:val="00E73B51"/>
    <w:rsid w:val="00E75790"/>
    <w:rsid w:val="00E80180"/>
    <w:rsid w:val="00E8129E"/>
    <w:rsid w:val="00E81A2B"/>
    <w:rsid w:val="00E81E42"/>
    <w:rsid w:val="00E82A17"/>
    <w:rsid w:val="00E83A01"/>
    <w:rsid w:val="00E861BA"/>
    <w:rsid w:val="00E9156D"/>
    <w:rsid w:val="00E91EBF"/>
    <w:rsid w:val="00E97676"/>
    <w:rsid w:val="00EA1CE1"/>
    <w:rsid w:val="00EA1F89"/>
    <w:rsid w:val="00EA21CB"/>
    <w:rsid w:val="00EB08A0"/>
    <w:rsid w:val="00EB117B"/>
    <w:rsid w:val="00EB40D6"/>
    <w:rsid w:val="00EB5CDD"/>
    <w:rsid w:val="00EB5F75"/>
    <w:rsid w:val="00EB7852"/>
    <w:rsid w:val="00EB79CD"/>
    <w:rsid w:val="00EC060D"/>
    <w:rsid w:val="00EC1B22"/>
    <w:rsid w:val="00EC2525"/>
    <w:rsid w:val="00EC4F33"/>
    <w:rsid w:val="00EC7410"/>
    <w:rsid w:val="00EC77D8"/>
    <w:rsid w:val="00EC7E6C"/>
    <w:rsid w:val="00ED3C5C"/>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4E6B"/>
    <w:rsid w:val="00F1508F"/>
    <w:rsid w:val="00F16331"/>
    <w:rsid w:val="00F16803"/>
    <w:rsid w:val="00F22566"/>
    <w:rsid w:val="00F22963"/>
    <w:rsid w:val="00F2380A"/>
    <w:rsid w:val="00F30AEF"/>
    <w:rsid w:val="00F3229A"/>
    <w:rsid w:val="00F32406"/>
    <w:rsid w:val="00F378B2"/>
    <w:rsid w:val="00F403EA"/>
    <w:rsid w:val="00F40B51"/>
    <w:rsid w:val="00F40E4D"/>
    <w:rsid w:val="00F41DE4"/>
    <w:rsid w:val="00F41F3D"/>
    <w:rsid w:val="00F42499"/>
    <w:rsid w:val="00F42753"/>
    <w:rsid w:val="00F44DC5"/>
    <w:rsid w:val="00F44ECF"/>
    <w:rsid w:val="00F46CE7"/>
    <w:rsid w:val="00F471AE"/>
    <w:rsid w:val="00F510DB"/>
    <w:rsid w:val="00F548C1"/>
    <w:rsid w:val="00F578E5"/>
    <w:rsid w:val="00F604E0"/>
    <w:rsid w:val="00F6232F"/>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2545"/>
    <w:rsid w:val="00FA7CFC"/>
    <w:rsid w:val="00FB097C"/>
    <w:rsid w:val="00FB1D16"/>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72EA"/>
    <w:rsid w:val="00FF2475"/>
    <w:rsid w:val="00FF3477"/>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
    <w:name w:val="Unresolved Mention"/>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ido/transparencia/directorio-de-sujetos-obligado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4286F-1CB8-4A3E-980C-022596E6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2071</TotalTime>
  <Pages>38</Pages>
  <Words>6772</Words>
  <Characters>37246</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38</cp:revision>
  <cp:lastPrinted>2018-12-04T20:35:00Z</cp:lastPrinted>
  <dcterms:created xsi:type="dcterms:W3CDTF">2022-01-17T23:40:00Z</dcterms:created>
  <dcterms:modified xsi:type="dcterms:W3CDTF">2022-04-26T15:25:00Z</dcterms:modified>
</cp:coreProperties>
</file>