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siete de septiembre del dos mil veintidós. </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06699/INFOEM/IP/RR/2022</w:t>
      </w:r>
      <w:r>
        <w:rPr>
          <w:rFonts w:ascii="Palatino Linotype" w:eastAsia="Palatino Linotype" w:hAnsi="Palatino Linotype" w:cs="Palatino Linotype"/>
        </w:rPr>
        <w:t>, interpuesto por</w:t>
      </w:r>
      <w:r w:rsidR="004E73EA">
        <w:rPr>
          <w:rFonts w:ascii="Palatino Linotype" w:eastAsia="Palatino Linotype" w:hAnsi="Palatino Linotype" w:cs="Palatino Linotype"/>
          <w:b/>
        </w:rPr>
        <w:t xml:space="preserve"> XXXXXX</w:t>
      </w:r>
      <w:r>
        <w:rPr>
          <w:rFonts w:ascii="Palatino Linotype" w:eastAsia="Palatino Linotype" w:hAnsi="Palatino Linotype" w:cs="Palatino Linotype"/>
          <w:b/>
        </w:rPr>
        <w:t xml:space="preserve"> </w:t>
      </w:r>
      <w:r w:rsidR="004E73EA">
        <w:rPr>
          <w:rFonts w:ascii="Palatino Linotype" w:eastAsia="Palatino Linotype" w:hAnsi="Palatino Linotype" w:cs="Palatino Linotype"/>
          <w:b/>
        </w:rPr>
        <w:t>XXXXXXXXX</w:t>
      </w:r>
      <w:r>
        <w:rPr>
          <w:rFonts w:ascii="Palatino Linotype" w:eastAsia="Palatino Linotype" w:hAnsi="Palatino Linotype" w:cs="Palatino Linotype"/>
          <w:b/>
        </w:rPr>
        <w:t xml:space="preserve"> </w:t>
      </w:r>
      <w:r w:rsidR="004E73EA">
        <w:rPr>
          <w:rFonts w:ascii="Palatino Linotype" w:eastAsia="Palatino Linotype" w:hAnsi="Palatino Linotype" w:cs="Palatino Linotype"/>
          <w:b/>
        </w:rPr>
        <w:t>XXXXX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00195/ATIZARA/IP/2022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Atizapán de Zaragoza,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5A3DCE" w:rsidRDefault="006E4886">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5A3DCE" w:rsidRDefault="006E488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veintiocho de marzo del dos mil </w:t>
      </w:r>
      <w:proofErr w:type="gramStart"/>
      <w:r>
        <w:rPr>
          <w:rFonts w:ascii="Palatino Linotype" w:eastAsia="Palatino Linotype" w:hAnsi="Palatino Linotype" w:cs="Palatino Linotype"/>
        </w:rPr>
        <w:t>veintidós</w:t>
      </w:r>
      <w:proofErr w:type="gramEnd"/>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5A3DCE" w:rsidRDefault="006E4886">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contrato íntegro del arrendamiento de las 150 patrullas de seguridad pública, recientemente informado por el Presidente Municipal Pedro Rodríguez Villegas. Además de conocer el proceso de licitación, si fue abierto o por invitación restringida, así como las empresas que participaron y el fallo del Comité de Adquisiciones.” (Sic)</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veinticinco de abril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5A3DCE" w:rsidRDefault="006E4886">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A3DCE" w:rsidRDefault="006E4886">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Sirva el presente para hacerle llegar un cordial saludo, asimismo en atención a la solicitud de información, ingresada a través del Sistema Acceso a la Información Mexiquense (SAIMEX), a la cual le recayó el número de folio 00195/ATIZARA/IP/2021, donde fuera solicitado lo siguiente: "...Solicito el contrato íntegro del arrendamiento de las 150 patrullas de seguridad pública, recientemente informado por el Presidente Municipal Pedro Rodríguez Villegas. Además de conocer el proceso de licitación, si fue abierto o por invitación restringida, así como las empresas que participaron y el fallo del Comité de Adquisiciones..."(Sic). En respuesta a lo anterior, hago de su conocimiento que el contrato de arrendamiento de unidades vehiculares (Patrullas de Seguridad Pública), de la Administración Pública Municipal 2022-2024, así como el proceso de adjudicación respectivo y fallo de adjudicación, emitido por el Comité de Arrendamientos, Adquisiciones de Inmuebles y Enajenaciones, dicha información se encuentra clasificada en su modalidad de RESERVADA bajo el ACUERDO CIR/IV/01/22/04/2022,emitido en el punto número 4, de la Sexta Sesión Extraordinaria de fecha 22 de abril de 2022, por el Comité de Transparencia del H. Ayuntamiento de Atizapán de Zaragoza, Estado de México, el cual agrego en medio digital para su debido conocimiento. Dando así puntual respuesta a la información requerida. Atentamente Secretaría del Ayuntamiento.</w:t>
      </w:r>
    </w:p>
    <w:p w:rsidR="005A3DCE" w:rsidRDefault="006E4886">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5A3DCE" w:rsidRDefault="006E4886">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ING. KARLA IVONNE ROMERO SAUCEDO” (Sic)</w:t>
      </w:r>
    </w:p>
    <w:p w:rsidR="005A3DCE" w:rsidRDefault="005A3DCE">
      <w:pPr>
        <w:ind w:left="851" w:right="902"/>
        <w:jc w:val="both"/>
        <w:rPr>
          <w:rFonts w:ascii="Palatino Linotype" w:eastAsia="Palatino Linotype" w:hAnsi="Palatino Linotype" w:cs="Palatino Linotype"/>
          <w:i/>
          <w:sz w:val="22"/>
          <w:szCs w:val="22"/>
        </w:rPr>
      </w:pPr>
    </w:p>
    <w:p w:rsidR="005A3DCE" w:rsidRDefault="006E48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el archivo electrónico denominado: </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CIR.IV.01.22.04.2022.pdf</w:t>
        </w:r>
      </w:hyperlink>
      <w:r>
        <w:rPr>
          <w:rFonts w:ascii="Palatino Linotype" w:eastAsia="Palatino Linotype" w:hAnsi="Palatino Linotype" w:cs="Palatino Linotype"/>
        </w:rPr>
        <w:t xml:space="preserve">”, el cual contiene el acuerdo número CIR/IV/01/22/04/2022 del Comité de Transparencia del Ayuntamiento de Atizapán </w:t>
      </w:r>
      <w:r>
        <w:rPr>
          <w:rFonts w:ascii="Palatino Linotype" w:eastAsia="Palatino Linotype" w:hAnsi="Palatino Linotype" w:cs="Palatino Linotype"/>
        </w:rPr>
        <w:lastRenderedPageBreak/>
        <w:t>de Zaragoza, Estado de México, a través del cual se confirma la clasificación de información reservada la relacionada a la solicitud número 00195/ATIZARA/IP/2022.</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SAIMEX en fecha veintiséis de abril de dos mil veintidós, a través del cual expresó lo siguiente:</w:t>
      </w:r>
    </w:p>
    <w:p w:rsidR="005A3DCE" w:rsidRDefault="006E4886">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5A3DCE" w:rsidRDefault="006E4886">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“ACUERDO CIR/IV/01/22/04/2022 DEL COMITÉ DE TRANSPARENCIA DE H. AYUNTAMIENTO DE ATIZAPAN DE ZARAGOZA, ESTADO DE MEXICO, DE SOLICITUD DE CONFIRMACIÓN DE CLASIFICACIÓN DE INFORMACIÓN RESERVADA, COMO PUNTO DE ACUERDO NÚMERO 04 DE LA SEXTA SESIÓN EXTRAORDINARIA, DE FECHA 22 DE ABRIL DE 2022.” (Sic)</w:t>
      </w:r>
    </w:p>
    <w:p w:rsidR="005A3DCE" w:rsidRDefault="006E488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5A3DCE" w:rsidRDefault="006E4886">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“Clasificaron como información reservada por 3 años la solicitud realizada con folio 00195/ATIZARA/IP/2022 ya que consideran "se obstruye la prevención de los delitos y se compromete, obstaculiza y vulnera las acciones implementadas por este H. Ayuntamiento en materia de Seguridad Pública, por lo que una vez que se diera la información solicitada, se revelaría: 1) El estado de fuerza de las unidades adscritas a la Dirección de Seguridad Pública y Tránsito Municipal de Atizapán de Zaragoza. 2) Las características y equipamiento con el que cuentan las unidades adscritas a la Dirección de Seguridad Pública y Tránsito Municipal de Atizapán de Zaragoza. 3) Así como el sistema de geo-localización con el que cuentan las unidades adscritas a la Dirección de Seguridad Pública y Tránsito Municipal de Atizapán de Zaragoza." (SIC) Sin embargo, referente al numeral "1</w:t>
      </w:r>
      <w:r>
        <w:rPr>
          <w:rFonts w:ascii="Palatino Linotype" w:eastAsia="Palatino Linotype" w:hAnsi="Palatino Linotype" w:cs="Palatino Linotype"/>
          <w:i/>
          <w:color w:val="000000"/>
          <w:sz w:val="22"/>
          <w:szCs w:val="22"/>
          <w:u w:val="single"/>
        </w:rPr>
        <w:t xml:space="preserve">)", que cita el sujeto obligado, refiero que no se solicitó conocer el estado de fuerza de las unidades adscritas a la Dirección de Seguridad Pública y Tránsito Municipal de Atizapán de Zaragoza, se pidió solo el contrato de arrendamiento de 150 unidades, las cuales fueron anunciada por el propio Ayuntamiento de Atizapán de Zaragoza en el portal web oficial del gobierno atizapan.gob.mx, tal y como se aprecia en el siguiente link: </w:t>
      </w:r>
      <w:r>
        <w:rPr>
          <w:rFonts w:ascii="Palatino Linotype" w:eastAsia="Palatino Linotype" w:hAnsi="Palatino Linotype" w:cs="Palatino Linotype"/>
          <w:i/>
          <w:color w:val="000000"/>
          <w:sz w:val="22"/>
          <w:szCs w:val="22"/>
          <w:u w:val="single"/>
        </w:rPr>
        <w:lastRenderedPageBreak/>
        <w:t>https://atizapan.gob.mx/2022/03/25/refuerzan-seguridad-en-atizapan-de-zaragoza/. Por lo anterior, no se revela un estado de fuerza total, toda vez que la información requerida atañe específicamente a las 150 unidades rentadas</w:t>
      </w:r>
      <w:r>
        <w:rPr>
          <w:rFonts w:ascii="Palatino Linotype" w:eastAsia="Palatino Linotype" w:hAnsi="Palatino Linotype" w:cs="Palatino Linotype"/>
          <w:i/>
          <w:color w:val="000000"/>
          <w:sz w:val="22"/>
          <w:szCs w:val="22"/>
        </w:rPr>
        <w:t xml:space="preserve">. Respecto al numeral "2)". Conocer las características y equipamiento de los vehículos tiene un fin informativo, pues de esa forma se puede conocer si el precio de renta es acorde a lo que recibe el Ayuntamiento de Atizapán de Zaragoza. Y en cuanto al numeral </w:t>
      </w:r>
      <w:r>
        <w:rPr>
          <w:rFonts w:ascii="Palatino Linotype" w:eastAsia="Palatino Linotype" w:hAnsi="Palatino Linotype" w:cs="Palatino Linotype"/>
          <w:i/>
          <w:color w:val="000000"/>
          <w:sz w:val="22"/>
          <w:szCs w:val="22"/>
          <w:u w:val="single"/>
        </w:rPr>
        <w:t xml:space="preserve">"3)", que hacer referencia a los sistemas de </w:t>
      </w:r>
      <w:proofErr w:type="spellStart"/>
      <w:r>
        <w:rPr>
          <w:rFonts w:ascii="Palatino Linotype" w:eastAsia="Palatino Linotype" w:hAnsi="Palatino Linotype" w:cs="Palatino Linotype"/>
          <w:i/>
          <w:color w:val="000000"/>
          <w:sz w:val="22"/>
          <w:szCs w:val="22"/>
          <w:u w:val="single"/>
        </w:rPr>
        <w:t>geolocalización</w:t>
      </w:r>
      <w:proofErr w:type="spellEnd"/>
      <w:r>
        <w:rPr>
          <w:rFonts w:ascii="Palatino Linotype" w:eastAsia="Palatino Linotype" w:hAnsi="Palatino Linotype" w:cs="Palatino Linotype"/>
          <w:i/>
          <w:color w:val="000000"/>
          <w:sz w:val="22"/>
          <w:szCs w:val="22"/>
          <w:u w:val="single"/>
        </w:rPr>
        <w:t>, en la solicitud de transparencia con folio 00195/ATIZARA/IP/2022 jamás se pidió tener el dato de qué tipo de GPS tienen cada una de las patrullas o tener acceso a la plataforma que monitorea la información de su ubicación, por lo que el argumento no está fundado</w:t>
      </w:r>
      <w:r>
        <w:rPr>
          <w:rFonts w:ascii="Palatino Linotype" w:eastAsia="Palatino Linotype" w:hAnsi="Palatino Linotype" w:cs="Palatino Linotype"/>
          <w:i/>
          <w:color w:val="000000"/>
          <w:sz w:val="22"/>
          <w:szCs w:val="22"/>
        </w:rPr>
        <w:t>.” (Sic)</w:t>
      </w:r>
    </w:p>
    <w:p w:rsidR="005A3DCE" w:rsidRDefault="006E488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06699/INFOEM/IP/RR/2022,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5A3DCE" w:rsidRDefault="005A3DCE">
      <w:pPr>
        <w:spacing w:line="360" w:lineRule="auto"/>
        <w:jc w:val="both"/>
        <w:rPr>
          <w:rFonts w:ascii="Palatino Linotype" w:eastAsia="Palatino Linotype" w:hAnsi="Palatino Linotype" w:cs="Palatino Linotype"/>
        </w:rPr>
      </w:pPr>
    </w:p>
    <w:p w:rsidR="005A3DCE" w:rsidRDefault="006E48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veintinueve de abril de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en que se actúa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omiso en presentar alegatos o manifestación alguna.</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seis de mayo del año dos mil veintidós, remitió el archivo electrónico siguiente:</w:t>
      </w:r>
    </w:p>
    <w:p w:rsidR="005A3DCE" w:rsidRDefault="006E4886">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S.H.A.2109.2022.pdf</w:t>
        </w:r>
      </w:hyperlink>
      <w:r>
        <w:rPr>
          <w:rFonts w:ascii="Palatino Linotype" w:eastAsia="Palatino Linotype" w:hAnsi="Palatino Linotype" w:cs="Palatino Linotype"/>
        </w:rPr>
        <w:t xml:space="preserve">”, por medio del cual el Coordinador del Patrimonio Municipal en lo medular reitera la reserva de la información requerida en la solicitud de información pública número </w:t>
      </w:r>
      <w:r>
        <w:rPr>
          <w:rFonts w:ascii="Palatino Linotype" w:eastAsia="Palatino Linotype" w:hAnsi="Palatino Linotype" w:cs="Palatino Linotype"/>
          <w:b/>
        </w:rPr>
        <w:t xml:space="preserve">00195/ATIZARA/IP/2022, </w:t>
      </w:r>
      <w:r>
        <w:rPr>
          <w:rFonts w:ascii="Palatino Linotype" w:eastAsia="Palatino Linotype" w:hAnsi="Palatino Linotype" w:cs="Palatino Linotype"/>
        </w:rPr>
        <w:t>en términos del acuerdo número CIR/IV/01/22/04/2022.</w:t>
      </w:r>
    </w:p>
    <w:p w:rsidR="005A3DCE" w:rsidRDefault="005A3DC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rsidR="005A3DCE" w:rsidRDefault="006E4886">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0">
        <w:r>
          <w:rPr>
            <w:rFonts w:ascii="Palatino Linotype" w:eastAsia="Palatino Linotype" w:hAnsi="Palatino Linotype" w:cs="Palatino Linotype"/>
          </w:rPr>
          <w:t>CIR.IV.01.22.04.2022.pdf</w:t>
        </w:r>
      </w:hyperlink>
      <w:r>
        <w:rPr>
          <w:rFonts w:ascii="Palatino Linotype" w:eastAsia="Palatino Linotype" w:hAnsi="Palatino Linotype" w:cs="Palatino Linotype"/>
        </w:rPr>
        <w:t xml:space="preserve">”, el cual corresponde al mismo acuerdo de reserva remitido en respuesta. </w:t>
      </w:r>
    </w:p>
    <w:p w:rsidR="005A3DCE" w:rsidRDefault="005A3DC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rsidR="005A3DCE" w:rsidRDefault="006E4886">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cuales, se determinó poner a la vista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dieciocho de marzo del año en curso, en términos de la fracción III del artículo 185 de la Ley de Transparencia y Acceso a la Información Pública del Estado de México y Municipios; para que en el término de tres días manifestara lo que a su derecho convenga respecto de la modificación a la falta de respuesta; sin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hiciera manifestación alguna</w:t>
      </w:r>
    </w:p>
    <w:p w:rsidR="005A3DCE" w:rsidRDefault="005A3DC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rsidR="005A3DCE" w:rsidRDefault="006E4886">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diecisiete de agosto del año dos mil veintidós, con fundamento en el artículo 181, párrafo tercero de la Ley de Transparencia y Acceso a la Información Pública del Estado de México y Municipios, se acordó la ampliación del plazo para su resolución.</w:t>
      </w: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5A3DCE" w:rsidRDefault="005A3DCE">
      <w:pPr>
        <w:spacing w:line="360" w:lineRule="auto"/>
        <w:jc w:val="both"/>
        <w:rPr>
          <w:rFonts w:ascii="Palatino Linotype" w:eastAsia="Palatino Linotype" w:hAnsi="Palatino Linotype" w:cs="Palatino Linotype"/>
        </w:rPr>
      </w:pPr>
    </w:p>
    <w:p w:rsidR="005A3DCE" w:rsidRDefault="006E488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5A3DCE" w:rsidRDefault="005A3DCE">
      <w:pPr>
        <w:spacing w:line="360" w:lineRule="auto"/>
        <w:ind w:left="927"/>
        <w:jc w:val="both"/>
        <w:rPr>
          <w:rFonts w:ascii="Palatino Linotype" w:eastAsia="Palatino Linotype" w:hAnsi="Palatino Linotype" w:cs="Palatino Linotype"/>
        </w:rPr>
      </w:pPr>
    </w:p>
    <w:p w:rsidR="005A3DCE" w:rsidRDefault="006E488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5A3DCE" w:rsidRDefault="005A3DCE">
      <w:pPr>
        <w:spacing w:line="360" w:lineRule="auto"/>
        <w:jc w:val="both"/>
        <w:rPr>
          <w:rFonts w:ascii="Palatino Linotype" w:eastAsia="Palatino Linotype" w:hAnsi="Palatino Linotype" w:cs="Palatino Linotype"/>
        </w:rPr>
      </w:pPr>
    </w:p>
    <w:p w:rsidR="005A3DCE" w:rsidRDefault="006E488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5A3DCE" w:rsidRDefault="005A3DCE">
      <w:pPr>
        <w:spacing w:line="360" w:lineRule="auto"/>
        <w:ind w:left="708"/>
        <w:rPr>
          <w:rFonts w:ascii="Palatino Linotype" w:eastAsia="Palatino Linotype" w:hAnsi="Palatino Linotype" w:cs="Palatino Linotype"/>
        </w:rPr>
      </w:pPr>
    </w:p>
    <w:p w:rsidR="005A3DCE" w:rsidRDefault="006E4886">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5A3DCE" w:rsidRDefault="005A3DCE">
      <w:pPr>
        <w:spacing w:line="360" w:lineRule="auto"/>
        <w:jc w:val="both"/>
        <w:rPr>
          <w:rFonts w:ascii="Palatino Linotype" w:eastAsia="Palatino Linotype" w:hAnsi="Palatino Linotype" w:cs="Palatino Linotype"/>
          <w:b/>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5A3DCE" w:rsidRDefault="005A3DC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rPr>
      </w:pPr>
    </w:p>
    <w:p w:rsidR="005A3DCE" w:rsidRDefault="006E488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En fecha treinta y uno de agosto de dos mil veintidós la Comisionada ponente determinó el cierre de instrucción en términos de la fracción VI del artículo 185 de la Ley de Transparencia y Acceso a la Información Pública del Estado de México y Municipios.</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5A3DCE" w:rsidRDefault="006E4886">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5A3DCE" w:rsidRDefault="006E4886">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veinticinco de abril del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veintiséis del mismo mes y año, esto es al primer día hábil siguiente de aquel en que tuvo </w:t>
      </w:r>
      <w:r>
        <w:rPr>
          <w:rFonts w:ascii="Palatino Linotype" w:eastAsia="Palatino Linotype" w:hAnsi="Palatino Linotype" w:cs="Palatino Linotype"/>
        </w:rPr>
        <w:lastRenderedPageBreak/>
        <w:t>conocimiento de la respuesta, evidenciándose que la interposición del recurso se encuentra dentro de los márgenes temporales previstos en el citado precepto legal.</w:t>
      </w:r>
    </w:p>
    <w:p w:rsidR="005A3DCE" w:rsidRDefault="006E4886">
      <w:pPr>
        <w:pBdr>
          <w:top w:val="nil"/>
          <w:left w:val="nil"/>
          <w:bottom w:val="nil"/>
          <w:right w:val="nil"/>
          <w:between w:val="nil"/>
        </w:pBdr>
        <w:spacing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II de la ley de la materia, que a la letra dice:</w:t>
      </w:r>
    </w:p>
    <w:p w:rsidR="005A3DCE" w:rsidRDefault="006E4886">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5A3DCE" w:rsidRDefault="006E4886">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A3DCE" w:rsidRDefault="006E4886">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clasificación de la información…” (Sic)</w:t>
      </w:r>
    </w:p>
    <w:p w:rsidR="005A3DCE" w:rsidRDefault="005A3DCE">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5A3DCE" w:rsidRDefault="006E488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5A3DCE" w:rsidRDefault="006E488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A3DCE" w:rsidRDefault="006E488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A3DCE" w:rsidRDefault="006E488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5A3DCE" w:rsidRDefault="005A3DCE">
      <w:pPr>
        <w:spacing w:line="360" w:lineRule="auto"/>
        <w:jc w:val="both"/>
        <w:rPr>
          <w:rFonts w:ascii="Palatino Linotype" w:eastAsia="Palatino Linotype" w:hAnsi="Palatino Linotype" w:cs="Palatino Linotype"/>
        </w:rPr>
      </w:pPr>
    </w:p>
    <w:p w:rsidR="005A3DCE" w:rsidRDefault="006E488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A3DCE" w:rsidRDefault="005A3DCE">
      <w:pPr>
        <w:ind w:left="567" w:right="758"/>
        <w:jc w:val="both"/>
        <w:rPr>
          <w:rFonts w:ascii="Palatino Linotype" w:eastAsia="Palatino Linotype" w:hAnsi="Palatino Linotype" w:cs="Palatino Linotype"/>
          <w:i/>
          <w:sz w:val="22"/>
          <w:szCs w:val="22"/>
        </w:rPr>
      </w:pPr>
    </w:p>
    <w:p w:rsidR="005A3DCE" w:rsidRDefault="006E488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5A3DCE" w:rsidRDefault="005A3DCE">
      <w:pPr>
        <w:spacing w:line="360" w:lineRule="auto"/>
        <w:ind w:right="-93"/>
        <w:jc w:val="both"/>
        <w:rPr>
          <w:rFonts w:ascii="Palatino Linotype" w:eastAsia="Palatino Linotype" w:hAnsi="Palatino Linotype" w:cs="Palatino Linotype"/>
          <w:color w:val="000000"/>
        </w:rPr>
      </w:pPr>
    </w:p>
    <w:p w:rsidR="005A3DCE" w:rsidRDefault="006E4886">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5A3DCE" w:rsidRDefault="005A3DCE">
      <w:pPr>
        <w:spacing w:line="360" w:lineRule="auto"/>
        <w:ind w:right="-93"/>
        <w:jc w:val="both"/>
        <w:rPr>
          <w:rFonts w:ascii="Palatino Linotype" w:eastAsia="Palatino Linotype" w:hAnsi="Palatino Linotype" w:cs="Palatino Linotype"/>
          <w:color w:val="000000"/>
        </w:rPr>
      </w:pPr>
    </w:p>
    <w:p w:rsidR="005A3DCE" w:rsidRDefault="006E4886">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5A3DCE" w:rsidRDefault="005A3DCE">
      <w:pPr>
        <w:ind w:left="851" w:right="850"/>
        <w:jc w:val="both"/>
        <w:rPr>
          <w:rFonts w:ascii="Palatino Linotype" w:eastAsia="Palatino Linotype" w:hAnsi="Palatino Linotype" w:cs="Palatino Linotype"/>
          <w:color w:val="000000"/>
        </w:rPr>
      </w:pPr>
    </w:p>
    <w:p w:rsidR="005A3DCE" w:rsidRDefault="006E4886">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3DCE" w:rsidRDefault="006E4886">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5A3DCE" w:rsidRDefault="006E4886">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5A3DCE" w:rsidRDefault="006E4886">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5A3DCE" w:rsidRDefault="006E4886">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5A3DCE" w:rsidRDefault="005A3DCE">
      <w:pPr>
        <w:spacing w:line="360" w:lineRule="auto"/>
        <w:ind w:right="-93"/>
        <w:jc w:val="both"/>
        <w:rPr>
          <w:rFonts w:ascii="Palatino Linotype" w:eastAsia="Palatino Linotype" w:hAnsi="Palatino Linotype" w:cs="Palatino Linotype"/>
          <w:color w:val="000000"/>
        </w:rPr>
      </w:pPr>
    </w:p>
    <w:p w:rsidR="005A3DCE" w:rsidRDefault="006E488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A3DCE" w:rsidRDefault="005A3DCE">
      <w:pPr>
        <w:spacing w:line="360" w:lineRule="auto"/>
        <w:jc w:val="both"/>
        <w:rPr>
          <w:rFonts w:ascii="Palatino Linotype" w:eastAsia="Palatino Linotype" w:hAnsi="Palatino Linotype" w:cs="Palatino Linotype"/>
          <w:color w:val="000000"/>
        </w:rPr>
      </w:pPr>
    </w:p>
    <w:p w:rsidR="005A3DCE" w:rsidRDefault="006E488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rsidR="005A3DCE" w:rsidRDefault="005A3DCE">
      <w:pPr>
        <w:spacing w:line="360" w:lineRule="auto"/>
        <w:ind w:right="49"/>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A3DCE" w:rsidRDefault="005A3DCE">
      <w:pPr>
        <w:ind w:left="851" w:right="899"/>
        <w:jc w:val="both"/>
        <w:rPr>
          <w:rFonts w:ascii="Palatino Linotype" w:eastAsia="Palatino Linotype" w:hAnsi="Palatino Linotype" w:cs="Palatino Linotype"/>
          <w:i/>
          <w:sz w:val="22"/>
          <w:szCs w:val="22"/>
        </w:rPr>
      </w:pPr>
    </w:p>
    <w:p w:rsidR="005A3DCE" w:rsidRDefault="006E48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5A3DCE" w:rsidRDefault="006E48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A3DCE" w:rsidRDefault="006E4886">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5A3DCE" w:rsidRDefault="005A3DCE">
      <w:pPr>
        <w:ind w:left="851" w:right="899"/>
        <w:jc w:val="both"/>
        <w:rPr>
          <w:rFonts w:ascii="Palatino Linotype" w:eastAsia="Palatino Linotype" w:hAnsi="Palatino Linotype" w:cs="Palatino Linotype"/>
          <w:sz w:val="22"/>
          <w:szCs w:val="22"/>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rsidR="005A3DCE" w:rsidRDefault="005A3DCE">
      <w:pPr>
        <w:ind w:left="851" w:right="899"/>
        <w:jc w:val="both"/>
        <w:rPr>
          <w:rFonts w:ascii="Palatino Linotype" w:eastAsia="Palatino Linotype" w:hAnsi="Palatino Linotype" w:cs="Palatino Linotype"/>
        </w:rPr>
      </w:pPr>
    </w:p>
    <w:p w:rsidR="005A3DCE" w:rsidRDefault="006E488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5A3DCE" w:rsidRDefault="006E48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A3DCE" w:rsidRDefault="006E48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A3DCE" w:rsidRDefault="006E48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5A3DCE" w:rsidRDefault="006E488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5A3DCE" w:rsidRDefault="006E488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5A3DCE" w:rsidRDefault="005A3DCE">
      <w:pPr>
        <w:spacing w:line="360" w:lineRule="auto"/>
        <w:ind w:right="-93"/>
        <w:jc w:val="both"/>
        <w:rPr>
          <w:rFonts w:ascii="Palatino Linotype" w:eastAsia="Palatino Linotype" w:hAnsi="Palatino Linotype" w:cs="Palatino Linotype"/>
          <w:color w:val="000000"/>
        </w:rPr>
      </w:pPr>
    </w:p>
    <w:p w:rsidR="005A3DCE" w:rsidRDefault="006E4886">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del análisis de la solicitud de información motivo del recurso de revisión que ahora se resuelve, se advierte que el particular requirió al </w:t>
      </w:r>
      <w:r>
        <w:rPr>
          <w:rFonts w:ascii="Palatino Linotype" w:eastAsia="Palatino Linotype" w:hAnsi="Palatino Linotype" w:cs="Palatino Linotype"/>
          <w:b/>
          <w:color w:val="000000"/>
        </w:rPr>
        <w:t>Ayuntamiento de Atizapán de Zaragoza</w:t>
      </w:r>
      <w:r>
        <w:rPr>
          <w:rFonts w:ascii="Palatino Linotype" w:eastAsia="Palatino Linotype" w:hAnsi="Palatino Linotype" w:cs="Palatino Linotype"/>
          <w:color w:val="000000"/>
        </w:rPr>
        <w:t>, lo siguiente:</w:t>
      </w:r>
    </w:p>
    <w:p w:rsidR="005A3DCE" w:rsidRDefault="006E4886">
      <w:pPr>
        <w:numPr>
          <w:ilvl w:val="0"/>
          <w:numId w:val="1"/>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contrato íntegro del arrendamiento de las 150 patrullas de seguridad pública, recientemente informado por el Presidente Municipal Pedro Rodríguez Villegas. </w:t>
      </w:r>
    </w:p>
    <w:p w:rsidR="005A3DCE" w:rsidRDefault="006E4886">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de ese contrato:</w:t>
      </w:r>
    </w:p>
    <w:p w:rsidR="005A3DCE" w:rsidRDefault="006E4886">
      <w:pPr>
        <w:numPr>
          <w:ilvl w:val="0"/>
          <w:numId w:val="1"/>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Conocer el proceso de licitación, si fue abierto o por invitación restringida, así como las empresas que participaron y el fallo del Comité de Adquisiciones.</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sentido de que el contrato de arrendamiento de unidades vehiculares (Patrullas de Seguridad Pública), de la Administración Pública Municipal 2022-2024, así como el proceso de adjudicación respectivo y fallo de adjudicación, emitido por el Comité de Arrendamientos, Adquisiciones de Inmuebles y Enajenaciones, es información se encuentra clasificada en su modalidad de RESERVADA bajo el ACUERDO CIR/IV/01/22/04/2022.</w:t>
      </w:r>
    </w:p>
    <w:p w:rsidR="005A3DCE" w:rsidRDefault="006E4886">
      <w:pPr>
        <w:shd w:val="clear" w:color="auto" w:fill="FFFFFF"/>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No conforme el particular con la respuesta, interpone el recurso de revisión que se resuelve, en lo medular por clasificación de la información como reservada, ya que consideró, sobre el punto 1 “</w:t>
      </w:r>
      <w:r>
        <w:rPr>
          <w:rFonts w:ascii="Palatino Linotype" w:eastAsia="Palatino Linotype" w:hAnsi="Palatino Linotype" w:cs="Palatino Linotype"/>
          <w:i/>
        </w:rPr>
        <w:t xml:space="preserve">no se solicitó conocer el estado de fuerza de las unidades adscritas a la Dirección de Seguridad Pública y Tránsito Municipal de Atizapán de Zaragoza, </w:t>
      </w:r>
      <w:r>
        <w:rPr>
          <w:rFonts w:ascii="Palatino Linotype" w:eastAsia="Palatino Linotype" w:hAnsi="Palatino Linotype" w:cs="Palatino Linotype"/>
          <w:i/>
          <w:u w:val="single"/>
        </w:rPr>
        <w:t>se pidió solo el contrato de arrendamiento de 150 unidades, las cuales fueron anunciada por el propio Ayuntamiento de Atizapán de Zaragoza en el portal web oficial del gobierno atizapan.gob.mx, tal y como se aprecia en el siguiente link: https://atizapan.gob.mx/2022/03/25/refuerzan-seguridad-en-atizapan-de-zaragoza/.</w:t>
      </w:r>
      <w:r>
        <w:rPr>
          <w:rFonts w:ascii="Palatino Linotype" w:eastAsia="Palatino Linotype" w:hAnsi="Palatino Linotype" w:cs="Palatino Linotype"/>
          <w:i/>
        </w:rPr>
        <w:t xml:space="preserve"> Por lo anterior, no se revela un estado de fuerza total, toda vez que la información requerida atañe específicamente a las 150 unidades rentadas.” (Sic) </w:t>
      </w:r>
    </w:p>
    <w:p w:rsidR="005A3DCE" w:rsidRDefault="006E4886">
      <w:pPr>
        <w:shd w:val="clear" w:color="auto" w:fill="FFFFFF"/>
        <w:spacing w:before="240" w:after="24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u w:val="single"/>
        </w:rPr>
        <w:t>Respecto de las características y equipamiento de los vehículos, punto 2, consideró que es información pública ya que tienen un fin informativo “</w:t>
      </w:r>
      <w:r>
        <w:rPr>
          <w:rFonts w:ascii="Palatino Linotype" w:eastAsia="Palatino Linotype" w:hAnsi="Palatino Linotype" w:cs="Palatino Linotype"/>
          <w:i/>
          <w:u w:val="single"/>
        </w:rPr>
        <w:t xml:space="preserve">pues de esa forma se </w:t>
      </w:r>
      <w:r>
        <w:rPr>
          <w:rFonts w:ascii="Palatino Linotype" w:eastAsia="Palatino Linotype" w:hAnsi="Palatino Linotype" w:cs="Palatino Linotype"/>
          <w:i/>
          <w:u w:val="single"/>
        </w:rPr>
        <w:lastRenderedPageBreak/>
        <w:t>puede conocer si el precio de renta es acorde a lo que recibe el Ayuntamiento de Atizapán de Zaragoza” (Sic)</w:t>
      </w:r>
    </w:p>
    <w:p w:rsidR="005A3DCE" w:rsidRDefault="006E4886">
      <w:pPr>
        <w:shd w:val="clear" w:color="auto" w:fill="FFFFFF"/>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Sobre el punto tres que indica sobre “el sistema de geo-localización con el que cuentan las unidades adscritas a la Dirección de Seguridad Pública y Tránsito Municipal de Atizapán de Zaragoza”, señaló que “</w:t>
      </w:r>
      <w:r>
        <w:rPr>
          <w:rFonts w:ascii="Palatino Linotype" w:eastAsia="Palatino Linotype" w:hAnsi="Palatino Linotype" w:cs="Palatino Linotype"/>
          <w:i/>
        </w:rPr>
        <w:t>jamás se pidió tener el dato de qué tipo de GPS tienen cada una de las patrullas o tener acceso a la plataforma que monitorea la información de su ubicación, por lo que el argumento no está fundado.”(Sic)</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del cual ratificó su respuesta inicial.</w:t>
      </w:r>
    </w:p>
    <w:p w:rsidR="005A3DCE" w:rsidRDefault="006E488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parcialmente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ind w:right="49"/>
        <w:jc w:val="both"/>
      </w:pPr>
      <w:r>
        <w:rPr>
          <w:rFonts w:ascii="Palatino Linotype" w:eastAsia="Palatino Linotype" w:hAnsi="Palatino Linotype" w:cs="Palatino Linotype"/>
        </w:rPr>
        <w:t xml:space="preserve">Antes que nada, debe </w:t>
      </w:r>
      <w:r>
        <w:rPr>
          <w:rFonts w:ascii="Palatino Linotype" w:eastAsia="Palatino Linotype" w:hAnsi="Palatino Linotype" w:cs="Palatino Linotype"/>
          <w:color w:val="222222"/>
        </w:rPr>
        <w:t xml:space="preserve">precisarse </w:t>
      </w:r>
      <w:r>
        <w:rPr>
          <w:rFonts w:ascii="Palatino Linotype" w:eastAsia="Palatino Linotype" w:hAnsi="Palatino Linotype" w:cs="Palatino Linotype"/>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w:t>
      </w:r>
      <w:r>
        <w:rPr>
          <w:rFonts w:ascii="Palatino Linotype" w:eastAsia="Palatino Linotype" w:hAnsi="Palatino Linotype" w:cs="Palatino Linotype"/>
        </w:rPr>
        <w:lastRenderedPageBreak/>
        <w:t xml:space="preserve">que, considerando la fecha de la solicitud, se determina que la información requerida es la vigente a la solicitud de información; es decir, al veintiocho de marzo del año dos mil veintidós, </w:t>
      </w:r>
      <w:r>
        <w:rPr>
          <w:rFonts w:ascii="Palatino Linotype" w:eastAsia="Palatino Linotype" w:hAnsi="Palatino Linotype" w:cs="Palatino Linotype"/>
          <w:color w:val="000000"/>
        </w:rPr>
        <w:t>discernimiento que encuentra apoyado en los Criterios 1/2010 y 2/2010,  emitidos por el “Comité de Acceso a la Información y Protección de Datos personales” de la Suprema Corte de Justicia de la Nación, que disponen: </w:t>
      </w:r>
    </w:p>
    <w:p w:rsidR="005A3DCE" w:rsidRDefault="005A3DCE"/>
    <w:p w:rsidR="005A3DCE" w:rsidRDefault="006E4886">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Criterio 1/2010</w:t>
      </w:r>
    </w:p>
    <w:p w:rsidR="005A3DCE" w:rsidRDefault="006E4886">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rsidR="005A3DCE" w:rsidRDefault="006E4886">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5A3DCE" w:rsidRDefault="006E4886">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w:t>
      </w:r>
    </w:p>
    <w:p w:rsidR="005A3DCE" w:rsidRDefault="006E4886">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Criterio 2/2010.</w:t>
      </w:r>
    </w:p>
    <w:p w:rsidR="005A3DCE" w:rsidRDefault="006E4886">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rsidR="005A3DCE" w:rsidRDefault="006E4886">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5A3DCE" w:rsidRDefault="006E4886">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votos.”(Sic)</w:t>
      </w:r>
    </w:p>
    <w:p w:rsidR="005A3DCE" w:rsidRDefault="005A3DCE">
      <w:pPr>
        <w:spacing w:before="240"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se debe resaltar que con las manifestaciones hechas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proporcionada en el SAIMEX, éste no niega contar con la información solicitada por el recurrente, sino por el contrario, asume que la tiene al hacer la reserva de la información solicitada, por lo cual, la competencia del Ayuntamiento de Atizapán de Zaragoza para generar la información solicitada, en el caso concreto, se obvia.</w:t>
      </w:r>
    </w:p>
    <w:p w:rsidR="005A3DCE" w:rsidRDefault="005A3DCE">
      <w:pPr>
        <w:spacing w:line="360" w:lineRule="auto"/>
        <w:jc w:val="both"/>
        <w:rPr>
          <w:rFonts w:ascii="Palatino Linotype" w:eastAsia="Palatino Linotype" w:hAnsi="Palatino Linotype" w:cs="Palatino Linotype"/>
        </w:rPr>
      </w:pPr>
    </w:p>
    <w:p w:rsidR="005A3DCE" w:rsidRDefault="006E4886">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lo anterior conforme al criterio 29/2010 del Instituto Nacional de Transparencia, Acceso a la Información Pública y Protección de Datos Personales, que señala:</w:t>
      </w: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w:t>
      </w:r>
      <w:r>
        <w:rPr>
          <w:rFonts w:ascii="Palatino Linotype" w:eastAsia="Palatino Linotype" w:hAnsi="Palatino Linotype" w:cs="Palatino Linotype"/>
          <w:i/>
          <w:color w:val="000000"/>
          <w:sz w:val="22"/>
          <w:szCs w:val="22"/>
        </w:rPr>
        <w:lastRenderedPageBreak/>
        <w:t>mientras que la inexistencia conlleva la ausencia de los mismos en los archivos de la dependencia o entidad de que se trate.</w:t>
      </w: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Expedientes:</w:t>
      </w: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4734/07       Pemex Exploración y Producción – Juan Pablo Guerrero </w:t>
      </w:r>
      <w:proofErr w:type="spellStart"/>
      <w:r>
        <w:rPr>
          <w:rFonts w:ascii="Palatino Linotype" w:eastAsia="Palatino Linotype" w:hAnsi="Palatino Linotype" w:cs="Palatino Linotype"/>
          <w:i/>
          <w:color w:val="000000"/>
          <w:sz w:val="22"/>
          <w:szCs w:val="22"/>
        </w:rPr>
        <w:t>Amparán</w:t>
      </w:r>
      <w:proofErr w:type="spellEnd"/>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2936/08       Comisión Federal de Telecomunicaciones - Alonso Gómez-Robledo</w:t>
      </w: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Verduzco</w:t>
      </w: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4781/09       Comisión  Nacional  de  Libros  de  Texto  Gratuitos  -  Jacqueline</w:t>
      </w: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proofErr w:type="spellStart"/>
      <w:r>
        <w:rPr>
          <w:rFonts w:ascii="Palatino Linotype" w:eastAsia="Palatino Linotype" w:hAnsi="Palatino Linotype" w:cs="Palatino Linotype"/>
          <w:i/>
          <w:color w:val="000000"/>
          <w:sz w:val="22"/>
          <w:szCs w:val="22"/>
        </w:rPr>
        <w:t>Peschard</w:t>
      </w:r>
      <w:proofErr w:type="spellEnd"/>
      <w:r>
        <w:rPr>
          <w:rFonts w:ascii="Palatino Linotype" w:eastAsia="Palatino Linotype" w:hAnsi="Palatino Linotype" w:cs="Palatino Linotype"/>
          <w:i/>
          <w:color w:val="000000"/>
          <w:sz w:val="22"/>
          <w:szCs w:val="22"/>
        </w:rPr>
        <w:t xml:space="preserve"> Mariscal</w:t>
      </w:r>
    </w:p>
    <w:p w:rsidR="005A3DCE" w:rsidRDefault="005A3DCE">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5434/09       Administración  Portuaria  Integral  de  Veracruz,  S.A.  </w:t>
      </w:r>
      <w:proofErr w:type="gramStart"/>
      <w:r>
        <w:rPr>
          <w:rFonts w:ascii="Palatino Linotype" w:eastAsia="Palatino Linotype" w:hAnsi="Palatino Linotype" w:cs="Palatino Linotype"/>
          <w:i/>
          <w:color w:val="000000"/>
          <w:sz w:val="22"/>
          <w:szCs w:val="22"/>
        </w:rPr>
        <w:t>de</w:t>
      </w:r>
      <w:proofErr w:type="gramEnd"/>
      <w:r>
        <w:rPr>
          <w:rFonts w:ascii="Palatino Linotype" w:eastAsia="Palatino Linotype" w:hAnsi="Palatino Linotype" w:cs="Palatino Linotype"/>
          <w:i/>
          <w:color w:val="000000"/>
          <w:sz w:val="22"/>
          <w:szCs w:val="22"/>
        </w:rPr>
        <w:t xml:space="preserve">  C.V.  - Jacqueline </w:t>
      </w:r>
      <w:proofErr w:type="spellStart"/>
      <w:r>
        <w:rPr>
          <w:rFonts w:ascii="Palatino Linotype" w:eastAsia="Palatino Linotype" w:hAnsi="Palatino Linotype" w:cs="Palatino Linotype"/>
          <w:i/>
          <w:color w:val="000000"/>
          <w:sz w:val="22"/>
          <w:szCs w:val="22"/>
        </w:rPr>
        <w:t>Peschard</w:t>
      </w:r>
      <w:proofErr w:type="spellEnd"/>
      <w:r>
        <w:rPr>
          <w:rFonts w:ascii="Palatino Linotype" w:eastAsia="Palatino Linotype" w:hAnsi="Palatino Linotype" w:cs="Palatino Linotype"/>
          <w:i/>
          <w:color w:val="000000"/>
          <w:sz w:val="22"/>
          <w:szCs w:val="22"/>
        </w:rPr>
        <w:t xml:space="preserve"> Mariscal</w:t>
      </w:r>
    </w:p>
    <w:p w:rsidR="005A3DCE" w:rsidRDefault="006E4886">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384/10         Instituto Mexicano del Seguro Social - Jacqueline </w:t>
      </w:r>
      <w:proofErr w:type="spellStart"/>
      <w:r>
        <w:rPr>
          <w:rFonts w:ascii="Palatino Linotype" w:eastAsia="Palatino Linotype" w:hAnsi="Palatino Linotype" w:cs="Palatino Linotype"/>
          <w:i/>
          <w:color w:val="000000"/>
          <w:sz w:val="22"/>
          <w:szCs w:val="22"/>
        </w:rPr>
        <w:t>Peschard</w:t>
      </w:r>
      <w:proofErr w:type="spellEnd"/>
      <w:r>
        <w:rPr>
          <w:rFonts w:ascii="Palatino Linotype" w:eastAsia="Palatino Linotype" w:hAnsi="Palatino Linotype" w:cs="Palatino Linotype"/>
          <w:i/>
          <w:color w:val="000000"/>
          <w:sz w:val="22"/>
          <w:szCs w:val="22"/>
        </w:rPr>
        <w:t xml:space="preserve"> Mariscal” (Sic)</w:t>
      </w:r>
    </w:p>
    <w:p w:rsidR="005A3DCE" w:rsidRDefault="005A3DC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rsidR="005A3DCE" w:rsidRDefault="006E4886">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Señalado lo anterior se procede analizar la reserva de la información hecha valer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analizado el acuerdo de reserva remitido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se advierte que el mismo no cumple con los requisitos establecidos por la Ley de Transparencia y Acceso a la Información Pública del Estado de México y Municipios, para la reserva de la información, ya que en la misma Ley en cita, define como información de interés público, a aquella que resulta relevante o beneficiosa para la sociedad y no simplemente de interés individual, cuya divulgación resulta útil para que el público comprenda las actividades que llevan a cabo los sujetos obligados, definiendo también como </w:t>
      </w:r>
      <w:r>
        <w:rPr>
          <w:rFonts w:ascii="Palatino Linotype" w:eastAsia="Palatino Linotype" w:hAnsi="Palatino Linotype" w:cs="Palatino Linotype"/>
          <w:b/>
        </w:rPr>
        <w:t>información reservada a la información pública clasificada con este carácter de manera temporal por las disposiciones de la Ley de la Materia, cuya divulgación puede causar daños a la seguridad pública</w:t>
      </w:r>
      <w:r>
        <w:rPr>
          <w:rFonts w:ascii="Palatino Linotype" w:eastAsia="Palatino Linotype" w:hAnsi="Palatino Linotype" w:cs="Palatino Linotype"/>
        </w:rPr>
        <w:t xml:space="preserve">, y como información confidencial, los secretos bancario, fiduciario, industrial, comercial, fiscal, bursátil y postal, cuya titularidad corresponda a particulares, </w:t>
      </w:r>
      <w:r>
        <w:rPr>
          <w:rFonts w:ascii="Palatino Linotype" w:eastAsia="Palatino Linotype" w:hAnsi="Palatino Linotype" w:cs="Palatino Linotype"/>
        </w:rPr>
        <w:lastRenderedPageBreak/>
        <w:t>sujetos de derecho internacional o sujetos obligados cuando no involucren el ejercicio de recursos públicos.</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misma norma referida, considera en su artículo 140 que el acceso a la información pública será restringido excepcionalmente por razones de interés público, cuando esta sea clasificada </w:t>
      </w:r>
      <w:r>
        <w:rPr>
          <w:rFonts w:ascii="Palatino Linotype" w:eastAsia="Palatino Linotype" w:hAnsi="Palatino Linotype" w:cs="Palatino Linotype"/>
          <w:b/>
        </w:rPr>
        <w:t>como reservada porque se comprometa la seguridad pública</w:t>
      </w:r>
      <w:r>
        <w:rPr>
          <w:rFonts w:ascii="Palatino Linotype" w:eastAsia="Palatino Linotype" w:hAnsi="Palatino Linotype" w:cs="Palatino Linotype"/>
        </w:rPr>
        <w:t>, así como aquella que pueda causar daño u obstruya la prevención o persecución de los delitos, la impartición de justicia, se ponga en riesgo la vida o la seguridad de una persona, entre otras.</w:t>
      </w:r>
    </w:p>
    <w:p w:rsidR="005A3DCE" w:rsidRDefault="006E488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con las implicaciones anteriores, cabe considerar que la </w:t>
      </w:r>
      <w:r>
        <w:rPr>
          <w:rFonts w:ascii="Palatino Linotype" w:eastAsia="Palatino Linotype" w:hAnsi="Palatino Linotype" w:cs="Palatino Linotype"/>
          <w:i/>
        </w:rPr>
        <w:t>clasificación</w:t>
      </w:r>
      <w:r>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interior de los sujetos obligados, siendo éste un Cuerpo Colegiado que se integra para resolver sobre la información que debe clasificarse, así como para atender y resolver los requerimientos de las Unidades de Transparencia y del Instituto.</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w:t>
      </w:r>
      <w:r>
        <w:rPr>
          <w:rFonts w:ascii="Palatino Linotype" w:eastAsia="Palatino Linotype" w:hAnsi="Palatino Linotype" w:cs="Palatino Linotype"/>
        </w:rPr>
        <w:lastRenderedPageBreak/>
        <w:t>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rsidR="005A3DCE" w:rsidRDefault="005A3DCE">
      <w:pPr>
        <w:spacing w:line="360" w:lineRule="auto"/>
        <w:jc w:val="both"/>
        <w:rPr>
          <w:rFonts w:ascii="Palatino Linotype" w:eastAsia="Palatino Linotype" w:hAnsi="Palatino Linotype" w:cs="Palatino Linotype"/>
        </w:rPr>
      </w:pPr>
    </w:p>
    <w:p w:rsidR="005A3DCE" w:rsidRDefault="006E48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hacer mención del plazo al que estará sujeto la reserva.</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Cuando en un mismo medio, impreso o electrónico se contenga información pública y reservada o confidencial, la Unidad de Transparencia para efectos de atender la solicitud de información, </w:t>
      </w:r>
      <w:r>
        <w:rPr>
          <w:rFonts w:ascii="Palatino Linotype" w:eastAsia="Palatino Linotype" w:hAnsi="Palatino Linotype" w:cs="Palatino Linotype"/>
        </w:rPr>
        <w:lastRenderedPageBreak/>
        <w:t>deberá elaborar una versión pública en la que se testen las partes o secciones clasificadas, indicando su contenido de manera genérica y fundando y motivando su clasificación.</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w:t>
      </w:r>
      <w:r>
        <w:rPr>
          <w:rFonts w:ascii="Palatino Linotype" w:eastAsia="Palatino Linotype" w:hAnsi="Palatino Linotype" w:cs="Palatino Linotype"/>
        </w:rPr>
        <w:lastRenderedPageBreak/>
        <w:t xml:space="preserve">relacionada con violaciones graves a derechos humanos o delitos de lesa humanidad. </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Circunstancias no fueron tomadas en cuenta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acuerdo número CIR/IV/01/22/04/2022 del Comité de Transparencia del Ayuntamiento de Atizapán de Zaragoza, Estado de México, de fecha 22 de abril del 20022; a través del cual se confirma la clasificación de información reservada la relacionada a la solicitud número 00195/ATIZARA/IP/2022; ante ello, para mejor proveer del presente estudio, resulta necesario, analizar dicho Acuerdo de Reserva de la información antes referido,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 </w:t>
      </w:r>
    </w:p>
    <w:p w:rsidR="005A3DCE" w:rsidRDefault="005A3DCE">
      <w:pPr>
        <w:spacing w:line="360" w:lineRule="auto"/>
        <w:jc w:val="both"/>
        <w:rPr>
          <w:rFonts w:ascii="Palatino Linotype" w:eastAsia="Palatino Linotype" w:hAnsi="Palatino Linotype" w:cs="Palatino Linotyp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5A3DCE">
        <w:tc>
          <w:tcPr>
            <w:tcW w:w="1413" w:type="dxa"/>
            <w:tcBorders>
              <w:top w:val="single" w:sz="4" w:space="0" w:color="000000"/>
              <w:left w:val="single" w:sz="4" w:space="0" w:color="000000"/>
              <w:bottom w:val="single" w:sz="4" w:space="0" w:color="000000"/>
              <w:right w:val="single" w:sz="4" w:space="0" w:color="000000"/>
            </w:tcBorders>
            <w:shd w:val="clear" w:color="auto" w:fill="7B7B7B"/>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18"/>
                <w:szCs w:val="18"/>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7B7B7B"/>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Cumple</w:t>
            </w: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rPr>
                <w:rFonts w:ascii="Calibri" w:eastAsia="Calibri" w:hAnsi="Calibri" w:cs="Calibri"/>
                <w:sz w:val="20"/>
                <w:szCs w:val="20"/>
              </w:rPr>
            </w:pPr>
            <w:r>
              <w:rPr>
                <w:noProof/>
                <w:lang w:val="es-MX" w:eastAsia="es-MX"/>
              </w:rPr>
              <w:drawing>
                <wp:inline distT="0" distB="0" distL="0" distR="0">
                  <wp:extent cx="3586768" cy="759438"/>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41457" t="33565" r="26130" b="42655"/>
                          <a:stretch>
                            <a:fillRect/>
                          </a:stretch>
                        </pic:blipFill>
                        <pic:spPr>
                          <a:xfrm>
                            <a:off x="0" y="0"/>
                            <a:ext cx="3586768" cy="759438"/>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406400</wp:posOffset>
                      </wp:positionV>
                      <wp:extent cx="926146" cy="111702"/>
                      <wp:effectExtent l="0" t="0" r="0" b="0"/>
                      <wp:wrapNone/>
                      <wp:docPr id="30" name="Rectángulo 30"/>
                      <wp:cNvGraphicFramePr/>
                      <a:graphic xmlns:a="http://schemas.openxmlformats.org/drawingml/2006/main">
                        <a:graphicData uri="http://schemas.microsoft.com/office/word/2010/wordprocessingShape">
                          <wps:wsp>
                            <wps:cNvSpPr/>
                            <wps:spPr>
                              <a:xfrm>
                                <a:off x="4897215" y="3738437"/>
                                <a:ext cx="897571" cy="83127"/>
                              </a:xfrm>
                              <a:prstGeom prst="rect">
                                <a:avLst/>
                              </a:prstGeom>
                              <a:noFill/>
                              <a:ln w="28575" cap="flat" cmpd="sng">
                                <a:solidFill>
                                  <a:srgbClr val="002060"/>
                                </a:solidFill>
                                <a:prstDash val="solid"/>
                                <a:miter lim="800000"/>
                                <a:headEnd type="none" w="sm" len="sm"/>
                                <a:tailEnd type="none" w="sm" len="sm"/>
                              </a:ln>
                            </wps:spPr>
                            <wps:txbx>
                              <w:txbxContent>
                                <w:p w:rsidR="004E73EA" w:rsidRDefault="004E73EA">
                                  <w:pPr>
                                    <w:textDirection w:val="btLr"/>
                                  </w:pPr>
                                </w:p>
                              </w:txbxContent>
                            </wps:txbx>
                            <wps:bodyPr spcFirstLastPara="1" wrap="square" lIns="91425" tIns="91425" rIns="91425" bIns="91425" anchor="ctr" anchorCtr="0">
                              <a:noAutofit/>
                            </wps:bodyPr>
                          </wps:wsp>
                        </a:graphicData>
                      </a:graphic>
                    </wp:anchor>
                  </w:drawing>
                </mc:Choice>
                <mc:Fallback>
                  <w:pict>
                    <v:rect id="Rectángulo 30" o:spid="_x0000_s1026" style="position:absolute;margin-left:-1pt;margin-top:32pt;width:72.9pt;height:8.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" filled="f" strokecolor="#002060" strokeweight="2.25pt">
                      <v:stroke startarrowwidth="narrow" startarrowlength="short" endarrowwidth="narrow" endarrowlength="short"/>
                      <v:textbox inset="2.53958mm,2.53958mm,2.53958mm,2.53958mm">
                        <w:txbxContent>
                          <w:p w:rsidR="004E73EA" w:rsidRDefault="004E73EA">
                            <w:pPr>
                              <w:textDirection w:val="btLr"/>
                            </w:pPr>
                          </w:p>
                        </w:txbxContent>
                      </v:textbox>
                    </v:rect>
                  </w:pict>
                </mc:Fallback>
              </mc:AlternateContent>
            </w: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rPr>
              <w:t>Sí</w:t>
            </w: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pPr>
            <w:r>
              <w:rPr>
                <w:noProof/>
                <w:lang w:val="es-MX" w:eastAsia="es-MX"/>
              </w:rPr>
              <w:drawing>
                <wp:inline distT="0" distB="0" distL="0" distR="0">
                  <wp:extent cx="2814127" cy="813829"/>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41799" t="50199" r="26777" b="38202"/>
                          <a:stretch>
                            <a:fillRect/>
                          </a:stretch>
                        </pic:blipFill>
                        <pic:spPr>
                          <a:xfrm>
                            <a:off x="0" y="0"/>
                            <a:ext cx="2814127" cy="813829"/>
                          </a:xfrm>
                          <a:prstGeom prst="rect">
                            <a:avLst/>
                          </a:prstGeom>
                          <a:ln/>
                        </pic:spPr>
                      </pic:pic>
                    </a:graphicData>
                  </a:graphic>
                </wp:inline>
              </w:drawing>
            </w:r>
            <w:r>
              <w:t xml:space="preserve"> </w:t>
            </w: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1485900</wp:posOffset>
                      </wp:positionH>
                      <wp:positionV relativeFrom="paragraph">
                        <wp:posOffset>38100</wp:posOffset>
                      </wp:positionV>
                      <wp:extent cx="1661432" cy="859848"/>
                      <wp:effectExtent l="0" t="0" r="0" b="0"/>
                      <wp:wrapNone/>
                      <wp:docPr id="31" name="Rectángulo 31"/>
                      <wp:cNvGraphicFramePr/>
                      <a:graphic xmlns:a="http://schemas.openxmlformats.org/drawingml/2006/main">
                        <a:graphicData uri="http://schemas.microsoft.com/office/word/2010/wordprocessingShape">
                          <wps:wsp>
                            <wps:cNvSpPr/>
                            <wps:spPr>
                              <a:xfrm>
                                <a:off x="4529572" y="3364364"/>
                                <a:ext cx="1632857" cy="831273"/>
                              </a:xfrm>
                              <a:prstGeom prst="rect">
                                <a:avLst/>
                              </a:prstGeom>
                              <a:noFill/>
                              <a:ln w="28575" cap="flat" cmpd="sng">
                                <a:solidFill>
                                  <a:srgbClr val="002060"/>
                                </a:solidFill>
                                <a:prstDash val="solid"/>
                                <a:miter lim="800000"/>
                                <a:headEnd type="none" w="sm" len="sm"/>
                                <a:tailEnd type="none" w="sm" len="sm"/>
                              </a:ln>
                            </wps:spPr>
                            <wps:txbx>
                              <w:txbxContent>
                                <w:p w:rsidR="004E73EA" w:rsidRDefault="004E73EA">
                                  <w:pPr>
                                    <w:textDirection w:val="btLr"/>
                                  </w:pPr>
                                </w:p>
                              </w:txbxContent>
                            </wps:txbx>
                            <wps:bodyPr spcFirstLastPara="1" wrap="square" lIns="91425" tIns="91425" rIns="91425" bIns="91425" anchor="ctr" anchorCtr="0">
                              <a:noAutofit/>
                            </wps:bodyPr>
                          </wps:wsp>
                        </a:graphicData>
                      </a:graphic>
                    </wp:anchor>
                  </w:drawing>
                </mc:Choice>
                <mc:Fallback>
                  <w:pict>
                    <v:rect id="Rectángulo 31" o:spid="_x0000_s1027" style="position:absolute;left:0;text-align:left;margin-left:117pt;margin-top:3pt;width:130.8pt;height:67.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" filled="f" strokecolor="#002060" strokeweight="2.25pt">
                      <v:stroke startarrowwidth="narrow" startarrowlength="short" endarrowwidth="narrow" endarrowlength="short"/>
                      <v:textbox inset="2.53958mm,2.53958mm,2.53958mm,2.53958mm">
                        <w:txbxContent>
                          <w:p w:rsidR="004E73EA" w:rsidRDefault="004E73EA">
                            <w:pPr>
                              <w:textDirection w:val="btLr"/>
                            </w:pPr>
                          </w:p>
                        </w:txbxContent>
                      </v:textbox>
                    </v:rect>
                  </w:pict>
                </mc:Fallback>
              </mc:AlternateContent>
            </w:r>
          </w:p>
          <w:p w:rsidR="005A3DCE" w:rsidRDefault="005A3DCE">
            <w:pPr>
              <w:spacing w:before="100" w:after="200" w:line="276" w:lineRule="auto"/>
              <w:jc w:val="center"/>
              <w:rPr>
                <w:rFonts w:ascii="Palatino Linotype" w:eastAsia="Palatino Linotype" w:hAnsi="Palatino Linotype" w:cs="Palatino Linotype"/>
              </w:rPr>
            </w:pP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No </w:t>
            </w:r>
          </w:p>
          <w:p w:rsidR="005A3DCE" w:rsidRDefault="006E4886">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Es información que es considerada como pública, que puede entregarse en versión pública</w:t>
            </w: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pPr>
            <w:r>
              <w:t xml:space="preserve"> </w:t>
            </w:r>
          </w:p>
          <w:p w:rsidR="005A3DCE" w:rsidRDefault="006E4886">
            <w:pPr>
              <w:spacing w:before="100" w:after="200" w:line="276" w:lineRule="auto"/>
              <w:rPr>
                <w:rFonts w:ascii="Calibri" w:eastAsia="Calibri" w:hAnsi="Calibri" w:cs="Calibri"/>
                <w:sz w:val="20"/>
                <w:szCs w:val="20"/>
              </w:rPr>
            </w:pPr>
            <w:r>
              <w:rPr>
                <w:noProof/>
                <w:lang w:val="es-MX" w:eastAsia="es-MX"/>
              </w:rPr>
              <w:drawing>
                <wp:inline distT="0" distB="0" distL="0" distR="0">
                  <wp:extent cx="3348866" cy="1100418"/>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7111" t="30593" r="22269" b="44433"/>
                          <a:stretch>
                            <a:fillRect/>
                          </a:stretch>
                        </pic:blipFill>
                        <pic:spPr>
                          <a:xfrm>
                            <a:off x="0" y="0"/>
                            <a:ext cx="3348866" cy="1100418"/>
                          </a:xfrm>
                          <a:prstGeom prst="rect">
                            <a:avLst/>
                          </a:prstGeom>
                          <a:ln/>
                        </pic:spPr>
                      </pic:pic>
                    </a:graphicData>
                  </a:graphic>
                </wp:inline>
              </w:drawing>
            </w:r>
          </w:p>
          <w:p w:rsidR="005A3DCE" w:rsidRDefault="005A3DCE">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Sí </w:t>
            </w:r>
          </w:p>
          <w:p w:rsidR="005A3DCE" w:rsidRDefault="006E4886">
            <w:pPr>
              <w:spacing w:before="100" w:after="200"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Pero no es aplicable en el presente caso, ya que se trata de información pública que debe ser entregada en versión pública. </w:t>
            </w:r>
          </w:p>
          <w:p w:rsidR="005A3DCE" w:rsidRDefault="006E4886">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 </w:t>
            </w:r>
          </w:p>
          <w:p w:rsidR="005A3DCE" w:rsidRDefault="005A3DCE">
            <w:pPr>
              <w:spacing w:before="100" w:after="200" w:line="276" w:lineRule="auto"/>
              <w:jc w:val="center"/>
              <w:rPr>
                <w:rFonts w:ascii="Palatino Linotype" w:eastAsia="Palatino Linotype" w:hAnsi="Palatino Linotype" w:cs="Palatino Linotype"/>
                <w:b/>
                <w:sz w:val="20"/>
                <w:szCs w:val="20"/>
              </w:rPr>
            </w:pP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rPr>
                <w:rFonts w:ascii="Calibri" w:eastAsia="Calibri" w:hAnsi="Calibri" w:cs="Calibri"/>
                <w:sz w:val="20"/>
                <w:szCs w:val="20"/>
              </w:rPr>
            </w:pPr>
            <w:r>
              <w:rPr>
                <w:noProof/>
                <w:lang w:val="es-MX" w:eastAsia="es-MX"/>
              </w:rPr>
              <w:drawing>
                <wp:inline distT="0" distB="0" distL="0" distR="0">
                  <wp:extent cx="3507290" cy="1688088"/>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6775" t="13664" r="22109" b="35207"/>
                          <a:stretch>
                            <a:fillRect/>
                          </a:stretch>
                        </pic:blipFill>
                        <pic:spPr>
                          <a:xfrm>
                            <a:off x="0" y="0"/>
                            <a:ext cx="3507290" cy="1688088"/>
                          </a:xfrm>
                          <a:prstGeom prst="rect">
                            <a:avLst/>
                          </a:prstGeom>
                          <a:ln/>
                        </pic:spPr>
                      </pic:pic>
                    </a:graphicData>
                  </a:graphic>
                </wp:inline>
              </w:drawing>
            </w:r>
          </w:p>
          <w:p w:rsidR="005A3DCE" w:rsidRDefault="006E4886">
            <w:pPr>
              <w:spacing w:before="100" w:after="200" w:line="276" w:lineRule="auto"/>
              <w:rPr>
                <w:rFonts w:ascii="Calibri" w:eastAsia="Calibri" w:hAnsi="Calibri" w:cs="Calibri"/>
                <w:sz w:val="20"/>
                <w:szCs w:val="20"/>
              </w:rPr>
            </w:pPr>
            <w:r>
              <w:rPr>
                <w:noProof/>
                <w:lang w:val="es-MX" w:eastAsia="es-MX"/>
              </w:rPr>
              <w:drawing>
                <wp:inline distT="0" distB="0" distL="0" distR="0">
                  <wp:extent cx="3371733" cy="2465324"/>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7604" t="19307" r="22125" b="12045"/>
                          <a:stretch>
                            <a:fillRect/>
                          </a:stretch>
                        </pic:blipFill>
                        <pic:spPr>
                          <a:xfrm>
                            <a:off x="0" y="0"/>
                            <a:ext cx="3371733" cy="2465324"/>
                          </a:xfrm>
                          <a:prstGeom prst="rect">
                            <a:avLst/>
                          </a:prstGeom>
                          <a:ln/>
                        </pic:spPr>
                      </pic:pic>
                    </a:graphicData>
                  </a:graphic>
                </wp:inline>
              </w:drawing>
            </w: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p w:rsidR="005A3DCE" w:rsidRDefault="006E4886">
            <w:pPr>
              <w:spacing w:before="100" w:after="20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Porque dicha fundamentación y motivación no se refieren al caso específico que nos ocupa. </w:t>
            </w: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rPr>
                <w:rFonts w:ascii="Calibri" w:eastAsia="Calibri" w:hAnsi="Calibri" w:cs="Calibri"/>
                <w:sz w:val="20"/>
                <w:szCs w:val="20"/>
              </w:rPr>
            </w:pPr>
            <w:r>
              <w:rPr>
                <w:noProof/>
                <w:lang w:val="es-MX" w:eastAsia="es-MX"/>
              </w:rPr>
              <w:drawing>
                <wp:inline distT="0" distB="0" distL="0" distR="0">
                  <wp:extent cx="3507290" cy="1688088"/>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6775" t="13664" r="22109" b="35207"/>
                          <a:stretch>
                            <a:fillRect/>
                          </a:stretch>
                        </pic:blipFill>
                        <pic:spPr>
                          <a:xfrm>
                            <a:off x="0" y="0"/>
                            <a:ext cx="3507290" cy="1688088"/>
                          </a:xfrm>
                          <a:prstGeom prst="rect">
                            <a:avLst/>
                          </a:prstGeom>
                          <a:ln/>
                        </pic:spPr>
                      </pic:pic>
                    </a:graphicData>
                  </a:graphic>
                </wp:inline>
              </w:drawing>
            </w:r>
          </w:p>
          <w:p w:rsidR="005A3DCE" w:rsidRDefault="006E4886">
            <w:pPr>
              <w:spacing w:before="100" w:after="200" w:line="276" w:lineRule="auto"/>
              <w:rPr>
                <w:rFonts w:ascii="Calibri" w:eastAsia="Calibri" w:hAnsi="Calibri" w:cs="Calibri"/>
                <w:sz w:val="20"/>
                <w:szCs w:val="20"/>
              </w:rPr>
            </w:pPr>
            <w:r>
              <w:rPr>
                <w:noProof/>
                <w:lang w:val="es-MX" w:eastAsia="es-MX"/>
              </w:rPr>
              <w:drawing>
                <wp:inline distT="0" distB="0" distL="0" distR="0">
                  <wp:extent cx="3371733" cy="2465324"/>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7604" t="19307" r="22125" b="12045"/>
                          <a:stretch>
                            <a:fillRect/>
                          </a:stretch>
                        </pic:blipFill>
                        <pic:spPr>
                          <a:xfrm>
                            <a:off x="0" y="0"/>
                            <a:ext cx="3371733" cy="2465324"/>
                          </a:xfrm>
                          <a:prstGeom prst="rect">
                            <a:avLst/>
                          </a:prstGeom>
                          <a:ln/>
                        </pic:spPr>
                      </pic:pic>
                    </a:graphicData>
                  </a:graphic>
                </wp:inline>
              </w:drawing>
            </w: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p w:rsidR="005A3DCE" w:rsidRDefault="005A3DCE">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No</w:t>
            </w:r>
          </w:p>
          <w:p w:rsidR="005A3DCE" w:rsidRDefault="006E4886">
            <w:pPr>
              <w:spacing w:before="100" w:after="200" w:line="276"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18"/>
                <w:szCs w:val="18"/>
              </w:rPr>
              <w:t>No se refieren al caso específico que nos ocupa</w:t>
            </w:r>
          </w:p>
        </w:tc>
      </w:tr>
      <w:tr w:rsidR="005A3DCE">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rsidR="005A3DCE" w:rsidRDefault="006E4886">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FFFFFF"/>
                <w:sz w:val="22"/>
                <w:szCs w:val="22"/>
              </w:rPr>
              <w:t>Elementos de la prueba de daño</w:t>
            </w: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after="120" w:line="25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Riesgo Real, Demostrable e Identificable</w:t>
            </w:r>
          </w:p>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(Modo, Tiempo y Lugar)</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pPr>
            <w:r>
              <w:rPr>
                <w:noProof/>
                <w:lang w:val="es-MX" w:eastAsia="es-MX"/>
              </w:rPr>
              <w:drawing>
                <wp:inline distT="0" distB="0" distL="0" distR="0">
                  <wp:extent cx="3335994" cy="691351"/>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36273" t="34159" r="20771" b="54247"/>
                          <a:stretch>
                            <a:fillRect/>
                          </a:stretch>
                        </pic:blipFill>
                        <pic:spPr>
                          <a:xfrm>
                            <a:off x="0" y="0"/>
                            <a:ext cx="3335994" cy="691351"/>
                          </a:xfrm>
                          <a:prstGeom prst="rect">
                            <a:avLst/>
                          </a:prstGeom>
                          <a:ln/>
                        </pic:spPr>
                      </pic:pic>
                    </a:graphicData>
                  </a:graphic>
                </wp:inline>
              </w:drawing>
            </w:r>
          </w:p>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150767" cy="2723400"/>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41962" t="29108" r="27126" b="6365"/>
                          <a:stretch>
                            <a:fillRect/>
                          </a:stretch>
                        </pic:blipFill>
                        <pic:spPr>
                          <a:xfrm>
                            <a:off x="0" y="0"/>
                            <a:ext cx="3150767" cy="2723400"/>
                          </a:xfrm>
                          <a:prstGeom prst="rect">
                            <a:avLst/>
                          </a:prstGeom>
                          <a:ln/>
                        </pic:spPr>
                      </pic:pic>
                    </a:graphicData>
                  </a:graphic>
                </wp:inline>
              </w:drawing>
            </w:r>
          </w:p>
          <w:p w:rsidR="005A3DCE" w:rsidRDefault="006E4886">
            <w:pPr>
              <w:spacing w:before="100" w:after="200" w:line="276" w:lineRule="auto"/>
              <w:ind w:left="708" w:hanging="708"/>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2973866" cy="2724395"/>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41973" t="20495" r="26105" b="17937"/>
                          <a:stretch>
                            <a:fillRect/>
                          </a:stretch>
                        </pic:blipFill>
                        <pic:spPr>
                          <a:xfrm>
                            <a:off x="0" y="0"/>
                            <a:ext cx="2973866" cy="2724395"/>
                          </a:xfrm>
                          <a:prstGeom prst="rect">
                            <a:avLst/>
                          </a:prstGeom>
                          <a:ln/>
                        </pic:spPr>
                      </pic:pic>
                    </a:graphicData>
                  </a:graphic>
                </wp:inline>
              </w:drawing>
            </w:r>
          </w:p>
          <w:p w:rsidR="005A3DCE" w:rsidRDefault="005A3DCE">
            <w:pPr>
              <w:spacing w:before="100" w:after="200" w:line="276" w:lineRule="auto"/>
              <w:jc w:val="center"/>
              <w:rPr>
                <w:rFonts w:ascii="Palatino Linotype" w:eastAsia="Palatino Linotype" w:hAnsi="Palatino Linotype" w:cs="Palatino Linotype"/>
                <w:b/>
                <w:color w:val="FFFFFF"/>
                <w:sz w:val="22"/>
                <w:szCs w:val="22"/>
              </w:rPr>
            </w:pP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No</w:t>
            </w:r>
          </w:p>
          <w:p w:rsidR="005A3DCE" w:rsidRDefault="006E4886">
            <w:pPr>
              <w:spacing w:before="100" w:after="200" w:line="276" w:lineRule="auto"/>
              <w:jc w:val="both"/>
              <w:rPr>
                <w:rFonts w:ascii="Palatino Linotype" w:eastAsia="Palatino Linotype" w:hAnsi="Palatino Linotype" w:cs="Palatino Linotype"/>
                <w:color w:val="FFFFFF"/>
                <w:sz w:val="18"/>
                <w:szCs w:val="18"/>
              </w:rPr>
            </w:pPr>
            <w:r>
              <w:rPr>
                <w:rFonts w:ascii="Palatino Linotype" w:eastAsia="Palatino Linotype" w:hAnsi="Palatino Linotype" w:cs="Palatino Linotype"/>
                <w:color w:val="000000"/>
                <w:sz w:val="18"/>
                <w:szCs w:val="18"/>
              </w:rPr>
              <w:t>No aplicada al  caso específico, en razón de que es información pública y puede ser entregada en versión pública.</w:t>
            </w: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lastRenderedPageBreak/>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noProof/>
                <w:lang w:val="es-MX" w:eastAsia="es-MX"/>
              </w:rPr>
              <w:drawing>
                <wp:inline distT="0" distB="0" distL="0" distR="0">
                  <wp:extent cx="3324756" cy="57060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42291" t="48714" r="26454" b="43854"/>
                          <a:stretch>
                            <a:fillRect/>
                          </a:stretch>
                        </pic:blipFill>
                        <pic:spPr>
                          <a:xfrm>
                            <a:off x="0" y="0"/>
                            <a:ext cx="3324756" cy="5706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rPr>
              <w:t xml:space="preserve">Sí </w:t>
            </w:r>
          </w:p>
        </w:tc>
      </w:tr>
      <w:tr w:rsidR="005A3DCE">
        <w:tc>
          <w:tcPr>
            <w:tcW w:w="141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6"/>
                <w:szCs w:val="16"/>
              </w:rPr>
              <w:t>Autoridades competentes.</w:t>
            </w:r>
          </w:p>
        </w:tc>
        <w:tc>
          <w:tcPr>
            <w:tcW w:w="5812"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pPr>
            <w:r>
              <w:rPr>
                <w:noProof/>
                <w:lang w:val="es-MX" w:eastAsia="es-MX"/>
              </w:rPr>
              <w:drawing>
                <wp:inline distT="0" distB="0" distL="0" distR="0">
                  <wp:extent cx="2696896" cy="1522377"/>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42964" t="16337" r="27126" b="23005"/>
                          <a:stretch>
                            <a:fillRect/>
                          </a:stretch>
                        </pic:blipFill>
                        <pic:spPr>
                          <a:xfrm>
                            <a:off x="0" y="0"/>
                            <a:ext cx="2696896" cy="1522377"/>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5A3DCE" w:rsidRDefault="006E4886">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sz w:val="22"/>
                <w:szCs w:val="22"/>
              </w:rPr>
              <w:t>Sí</w:t>
            </w:r>
          </w:p>
        </w:tc>
      </w:tr>
    </w:tbl>
    <w:p w:rsidR="005A3DCE" w:rsidRDefault="005A3DCE">
      <w:pPr>
        <w:spacing w:before="100" w:after="200" w:line="276" w:lineRule="auto"/>
        <w:rPr>
          <w:rFonts w:ascii="Calibri" w:eastAsia="Calibri" w:hAnsi="Calibri" w:cs="Calibri"/>
          <w:sz w:val="20"/>
          <w:szCs w:val="20"/>
        </w:rPr>
      </w:pPr>
    </w:p>
    <w:p w:rsidR="005A3DCE" w:rsidRDefault="006E48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este Órgano Garante determina que acuerdo número CIR/IV/01/22/04/2022 del Comité de Transparencia del Ayuntamiento de Atizapán de Zaragoza, Estado de México, de fecha 22 de abril del 20022, además de no cumplir los requisitos establecidos por la Ley de Transparencia y Acceso a la Información Pública del Estado de México y Municipios, se</w:t>
      </w:r>
      <w:r>
        <w:rPr>
          <w:rFonts w:ascii="Palatino Linotype" w:eastAsia="Palatino Linotype" w:hAnsi="Palatino Linotype" w:cs="Palatino Linotype"/>
          <w:b/>
          <w:color w:val="000000"/>
        </w:rPr>
        <w:t xml:space="preserve"> desestima</w:t>
      </w:r>
      <w:r>
        <w:rPr>
          <w:rFonts w:ascii="Palatino Linotype" w:eastAsia="Palatino Linotype" w:hAnsi="Palatino Linotype" w:cs="Palatino Linotype"/>
          <w:color w:val="000000"/>
        </w:rPr>
        <w:t xml:space="preserve"> y no es procedente; en razón de que este Instituto, considera que la información solicitada por el particular es pública y puede ser entregada en versión pública, en términos de lo subsiguiente:</w:t>
      </w:r>
    </w:p>
    <w:p w:rsidR="005A3DCE" w:rsidRDefault="005A3D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expedientes que contienen los procedimientos </w:t>
      </w:r>
      <w:r>
        <w:rPr>
          <w:rFonts w:ascii="Palatino Linotype" w:eastAsia="Palatino Linotype" w:hAnsi="Palatino Linotype" w:cs="Palatino Linotype"/>
          <w:color w:val="000000"/>
        </w:rPr>
        <w:t xml:space="preserve">de licitación pública, o bien, de manera excepcional, mediante los procedimientos de invitación restringida y adjudicación directa; es información que este Organismo Garante considera como publica y puede ser entregada en versión pública; de ahí que,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w:t>
      </w:r>
      <w:r>
        <w:rPr>
          <w:rFonts w:ascii="Palatino Linotype" w:eastAsia="Palatino Linotype" w:hAnsi="Palatino Linotype" w:cs="Palatino Linotype"/>
        </w:rPr>
        <w:lastRenderedPageBreak/>
        <w:t>sus archivos pudiendo ser de manera electrónica; más aún si la misma se trata de información pública,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como pudiera tratarse de aquella relacionada con las obligaciones de trasparencia señaladas en los artículos 92 y 100 de la Ley de la Materia.</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ind w:right="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igual forma, es de suma importancia destacar que el penúltimo párrafo, del artículo 23 de la </w:t>
      </w:r>
      <w:r>
        <w:rPr>
          <w:rFonts w:ascii="Palatino Linotype" w:eastAsia="Palatino Linotype" w:hAnsi="Palatino Linotype" w:cs="Palatino Linotype"/>
        </w:rPr>
        <w:t>Ley de Transparencia y Acceso a la Información Pública del Estado de México y Municipios</w:t>
      </w:r>
      <w:r>
        <w:rPr>
          <w:rFonts w:ascii="Palatino Linotype" w:eastAsia="Palatino Linotype" w:hAnsi="Palatino Linotype" w:cs="Palatino Linotype"/>
          <w:color w:val="000000"/>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como se observa a continuación: </w:t>
      </w:r>
    </w:p>
    <w:p w:rsidR="005A3DCE" w:rsidRDefault="005A3DCE">
      <w:pPr>
        <w:ind w:right="50"/>
        <w:jc w:val="both"/>
        <w:rPr>
          <w:rFonts w:ascii="Palatino Linotype" w:eastAsia="Palatino Linotype" w:hAnsi="Palatino Linotype" w:cs="Palatino Linotype"/>
          <w:color w:val="000000"/>
        </w:rPr>
      </w:pPr>
    </w:p>
    <w:p w:rsidR="005A3DCE" w:rsidRDefault="006E4886">
      <w:pPr>
        <w:spacing w:line="276" w:lineRule="auto"/>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23…</w:t>
      </w:r>
    </w:p>
    <w:p w:rsidR="005A3DCE" w:rsidRDefault="005A3DCE">
      <w:pPr>
        <w:spacing w:line="276" w:lineRule="auto"/>
        <w:ind w:left="851" w:right="901"/>
        <w:jc w:val="both"/>
        <w:rPr>
          <w:rFonts w:ascii="Palatino Linotype" w:eastAsia="Palatino Linotype" w:hAnsi="Palatino Linotype" w:cs="Palatino Linotype"/>
          <w:i/>
          <w:sz w:val="22"/>
          <w:szCs w:val="22"/>
        </w:rPr>
      </w:pPr>
    </w:p>
    <w:p w:rsidR="005A3DCE" w:rsidRDefault="006E4886">
      <w:pPr>
        <w:spacing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recursos…(Sic</w:t>
      </w:r>
      <w:r>
        <w:rPr>
          <w:rFonts w:ascii="Palatino Linotype" w:eastAsia="Palatino Linotype" w:hAnsi="Palatino Linotype" w:cs="Palatino Linotype"/>
          <w:i/>
          <w:color w:val="000000"/>
          <w:sz w:val="22"/>
          <w:szCs w:val="22"/>
        </w:rPr>
        <w:t>)”</w:t>
      </w:r>
    </w:p>
    <w:p w:rsidR="005A3DCE" w:rsidRDefault="006E488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ese sentido, </w:t>
      </w:r>
      <w:r>
        <w:rPr>
          <w:rFonts w:ascii="Palatino Linotype" w:eastAsia="Palatino Linotype" w:hAnsi="Palatino Linotype" w:cs="Palatino Linotype"/>
          <w:color w:val="000000"/>
        </w:rPr>
        <w:t xml:space="preserve">sobre los procedimientos de licitación pública, o bien, de manera excepcional, mediante los procedimientos de invitación restringida y adjudicación directa, se trata de una obligación de </w:t>
      </w:r>
      <w:r>
        <w:rPr>
          <w:rFonts w:ascii="Palatino Linotype" w:eastAsia="Palatino Linotype" w:hAnsi="Palatino Linotype" w:cs="Palatino Linotype"/>
        </w:rPr>
        <w:t>transparencia</w:t>
      </w:r>
      <w:r>
        <w:rPr>
          <w:rFonts w:ascii="Palatino Linotype" w:eastAsia="Palatino Linotype" w:hAnsi="Palatino Linotype" w:cs="Palatino Linotype"/>
          <w:color w:val="000000"/>
        </w:rPr>
        <w:t xml:space="preserve"> que se debe </w:t>
      </w:r>
      <w:r>
        <w:rPr>
          <w:rFonts w:ascii="Palatino Linotype" w:eastAsia="Palatino Linotype" w:hAnsi="Palatino Linotype" w:cs="Palatino Linotype"/>
        </w:rPr>
        <w:t>pública</w:t>
      </w:r>
      <w:r>
        <w:rPr>
          <w:rFonts w:ascii="Palatino Linotype" w:eastAsia="Palatino Linotype" w:hAnsi="Palatino Linotype" w:cs="Palatino Linotype"/>
          <w:color w:val="000000"/>
        </w:rPr>
        <w:t xml:space="preserve"> en el IPOMEX (Información pública de oficio mexiquense), de la cual se debe generar expediente respectivo, entre la que podemos encontrar la siguiente conforme a lo señalado por el artículo 92, fracción XXIX, de la Ley de la Materia, que señala:</w:t>
      </w:r>
    </w:p>
    <w:p w:rsidR="005A3DCE" w:rsidRDefault="005A3DCE">
      <w:pPr>
        <w:ind w:left="992" w:right="1043"/>
        <w:jc w:val="both"/>
        <w:rPr>
          <w:rFonts w:ascii="Palatino Linotype" w:eastAsia="Palatino Linotype" w:hAnsi="Palatino Linotype" w:cs="Palatino Linotype"/>
          <w:i/>
          <w:sz w:val="22"/>
          <w:szCs w:val="22"/>
        </w:rPr>
      </w:pP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XXIX. La información sobre los procesos y resultados sobre procedimientos de </w:t>
      </w:r>
      <w:r>
        <w:rPr>
          <w:rFonts w:ascii="Palatino Linotype" w:eastAsia="Palatino Linotype" w:hAnsi="Palatino Linotype" w:cs="Palatino Linotype"/>
          <w:b/>
          <w:i/>
          <w:sz w:val="22"/>
          <w:szCs w:val="22"/>
          <w:u w:val="single"/>
        </w:rPr>
        <w:t>adjudicación directa, invitación restringida y licitación de cualquier naturaleza</w:t>
      </w:r>
      <w:r>
        <w:rPr>
          <w:rFonts w:ascii="Palatino Linotype" w:eastAsia="Palatino Linotype" w:hAnsi="Palatino Linotype" w:cs="Palatino Linotype"/>
          <w:b/>
          <w:i/>
          <w:sz w:val="22"/>
          <w:szCs w:val="22"/>
        </w:rPr>
        <w:t>, incluyendo la versión pública</w:t>
      </w:r>
      <w:r>
        <w:rPr>
          <w:rFonts w:ascii="Palatino Linotype" w:eastAsia="Palatino Linotype" w:hAnsi="Palatino Linotype" w:cs="Palatino Linotype"/>
          <w:i/>
          <w:sz w:val="22"/>
          <w:szCs w:val="22"/>
        </w:rPr>
        <w:t xml:space="preserve"> del </w:t>
      </w:r>
      <w:r>
        <w:rPr>
          <w:rFonts w:ascii="Palatino Linotype" w:eastAsia="Palatino Linotype" w:hAnsi="Palatino Linotype" w:cs="Palatino Linotype"/>
          <w:b/>
          <w:i/>
          <w:sz w:val="22"/>
          <w:szCs w:val="22"/>
          <w:u w:val="single"/>
        </w:rPr>
        <w:t>expediente respectivo y de los contratos celebrados</w:t>
      </w:r>
      <w:r>
        <w:rPr>
          <w:rFonts w:ascii="Palatino Linotype" w:eastAsia="Palatino Linotype" w:hAnsi="Palatino Linotype" w:cs="Palatino Linotype"/>
          <w:i/>
          <w:sz w:val="22"/>
          <w:szCs w:val="22"/>
        </w:rPr>
        <w:t xml:space="preserve">, que </w:t>
      </w:r>
      <w:r>
        <w:rPr>
          <w:rFonts w:ascii="Palatino Linotype" w:eastAsia="Palatino Linotype" w:hAnsi="Palatino Linotype" w:cs="Palatino Linotype"/>
          <w:b/>
          <w:i/>
          <w:sz w:val="22"/>
          <w:szCs w:val="22"/>
        </w:rPr>
        <w:t>deberán contener, por los menos</w:t>
      </w:r>
      <w:r>
        <w:rPr>
          <w:rFonts w:ascii="Palatino Linotype" w:eastAsia="Palatino Linotype" w:hAnsi="Palatino Linotype" w:cs="Palatino Linotype"/>
          <w:i/>
          <w:sz w:val="22"/>
          <w:szCs w:val="22"/>
        </w:rPr>
        <w:t xml:space="preserve">, lo siguiente: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De licitaciones públicas o procedimientos de invitación restringida: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5A3DCE" w:rsidRDefault="006E4886">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2) Los nombres de los participantes o invitados; </w:t>
      </w:r>
    </w:p>
    <w:p w:rsidR="005A3DCE" w:rsidRDefault="006E4886">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3) El nombre del ganador y las razones que lo justifican;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El área solicitante y la responsable de su ejecución;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Las convocatorias e invitaciones emitidas; </w:t>
      </w:r>
    </w:p>
    <w:p w:rsidR="005A3DCE" w:rsidRDefault="006E4886">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6) Los dictámenes y fallo de adjudicación; </w:t>
      </w:r>
    </w:p>
    <w:p w:rsidR="005A3DCE" w:rsidRDefault="006E4886">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7) El contrato y, en su caso, sus anexos;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9) La partida presupuestal, de conformidad con el clasificador por objeto del gasto, en el caso de ser aplicable;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5A3DCE" w:rsidRDefault="006E4886">
      <w:pPr>
        <w:ind w:left="992" w:right="1043"/>
        <w:jc w:val="both"/>
      </w:pPr>
      <w:r>
        <w:rPr>
          <w:rFonts w:ascii="Palatino Linotype" w:eastAsia="Palatino Linotype" w:hAnsi="Palatino Linotype" w:cs="Palatino Linotype"/>
          <w:i/>
          <w:sz w:val="22"/>
          <w:szCs w:val="22"/>
        </w:rPr>
        <w:t>11) Los convenios modificatorios que, en su caso, sean firmados, precisando el objeto y la fecha de celebración;</w:t>
      </w:r>
      <w:r>
        <w:t xml:space="preserve">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El convenio de terminación; y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De las adjudicaciones directas: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motivos y fundamentos legales aplicados para llevarla a cabo;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En su caso, las cotizaciones consideradas, especificando los nombres de los proveedores y sus montos;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El nombre de la persona física o jurídica colectiva adjudicada;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número, fecha, el monto del contrato y el plazo de entrega o de ejecución de los servicios u obra;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El finiquito.” (Sic) </w:t>
      </w:r>
    </w:p>
    <w:p w:rsidR="005A3DCE" w:rsidRDefault="005A3DCE">
      <w:pPr>
        <w:spacing w:line="360" w:lineRule="auto"/>
        <w:jc w:val="both"/>
        <w:rPr>
          <w:rFonts w:ascii="Palatino Linotype" w:eastAsia="Palatino Linotype" w:hAnsi="Palatino Linotype" w:cs="Palatino Linotype"/>
          <w:color w:val="000000"/>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al respecto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21">
        <w:r>
          <w:rPr>
            <w:rFonts w:ascii="Palatino Linotype" w:eastAsia="Palatino Linotype" w:hAnsi="Palatino Linotype" w:cs="Palatino Linotype"/>
            <w:color w:val="0563C1"/>
            <w:u w:val="single"/>
          </w:rPr>
          <w:t>https://www.transparencia.ipn.mx/Apoyo/SIPOT/LTG_DOF28122020.pdf</w:t>
        </w:r>
      </w:hyperlink>
      <w:r>
        <w:rPr>
          <w:rFonts w:ascii="Palatino Linotype" w:eastAsia="Palatino Linotype" w:hAnsi="Palatino Linotype" w:cs="Palatino Linotype"/>
        </w:rPr>
        <w:t xml:space="preserve">) para </w:t>
      </w:r>
      <w:r>
        <w:rPr>
          <w:rFonts w:ascii="Palatino Linotype" w:eastAsia="Palatino Linotype" w:hAnsi="Palatino Linotype" w:cs="Palatino Linotype"/>
        </w:rPr>
        <w:lastRenderedPageBreak/>
        <w:t xml:space="preserve">publicar la información de los procedimientos </w:t>
      </w:r>
      <w:r>
        <w:t xml:space="preserve">de </w:t>
      </w:r>
      <w:r>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rsidR="005A3DCE" w:rsidRDefault="005A3DCE">
      <w:pPr>
        <w:spacing w:line="360" w:lineRule="auto"/>
        <w:jc w:val="both"/>
        <w:rPr>
          <w:rFonts w:ascii="Palatino Linotype" w:eastAsia="Palatino Linotype" w:hAnsi="Palatino Linotype" w:cs="Palatino Linotype"/>
        </w:rPr>
      </w:pP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rsidR="005A3DCE" w:rsidRDefault="006E4886">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a) De licitaciones públicas o procedimientos de invitación restringida: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5A3DCE" w:rsidRDefault="006E488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Los nombres de los participantes o invitados; </w:t>
      </w:r>
    </w:p>
    <w:p w:rsidR="005A3DCE" w:rsidRDefault="006E488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El nombre del ganador y las razones que lo justifican;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El área solicitante y la responsable de su ejecución;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Las convocatorias e invitaciones emitidas; </w:t>
      </w:r>
    </w:p>
    <w:p w:rsidR="005A3DCE" w:rsidRDefault="006E488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6. Los dictámenes y fallo de adjudicación; </w:t>
      </w:r>
    </w:p>
    <w:p w:rsidR="005A3DCE" w:rsidRDefault="006E488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7. El contrato y, en su caso, sus anexos;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El convenio de terminación; y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De las adjudicaciones directas: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motivos y fundamentos legales aplicados para llevarla a cabo;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4. En su caso, las cotizaciones consideradas, especificando los nombres de los proveedores y los montos;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El nombre de la persona física o moral adjudicada;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número, fecha, el monto del contrato y el plazo de entrega o de ejecución de los servicios u obra;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El finiquito.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Licitación pública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Invitación a cuando menos tres personas (restringida)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Adjudicación directa Para cada tipo de procedimiento se deberá especificar la materia: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Obra pública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Servicios relacionados con obra pública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Arrendamiento • Adquisición o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Servicios Y el carácter: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Nacional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Internacional (en cualquier modalidad específica)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extensos105, se deberá elaborar versión pública106 de los mismos.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Periodo de actualización: trimestral Conservar en el sitio de Internet: información vigente, es decir, los instrumentos jurídicos vigentes, contratos y convenios, aun cuando éstos sean de ejercicios anteriores; la generada en el ejercicio en curso y la correspondiente a dos ejercicios anteriores.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Párrafo Modificado DOF 28/12/2020 </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Aplica a: todos los sujetos obligados” (Sic)</w:t>
      </w:r>
    </w:p>
    <w:p w:rsidR="005A3DCE" w:rsidRDefault="005A3DC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A3DCE" w:rsidRDefault="006E4886">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También sobre los contratos, de igual forma se trata de una obligación de transparencia en términos del artículo 92 previamente señalado fracción XXXII, que señala:</w:t>
      </w:r>
    </w:p>
    <w:p w:rsidR="005A3DCE" w:rsidRDefault="006E48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rsidR="005A3DCE" w:rsidRDefault="005A3DC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rsidR="005A3DCE" w:rsidRDefault="006E4886">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Precisado lo anterior, en cuanto a que dar a conocer la información relacionada con el contrato de arrendamiento de unidades vehiculares (patrullas de seguridad pública) de la administración pública municipal 2022-2024, así como el proceso de adjudicación respectivo y fallo de adjudicación, emitido por el comité de </w:t>
      </w:r>
      <w:r>
        <w:rPr>
          <w:rFonts w:ascii="Palatino Linotype" w:eastAsia="Palatino Linotype" w:hAnsi="Palatino Linotype" w:cs="Palatino Linotype"/>
          <w:color w:val="000000"/>
        </w:rPr>
        <w:lastRenderedPageBreak/>
        <w:t xml:space="preserve">arrendamientos, adquisiciones de inmuebles y enajenaciones, </w:t>
      </w:r>
      <w:r>
        <w:rPr>
          <w:rFonts w:ascii="Palatino Linotype" w:eastAsia="Palatino Linotype" w:hAnsi="Palatino Linotype" w:cs="Palatino Linotype"/>
          <w:color w:val="000000"/>
          <w:u w:val="single"/>
        </w:rPr>
        <w:t>revelaría el estado de fuerza de las unidades adscritas a la Dirección de Seguridad Pública y Tránsito Municipal de Atizapán de Zaragoza</w:t>
      </w:r>
      <w:r>
        <w:rPr>
          <w:rFonts w:ascii="Palatino Linotype" w:eastAsia="Palatino Linotype" w:hAnsi="Palatino Linotype" w:cs="Palatino Linotype"/>
          <w:color w:val="000000"/>
        </w:rPr>
        <w:t xml:space="preserve">; no es posible, en virtud de que la información requerida por el particular no se considera que encuadre en el supuesto de clasificación, debido a que se requiere información que es considerada como pública como así fue referido por el particular, resultando que el derecho de acceso a la información del particular se viera afectado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5A3DCE" w:rsidRDefault="005A3DC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rsidR="005A3DCE" w:rsidRDefault="006E4886">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por lo que la información solicitada no actualizaría un supuesto de reserva en términos del diverso artículo 110 de la Ley en comento, del que se lee, que se clasifica como reservada la información contenida en todas y cada una de las Bases de Datos del Sistema Nacional de Información,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 sin que dicho precepto legal se advierta la reserva de la información de los procedimientos de licitación pública para obtención o arrendamiento de bienes muebles destinados a la seguridad pública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este caso las patrullas. </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se considera que no es reservada, porque no se revela el estado de fuerza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esto es, no se revela el número de elementos destinados a acciones operativas, no causa daño a la seguridad pública. </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no se logra advertir la forma en que la información requerida, pueda afectar la seguridad pública del Municipio de Atizapán de Zaragoza; además, contrario a lo señalado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este Instituto no advierte un riesgo real, demostrable e identificable que supere al interés público o bien perjudique la seguridad pública, pues como se precisó en párrafos anteriores, la información requerida no da cuenta de la forma de actuación, estrategias o equipo con el que cuenta la Dirección de Seguridad Pública, tampoco precisa la capacidad de reacción o la forma de organización para prevenir delitos, ni de actuaciones en averiguaciones previas, carpetas de investigación o bien, la intervención de comunicaciones privadas.</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preliminar, se robustece con el hecho de que dar a conocer el contrato y el procedimiento de licitación pública para el arrendamiento de las patrullas, no brinda información que pudiera ser utilizada por personas con la finalidad de cometer algún ilícito, pues si bien constituye o se identifica el número de patrullas, este no refleja la capacidad de reacción, ya que este, se conforma entre otras cosas por el equipo con el que cuenta la Dirección de Seguridad Pública, como lo son, el armamento, operativos, estrategias y habilidades; asimismo, no es posible identificar el riesgo de perjuicio que supondría la divulgación dicha información o que constituya procedimientos, métodos, fuentes, especificaciones técnicas, tecnología o equipo útiles a la generación de inteligencia utilizado en la prevención </w:t>
      </w:r>
      <w:r>
        <w:rPr>
          <w:rFonts w:ascii="Palatino Linotype" w:eastAsia="Palatino Linotype" w:hAnsi="Palatino Linotype" w:cs="Palatino Linotype"/>
        </w:rPr>
        <w:lastRenderedPageBreak/>
        <w:t>de los delitos del orden común, pues únicamente se estarían revelando información derivada de un procedimiento de licitación pública, sin precisar información específica de sus estrategias, actividades y habilidades para combatir la delincuencia.</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que dar a conocer </w:t>
      </w:r>
      <w:r>
        <w:rPr>
          <w:rFonts w:ascii="Palatino Linotype" w:eastAsia="Palatino Linotype" w:hAnsi="Palatino Linotype" w:cs="Palatino Linotype"/>
          <w:b/>
          <w:u w:val="single"/>
        </w:rPr>
        <w:t>contrato de arrendamiento de unidades vehiculares (patrullas de seguridad pública) de la administración pública municipal 2022-2024, así como el proceso de adjudicación respectivo y fallo de adjudicación, emitido por el comité de arrendamientos, adquisiciones de inmuebles y enajenaciones</w:t>
      </w:r>
      <w:r>
        <w:rPr>
          <w:rFonts w:ascii="Palatino Linotype" w:eastAsia="Palatino Linotype" w:hAnsi="Palatino Linotype" w:cs="Palatino Linotype"/>
        </w:rPr>
        <w:t>, revelaría:</w:t>
      </w:r>
    </w:p>
    <w:p w:rsidR="005A3DCE" w:rsidRDefault="006E488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características y equipamiento con el que cuentan las unidades adscritas a la Dirección de Seguridad Pública y Tránsito Municipal de Atizapán de Zaragoza. </w:t>
      </w:r>
    </w:p>
    <w:p w:rsidR="005A3DCE" w:rsidRDefault="006E488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sistema de geo-localización con el que cuentan las unidades adscritas a la Dirección de Seguridad Pública y Tránsito Municipal de Atizapán de Zaragoza.</w:t>
      </w: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al tratarse de información relacionada con la adquisición de bienes en materia de seguridad pública, pudiera obrar información susceptible de clasificarse. En tal sentido,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analizar el contenido de los documentos a proporcionar, en razón de que, en las especificaciones de los bienes adquiridos pudiera obrar información, entre otra, la siguiente:</w:t>
      </w:r>
    </w:p>
    <w:p w:rsidR="005A3DCE" w:rsidRDefault="005A3DCE">
      <w:pPr>
        <w:spacing w:line="360" w:lineRule="auto"/>
        <w:jc w:val="both"/>
        <w:rPr>
          <w:rFonts w:ascii="Palatino Linotype" w:eastAsia="Palatino Linotype" w:hAnsi="Palatino Linotype" w:cs="Palatino Linotype"/>
        </w:rPr>
      </w:pPr>
    </w:p>
    <w:p w:rsidR="005A3DCE" w:rsidRDefault="006E4886">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Equipamiento de seguridad;</w:t>
      </w:r>
    </w:p>
    <w:p w:rsidR="005A3DCE" w:rsidRDefault="006E4886">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Armamento;</w:t>
      </w:r>
    </w:p>
    <w:p w:rsidR="005A3DCE" w:rsidRDefault="006E4886">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Nivel de blindaje de vehículos;</w:t>
      </w:r>
    </w:p>
    <w:p w:rsidR="005A3DCE" w:rsidRDefault="006E4886">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Modificaciones adicionales tanto a carrocería como al motor;</w:t>
      </w:r>
    </w:p>
    <w:p w:rsidR="005A3DCE" w:rsidRDefault="006E4886">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Placas antibalas;</w:t>
      </w:r>
    </w:p>
    <w:p w:rsidR="005A3DCE" w:rsidRDefault="006E4886">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Radiofrecuencia.</w:t>
      </w:r>
    </w:p>
    <w:p w:rsidR="005A3DCE" w:rsidRDefault="005A3D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5A3DCE" w:rsidRDefault="006E488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cuales, en su descripción, detallan información como; materiales, calibre, nivel de blindaje, placas antibalas con las que cuenta, medidas, dimensiones, armamento y demás información cuya divulgación supone un riesgo para la vida de los policías, por lo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analizar cada uno de los elementos adquiridos a efecto de ponderar entre, hacer pública o clasificar parcial la información. Se insiste, se deberá valorar cada uno de los bienes.</w:t>
      </w:r>
    </w:p>
    <w:p w:rsidR="005A3DCE" w:rsidRDefault="006E48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Adicional a lo expuesto, se señala que la información que en su caso encuadra en la clasificación como reservada, es de acuerdo al artículo 81 de la Ley de Seguridad del Estado de México, la siguiente:</w:t>
      </w:r>
    </w:p>
    <w:p w:rsidR="005A3DCE" w:rsidRDefault="006E4886">
      <w:pPr>
        <w:spacing w:before="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w:t>
      </w:r>
    </w:p>
    <w:p w:rsidR="005A3DCE" w:rsidRDefault="006E488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obstante, lo anterior, esta información </w:t>
      </w:r>
      <w:r>
        <w:rPr>
          <w:rFonts w:ascii="Palatino Linotype" w:eastAsia="Palatino Linotype" w:hAnsi="Palatino Linotype" w:cs="Palatino Linotype"/>
          <w:b/>
          <w:i/>
          <w:sz w:val="22"/>
          <w:szCs w:val="22"/>
        </w:rPr>
        <w:t>se considerará reservada en los casos siguientes:</w:t>
      </w:r>
    </w:p>
    <w:p w:rsidR="005A3DCE" w:rsidRDefault="006E488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Aquella cuya divulgación implique la revelación de </w:t>
      </w:r>
      <w:r>
        <w:rPr>
          <w:rFonts w:ascii="Palatino Linotype" w:eastAsia="Palatino Linotype" w:hAnsi="Palatino Linotype" w:cs="Palatino Linotype"/>
          <w:i/>
          <w:sz w:val="22"/>
          <w:szCs w:val="22"/>
        </w:rPr>
        <w:t xml:space="preserve">normas, procedimientos, métodos, fuentes, </w:t>
      </w:r>
      <w:r>
        <w:rPr>
          <w:rFonts w:ascii="Palatino Linotype" w:eastAsia="Palatino Linotype" w:hAnsi="Palatino Linotype" w:cs="Palatino Linotype"/>
          <w:b/>
          <w:i/>
          <w:sz w:val="22"/>
          <w:szCs w:val="22"/>
        </w:rPr>
        <w:t>especificaciones técnicas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sistemas, tecnología o equipos útiles a la generación de inteligencia para la seguridad pública o el combate a la delincuencia en el Estado de México;</w:t>
      </w:r>
    </w:p>
    <w:p w:rsidR="005A3DCE" w:rsidRDefault="006E488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Aquella cuya revelación pueda ser utilizada para actualizar o potenciar una amenaza a la seguridad pública o a las instituciones del Estado de México;</w:t>
      </w:r>
    </w:p>
    <w:p w:rsidR="005A3DCE" w:rsidRDefault="006E488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relativa a los servidores públicos integrantes de las instituciones de seguridad pública, cuya revelación pueda poner en riesgo su vida e integridad física con motivo de sus funciones;</w:t>
      </w:r>
    </w:p>
    <w:p w:rsidR="005A3DCE" w:rsidRDefault="006E488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La que sea producto de una intervención de comunicaciones privadas autorizadas conforme a la Constitución Federal y las disposiciones legales correspondientes; y</w:t>
      </w:r>
    </w:p>
    <w:p w:rsidR="005A3DCE" w:rsidRDefault="006E488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contenida en averiguaciones previas, carpetas de investigación, expedientes y demás archivos relativos a la investigación para la prevención y la investigación de los delitos y faltas administrativas, en términos de las disposiciones aplicables. La inobservancia a lo anterior se sancionará de conformidad con las disposiciones aplicables.” (Sic)</w:t>
      </w:r>
    </w:p>
    <w:p w:rsidR="005A3DCE" w:rsidRDefault="005A3DCE">
      <w:pPr>
        <w:ind w:left="851" w:right="900"/>
        <w:jc w:val="both"/>
        <w:rPr>
          <w:rFonts w:ascii="Palatino Linotype" w:eastAsia="Palatino Linotype" w:hAnsi="Palatino Linotype" w:cs="Palatino Linotype"/>
          <w:i/>
          <w:sz w:val="22"/>
          <w:szCs w:val="22"/>
        </w:rPr>
      </w:pPr>
    </w:p>
    <w:p w:rsidR="005A3DCE" w:rsidRDefault="006E48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Dentro de las cuales se advierte como información reservada las especificaciones técnicas, sistemas de tecnología o equipos útiles a la generación de inteligencia para la seguridad pública; luego entonces en los documentos que se deban entregar al </w:t>
      </w:r>
      <w:r>
        <w:rPr>
          <w:rFonts w:ascii="Palatino Linotype" w:eastAsia="Palatino Linotype" w:hAnsi="Palatino Linotype" w:cs="Palatino Linotype"/>
          <w:b/>
        </w:rPr>
        <w:t>RECURRENTE</w:t>
      </w:r>
      <w:r>
        <w:rPr>
          <w:rFonts w:ascii="Palatino Linotype" w:eastAsia="Palatino Linotype" w:hAnsi="Palatino Linotype" w:cs="Palatino Linotype"/>
        </w:rPr>
        <w:t>, se encuentran contenidas las especificaciones de las unidades, se deberá remitir en versión pública.</w:t>
      </w:r>
    </w:p>
    <w:p w:rsidR="005A3DCE" w:rsidRDefault="006E48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tampoco puede pasar desapercibido que el particular no solicitó dar a conocer las especificaciones técnicas del equipo patrulla y mucho menos el uso y las estrategias implementadas a las mismas, como ya se ha señalado en párrafos anteriores.</w:t>
      </w:r>
    </w:p>
    <w:p w:rsidR="005A3DCE" w:rsidRDefault="006E4886">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color w:val="000000"/>
        </w:rPr>
        <w:t xml:space="preserve">Razones por las cuales lo procedente es ordenar el procedimiento de licitación pública para el arrendamiento de las patrullas de seguridad pública de la Administración Pública Municipal de Atizapán de Zaragoza 2022-2024; en el que se incluya el contrato, las empresas que participaron, fallo de adjudicación emitido por el comité de arrendamientos, adquisiciones de inmuebles y enajenaciones, y en </w:t>
      </w:r>
      <w:r>
        <w:rPr>
          <w:rFonts w:ascii="Palatino Linotype" w:eastAsia="Palatino Linotype" w:hAnsi="Palatino Linotype" w:cs="Palatino Linotype"/>
          <w:color w:val="000000"/>
        </w:rPr>
        <w:lastRenderedPageBreak/>
        <w:t>versión pública conforme a lo señalado por el considerando quinto del presente fallo.</w:t>
      </w:r>
    </w:p>
    <w:p w:rsidR="005A3DCE" w:rsidRDefault="005A3D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w:t>
      </w:r>
      <w:proofErr w:type="spellStart"/>
      <w:r>
        <w:rPr>
          <w:rFonts w:ascii="Palatino Linotype" w:eastAsia="Palatino Linotype" w:hAnsi="Palatino Linotype" w:cs="Palatino Linotype"/>
        </w:rPr>
        <w:t>de el</w:t>
      </w:r>
      <w:proofErr w:type="spellEnd"/>
      <w:r>
        <w:rPr>
          <w:rFonts w:ascii="Palatino Linotype" w:eastAsia="Palatino Linotype" w:hAnsi="Palatino Linotype" w:cs="Palatino Linotype"/>
        </w:rPr>
        <w:t xml:space="preserve"> RECURRENTE sin menoscabar el derecho a la protección de los datos personales de terceros.</w:t>
      </w:r>
    </w:p>
    <w:p w:rsidR="005A3DCE" w:rsidRDefault="005A3DCE">
      <w:pPr>
        <w:spacing w:line="360" w:lineRule="auto"/>
        <w:jc w:val="both"/>
        <w:rPr>
          <w:rFonts w:ascii="Palatino Linotype" w:eastAsia="Palatino Linotype" w:hAnsi="Palatino Linotype" w:cs="Palatino Linotype"/>
        </w:rPr>
      </w:pPr>
    </w:p>
    <w:p w:rsidR="005A3DCE" w:rsidRDefault="006E4886">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5A3DCE" w:rsidRDefault="006E4886">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5A3DCE" w:rsidRDefault="005A3DCE">
      <w:pPr>
        <w:ind w:left="993" w:right="1041"/>
        <w:jc w:val="both"/>
        <w:rPr>
          <w:rFonts w:ascii="Palatino Linotype" w:eastAsia="Palatino Linotype" w:hAnsi="Palatino Linotype" w:cs="Palatino Linotype"/>
          <w:i/>
          <w:sz w:val="22"/>
          <w:szCs w:val="22"/>
        </w:rPr>
      </w:pP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5A3DCE" w:rsidRDefault="005A3DCE">
      <w:pPr>
        <w:ind w:left="993" w:right="1041"/>
        <w:jc w:val="both"/>
        <w:rPr>
          <w:rFonts w:ascii="Palatino Linotype" w:eastAsia="Palatino Linotype" w:hAnsi="Palatino Linotype" w:cs="Palatino Linotype"/>
          <w:i/>
          <w:sz w:val="22"/>
          <w:szCs w:val="22"/>
        </w:rPr>
      </w:pPr>
    </w:p>
    <w:p w:rsidR="005A3DCE" w:rsidRDefault="006E4886">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A3DCE" w:rsidRDefault="005A3DCE">
      <w:pPr>
        <w:ind w:left="993" w:right="1041"/>
        <w:jc w:val="both"/>
        <w:rPr>
          <w:rFonts w:ascii="Palatino Linotype" w:eastAsia="Palatino Linotype" w:hAnsi="Palatino Linotype" w:cs="Palatino Linotype"/>
          <w:b/>
          <w:i/>
          <w:sz w:val="22"/>
          <w:szCs w:val="22"/>
        </w:rPr>
      </w:pP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5A3DCE" w:rsidRDefault="006E4886">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5A3DCE" w:rsidRDefault="005A3DCE">
      <w:pPr>
        <w:ind w:left="993" w:right="1041"/>
        <w:jc w:val="both"/>
        <w:rPr>
          <w:rFonts w:ascii="Palatino Linotype" w:eastAsia="Palatino Linotype" w:hAnsi="Palatino Linotype" w:cs="Palatino Linotype"/>
          <w:i/>
          <w:sz w:val="22"/>
          <w:szCs w:val="22"/>
        </w:rPr>
      </w:pPr>
    </w:p>
    <w:p w:rsidR="005A3DCE" w:rsidRDefault="006E488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esto es, </w:t>
      </w:r>
      <w:r>
        <w:rPr>
          <w:rFonts w:ascii="Palatino Linotype" w:eastAsia="Palatino Linotype" w:hAnsi="Palatino Linotype" w:cs="Palatino Linotype"/>
        </w:rPr>
        <w:lastRenderedPageBreak/>
        <w:t>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5A3DCE" w:rsidRDefault="005A3DCE">
      <w:pPr>
        <w:spacing w:line="360" w:lineRule="auto"/>
        <w:ind w:right="51"/>
        <w:jc w:val="both"/>
        <w:rPr>
          <w:rFonts w:ascii="Palatino Linotype" w:eastAsia="Palatino Linotype" w:hAnsi="Palatino Linotype" w:cs="Palatino Linotype"/>
        </w:rPr>
      </w:pPr>
    </w:p>
    <w:p w:rsidR="005A3DCE" w:rsidRDefault="006E4886">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5A3DCE" w:rsidRDefault="005A3DCE">
      <w:pPr>
        <w:spacing w:line="360" w:lineRule="auto"/>
        <w:ind w:right="51"/>
        <w:jc w:val="both"/>
        <w:rPr>
          <w:rFonts w:ascii="Palatino Linotype" w:eastAsia="Palatino Linotype" w:hAnsi="Palatino Linotype" w:cs="Palatino Linotype"/>
        </w:rPr>
      </w:pPr>
    </w:p>
    <w:p w:rsidR="005A3DCE" w:rsidRDefault="006E488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5A3DCE" w:rsidRDefault="005A3DCE">
      <w:pPr>
        <w:spacing w:line="360" w:lineRule="auto"/>
        <w:ind w:right="51"/>
        <w:jc w:val="both"/>
        <w:rPr>
          <w:rFonts w:ascii="Palatino Linotype" w:eastAsia="Palatino Linotype" w:hAnsi="Palatino Linotype" w:cs="Palatino Linotype"/>
        </w:rPr>
      </w:pP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5A3DCE" w:rsidRDefault="006E488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 (Sic)</w:t>
      </w:r>
    </w:p>
    <w:p w:rsidR="005A3DCE" w:rsidRDefault="005A3DCE">
      <w:pPr>
        <w:ind w:left="992" w:right="1043"/>
        <w:jc w:val="both"/>
        <w:rPr>
          <w:rFonts w:ascii="Palatino Linotype" w:eastAsia="Palatino Linotype" w:hAnsi="Palatino Linotype" w:cs="Palatino Linotype"/>
          <w:i/>
          <w:sz w:val="22"/>
          <w:szCs w:val="22"/>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A3DCE" w:rsidRDefault="005A3DCE">
      <w:pPr>
        <w:spacing w:line="360" w:lineRule="auto"/>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5A3DCE" w:rsidRDefault="005A3DCE">
      <w:pPr>
        <w:spacing w:line="360" w:lineRule="auto"/>
        <w:jc w:val="both"/>
        <w:rPr>
          <w:rFonts w:ascii="Palatino Linotype" w:eastAsia="Palatino Linotype" w:hAnsi="Palatino Linotype" w:cs="Palatino Linotype"/>
        </w:rPr>
      </w:pPr>
    </w:p>
    <w:p w:rsidR="005A3DCE" w:rsidRDefault="006E4886">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5A3DCE" w:rsidRDefault="005A3DCE">
      <w:pPr>
        <w:spacing w:before="240" w:line="360" w:lineRule="auto"/>
        <w:ind w:right="51"/>
        <w:jc w:val="both"/>
        <w:rPr>
          <w:rFonts w:ascii="Palatino Linotype" w:eastAsia="Palatino Linotype" w:hAnsi="Palatino Linotype" w:cs="Palatino Linotype"/>
          <w:i/>
          <w:sz w:val="22"/>
          <w:szCs w:val="22"/>
        </w:rPr>
      </w:pPr>
    </w:p>
    <w:p w:rsidR="005A3DCE" w:rsidRDefault="006E488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A3DCE" w:rsidRDefault="005A3DCE">
      <w:pPr>
        <w:spacing w:line="360" w:lineRule="auto"/>
        <w:ind w:right="51"/>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Es así, que </w:t>
      </w:r>
      <w:r>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5A3DCE" w:rsidRDefault="005A3DCE">
      <w:pPr>
        <w:spacing w:line="360" w:lineRule="auto"/>
        <w:ind w:right="50"/>
        <w:jc w:val="both"/>
        <w:rPr>
          <w:rFonts w:ascii="Palatino Linotype" w:eastAsia="Palatino Linotype" w:hAnsi="Palatino Linotype" w:cs="Palatino Linotype"/>
        </w:rPr>
      </w:pPr>
    </w:p>
    <w:p w:rsidR="005A3DCE" w:rsidRDefault="006E488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5A3DCE" w:rsidRDefault="005A3DCE">
      <w:pPr>
        <w:spacing w:line="360" w:lineRule="auto"/>
        <w:ind w:right="51"/>
        <w:jc w:val="both"/>
        <w:rPr>
          <w:rFonts w:ascii="Palatino Linotype" w:eastAsia="Palatino Linotype" w:hAnsi="Palatino Linotype" w:cs="Palatino Linotype"/>
        </w:rPr>
      </w:pPr>
    </w:p>
    <w:p w:rsidR="005A3DCE" w:rsidRDefault="006E4886">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rsidR="005A3DCE" w:rsidRDefault="005A3DCE">
      <w:pPr>
        <w:ind w:right="50"/>
        <w:jc w:val="both"/>
        <w:rPr>
          <w:rFonts w:ascii="Palatino Linotype" w:eastAsia="Palatino Linotype" w:hAnsi="Palatino Linotype" w:cs="Palatino Linotype"/>
        </w:rPr>
      </w:pPr>
    </w:p>
    <w:p w:rsidR="005A3DCE" w:rsidRDefault="006E4886">
      <w:pPr>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5A3DCE" w:rsidRDefault="005A3DCE">
      <w:pPr>
        <w:ind w:left="851" w:right="899"/>
        <w:jc w:val="center"/>
        <w:rPr>
          <w:rFonts w:ascii="Palatino Linotype" w:eastAsia="Palatino Linotype" w:hAnsi="Palatino Linotype" w:cs="Palatino Linotype"/>
          <w:b/>
          <w:i/>
          <w:sz w:val="22"/>
          <w:szCs w:val="22"/>
        </w:rPr>
      </w:pPr>
    </w:p>
    <w:p w:rsidR="005A3DCE" w:rsidRDefault="006E4886">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5A3DCE" w:rsidRDefault="005A3DCE">
      <w:pPr>
        <w:ind w:right="50"/>
        <w:jc w:val="both"/>
        <w:rPr>
          <w:rFonts w:ascii="Palatino Linotype" w:eastAsia="Palatino Linotype" w:hAnsi="Palatino Linotype" w:cs="Palatino Linotype"/>
        </w:rPr>
      </w:pPr>
    </w:p>
    <w:p w:rsidR="005A3DCE" w:rsidRDefault="006E4886">
      <w:pPr>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5A3DCE" w:rsidRDefault="005A3DCE">
      <w:pPr>
        <w:spacing w:line="360" w:lineRule="auto"/>
        <w:ind w:right="51"/>
        <w:jc w:val="both"/>
        <w:rPr>
          <w:rFonts w:ascii="Palatino Linotype" w:eastAsia="Palatino Linotype" w:hAnsi="Palatino Linotype" w:cs="Palatino Linotype"/>
        </w:rPr>
      </w:pPr>
    </w:p>
    <w:p w:rsidR="005A3DCE" w:rsidRDefault="006E488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w:t>
      </w:r>
      <w:r>
        <w:rPr>
          <w:rFonts w:ascii="Palatino Linotype" w:eastAsia="Palatino Linotype" w:hAnsi="Palatino Linotype" w:cs="Palatino Linotype"/>
        </w:rPr>
        <w:lastRenderedPageBreak/>
        <w:t>contratistas, dichos datos no deben ser suprimidos de las facturas y contratos que vayan a ser entregados.</w:t>
      </w:r>
    </w:p>
    <w:p w:rsidR="005A3DCE" w:rsidRDefault="006E488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5A3DCE" w:rsidRDefault="006E488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w:t>
      </w:r>
      <w:r>
        <w:rPr>
          <w:rFonts w:ascii="Palatino Linotype" w:eastAsia="Palatino Linotype" w:hAnsi="Palatino Linotype" w:cs="Palatino Linotype"/>
        </w:rPr>
        <w:lastRenderedPageBreak/>
        <w:t xml:space="preserve">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5A3DCE" w:rsidRDefault="005A3DCE">
      <w:pPr>
        <w:ind w:left="709" w:right="709"/>
        <w:jc w:val="both"/>
        <w:rPr>
          <w:rFonts w:ascii="Palatino Linotype" w:eastAsia="Palatino Linotype" w:hAnsi="Palatino Linotype" w:cs="Palatino Linotype"/>
          <w:b/>
          <w:i/>
          <w:sz w:val="22"/>
          <w:szCs w:val="22"/>
        </w:rPr>
      </w:pPr>
    </w:p>
    <w:p w:rsidR="005A3DCE" w:rsidRDefault="006E4886">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Pr>
          <w:rFonts w:ascii="Palatino Linotype" w:eastAsia="Palatino Linotype" w:hAnsi="Palatino Linotype" w:cs="Palatino Linotype"/>
          <w:i/>
          <w:sz w:val="22"/>
          <w:szCs w:val="22"/>
        </w:rPr>
        <w:lastRenderedPageBreak/>
        <w:t>documentos antes de que se genere la información o cuando éstos no obren en sus archivos.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A3DCE" w:rsidRDefault="006E4886">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5A3DCE" w:rsidRDefault="006E4886">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5A3DCE" w:rsidRDefault="006E4886">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A3DCE" w:rsidRDefault="006E4886">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0"/>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A3DCE">
        <w:trPr>
          <w:jc w:val="center"/>
        </w:trPr>
        <w:tc>
          <w:tcPr>
            <w:tcW w:w="1159" w:type="dxa"/>
            <w:tcBorders>
              <w:top w:val="nil"/>
              <w:left w:val="nil"/>
              <w:bottom w:val="single" w:sz="4" w:space="0" w:color="000000"/>
              <w:right w:val="single" w:sz="4" w:space="0" w:color="000000"/>
            </w:tcBorders>
          </w:tcPr>
          <w:p w:rsidR="005A3DCE" w:rsidRDefault="005A3DC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5A3DCE">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5A3DCE" w:rsidRDefault="006E4886">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i/>
              </w:rPr>
              <w:t>anotarán</w:t>
            </w:r>
            <w:proofErr w:type="gramEnd"/>
            <w:r>
              <w:rPr>
                <w:rFonts w:ascii="Palatino Linotype" w:eastAsia="Palatino Linotype" w:hAnsi="Palatino Linotype" w:cs="Palatino Linotype"/>
                <w:i/>
              </w:rPr>
              <w:t xml:space="preserve"> todas las páginas que lo conforman. Si el documento no contiene información reservada, se tachará este apartado.</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5A3DCE" w:rsidRDefault="006E4886">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5A3D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A3DCE"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A3DCE" w:rsidRDefault="006E4886">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5A3DCE" w:rsidRDefault="006E4886">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5A3DCE" w:rsidRDefault="005A3DCE">
      <w:pPr>
        <w:spacing w:line="360" w:lineRule="auto"/>
        <w:jc w:val="both"/>
        <w:rPr>
          <w:rFonts w:ascii="Palatino Linotype" w:eastAsia="Palatino Linotype" w:hAnsi="Palatino Linotype" w:cs="Palatino Linotype"/>
        </w:rPr>
      </w:pPr>
    </w:p>
    <w:p w:rsidR="005A3DCE" w:rsidRDefault="006E4886">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Pr>
          <w:rFonts w:ascii="Palatino Linotype" w:eastAsia="Palatino Linotype" w:hAnsi="Palatino Linotype" w:cs="Palatino Linotype"/>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5A3DCE" w:rsidRDefault="005A3DCE">
      <w:pPr>
        <w:shd w:val="clear" w:color="auto" w:fill="FFFFFF"/>
        <w:spacing w:line="360" w:lineRule="auto"/>
        <w:ind w:right="51"/>
        <w:jc w:val="both"/>
        <w:rPr>
          <w:rFonts w:ascii="Palatino Linotype" w:eastAsia="Palatino Linotype" w:hAnsi="Palatino Linotype" w:cs="Palatino Linotype"/>
        </w:rPr>
      </w:pPr>
    </w:p>
    <w:p w:rsidR="005A3DCE" w:rsidRDefault="006E48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5A3DCE" w:rsidRDefault="005A3DCE">
      <w:pPr>
        <w:spacing w:line="360" w:lineRule="auto"/>
        <w:jc w:val="both"/>
        <w:rPr>
          <w:rFonts w:ascii="Palatino Linotype" w:eastAsia="Palatino Linotype" w:hAnsi="Palatino Linotype" w:cs="Palatino Linotype"/>
        </w:rPr>
      </w:pPr>
    </w:p>
    <w:p w:rsidR="005A3DCE" w:rsidRDefault="006E48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5A3DCE" w:rsidRDefault="006E4886">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5A3DCE" w:rsidRDefault="006E48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06699/INFOEM/IP/RR/2022,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5A3DCE" w:rsidRDefault="006E48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 los Considerandos Cuarto y Quinto de la presente resolución, haga entrega vía SAIMEX y en versión pública, del documento o documentos en donde conste lo siguiente:</w:t>
      </w:r>
    </w:p>
    <w:p w:rsidR="005A3DCE" w:rsidRDefault="006E4886">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procedimiento de licitación pública para el arrendamiento de las patrullas de seguridad pública de la Administración Pública Municipal de Atizapán de Zaragoza 2022-2024, el cual debe incluir el contrato, las empresas que participaron, fallo de adjudicación emitido por el comité de arrendamientos, adquisiciones de inmuebles y enajenaciones</w:t>
      </w:r>
    </w:p>
    <w:p w:rsidR="005A3DCE" w:rsidRDefault="006E4886">
      <w:pPr>
        <w:spacing w:before="240" w:line="360"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w:t>
      </w:r>
      <w:bookmarkStart w:id="1" w:name="_GoBack"/>
      <w:bookmarkEnd w:id="1"/>
      <w:r>
        <w:rPr>
          <w:rFonts w:ascii="Palatino Linotype" w:eastAsia="Palatino Linotype" w:hAnsi="Palatino Linotype" w:cs="Palatino Linotype"/>
          <w:i/>
          <w:sz w:val="22"/>
          <w:szCs w:val="22"/>
        </w:rPr>
        <w:t>ormulen y se pongan a disposición del recurrente, mismo que igualmente hará de su conocimiento.</w:t>
      </w:r>
    </w:p>
    <w:p w:rsidR="005A3DCE" w:rsidRDefault="005A3DCE">
      <w:pPr>
        <w:spacing w:line="360" w:lineRule="auto"/>
        <w:ind w:left="567"/>
        <w:jc w:val="both"/>
        <w:rPr>
          <w:rFonts w:ascii="Palatino Linotype" w:eastAsia="Palatino Linotype" w:hAnsi="Palatino Linotype" w:cs="Palatino Linotype"/>
          <w:b/>
          <w:i/>
          <w:sz w:val="22"/>
          <w:szCs w:val="22"/>
        </w:rPr>
      </w:pPr>
    </w:p>
    <w:p w:rsidR="005A3DCE" w:rsidRDefault="006E4886">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5A3DCE" w:rsidRDefault="005A3DCE">
      <w:pPr>
        <w:spacing w:line="360" w:lineRule="auto"/>
        <w:jc w:val="both"/>
        <w:rPr>
          <w:rFonts w:ascii="Palatino Linotype" w:eastAsia="Palatino Linotype" w:hAnsi="Palatino Linotype" w:cs="Palatino Linotype"/>
          <w:highlight w:val="white"/>
        </w:rPr>
      </w:pPr>
    </w:p>
    <w:p w:rsidR="00B106FD" w:rsidRDefault="006E4886" w:rsidP="00B106F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sidR="00B106FD" w:rsidRPr="00883235">
        <w:rPr>
          <w:rFonts w:ascii="Palatino Linotype" w:eastAsia="Palatino Linotype" w:hAnsi="Palatino Linotype" w:cs="Palatino Linotype"/>
        </w:rPr>
        <w:t xml:space="preserve">Notifíquese, vía </w:t>
      </w:r>
      <w:r w:rsidR="00B106FD" w:rsidRPr="00883235">
        <w:rPr>
          <w:rFonts w:ascii="Palatino Linotype" w:eastAsia="Palatino Linotype" w:hAnsi="Palatino Linotype" w:cs="Palatino Linotype"/>
          <w:b/>
        </w:rPr>
        <w:t>SAIMEX</w:t>
      </w:r>
      <w:r w:rsidR="00B106FD" w:rsidRPr="00883235">
        <w:rPr>
          <w:rFonts w:ascii="Palatino Linotype" w:eastAsia="Palatino Linotype" w:hAnsi="Palatino Linotype" w:cs="Palatino Linotype"/>
        </w:rPr>
        <w:t xml:space="preserve">, a la parte </w:t>
      </w:r>
      <w:r w:rsidR="00B106FD" w:rsidRPr="00883235">
        <w:rPr>
          <w:rFonts w:ascii="Palatino Linotype" w:eastAsia="Palatino Linotype" w:hAnsi="Palatino Linotype" w:cs="Palatino Linotype"/>
          <w:b/>
        </w:rPr>
        <w:t>RECURRENTE</w:t>
      </w:r>
      <w:r w:rsidR="00B106FD" w:rsidRPr="0088323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5A3DCE" w:rsidRDefault="006E488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5A3DCE" w:rsidRDefault="006E4886">
      <w:pPr>
        <w:spacing w:before="240" w:after="240" w:line="360" w:lineRule="auto"/>
        <w:jc w:val="both"/>
        <w:rPr>
          <w:rFonts w:ascii="Palatino Linotype" w:eastAsia="Palatino Linotype" w:hAnsi="Palatino Linotype" w:cs="Palatino Linotype"/>
        </w:rPr>
        <w:sectPr w:rsidR="005A3DCE">
          <w:headerReference w:type="default" r:id="rId22"/>
          <w:footerReference w:type="default" r:id="rId23"/>
          <w:headerReference w:type="first" r:id="rId24"/>
          <w:footerReference w:type="first" r:id="rId25"/>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EMITIENDO VOTO PARTICULAR, LUIS GUSTAVO PARRA NORIEGA EMITIENDO VOTO PARTICULAR Y GUADALUPE RAMÍREZ PEÑA; EN LA TRIGÉSIMA SEGUNDA SESIÓN ORDINARIA CELEBRADA EL SIETE</w:t>
      </w:r>
      <w:r>
        <w:rPr>
          <w:rFonts w:ascii="Palatino Linotype" w:eastAsia="Palatino Linotype" w:hAnsi="Palatino Linotype" w:cs="Palatino Linotype"/>
        </w:rPr>
        <w:t xml:space="preserve"> DE SEPTIEMBRE DEL DOS MIL VEINTIDÓS, ANTE EL SECRETARIO TÉCNICO DEL PLENO ALEXIS TAPIA RAMÍREZ.    </w:t>
      </w:r>
    </w:p>
    <w:p w:rsidR="005A3DCE" w:rsidRDefault="005A3DCE">
      <w:pPr>
        <w:spacing w:before="240" w:after="240" w:line="360" w:lineRule="auto"/>
        <w:jc w:val="both"/>
        <w:rPr>
          <w:rFonts w:ascii="Palatino Linotype" w:eastAsia="Palatino Linotype" w:hAnsi="Palatino Linotype" w:cs="Palatino Linotype"/>
        </w:rPr>
      </w:pPr>
    </w:p>
    <w:sectPr w:rsidR="005A3DCE">
      <w:headerReference w:type="first" r:id="rId2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3EA" w:rsidRDefault="004E73EA">
      <w:r>
        <w:separator/>
      </w:r>
    </w:p>
  </w:endnote>
  <w:endnote w:type="continuationSeparator" w:id="0">
    <w:p w:rsidR="004E73EA" w:rsidRDefault="004E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3EA" w:rsidRDefault="004E73E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203E7">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203E7">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rsidR="004E73EA" w:rsidRDefault="004E73EA">
    <w:pPr>
      <w:pBdr>
        <w:top w:val="nil"/>
        <w:left w:val="nil"/>
        <w:bottom w:val="nil"/>
        <w:right w:val="nil"/>
        <w:between w:val="nil"/>
      </w:pBdr>
      <w:tabs>
        <w:tab w:val="center" w:pos="4252"/>
        <w:tab w:val="right" w:pos="8504"/>
      </w:tabs>
      <w:rPr>
        <w:color w:val="000000"/>
      </w:rPr>
    </w:pPr>
  </w:p>
  <w:p w:rsidR="004E73EA" w:rsidRDefault="004E73E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3EA" w:rsidRDefault="004E73E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203E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203E7">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rsidR="004E73EA" w:rsidRDefault="004E73E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3EA" w:rsidRDefault="004E73EA">
      <w:r>
        <w:separator/>
      </w:r>
    </w:p>
  </w:footnote>
  <w:footnote w:type="continuationSeparator" w:id="0">
    <w:p w:rsidR="004E73EA" w:rsidRDefault="004E73EA">
      <w:r>
        <w:continuationSeparator/>
      </w:r>
    </w:p>
  </w:footnote>
  <w:footnote w:id="1">
    <w:p w:rsidR="004E73EA" w:rsidRDefault="004E73E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rsidR="004E73EA" w:rsidRDefault="004E73E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rsidR="004E73EA" w:rsidRDefault="004E73E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rsidR="004E73EA" w:rsidRDefault="004E73E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 w:id="2">
    <w:p w:rsidR="004E73EA" w:rsidRDefault="004E73E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rsidR="004E73EA" w:rsidRDefault="004E73E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3EA" w:rsidRDefault="004E73EA">
    <w:pPr>
      <w:widowControl w:val="0"/>
      <w:pBdr>
        <w:top w:val="nil"/>
        <w:left w:val="nil"/>
        <w:bottom w:val="nil"/>
        <w:right w:val="nil"/>
        <w:between w:val="nil"/>
      </w:pBdr>
      <w:spacing w:line="276" w:lineRule="auto"/>
      <w:rPr>
        <w:rFonts w:ascii="Calibri" w:eastAsia="Calibri" w:hAnsi="Calibri" w:cs="Calibri"/>
        <w:color w:val="000000"/>
      </w:rPr>
    </w:pPr>
  </w:p>
  <w:tbl>
    <w:tblPr>
      <w:tblStyle w:val="a2"/>
      <w:tblW w:w="5528" w:type="dxa"/>
      <w:tblInd w:w="3261" w:type="dxa"/>
      <w:tblLayout w:type="fixed"/>
      <w:tblLook w:val="0400" w:firstRow="0" w:lastRow="0" w:firstColumn="0" w:lastColumn="0" w:noHBand="0" w:noVBand="1"/>
    </w:tblPr>
    <w:tblGrid>
      <w:gridCol w:w="2551"/>
      <w:gridCol w:w="2977"/>
    </w:tblGrid>
    <w:tr w:rsidR="004E73EA">
      <w:tc>
        <w:tcPr>
          <w:tcW w:w="2551" w:type="dxa"/>
          <w:vAlign w:val="center"/>
        </w:tcPr>
        <w:p w:rsidR="004E73EA" w:rsidRDefault="004E7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4E73EA" w:rsidRDefault="004E73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06699/INFOEM/IP/RR/2022</w:t>
          </w:r>
        </w:p>
      </w:tc>
    </w:tr>
    <w:tr w:rsidR="004E73EA">
      <w:trPr>
        <w:trHeight w:val="228"/>
      </w:trPr>
      <w:tc>
        <w:tcPr>
          <w:tcW w:w="2551" w:type="dxa"/>
          <w:vAlign w:val="center"/>
        </w:tcPr>
        <w:p w:rsidR="004E73EA" w:rsidRDefault="004E7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4E73EA" w:rsidRDefault="004E73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4E73EA">
      <w:tc>
        <w:tcPr>
          <w:tcW w:w="2551" w:type="dxa"/>
          <w:vAlign w:val="center"/>
        </w:tcPr>
        <w:p w:rsidR="004E73EA" w:rsidRDefault="004E7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4E73EA" w:rsidRDefault="004E73E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E73EA" w:rsidRDefault="004E73E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3EA" w:rsidRDefault="004E73E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4E73EA">
      <w:tc>
        <w:tcPr>
          <w:tcW w:w="2551" w:type="dxa"/>
          <w:vAlign w:val="center"/>
        </w:tcPr>
        <w:p w:rsidR="004E73EA" w:rsidRDefault="004E7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4E73EA" w:rsidRDefault="004E73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06699/INFOEM/IP/RR/2022. </w:t>
          </w:r>
        </w:p>
      </w:tc>
    </w:tr>
    <w:tr w:rsidR="004E73EA">
      <w:tc>
        <w:tcPr>
          <w:tcW w:w="2551" w:type="dxa"/>
          <w:vAlign w:val="center"/>
        </w:tcPr>
        <w:p w:rsidR="004E73EA" w:rsidRDefault="004E73E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4E73EA" w:rsidRDefault="004E73EA" w:rsidP="004E73EA">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XXXXXXXXX XXXXX</w:t>
          </w:r>
        </w:p>
      </w:tc>
    </w:tr>
    <w:tr w:rsidR="004E73EA">
      <w:trPr>
        <w:trHeight w:val="228"/>
      </w:trPr>
      <w:tc>
        <w:tcPr>
          <w:tcW w:w="2551" w:type="dxa"/>
          <w:vAlign w:val="center"/>
        </w:tcPr>
        <w:p w:rsidR="004E73EA" w:rsidRDefault="004E7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4E73EA" w:rsidRDefault="004E73EA">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4E73EA">
      <w:tc>
        <w:tcPr>
          <w:tcW w:w="2551" w:type="dxa"/>
          <w:vAlign w:val="center"/>
        </w:tcPr>
        <w:p w:rsidR="004E73EA" w:rsidRDefault="004E73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4E73EA" w:rsidRDefault="004E73E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E73EA" w:rsidRDefault="004E73E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3EA" w:rsidRDefault="004E73EA">
    <w:pPr>
      <w:pBdr>
        <w:top w:val="nil"/>
        <w:left w:val="nil"/>
        <w:bottom w:val="nil"/>
        <w:right w:val="nil"/>
        <w:between w:val="nil"/>
      </w:pBdr>
      <w:tabs>
        <w:tab w:val="center" w:pos="4252"/>
        <w:tab w:val="right" w:pos="8504"/>
      </w:tabs>
      <w:jc w:val="both"/>
      <w:rPr>
        <w:rFonts w:ascii="Calibri" w:eastAsia="Calibri" w:hAnsi="Calibri" w:cs="Calibri"/>
        <w:color w:val="000000"/>
      </w:rPr>
    </w:pPr>
  </w:p>
  <w:p w:rsidR="004E73EA" w:rsidRDefault="004E73E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A81BE5"/>
    <w:multiLevelType w:val="multilevel"/>
    <w:tmpl w:val="BB506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0F065B5"/>
    <w:multiLevelType w:val="multilevel"/>
    <w:tmpl w:val="2AB0E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3EE5631"/>
    <w:multiLevelType w:val="multilevel"/>
    <w:tmpl w:val="E05A5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5E01A9A"/>
    <w:multiLevelType w:val="multilevel"/>
    <w:tmpl w:val="9814A6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741F134B"/>
    <w:multiLevelType w:val="multilevel"/>
    <w:tmpl w:val="CBDE82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CE"/>
    <w:rsid w:val="000C12F8"/>
    <w:rsid w:val="004E73EA"/>
    <w:rsid w:val="004F527C"/>
    <w:rsid w:val="005A3DCE"/>
    <w:rsid w:val="006E4886"/>
    <w:rsid w:val="00883235"/>
    <w:rsid w:val="00A14148"/>
    <w:rsid w:val="00AB6AA9"/>
    <w:rsid w:val="00B106FD"/>
    <w:rsid w:val="00D27A9B"/>
    <w:rsid w:val="00E20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D8229-0782-4970-AB10-922D0AA3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link w:val="Ttulo1Car"/>
    <w:uiPriority w:val="9"/>
    <w:qFormat/>
    <w:rsid w:val="003927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27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99"/>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147361"/>
  </w:style>
  <w:style w:type="paragraph" w:customStyle="1" w:styleId="j">
    <w:name w:val="j"/>
    <w:basedOn w:val="Normal"/>
    <w:rsid w:val="00C2090B"/>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3927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279D"/>
    <w:rPr>
      <w:rFonts w:asciiTheme="majorHAnsi" w:eastAsiaTheme="majorEastAsia" w:hAnsiTheme="majorHAnsi" w:cstheme="majorBidi"/>
      <w:color w:val="2E74B5" w:themeColor="accent1" w:themeShade="BF"/>
      <w:sz w:val="26"/>
      <w:szCs w:val="26"/>
      <w:lang w:val="es-ES" w:eastAsia="es-ES"/>
    </w:rPr>
  </w:style>
  <w:style w:type="character" w:styleId="Textoennegrita">
    <w:name w:val="Strong"/>
    <w:uiPriority w:val="22"/>
    <w:qFormat/>
    <w:rsid w:val="0039279D"/>
    <w:rPr>
      <w:b/>
      <w:bCs/>
    </w:rPr>
  </w:style>
  <w:style w:type="paragraph" w:customStyle="1" w:styleId="Texto">
    <w:name w:val="Texto"/>
    <w:basedOn w:val="Normal"/>
    <w:link w:val="TextoCar"/>
    <w:qFormat/>
    <w:rsid w:val="0039279D"/>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9279D"/>
    <w:rPr>
      <w:rFonts w:ascii="Arial" w:eastAsia="Times New Roman" w:hAnsi="Arial" w:cs="Arial"/>
      <w:sz w:val="18"/>
      <w:szCs w:val="18"/>
      <w:lang w:eastAsia="es-ES"/>
    </w:rPr>
  </w:style>
  <w:style w:type="paragraph" w:styleId="Textosinformato">
    <w:name w:val="Plain Text"/>
    <w:basedOn w:val="Normal"/>
    <w:link w:val="TextosinformatoCar"/>
    <w:rsid w:val="0039279D"/>
    <w:rPr>
      <w:rFonts w:ascii="Courier New" w:hAnsi="Courier New"/>
      <w:sz w:val="20"/>
      <w:szCs w:val="20"/>
    </w:rPr>
  </w:style>
  <w:style w:type="character" w:customStyle="1" w:styleId="TextosinformatoCar">
    <w:name w:val="Texto sin formato Car"/>
    <w:basedOn w:val="Fuentedeprrafopredeter"/>
    <w:link w:val="Textosinformato"/>
    <w:rsid w:val="0039279D"/>
    <w:rPr>
      <w:rFonts w:ascii="Courier New" w:eastAsia="Times New Roman" w:hAnsi="Courier New" w:cs="Times New Roman"/>
      <w:sz w:val="20"/>
      <w:szCs w:val="20"/>
      <w:lang w:val="es-ES" w:eastAsia="es-ES"/>
    </w:rPr>
  </w:style>
  <w:style w:type="paragraph" w:customStyle="1" w:styleId="Default">
    <w:name w:val="Default"/>
    <w:rsid w:val="0039279D"/>
    <w:pPr>
      <w:autoSpaceDE w:val="0"/>
      <w:autoSpaceDN w:val="0"/>
      <w:adjustRightInd w:val="0"/>
    </w:pPr>
    <w:rPr>
      <w:rFonts w:ascii="Arial" w:hAnsi="Arial" w:cs="Arial"/>
      <w:color w:val="000000"/>
    </w:rPr>
  </w:style>
  <w:style w:type="paragraph" w:customStyle="1" w:styleId="Standard">
    <w:name w:val="Standard"/>
    <w:rsid w:val="0039279D"/>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q">
    <w:name w:val="q"/>
    <w:basedOn w:val="Normal"/>
    <w:rsid w:val="0039279D"/>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39279D"/>
  </w:style>
  <w:style w:type="character" w:customStyle="1" w:styleId="nacep">
    <w:name w:val="n_acep"/>
    <w:basedOn w:val="Fuentedeprrafopredeter"/>
    <w:rsid w:val="0039279D"/>
  </w:style>
  <w:style w:type="character" w:customStyle="1" w:styleId="m2871584667633129156gmail-apple-converted-space">
    <w:name w:val="m_2871584667633129156gmail-apple-converted-space"/>
    <w:basedOn w:val="Fuentedeprrafopredeter"/>
    <w:rsid w:val="0039279D"/>
  </w:style>
  <w:style w:type="character" w:customStyle="1" w:styleId="m2871584667633129156gmail-msofootnotereference">
    <w:name w:val="m_2871584667633129156gmail-msofootnotereference"/>
    <w:basedOn w:val="Fuentedeprrafopredeter"/>
    <w:rsid w:val="0039279D"/>
  </w:style>
  <w:style w:type="paragraph" w:customStyle="1" w:styleId="m2871584667633129156gmail-msofootnotetext">
    <w:name w:val="m_2871584667633129156gmail-msofootnotetext"/>
    <w:basedOn w:val="Normal"/>
    <w:rsid w:val="0039279D"/>
    <w:pPr>
      <w:spacing w:before="100" w:beforeAutospacing="1" w:after="100" w:afterAutospacing="1"/>
    </w:pPr>
    <w:rPr>
      <w:lang w:val="es-MX" w:eastAsia="es-MX"/>
    </w:rPr>
  </w:style>
  <w:style w:type="paragraph" w:styleId="Textoindependiente2">
    <w:name w:val="Body Text 2"/>
    <w:basedOn w:val="Normal"/>
    <w:link w:val="Textoindependiente2Car"/>
    <w:uiPriority w:val="99"/>
    <w:unhideWhenUsed/>
    <w:rsid w:val="0039279D"/>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39279D"/>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39279D"/>
    <w:rPr>
      <w:color w:val="954F72" w:themeColor="followedHyperlink"/>
      <w:u w:val="single"/>
    </w:rPr>
  </w:style>
  <w:style w:type="paragraph" w:styleId="Lista">
    <w:name w:val="List"/>
    <w:basedOn w:val="Normal"/>
    <w:uiPriority w:val="99"/>
    <w:unhideWhenUsed/>
    <w:rsid w:val="0039279D"/>
    <w:pPr>
      <w:ind w:left="283" w:hanging="283"/>
      <w:contextualSpacing/>
    </w:pPr>
  </w:style>
  <w:style w:type="paragraph" w:styleId="Lista2">
    <w:name w:val="List 2"/>
    <w:basedOn w:val="Normal"/>
    <w:uiPriority w:val="99"/>
    <w:unhideWhenUsed/>
    <w:rsid w:val="0039279D"/>
    <w:pPr>
      <w:ind w:left="566" w:hanging="283"/>
      <w:contextualSpacing/>
    </w:pPr>
  </w:style>
  <w:style w:type="paragraph" w:styleId="Saludo">
    <w:name w:val="Salutation"/>
    <w:basedOn w:val="Normal"/>
    <w:next w:val="Normal"/>
    <w:link w:val="SaludoCar"/>
    <w:uiPriority w:val="99"/>
    <w:unhideWhenUsed/>
    <w:rsid w:val="0039279D"/>
  </w:style>
  <w:style w:type="character" w:customStyle="1" w:styleId="SaludoCar">
    <w:name w:val="Saludo Car"/>
    <w:basedOn w:val="Fuentedeprrafopredeter"/>
    <w:link w:val="Saludo"/>
    <w:uiPriority w:val="99"/>
    <w:rsid w:val="0039279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9279D"/>
    <w:pPr>
      <w:spacing w:after="120"/>
      <w:ind w:left="283"/>
    </w:pPr>
  </w:style>
  <w:style w:type="character" w:customStyle="1" w:styleId="SangradetextonormalCar">
    <w:name w:val="Sangría de texto normal Car"/>
    <w:basedOn w:val="Fuentedeprrafopredeter"/>
    <w:link w:val="Sangradetextonormal"/>
    <w:uiPriority w:val="99"/>
    <w:rsid w:val="0039279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927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9279D"/>
    <w:rPr>
      <w:rFonts w:ascii="Times New Roman" w:eastAsia="Times New Roman" w:hAnsi="Times New Roman" w:cs="Times New Roman"/>
      <w:sz w:val="24"/>
      <w:szCs w:val="24"/>
      <w:lang w:val="es-ES" w:eastAsia="es-ES"/>
    </w:rPr>
  </w:style>
  <w:style w:type="character" w:customStyle="1" w:styleId="u">
    <w:name w:val="u"/>
    <w:basedOn w:val="Fuentedeprrafopredeter"/>
    <w:rsid w:val="0039279D"/>
  </w:style>
  <w:style w:type="character" w:customStyle="1" w:styleId="TextonotapieCar1">
    <w:name w:val="Texto nota pie Car1"/>
    <w:basedOn w:val="Fuentedeprrafopredeter"/>
    <w:uiPriority w:val="99"/>
    <w:rsid w:val="0039279D"/>
    <w:rPr>
      <w:sz w:val="20"/>
      <w:szCs w:val="20"/>
    </w:rPr>
  </w:style>
  <w:style w:type="paragraph" w:customStyle="1" w:styleId="rtejustify">
    <w:name w:val="rtejustify"/>
    <w:basedOn w:val="Normal"/>
    <w:rsid w:val="0039279D"/>
    <w:pPr>
      <w:spacing w:before="100" w:beforeAutospacing="1" w:after="100" w:afterAutospacing="1"/>
    </w:pPr>
    <w:rPr>
      <w:lang w:val="es-MX" w:eastAsia="es-MX"/>
    </w:rPr>
  </w:style>
  <w:style w:type="character" w:styleId="nfasis">
    <w:name w:val="Emphasis"/>
    <w:basedOn w:val="Fuentedeprrafopredeter"/>
    <w:uiPriority w:val="20"/>
    <w:qFormat/>
    <w:rsid w:val="0039279D"/>
    <w:rPr>
      <w:i/>
      <w:iCs/>
    </w:rPr>
  </w:style>
  <w:style w:type="paragraph" w:customStyle="1" w:styleId="j1">
    <w:name w:val="j1"/>
    <w:basedOn w:val="Normal"/>
    <w:rsid w:val="0039279D"/>
    <w:pPr>
      <w:spacing w:before="100" w:beforeAutospacing="1" w:after="100" w:afterAutospacing="1"/>
    </w:pPr>
    <w:rPr>
      <w:lang w:val="es-MX" w:eastAsia="es-MX"/>
    </w:rPr>
  </w:style>
  <w:style w:type="character" w:customStyle="1" w:styleId="d">
    <w:name w:val="d"/>
    <w:basedOn w:val="Fuentedeprrafopredeter"/>
    <w:rsid w:val="0039279D"/>
  </w:style>
  <w:style w:type="character" w:customStyle="1" w:styleId="m-7180717751901043621gmail-msofootnotereference">
    <w:name w:val="m_-7180717751901043621gmail-msofootnotereference"/>
    <w:basedOn w:val="Fuentedeprrafopredeter"/>
    <w:rsid w:val="0039279D"/>
  </w:style>
  <w:style w:type="character" w:customStyle="1" w:styleId="m-3579365149168697376gmail-msofootnotereference">
    <w:name w:val="m_-3579365149168697376gmail-msofootnotereference"/>
    <w:basedOn w:val="Fuentedeprrafopredeter"/>
    <w:rsid w:val="0039279D"/>
  </w:style>
  <w:style w:type="paragraph" w:customStyle="1" w:styleId="m-3579365149168697376gmail-msofootnotetext">
    <w:name w:val="m_-3579365149168697376gmail-msofootnotetext"/>
    <w:basedOn w:val="Normal"/>
    <w:rsid w:val="0039279D"/>
    <w:pPr>
      <w:spacing w:before="100" w:beforeAutospacing="1" w:after="100" w:afterAutospacing="1"/>
    </w:pPr>
    <w:rPr>
      <w:lang w:val="es-MX" w:eastAsia="es-MX"/>
    </w:rPr>
  </w:style>
  <w:style w:type="character" w:customStyle="1" w:styleId="ams">
    <w:name w:val="ams"/>
    <w:basedOn w:val="Fuentedeprrafopredeter"/>
    <w:rsid w:val="0039279D"/>
  </w:style>
  <w:style w:type="character" w:customStyle="1" w:styleId="apple-style-span">
    <w:name w:val="apple-style-span"/>
    <w:rsid w:val="00910B44"/>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3824.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ransparencia.ipn.mx/Apoyo/SIPOT/LTG_DOF28122020.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aimex.org.mx/saimex/solicitud/downloadAttach/1427469.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aimex.org.mx/saimex/solicitud/downloadAttach/1427468.pag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koJ23jC240b/ExtiEFceNbbCSw==">AMUW2mXRvkvGS1Z7p/Q3XrOMwKJpTGujhjouPoT5j46xcB4AlpOIREb3g7L/lJ3yzRKhGj1gjftpOwk3VOw2ehn0ZrdJWYsC5H7qIPNhSfXCgjK/50wzUqjH6ZZYduVzI8vTPljZ3xGY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13594</Words>
  <Characters>74767</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3</cp:revision>
  <dcterms:created xsi:type="dcterms:W3CDTF">2022-09-27T17:51:00Z</dcterms:created>
  <dcterms:modified xsi:type="dcterms:W3CDTF">2022-09-27T17:51:00Z</dcterms:modified>
</cp:coreProperties>
</file>