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36A0A">
        <w:rPr>
          <w:rFonts w:ascii="Palatino Linotype" w:eastAsia="Palatino Linotype" w:hAnsi="Palatino Linotype" w:cs="Palatino Linotype"/>
          <w:b/>
        </w:rPr>
        <w:t>siete de septiembre</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DC7D74">
        <w:rPr>
          <w:rFonts w:ascii="Palatino Linotype" w:eastAsia="Palatino Linotype" w:hAnsi="Palatino Linotype" w:cs="Palatino Linotype"/>
          <w:b/>
        </w:rPr>
        <w:t>10264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924B04">
        <w:rPr>
          <w:rFonts w:ascii="Palatino Linotype" w:eastAsia="Palatino Linotype" w:hAnsi="Palatino Linotype" w:cs="Palatino Linotype"/>
          <w:b/>
        </w:rPr>
        <w:t>XXXXX XXXXXXXXX XXXXXXXXX</w:t>
      </w:r>
      <w:r w:rsidR="00DC7D74" w:rsidRPr="00DC7D74">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w:t>
      </w:r>
      <w:r w:rsidR="00DC7D74">
        <w:rPr>
          <w:rFonts w:ascii="Palatino Linotype" w:eastAsia="Palatino Linotype" w:hAnsi="Palatino Linotype" w:cs="Palatino Linotype"/>
          <w:b/>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sidR="00DC7D74" w:rsidRPr="00DC7D74">
        <w:rPr>
          <w:rFonts w:ascii="Palatino Linotype" w:eastAsia="Palatino Linotype" w:hAnsi="Palatino Linotype" w:cs="Palatino Linotype"/>
          <w:b/>
          <w:bCs/>
        </w:rPr>
        <w:t>00397/TENANCIN/IP/2022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w:t>
      </w:r>
      <w:r w:rsidR="00DC7D74" w:rsidRPr="00DC7D74">
        <w:rPr>
          <w:rFonts w:ascii="Palatino Linotype" w:eastAsia="Palatino Linotype" w:hAnsi="Palatino Linotype" w:cs="Palatino Linotype"/>
          <w:b/>
        </w:rPr>
        <w:t>Tenancingo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FB361D" w:rsidRDefault="00BF6D95">
      <w:pPr>
        <w:numPr>
          <w:ilvl w:val="0"/>
          <w:numId w:val="2"/>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sidR="00DC7D74">
        <w:rPr>
          <w:rFonts w:ascii="Palatino Linotype" w:eastAsia="Palatino Linotype" w:hAnsi="Palatino Linotype" w:cs="Palatino Linotype"/>
          <w:b/>
        </w:rPr>
        <w:t>ocho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DC7D74">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FB361D" w:rsidRDefault="00BF6D95" w:rsidP="00DC7D74">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DC7D74" w:rsidRPr="00DC7D74">
        <w:rPr>
          <w:rFonts w:ascii="Palatino Linotype" w:eastAsia="Palatino Linotype" w:hAnsi="Palatino Linotype" w:cs="Palatino Linotype"/>
          <w:i/>
          <w:color w:val="000000"/>
          <w:sz w:val="22"/>
          <w:szCs w:val="22"/>
        </w:rPr>
        <w:t xml:space="preserve">LA CANTIDAD DE DINERO QUE EL AYUNTAMIENTO DE TENANCINGO, MÉXICO A RECAUDADO DE. A).-EL MERCADO XOCHIQUETZAL UBICADO EN CALLE JUAREZ EN TENANCINGO, MEXICO. B).-EL MERCADO REGIONAL DE LA FLOR, UBICADO EN SANTA ANA IXTLAHUATZINGO, TENANCINGO, MEXICO. C).-EL MERCADO MUNICIPAL Y TIANGUIS. INFORMACION QUE DEBERA SER PROPORCIONADA DESDE EL DIA PRIMERO DE ENERO DE 2022 HASTA EL DIA OCHO DE ABRIL DE 2022, INFORMACION PUBLICA QUE SOLICITO SEA SUMINISTRADA POR SEPARADO, ES DECIR, LO QUE HA INGRESADO EN CADA UNO DE LOS MERCADOS ANTES MENCIONADOS, ASIMISMO SE ME ENTREGUE LA INFORMACION DE </w:t>
      </w:r>
      <w:r w:rsidR="00DC7D74" w:rsidRPr="00DC7D74">
        <w:rPr>
          <w:rFonts w:ascii="Palatino Linotype" w:eastAsia="Palatino Linotype" w:hAnsi="Palatino Linotype" w:cs="Palatino Linotype"/>
          <w:i/>
          <w:color w:val="000000"/>
          <w:sz w:val="22"/>
          <w:szCs w:val="22"/>
        </w:rPr>
        <w:lastRenderedPageBreak/>
        <w:t>MANERA DETALLADA EN QUE SE HA UTILIZADO O GASTADO ESE DINERO RECAUDADO.</w:t>
      </w:r>
      <w:r>
        <w:rPr>
          <w:rFonts w:ascii="Palatino Linotype" w:eastAsia="Palatino Linotype" w:hAnsi="Palatino Linotype" w:cs="Palatino Linotype"/>
          <w:i/>
          <w:color w:val="000000"/>
          <w:sz w:val="22"/>
          <w:szCs w:val="22"/>
        </w:rPr>
        <w:t>”(Sic)</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DC7D74" w:rsidRDefault="00DC7D74">
      <w:pPr>
        <w:spacing w:before="240" w:after="240" w:line="360" w:lineRule="auto"/>
        <w:jc w:val="both"/>
        <w:rPr>
          <w:rFonts w:ascii="Palatino Linotype" w:eastAsia="Palatino Linotype" w:hAnsi="Palatino Linotype" w:cs="Palatino Linotype"/>
        </w:rPr>
      </w:pP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En fecha </w:t>
      </w:r>
      <w:r w:rsidR="00DC7D74">
        <w:rPr>
          <w:rFonts w:ascii="Palatino Linotype" w:eastAsia="Palatino Linotype" w:hAnsi="Palatino Linotype" w:cs="Palatino Linotype"/>
          <w:b/>
        </w:rPr>
        <w:t>nueve de mayo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DC7D74" w:rsidRPr="00DC7D74" w:rsidRDefault="00BF6D95" w:rsidP="00DC7D74">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sidR="00DC7D74" w:rsidRPr="00DC7D74">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361D" w:rsidRDefault="00DC7D74" w:rsidP="00DC7D74">
      <w:pPr>
        <w:spacing w:before="240"/>
        <w:ind w:left="851" w:right="902"/>
        <w:jc w:val="both"/>
        <w:rPr>
          <w:rFonts w:ascii="Palatino Linotype" w:eastAsia="Palatino Linotype" w:hAnsi="Palatino Linotype" w:cs="Palatino Linotype"/>
          <w:i/>
          <w:color w:val="000000"/>
          <w:sz w:val="22"/>
          <w:szCs w:val="22"/>
        </w:rPr>
      </w:pPr>
      <w:r w:rsidRPr="00DC7D74">
        <w:rPr>
          <w:rFonts w:ascii="Palatino Linotype" w:eastAsia="Palatino Linotype" w:hAnsi="Palatino Linotype" w:cs="Palatino Linotype"/>
          <w:i/>
          <w:color w:val="000000"/>
          <w:sz w:val="22"/>
          <w:szCs w:val="22"/>
        </w:rPr>
        <w:t>SE REMITE RESPUESTA A LA SOLICITUD</w:t>
      </w:r>
      <w:r w:rsidR="00BF6D95">
        <w:rPr>
          <w:rFonts w:ascii="Palatino Linotype" w:eastAsia="Palatino Linotype" w:hAnsi="Palatino Linotype" w:cs="Palatino Linotype"/>
          <w:i/>
          <w:color w:val="000000"/>
          <w:sz w:val="22"/>
          <w:szCs w:val="22"/>
        </w:rPr>
        <w:t>” (Sic)</w:t>
      </w:r>
    </w:p>
    <w:p w:rsidR="00FB361D" w:rsidRDefault="00FB361D">
      <w:pPr>
        <w:ind w:left="851" w:right="902"/>
        <w:jc w:val="both"/>
        <w:rPr>
          <w:rFonts w:ascii="Palatino Linotype" w:eastAsia="Palatino Linotype" w:hAnsi="Palatino Linotype" w:cs="Palatino Linotype"/>
          <w:i/>
        </w:rPr>
      </w:pPr>
    </w:p>
    <w:p w:rsidR="00DC7D74" w:rsidRDefault="00BF6D95">
      <w:pPr>
        <w:spacing w:after="240" w:line="360"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DC7D74" w:rsidRDefault="00BF6D95" w:rsidP="00DC7D74">
      <w:pPr>
        <w:spacing w:after="240" w:line="360" w:lineRule="auto"/>
        <w:ind w:left="567" w:right="851"/>
        <w:jc w:val="both"/>
        <w:rPr>
          <w:rFonts w:ascii="Palatino Linotype" w:eastAsia="Palatino Linotype" w:hAnsi="Palatino Linotype" w:cs="Palatino Linotype"/>
          <w:color w:val="404040"/>
        </w:rPr>
      </w:pPr>
      <w:r>
        <w:rPr>
          <w:rFonts w:ascii="Palatino Linotype" w:eastAsia="Palatino Linotype" w:hAnsi="Palatino Linotype" w:cs="Palatino Linotype"/>
          <w:i/>
          <w:color w:val="404040"/>
        </w:rPr>
        <w:t>“</w:t>
      </w:r>
      <w:r w:rsidR="00DC7D74" w:rsidRPr="00DC7D74">
        <w:rPr>
          <w:rFonts w:ascii="Palatino Linotype" w:eastAsia="Palatino Linotype" w:hAnsi="Palatino Linotype" w:cs="Palatino Linotype"/>
          <w:b/>
          <w:i/>
          <w:color w:val="404040"/>
        </w:rPr>
        <w:t>novena sesion extraordinaria.pdf</w:t>
      </w:r>
      <w:r w:rsidR="00DC7D74">
        <w:rPr>
          <w:rFonts w:ascii="Palatino Linotype" w:eastAsia="Palatino Linotype" w:hAnsi="Palatino Linotype" w:cs="Palatino Linotype"/>
          <w:b/>
          <w:i/>
          <w:color w:val="404040"/>
        </w:rPr>
        <w:t xml:space="preserve">”: </w:t>
      </w:r>
      <w:r w:rsidR="00DC7D74">
        <w:rPr>
          <w:rFonts w:ascii="Palatino Linotype" w:eastAsia="Palatino Linotype" w:hAnsi="Palatino Linotype" w:cs="Palatino Linotype"/>
          <w:color w:val="404040"/>
        </w:rPr>
        <w:t xml:space="preserve">Acta de la Novena Sesión Extraordinaria del Comité de Transparencia celebrada el nueve de mayo de dos mil veintidós, por la cual se aprueba el cambio de modalidad de entrega de la información a consulta directa. </w:t>
      </w:r>
    </w:p>
    <w:p w:rsidR="00DC7D74" w:rsidRDefault="00DC7D74" w:rsidP="00DC7D74">
      <w:pPr>
        <w:spacing w:after="240" w:line="360" w:lineRule="auto"/>
        <w:ind w:left="567" w:right="851"/>
        <w:jc w:val="both"/>
        <w:rPr>
          <w:rFonts w:ascii="Palatino Linotype" w:eastAsia="Palatino Linotype" w:hAnsi="Palatino Linotype" w:cs="Palatino Linotype"/>
          <w:color w:val="404040"/>
        </w:rPr>
      </w:pPr>
      <w:r>
        <w:rPr>
          <w:rFonts w:ascii="Palatino Linotype" w:eastAsia="Palatino Linotype" w:hAnsi="Palatino Linotype" w:cs="Palatino Linotype"/>
          <w:noProof/>
          <w:color w:val="404040"/>
          <w:lang w:val="es-MX" w:eastAsia="es-MX"/>
        </w:rPr>
        <w:lastRenderedPageBreak/>
        <w:drawing>
          <wp:inline distT="0" distB="0" distL="0" distR="0">
            <wp:extent cx="5210175" cy="6343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6343650"/>
                    </a:xfrm>
                    <a:prstGeom prst="rect">
                      <a:avLst/>
                    </a:prstGeom>
                    <a:noFill/>
                    <a:ln>
                      <a:noFill/>
                    </a:ln>
                  </pic:spPr>
                </pic:pic>
              </a:graphicData>
            </a:graphic>
          </wp:inline>
        </w:drawing>
      </w:r>
    </w:p>
    <w:p w:rsidR="00DC7D74" w:rsidRDefault="00DC7D74" w:rsidP="00DC7D74">
      <w:pPr>
        <w:spacing w:after="240" w:line="360" w:lineRule="auto"/>
        <w:ind w:left="567" w:right="851"/>
        <w:jc w:val="both"/>
        <w:rPr>
          <w:rFonts w:ascii="Palatino Linotype" w:eastAsia="Palatino Linotype" w:hAnsi="Palatino Linotype" w:cs="Palatino Linotype"/>
          <w:color w:val="404040"/>
        </w:rPr>
      </w:pPr>
      <w:r>
        <w:rPr>
          <w:rFonts w:ascii="Palatino Linotype" w:eastAsia="Palatino Linotype" w:hAnsi="Palatino Linotype" w:cs="Palatino Linotype"/>
          <w:noProof/>
          <w:color w:val="404040"/>
          <w:lang w:val="es-MX" w:eastAsia="es-MX"/>
        </w:rPr>
        <w:lastRenderedPageBreak/>
        <w:drawing>
          <wp:inline distT="0" distB="0" distL="0" distR="0">
            <wp:extent cx="4895850" cy="4457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4457700"/>
                    </a:xfrm>
                    <a:prstGeom prst="rect">
                      <a:avLst/>
                    </a:prstGeom>
                    <a:noFill/>
                    <a:ln>
                      <a:noFill/>
                    </a:ln>
                  </pic:spPr>
                </pic:pic>
              </a:graphicData>
            </a:graphic>
          </wp:inline>
        </w:drawing>
      </w:r>
    </w:p>
    <w:p w:rsidR="00DC7D74" w:rsidRDefault="00DC7D74" w:rsidP="00DC7D74">
      <w:pPr>
        <w:spacing w:after="240" w:line="360" w:lineRule="auto"/>
        <w:ind w:left="567" w:right="851"/>
        <w:jc w:val="center"/>
        <w:rPr>
          <w:rFonts w:ascii="Palatino Linotype" w:eastAsia="Palatino Linotype" w:hAnsi="Palatino Linotype" w:cs="Palatino Linotype"/>
          <w:color w:val="404040"/>
        </w:rPr>
      </w:pPr>
      <w:r>
        <w:rPr>
          <w:rFonts w:ascii="Palatino Linotype" w:eastAsia="Palatino Linotype" w:hAnsi="Palatino Linotype" w:cs="Palatino Linotype"/>
          <w:noProof/>
          <w:color w:val="404040"/>
          <w:lang w:val="es-MX" w:eastAsia="es-MX"/>
        </w:rPr>
        <mc:AlternateContent>
          <mc:Choice Requires="wps">
            <w:drawing>
              <wp:anchor distT="0" distB="0" distL="114300" distR="114300" simplePos="0" relativeHeight="251659264" behindDoc="0" locked="0" layoutInCell="1" allowOverlap="1">
                <wp:simplePos x="0" y="0"/>
                <wp:positionH relativeFrom="column">
                  <wp:posOffset>567690</wp:posOffset>
                </wp:positionH>
                <wp:positionV relativeFrom="paragraph">
                  <wp:posOffset>933450</wp:posOffset>
                </wp:positionV>
                <wp:extent cx="2943225" cy="22860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2943225" cy="2286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E1083" id="Rectángulo 4" o:spid="_x0000_s1026" style="position:absolute;margin-left:44.7pt;margin-top:73.5pt;width:231.7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" filled="f" strokecolor="#002060" strokeweight="2.25pt"/>
            </w:pict>
          </mc:Fallback>
        </mc:AlternateContent>
      </w:r>
      <w:r>
        <w:rPr>
          <w:rFonts w:ascii="Palatino Linotype" w:eastAsia="Palatino Linotype" w:hAnsi="Palatino Linotype" w:cs="Palatino Linotype"/>
          <w:noProof/>
          <w:color w:val="404040"/>
          <w:lang w:val="es-MX" w:eastAsia="es-MX"/>
        </w:rPr>
        <w:drawing>
          <wp:inline distT="0" distB="0" distL="0" distR="0">
            <wp:extent cx="4562475" cy="2600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2600325"/>
                    </a:xfrm>
                    <a:prstGeom prst="rect">
                      <a:avLst/>
                    </a:prstGeom>
                    <a:noFill/>
                    <a:ln>
                      <a:noFill/>
                    </a:ln>
                  </pic:spPr>
                </pic:pic>
              </a:graphicData>
            </a:graphic>
          </wp:inline>
        </w:drawing>
      </w:r>
    </w:p>
    <w:p w:rsidR="00DC7D74" w:rsidRPr="00DC7D74" w:rsidRDefault="00DC7D74" w:rsidP="00DC7D74">
      <w:pPr>
        <w:spacing w:after="240" w:line="360" w:lineRule="auto"/>
        <w:ind w:left="567" w:right="851"/>
        <w:jc w:val="both"/>
        <w:rPr>
          <w:rFonts w:ascii="Palatino Linotype" w:eastAsia="Palatino Linotype" w:hAnsi="Palatino Linotype" w:cs="Palatino Linotype"/>
          <w:color w:val="404040"/>
        </w:rPr>
      </w:pPr>
    </w:p>
    <w:p w:rsidR="00FB361D" w:rsidRDefault="00DC7D74" w:rsidP="00DC7D74">
      <w:pPr>
        <w:spacing w:after="240" w:line="360" w:lineRule="auto"/>
        <w:ind w:left="567" w:right="851"/>
        <w:jc w:val="both"/>
        <w:rPr>
          <w:rFonts w:ascii="Palatino Linotype" w:eastAsia="Palatino Linotype" w:hAnsi="Palatino Linotype" w:cs="Palatino Linotype"/>
          <w:color w:val="404040"/>
        </w:rPr>
      </w:pPr>
      <w:r>
        <w:rPr>
          <w:rFonts w:ascii="Palatino Linotype" w:eastAsia="Palatino Linotype" w:hAnsi="Palatino Linotype" w:cs="Palatino Linotype"/>
          <w:b/>
          <w:i/>
          <w:color w:val="404040"/>
        </w:rPr>
        <w:t>“</w:t>
      </w:r>
      <w:r w:rsidRPr="00DC7D74">
        <w:rPr>
          <w:rFonts w:ascii="Palatino Linotype" w:eastAsia="Palatino Linotype" w:hAnsi="Palatino Linotype" w:cs="Palatino Linotype"/>
          <w:b/>
          <w:i/>
          <w:color w:val="404040"/>
        </w:rPr>
        <w:t>397-RESP-TESO.pdf</w:t>
      </w:r>
      <w:r w:rsidR="00BF6D95">
        <w:rPr>
          <w:rFonts w:ascii="Palatino Linotype" w:eastAsia="Palatino Linotype" w:hAnsi="Palatino Linotype" w:cs="Palatino Linotype"/>
          <w:b/>
          <w:i/>
          <w:color w:val="404040"/>
        </w:rPr>
        <w:t>”</w:t>
      </w:r>
      <w:r w:rsidR="00CB3783">
        <w:rPr>
          <w:rFonts w:ascii="Palatino Linotype" w:eastAsia="Palatino Linotype" w:hAnsi="Palatino Linotype" w:cs="Palatino Linotype"/>
          <w:i/>
          <w:color w:val="404040"/>
        </w:rPr>
        <w:t xml:space="preserve">: </w:t>
      </w:r>
      <w:r w:rsidR="00CB3783">
        <w:rPr>
          <w:rFonts w:ascii="Palatino Linotype" w:eastAsia="Palatino Linotype" w:hAnsi="Palatino Linotype" w:cs="Palatino Linotype"/>
          <w:color w:val="404040"/>
        </w:rPr>
        <w:t xml:space="preserve">Oficio signado por el Tesorero Municipal en el que realiza un cambio de modalidad a consulta directa. </w:t>
      </w:r>
    </w:p>
    <w:p w:rsidR="00CB3783" w:rsidRPr="00CB3783" w:rsidRDefault="00CB3783" w:rsidP="00DC7D74">
      <w:pPr>
        <w:spacing w:after="240" w:line="360" w:lineRule="auto"/>
        <w:ind w:left="567" w:right="851"/>
        <w:jc w:val="both"/>
        <w:rPr>
          <w:rFonts w:ascii="Palatino Linotype" w:eastAsia="Palatino Linotype" w:hAnsi="Palatino Linotype" w:cs="Palatino Linotype"/>
          <w:color w:val="404040"/>
        </w:rPr>
      </w:pPr>
      <w:r>
        <w:rPr>
          <w:rFonts w:ascii="Palatino Linotype" w:eastAsia="Palatino Linotype" w:hAnsi="Palatino Linotype" w:cs="Palatino Linotype"/>
          <w:noProof/>
          <w:color w:val="404040"/>
          <w:lang w:val="es-MX" w:eastAsia="es-MX"/>
        </w:rPr>
        <w:drawing>
          <wp:inline distT="0" distB="0" distL="0" distR="0">
            <wp:extent cx="5048250" cy="6234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851" cy="6236522"/>
                    </a:xfrm>
                    <a:prstGeom prst="rect">
                      <a:avLst/>
                    </a:prstGeom>
                    <a:noFill/>
                    <a:ln>
                      <a:noFill/>
                    </a:ln>
                  </pic:spPr>
                </pic:pic>
              </a:graphicData>
            </a:graphic>
          </wp:inline>
        </w:drawing>
      </w:r>
    </w:p>
    <w:p w:rsidR="00FB361D" w:rsidRDefault="00FB361D">
      <w:pPr>
        <w:spacing w:before="240" w:after="240" w:line="360" w:lineRule="auto"/>
        <w:ind w:left="567" w:right="851"/>
        <w:jc w:val="center"/>
        <w:rPr>
          <w:rFonts w:ascii="Palatino Linotype" w:eastAsia="Palatino Linotype" w:hAnsi="Palatino Linotype" w:cs="Palatino Linotype"/>
          <w:color w:val="404040"/>
        </w:rPr>
      </w:pPr>
    </w:p>
    <w:p w:rsidR="00FB361D" w:rsidRDefault="00CB3783">
      <w:pPr>
        <w:spacing w:before="240" w:after="240" w:line="360" w:lineRule="auto"/>
        <w:ind w:left="567" w:right="851"/>
        <w:jc w:val="both"/>
        <w:rPr>
          <w:rFonts w:ascii="Palatino Linotype" w:eastAsia="Palatino Linotype" w:hAnsi="Palatino Linotype" w:cs="Palatino Linotype"/>
          <w:color w:val="404040"/>
        </w:rPr>
      </w:pPr>
      <w:bookmarkStart w:id="0" w:name="_GoBack"/>
      <w:r>
        <w:rPr>
          <w:rFonts w:ascii="Palatino Linotype" w:eastAsia="Palatino Linotype" w:hAnsi="Palatino Linotype" w:cs="Palatino Linotype"/>
          <w:noProof/>
          <w:color w:val="404040"/>
          <w:lang w:val="es-MX" w:eastAsia="es-MX"/>
        </w:rPr>
        <w:drawing>
          <wp:inline distT="0" distB="0" distL="0" distR="0">
            <wp:extent cx="5429250" cy="6486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6486525"/>
                    </a:xfrm>
                    <a:prstGeom prst="rect">
                      <a:avLst/>
                    </a:prstGeom>
                    <a:noFill/>
                    <a:ln>
                      <a:noFill/>
                    </a:ln>
                  </pic:spPr>
                </pic:pic>
              </a:graphicData>
            </a:graphic>
          </wp:inline>
        </w:drawing>
      </w:r>
      <w:bookmarkEnd w:id="0"/>
    </w:p>
    <w:p w:rsidR="00FB361D" w:rsidRDefault="00FB361D">
      <w:pPr>
        <w:spacing w:before="240" w:after="240" w:line="360" w:lineRule="auto"/>
        <w:ind w:left="567" w:right="851"/>
        <w:jc w:val="center"/>
        <w:rPr>
          <w:rFonts w:ascii="Palatino Linotype" w:eastAsia="Palatino Linotype" w:hAnsi="Palatino Linotype" w:cs="Palatino Linotype"/>
          <w:color w:val="404040"/>
        </w:rPr>
      </w:pPr>
    </w:p>
    <w:p w:rsidR="00FB361D" w:rsidRDefault="00CB3783" w:rsidP="00CB3783">
      <w:pPr>
        <w:spacing w:before="240" w:after="240" w:line="360" w:lineRule="auto"/>
        <w:ind w:left="567" w:right="851"/>
        <w:jc w:val="center"/>
        <w:rPr>
          <w:rFonts w:ascii="Palatino Linotype" w:eastAsia="Palatino Linotype" w:hAnsi="Palatino Linotype" w:cs="Palatino Linotype"/>
          <w:color w:val="404040"/>
        </w:rPr>
      </w:pPr>
      <w:r>
        <w:rPr>
          <w:rFonts w:ascii="Palatino Linotype" w:eastAsia="Palatino Linotype" w:hAnsi="Palatino Linotype" w:cs="Palatino Linotype"/>
          <w:noProof/>
          <w:color w:val="404040"/>
          <w:lang w:val="es-MX" w:eastAsia="es-MX"/>
        </w:rPr>
        <w:lastRenderedPageBreak/>
        <w:drawing>
          <wp:anchor distT="0" distB="0" distL="114300" distR="114300" simplePos="0" relativeHeight="251660288" behindDoc="0" locked="0" layoutInCell="1" allowOverlap="1">
            <wp:simplePos x="0" y="0"/>
            <wp:positionH relativeFrom="column">
              <wp:posOffset>-156210</wp:posOffset>
            </wp:positionH>
            <wp:positionV relativeFrom="paragraph">
              <wp:posOffset>0</wp:posOffset>
            </wp:positionV>
            <wp:extent cx="5591175" cy="588645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783" w:rsidRDefault="00CB3783">
      <w:pPr>
        <w:spacing w:before="240" w:after="240" w:line="360" w:lineRule="auto"/>
        <w:jc w:val="both"/>
        <w:rPr>
          <w:rFonts w:ascii="Palatino Linotype" w:eastAsia="Palatino Linotype" w:hAnsi="Palatino Linotype" w:cs="Palatino Linotype"/>
          <w:color w:val="404040"/>
        </w:rPr>
      </w:pPr>
    </w:p>
    <w:p w:rsidR="00CB3783" w:rsidRDefault="00CB3783">
      <w:pPr>
        <w:spacing w:before="240" w:after="240" w:line="360" w:lineRule="auto"/>
        <w:jc w:val="both"/>
        <w:rPr>
          <w:rFonts w:ascii="Palatino Linotype" w:eastAsia="Palatino Linotype" w:hAnsi="Palatino Linotype" w:cs="Palatino Linotype"/>
          <w:color w:val="404040"/>
        </w:rPr>
      </w:pPr>
    </w:p>
    <w:p w:rsidR="00FB361D" w:rsidRDefault="00CB3783" w:rsidP="00CB3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404040"/>
          <w:lang w:val="es-MX" w:eastAsia="es-MX"/>
        </w:rPr>
        <w:lastRenderedPageBreak/>
        <w:drawing>
          <wp:inline distT="0" distB="0" distL="0" distR="0" wp14:anchorId="0A29F207" wp14:editId="0636AA3F">
            <wp:extent cx="4905375" cy="22424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2242457"/>
                    </a:xfrm>
                    <a:prstGeom prst="rect">
                      <a:avLst/>
                    </a:prstGeom>
                    <a:noFill/>
                    <a:ln>
                      <a:noFill/>
                    </a:ln>
                  </pic:spPr>
                </pic:pic>
              </a:graphicData>
            </a:graphic>
          </wp:inline>
        </w:drawing>
      </w:r>
      <w:r w:rsidR="00BF6D95">
        <w:rPr>
          <w:rFonts w:ascii="Palatino Linotype" w:eastAsia="Palatino Linotype" w:hAnsi="Palatino Linotype" w:cs="Palatino Linotype"/>
          <w:b/>
        </w:rPr>
        <w:t xml:space="preserve">3. Interposición del recurso de revisión. </w:t>
      </w:r>
      <w:r w:rsidR="00BF6D95">
        <w:rPr>
          <w:rFonts w:ascii="Palatino Linotype" w:eastAsia="Palatino Linotype" w:hAnsi="Palatino Linotype" w:cs="Palatino Linotype"/>
        </w:rPr>
        <w:t xml:space="preserve">Inconforme el solicitante con la respuesta del </w:t>
      </w:r>
      <w:r w:rsidR="00BF6D95">
        <w:rPr>
          <w:rFonts w:ascii="Palatino Linotype" w:eastAsia="Palatino Linotype" w:hAnsi="Palatino Linotype" w:cs="Palatino Linotype"/>
          <w:b/>
        </w:rPr>
        <w:t>Sujeto Obligado</w:t>
      </w:r>
      <w:r w:rsidR="00BF6D95">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treinta</w:t>
      </w:r>
      <w:r w:rsidR="00BF6D95">
        <w:rPr>
          <w:rFonts w:ascii="Palatino Linotype" w:eastAsia="Palatino Linotype" w:hAnsi="Palatino Linotype" w:cs="Palatino Linotype"/>
          <w:b/>
        </w:rPr>
        <w:t xml:space="preserve"> de</w:t>
      </w:r>
      <w:r>
        <w:rPr>
          <w:rFonts w:ascii="Palatino Linotype" w:eastAsia="Palatino Linotype" w:hAnsi="Palatino Linotype" w:cs="Palatino Linotype"/>
          <w:b/>
        </w:rPr>
        <w:t xml:space="preserve"> mayo</w:t>
      </w:r>
      <w:r w:rsidR="00BF6D95">
        <w:rPr>
          <w:rFonts w:ascii="Palatino Linotype" w:eastAsia="Palatino Linotype" w:hAnsi="Palatino Linotype" w:cs="Palatino Linotype"/>
          <w:b/>
        </w:rPr>
        <w:t xml:space="preserve"> del dos mil veintidós</w:t>
      </w:r>
      <w:r w:rsidR="00BF6D95">
        <w:rPr>
          <w:rFonts w:ascii="Palatino Linotype" w:eastAsia="Palatino Linotype" w:hAnsi="Palatino Linotype" w:cs="Palatino Linotype"/>
        </w:rPr>
        <w:t>, a través del cual expresó lo siguiente:</w:t>
      </w:r>
    </w:p>
    <w:p w:rsidR="00FB361D" w:rsidRDefault="00BF6D95">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B361D" w:rsidRDefault="00BF6D95">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CB3783" w:rsidRPr="00CB3783">
        <w:rPr>
          <w:rFonts w:ascii="Palatino Linotype" w:eastAsia="Palatino Linotype" w:hAnsi="Palatino Linotype" w:cs="Palatino Linotype"/>
          <w:i/>
          <w:color w:val="000000"/>
          <w:sz w:val="22"/>
          <w:szCs w:val="22"/>
        </w:rPr>
        <w:t>La resolución del sujeto obligado que me fuera notificado a través del sistema SAIMEX en fecha nueve de mayo de 2022 en relación a la solicitud de información 00397/TENANCIN/IP/2022</w:t>
      </w:r>
      <w:r>
        <w:rPr>
          <w:rFonts w:ascii="Palatino Linotype" w:eastAsia="Palatino Linotype" w:hAnsi="Palatino Linotype" w:cs="Palatino Linotype"/>
          <w:i/>
          <w:color w:val="000000"/>
          <w:sz w:val="22"/>
          <w:szCs w:val="22"/>
        </w:rPr>
        <w:t>” (Sic)</w:t>
      </w:r>
    </w:p>
    <w:p w:rsidR="00FB361D" w:rsidRDefault="00BF6D9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B361D" w:rsidRDefault="00BF6D95">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CB3783" w:rsidRPr="00CB3783">
        <w:rPr>
          <w:rFonts w:ascii="Palatino Linotype" w:eastAsia="Palatino Linotype" w:hAnsi="Palatino Linotype" w:cs="Palatino Linotype"/>
          <w:i/>
          <w:color w:val="000000"/>
          <w:sz w:val="22"/>
          <w:szCs w:val="22"/>
        </w:rPr>
        <w:t xml:space="preserve">No existe razón suficiente fundada y motivada por la cual el sujeto obligado cambia la modalidad de entrega electrónica a través de SAIMEX a consulta directa. Lo anterior por las siguientes consideraciones. Si bien el articulo Artículo 158 de la Ley de transparencia y acceso a la información pública del Estado de México y municipios establece que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Sin embargo la determinación de cambiar la modalidad de entrega a consulta directa, debe ser de manera excepcional y estar debidamente fundada y motivada, no basta con que el sujeto obligado transcriba el articulo antes citado, para que esté debidamente fundada y motivada su determinación. Ya que no establece cuantas fojas o paginas consta el legajo de entrega de la información en </w:t>
      </w:r>
      <w:r w:rsidR="00CB3783" w:rsidRPr="00CB3783">
        <w:rPr>
          <w:rFonts w:ascii="Palatino Linotype" w:eastAsia="Palatino Linotype" w:hAnsi="Palatino Linotype" w:cs="Palatino Linotype"/>
          <w:i/>
          <w:color w:val="000000"/>
          <w:sz w:val="22"/>
          <w:szCs w:val="22"/>
        </w:rPr>
        <w:lastRenderedPageBreak/>
        <w:t>la manera solicitada, para que puedan señalar de manera fundada y motivada que sobrepasa los 250 MB que tolera el sistema SAIMEX, además de que debo manifestar que realice diversas solicitudes de información por separado precisamente para evitar que argumentaran que estaba muy pesados los archivos, pero se insiste no señalan de cuantas fojas cuenta el archivo o legajo de la información solicitada para que válidamente puedan argumentar lo pesado del archivo. Razón por la cual no está debidamente fundado y motivado el cambio de modalidad a consulta directa que determina el sujeto obligado. Máxime que como lo establece el artículo 88 de la citada ley de transparencia establece que “ La información referente a las obligaciones de transparencia será puesta a disposición de los particulares por cualquier medio que facilite su acceso, dando preferencia al uso de sistemas computacionales y las nuevas tecnologías de información.” Por su parte el Artículo 160 de la Ley de transparencia y acceso a la información pública del Estado de México y municipios señala que “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Bajo este contexto se debe privilegiar la entrega de la información en el formato solicitado por el suscrito, y solo de manera excepcional, cuando se encuentre debidamente fundado y motivado podrá el sujeto obligado cambiar la modalidad de entrega, lo cual no acontece en el caso concreto. Por lo que la determinación del sujeto obligado solo es una práctica o táctica dilatoria para evitar que el suscrito acceda a la información pública solicitada. Bajo este contexto se debe declarar procedente el recurso de revisión interpuesto y ordenar al sujeto obligado haga entrega de la información pública en los términos solicitados.</w:t>
      </w:r>
      <w:r>
        <w:rPr>
          <w:rFonts w:ascii="Palatino Linotype" w:eastAsia="Palatino Linotype" w:hAnsi="Palatino Linotype" w:cs="Palatino Linotype"/>
          <w:i/>
          <w:color w:val="000000"/>
          <w:sz w:val="22"/>
          <w:szCs w:val="22"/>
        </w:rPr>
        <w:t>” (Sic)</w:t>
      </w:r>
    </w:p>
    <w:p w:rsidR="00FB361D" w:rsidRDefault="00BF6D95" w:rsidP="00CB3783">
      <w:pPr>
        <w:spacing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Archivo adjunto: “</w:t>
      </w:r>
      <w:r w:rsidR="00CB3783" w:rsidRPr="00CB3783">
        <w:rPr>
          <w:rFonts w:ascii="Palatino Linotype" w:eastAsia="Palatino Linotype" w:hAnsi="Palatino Linotype" w:cs="Palatino Linotype"/>
          <w:b/>
          <w:i/>
          <w:color w:val="000000"/>
          <w:sz w:val="22"/>
          <w:szCs w:val="22"/>
        </w:rPr>
        <w:t>397-RESP-TESO.pdf</w:t>
      </w:r>
      <w:r>
        <w:rPr>
          <w:rFonts w:ascii="Palatino Linotype" w:eastAsia="Palatino Linotype" w:hAnsi="Palatino Linotype" w:cs="Palatino Linotype"/>
          <w:b/>
          <w:i/>
          <w:color w:val="000000"/>
          <w:sz w:val="22"/>
          <w:szCs w:val="22"/>
        </w:rPr>
        <w:t xml:space="preserve">”: </w:t>
      </w:r>
      <w:r w:rsidR="00CB3783">
        <w:rPr>
          <w:rFonts w:ascii="Palatino Linotype" w:eastAsia="Palatino Linotype" w:hAnsi="Palatino Linotype" w:cs="Palatino Linotype"/>
          <w:color w:val="000000"/>
          <w:sz w:val="22"/>
          <w:szCs w:val="22"/>
        </w:rPr>
        <w:t xml:space="preserve">Oficio de respuesta del Tesorero Municipal, el cual fue descrito en líneas anteriores. </w:t>
      </w:r>
    </w:p>
    <w:p w:rsidR="00FB361D" w:rsidRDefault="00BF6D95">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CB3783">
        <w:rPr>
          <w:rFonts w:ascii="Palatino Linotype" w:eastAsia="Palatino Linotype" w:hAnsi="Palatino Linotype" w:cs="Palatino Linotype"/>
          <w:b/>
        </w:rPr>
        <w:t>10264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w:t>
      </w:r>
      <w:r>
        <w:rPr>
          <w:rFonts w:ascii="Palatino Linotype" w:eastAsia="Palatino Linotype" w:hAnsi="Palatino Linotype" w:cs="Palatino Linotype"/>
          <w:b/>
        </w:rPr>
        <w:lastRenderedPageBreak/>
        <w:t>Ramírez Peña</w:t>
      </w:r>
      <w:r>
        <w:rPr>
          <w:rFonts w:ascii="Palatino Linotype" w:eastAsia="Palatino Linotype" w:hAnsi="Palatino Linotype" w:cs="Palatino Linotype"/>
        </w:rPr>
        <w:t>, para su análisis, estudio, elaboración del proyecto y presentación ante el Pleno de este Instituto.</w:t>
      </w:r>
    </w:p>
    <w:p w:rsidR="00FB361D" w:rsidRDefault="00FB361D">
      <w:pPr>
        <w:spacing w:line="360" w:lineRule="auto"/>
        <w:jc w:val="both"/>
        <w:rPr>
          <w:rFonts w:ascii="Palatino Linotype" w:eastAsia="Palatino Linotype" w:hAnsi="Palatino Linotype" w:cs="Palatino Linotype"/>
        </w:rPr>
      </w:pPr>
    </w:p>
    <w:p w:rsidR="00FB361D" w:rsidRDefault="00BF6D9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sidR="00CB3783">
        <w:rPr>
          <w:rFonts w:ascii="Palatino Linotype" w:eastAsia="Palatino Linotype" w:hAnsi="Palatino Linotype" w:cs="Palatino Linotype"/>
          <w:b/>
        </w:rPr>
        <w:t>dos de junio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FB361D" w:rsidRDefault="00BF6D95" w:rsidP="00CB37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fue omiso en ofrecer pruebas o expresar alegatos; en términos del artículo 185 fracciones II de la ley que nos ocupa, </w:t>
      </w:r>
      <w:r w:rsidR="00CB3783">
        <w:rPr>
          <w:rFonts w:ascii="Palatino Linotype" w:eastAsia="Palatino Linotype" w:hAnsi="Palatino Linotype" w:cs="Palatino Linotype"/>
          <w:color w:val="000000"/>
        </w:rPr>
        <w:t xml:space="preserve">asimismo,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CB3783">
        <w:rPr>
          <w:rFonts w:ascii="Palatino Linotype" w:eastAsia="Palatino Linotype" w:hAnsi="Palatino Linotype" w:cs="Palatino Linotype"/>
          <w:color w:val="000000"/>
        </w:rPr>
        <w:t xml:space="preserve">también fue omiso en remitir su informe justificado. </w:t>
      </w:r>
    </w:p>
    <w:p w:rsidR="00FB361D" w:rsidRDefault="00CB37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667375" cy="885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885825"/>
                    </a:xfrm>
                    <a:prstGeom prst="rect">
                      <a:avLst/>
                    </a:prstGeom>
                    <a:noFill/>
                    <a:ln>
                      <a:noFill/>
                    </a:ln>
                  </pic:spPr>
                </pic:pic>
              </a:graphicData>
            </a:graphic>
          </wp:inline>
        </w:drawing>
      </w:r>
    </w:p>
    <w:p w:rsidR="00FB361D" w:rsidRPr="00CB3783" w:rsidRDefault="00BF6D95" w:rsidP="00CB378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i/>
        </w:rPr>
        <w:t xml:space="preserve"> </w:t>
      </w:r>
      <w:r>
        <w:rPr>
          <w:rFonts w:ascii="Palatino Linotype" w:eastAsia="Palatino Linotype" w:hAnsi="Palatino Linotype" w:cs="Palatino Linotype"/>
          <w:b/>
        </w:rPr>
        <w:t>Desistimiento del Recurso de Revisión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En fecha </w:t>
      </w:r>
      <w:r w:rsidR="00CB3783">
        <w:rPr>
          <w:rFonts w:ascii="Palatino Linotype" w:eastAsia="Palatino Linotype" w:hAnsi="Palatino Linotype" w:cs="Palatino Linotype"/>
          <w:b/>
        </w:rPr>
        <w:t>veintiuno de juli</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sidR="00CB3783">
        <w:rPr>
          <w:rFonts w:ascii="Palatino Linotype" w:eastAsia="Palatino Linotype" w:hAnsi="Palatino Linotype" w:cs="Palatino Linotype"/>
          <w:b/>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desistió vía SAIMEX del presente medio de impugnación, como se muestra enseguida:  </w:t>
      </w:r>
    </w:p>
    <w:p w:rsidR="00FB361D" w:rsidRDefault="00CE0BD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eastAsia="es-MX"/>
        </w:rPr>
        <w:lastRenderedPageBreak/>
        <w:drawing>
          <wp:inline distT="0" distB="0" distL="0" distR="0">
            <wp:extent cx="5671185" cy="23272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RSION.png"/>
                    <pic:cNvPicPr/>
                  </pic:nvPicPr>
                  <pic:blipFill>
                    <a:blip r:embed="rId16">
                      <a:extLst>
                        <a:ext uri="{28A0092B-C50C-407E-A947-70E740481C1C}">
                          <a14:useLocalDpi xmlns:a14="http://schemas.microsoft.com/office/drawing/2010/main" val="0"/>
                        </a:ext>
                      </a:extLst>
                    </a:blip>
                    <a:stretch>
                      <a:fillRect/>
                    </a:stretch>
                  </pic:blipFill>
                  <pic:spPr>
                    <a:xfrm>
                      <a:off x="0" y="0"/>
                      <a:ext cx="5671185" cy="2327275"/>
                    </a:xfrm>
                    <a:prstGeom prst="rect">
                      <a:avLst/>
                    </a:prstGeom>
                  </pic:spPr>
                </pic:pic>
              </a:graphicData>
            </a:graphic>
          </wp:inline>
        </w:drawing>
      </w:r>
    </w:p>
    <w:p w:rsidR="00CB3783" w:rsidRDefault="00CB37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eastAsia="es-MX"/>
        </w:rPr>
        <w:drawing>
          <wp:inline distT="0" distB="0" distL="0" distR="0">
            <wp:extent cx="5667375" cy="1771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1771650"/>
                    </a:xfrm>
                    <a:prstGeom prst="rect">
                      <a:avLst/>
                    </a:prstGeom>
                    <a:noFill/>
                    <a:ln>
                      <a:noFill/>
                    </a:ln>
                  </pic:spPr>
                </pic:pic>
              </a:graphicData>
            </a:graphic>
          </wp:inline>
        </w:drawing>
      </w:r>
    </w:p>
    <w:p w:rsidR="00FB361D" w:rsidRDefault="00BF6D9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 Ampliación del plazo para emitir resolución.</w:t>
      </w:r>
      <w:r>
        <w:rPr>
          <w:rFonts w:ascii="Palatino Linotype" w:eastAsia="Palatino Linotype" w:hAnsi="Palatino Linotype" w:cs="Palatino Linotype"/>
          <w:color w:val="000000"/>
        </w:rPr>
        <w:t xml:space="preserve"> El </w:t>
      </w:r>
      <w:r w:rsidR="00DF13A1">
        <w:rPr>
          <w:rFonts w:ascii="Palatino Linotype" w:eastAsia="Palatino Linotype" w:hAnsi="Palatino Linotype" w:cs="Palatino Linotype"/>
          <w:b/>
          <w:color w:val="000000"/>
        </w:rPr>
        <w:t>veinticinco de agost</w:t>
      </w:r>
      <w:r>
        <w:rPr>
          <w:rFonts w:ascii="Palatino Linotype" w:eastAsia="Palatino Linotype" w:hAnsi="Palatino Linotype" w:cs="Palatino Linotype"/>
          <w:b/>
          <w:color w:val="000000"/>
        </w:rPr>
        <w:t>o de dos mil veintidós</w:t>
      </w:r>
      <w:r>
        <w:rPr>
          <w:rFonts w:ascii="Palatino Linotype" w:eastAsia="Palatino Linotype" w:hAnsi="Palatino Linotype" w:cs="Palatino Linotype"/>
          <w:color w:val="000000"/>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 xml:space="preserve">Este organismo garante no pasa por alto justificar, que el plazo </w:t>
      </w:r>
      <w:r w:rsidRPr="00DF13A1">
        <w:rPr>
          <w:rFonts w:ascii="Palatino Linotype" w:eastAsia="Palatino Linotype" w:hAnsi="Palatino Linotype" w:cs="Palatino Linotype"/>
          <w:lang w:eastAsia="es-MX"/>
        </w:rPr>
        <w:t>para</w:t>
      </w:r>
      <w:r w:rsidRPr="00DF13A1">
        <w:rPr>
          <w:rFonts w:ascii="Palatino Linotype" w:eastAsia="Palatino Linotype" w:hAnsi="Palatino Linotype" w:cs="Palatino Linotype"/>
          <w:color w:val="000000"/>
          <w:lang w:eastAsia="es-MX"/>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w:t>
      </w:r>
      <w:r w:rsidRPr="00DF13A1">
        <w:rPr>
          <w:rFonts w:ascii="Palatino Linotype" w:eastAsia="Palatino Linotype" w:hAnsi="Palatino Linotype" w:cs="Palatino Linotype"/>
          <w:color w:val="000000"/>
          <w:lang w:eastAsia="es-MX"/>
        </w:rPr>
        <w:lastRenderedPageBreak/>
        <w:t>incrementado aproximadamente un 400%, circunstancia atípica que ha rebasado las capacidades técnicas y humanas del personal encargado de la proyección de las resoluciones a dichos medios de impugnación.</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Por ello, excepcionalmente, si un asunto es resuelto con posterioridad a los plazos señalados por la norma debe analizarse la razonabilidad del tiempo necesario para su resolución atentos a los siguientes criterios: </w:t>
      </w:r>
    </w:p>
    <w:p w:rsidR="00DF13A1" w:rsidRPr="00DF13A1" w:rsidRDefault="00DF13A1" w:rsidP="00DF13A1">
      <w:pPr>
        <w:spacing w:line="360" w:lineRule="auto"/>
        <w:rPr>
          <w:lang w:eastAsia="es-MX"/>
        </w:rPr>
      </w:pPr>
    </w:p>
    <w:p w:rsidR="00DF13A1" w:rsidRPr="00DF13A1" w:rsidRDefault="00DF13A1" w:rsidP="00DF13A1">
      <w:pPr>
        <w:numPr>
          <w:ilvl w:val="0"/>
          <w:numId w:val="4"/>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lang w:eastAsia="es-MX"/>
        </w:rPr>
      </w:pPr>
      <w:r w:rsidRPr="00DF13A1">
        <w:rPr>
          <w:rFonts w:ascii="Palatino Linotype" w:eastAsia="Palatino Linotype" w:hAnsi="Palatino Linotype" w:cs="Palatino Linotype"/>
          <w:color w:val="000000"/>
          <w:lang w:eastAsia="es-MX"/>
        </w:rPr>
        <w:lastRenderedPageBreak/>
        <w:t>Complejidad del Asunto: La complejidad de la prueba, la pluralidad de sujetos procesales, el tiempo transcurrido, las características y contexto del recurso. </w:t>
      </w:r>
    </w:p>
    <w:p w:rsidR="00DF13A1" w:rsidRPr="00DF13A1" w:rsidRDefault="00DF13A1" w:rsidP="00DF13A1">
      <w:pPr>
        <w:spacing w:line="360" w:lineRule="auto"/>
        <w:rPr>
          <w:lang w:eastAsia="es-MX"/>
        </w:rPr>
      </w:pPr>
    </w:p>
    <w:p w:rsidR="00DF13A1" w:rsidRPr="00DF13A1" w:rsidRDefault="00DF13A1" w:rsidP="00DF13A1">
      <w:pPr>
        <w:numPr>
          <w:ilvl w:val="0"/>
          <w:numId w:val="5"/>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lang w:eastAsia="es-MX"/>
        </w:rPr>
      </w:pPr>
      <w:r w:rsidRPr="00DF13A1">
        <w:rPr>
          <w:rFonts w:ascii="Palatino Linotype" w:eastAsia="Palatino Linotype" w:hAnsi="Palatino Linotype" w:cs="Palatino Linotype"/>
          <w:color w:val="000000"/>
          <w:lang w:eastAsia="es-MX"/>
        </w:rPr>
        <w:t>Actividad Procesal del interesado. Acciones u omisiones del interesado.</w:t>
      </w:r>
    </w:p>
    <w:p w:rsidR="00DF13A1" w:rsidRPr="00DF13A1" w:rsidRDefault="00DF13A1" w:rsidP="00DF13A1">
      <w:pPr>
        <w:spacing w:line="360" w:lineRule="auto"/>
        <w:rPr>
          <w:lang w:eastAsia="es-MX"/>
        </w:rPr>
      </w:pPr>
    </w:p>
    <w:p w:rsidR="00DF13A1" w:rsidRPr="00DF13A1" w:rsidRDefault="00DF13A1" w:rsidP="00DF13A1">
      <w:pPr>
        <w:numPr>
          <w:ilvl w:val="0"/>
          <w:numId w:val="3"/>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lang w:eastAsia="es-MX"/>
        </w:rPr>
      </w:pPr>
      <w:r w:rsidRPr="00DF13A1">
        <w:rPr>
          <w:rFonts w:ascii="Palatino Linotype" w:eastAsia="Palatino Linotype" w:hAnsi="Palatino Linotype" w:cs="Palatino Linotype"/>
          <w:color w:val="000000"/>
          <w:lang w:eastAsia="es-MX"/>
        </w:rPr>
        <w:t>Conducta de la Autoridad: Las Acciones u omisiones realizadas en el procedimiento. Así como si la autoridad actuó con la debida diligencia.</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ind w:left="567"/>
        <w:jc w:val="both"/>
        <w:rPr>
          <w:color w:val="000000"/>
          <w:lang w:eastAsia="es-MX"/>
        </w:rPr>
      </w:pPr>
      <w:r w:rsidRPr="00DF13A1">
        <w:rPr>
          <w:rFonts w:ascii="Palatino Linotype" w:eastAsia="Palatino Linotype" w:hAnsi="Palatino Linotype" w:cs="Palatino Linotype"/>
          <w:color w:val="000000"/>
          <w:lang w:eastAsia="es-MX"/>
        </w:rPr>
        <w:t>d) La afectación generada en la situación jurídica de la persona involucrada en el proceso: Violación a sus derechos humanos.</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 xml:space="preserve">Argumento que encuentra sustento en la jurisprudencia P./J. 32/92 emitida por el Pleno de la Suprema Corte de Justicia de la Nación de rubro </w:t>
      </w:r>
      <w:r w:rsidRPr="00DF13A1">
        <w:rPr>
          <w:rFonts w:ascii="Palatino Linotype" w:eastAsia="Palatino Linotype" w:hAnsi="Palatino Linotype" w:cs="Palatino Linotype"/>
          <w:i/>
          <w:color w:val="000000"/>
          <w:lang w:eastAsia="es-MX"/>
        </w:rPr>
        <w:t>“TÉRMINOS PROCESALES. PARA DETERMINAR SI UN FUNCIONARIO JUDICIAL ACTUÓ INDEBIDAMENTE POR NO RESPETARLOS SE DEBE ATENDER AL PRESUPUESTO QUE CONSIDERÓ EL LEGISLADOR AL FIJARLOS Y LAS CARACTERÍSTICAS DEL CASO.”</w:t>
      </w:r>
      <w:r w:rsidRPr="00DF13A1">
        <w:rPr>
          <w:rFonts w:ascii="Palatino Linotype" w:eastAsia="Palatino Linotype" w:hAnsi="Palatino Linotype" w:cs="Palatino Linotype"/>
          <w:color w:val="000000"/>
          <w:lang w:eastAsia="es-MX"/>
        </w:rPr>
        <w:t>, visible en la Gaceta del Seminario Judicial de la Federación con el registro digital 205635.</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Al respecto, también son de considerar los criterios sostenidos por el Cuarto Tribunal Colegiado en Materia Administrativa del Primer Circuito, cuyos rubros y datos de identificación son los siguientes:</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t> </w:t>
      </w:r>
      <w:r w:rsidRPr="00DF13A1">
        <w:rPr>
          <w:rFonts w:ascii="Palatino Linotype" w:eastAsia="Palatino Linotype" w:hAnsi="Palatino Linotype" w:cs="Palatino Linotype"/>
          <w:i/>
          <w:color w:val="000000"/>
          <w:lang w:eastAsia="es-MX"/>
        </w:rPr>
        <w:t>“PLAZO RAZONABLE PARA RESOLVER. DIMENSIÓN Y EFECTOS DE ESTE CONCEPTO CUANDO SE ADUCE EXCESIVA CARGA DE TRABAJO.”</w:t>
      </w:r>
      <w:r w:rsidRPr="00DF13A1">
        <w:rPr>
          <w:rFonts w:ascii="Palatino Linotype" w:eastAsia="Palatino Linotype" w:hAnsi="Palatino Linotype" w:cs="Palatino Linotype"/>
          <w:color w:val="000000"/>
          <w:lang w:eastAsia="es-MX"/>
        </w:rPr>
        <w:t xml:space="preserve"> consultable en el Seminario Judicial de la Federación y su gaceta, con el registro digital 2002351.</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i/>
          <w:color w:val="000000"/>
          <w:lang w:eastAsia="es-MX"/>
        </w:rPr>
        <w:t>“PLAZO RAZONABLE PARA RESOLVER. CONCEPTO Y ELEMENTOS QUE LO INTEGRAN A LA LUZ DEL DERECHO INTERNACIONAL DE LOS DERECHOS HUMANOS.”</w:t>
      </w:r>
      <w:r w:rsidRPr="00DF13A1">
        <w:rPr>
          <w:rFonts w:ascii="Palatino Linotype" w:eastAsia="Palatino Linotype" w:hAnsi="Palatino Linotype" w:cs="Palatino Linotype"/>
          <w:color w:val="000000"/>
          <w:lang w:eastAsia="es-MX"/>
        </w:rPr>
        <w:t>, visible en el Seminario Judicial de la Federación y su gaceta, con el registro digital 2002350.</w:t>
      </w:r>
    </w:p>
    <w:p w:rsidR="00DF13A1" w:rsidRPr="00DF13A1" w:rsidRDefault="00DF13A1" w:rsidP="00DF13A1">
      <w:pPr>
        <w:spacing w:line="360" w:lineRule="auto"/>
        <w:rPr>
          <w:lang w:eastAsia="es-MX"/>
        </w:rPr>
      </w:pPr>
    </w:p>
    <w:p w:rsidR="00DF13A1" w:rsidRPr="00DF13A1" w:rsidRDefault="00DF13A1" w:rsidP="00DF13A1">
      <w:pPr>
        <w:pBdr>
          <w:top w:val="nil"/>
          <w:left w:val="nil"/>
          <w:bottom w:val="nil"/>
          <w:right w:val="nil"/>
          <w:between w:val="nil"/>
        </w:pBdr>
        <w:spacing w:line="360" w:lineRule="auto"/>
        <w:jc w:val="both"/>
        <w:rPr>
          <w:color w:val="000000"/>
          <w:lang w:eastAsia="es-MX"/>
        </w:rPr>
      </w:pPr>
      <w:r w:rsidRPr="00DF13A1">
        <w:rPr>
          <w:rFonts w:ascii="Palatino Linotype" w:eastAsia="Palatino Linotype" w:hAnsi="Palatino Linotype" w:cs="Palatino Linotype"/>
          <w:color w:val="000000"/>
          <w:lang w:eastAsia="es-MX"/>
        </w:rPr>
        <w:lastRenderedPageBreak/>
        <w:t>Por ello, este organismo garante comprometido con la tutela de los derechos humanos confiados, señala que este exceso del plazo legal para resolver el presente asunto, resulta de carácter excepcional.</w:t>
      </w:r>
    </w:p>
    <w:p w:rsidR="00FB361D" w:rsidRDefault="00BF6D9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9. Cierre de instrucción</w:t>
      </w:r>
      <w:r>
        <w:rPr>
          <w:rFonts w:ascii="Palatino Linotype" w:eastAsia="Palatino Linotype" w:hAnsi="Palatino Linotype" w:cs="Palatino Linotype"/>
          <w:color w:val="000000"/>
        </w:rPr>
        <w:t xml:space="preserve">. En fecha </w:t>
      </w:r>
      <w:r w:rsidR="00DF13A1">
        <w:rPr>
          <w:rFonts w:ascii="Palatino Linotype" w:eastAsia="Palatino Linotype" w:hAnsi="Palatino Linotype" w:cs="Palatino Linotype"/>
          <w:b/>
          <w:color w:val="000000"/>
        </w:rPr>
        <w:t>veinticinco</w:t>
      </w:r>
      <w:r>
        <w:rPr>
          <w:rFonts w:ascii="Palatino Linotype" w:eastAsia="Palatino Linotype" w:hAnsi="Palatino Linotype" w:cs="Palatino Linotype"/>
          <w:b/>
          <w:color w:val="000000"/>
        </w:rPr>
        <w:t xml:space="preserve"> de</w:t>
      </w:r>
      <w:r w:rsidR="00DF13A1">
        <w:rPr>
          <w:rFonts w:ascii="Palatino Linotype" w:eastAsia="Palatino Linotype" w:hAnsi="Palatino Linotype" w:cs="Palatino Linotype"/>
          <w:b/>
          <w:color w:val="000000"/>
        </w:rPr>
        <w:t xml:space="preserve"> agost</w:t>
      </w:r>
      <w:r>
        <w:rPr>
          <w:rFonts w:ascii="Palatino Linotype" w:eastAsia="Palatino Linotype" w:hAnsi="Palatino Linotype" w:cs="Palatino Linotype"/>
          <w:b/>
          <w:color w:val="000000"/>
        </w:rPr>
        <w:t>o del dos mil veintidós,</w:t>
      </w:r>
      <w:r>
        <w:rPr>
          <w:rFonts w:ascii="Palatino Linotype" w:eastAsia="Palatino Linotype" w:hAnsi="Palatino Linotype" w:cs="Palatino Linotype"/>
          <w:color w:val="000000"/>
        </w:rPr>
        <w:t xml:space="preserve"> la Comisionada ponente determinó el cierre de instrucción en términos de la fracción VI del artículo 185 de la Ley de Transparencia y Acceso a la Información Pública del Estado de México y Municipios.</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B361D" w:rsidRDefault="00BF6D95">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FB361D" w:rsidRDefault="00BF6D95">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sidR="00DF13A1">
        <w:rPr>
          <w:rFonts w:ascii="Palatino Linotype" w:eastAsia="Palatino Linotype" w:hAnsi="Palatino Linotype" w:cs="Palatino Linotype"/>
          <w:b/>
        </w:rPr>
        <w:t>nueve de mayo</w:t>
      </w:r>
      <w:r>
        <w:rPr>
          <w:rFonts w:ascii="Palatino Linotype" w:eastAsia="Palatino Linotype" w:hAnsi="Palatino Linotype" w:cs="Palatino Linotype"/>
          <w:b/>
        </w:rPr>
        <w:t xml:space="preserve"> del año dos mil veintidós</w:t>
      </w:r>
      <w:r>
        <w:rPr>
          <w:rFonts w:ascii="Palatino Linotype" w:eastAsia="Palatino Linotype" w:hAnsi="Palatino Linotype" w:cs="Palatino Linotype"/>
        </w:rPr>
        <w:t xml:space="preserve"> y </w:t>
      </w:r>
      <w:r w:rsidR="00DF13A1">
        <w:rPr>
          <w:rFonts w:ascii="Palatino Linotype" w:eastAsia="Palatino Linotype" w:hAnsi="Palatino Linotype" w:cs="Palatino Linotype"/>
          <w:b/>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w:t>
      </w:r>
      <w:r w:rsidR="00DF13A1">
        <w:rPr>
          <w:rFonts w:ascii="Palatino Linotype" w:eastAsia="Palatino Linotype" w:hAnsi="Palatino Linotype" w:cs="Palatino Linotype"/>
        </w:rPr>
        <w:t xml:space="preserve">su recurso de revisión el </w:t>
      </w:r>
      <w:r w:rsidR="00DF13A1" w:rsidRPr="00DF13A1">
        <w:rPr>
          <w:rFonts w:ascii="Palatino Linotype" w:eastAsia="Palatino Linotype" w:hAnsi="Palatino Linotype" w:cs="Palatino Linotype"/>
          <w:b/>
        </w:rPr>
        <w:t>treinta de mayo</w:t>
      </w:r>
      <w:r w:rsidRPr="00DF13A1">
        <w:rPr>
          <w:rFonts w:ascii="Palatino Linotype" w:eastAsia="Palatino Linotype" w:hAnsi="Palatino Linotype" w:cs="Palatino Linotype"/>
          <w:b/>
        </w:rPr>
        <w:t xml:space="preserve"> de dos mil veintidós</w:t>
      </w:r>
      <w:r w:rsidR="00377018">
        <w:rPr>
          <w:rFonts w:ascii="Palatino Linotype" w:eastAsia="Palatino Linotype" w:hAnsi="Palatino Linotype" w:cs="Palatino Linotype"/>
        </w:rPr>
        <w:t>, esto es el décimo quinto</w:t>
      </w:r>
      <w:r>
        <w:rPr>
          <w:rFonts w:ascii="Palatino Linotype" w:eastAsia="Palatino Linotype" w:hAnsi="Palatino Linotype" w:cs="Palatino Linotype"/>
        </w:rPr>
        <w:t xml:space="preserve"> día hábil en el que tuvo conocimiento de la respuesta. </w:t>
      </w:r>
    </w:p>
    <w:p w:rsidR="00FB361D" w:rsidRDefault="00BF6D9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FB361D" w:rsidRDefault="00BF6D95">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el recurrente en sus motivos de inconformidad, de acuerdo a los artículos 176 y  179, fracción V</w:t>
      </w:r>
      <w:r w:rsidR="00377018">
        <w:rPr>
          <w:rFonts w:ascii="Palatino Linotype" w:eastAsia="Palatino Linotype" w:hAnsi="Palatino Linotype" w:cs="Palatino Linotype"/>
          <w:color w:val="000000"/>
        </w:rPr>
        <w:t>III</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rsidR="00FB361D"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176. </w:t>
      </w:r>
      <w:r>
        <w:rPr>
          <w:rFonts w:ascii="Palatino Linotype" w:eastAsia="Palatino Linotype" w:hAnsi="Palatino Linotype" w:cs="Palatino Linotype"/>
          <w:i/>
          <w:color w:val="000000"/>
          <w:sz w:val="22"/>
          <w:szCs w:val="22"/>
        </w:rPr>
        <w:t>El recurso de revisión es la garantía secundaria mediante la cual se pretende reparar cualquier posible afectación al derecho de acceso a la información pública en términos del presente y del siguiente Capítulo.</w:t>
      </w:r>
    </w:p>
    <w:p w:rsidR="00FB361D"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B361D"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B361D"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color w:val="000000"/>
        </w:rPr>
        <w:t>…</w:t>
      </w:r>
      <w:r>
        <w:rPr>
          <w:rFonts w:ascii="Palatino Linotype" w:eastAsia="Palatino Linotype" w:hAnsi="Palatino Linotype" w:cs="Palatino Linotype"/>
          <w:i/>
          <w:color w:val="000000"/>
          <w:sz w:val="22"/>
          <w:szCs w:val="22"/>
        </w:rPr>
        <w:t>]</w:t>
      </w:r>
    </w:p>
    <w:p w:rsidR="00377018" w:rsidRDefault="00377018">
      <w:pPr>
        <w:pBdr>
          <w:top w:val="nil"/>
          <w:left w:val="nil"/>
          <w:bottom w:val="nil"/>
          <w:right w:val="nil"/>
          <w:between w:val="nil"/>
        </w:pBdr>
        <w:spacing w:before="240" w:after="240"/>
        <w:ind w:left="993" w:right="1041"/>
        <w:jc w:val="both"/>
        <w:rPr>
          <w:rFonts w:ascii="Palatino Linotype" w:eastAsia="Palatino Linotype" w:hAnsi="Palatino Linotype" w:cs="Palatino Linotype"/>
          <w:b/>
          <w:i/>
          <w:color w:val="000000"/>
          <w:sz w:val="22"/>
          <w:szCs w:val="22"/>
          <w:u w:val="single"/>
        </w:rPr>
      </w:pPr>
      <w:r w:rsidRPr="00377018">
        <w:rPr>
          <w:rFonts w:ascii="Palatino Linotype" w:eastAsia="Palatino Linotype" w:hAnsi="Palatino Linotype" w:cs="Palatino Linotype"/>
          <w:b/>
          <w:i/>
          <w:color w:val="000000"/>
          <w:sz w:val="22"/>
          <w:szCs w:val="22"/>
          <w:u w:val="single"/>
        </w:rPr>
        <w:t xml:space="preserve">VIII. La notificación, entrega o puesta a disposición de información en una modalidad o formato distinto al solicitado; </w:t>
      </w:r>
    </w:p>
    <w:p w:rsidR="00FB361D"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(Sic)</w:t>
      </w:r>
    </w:p>
    <w:p w:rsidR="00FB361D" w:rsidRDefault="00BF6D95">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Tercero. Análisis de la causal de sobreseimiento.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 </w:t>
      </w:r>
      <w:r w:rsidR="00377018">
        <w:rPr>
          <w:rFonts w:ascii="Palatino Linotype" w:eastAsia="Palatino Linotype" w:hAnsi="Palatino Linotype" w:cs="Palatino Linotype"/>
        </w:rPr>
        <w:t>El</w:t>
      </w:r>
      <w:r>
        <w:rPr>
          <w:rFonts w:ascii="Palatino Linotype" w:eastAsia="Palatino Linotype" w:hAnsi="Palatino Linotype" w:cs="Palatino Linotype"/>
        </w:rPr>
        <w:t xml:space="preserve"> artículo 192 de la </w:t>
      </w:r>
      <w:r>
        <w:rPr>
          <w:rFonts w:ascii="Palatino Linotype" w:eastAsia="Palatino Linotype" w:hAnsi="Palatino Linotype" w:cs="Palatino Linotype"/>
          <w:color w:val="000000"/>
        </w:rPr>
        <w:t>Ley de Transparencia y Acceso a la Información Pública del Estado de México y Municipios, señala que el Recurso de Revisión será sobreseído en todo o en parte, cuando, una vez admitido, se actualice alguno de los siguientes supuestos:</w:t>
      </w:r>
    </w:p>
    <w:p w:rsidR="00FB361D" w:rsidRDefault="00BF6D95">
      <w:pPr>
        <w:numPr>
          <w:ilvl w:val="0"/>
          <w:numId w:val="1"/>
        </w:numPr>
        <w:spacing w:line="360" w:lineRule="auto"/>
        <w:ind w:left="567"/>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El Recurrente se desista expresamente;</w:t>
      </w:r>
    </w:p>
    <w:p w:rsidR="00FB361D" w:rsidRDefault="00BF6D95">
      <w:pPr>
        <w:numPr>
          <w:ilvl w:val="0"/>
          <w:numId w:val="1"/>
        </w:numP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 fallezca o, tratándose de personas morales se disuelva;</w:t>
      </w:r>
    </w:p>
    <w:p w:rsidR="00FB361D" w:rsidRDefault="00BF6D95">
      <w:pPr>
        <w:numPr>
          <w:ilvl w:val="0"/>
          <w:numId w:val="1"/>
        </w:numP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Sujeto Obligado modifique la respuesta o la revoque, de tal manera que el recurso de revisión quede sin materia;</w:t>
      </w:r>
    </w:p>
    <w:p w:rsidR="00FB361D" w:rsidRDefault="00BF6D95">
      <w:pPr>
        <w:numPr>
          <w:ilvl w:val="0"/>
          <w:numId w:val="1"/>
        </w:numPr>
        <w:spacing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Admitido el recurso de revisión, aparezca alguna causal de improcedencia; y,</w:t>
      </w:r>
    </w:p>
    <w:p w:rsidR="00FB361D" w:rsidRDefault="00BF6D95">
      <w:pPr>
        <w:numPr>
          <w:ilvl w:val="0"/>
          <w:numId w:val="1"/>
        </w:numPr>
        <w:spacing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Cuando por cualquier motivo quede sin materia el recurso de revisión.</w:t>
      </w:r>
    </w:p>
    <w:p w:rsidR="00FB361D" w:rsidRDefault="00FB361D">
      <w:pPr>
        <w:spacing w:line="360" w:lineRule="auto"/>
        <w:jc w:val="both"/>
        <w:rPr>
          <w:rFonts w:ascii="Palatino Linotype" w:eastAsia="Palatino Linotype" w:hAnsi="Palatino Linotype" w:cs="Palatino Linotype"/>
          <w:sz w:val="22"/>
          <w:szCs w:val="22"/>
        </w:rPr>
      </w:pPr>
    </w:p>
    <w:p w:rsidR="00FB361D" w:rsidRDefault="00BF6D9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sentido, es susceptible de análisis la actualización del supuesto jurídico previsto en la fracción I, del artículo 192, de la Ley en cita, mismo que dispone que el Recurso de Revisión será sobreseído cuando </w:t>
      </w:r>
      <w:r>
        <w:rPr>
          <w:rFonts w:ascii="Palatino Linotype" w:eastAsia="Palatino Linotype" w:hAnsi="Palatino Linotype" w:cs="Palatino Linotype"/>
          <w:b/>
        </w:rPr>
        <w:t>el Recurrente se desista expresamente</w:t>
      </w:r>
      <w:r>
        <w:rPr>
          <w:rFonts w:ascii="Palatino Linotype" w:eastAsia="Palatino Linotype" w:hAnsi="Palatino Linotype" w:cs="Palatino Linotype"/>
          <w:color w:val="000000"/>
        </w:rPr>
        <w:t xml:space="preserve">. Ello, toda </w:t>
      </w:r>
      <w:r w:rsidR="00E91051">
        <w:rPr>
          <w:rFonts w:ascii="Palatino Linotype" w:eastAsia="Palatino Linotype" w:hAnsi="Palatino Linotype" w:cs="Palatino Linotype"/>
          <w:color w:val="000000"/>
        </w:rPr>
        <w:t xml:space="preserve">vez que el Recurrente en fecha </w:t>
      </w:r>
      <w:r w:rsidR="00E91051" w:rsidRPr="00E91051">
        <w:rPr>
          <w:rFonts w:ascii="Palatino Linotype" w:eastAsia="Palatino Linotype" w:hAnsi="Palatino Linotype" w:cs="Palatino Linotype"/>
          <w:color w:val="000000"/>
        </w:rPr>
        <w:t>tres de mayo de dos mil veintidós</w:t>
      </w:r>
      <w:r w:rsidRPr="00E91051">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a través del Sistema de Acceso a la Información Mexiquense (SAIMEX), se desistió expresamente del presente Recurso de Revisión.</w:t>
      </w:r>
    </w:p>
    <w:p w:rsidR="00FB361D" w:rsidRDefault="00FB361D">
      <w:pPr>
        <w:spacing w:line="360" w:lineRule="auto"/>
        <w:jc w:val="both"/>
        <w:rPr>
          <w:rFonts w:ascii="Palatino Linotype" w:eastAsia="Palatino Linotype" w:hAnsi="Palatino Linotype" w:cs="Palatino Linotype"/>
          <w:color w:val="000000"/>
          <w:sz w:val="22"/>
          <w:szCs w:val="22"/>
        </w:rPr>
      </w:pPr>
    </w:p>
    <w:p w:rsidR="00FB361D" w:rsidRDefault="00BF6D9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En efecto, se aprecia que el Particular </w:t>
      </w:r>
      <w:r w:rsidRPr="00E91051">
        <w:rPr>
          <w:rFonts w:ascii="Palatino Linotype" w:eastAsia="Palatino Linotype" w:hAnsi="Palatino Linotype" w:cs="Palatino Linotype"/>
          <w:b/>
          <w:color w:val="000000"/>
        </w:rPr>
        <w:t xml:space="preserve">manifestó expresamente su voluntad de desistirse del Recurso de Revisión </w:t>
      </w:r>
      <w:r w:rsidR="00377018">
        <w:rPr>
          <w:rFonts w:ascii="Palatino Linotype" w:eastAsia="Palatino Linotype" w:hAnsi="Palatino Linotype" w:cs="Palatino Linotype"/>
          <w:b/>
        </w:rPr>
        <w:t>10264/INFOEM/IP/RR/2022</w:t>
      </w:r>
      <w:r>
        <w:rPr>
          <w:rFonts w:ascii="Palatino Linotype" w:eastAsia="Palatino Linotype" w:hAnsi="Palatino Linotype" w:cs="Palatino Linotype"/>
          <w:b/>
        </w:rPr>
        <w:t xml:space="preserve"> bajo los argumentos </w:t>
      </w:r>
      <w:r>
        <w:rPr>
          <w:rFonts w:ascii="Palatino Linotype" w:eastAsia="Palatino Linotype" w:hAnsi="Palatino Linotype" w:cs="Palatino Linotype"/>
          <w:i/>
        </w:rPr>
        <w:t>“</w:t>
      </w:r>
      <w:r w:rsidR="00377018" w:rsidRPr="00377018">
        <w:rPr>
          <w:rFonts w:ascii="Palatino Linotype" w:eastAsia="Palatino Linotype" w:hAnsi="Palatino Linotype" w:cs="Palatino Linotype"/>
          <w:i/>
        </w:rPr>
        <w:t>Por así convenir a mis intereses personales</w:t>
      </w:r>
      <w:r>
        <w:rPr>
          <w:rFonts w:ascii="Palatino Linotype" w:eastAsia="Palatino Linotype" w:hAnsi="Palatino Linotype" w:cs="Palatino Linotype"/>
          <w:i/>
        </w:rPr>
        <w:t xml:space="preserve">” (Sic),  </w:t>
      </w:r>
      <w:r>
        <w:rPr>
          <w:rFonts w:ascii="Palatino Linotype" w:eastAsia="Palatino Linotype" w:hAnsi="Palatino Linotype" w:cs="Palatino Linotype"/>
        </w:rPr>
        <w:t>en consecuencia, se estima que se actualiza el supuesto previsto en el artículo 192, fracción I, de la Ley de Transparencia y Acceso a la Información Pública del Estado de México y Municipios.</w:t>
      </w:r>
    </w:p>
    <w:p w:rsidR="00FB361D" w:rsidRDefault="00FB361D">
      <w:pPr>
        <w:spacing w:line="360" w:lineRule="auto"/>
        <w:jc w:val="both"/>
        <w:rPr>
          <w:rFonts w:ascii="Palatino Linotype" w:eastAsia="Palatino Linotype" w:hAnsi="Palatino Linotype" w:cs="Palatino Linotype"/>
          <w:sz w:val="22"/>
          <w:szCs w:val="22"/>
        </w:rPr>
      </w:pPr>
    </w:p>
    <w:p w:rsidR="00FB361D" w:rsidRDefault="00BF6D9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resulta aplicable la Jurisprudencia número 1a./J. 65/2005, Semanario Judicial de la Federación y su Gaceta, Novena Época, Tomo XXII, julio de dos mil cinco, página ciento sesenta y uno, que establece lo siguiente:</w:t>
      </w:r>
    </w:p>
    <w:p w:rsidR="00FB361D" w:rsidRDefault="00FB361D">
      <w:pPr>
        <w:spacing w:line="360" w:lineRule="auto"/>
        <w:jc w:val="both"/>
        <w:rPr>
          <w:rFonts w:ascii="Palatino Linotype" w:eastAsia="Palatino Linotype" w:hAnsi="Palatino Linotype" w:cs="Palatino Linotype"/>
        </w:rPr>
      </w:pPr>
    </w:p>
    <w:p w:rsidR="00FB361D" w:rsidRDefault="00BF6D9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DESISTIMIENTO DE LA INSTANCIA. SURTE EFECTOS DESDE EL MOMENTO EN QUE SE PRESENTA EL ESCRITO CORRESPONDIENTE.</w:t>
      </w:r>
    </w:p>
    <w:p w:rsidR="00FB361D" w:rsidRDefault="00BF6D9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w:t>
      </w:r>
      <w:r>
        <w:rPr>
          <w:rFonts w:ascii="Palatino Linotype" w:eastAsia="Palatino Linotype" w:hAnsi="Palatino Linotype" w:cs="Palatino Linotype"/>
          <w:i/>
        </w:rPr>
        <w:lastRenderedPageBreak/>
        <w:t>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rsidR="00FB361D" w:rsidRDefault="00FB361D">
      <w:pPr>
        <w:spacing w:line="360" w:lineRule="auto"/>
        <w:jc w:val="both"/>
        <w:rPr>
          <w:rFonts w:ascii="Palatino Linotype" w:eastAsia="Palatino Linotype" w:hAnsi="Palatino Linotype" w:cs="Palatino Linotype"/>
          <w:color w:val="000000"/>
          <w:sz w:val="22"/>
          <w:szCs w:val="22"/>
        </w:rPr>
      </w:pPr>
    </w:p>
    <w:p w:rsidR="00FB361D" w:rsidRDefault="00BF6D9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citado se pude colegir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presente un escrito de desistimiento, le hace saber a este Instituto la intención de cesar los efectos jurídicos generados </w:t>
      </w:r>
      <w:r w:rsidRPr="00E91051">
        <w:rPr>
          <w:rFonts w:ascii="Palatino Linotype" w:eastAsia="Palatino Linotype" w:hAnsi="Palatino Linotype" w:cs="Palatino Linotype"/>
        </w:rPr>
        <w:t xml:space="preserve">con </w:t>
      </w:r>
      <w:r w:rsidR="00E91051" w:rsidRPr="00E91051">
        <w:rPr>
          <w:rFonts w:ascii="Palatino Linotype" w:eastAsia="Palatino Linotype" w:hAnsi="Palatino Linotype" w:cs="Palatino Linotype"/>
        </w:rPr>
        <w:t>el</w:t>
      </w:r>
      <w:r w:rsidRPr="00E91051">
        <w:rPr>
          <w:rFonts w:ascii="Palatino Linotype" w:eastAsia="Palatino Linotype" w:hAnsi="Palatino Linotype" w:cs="Palatino Linotype"/>
        </w:rPr>
        <w:t xml:space="preserve"> Recurs</w:t>
      </w:r>
      <w:r w:rsidR="00E91051" w:rsidRPr="00E91051">
        <w:rPr>
          <w:rFonts w:ascii="Palatino Linotype" w:eastAsia="Palatino Linotype" w:hAnsi="Palatino Linotype" w:cs="Palatino Linotype"/>
        </w:rPr>
        <w:t>o</w:t>
      </w:r>
      <w:r w:rsidRPr="00E91051">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FB361D" w:rsidRDefault="00FB361D">
      <w:pPr>
        <w:spacing w:line="360" w:lineRule="auto"/>
        <w:jc w:val="both"/>
        <w:rPr>
          <w:rFonts w:ascii="Palatino Linotype" w:eastAsia="Palatino Linotype" w:hAnsi="Palatino Linotype" w:cs="Palatino Linotype"/>
          <w:sz w:val="22"/>
          <w:szCs w:val="22"/>
        </w:rPr>
      </w:pPr>
    </w:p>
    <w:p w:rsidR="00FB361D" w:rsidRDefault="00BF6D9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toda vez que este Instituto constató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desistió por la vía idónea para realizar dicha acción, a saber, por el Sistema de Acceso a la Información Mexiquense (SAIMEX), resulta procedente </w:t>
      </w:r>
      <w:r>
        <w:rPr>
          <w:rFonts w:ascii="Palatino Linotype" w:eastAsia="Palatino Linotype" w:hAnsi="Palatino Linotype" w:cs="Palatino Linotype"/>
          <w:b/>
        </w:rPr>
        <w:t xml:space="preserve">SOBRESEER </w:t>
      </w:r>
      <w:r>
        <w:rPr>
          <w:rFonts w:ascii="Palatino Linotype" w:eastAsia="Palatino Linotype" w:hAnsi="Palatino Linotype" w:cs="Palatino Linotype"/>
        </w:rPr>
        <w:t xml:space="preserve">el Recurso de Revisión con número </w:t>
      </w:r>
      <w:r w:rsidR="00377018">
        <w:rPr>
          <w:rFonts w:ascii="Palatino Linotype" w:eastAsia="Palatino Linotype" w:hAnsi="Palatino Linotype" w:cs="Palatino Linotype"/>
          <w:b/>
        </w:rPr>
        <w:t>10264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al actualizarse el supuesto previsto en el artículo 192, fracción I, de la Ley de Transparencia y Acceso a la Información Pública del Estado de México y Municipios, en relación con el 186, fracción I de ese ordenamiento legal.</w:t>
      </w:r>
    </w:p>
    <w:p w:rsidR="002F2194"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 xml:space="preserve">de la Constitución Política del Estado Libre y Soberano de México; 2, fracción II; 29, 36 fracciones I y II; 176, 178, 181, 185 de </w:t>
      </w:r>
      <w:r>
        <w:rPr>
          <w:rFonts w:ascii="Palatino Linotype" w:eastAsia="Palatino Linotype" w:hAnsi="Palatino Linotype" w:cs="Palatino Linotype"/>
        </w:rPr>
        <w:lastRenderedPageBreak/>
        <w:t>la Ley de Transparencia y Acceso a la Información Pública del Estado de México y Municipios, este Pleno:</w:t>
      </w:r>
    </w:p>
    <w:p w:rsidR="00FB361D" w:rsidRDefault="00BF6D9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RESUELVE</w:t>
      </w:r>
    </w:p>
    <w:p w:rsidR="00E91051"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número </w:t>
      </w:r>
      <w:r w:rsidR="00377018">
        <w:rPr>
          <w:rFonts w:ascii="Palatino Linotype" w:eastAsia="Palatino Linotype" w:hAnsi="Palatino Linotype" w:cs="Palatino Linotype"/>
          <w:b/>
        </w:rPr>
        <w:t>10264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w:t>
      </w:r>
      <w:r w:rsidR="00E91051">
        <w:rPr>
          <w:rFonts w:ascii="Palatino Linotype" w:eastAsia="Palatino Linotype" w:hAnsi="Palatino Linotype" w:cs="Palatino Linotype"/>
        </w:rPr>
        <w:t xml:space="preserve">de conformidad con la fracción I del artículo 192, </w:t>
      </w:r>
      <w:r>
        <w:rPr>
          <w:rFonts w:ascii="Palatino Linotype" w:eastAsia="Palatino Linotype" w:hAnsi="Palatino Linotype" w:cs="Palatino Linotype"/>
        </w:rPr>
        <w:t xml:space="preserve">por haberse desistido expresamente el Recurrente, en términos del </w:t>
      </w:r>
      <w:r>
        <w:rPr>
          <w:rFonts w:ascii="Palatino Linotype" w:eastAsia="Palatino Linotype" w:hAnsi="Palatino Linotype" w:cs="Palatino Linotype"/>
          <w:b/>
        </w:rPr>
        <w:t>Considerando Tercero</w:t>
      </w:r>
      <w:r>
        <w:rPr>
          <w:rFonts w:ascii="Palatino Linotype" w:eastAsia="Palatino Linotype" w:hAnsi="Palatino Linotype" w:cs="Palatino Linotype"/>
        </w:rPr>
        <w:t xml:space="preserve"> de la presente resolución</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rsidR="00FB361D" w:rsidRDefault="00BF6D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 xml:space="preserve">Notifíquese vía Sistema de Acceso a la Información Mexiquense (SAIMEX), </w:t>
      </w:r>
      <w:r>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FB361D" w:rsidRDefault="00BF6D95">
      <w:pPr>
        <w:spacing w:before="240" w:after="240" w:line="360" w:lineRule="auto"/>
        <w:jc w:val="both"/>
        <w:rPr>
          <w:rFonts w:ascii="Palatino Linotype" w:eastAsia="Palatino Linotype" w:hAnsi="Palatino Linotype" w:cs="Palatino Linotype"/>
        </w:rPr>
        <w:sectPr w:rsidR="00FB361D">
          <w:headerReference w:type="default" r:id="rId18"/>
          <w:footerReference w:type="default" r:id="rId19"/>
          <w:headerReference w:type="first" r:id="rId20"/>
          <w:footerReference w:type="first" r:id="rId21"/>
          <w:pgSz w:w="12240" w:h="15840"/>
          <w:pgMar w:top="1417" w:right="1608" w:bottom="1417" w:left="1701" w:header="709" w:footer="709" w:gutter="0"/>
          <w:pgNumType w:start="1"/>
          <w:cols w:space="720"/>
          <w:titlePg/>
        </w:sectPr>
      </w:pPr>
      <w:bookmarkStart w:id="1" w:name="_heading=h.gjdgxs" w:colFirst="0" w:colLast="0"/>
      <w:bookmarkEnd w:id="1"/>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77018">
        <w:rPr>
          <w:rFonts w:ascii="Palatino Linotype" w:eastAsia="Palatino Linotype" w:hAnsi="Palatino Linotype" w:cs="Palatino Linotype"/>
        </w:rPr>
        <w:t xml:space="preserve">TRIGÉSIMA </w:t>
      </w:r>
      <w:r w:rsidR="00736A0A">
        <w:rPr>
          <w:rFonts w:ascii="Palatino Linotype" w:eastAsia="Palatino Linotype" w:hAnsi="Palatino Linotype" w:cs="Palatino Linotype"/>
        </w:rPr>
        <w:t>SEGUNDA</w:t>
      </w:r>
      <w:r w:rsidR="00377018">
        <w:rPr>
          <w:rFonts w:ascii="Palatino Linotype" w:eastAsia="Palatino Linotype" w:hAnsi="Palatino Linotype" w:cs="Palatino Linotype"/>
        </w:rPr>
        <w:t xml:space="preserve"> </w:t>
      </w:r>
      <w:r>
        <w:rPr>
          <w:rFonts w:ascii="Palatino Linotype" w:eastAsia="Palatino Linotype" w:hAnsi="Palatino Linotype" w:cs="Palatino Linotype"/>
        </w:rPr>
        <w:t xml:space="preserve">SESIÓN </w:t>
      </w:r>
      <w:r w:rsidR="00377018">
        <w:rPr>
          <w:rFonts w:ascii="Palatino Linotype" w:eastAsia="Palatino Linotype" w:hAnsi="Palatino Linotype" w:cs="Palatino Linotype"/>
        </w:rPr>
        <w:t xml:space="preserve">ORDINARIA CELEBRADA EL </w:t>
      </w:r>
      <w:r w:rsidR="00736A0A">
        <w:rPr>
          <w:rFonts w:ascii="Palatino Linotype" w:eastAsia="Palatino Linotype" w:hAnsi="Palatino Linotype" w:cs="Palatino Linotype"/>
        </w:rPr>
        <w:t>SIETE DE SEPTIEMBRE</w:t>
      </w:r>
      <w:r>
        <w:rPr>
          <w:rFonts w:ascii="Palatino Linotype" w:eastAsia="Palatino Linotype" w:hAnsi="Palatino Linotype" w:cs="Palatino Linotype"/>
        </w:rPr>
        <w:t xml:space="preserve"> DEL DOS MIL VEINTIDÓS, ANTE EL SECRETARIO TÉCNICO DEL PLENO, ALEXIS TAPIA RAMÍREZ.</w:t>
      </w:r>
    </w:p>
    <w:p w:rsidR="00FB361D" w:rsidRDefault="00FB361D">
      <w:pPr>
        <w:spacing w:before="240" w:after="240" w:line="360" w:lineRule="auto"/>
        <w:jc w:val="both"/>
        <w:rPr>
          <w:rFonts w:ascii="Palatino Linotype" w:eastAsia="Palatino Linotype" w:hAnsi="Palatino Linotype" w:cs="Palatino Linotype"/>
        </w:rPr>
      </w:pPr>
    </w:p>
    <w:sectPr w:rsidR="00FB361D">
      <w:headerReference w:type="default" r:id="rId22"/>
      <w:footerReference w:type="default" r:id="rId23"/>
      <w:headerReference w:type="first" r:id="rId24"/>
      <w:footerReference w:type="first" r:id="rId25"/>
      <w:pgSz w:w="12240" w:h="15840"/>
      <w:pgMar w:top="1417" w:right="1750"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13A" w:rsidRDefault="00C3113A">
      <w:r>
        <w:separator/>
      </w:r>
    </w:p>
  </w:endnote>
  <w:endnote w:type="continuationSeparator" w:id="0">
    <w:p w:rsidR="00C3113A" w:rsidRDefault="00C3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E0BDA">
      <w:rPr>
        <w:rFonts w:ascii="Arial" w:eastAsia="Arial" w:hAnsi="Arial" w:cs="Arial"/>
        <w:b/>
        <w:noProof/>
        <w:color w:val="000000"/>
        <w:sz w:val="20"/>
        <w:szCs w:val="20"/>
      </w:rPr>
      <w:t>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E0BDA">
      <w:rPr>
        <w:rFonts w:ascii="Arial" w:eastAsia="Arial" w:hAnsi="Arial" w:cs="Arial"/>
        <w:b/>
        <w:noProof/>
        <w:color w:val="000000"/>
        <w:sz w:val="20"/>
        <w:szCs w:val="20"/>
      </w:rPr>
      <w:t>21</w:t>
    </w:r>
    <w:r>
      <w:rPr>
        <w:rFonts w:ascii="Arial" w:eastAsia="Arial" w:hAnsi="Arial" w:cs="Arial"/>
        <w:b/>
        <w:color w:val="000000"/>
        <w:sz w:val="20"/>
        <w:szCs w:val="20"/>
      </w:rPr>
      <w:fldChar w:fldCharType="end"/>
    </w:r>
  </w:p>
  <w:p w:rsidR="00FB361D" w:rsidRDefault="00FB361D">
    <w:pPr>
      <w:pBdr>
        <w:top w:val="nil"/>
        <w:left w:val="nil"/>
        <w:bottom w:val="nil"/>
        <w:right w:val="nil"/>
        <w:between w:val="nil"/>
      </w:pBdr>
      <w:tabs>
        <w:tab w:val="center" w:pos="4419"/>
        <w:tab w:val="right" w:pos="8838"/>
      </w:tabs>
      <w:rPr>
        <w:color w:val="000000"/>
      </w:rPr>
    </w:pPr>
  </w:p>
  <w:p w:rsidR="00FB361D" w:rsidRDefault="00FB361D">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E0BD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E0BDA">
      <w:rPr>
        <w:rFonts w:ascii="Arial" w:eastAsia="Arial" w:hAnsi="Arial" w:cs="Arial"/>
        <w:b/>
        <w:noProof/>
        <w:color w:val="000000"/>
        <w:sz w:val="20"/>
        <w:szCs w:val="20"/>
      </w:rPr>
      <w:t>21</w:t>
    </w:r>
    <w:r>
      <w:rPr>
        <w:rFonts w:ascii="Arial" w:eastAsia="Arial" w:hAnsi="Arial" w:cs="Arial"/>
        <w:b/>
        <w:color w:val="000000"/>
        <w:sz w:val="20"/>
        <w:szCs w:val="20"/>
      </w:rPr>
      <w:fldChar w:fldCharType="end"/>
    </w:r>
  </w:p>
  <w:p w:rsidR="00FB361D" w:rsidRDefault="00FB361D">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701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p>
  <w:p w:rsidR="00FB361D" w:rsidRDefault="00FB361D">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ind w:left="7080"/>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ab/>
      <w:t xml:space="preserve">                                                                                                                                                                                         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E0BD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E0BD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rsidR="00FB361D" w:rsidRDefault="00FB36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13A" w:rsidRDefault="00C3113A">
      <w:r>
        <w:separator/>
      </w:r>
    </w:p>
  </w:footnote>
  <w:footnote w:type="continuationSeparator" w:id="0">
    <w:p w:rsidR="00C3113A" w:rsidRDefault="00C31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FB361D">
    <w:pPr>
      <w:widowControl w:val="0"/>
      <w:pBdr>
        <w:top w:val="nil"/>
        <w:left w:val="nil"/>
        <w:bottom w:val="nil"/>
        <w:right w:val="nil"/>
        <w:between w:val="nil"/>
      </w:pBdr>
      <w:spacing w:line="276" w:lineRule="auto"/>
      <w:rPr>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FB361D">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B361D" w:rsidRDefault="00DC7D74">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10264</w:t>
          </w:r>
          <w:r w:rsidR="00BF6D95">
            <w:rPr>
              <w:rFonts w:ascii="Palatino Linotype" w:eastAsia="Palatino Linotype" w:hAnsi="Palatino Linotype" w:cs="Palatino Linotype"/>
              <w:b/>
              <w:sz w:val="22"/>
              <w:szCs w:val="22"/>
            </w:rPr>
            <w:t>/INFOEM/IP/RR/2022</w:t>
          </w:r>
        </w:p>
      </w:tc>
    </w:tr>
    <w:tr w:rsidR="00FB361D">
      <w:trPr>
        <w:trHeight w:val="228"/>
      </w:trPr>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B361D" w:rsidRDefault="00DC7D74" w:rsidP="00DC7D74">
          <w:pPr>
            <w:tabs>
              <w:tab w:val="left" w:pos="1106"/>
            </w:tabs>
            <w:ind w:right="9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FB361D">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FB361D" w:rsidRDefault="00BF6D9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B361D" w:rsidRDefault="00BF6D95">
    <w:pPr>
      <w:pBdr>
        <w:top w:val="nil"/>
        <w:left w:val="nil"/>
        <w:bottom w:val="nil"/>
        <w:right w:val="nil"/>
        <w:between w:val="nil"/>
      </w:pBdr>
      <w:tabs>
        <w:tab w:val="center" w:pos="4419"/>
        <w:tab w:val="right" w:pos="8838"/>
        <w:tab w:val="left" w:pos="2326"/>
      </w:tabs>
      <w:rPr>
        <w:color w:val="000000"/>
      </w:rPr>
    </w:pPr>
    <w:r>
      <w:rPr>
        <w:color w:val="000000"/>
      </w:rPr>
      <w:tab/>
    </w:r>
    <w:r>
      <w:rPr>
        <w:noProof/>
        <w:lang w:val="es-MX" w:eastAsia="es-MX"/>
      </w:rPr>
      <w:drawing>
        <wp:anchor distT="0" distB="0" distL="0" distR="0" simplePos="0" relativeHeight="251658240" behindDoc="1" locked="0" layoutInCell="1" hidden="0" allowOverlap="1">
          <wp:simplePos x="0" y="0"/>
          <wp:positionH relativeFrom="column">
            <wp:posOffset>-982344</wp:posOffset>
          </wp:positionH>
          <wp:positionV relativeFrom="paragraph">
            <wp:posOffset>-1098549</wp:posOffset>
          </wp:positionV>
          <wp:extent cx="7635600" cy="9943200"/>
          <wp:effectExtent l="0" t="0" r="0" b="0"/>
          <wp:wrapNone/>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both"/>
      <w:rPr>
        <w:color w:val="000000"/>
      </w:rPr>
    </w:pPr>
    <w:r>
      <w:rPr>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-973454</wp:posOffset>
          </wp:positionH>
          <wp:positionV relativeFrom="paragraph">
            <wp:posOffset>-354964</wp:posOffset>
          </wp:positionV>
          <wp:extent cx="7635600" cy="9943200"/>
          <wp:effectExtent l="0" t="0" r="0" b="0"/>
          <wp:wrapNone/>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FB361D">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B361D" w:rsidRDefault="00DC7D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10264</w:t>
          </w:r>
          <w:r w:rsidR="00BF6D95">
            <w:rPr>
              <w:rFonts w:ascii="Palatino Linotype" w:eastAsia="Palatino Linotype" w:hAnsi="Palatino Linotype" w:cs="Palatino Linotype"/>
              <w:b/>
              <w:sz w:val="22"/>
              <w:szCs w:val="22"/>
            </w:rPr>
            <w:t>/INFOEM/IP/RR/2022</w:t>
          </w:r>
        </w:p>
      </w:tc>
    </w:tr>
    <w:tr w:rsidR="00FB361D">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FB361D" w:rsidRDefault="00924B04" w:rsidP="00924B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r w:rsidR="00DC7D7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 XXXXXXXXX</w:t>
          </w:r>
        </w:p>
      </w:tc>
    </w:tr>
    <w:tr w:rsidR="00FB361D">
      <w:trPr>
        <w:trHeight w:val="228"/>
      </w:trPr>
      <w:tc>
        <w:tcPr>
          <w:tcW w:w="2553" w:type="dxa"/>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B361D" w:rsidRDefault="00DC7D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FB361D">
      <w:tc>
        <w:tcPr>
          <w:tcW w:w="2553" w:type="dxa"/>
          <w:vAlign w:val="center"/>
        </w:tcPr>
        <w:p w:rsidR="00FB361D" w:rsidRDefault="00DC7D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BF6D95">
            <w:rPr>
              <w:rFonts w:ascii="Palatino Linotype" w:eastAsia="Palatino Linotype" w:hAnsi="Palatino Linotype" w:cs="Palatino Linotype"/>
              <w:b/>
              <w:sz w:val="22"/>
              <w:szCs w:val="22"/>
            </w:rPr>
            <w:t>onente:</w:t>
          </w:r>
        </w:p>
      </w:tc>
      <w:tc>
        <w:tcPr>
          <w:tcW w:w="3687" w:type="dxa"/>
          <w:vAlign w:val="center"/>
        </w:tcPr>
        <w:p w:rsidR="00FB361D" w:rsidRDefault="00BF6D9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B361D" w:rsidRDefault="00FB361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simplePos x="0" y="0"/>
          <wp:positionH relativeFrom="column">
            <wp:posOffset>-654933</wp:posOffset>
          </wp:positionH>
          <wp:positionV relativeFrom="paragraph">
            <wp:posOffset>-313909</wp:posOffset>
          </wp:positionV>
          <wp:extent cx="7635600" cy="9943200"/>
          <wp:effectExtent l="0" t="0" r="0" b="0"/>
          <wp:wrapNone/>
          <wp:docPr id="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FB361D">
      <w:tc>
        <w:tcPr>
          <w:tcW w:w="0" w:type="auto"/>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vAlign w:val="center"/>
        </w:tcPr>
        <w:p w:rsidR="00FB361D" w:rsidRDefault="00BF6D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05009/INFOEM/IP/RR/2021</w:t>
          </w:r>
        </w:p>
      </w:tc>
    </w:tr>
    <w:tr w:rsidR="00FB361D">
      <w:trPr>
        <w:trHeight w:val="228"/>
      </w:trPr>
      <w:tc>
        <w:tcPr>
          <w:tcW w:w="0" w:type="auto"/>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vAlign w:val="center"/>
        </w:tcPr>
        <w:p w:rsidR="00FB361D" w:rsidRDefault="00BF6D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B361D">
      <w:tc>
        <w:tcPr>
          <w:tcW w:w="0" w:type="auto"/>
          <w:vAlign w:val="center"/>
        </w:tcPr>
        <w:p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vAlign w:val="center"/>
        </w:tcPr>
        <w:p w:rsidR="00FB361D" w:rsidRDefault="00BF6D9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B361D" w:rsidRDefault="00FB361D">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D" w:rsidRDefault="00BF6D95">
    <w:pPr>
      <w:pBdr>
        <w:top w:val="nil"/>
        <w:left w:val="nil"/>
        <w:bottom w:val="nil"/>
        <w:right w:val="nil"/>
        <w:between w:val="nil"/>
      </w:pBdr>
      <w:tabs>
        <w:tab w:val="center" w:pos="4419"/>
        <w:tab w:val="right" w:pos="8838"/>
      </w:tabs>
      <w:jc w:val="both"/>
      <w:rPr>
        <w:color w:val="000000"/>
      </w:rPr>
    </w:pPr>
    <w:r>
      <w:rPr>
        <w:color w:val="000000"/>
      </w:rPr>
      <w:t xml:space="preserve">                                  </w:t>
    </w:r>
  </w:p>
  <w:p w:rsidR="00FB361D" w:rsidRDefault="00FB361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00726"/>
    <w:multiLevelType w:val="multilevel"/>
    <w:tmpl w:val="EE4C97E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6D75910"/>
    <w:multiLevelType w:val="multilevel"/>
    <w:tmpl w:val="1D1E82DA"/>
    <w:lvl w:ilvl="0">
      <w:start w:val="1"/>
      <w:numFmt w:val="upperRoman"/>
      <w:lvlText w:val="%1."/>
      <w:lvlJc w:val="left"/>
      <w:pPr>
        <w:ind w:left="4265" w:hanging="72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2">
    <w:nsid w:val="32935BFD"/>
    <w:multiLevelType w:val="multilevel"/>
    <w:tmpl w:val="8004909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7395BAD"/>
    <w:multiLevelType w:val="multilevel"/>
    <w:tmpl w:val="6780F48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76946CCA"/>
    <w:multiLevelType w:val="multilevel"/>
    <w:tmpl w:val="BECE8232"/>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1D"/>
    <w:rsid w:val="002F2194"/>
    <w:rsid w:val="00377018"/>
    <w:rsid w:val="004F5C42"/>
    <w:rsid w:val="00736A0A"/>
    <w:rsid w:val="00924B04"/>
    <w:rsid w:val="00B12C6F"/>
    <w:rsid w:val="00BF6D95"/>
    <w:rsid w:val="00C3113A"/>
    <w:rsid w:val="00CB3783"/>
    <w:rsid w:val="00CE0BDA"/>
    <w:rsid w:val="00D40C2F"/>
    <w:rsid w:val="00DC7D74"/>
    <w:rsid w:val="00DF13A1"/>
    <w:rsid w:val="00E91051"/>
    <w:rsid w:val="00FB3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5CF52-BE2A-4CE8-B505-B0088BA6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table" w:customStyle="1" w:styleId="Tabladelista1clara-nfasis121">
    <w:name w:val="Tabla de lista 1 clara - Énfasis 121"/>
    <w:basedOn w:val="Tablanormal"/>
    <w:next w:val="Tabladelista1clara-nfasis1"/>
    <w:uiPriority w:val="46"/>
    <w:rsid w:val="00007288"/>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00728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1EydzFrn2sI5ctSlDKtSHKOQ==">AMUW2mUR/c2FlVQ+8fsoWs1sagCWpc06rREBpoI7JDDyDlXnFNxqG5RoTWej2tLlUQ+bhuGxfV5Hs6PIygOoQskfEgJwnA+lZ+OXE8VSsBwoaVdV4CHMxmXO0eNR+8nuvOMvZ+e1NMq7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3447</Words>
  <Characters>18964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dcterms:created xsi:type="dcterms:W3CDTF">2022-09-28T19:26:00Z</dcterms:created>
  <dcterms:modified xsi:type="dcterms:W3CDTF">2022-09-28T19:26:00Z</dcterms:modified>
</cp:coreProperties>
</file>