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330785" w14:textId="18D7A599" w:rsidR="00536C04" w:rsidRPr="006F0A66" w:rsidRDefault="00536C04" w:rsidP="00406C32">
      <w:pPr>
        <w:spacing w:line="360" w:lineRule="auto"/>
        <w:jc w:val="both"/>
        <w:rPr>
          <w:rFonts w:ascii="Palatino Linotype" w:hAnsi="Palatino Linotype"/>
        </w:rPr>
      </w:pPr>
      <w:r w:rsidRPr="006F0A66">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D17BD4">
        <w:rPr>
          <w:rFonts w:ascii="Palatino Linotype" w:hAnsi="Palatino Linotype"/>
          <w:lang w:val="es-419"/>
        </w:rPr>
        <w:t>nueve</w:t>
      </w:r>
      <w:r w:rsidR="009412EC">
        <w:rPr>
          <w:rFonts w:ascii="Palatino Linotype" w:hAnsi="Palatino Linotype"/>
        </w:rPr>
        <w:t xml:space="preserve"> de noviembre de</w:t>
      </w:r>
      <w:r w:rsidRPr="009412EC">
        <w:rPr>
          <w:rFonts w:ascii="Palatino Linotype" w:hAnsi="Palatino Linotype"/>
        </w:rPr>
        <w:t xml:space="preserve"> dos mil veintidós.</w:t>
      </w:r>
    </w:p>
    <w:p w14:paraId="4BB42F7D" w14:textId="77777777" w:rsidR="00536C04" w:rsidRPr="006E0953" w:rsidRDefault="00536C04" w:rsidP="00536C04">
      <w:pPr>
        <w:spacing w:line="360" w:lineRule="auto"/>
        <w:jc w:val="both"/>
        <w:rPr>
          <w:rFonts w:ascii="Palatino Linotype" w:hAnsi="Palatino Linotype"/>
          <w:sz w:val="16"/>
        </w:rPr>
      </w:pPr>
    </w:p>
    <w:p w14:paraId="5A8EB4C3" w14:textId="4CC48E87" w:rsidR="00536C04" w:rsidRPr="006F0A66" w:rsidRDefault="0075338B" w:rsidP="00E44BB1">
      <w:pPr>
        <w:spacing w:line="360" w:lineRule="auto"/>
        <w:jc w:val="both"/>
        <w:rPr>
          <w:rFonts w:ascii="Palatino Linotype" w:hAnsi="Palatino Linotype"/>
          <w:b/>
        </w:rPr>
      </w:pPr>
      <w:r>
        <w:rPr>
          <w:rFonts w:ascii="Palatino Linotype" w:hAnsi="Palatino Linotype"/>
          <w:b/>
        </w:rPr>
        <w:t>VISTO</w:t>
      </w:r>
      <w:r w:rsidR="00536C04" w:rsidRPr="006F0A66">
        <w:rPr>
          <w:rFonts w:ascii="Palatino Linotype" w:hAnsi="Palatino Linotype"/>
        </w:rPr>
        <w:t xml:space="preserve"> </w:t>
      </w:r>
      <w:r w:rsidR="00C41EB1">
        <w:rPr>
          <w:rFonts w:ascii="Palatino Linotype" w:hAnsi="Palatino Linotype"/>
        </w:rPr>
        <w:t xml:space="preserve">el </w:t>
      </w:r>
      <w:r w:rsidR="00536C04" w:rsidRPr="006F0A66">
        <w:rPr>
          <w:rFonts w:ascii="Palatino Linotype" w:hAnsi="Palatino Linotype"/>
        </w:rPr>
        <w:t>expediente</w:t>
      </w:r>
      <w:r w:rsidR="00C41EB1">
        <w:rPr>
          <w:rFonts w:ascii="Palatino Linotype" w:hAnsi="Palatino Linotype"/>
        </w:rPr>
        <w:t xml:space="preserve"> formado</w:t>
      </w:r>
      <w:r w:rsidR="00536C04" w:rsidRPr="006F0A66">
        <w:rPr>
          <w:rFonts w:ascii="Palatino Linotype" w:hAnsi="Palatino Linotype"/>
        </w:rPr>
        <w:t xml:space="preserve"> con motivo del </w:t>
      </w:r>
      <w:r w:rsidR="00025060" w:rsidRPr="006F0A66">
        <w:rPr>
          <w:rFonts w:ascii="Palatino Linotype" w:hAnsi="Palatino Linotype"/>
        </w:rPr>
        <w:t>R</w:t>
      </w:r>
      <w:r w:rsidR="00536C04" w:rsidRPr="006F0A66">
        <w:rPr>
          <w:rFonts w:ascii="Palatino Linotype" w:hAnsi="Palatino Linotype"/>
        </w:rPr>
        <w:t xml:space="preserve">ecurso de </w:t>
      </w:r>
      <w:r w:rsidR="00025060" w:rsidRPr="006F0A66">
        <w:rPr>
          <w:rFonts w:ascii="Palatino Linotype" w:hAnsi="Palatino Linotype"/>
        </w:rPr>
        <w:t>R</w:t>
      </w:r>
      <w:r w:rsidR="00536C04" w:rsidRPr="006F0A66">
        <w:rPr>
          <w:rFonts w:ascii="Palatino Linotype" w:hAnsi="Palatino Linotype"/>
        </w:rPr>
        <w:t xml:space="preserve">evisión </w:t>
      </w:r>
      <w:r w:rsidR="00EB02AD">
        <w:rPr>
          <w:rFonts w:ascii="Palatino Linotype" w:hAnsi="Palatino Linotype"/>
          <w:b/>
        </w:rPr>
        <w:t>013942</w:t>
      </w:r>
      <w:r w:rsidR="00C41EB1" w:rsidRPr="00C41EB1">
        <w:rPr>
          <w:rFonts w:ascii="Palatino Linotype" w:hAnsi="Palatino Linotype"/>
          <w:b/>
        </w:rPr>
        <w:t>/INFOEM/IP/RR/2022</w:t>
      </w:r>
      <w:r w:rsidR="00536C04" w:rsidRPr="006F0A66">
        <w:rPr>
          <w:rFonts w:ascii="Palatino Linotype" w:hAnsi="Palatino Linotype"/>
          <w:b/>
        </w:rPr>
        <w:t xml:space="preserve">, </w:t>
      </w:r>
      <w:r w:rsidR="00C41EB1">
        <w:rPr>
          <w:rFonts w:ascii="Palatino Linotype" w:hAnsi="Palatino Linotype"/>
        </w:rPr>
        <w:t>promovido</w:t>
      </w:r>
      <w:r w:rsidR="00536C04" w:rsidRPr="006F0A66">
        <w:rPr>
          <w:rFonts w:ascii="Palatino Linotype" w:hAnsi="Palatino Linotype"/>
        </w:rPr>
        <w:t xml:space="preserve"> </w:t>
      </w:r>
      <w:r w:rsidR="00E44BB1" w:rsidRPr="006F0A66">
        <w:rPr>
          <w:rFonts w:ascii="Palatino Linotype" w:hAnsi="Palatino Linotype"/>
        </w:rPr>
        <w:t xml:space="preserve">por </w:t>
      </w:r>
      <w:r>
        <w:rPr>
          <w:rFonts w:ascii="Palatino Linotype" w:hAnsi="Palatino Linotype"/>
        </w:rPr>
        <w:t xml:space="preserve">una persona de </w:t>
      </w:r>
      <w:r w:rsidR="00327A35">
        <w:rPr>
          <w:rFonts w:ascii="Palatino Linotype" w:hAnsi="Palatino Linotype"/>
        </w:rPr>
        <w:t xml:space="preserve">nombre </w:t>
      </w:r>
      <w:bookmarkStart w:id="0" w:name="_GoBack"/>
      <w:r w:rsidR="000F7D6D">
        <w:rPr>
          <w:rFonts w:ascii="Palatino Linotype" w:hAnsi="Palatino Linotype"/>
        </w:rPr>
        <w:t>XXXXXX XXXXXXX</w:t>
      </w:r>
      <w:bookmarkEnd w:id="0"/>
      <w:r w:rsidR="00E44BB1" w:rsidRPr="006F0A66">
        <w:rPr>
          <w:rFonts w:ascii="Palatino Linotype" w:hAnsi="Palatino Linotype"/>
          <w:lang w:val="es-ES"/>
        </w:rPr>
        <w:t xml:space="preserve">, </w:t>
      </w:r>
      <w:r w:rsidR="00C203BF">
        <w:rPr>
          <w:rFonts w:ascii="Palatino Linotype" w:hAnsi="Palatino Linotype"/>
          <w:lang w:val="es-ES"/>
        </w:rPr>
        <w:t>a quien</w:t>
      </w:r>
      <w:r w:rsidR="009932FA" w:rsidRPr="006F0A66">
        <w:rPr>
          <w:rFonts w:ascii="Palatino Linotype" w:hAnsi="Palatino Linotype" w:cs="Arial"/>
          <w:b/>
          <w:color w:val="000000" w:themeColor="text1"/>
          <w:lang w:val="es-ES"/>
        </w:rPr>
        <w:t xml:space="preserve"> </w:t>
      </w:r>
      <w:r w:rsidR="00536C04" w:rsidRPr="006F0A66">
        <w:rPr>
          <w:rFonts w:ascii="Palatino Linotype" w:hAnsi="Palatino Linotype" w:cs="Arial"/>
        </w:rPr>
        <w:t xml:space="preserve">en lo sucesivo se denominará </w:t>
      </w:r>
      <w:r w:rsidR="00536C04" w:rsidRPr="006F0A66">
        <w:rPr>
          <w:rFonts w:ascii="Palatino Linotype" w:hAnsi="Palatino Linotype" w:cs="Arial"/>
          <w:b/>
        </w:rPr>
        <w:t>EL RECURRENTE,</w:t>
      </w:r>
      <w:r w:rsidR="00536C04" w:rsidRPr="006F0A66">
        <w:rPr>
          <w:rFonts w:ascii="Palatino Linotype" w:hAnsi="Palatino Linotype"/>
        </w:rPr>
        <w:t xml:space="preserve"> en contra de </w:t>
      </w:r>
      <w:r w:rsidR="00327A35">
        <w:rPr>
          <w:rFonts w:ascii="Palatino Linotype" w:hAnsi="Palatino Linotype" w:cs="Arial"/>
          <w:color w:val="000000" w:themeColor="text1"/>
          <w:lang w:val="es-ES"/>
        </w:rPr>
        <w:t>la respuesta</w:t>
      </w:r>
      <w:r w:rsidR="00536C04" w:rsidRPr="006F0A66">
        <w:rPr>
          <w:rFonts w:ascii="Palatino Linotype" w:hAnsi="Palatino Linotype" w:cs="Arial"/>
          <w:color w:val="000000" w:themeColor="text1"/>
          <w:lang w:val="es-ES"/>
        </w:rPr>
        <w:t xml:space="preserve"> del</w:t>
      </w:r>
      <w:r w:rsidR="00327A35">
        <w:rPr>
          <w:rFonts w:ascii="Palatino Linotype" w:hAnsi="Palatino Linotype"/>
          <w:b/>
        </w:rPr>
        <w:t xml:space="preserve"> </w:t>
      </w:r>
      <w:r w:rsidR="00327A35" w:rsidRPr="00327A35">
        <w:rPr>
          <w:rFonts w:ascii="Palatino Linotype" w:hAnsi="Palatino Linotype"/>
          <w:b/>
          <w:bCs/>
        </w:rPr>
        <w:t>Organismo Público Descentralizado Municipal para la Prestación de Los Servicios de Agua Potable Alcantarillado y Saneamiento de Cuautitlán Izcalli denominado OPERAGUA, O.P.D.M.</w:t>
      </w:r>
      <w:r w:rsidR="00536C04" w:rsidRPr="006F0A66">
        <w:rPr>
          <w:rFonts w:ascii="Palatino Linotype" w:hAnsi="Palatino Linotype"/>
          <w:b/>
        </w:rPr>
        <w:t xml:space="preserve">, </w:t>
      </w:r>
      <w:r w:rsidR="009932FA" w:rsidRPr="006F0A66">
        <w:rPr>
          <w:rFonts w:ascii="Palatino Linotype" w:hAnsi="Palatino Linotype"/>
        </w:rPr>
        <w:t>que</w:t>
      </w:r>
      <w:r w:rsidR="009932FA" w:rsidRPr="006F0A66">
        <w:rPr>
          <w:rFonts w:ascii="Palatino Linotype" w:hAnsi="Palatino Linotype"/>
          <w:b/>
        </w:rPr>
        <w:t xml:space="preserve"> </w:t>
      </w:r>
      <w:r w:rsidR="00536C04" w:rsidRPr="006F0A66">
        <w:rPr>
          <w:rFonts w:ascii="Palatino Linotype" w:hAnsi="Palatino Linotype"/>
        </w:rPr>
        <w:t xml:space="preserve">en lo sucesivo se denominará </w:t>
      </w:r>
      <w:r w:rsidR="00536C04" w:rsidRPr="006F0A66">
        <w:rPr>
          <w:rFonts w:ascii="Palatino Linotype" w:hAnsi="Palatino Linotype"/>
          <w:b/>
        </w:rPr>
        <w:t>EL SUJETO OBLIGADO</w:t>
      </w:r>
      <w:r w:rsidR="00536C04" w:rsidRPr="006F0A66">
        <w:rPr>
          <w:rFonts w:ascii="Palatino Linotype" w:hAnsi="Palatino Linotype"/>
        </w:rPr>
        <w:t xml:space="preserve">, se procede a dictar la presente resolución con base en lo siguiente: </w:t>
      </w:r>
    </w:p>
    <w:p w14:paraId="48CEFEB5" w14:textId="77777777" w:rsidR="00457BB8" w:rsidRPr="006E0953" w:rsidRDefault="00457BB8" w:rsidP="00323C71">
      <w:pPr>
        <w:jc w:val="center"/>
        <w:rPr>
          <w:rFonts w:ascii="Palatino Linotype" w:hAnsi="Palatino Linotype"/>
          <w:sz w:val="18"/>
        </w:rPr>
      </w:pPr>
    </w:p>
    <w:p w14:paraId="480E521A" w14:textId="44D261C3" w:rsidR="00457BB8" w:rsidRPr="006F0A66" w:rsidRDefault="008B3E3D" w:rsidP="00323C71">
      <w:pPr>
        <w:jc w:val="center"/>
        <w:rPr>
          <w:rFonts w:ascii="Palatino Linotype" w:hAnsi="Palatino Linotype"/>
          <w:b/>
          <w:bCs/>
          <w:spacing w:val="40"/>
          <w:sz w:val="28"/>
        </w:rPr>
      </w:pPr>
      <w:r>
        <w:rPr>
          <w:rFonts w:ascii="Palatino Linotype" w:hAnsi="Palatino Linotype"/>
          <w:b/>
          <w:bCs/>
          <w:spacing w:val="40"/>
          <w:sz w:val="28"/>
        </w:rPr>
        <w:t>ANTECEDENTES</w:t>
      </w:r>
    </w:p>
    <w:p w14:paraId="68707BF2" w14:textId="6BFBCE7B" w:rsidR="00457BB8" w:rsidRDefault="00457BB8" w:rsidP="00536C04">
      <w:pPr>
        <w:rPr>
          <w:rFonts w:ascii="Palatino Linotype" w:hAnsi="Palatino Linotype"/>
          <w:b/>
          <w:bCs/>
          <w:spacing w:val="40"/>
        </w:rPr>
      </w:pPr>
    </w:p>
    <w:p w14:paraId="362D287D" w14:textId="77777777" w:rsidR="00BC73BA" w:rsidRPr="006E0953" w:rsidRDefault="00BC73BA" w:rsidP="00536C04">
      <w:pPr>
        <w:rPr>
          <w:rFonts w:ascii="Palatino Linotype" w:hAnsi="Palatino Linotype"/>
          <w:b/>
          <w:bCs/>
          <w:spacing w:val="40"/>
          <w:sz w:val="10"/>
        </w:rPr>
      </w:pPr>
    </w:p>
    <w:p w14:paraId="7749D902" w14:textId="2F8D5883" w:rsidR="003404B0" w:rsidRPr="006F0A66" w:rsidRDefault="003404B0" w:rsidP="003404B0">
      <w:pPr>
        <w:spacing w:line="360" w:lineRule="auto"/>
        <w:jc w:val="both"/>
        <w:rPr>
          <w:rFonts w:ascii="Palatino Linotype" w:hAnsi="Palatino Linotype"/>
          <w:b/>
          <w:sz w:val="28"/>
          <w:szCs w:val="28"/>
        </w:rPr>
      </w:pPr>
      <w:r w:rsidRPr="006F0A66">
        <w:rPr>
          <w:rFonts w:ascii="Palatino Linotype" w:hAnsi="Palatino Linotype"/>
          <w:b/>
          <w:sz w:val="28"/>
          <w:szCs w:val="28"/>
        </w:rPr>
        <w:t>I. De la Solicitud de Información</w:t>
      </w:r>
    </w:p>
    <w:p w14:paraId="6B0930AE" w14:textId="1F920DEA" w:rsidR="00327A35" w:rsidRDefault="00327A35" w:rsidP="00395A8B">
      <w:pPr>
        <w:spacing w:line="360" w:lineRule="auto"/>
        <w:jc w:val="both"/>
        <w:rPr>
          <w:rFonts w:ascii="Palatino Linotype" w:eastAsia="Palatino Linotype" w:hAnsi="Palatino Linotype" w:cs="Palatino Linotype"/>
        </w:rPr>
      </w:pPr>
      <w:r w:rsidRPr="00657399">
        <w:rPr>
          <w:rFonts w:ascii="Palatino Linotype" w:eastAsia="MS Mincho" w:hAnsi="Palatino Linotype" w:cs="Arial"/>
        </w:rPr>
        <w:t>E</w:t>
      </w:r>
      <w:r w:rsidR="008D6499">
        <w:rPr>
          <w:rFonts w:ascii="Palatino Linotype" w:eastAsia="MS Mincho" w:hAnsi="Palatino Linotype" w:cs="Arial"/>
        </w:rPr>
        <w:t>n fecha</w:t>
      </w:r>
      <w:r>
        <w:rPr>
          <w:rFonts w:ascii="Palatino Linotype" w:eastAsia="MS Mincho" w:hAnsi="Palatino Linotype" w:cs="Arial"/>
        </w:rPr>
        <w:t xml:space="preserve"> </w:t>
      </w:r>
      <w:r>
        <w:rPr>
          <w:rFonts w:ascii="Palatino Linotype" w:eastAsia="MS Mincho" w:hAnsi="Palatino Linotype" w:cs="Arial"/>
          <w:b/>
        </w:rPr>
        <w:t>ocho de agost</w:t>
      </w:r>
      <w:r w:rsidR="008D6499">
        <w:rPr>
          <w:rFonts w:ascii="Palatino Linotype" w:eastAsia="MS Mincho" w:hAnsi="Palatino Linotype" w:cs="Arial"/>
          <w:b/>
        </w:rPr>
        <w:t>o</w:t>
      </w:r>
      <w:r>
        <w:rPr>
          <w:rFonts w:ascii="Palatino Linotype" w:eastAsia="MS Mincho" w:hAnsi="Palatino Linotype" w:cs="Arial"/>
          <w:b/>
        </w:rPr>
        <w:t xml:space="preserve"> </w:t>
      </w:r>
      <w:r w:rsidRPr="00657399">
        <w:rPr>
          <w:rFonts w:ascii="Palatino Linotype" w:eastAsia="MS Mincho" w:hAnsi="Palatino Linotype" w:cs="Arial"/>
          <w:b/>
        </w:rPr>
        <w:t>de dos mil veintidós</w:t>
      </w:r>
      <w:r w:rsidRPr="00657399">
        <w:rPr>
          <w:rFonts w:ascii="Palatino Linotype" w:eastAsia="MS Mincho" w:hAnsi="Palatino Linotype" w:cs="Arial"/>
        </w:rPr>
        <w:t xml:space="preserve">, </w:t>
      </w:r>
      <w:r w:rsidRPr="000A1205">
        <w:rPr>
          <w:rFonts w:ascii="Palatino Linotype" w:hAnsi="Palatino Linotype" w:cs="Arial"/>
          <w:b/>
        </w:rPr>
        <w:t>EL RECURRENTE</w:t>
      </w:r>
      <w:r w:rsidRPr="00657399">
        <w:rPr>
          <w:rFonts w:ascii="Palatino Linotype" w:hAnsi="Palatino Linotype" w:cs="Arial"/>
        </w:rPr>
        <w:t xml:space="preserve"> presentó a través del Sistema de Acceso a la Información Mexiquense, que en lo subsecuente se le denominará el </w:t>
      </w:r>
      <w:r w:rsidRPr="00657399">
        <w:rPr>
          <w:rFonts w:ascii="Palatino Linotype" w:hAnsi="Palatino Linotype" w:cs="Arial"/>
          <w:b/>
          <w:bCs/>
        </w:rPr>
        <w:t>SAIMEX</w:t>
      </w:r>
      <w:r w:rsidRPr="00657399">
        <w:rPr>
          <w:rFonts w:ascii="Palatino Linotype" w:hAnsi="Palatino Linotype" w:cs="Arial"/>
          <w:b/>
        </w:rPr>
        <w:t>,</w:t>
      </w:r>
      <w:r w:rsidRPr="00657399">
        <w:rPr>
          <w:rFonts w:ascii="Palatino Linotype" w:hAnsi="Palatino Linotype"/>
        </w:rPr>
        <w:t xml:space="preserve"> ante </w:t>
      </w:r>
      <w:r w:rsidRPr="00657399">
        <w:rPr>
          <w:rFonts w:ascii="Palatino Linotype" w:hAnsi="Palatino Linotype"/>
          <w:b/>
        </w:rPr>
        <w:t>EL SUJETO OBLIGADO</w:t>
      </w:r>
      <w:r w:rsidRPr="00657399">
        <w:rPr>
          <w:rFonts w:ascii="Palatino Linotype" w:eastAsia="MS Mincho" w:hAnsi="Palatino Linotype" w:cs="Arial"/>
          <w:lang w:val="es-ES_tradnl"/>
        </w:rPr>
        <w:t>, la solicitud de Acceso a la Información Pública</w:t>
      </w:r>
      <w:r w:rsidRPr="00657399">
        <w:rPr>
          <w:rFonts w:ascii="Palatino Linotype" w:eastAsia="Palatino Linotype" w:hAnsi="Palatino Linotype" w:cs="Palatino Linotype"/>
          <w:lang w:val="es-ES_tradnl"/>
        </w:rPr>
        <w:t xml:space="preserve">, </w:t>
      </w:r>
      <w:r>
        <w:rPr>
          <w:rFonts w:ascii="Palatino Linotype" w:eastAsia="Palatino Linotype" w:hAnsi="Palatino Linotype" w:cs="Palatino Linotype"/>
        </w:rPr>
        <w:t>la cual fue registrada</w:t>
      </w:r>
      <w:r w:rsidRPr="00657399">
        <w:rPr>
          <w:rFonts w:ascii="Palatino Linotype" w:eastAsia="Palatino Linotype" w:hAnsi="Palatino Linotype" w:cs="Palatino Linotype"/>
        </w:rPr>
        <w:t xml:space="preserve"> en </w:t>
      </w:r>
      <w:r w:rsidRPr="00657399">
        <w:rPr>
          <w:rFonts w:ascii="Palatino Linotype" w:eastAsia="Palatino Linotype" w:hAnsi="Palatino Linotype" w:cs="Palatino Linotype"/>
          <w:b/>
        </w:rPr>
        <w:t>EL SAIMEX</w:t>
      </w:r>
      <w:r w:rsidRPr="00657399">
        <w:rPr>
          <w:rFonts w:ascii="Palatino Linotype" w:eastAsia="Palatino Linotype" w:hAnsi="Palatino Linotype" w:cs="Palatino Linotype"/>
        </w:rPr>
        <w:t xml:space="preserve"> y se le asignó el número de expediente </w:t>
      </w:r>
      <w:r w:rsidRPr="00327A35">
        <w:rPr>
          <w:rFonts w:ascii="Palatino Linotype" w:eastAsia="Palatino Linotype" w:hAnsi="Palatino Linotype" w:cs="Palatino Linotype"/>
          <w:b/>
        </w:rPr>
        <w:t>00079/OASCUATIZC/IP/2022</w:t>
      </w:r>
      <w:r w:rsidR="008D6499">
        <w:rPr>
          <w:rFonts w:ascii="Palatino Linotype" w:eastAsia="Palatino Linotype" w:hAnsi="Palatino Linotype" w:cs="Palatino Linotype"/>
        </w:rPr>
        <w:t xml:space="preserve">, mediante la cual requirió lo siguiente: </w:t>
      </w:r>
    </w:p>
    <w:p w14:paraId="412C8F18" w14:textId="77777777" w:rsidR="008D6499" w:rsidRDefault="008D6499" w:rsidP="00395A8B">
      <w:pPr>
        <w:spacing w:line="360" w:lineRule="auto"/>
        <w:jc w:val="both"/>
        <w:rPr>
          <w:rFonts w:ascii="Palatino Linotype" w:eastAsia="Palatino Linotype" w:hAnsi="Palatino Linotype" w:cs="Palatino Linotype"/>
        </w:rPr>
      </w:pPr>
    </w:p>
    <w:p w14:paraId="7A0A2081" w14:textId="2B9C205B" w:rsidR="00C41EB1" w:rsidRDefault="008D6499" w:rsidP="00395A8B">
      <w:pPr>
        <w:spacing w:line="360" w:lineRule="auto"/>
        <w:jc w:val="both"/>
        <w:rPr>
          <w:rFonts w:ascii="Palatino Linotype" w:hAnsi="Palatino Linotype" w:cs="Arial"/>
          <w:i/>
          <w:sz w:val="22"/>
          <w:szCs w:val="22"/>
        </w:rPr>
      </w:pPr>
      <w:r>
        <w:rPr>
          <w:rFonts w:ascii="Palatino Linotype" w:hAnsi="Palatino Linotype" w:cs="Arial"/>
          <w:i/>
          <w:sz w:val="22"/>
          <w:szCs w:val="22"/>
        </w:rPr>
        <w:t xml:space="preserve"> </w:t>
      </w:r>
      <w:r w:rsidR="00C41EB1">
        <w:rPr>
          <w:rFonts w:ascii="Palatino Linotype" w:hAnsi="Palatino Linotype" w:cs="Arial"/>
          <w:i/>
          <w:sz w:val="22"/>
          <w:szCs w:val="22"/>
        </w:rPr>
        <w:t>“</w:t>
      </w:r>
      <w:r w:rsidR="00327A35" w:rsidRPr="00327A35">
        <w:rPr>
          <w:rFonts w:ascii="Palatino Linotype" w:hAnsi="Palatino Linotype" w:cs="Arial"/>
          <w:i/>
          <w:sz w:val="22"/>
          <w:szCs w:val="22"/>
        </w:rPr>
        <w:t xml:space="preserve">SE ADJUNTA AL PRESENTE LA SOLICITUD DE INFORMACION REFERENTE AL POZO DE AGUA QUE SE ENCUENTRA EN EL CONJUNTO URBANO LA PIEDAD, TODA VEZ QUE EL AYUNTAMIENTO DE CUAUTITLAN IZCALLI SE DECLARA INCOMPETENTE PARA ENVIAR </w:t>
      </w:r>
      <w:r w:rsidR="00327A35" w:rsidRPr="00327A35">
        <w:rPr>
          <w:rFonts w:ascii="Palatino Linotype" w:hAnsi="Palatino Linotype" w:cs="Arial"/>
          <w:i/>
          <w:sz w:val="22"/>
          <w:szCs w:val="22"/>
        </w:rPr>
        <w:lastRenderedPageBreak/>
        <w:t>LO SOLICITADO, ADJUNTO AL PRESENTE LA SOLICITUD DE INFORMACION, ESPERANDO ESTA SEA ATENDIDA</w:t>
      </w:r>
      <w:r w:rsidR="00C41EB1">
        <w:rPr>
          <w:rFonts w:ascii="Palatino Linotype" w:hAnsi="Palatino Linotype" w:cs="Arial"/>
          <w:i/>
          <w:sz w:val="22"/>
          <w:szCs w:val="22"/>
        </w:rPr>
        <w:t>” (Sic)</w:t>
      </w:r>
      <w:r w:rsidR="006E0953">
        <w:rPr>
          <w:rFonts w:ascii="Palatino Linotype" w:hAnsi="Palatino Linotype" w:cs="Arial"/>
          <w:i/>
          <w:sz w:val="22"/>
          <w:szCs w:val="22"/>
        </w:rPr>
        <w:t xml:space="preserve"> (Énfasis añadido)</w:t>
      </w:r>
    </w:p>
    <w:p w14:paraId="2734B194" w14:textId="77777777" w:rsidR="00E44ADD" w:rsidRDefault="00E44ADD" w:rsidP="00395A8B">
      <w:pPr>
        <w:spacing w:line="360" w:lineRule="auto"/>
        <w:jc w:val="both"/>
        <w:rPr>
          <w:rFonts w:ascii="Palatino Linotype" w:hAnsi="Palatino Linotype" w:cs="Arial"/>
          <w:i/>
          <w:sz w:val="22"/>
          <w:szCs w:val="22"/>
        </w:rPr>
      </w:pPr>
    </w:p>
    <w:p w14:paraId="348E8818" w14:textId="259241F4" w:rsidR="00E44ADD" w:rsidRDefault="00E44ADD" w:rsidP="00395A8B">
      <w:pPr>
        <w:spacing w:line="360" w:lineRule="auto"/>
        <w:jc w:val="both"/>
        <w:rPr>
          <w:rFonts w:ascii="Palatino Linotype" w:hAnsi="Palatino Linotype" w:cs="Arial"/>
          <w:i/>
          <w:sz w:val="22"/>
          <w:szCs w:val="22"/>
        </w:rPr>
      </w:pPr>
      <w:r>
        <w:rPr>
          <w:rFonts w:ascii="Palatino Linotype" w:hAnsi="Palatino Linotype" w:cs="Arial"/>
          <w:i/>
          <w:sz w:val="22"/>
          <w:szCs w:val="22"/>
        </w:rPr>
        <w:t>Archivo adjunto a la solicitud de acceso a la información pública 00079/OASCUATIZC/IP/2022</w:t>
      </w:r>
    </w:p>
    <w:p w14:paraId="65FA4538" w14:textId="77777777" w:rsidR="00E44ADD" w:rsidRPr="00E44ADD" w:rsidRDefault="00361A2A" w:rsidP="00E44ADD">
      <w:pPr>
        <w:numPr>
          <w:ilvl w:val="0"/>
          <w:numId w:val="16"/>
        </w:numPr>
        <w:spacing w:line="360" w:lineRule="auto"/>
        <w:jc w:val="both"/>
        <w:rPr>
          <w:rFonts w:ascii="Palatino Linotype" w:hAnsi="Palatino Linotype" w:cs="Arial"/>
          <w:i/>
          <w:sz w:val="22"/>
          <w:szCs w:val="22"/>
        </w:rPr>
      </w:pPr>
      <w:hyperlink r:id="rId8" w:tgtFrame="_blank" w:history="1">
        <w:r w:rsidR="00E44ADD" w:rsidRPr="00E44ADD">
          <w:rPr>
            <w:rStyle w:val="Hipervnculo"/>
            <w:rFonts w:ascii="Palatino Linotype" w:hAnsi="Palatino Linotype" w:cs="Arial"/>
            <w:b/>
            <w:bCs/>
            <w:i/>
            <w:color w:val="auto"/>
            <w:sz w:val="22"/>
            <w:szCs w:val="22"/>
          </w:rPr>
          <w:t>INCOMPETENCIA - 742.pdf</w:t>
        </w:r>
      </w:hyperlink>
    </w:p>
    <w:p w14:paraId="0700BF7B" w14:textId="77777777" w:rsidR="00E44ADD" w:rsidRDefault="00E44ADD" w:rsidP="00395A8B">
      <w:pPr>
        <w:spacing w:line="360" w:lineRule="auto"/>
        <w:jc w:val="both"/>
        <w:rPr>
          <w:rFonts w:ascii="Palatino Linotype" w:hAnsi="Palatino Linotype" w:cs="Arial"/>
          <w:i/>
          <w:sz w:val="22"/>
          <w:szCs w:val="22"/>
        </w:rPr>
      </w:pPr>
    </w:p>
    <w:p w14:paraId="2B8D477E" w14:textId="40E1D0F5" w:rsidR="00E44ADD" w:rsidRDefault="00E44ADD" w:rsidP="00E44ADD">
      <w:pPr>
        <w:spacing w:line="360" w:lineRule="auto"/>
        <w:jc w:val="center"/>
        <w:rPr>
          <w:rFonts w:ascii="Palatino Linotype" w:hAnsi="Palatino Linotype" w:cs="Arial"/>
          <w:i/>
          <w:sz w:val="22"/>
          <w:szCs w:val="22"/>
        </w:rPr>
      </w:pPr>
      <w:r>
        <w:rPr>
          <w:rFonts w:ascii="Palatino Linotype" w:hAnsi="Palatino Linotype" w:cs="Arial"/>
          <w:i/>
          <w:noProof/>
          <w:sz w:val="22"/>
          <w:szCs w:val="22"/>
          <w:lang w:val="es-419" w:eastAsia="es-419"/>
        </w:rPr>
        <w:drawing>
          <wp:inline distT="0" distB="0" distL="0" distR="0" wp14:anchorId="06F8152E" wp14:editId="69A686CE">
            <wp:extent cx="4325510" cy="53587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33838" cy="5369082"/>
                    </a:xfrm>
                    <a:prstGeom prst="rect">
                      <a:avLst/>
                    </a:prstGeom>
                    <a:noFill/>
                    <a:ln>
                      <a:noFill/>
                    </a:ln>
                  </pic:spPr>
                </pic:pic>
              </a:graphicData>
            </a:graphic>
          </wp:inline>
        </w:drawing>
      </w:r>
    </w:p>
    <w:p w14:paraId="3AB21D7D" w14:textId="77777777" w:rsidR="00327A35" w:rsidRPr="006E0953" w:rsidRDefault="00327A35" w:rsidP="00395A8B">
      <w:pPr>
        <w:spacing w:line="360" w:lineRule="auto"/>
        <w:jc w:val="both"/>
        <w:rPr>
          <w:rFonts w:ascii="Palatino Linotype" w:hAnsi="Palatino Linotype" w:cs="Arial"/>
          <w:lang w:val="es-ES"/>
        </w:rPr>
      </w:pPr>
    </w:p>
    <w:p w14:paraId="5EF0EC27" w14:textId="5F4958A5" w:rsidR="00C037BF" w:rsidRPr="00327A35" w:rsidRDefault="00536C04" w:rsidP="003B171D">
      <w:pPr>
        <w:spacing w:line="360" w:lineRule="auto"/>
        <w:jc w:val="both"/>
        <w:rPr>
          <w:rFonts w:ascii="Palatino Linotype" w:hAnsi="Palatino Linotype" w:cs="Arial"/>
        </w:rPr>
      </w:pPr>
      <w:r w:rsidRPr="00484571">
        <w:rPr>
          <w:rFonts w:ascii="Palatino Linotype" w:hAnsi="Palatino Linotype" w:cs="Arial"/>
          <w:b/>
        </w:rPr>
        <w:lastRenderedPageBreak/>
        <w:t>MODALIDAD DE ENTREGA:</w:t>
      </w:r>
      <w:r w:rsidRPr="00484571">
        <w:rPr>
          <w:rFonts w:ascii="Palatino Linotype" w:hAnsi="Palatino Linotype" w:cs="Arial"/>
        </w:rPr>
        <w:t xml:space="preserve"> </w:t>
      </w:r>
      <w:r w:rsidR="008D6499">
        <w:rPr>
          <w:rFonts w:ascii="Palatino Linotype" w:hAnsi="Palatino Linotype" w:cs="Arial"/>
        </w:rPr>
        <w:t xml:space="preserve">vía </w:t>
      </w:r>
      <w:r w:rsidR="00C037BF">
        <w:rPr>
          <w:rFonts w:ascii="Palatino Linotype" w:hAnsi="Palatino Linotype" w:cs="Arial"/>
          <w:b/>
        </w:rPr>
        <w:t>SAIMEX</w:t>
      </w:r>
      <w:r w:rsidR="008D6499">
        <w:rPr>
          <w:rFonts w:ascii="Palatino Linotype" w:hAnsi="Palatino Linotype" w:cs="Arial"/>
          <w:b/>
        </w:rPr>
        <w:t>.</w:t>
      </w:r>
    </w:p>
    <w:p w14:paraId="20315E45" w14:textId="77777777" w:rsidR="003B171D" w:rsidRPr="008D6499" w:rsidRDefault="003B171D" w:rsidP="003B171D">
      <w:pPr>
        <w:spacing w:line="360" w:lineRule="auto"/>
        <w:jc w:val="both"/>
        <w:rPr>
          <w:rFonts w:ascii="Palatino Linotype" w:hAnsi="Palatino Linotype"/>
          <w:b/>
        </w:rPr>
      </w:pPr>
      <w:r w:rsidRPr="008D6499">
        <w:rPr>
          <w:rFonts w:ascii="Palatino Linotype" w:hAnsi="Palatino Linotype"/>
          <w:b/>
        </w:rPr>
        <w:t>II. Turno de requerimiento del Sujeto Obligado</w:t>
      </w:r>
    </w:p>
    <w:p w14:paraId="28CC9779" w14:textId="74C7EAF4" w:rsidR="00F43BF4" w:rsidRDefault="003B171D" w:rsidP="003B171D">
      <w:pPr>
        <w:spacing w:line="360" w:lineRule="auto"/>
        <w:jc w:val="both"/>
        <w:rPr>
          <w:rFonts w:ascii="Palatino Linotype" w:hAnsi="Palatino Linotype"/>
          <w:bCs/>
        </w:rPr>
      </w:pPr>
      <w:r w:rsidRPr="006F0A66">
        <w:rPr>
          <w:rFonts w:ascii="Palatino Linotype" w:hAnsi="Palatino Linotype" w:cs="Arial"/>
          <w:color w:val="000000" w:themeColor="text1"/>
        </w:rPr>
        <w:t>En cumplimiento al artículo 162 de la Ley de Transparencia y Acceso a la Información Pública del Estado de México y Municipios, el</w:t>
      </w:r>
      <w:r w:rsidRPr="006F0A66">
        <w:rPr>
          <w:rFonts w:ascii="Palatino Linotype" w:hAnsi="Palatino Linotype" w:cs="Arial"/>
          <w:b/>
          <w:color w:val="000000" w:themeColor="text1"/>
        </w:rPr>
        <w:t xml:space="preserve"> </w:t>
      </w:r>
      <w:r w:rsidR="00327A35">
        <w:rPr>
          <w:rFonts w:ascii="Palatino Linotype" w:hAnsi="Palatino Linotype" w:cs="Arial"/>
          <w:b/>
          <w:color w:val="000000" w:themeColor="text1"/>
          <w:lang w:val="es-419"/>
        </w:rPr>
        <w:t>ocho de agosto</w:t>
      </w:r>
      <w:r w:rsidR="00C037BF">
        <w:rPr>
          <w:rFonts w:ascii="Palatino Linotype" w:hAnsi="Palatino Linotype" w:cs="Arial"/>
          <w:b/>
          <w:color w:val="000000" w:themeColor="text1"/>
        </w:rPr>
        <w:t xml:space="preserve"> </w:t>
      </w:r>
      <w:r w:rsidR="00EC7656">
        <w:rPr>
          <w:rFonts w:ascii="Palatino Linotype" w:hAnsi="Palatino Linotype" w:cs="Arial"/>
          <w:b/>
          <w:color w:val="000000" w:themeColor="text1"/>
        </w:rPr>
        <w:t>d</w:t>
      </w:r>
      <w:r w:rsidRPr="006F0A66">
        <w:rPr>
          <w:rFonts w:ascii="Palatino Linotype" w:hAnsi="Palatino Linotype" w:cs="Arial"/>
          <w:b/>
          <w:color w:val="000000" w:themeColor="text1"/>
        </w:rPr>
        <w:t xml:space="preserve">e dos mil </w:t>
      </w:r>
      <w:r w:rsidR="00EC7656">
        <w:rPr>
          <w:rFonts w:ascii="Palatino Linotype" w:hAnsi="Palatino Linotype" w:cs="Arial"/>
          <w:b/>
          <w:color w:val="000000" w:themeColor="text1"/>
        </w:rPr>
        <w:t>veintidós</w:t>
      </w:r>
      <w:r w:rsidRPr="006F0A66">
        <w:rPr>
          <w:rFonts w:ascii="Palatino Linotype" w:hAnsi="Palatino Linotype" w:cs="Arial"/>
          <w:color w:val="000000" w:themeColor="text1"/>
        </w:rPr>
        <w:t>, el Titular de la Unidad de Transparencia de</w:t>
      </w:r>
      <w:r w:rsidR="00685497">
        <w:rPr>
          <w:rFonts w:ascii="Palatino Linotype" w:hAnsi="Palatino Linotype" w:cs="Arial"/>
          <w:color w:val="000000" w:themeColor="text1"/>
        </w:rPr>
        <w:t xml:space="preserve"> </w:t>
      </w:r>
      <w:r w:rsidR="00685497">
        <w:rPr>
          <w:rFonts w:ascii="Palatino Linotype" w:hAnsi="Palatino Linotype"/>
          <w:b/>
        </w:rPr>
        <w:t>EL SUJETO OBLIGADO</w:t>
      </w:r>
      <w:r w:rsidRPr="006F0A66">
        <w:rPr>
          <w:rFonts w:ascii="Palatino Linotype" w:hAnsi="Palatino Linotype" w:cs="Arial"/>
          <w:color w:val="000000" w:themeColor="text1"/>
        </w:rPr>
        <w:t xml:space="preserve">, </w:t>
      </w:r>
      <w:r w:rsidR="00685497">
        <w:rPr>
          <w:rFonts w:ascii="Palatino Linotype" w:hAnsi="Palatino Linotype"/>
          <w:bCs/>
          <w:color w:val="000000" w:themeColor="text1"/>
        </w:rPr>
        <w:t>turnó el</w:t>
      </w:r>
      <w:r w:rsidRPr="006F0A66">
        <w:rPr>
          <w:rFonts w:ascii="Palatino Linotype" w:hAnsi="Palatino Linotype"/>
          <w:bCs/>
          <w:color w:val="000000" w:themeColor="text1"/>
        </w:rPr>
        <w:t xml:space="preserve"> requerimiento de información al servidor público habilitado que estimo pertinente</w:t>
      </w:r>
      <w:r w:rsidRPr="006F0A66">
        <w:rPr>
          <w:rFonts w:ascii="Palatino Linotype" w:hAnsi="Palatino Linotype"/>
          <w:bCs/>
        </w:rPr>
        <w:t>, a fin de colmar la solicitud de acceso a la informació</w:t>
      </w:r>
      <w:r w:rsidR="00C50835">
        <w:rPr>
          <w:rFonts w:ascii="Palatino Linotype" w:hAnsi="Palatino Linotype"/>
          <w:bCs/>
        </w:rPr>
        <w:t xml:space="preserve">n; tal y como, se aprecia en la siguiente </w:t>
      </w:r>
      <w:r w:rsidR="00EA2DA0">
        <w:rPr>
          <w:rFonts w:ascii="Palatino Linotype" w:hAnsi="Palatino Linotype"/>
          <w:bCs/>
        </w:rPr>
        <w:t>imagen</w:t>
      </w:r>
      <w:r w:rsidRPr="006F0A66">
        <w:rPr>
          <w:rFonts w:ascii="Palatino Linotype" w:hAnsi="Palatino Linotype"/>
          <w:bCs/>
        </w:rPr>
        <w:t xml:space="preserve">: </w:t>
      </w:r>
    </w:p>
    <w:p w14:paraId="40567380" w14:textId="7371EE17" w:rsidR="00D64437" w:rsidRDefault="00327A35" w:rsidP="008D6499">
      <w:pPr>
        <w:spacing w:line="360" w:lineRule="auto"/>
        <w:jc w:val="both"/>
        <w:rPr>
          <w:rFonts w:ascii="Palatino Linotype" w:hAnsi="Palatino Linotype"/>
          <w:b/>
          <w:sz w:val="28"/>
          <w:szCs w:val="28"/>
        </w:rPr>
      </w:pPr>
      <w:r>
        <w:rPr>
          <w:rFonts w:ascii="Palatino Linotype" w:hAnsi="Palatino Linotype"/>
          <w:b/>
          <w:noProof/>
          <w:sz w:val="28"/>
          <w:szCs w:val="28"/>
          <w:lang w:val="es-419" w:eastAsia="es-419"/>
        </w:rPr>
        <w:drawing>
          <wp:inline distT="0" distB="0" distL="0" distR="0" wp14:anchorId="316436B0" wp14:editId="1D3F848B">
            <wp:extent cx="5939790" cy="1709530"/>
            <wp:effectExtent l="0" t="0" r="381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6698" cy="1711518"/>
                    </a:xfrm>
                    <a:prstGeom prst="rect">
                      <a:avLst/>
                    </a:prstGeom>
                    <a:noFill/>
                    <a:ln>
                      <a:noFill/>
                    </a:ln>
                  </pic:spPr>
                </pic:pic>
              </a:graphicData>
            </a:graphic>
          </wp:inline>
        </w:drawing>
      </w:r>
    </w:p>
    <w:p w14:paraId="348D838F" w14:textId="77777777" w:rsidR="008D6499" w:rsidRDefault="008D6499" w:rsidP="003404B0">
      <w:pPr>
        <w:pStyle w:val="Prrafodelista"/>
        <w:tabs>
          <w:tab w:val="left" w:pos="709"/>
        </w:tabs>
        <w:spacing w:line="360" w:lineRule="auto"/>
        <w:ind w:left="0"/>
        <w:jc w:val="both"/>
        <w:rPr>
          <w:rFonts w:ascii="Palatino Linotype" w:hAnsi="Palatino Linotype"/>
          <w:b/>
          <w:sz w:val="28"/>
          <w:szCs w:val="28"/>
        </w:rPr>
      </w:pPr>
    </w:p>
    <w:p w14:paraId="76B305E3" w14:textId="1D9259FF" w:rsidR="003404B0" w:rsidRPr="006F0A66" w:rsidRDefault="00C50835" w:rsidP="003404B0">
      <w:pPr>
        <w:pStyle w:val="Prrafodelista"/>
        <w:tabs>
          <w:tab w:val="left" w:pos="709"/>
        </w:tabs>
        <w:spacing w:line="360" w:lineRule="auto"/>
        <w:ind w:left="0"/>
        <w:jc w:val="both"/>
        <w:rPr>
          <w:rFonts w:ascii="Palatino Linotype" w:hAnsi="Palatino Linotype" w:cs="Arial"/>
          <w:b/>
          <w:sz w:val="28"/>
          <w:szCs w:val="28"/>
        </w:rPr>
      </w:pPr>
      <w:r>
        <w:rPr>
          <w:rFonts w:ascii="Palatino Linotype" w:hAnsi="Palatino Linotype"/>
          <w:b/>
          <w:sz w:val="28"/>
          <w:szCs w:val="28"/>
        </w:rPr>
        <w:t>III</w:t>
      </w:r>
      <w:r w:rsidR="003404B0" w:rsidRPr="006F0A66">
        <w:rPr>
          <w:rFonts w:ascii="Palatino Linotype" w:hAnsi="Palatino Linotype"/>
          <w:b/>
          <w:sz w:val="28"/>
          <w:szCs w:val="28"/>
        </w:rPr>
        <w:t xml:space="preserve">. </w:t>
      </w:r>
      <w:r w:rsidR="003404B0" w:rsidRPr="006F0A66">
        <w:rPr>
          <w:rFonts w:ascii="Palatino Linotype" w:hAnsi="Palatino Linotype" w:cs="Arial"/>
          <w:b/>
          <w:sz w:val="28"/>
          <w:szCs w:val="28"/>
        </w:rPr>
        <w:t>Respuesta del Sujeto Obligado</w:t>
      </w:r>
    </w:p>
    <w:p w14:paraId="048DD697" w14:textId="148D8157" w:rsidR="00536C04" w:rsidRPr="006F0A66" w:rsidRDefault="004C4D09" w:rsidP="00536C04">
      <w:pPr>
        <w:spacing w:line="360" w:lineRule="auto"/>
        <w:jc w:val="both"/>
        <w:rPr>
          <w:rFonts w:ascii="Palatino Linotype" w:hAnsi="Palatino Linotype" w:cs="Arial"/>
          <w:color w:val="000000" w:themeColor="text1"/>
        </w:rPr>
      </w:pPr>
      <w:r w:rsidRPr="00B335A1">
        <w:rPr>
          <w:rFonts w:ascii="Palatino Linotype" w:hAnsi="Palatino Linotype" w:cs="Arial"/>
        </w:rPr>
        <w:t>D</w:t>
      </w:r>
      <w:r>
        <w:rPr>
          <w:rFonts w:ascii="Palatino Linotype" w:hAnsi="Palatino Linotype" w:cs="Arial"/>
        </w:rPr>
        <w:t xml:space="preserve">e las constancias que obran en </w:t>
      </w:r>
      <w:r w:rsidR="00C50835">
        <w:rPr>
          <w:rFonts w:ascii="Palatino Linotype" w:hAnsi="Palatino Linotype" w:cs="Arial"/>
        </w:rPr>
        <w:t>el</w:t>
      </w:r>
      <w:r w:rsidRPr="00B335A1">
        <w:rPr>
          <w:rFonts w:ascii="Palatino Linotype" w:hAnsi="Palatino Linotype" w:cs="Arial"/>
        </w:rPr>
        <w:t xml:space="preserve"> expediente electrónico del </w:t>
      </w:r>
      <w:r w:rsidRPr="00B335A1">
        <w:rPr>
          <w:rFonts w:ascii="Palatino Linotype" w:hAnsi="Palatino Linotype" w:cs="Arial"/>
          <w:b/>
        </w:rPr>
        <w:t>SAIMEX</w:t>
      </w:r>
      <w:r w:rsidRPr="00B335A1">
        <w:rPr>
          <w:rFonts w:ascii="Palatino Linotype" w:hAnsi="Palatino Linotype" w:cs="Arial"/>
        </w:rPr>
        <w:t xml:space="preserve">, se advierte que </w:t>
      </w:r>
      <w:r w:rsidR="002944DC">
        <w:rPr>
          <w:rFonts w:ascii="Palatino Linotype" w:hAnsi="Palatino Linotype" w:cs="Arial"/>
        </w:rPr>
        <w:t xml:space="preserve">el </w:t>
      </w:r>
      <w:r w:rsidR="00F43BF4">
        <w:rPr>
          <w:rFonts w:ascii="Palatino Linotype" w:hAnsi="Palatino Linotype" w:cs="Arial"/>
          <w:b/>
        </w:rPr>
        <w:t>veintiséis de agosto</w:t>
      </w:r>
      <w:r w:rsidR="00C50835">
        <w:rPr>
          <w:rFonts w:ascii="Palatino Linotype" w:hAnsi="Palatino Linotype" w:cs="Arial"/>
          <w:b/>
        </w:rPr>
        <w:t xml:space="preserve"> </w:t>
      </w:r>
      <w:r w:rsidRPr="004C4D09">
        <w:rPr>
          <w:rFonts w:ascii="Palatino Linotype" w:hAnsi="Palatino Linotype" w:cs="Arial"/>
          <w:b/>
        </w:rPr>
        <w:t>de dos mil veintidós</w:t>
      </w:r>
      <w:r>
        <w:rPr>
          <w:rFonts w:ascii="Palatino Linotype" w:hAnsi="Palatino Linotype" w:cs="Arial"/>
        </w:rPr>
        <w:t xml:space="preserve">, </w:t>
      </w:r>
      <w:r>
        <w:rPr>
          <w:rFonts w:ascii="Palatino Linotype" w:hAnsi="Palatino Linotype" w:cs="Arial"/>
          <w:b/>
        </w:rPr>
        <w:t xml:space="preserve">EL SUJETO OBLIGADO </w:t>
      </w:r>
      <w:r w:rsidR="00C50835">
        <w:rPr>
          <w:rFonts w:ascii="Palatino Linotype" w:hAnsi="Palatino Linotype" w:cs="Arial"/>
        </w:rPr>
        <w:t>dio respuesta a la solicitud</w:t>
      </w:r>
      <w:r>
        <w:rPr>
          <w:rFonts w:ascii="Palatino Linotype" w:hAnsi="Palatino Linotype" w:cs="Arial"/>
        </w:rPr>
        <w:t xml:space="preserve"> de información en los términos siguientes:</w:t>
      </w:r>
      <w:r w:rsidR="003404B0" w:rsidRPr="006F0A66">
        <w:rPr>
          <w:rFonts w:ascii="Palatino Linotype" w:hAnsi="Palatino Linotype" w:cs="Arial"/>
          <w:color w:val="000000" w:themeColor="text1"/>
        </w:rPr>
        <w:t xml:space="preserve"> </w:t>
      </w:r>
    </w:p>
    <w:p w14:paraId="506E0B10" w14:textId="77777777" w:rsidR="00536C04" w:rsidRDefault="00536C04" w:rsidP="00536C04">
      <w:pPr>
        <w:spacing w:line="360" w:lineRule="auto"/>
        <w:jc w:val="both"/>
        <w:rPr>
          <w:rFonts w:ascii="Palatino Linotype" w:hAnsi="Palatino Linotype" w:cs="Arial"/>
          <w:lang w:val="es-ES_tradnl"/>
        </w:rPr>
      </w:pP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C50835" w:rsidRPr="00C50835" w14:paraId="75D9895A" w14:textId="77777777" w:rsidTr="00C50835">
        <w:trPr>
          <w:trHeight w:val="150"/>
          <w:tblCellSpacing w:w="0" w:type="dxa"/>
          <w:jc w:val="center"/>
        </w:trPr>
        <w:tc>
          <w:tcPr>
            <w:tcW w:w="0" w:type="auto"/>
            <w:vAlign w:val="center"/>
            <w:hideMark/>
          </w:tcPr>
          <w:p w14:paraId="6E921917" w14:textId="47C418D3" w:rsidR="00C50835" w:rsidRPr="00C50835" w:rsidRDefault="00F43BF4" w:rsidP="00F43BF4">
            <w:pPr>
              <w:ind w:right="577"/>
              <w:jc w:val="center"/>
              <w:rPr>
                <w:rFonts w:ascii="Palatino Linotype" w:hAnsi="Palatino Linotype" w:cs="Arial"/>
                <w:i/>
                <w:sz w:val="22"/>
                <w:szCs w:val="22"/>
              </w:rPr>
            </w:pPr>
            <w:r>
              <w:object w:dxaOrig="9285" w:dyaOrig="12015" w14:anchorId="2A5EBC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8.5pt;height:336pt" o:ole="">
                  <v:imagedata r:id="rId11" o:title=""/>
                </v:shape>
                <o:OLEObject Type="Embed" ProgID="PBrush" ShapeID="_x0000_i1025" DrawAspect="Content" ObjectID="_1731426244" r:id="rId12"/>
              </w:object>
            </w:r>
          </w:p>
        </w:tc>
      </w:tr>
    </w:tbl>
    <w:p w14:paraId="48F93EE1" w14:textId="77777777" w:rsidR="00F43BF4" w:rsidRDefault="00F43BF4" w:rsidP="003404B0">
      <w:pPr>
        <w:pStyle w:val="Prrafodelista"/>
        <w:tabs>
          <w:tab w:val="left" w:pos="709"/>
        </w:tabs>
        <w:spacing w:line="360" w:lineRule="auto"/>
        <w:ind w:left="0"/>
        <w:jc w:val="both"/>
        <w:rPr>
          <w:rFonts w:ascii="Palatino Linotype" w:hAnsi="Palatino Linotype" w:cs="Arial"/>
          <w:b/>
          <w:color w:val="000000" w:themeColor="text1"/>
          <w:sz w:val="28"/>
        </w:rPr>
      </w:pPr>
    </w:p>
    <w:p w14:paraId="5392CA30" w14:textId="10D50293" w:rsidR="003404B0" w:rsidRPr="006F0A66" w:rsidRDefault="00C50835" w:rsidP="003404B0">
      <w:pPr>
        <w:pStyle w:val="Prrafodelista"/>
        <w:tabs>
          <w:tab w:val="left" w:pos="709"/>
        </w:tabs>
        <w:spacing w:line="360" w:lineRule="auto"/>
        <w:ind w:left="0"/>
        <w:jc w:val="both"/>
        <w:rPr>
          <w:rFonts w:ascii="Palatino Linotype" w:hAnsi="Palatino Linotype" w:cs="Arial"/>
          <w:b/>
          <w:bCs/>
        </w:rPr>
      </w:pPr>
      <w:r>
        <w:rPr>
          <w:rFonts w:ascii="Palatino Linotype" w:hAnsi="Palatino Linotype" w:cs="Arial"/>
          <w:b/>
          <w:color w:val="000000" w:themeColor="text1"/>
          <w:sz w:val="28"/>
        </w:rPr>
        <w:t>I</w:t>
      </w:r>
      <w:r w:rsidR="003B171D" w:rsidRPr="006F0A66">
        <w:rPr>
          <w:rFonts w:ascii="Palatino Linotype" w:hAnsi="Palatino Linotype" w:cs="Arial"/>
          <w:b/>
          <w:color w:val="000000" w:themeColor="text1"/>
          <w:sz w:val="28"/>
        </w:rPr>
        <w:t>V</w:t>
      </w:r>
      <w:r w:rsidR="003404B0" w:rsidRPr="006F0A66">
        <w:rPr>
          <w:rFonts w:ascii="Palatino Linotype" w:hAnsi="Palatino Linotype" w:cs="Arial"/>
          <w:b/>
          <w:color w:val="000000" w:themeColor="text1"/>
          <w:sz w:val="28"/>
        </w:rPr>
        <w:t xml:space="preserve">. </w:t>
      </w:r>
      <w:r w:rsidR="003404B0" w:rsidRPr="006F0A66">
        <w:rPr>
          <w:rFonts w:ascii="Palatino Linotype" w:hAnsi="Palatino Linotype" w:cs="Arial"/>
          <w:b/>
          <w:bCs/>
          <w:sz w:val="28"/>
          <w:szCs w:val="28"/>
        </w:rPr>
        <w:t>Del Recurso de Revisión</w:t>
      </w:r>
    </w:p>
    <w:p w14:paraId="1D7A23AA" w14:textId="18BD588D" w:rsidR="00EC7656" w:rsidRPr="008D6499" w:rsidRDefault="00536C04" w:rsidP="008D6499">
      <w:pPr>
        <w:spacing w:line="360" w:lineRule="auto"/>
        <w:jc w:val="both"/>
        <w:rPr>
          <w:rFonts w:ascii="Palatino Linotype" w:hAnsi="Palatino Linotype" w:cs="Arial"/>
          <w:color w:val="000000" w:themeColor="text1"/>
        </w:rPr>
      </w:pPr>
      <w:r w:rsidRPr="006F0A66">
        <w:rPr>
          <w:rFonts w:ascii="Palatino Linotype" w:hAnsi="Palatino Linotype" w:cs="Arial"/>
          <w:color w:val="000000" w:themeColor="text1"/>
        </w:rPr>
        <w:t>Inconforme por la respuesta</w:t>
      </w:r>
      <w:r w:rsidR="008D6499">
        <w:rPr>
          <w:rFonts w:ascii="Palatino Linotype" w:hAnsi="Palatino Linotype" w:cs="Arial"/>
          <w:color w:val="000000" w:themeColor="text1"/>
        </w:rPr>
        <w:t xml:space="preserve"> </w:t>
      </w:r>
      <w:r w:rsidR="008D6499" w:rsidRPr="00FE60CF">
        <w:rPr>
          <w:rFonts w:ascii="Palatino Linotype" w:hAnsi="Palatino Linotype"/>
          <w:color w:val="000000" w:themeColor="text1"/>
        </w:rPr>
        <w:t xml:space="preserve">del </w:t>
      </w:r>
      <w:r w:rsidR="008D6499" w:rsidRPr="00FE60CF">
        <w:rPr>
          <w:rFonts w:ascii="Palatino Linotype" w:hAnsi="Palatino Linotype"/>
          <w:b/>
          <w:color w:val="000000" w:themeColor="text1"/>
        </w:rPr>
        <w:t>SUJETO OBLIGADO</w:t>
      </w:r>
      <w:r w:rsidRPr="006F0A66">
        <w:rPr>
          <w:rFonts w:ascii="Palatino Linotype" w:hAnsi="Palatino Linotype" w:cs="Arial"/>
          <w:color w:val="000000" w:themeColor="text1"/>
        </w:rPr>
        <w:t xml:space="preserve">, </w:t>
      </w:r>
      <w:r w:rsidR="00FE6428">
        <w:rPr>
          <w:rFonts w:ascii="Palatino Linotype" w:hAnsi="Palatino Linotype" w:cs="Arial"/>
          <w:color w:val="000000" w:themeColor="text1"/>
        </w:rPr>
        <w:t xml:space="preserve">el </w:t>
      </w:r>
      <w:r w:rsidR="00F43BF4">
        <w:rPr>
          <w:rFonts w:ascii="Palatino Linotype" w:hAnsi="Palatino Linotype" w:cs="Arial"/>
          <w:b/>
          <w:color w:val="000000" w:themeColor="text1"/>
        </w:rPr>
        <w:t xml:space="preserve">veintiocho de agosto </w:t>
      </w:r>
      <w:r w:rsidR="002D077D" w:rsidRPr="006F0A66">
        <w:rPr>
          <w:rFonts w:ascii="Palatino Linotype" w:hAnsi="Palatino Linotype" w:cs="Arial"/>
          <w:b/>
          <w:bCs/>
          <w:color w:val="000000" w:themeColor="text1"/>
        </w:rPr>
        <w:t>de dos mil veintidós</w:t>
      </w:r>
      <w:r w:rsidRPr="006F0A66">
        <w:rPr>
          <w:rFonts w:ascii="Palatino Linotype" w:hAnsi="Palatino Linotype" w:cs="Arial"/>
          <w:color w:val="000000" w:themeColor="text1"/>
        </w:rPr>
        <w:t xml:space="preserve">, </w:t>
      </w:r>
      <w:r w:rsidR="00177BA7" w:rsidRPr="006F0A66">
        <w:rPr>
          <w:rFonts w:ascii="Palatino Linotype" w:hAnsi="Palatino Linotype" w:cs="Arial"/>
          <w:b/>
          <w:color w:val="000000" w:themeColor="text1"/>
        </w:rPr>
        <w:t>EL</w:t>
      </w:r>
      <w:r w:rsidRPr="006F0A66">
        <w:rPr>
          <w:rFonts w:ascii="Palatino Linotype" w:hAnsi="Palatino Linotype" w:cs="Arial"/>
          <w:b/>
          <w:color w:val="000000" w:themeColor="text1"/>
        </w:rPr>
        <w:t xml:space="preserve"> RECURRENTE</w:t>
      </w:r>
      <w:r w:rsidRPr="006F0A66">
        <w:rPr>
          <w:rFonts w:ascii="Palatino Linotype" w:hAnsi="Palatino Linotype" w:cs="Arial"/>
          <w:color w:val="000000" w:themeColor="text1"/>
        </w:rPr>
        <w:t xml:space="preserve"> interpuso </w:t>
      </w:r>
      <w:r w:rsidR="00C50835">
        <w:rPr>
          <w:rFonts w:ascii="Palatino Linotype" w:hAnsi="Palatino Linotype" w:cs="Arial"/>
          <w:color w:val="000000" w:themeColor="text1"/>
        </w:rPr>
        <w:t>el</w:t>
      </w:r>
      <w:r w:rsidRPr="006F0A66">
        <w:rPr>
          <w:rFonts w:ascii="Palatino Linotype" w:hAnsi="Palatino Linotype" w:cs="Arial"/>
          <w:color w:val="000000" w:themeColor="text1"/>
        </w:rPr>
        <w:t xml:space="preserve"> </w:t>
      </w:r>
      <w:r w:rsidR="00025060" w:rsidRPr="006F0A66">
        <w:rPr>
          <w:rFonts w:ascii="Palatino Linotype" w:hAnsi="Palatino Linotype" w:cs="Arial"/>
          <w:color w:val="000000" w:themeColor="text1"/>
        </w:rPr>
        <w:t>R</w:t>
      </w:r>
      <w:r w:rsidRPr="006F0A66">
        <w:rPr>
          <w:rFonts w:ascii="Palatino Linotype" w:hAnsi="Palatino Linotype" w:cs="Arial"/>
          <w:color w:val="000000" w:themeColor="text1"/>
        </w:rPr>
        <w:t xml:space="preserve">ecurso de </w:t>
      </w:r>
      <w:r w:rsidR="00025060" w:rsidRPr="006F0A66">
        <w:rPr>
          <w:rFonts w:ascii="Palatino Linotype" w:hAnsi="Palatino Linotype" w:cs="Arial"/>
          <w:color w:val="000000" w:themeColor="text1"/>
        </w:rPr>
        <w:t>R</w:t>
      </w:r>
      <w:r w:rsidRPr="006F0A66">
        <w:rPr>
          <w:rFonts w:ascii="Palatino Linotype" w:hAnsi="Palatino Linotype" w:cs="Arial"/>
          <w:color w:val="000000" w:themeColor="text1"/>
        </w:rPr>
        <w:t xml:space="preserve">evisión sujeto del presente estudio, </w:t>
      </w:r>
      <w:r w:rsidR="00C50835">
        <w:rPr>
          <w:rFonts w:ascii="Palatino Linotype" w:hAnsi="Palatino Linotype" w:cs="Arial"/>
          <w:color w:val="000000" w:themeColor="text1"/>
        </w:rPr>
        <w:t xml:space="preserve">el </w:t>
      </w:r>
      <w:r w:rsidR="007A1EF3" w:rsidRPr="006F0A66">
        <w:rPr>
          <w:rFonts w:ascii="Palatino Linotype" w:hAnsi="Palatino Linotype" w:cs="Arial"/>
          <w:color w:val="000000" w:themeColor="text1"/>
        </w:rPr>
        <w:t>c</w:t>
      </w:r>
      <w:r w:rsidRPr="006F0A66">
        <w:rPr>
          <w:rFonts w:ascii="Palatino Linotype" w:hAnsi="Palatino Linotype" w:cs="Arial"/>
          <w:color w:val="000000" w:themeColor="text1"/>
        </w:rPr>
        <w:t xml:space="preserve">ual fue registrado en </w:t>
      </w:r>
      <w:r w:rsidR="00FE6428" w:rsidRPr="00FE6428">
        <w:rPr>
          <w:rFonts w:ascii="Palatino Linotype" w:hAnsi="Palatino Linotype" w:cs="Arial"/>
          <w:color w:val="000000" w:themeColor="text1"/>
        </w:rPr>
        <w:t>el</w:t>
      </w:r>
      <w:r w:rsidRPr="006F0A66">
        <w:rPr>
          <w:rFonts w:ascii="Palatino Linotype" w:hAnsi="Palatino Linotype" w:cs="Arial"/>
          <w:b/>
          <w:color w:val="000000" w:themeColor="text1"/>
        </w:rPr>
        <w:t xml:space="preserve"> SAIMEX, </w:t>
      </w:r>
      <w:r w:rsidRPr="006F0A66">
        <w:rPr>
          <w:rFonts w:ascii="Palatino Linotype" w:hAnsi="Palatino Linotype" w:cs="Arial"/>
          <w:bCs/>
          <w:color w:val="000000" w:themeColor="text1"/>
        </w:rPr>
        <w:t>y</w:t>
      </w:r>
      <w:r w:rsidRPr="006F0A66">
        <w:rPr>
          <w:rFonts w:ascii="Palatino Linotype" w:hAnsi="Palatino Linotype" w:cs="Arial"/>
          <w:color w:val="000000" w:themeColor="text1"/>
        </w:rPr>
        <w:t xml:space="preserve"> se le asignó </w:t>
      </w:r>
      <w:r w:rsidR="00C50835">
        <w:rPr>
          <w:rFonts w:ascii="Palatino Linotype" w:hAnsi="Palatino Linotype" w:cs="Arial"/>
          <w:color w:val="000000" w:themeColor="text1"/>
        </w:rPr>
        <w:t>el</w:t>
      </w:r>
      <w:r w:rsidRPr="006F0A66">
        <w:rPr>
          <w:rFonts w:ascii="Palatino Linotype" w:hAnsi="Palatino Linotype" w:cs="Arial"/>
          <w:color w:val="000000" w:themeColor="text1"/>
        </w:rPr>
        <w:t xml:space="preserve"> número de expediente </w:t>
      </w:r>
      <w:r w:rsidR="00F43BF4">
        <w:rPr>
          <w:rFonts w:ascii="Palatino Linotype" w:hAnsi="Palatino Linotype"/>
          <w:b/>
        </w:rPr>
        <w:t>013942</w:t>
      </w:r>
      <w:r w:rsidR="00C50835" w:rsidRPr="00C50835">
        <w:rPr>
          <w:rFonts w:ascii="Palatino Linotype" w:hAnsi="Palatino Linotype"/>
          <w:b/>
        </w:rPr>
        <w:t>/INFOEM/IP/RR/2022</w:t>
      </w:r>
      <w:r w:rsidRPr="006F0A66">
        <w:rPr>
          <w:rFonts w:ascii="Palatino Linotype" w:hAnsi="Palatino Linotype" w:cs="Arial"/>
          <w:b/>
          <w:color w:val="000000" w:themeColor="text1"/>
        </w:rPr>
        <w:t>,</w:t>
      </w:r>
      <w:r w:rsidRPr="006F0A66">
        <w:rPr>
          <w:rFonts w:ascii="Palatino Linotype" w:hAnsi="Palatino Linotype" w:cs="Arial"/>
          <w:color w:val="000000" w:themeColor="text1"/>
        </w:rPr>
        <w:t xml:space="preserve"> en </w:t>
      </w:r>
      <w:r w:rsidR="00C50835">
        <w:rPr>
          <w:rFonts w:ascii="Palatino Linotype" w:hAnsi="Palatino Linotype" w:cs="Arial"/>
          <w:color w:val="000000" w:themeColor="text1"/>
        </w:rPr>
        <w:t>el</w:t>
      </w:r>
      <w:r w:rsidR="00EC7656">
        <w:rPr>
          <w:rFonts w:ascii="Palatino Linotype" w:hAnsi="Palatino Linotype" w:cs="Arial"/>
          <w:color w:val="000000" w:themeColor="text1"/>
        </w:rPr>
        <w:t xml:space="preserve"> que</w:t>
      </w:r>
      <w:r w:rsidR="00801793">
        <w:rPr>
          <w:rFonts w:ascii="Palatino Linotype" w:hAnsi="Palatino Linotype" w:cs="Arial"/>
          <w:color w:val="000000" w:themeColor="text1"/>
        </w:rPr>
        <w:t xml:space="preserve"> </w:t>
      </w:r>
      <w:r w:rsidR="00EC7656">
        <w:rPr>
          <w:rFonts w:ascii="Palatino Linotype" w:hAnsi="Palatino Linotype" w:cs="Arial"/>
          <w:color w:val="000000" w:themeColor="text1"/>
        </w:rPr>
        <w:t xml:space="preserve">señaló como: </w:t>
      </w:r>
    </w:p>
    <w:p w14:paraId="32FAE247" w14:textId="77777777" w:rsidR="008D6499" w:rsidRDefault="008D6499" w:rsidP="008D6499">
      <w:pPr>
        <w:spacing w:line="360" w:lineRule="auto"/>
        <w:ind w:right="907"/>
        <w:jc w:val="both"/>
        <w:rPr>
          <w:rFonts w:ascii="Palatino Linotype" w:hAnsi="Palatino Linotype" w:cs="Arial"/>
          <w:b/>
          <w:color w:val="000000" w:themeColor="text1"/>
          <w:sz w:val="22"/>
          <w:szCs w:val="22"/>
        </w:rPr>
      </w:pPr>
    </w:p>
    <w:p w14:paraId="2E2FE37C" w14:textId="43706600" w:rsidR="00DA271B" w:rsidRPr="008D6499" w:rsidRDefault="00DA271B" w:rsidP="008D6499">
      <w:pPr>
        <w:spacing w:line="360" w:lineRule="auto"/>
        <w:ind w:right="907"/>
        <w:jc w:val="both"/>
        <w:rPr>
          <w:rFonts w:ascii="Palatino Linotype" w:hAnsi="Palatino Linotype" w:cs="Arial"/>
          <w:b/>
          <w:color w:val="000000" w:themeColor="text1"/>
          <w:sz w:val="22"/>
          <w:szCs w:val="22"/>
        </w:rPr>
      </w:pPr>
      <w:r w:rsidRPr="008D6499">
        <w:rPr>
          <w:rFonts w:ascii="Palatino Linotype" w:hAnsi="Palatino Linotype" w:cs="Arial"/>
          <w:b/>
          <w:color w:val="000000" w:themeColor="text1"/>
          <w:sz w:val="22"/>
          <w:szCs w:val="22"/>
        </w:rPr>
        <w:t>Acto impugnado:</w:t>
      </w:r>
    </w:p>
    <w:p w14:paraId="1B3DA5B7" w14:textId="3F0BD17C" w:rsidR="00DA271B" w:rsidRPr="008D6499" w:rsidRDefault="00C50835" w:rsidP="008D6499">
      <w:pPr>
        <w:spacing w:line="360" w:lineRule="auto"/>
        <w:ind w:left="851" w:right="907"/>
        <w:jc w:val="both"/>
        <w:rPr>
          <w:rFonts w:ascii="Palatino Linotype" w:hAnsi="Palatino Linotype" w:cs="Arial"/>
          <w:i/>
          <w:sz w:val="22"/>
          <w:szCs w:val="22"/>
        </w:rPr>
      </w:pPr>
      <w:r w:rsidRPr="008D6499">
        <w:rPr>
          <w:rFonts w:ascii="Palatino Linotype" w:hAnsi="Palatino Linotype" w:cs="Arial"/>
          <w:i/>
          <w:sz w:val="22"/>
          <w:szCs w:val="22"/>
        </w:rPr>
        <w:t>“</w:t>
      </w:r>
      <w:r w:rsidR="00F43BF4" w:rsidRPr="008D6499">
        <w:rPr>
          <w:rFonts w:ascii="Palatino Linotype" w:hAnsi="Palatino Linotype" w:cs="Arial"/>
          <w:i/>
          <w:sz w:val="22"/>
          <w:szCs w:val="22"/>
        </w:rPr>
        <w:t xml:space="preserve">INFORMACION INCOMPLETA, SOLICITE SSABER CUANDO ENTRA EN FUNCIONES EL POZO DE AGUA Y ME CONTESTA QUE NO ESTA </w:t>
      </w:r>
      <w:r w:rsidR="00F43BF4" w:rsidRPr="008D6499">
        <w:rPr>
          <w:rFonts w:ascii="Palatino Linotype" w:hAnsi="Palatino Linotype" w:cs="Arial"/>
          <w:i/>
          <w:sz w:val="22"/>
          <w:szCs w:val="22"/>
        </w:rPr>
        <w:lastRenderedPageBreak/>
        <w:t>FUNCIONANDO, ESO YA SE SABE, DICE QUE DEBIDO A LA FALTA DE LA "CONSTRUCCION DE UNA LINEA DE CONDUCCION" QUE ES UNA LINEA DE CONDUCCION?? EN LA PARTE EXTERNA DEL POZO SE OBSERVA UNA PLANTA DE LUZ EN COLOR VERDE, QUE FALTA PARA SU FUNCIONAMIENTO DICHO POZO, EL AGUA FUE PARTE DE LA PROMESA DE CAMPAÑA DE KARLA FIESCO, Y LO DEJAN PARA EL SIGUIENTE AÑO</w:t>
      </w:r>
      <w:r w:rsidR="00FE6428" w:rsidRPr="008D6499">
        <w:rPr>
          <w:rFonts w:ascii="Palatino Linotype" w:hAnsi="Palatino Linotype" w:cs="Arial"/>
          <w:b/>
          <w:i/>
          <w:sz w:val="22"/>
          <w:szCs w:val="22"/>
          <w:u w:val="single"/>
        </w:rPr>
        <w:t>.</w:t>
      </w:r>
      <w:r w:rsidRPr="008D6499">
        <w:rPr>
          <w:rFonts w:ascii="Palatino Linotype" w:hAnsi="Palatino Linotype" w:cs="Arial"/>
          <w:i/>
          <w:sz w:val="22"/>
          <w:szCs w:val="22"/>
        </w:rPr>
        <w:t>” (Sic)</w:t>
      </w:r>
      <w:r w:rsidR="00D71B73" w:rsidRPr="008D6499">
        <w:rPr>
          <w:rFonts w:ascii="Palatino Linotype" w:hAnsi="Palatino Linotype" w:cs="Arial"/>
          <w:i/>
          <w:sz w:val="22"/>
          <w:szCs w:val="22"/>
        </w:rPr>
        <w:t xml:space="preserve"> (Énfasis añadido)</w:t>
      </w:r>
    </w:p>
    <w:p w14:paraId="16624D7F" w14:textId="77777777" w:rsidR="008D6499" w:rsidRDefault="008D6499" w:rsidP="008D6499">
      <w:pPr>
        <w:spacing w:line="360" w:lineRule="auto"/>
        <w:ind w:right="907"/>
        <w:jc w:val="both"/>
        <w:rPr>
          <w:rFonts w:ascii="Palatino Linotype" w:hAnsi="Palatino Linotype" w:cs="Arial"/>
          <w:color w:val="000000" w:themeColor="text1"/>
          <w:sz w:val="22"/>
          <w:szCs w:val="22"/>
        </w:rPr>
      </w:pPr>
    </w:p>
    <w:p w14:paraId="7DF5E647" w14:textId="6B38FB46" w:rsidR="007A1EF3" w:rsidRDefault="00536C04" w:rsidP="008D6499">
      <w:pPr>
        <w:spacing w:line="360" w:lineRule="auto"/>
        <w:ind w:right="907"/>
        <w:jc w:val="both"/>
        <w:rPr>
          <w:rFonts w:ascii="Palatino Linotype" w:hAnsi="Palatino Linotype"/>
          <w:b/>
        </w:rPr>
      </w:pPr>
      <w:r w:rsidRPr="008D6499">
        <w:rPr>
          <w:rFonts w:ascii="Palatino Linotype" w:hAnsi="Palatino Linotype" w:cs="Arial"/>
          <w:b/>
          <w:color w:val="000000" w:themeColor="text1"/>
        </w:rPr>
        <w:t>Así como, razones o motivos de inconformidad</w:t>
      </w:r>
      <w:r w:rsidR="00555672" w:rsidRPr="008D6499">
        <w:rPr>
          <w:rFonts w:ascii="Palatino Linotype" w:hAnsi="Palatino Linotype"/>
          <w:b/>
        </w:rPr>
        <w:t>:</w:t>
      </w:r>
    </w:p>
    <w:p w14:paraId="60F9A235" w14:textId="77777777" w:rsidR="008D6499" w:rsidRPr="008D6499" w:rsidRDefault="008D6499" w:rsidP="008D6499">
      <w:pPr>
        <w:spacing w:line="360" w:lineRule="auto"/>
        <w:ind w:right="907"/>
        <w:jc w:val="both"/>
        <w:rPr>
          <w:rFonts w:ascii="Palatino Linotype" w:hAnsi="Palatino Linotype"/>
          <w:b/>
        </w:rPr>
      </w:pPr>
    </w:p>
    <w:p w14:paraId="5DCF711C" w14:textId="045705E5" w:rsidR="00C50835" w:rsidRPr="008D6499" w:rsidRDefault="00C50835" w:rsidP="008D6499">
      <w:pPr>
        <w:spacing w:line="360" w:lineRule="auto"/>
        <w:ind w:left="851" w:right="907"/>
        <w:jc w:val="both"/>
        <w:rPr>
          <w:rFonts w:ascii="Palatino Linotype" w:hAnsi="Palatino Linotype" w:cs="Arial"/>
          <w:i/>
          <w:sz w:val="22"/>
          <w:szCs w:val="22"/>
        </w:rPr>
      </w:pPr>
      <w:r w:rsidRPr="008D6499">
        <w:rPr>
          <w:rFonts w:ascii="Palatino Linotype" w:hAnsi="Palatino Linotype" w:cs="Arial"/>
          <w:i/>
          <w:sz w:val="22"/>
          <w:szCs w:val="22"/>
        </w:rPr>
        <w:t>“</w:t>
      </w:r>
      <w:r w:rsidR="003C26B9" w:rsidRPr="003C26B9">
        <w:rPr>
          <w:rFonts w:ascii="Palatino Linotype" w:hAnsi="Palatino Linotype" w:cs="Arial"/>
          <w:i/>
          <w:sz w:val="22"/>
          <w:szCs w:val="22"/>
        </w:rPr>
        <w:t>INFORMACION QUE NO ES CONVINCENTE, DICEN QUE SE NECESITA CONSTRUCCION DE LINEAS, NO DICE LINEAS DE QUE TIPO SI DE AGUA, DE LUZ O DE QUE, ADEMAS ESPERAR AL OTRO AÑO PARA SU CONSTRUCCION, Y OTRO MAS PARA HACER PRUEBAS Y YA SE ACABO LA ADMNISTRACION Y EL POZO</w:t>
      </w:r>
      <w:proofErr w:type="gramStart"/>
      <w:r w:rsidR="003C26B9" w:rsidRPr="003C26B9">
        <w:rPr>
          <w:rFonts w:ascii="Palatino Linotype" w:hAnsi="Palatino Linotype" w:cs="Arial"/>
          <w:i/>
          <w:sz w:val="22"/>
          <w:szCs w:val="22"/>
        </w:rPr>
        <w:t>??</w:t>
      </w:r>
      <w:r w:rsidR="00FE6428" w:rsidRPr="008D6499">
        <w:rPr>
          <w:rFonts w:ascii="Palatino Linotype" w:hAnsi="Palatino Linotype" w:cs="Arial"/>
          <w:i/>
          <w:sz w:val="22"/>
          <w:szCs w:val="22"/>
        </w:rPr>
        <w:t>.</w:t>
      </w:r>
      <w:r w:rsidRPr="008D6499">
        <w:rPr>
          <w:rFonts w:ascii="Palatino Linotype" w:hAnsi="Palatino Linotype" w:cs="Arial"/>
          <w:i/>
          <w:sz w:val="22"/>
          <w:szCs w:val="22"/>
        </w:rPr>
        <w:t>”</w:t>
      </w:r>
      <w:proofErr w:type="gramEnd"/>
      <w:r w:rsidRPr="008D6499">
        <w:rPr>
          <w:rFonts w:ascii="Palatino Linotype" w:hAnsi="Palatino Linotype" w:cs="Arial"/>
          <w:i/>
          <w:sz w:val="22"/>
          <w:szCs w:val="22"/>
        </w:rPr>
        <w:t xml:space="preserve"> (Sic)</w:t>
      </w:r>
    </w:p>
    <w:p w14:paraId="2947896B" w14:textId="77777777" w:rsidR="00EC7656" w:rsidRPr="00EC7656" w:rsidRDefault="00EC7656" w:rsidP="003C26B9">
      <w:pPr>
        <w:tabs>
          <w:tab w:val="left" w:pos="851"/>
        </w:tabs>
        <w:ind w:right="1134"/>
        <w:jc w:val="both"/>
        <w:rPr>
          <w:rFonts w:ascii="Palatino Linotype" w:hAnsi="Palatino Linotype" w:cs="Arial"/>
          <w:i/>
          <w:color w:val="000000" w:themeColor="text1"/>
          <w:sz w:val="22"/>
          <w:szCs w:val="22"/>
        </w:rPr>
      </w:pPr>
    </w:p>
    <w:p w14:paraId="45B4414C" w14:textId="62E99E61" w:rsidR="003404B0" w:rsidRPr="008D6499" w:rsidRDefault="003404B0" w:rsidP="003404B0">
      <w:pPr>
        <w:spacing w:line="360" w:lineRule="auto"/>
        <w:jc w:val="both"/>
        <w:rPr>
          <w:rFonts w:ascii="Palatino Linotype" w:hAnsi="Palatino Linotype" w:cs="Arial"/>
          <w:b/>
          <w:color w:val="000000" w:themeColor="text1"/>
        </w:rPr>
      </w:pPr>
      <w:r w:rsidRPr="008D6499">
        <w:rPr>
          <w:rFonts w:ascii="Palatino Linotype" w:hAnsi="Palatino Linotype" w:cs="Arial"/>
          <w:b/>
          <w:color w:val="000000" w:themeColor="text1"/>
        </w:rPr>
        <w:t xml:space="preserve">V. </w:t>
      </w:r>
      <w:r w:rsidRPr="008D6499">
        <w:rPr>
          <w:rFonts w:ascii="Palatino Linotype" w:hAnsi="Palatino Linotype" w:cs="Arial"/>
          <w:b/>
        </w:rPr>
        <w:t>Del turno del Recurso de Revisión</w:t>
      </w:r>
    </w:p>
    <w:p w14:paraId="7D6276FD" w14:textId="68DB37DE" w:rsidR="009D6B53" w:rsidRPr="006F0A66" w:rsidRDefault="009D6B53" w:rsidP="00F837AA">
      <w:pPr>
        <w:spacing w:line="360" w:lineRule="auto"/>
        <w:jc w:val="both"/>
        <w:rPr>
          <w:rFonts w:ascii="Palatino Linotype" w:hAnsi="Palatino Linotype"/>
        </w:rPr>
      </w:pPr>
      <w:r w:rsidRPr="006F0A66">
        <w:rPr>
          <w:rFonts w:ascii="Palatino Linotype" w:hAnsi="Palatino Linotype" w:cs="Arial"/>
          <w:color w:val="000000" w:themeColor="text1"/>
        </w:rPr>
        <w:t xml:space="preserve">El </w:t>
      </w:r>
      <w:r w:rsidR="00FE6428">
        <w:rPr>
          <w:rFonts w:ascii="Palatino Linotype" w:hAnsi="Palatino Linotype" w:cs="Arial"/>
          <w:b/>
          <w:color w:val="000000" w:themeColor="text1"/>
        </w:rPr>
        <w:t>nueve</w:t>
      </w:r>
      <w:r w:rsidR="00FE6428">
        <w:rPr>
          <w:rFonts w:ascii="Palatino Linotype" w:hAnsi="Palatino Linotype" w:cs="Arial"/>
          <w:b/>
          <w:bCs/>
          <w:color w:val="000000" w:themeColor="text1"/>
        </w:rPr>
        <w:t xml:space="preserve"> </w:t>
      </w:r>
      <w:r w:rsidR="00FE6428" w:rsidRPr="006F0A66">
        <w:rPr>
          <w:rFonts w:ascii="Palatino Linotype" w:hAnsi="Palatino Linotype" w:cs="Arial"/>
          <w:b/>
          <w:bCs/>
          <w:color w:val="000000" w:themeColor="text1"/>
        </w:rPr>
        <w:t xml:space="preserve">de </w:t>
      </w:r>
      <w:r w:rsidR="00FE6428">
        <w:rPr>
          <w:rFonts w:ascii="Palatino Linotype" w:hAnsi="Palatino Linotype" w:cs="Arial"/>
          <w:b/>
          <w:bCs/>
          <w:color w:val="000000" w:themeColor="text1"/>
        </w:rPr>
        <w:t xml:space="preserve">marzo </w:t>
      </w:r>
      <w:r w:rsidR="00FE6428" w:rsidRPr="006F0A66">
        <w:rPr>
          <w:rFonts w:ascii="Palatino Linotype" w:hAnsi="Palatino Linotype" w:cs="Arial"/>
          <w:b/>
          <w:bCs/>
          <w:color w:val="000000" w:themeColor="text1"/>
        </w:rPr>
        <w:t>de dos mil veintidós</w:t>
      </w:r>
      <w:r w:rsidRPr="006F0A66">
        <w:rPr>
          <w:rFonts w:ascii="Palatino Linotype" w:hAnsi="Palatino Linotype" w:cs="Arial"/>
          <w:color w:val="000000" w:themeColor="text1"/>
        </w:rPr>
        <w:t xml:space="preserve">, </w:t>
      </w:r>
      <w:r w:rsidR="00B018F3">
        <w:rPr>
          <w:rFonts w:ascii="Palatino Linotype" w:hAnsi="Palatino Linotype"/>
          <w:color w:val="000000" w:themeColor="text1"/>
        </w:rPr>
        <w:t>el</w:t>
      </w:r>
      <w:r w:rsidRPr="006F0A66">
        <w:rPr>
          <w:rFonts w:ascii="Palatino Linotype" w:hAnsi="Palatino Linotype" w:cs="Arial"/>
          <w:color w:val="000000" w:themeColor="text1"/>
        </w:rPr>
        <w:t xml:space="preserve"> </w:t>
      </w:r>
      <w:r w:rsidR="00025060" w:rsidRPr="006F0A66">
        <w:rPr>
          <w:rFonts w:ascii="Palatino Linotype" w:hAnsi="Palatino Linotype" w:cs="Arial"/>
          <w:color w:val="000000" w:themeColor="text1"/>
        </w:rPr>
        <w:t xml:space="preserve">Recurso de Revisión </w:t>
      </w:r>
      <w:r w:rsidR="005F5D50" w:rsidRPr="006F0A66">
        <w:rPr>
          <w:rFonts w:ascii="Palatino Linotype" w:hAnsi="Palatino Linotype" w:cs="Arial"/>
          <w:color w:val="000000" w:themeColor="text1"/>
          <w:lang w:val="es-ES_tradnl"/>
        </w:rPr>
        <w:t>materia del presente estudio, se en</w:t>
      </w:r>
      <w:r w:rsidR="00B018F3">
        <w:rPr>
          <w:rFonts w:ascii="Palatino Linotype" w:hAnsi="Palatino Linotype" w:cs="Arial"/>
          <w:color w:val="000000" w:themeColor="text1"/>
          <w:lang w:val="es-ES_tradnl"/>
        </w:rPr>
        <w:t>vió</w:t>
      </w:r>
      <w:r w:rsidRPr="006F0A66">
        <w:rPr>
          <w:rFonts w:ascii="Palatino Linotype" w:hAnsi="Palatino Linotype" w:cs="Arial"/>
          <w:color w:val="000000" w:themeColor="text1"/>
          <w:lang w:val="es-ES_tradnl"/>
        </w:rPr>
        <w:t xml:space="preserve"> electrónicamente al Instituto de </w:t>
      </w:r>
      <w:r w:rsidRPr="006F0A66">
        <w:rPr>
          <w:rFonts w:ascii="Palatino Linotype" w:eastAsia="Arial Unicode MS" w:hAnsi="Palatino Linotype" w:cs="Arial"/>
          <w:color w:val="000000" w:themeColor="text1"/>
        </w:rPr>
        <w:t>Transparencia</w:t>
      </w:r>
      <w:r w:rsidRPr="006F0A66">
        <w:rPr>
          <w:rFonts w:ascii="Palatino Linotype" w:hAnsi="Palatino Linotype" w:cs="Arial"/>
          <w:color w:val="000000" w:themeColor="text1"/>
          <w:lang w:val="es-ES_tradnl"/>
        </w:rPr>
        <w:t>, Acceso a la Información Pública y Protección de Datos Personales del Estado de México y Municipios</w:t>
      </w:r>
      <w:r w:rsidR="005F5D50" w:rsidRPr="006F0A66">
        <w:rPr>
          <w:rFonts w:ascii="Palatino Linotype" w:hAnsi="Palatino Linotype" w:cs="Arial"/>
          <w:color w:val="000000" w:themeColor="text1"/>
          <w:lang w:val="es-ES_tradnl"/>
        </w:rPr>
        <w:t>,</w:t>
      </w:r>
      <w:r w:rsidRPr="006F0A66">
        <w:rPr>
          <w:rFonts w:ascii="Palatino Linotype" w:hAnsi="Palatino Linotype" w:cs="Arial"/>
          <w:color w:val="000000" w:themeColor="text1"/>
          <w:lang w:val="es-ES_tradnl"/>
        </w:rPr>
        <w:t xml:space="preserve"> </w:t>
      </w:r>
      <w:r w:rsidR="005F5D50" w:rsidRPr="006F0A66">
        <w:rPr>
          <w:rFonts w:ascii="Palatino Linotype" w:hAnsi="Palatino Linotype" w:cs="Arial"/>
          <w:color w:val="000000" w:themeColor="text1"/>
          <w:lang w:val="es-ES_tradnl"/>
        </w:rPr>
        <w:t xml:space="preserve">por lo que </w:t>
      </w:r>
      <w:r w:rsidRPr="006F0A66">
        <w:rPr>
          <w:rFonts w:ascii="Palatino Linotype" w:hAnsi="Palatino Linotype" w:cs="Arial"/>
          <w:color w:val="000000" w:themeColor="text1"/>
          <w:lang w:val="es-ES_tradnl"/>
        </w:rPr>
        <w:t xml:space="preserve">con fundamento en el artículo 185, fracción I de la </w:t>
      </w:r>
      <w:r w:rsidRPr="006F0A66">
        <w:rPr>
          <w:rFonts w:ascii="Palatino Linotype" w:hAnsi="Palatino Linotype"/>
          <w:color w:val="000000" w:themeColor="text1"/>
        </w:rPr>
        <w:t>Ley de Transparencia y Acceso a la Información Pública del Estado de México y Municipios</w:t>
      </w:r>
      <w:r w:rsidR="00B018F3">
        <w:rPr>
          <w:rFonts w:ascii="Palatino Linotype" w:hAnsi="Palatino Linotype" w:cs="Arial"/>
          <w:color w:val="000000" w:themeColor="text1"/>
          <w:lang w:val="es-ES_tradnl"/>
        </w:rPr>
        <w:t>, se turnó</w:t>
      </w:r>
      <w:r w:rsidRPr="006F0A66">
        <w:rPr>
          <w:rFonts w:ascii="Palatino Linotype" w:hAnsi="Palatino Linotype" w:cs="Arial"/>
          <w:color w:val="000000" w:themeColor="text1"/>
          <w:lang w:val="es-ES_tradnl"/>
        </w:rPr>
        <w:t>, a través del</w:t>
      </w:r>
      <w:r w:rsidRPr="006F0A66">
        <w:rPr>
          <w:rFonts w:ascii="Palatino Linotype" w:eastAsia="Arial Unicode MS" w:hAnsi="Palatino Linotype" w:cs="Arial"/>
          <w:color w:val="000000" w:themeColor="text1"/>
          <w:lang w:val="es-ES_tradnl"/>
        </w:rPr>
        <w:t xml:space="preserve"> </w:t>
      </w:r>
      <w:r w:rsidRPr="006F0A66">
        <w:rPr>
          <w:rFonts w:ascii="Palatino Linotype" w:eastAsia="Arial Unicode MS" w:hAnsi="Palatino Linotype" w:cs="Arial"/>
          <w:b/>
          <w:color w:val="000000" w:themeColor="text1"/>
          <w:lang w:val="es-ES_tradnl"/>
        </w:rPr>
        <w:t>SAIMEX</w:t>
      </w:r>
      <w:r w:rsidRPr="006F0A66">
        <w:rPr>
          <w:rFonts w:ascii="Palatino Linotype" w:hAnsi="Palatino Linotype"/>
          <w:color w:val="000000" w:themeColor="text1"/>
        </w:rPr>
        <w:t xml:space="preserve">, </w:t>
      </w:r>
      <w:r w:rsidR="00801793">
        <w:rPr>
          <w:rFonts w:ascii="Palatino Linotype" w:hAnsi="Palatino Linotype"/>
        </w:rPr>
        <w:t>a</w:t>
      </w:r>
      <w:r w:rsidRPr="006F0A66">
        <w:rPr>
          <w:rFonts w:ascii="Palatino Linotype" w:hAnsi="Palatino Linotype"/>
        </w:rPr>
        <w:t xml:space="preserve"> la</w:t>
      </w:r>
      <w:r w:rsidR="00FE6428">
        <w:rPr>
          <w:rFonts w:ascii="Palatino Linotype" w:hAnsi="Palatino Linotype"/>
        </w:rPr>
        <w:t xml:space="preserve"> Comisionada</w:t>
      </w:r>
      <w:r w:rsidRPr="006F0A66">
        <w:rPr>
          <w:rFonts w:ascii="Palatino Linotype" w:hAnsi="Palatino Linotype"/>
        </w:rPr>
        <w:t xml:space="preserve"> </w:t>
      </w:r>
      <w:r w:rsidR="00B018F3">
        <w:rPr>
          <w:rFonts w:ascii="Palatino Linotype" w:hAnsi="Palatino Linotype"/>
          <w:b/>
        </w:rPr>
        <w:t>Sharon Cristina Morales Martínez</w:t>
      </w:r>
      <w:r w:rsidRPr="006F0A66">
        <w:rPr>
          <w:rFonts w:ascii="Palatino Linotype" w:hAnsi="Palatino Linotype"/>
          <w:color w:val="000000" w:themeColor="text1"/>
        </w:rPr>
        <w:t xml:space="preserve">, a </w:t>
      </w:r>
      <w:r w:rsidR="00B018F3">
        <w:rPr>
          <w:rFonts w:ascii="Palatino Linotype" w:hAnsi="Palatino Linotype" w:cs="Arial"/>
          <w:color w:val="000000" w:themeColor="text1"/>
          <w:lang w:val="es-ES_tradnl"/>
        </w:rPr>
        <w:t>efecto de que decretara</w:t>
      </w:r>
      <w:r w:rsidRPr="006F0A66">
        <w:rPr>
          <w:rFonts w:ascii="Palatino Linotype" w:hAnsi="Palatino Linotype" w:cs="Arial"/>
          <w:color w:val="000000" w:themeColor="text1"/>
          <w:lang w:val="es-ES_tradnl"/>
        </w:rPr>
        <w:t xml:space="preserve"> su admisión o desechamiento.</w:t>
      </w:r>
    </w:p>
    <w:p w14:paraId="5A9F0DE7" w14:textId="77777777" w:rsidR="00231D08" w:rsidRDefault="00231D08" w:rsidP="003404B0">
      <w:pPr>
        <w:tabs>
          <w:tab w:val="center" w:pos="4252"/>
          <w:tab w:val="right" w:pos="8504"/>
        </w:tabs>
        <w:spacing w:line="360" w:lineRule="auto"/>
        <w:jc w:val="both"/>
        <w:rPr>
          <w:rFonts w:ascii="Palatino Linotype" w:hAnsi="Palatino Linotype" w:cs="Arial"/>
          <w:b/>
          <w:color w:val="000000" w:themeColor="text1"/>
        </w:rPr>
      </w:pPr>
    </w:p>
    <w:p w14:paraId="14CA0626" w14:textId="77777777" w:rsidR="003404B0" w:rsidRPr="006F0A66" w:rsidRDefault="003404B0" w:rsidP="003404B0">
      <w:pPr>
        <w:tabs>
          <w:tab w:val="center" w:pos="4252"/>
          <w:tab w:val="right" w:pos="8504"/>
        </w:tabs>
        <w:spacing w:line="360" w:lineRule="auto"/>
        <w:jc w:val="both"/>
        <w:rPr>
          <w:rFonts w:ascii="Palatino Linotype" w:hAnsi="Palatino Linotype" w:cs="Arial"/>
          <w:b/>
          <w:color w:val="000000" w:themeColor="text1"/>
        </w:rPr>
      </w:pPr>
      <w:r w:rsidRPr="006F0A66">
        <w:rPr>
          <w:rFonts w:ascii="Palatino Linotype" w:hAnsi="Palatino Linotype" w:cs="Arial"/>
          <w:b/>
          <w:color w:val="000000" w:themeColor="text1"/>
        </w:rPr>
        <w:lastRenderedPageBreak/>
        <w:t>a) Admisión del Recurso de Revisión</w:t>
      </w:r>
    </w:p>
    <w:p w14:paraId="3933D19F" w14:textId="3C8E9120" w:rsidR="009D6B53" w:rsidRPr="006F0A66" w:rsidRDefault="009D6B53" w:rsidP="0082275C">
      <w:pPr>
        <w:spacing w:line="360" w:lineRule="auto"/>
        <w:jc w:val="both"/>
        <w:rPr>
          <w:rFonts w:ascii="Palatino Linotype" w:hAnsi="Palatino Linotype" w:cs="Arial"/>
          <w:color w:val="000000" w:themeColor="text1"/>
        </w:rPr>
      </w:pPr>
      <w:r w:rsidRPr="006F0A66">
        <w:rPr>
          <w:rFonts w:ascii="Palatino Linotype" w:hAnsi="Palatino Linotype" w:cs="Arial"/>
          <w:color w:val="000000" w:themeColor="text1"/>
        </w:rPr>
        <w:t xml:space="preserve">De las constancias de los expedientes electrónicos </w:t>
      </w:r>
      <w:r w:rsidR="005F5D50" w:rsidRPr="006F0A66">
        <w:rPr>
          <w:rFonts w:ascii="Palatino Linotype" w:hAnsi="Palatino Linotype" w:cs="Arial"/>
          <w:color w:val="000000" w:themeColor="text1"/>
        </w:rPr>
        <w:t xml:space="preserve">que obran en </w:t>
      </w:r>
      <w:r w:rsidRPr="006F0A66">
        <w:rPr>
          <w:rFonts w:ascii="Palatino Linotype" w:hAnsi="Palatino Linotype" w:cs="Arial"/>
          <w:b/>
          <w:color w:val="000000" w:themeColor="text1"/>
        </w:rPr>
        <w:t>SAIMEX</w:t>
      </w:r>
      <w:r w:rsidRPr="006F0A66">
        <w:rPr>
          <w:rFonts w:ascii="Palatino Linotype" w:hAnsi="Palatino Linotype" w:cs="Arial"/>
          <w:color w:val="000000" w:themeColor="text1"/>
        </w:rPr>
        <w:t xml:space="preserve">, se desprende que el </w:t>
      </w:r>
      <w:r w:rsidR="00337565">
        <w:rPr>
          <w:rFonts w:ascii="Palatino Linotype" w:hAnsi="Palatino Linotype" w:cs="Arial"/>
          <w:b/>
          <w:color w:val="000000" w:themeColor="text1"/>
        </w:rPr>
        <w:t>treinta de agosto</w:t>
      </w:r>
      <w:r w:rsidR="00801793" w:rsidRPr="00F530F1">
        <w:rPr>
          <w:rFonts w:ascii="Palatino Linotype" w:hAnsi="Palatino Linotype" w:cs="Arial"/>
          <w:b/>
          <w:color w:val="000000" w:themeColor="text1"/>
        </w:rPr>
        <w:t xml:space="preserve"> </w:t>
      </w:r>
      <w:r w:rsidR="00C10EEE" w:rsidRPr="00F530F1">
        <w:rPr>
          <w:rFonts w:ascii="Palatino Linotype" w:hAnsi="Palatino Linotype" w:cs="Arial"/>
          <w:b/>
          <w:color w:val="000000" w:themeColor="text1"/>
        </w:rPr>
        <w:t>de dos mil veintidós</w:t>
      </w:r>
      <w:r w:rsidRPr="006F0A66">
        <w:rPr>
          <w:rFonts w:ascii="Palatino Linotype" w:hAnsi="Palatino Linotype" w:cs="Arial"/>
          <w:color w:val="000000" w:themeColor="text1"/>
        </w:rPr>
        <w:t>, se acordó la admisión a trámite del</w:t>
      </w:r>
      <w:r w:rsidR="00B018F3">
        <w:rPr>
          <w:rFonts w:ascii="Palatino Linotype" w:hAnsi="Palatino Linotype" w:cs="Arial"/>
          <w:color w:val="000000" w:themeColor="text1"/>
        </w:rPr>
        <w:t xml:space="preserve"> </w:t>
      </w:r>
      <w:r w:rsidR="00025060" w:rsidRPr="006F0A66">
        <w:rPr>
          <w:rFonts w:ascii="Palatino Linotype" w:hAnsi="Palatino Linotype" w:cs="Arial"/>
          <w:color w:val="000000" w:themeColor="text1"/>
        </w:rPr>
        <w:t>R</w:t>
      </w:r>
      <w:r w:rsidRPr="006F0A66">
        <w:rPr>
          <w:rFonts w:ascii="Palatino Linotype" w:hAnsi="Palatino Linotype" w:cs="Arial"/>
          <w:color w:val="000000" w:themeColor="text1"/>
        </w:rPr>
        <w:t>ecurs</w:t>
      </w:r>
      <w:r w:rsidR="00B018F3">
        <w:rPr>
          <w:rFonts w:ascii="Palatino Linotype" w:hAnsi="Palatino Linotype" w:cs="Arial"/>
          <w:color w:val="000000" w:themeColor="text1"/>
        </w:rPr>
        <w:t>o</w:t>
      </w:r>
      <w:r w:rsidRPr="006F0A66">
        <w:rPr>
          <w:rFonts w:ascii="Palatino Linotype" w:hAnsi="Palatino Linotype" w:cs="Arial"/>
          <w:color w:val="000000" w:themeColor="text1"/>
        </w:rPr>
        <w:t xml:space="preserve"> de </w:t>
      </w:r>
      <w:r w:rsidR="00025060" w:rsidRPr="006F0A66">
        <w:rPr>
          <w:rFonts w:ascii="Palatino Linotype" w:hAnsi="Palatino Linotype" w:cs="Arial"/>
          <w:color w:val="000000" w:themeColor="text1"/>
        </w:rPr>
        <w:t>R</w:t>
      </w:r>
      <w:r w:rsidR="00B018F3">
        <w:rPr>
          <w:rFonts w:ascii="Palatino Linotype" w:hAnsi="Palatino Linotype" w:cs="Arial"/>
          <w:color w:val="000000" w:themeColor="text1"/>
        </w:rPr>
        <w:t>evisión que nos ocupa, así como la integración de</w:t>
      </w:r>
      <w:r w:rsidRPr="006F0A66">
        <w:rPr>
          <w:rFonts w:ascii="Palatino Linotype" w:hAnsi="Palatino Linotype" w:cs="Arial"/>
          <w:color w:val="000000" w:themeColor="text1"/>
        </w:rPr>
        <w:t>l</w:t>
      </w:r>
      <w:r w:rsidR="00B018F3">
        <w:rPr>
          <w:rFonts w:ascii="Palatino Linotype" w:hAnsi="Palatino Linotype" w:cs="Arial"/>
          <w:color w:val="000000" w:themeColor="text1"/>
        </w:rPr>
        <w:t xml:space="preserve"> expediente</w:t>
      </w:r>
      <w:r w:rsidRPr="006F0A66">
        <w:rPr>
          <w:rFonts w:ascii="Palatino Linotype" w:hAnsi="Palatino Linotype" w:cs="Arial"/>
          <w:color w:val="000000" w:themeColor="text1"/>
        </w:rPr>
        <w:t xml:space="preserve"> </w:t>
      </w:r>
      <w:r w:rsidR="00B018F3">
        <w:rPr>
          <w:rFonts w:ascii="Palatino Linotype" w:hAnsi="Palatino Linotype" w:cs="Arial"/>
          <w:color w:val="000000" w:themeColor="text1"/>
        </w:rPr>
        <w:t>respectivo, mismo que se puso</w:t>
      </w:r>
      <w:r w:rsidRPr="006F0A66">
        <w:rPr>
          <w:rFonts w:ascii="Palatino Linotype" w:hAnsi="Palatino Linotype" w:cs="Arial"/>
          <w:color w:val="000000" w:themeColor="text1"/>
        </w:rPr>
        <w:t xml:space="preserve"> a disposición de las partes, para que en un plazo máximo de siete días hábiles</w:t>
      </w:r>
      <w:r w:rsidR="005F5D50" w:rsidRPr="006F0A66">
        <w:rPr>
          <w:rFonts w:ascii="Palatino Linotype" w:hAnsi="Palatino Linotype" w:cs="Arial"/>
          <w:color w:val="000000" w:themeColor="text1"/>
        </w:rPr>
        <w:t xml:space="preserve"> </w:t>
      </w:r>
      <w:r w:rsidR="00D01412" w:rsidRPr="006F0A66">
        <w:rPr>
          <w:rFonts w:ascii="Palatino Linotype" w:hAnsi="Palatino Linotype" w:cs="Arial"/>
          <w:b/>
          <w:color w:val="000000" w:themeColor="text1"/>
        </w:rPr>
        <w:t xml:space="preserve">EL RECURRENTE </w:t>
      </w:r>
      <w:r w:rsidR="00D01412" w:rsidRPr="006F0A66">
        <w:rPr>
          <w:rFonts w:ascii="Palatino Linotype" w:hAnsi="Palatino Linotype" w:cs="Arial"/>
          <w:color w:val="000000" w:themeColor="text1"/>
        </w:rPr>
        <w:t xml:space="preserve">manifestara lo que a su derecho conviniera, a efecto de presentar pruebas o alegatos y, en su caso, </w:t>
      </w:r>
      <w:r w:rsidR="00D01412" w:rsidRPr="006F0A66">
        <w:rPr>
          <w:rFonts w:ascii="Palatino Linotype" w:hAnsi="Palatino Linotype" w:cs="Arial"/>
          <w:b/>
          <w:color w:val="000000" w:themeColor="text1"/>
        </w:rPr>
        <w:t xml:space="preserve">EL SUJETO OBLIGADO </w:t>
      </w:r>
      <w:r w:rsidR="00D01412" w:rsidRPr="006F0A66">
        <w:rPr>
          <w:rFonts w:ascii="Palatino Linotype" w:hAnsi="Palatino Linotype" w:cs="Arial"/>
          <w:color w:val="000000" w:themeColor="text1"/>
        </w:rPr>
        <w:t>rindiera su</w:t>
      </w:r>
      <w:r w:rsidR="00D01412" w:rsidRPr="006F0A66">
        <w:rPr>
          <w:rFonts w:ascii="Palatino Linotype" w:hAnsi="Palatino Linotype" w:cs="Arial"/>
          <w:b/>
          <w:color w:val="000000" w:themeColor="text1"/>
        </w:rPr>
        <w:t xml:space="preserve"> </w:t>
      </w:r>
      <w:r w:rsidR="00B018F3">
        <w:rPr>
          <w:rFonts w:ascii="Palatino Linotype" w:hAnsi="Palatino Linotype" w:cs="Arial"/>
          <w:color w:val="000000" w:themeColor="text1"/>
        </w:rPr>
        <w:t>Informe Justificado</w:t>
      </w:r>
      <w:r w:rsidR="00D01412" w:rsidRPr="006F0A66">
        <w:rPr>
          <w:rFonts w:ascii="Palatino Linotype" w:hAnsi="Palatino Linotype" w:cs="Arial"/>
          <w:color w:val="000000" w:themeColor="text1"/>
        </w:rPr>
        <w:t xml:space="preserve"> respectivamente; lo anterior, en términos de </w:t>
      </w:r>
      <w:r w:rsidRPr="006F0A66">
        <w:rPr>
          <w:rFonts w:ascii="Palatino Linotype" w:hAnsi="Palatino Linotype" w:cs="Arial"/>
          <w:color w:val="000000" w:themeColor="text1"/>
        </w:rPr>
        <w:t>lo dispuesto por el artículo 185 de la Ley de Transparencia y Acceso a la Información Pública del Estado de México y Municipios</w:t>
      </w:r>
      <w:r w:rsidR="00D01412" w:rsidRPr="006F0A66">
        <w:rPr>
          <w:rFonts w:ascii="Palatino Linotype" w:hAnsi="Palatino Linotype" w:cs="Arial"/>
          <w:color w:val="000000" w:themeColor="text1"/>
        </w:rPr>
        <w:t>.</w:t>
      </w:r>
    </w:p>
    <w:p w14:paraId="0CAB5C85" w14:textId="77777777" w:rsidR="00F530F1" w:rsidRPr="006F0A66" w:rsidRDefault="00F530F1" w:rsidP="00536C04">
      <w:pPr>
        <w:tabs>
          <w:tab w:val="center" w:pos="4252"/>
          <w:tab w:val="right" w:pos="8504"/>
        </w:tabs>
        <w:spacing w:line="360" w:lineRule="auto"/>
        <w:jc w:val="both"/>
        <w:rPr>
          <w:rFonts w:ascii="Palatino Linotype" w:hAnsi="Palatino Linotype" w:cs="Arial"/>
          <w:b/>
          <w:color w:val="000000" w:themeColor="text1"/>
          <w:sz w:val="28"/>
        </w:rPr>
      </w:pPr>
    </w:p>
    <w:p w14:paraId="1B661F59" w14:textId="5E770586" w:rsidR="003404B0" w:rsidRPr="006F0A66" w:rsidRDefault="002E7E03" w:rsidP="003404B0">
      <w:pPr>
        <w:spacing w:line="360" w:lineRule="auto"/>
        <w:jc w:val="both"/>
        <w:rPr>
          <w:rFonts w:ascii="Palatino Linotype" w:eastAsia="Arial Unicode MS" w:hAnsi="Palatino Linotype" w:cs="Arial"/>
          <w:b/>
          <w:color w:val="000000" w:themeColor="text1"/>
        </w:rPr>
      </w:pPr>
      <w:r>
        <w:rPr>
          <w:rFonts w:ascii="Palatino Linotype" w:eastAsia="Arial Unicode MS" w:hAnsi="Palatino Linotype" w:cs="Arial"/>
          <w:b/>
          <w:color w:val="000000" w:themeColor="text1"/>
        </w:rPr>
        <w:t>b</w:t>
      </w:r>
      <w:r w:rsidR="003404B0" w:rsidRPr="006F0A66">
        <w:rPr>
          <w:rFonts w:ascii="Palatino Linotype" w:eastAsia="Arial Unicode MS" w:hAnsi="Palatino Linotype" w:cs="Arial"/>
          <w:b/>
          <w:color w:val="000000" w:themeColor="text1"/>
        </w:rPr>
        <w:t xml:space="preserve">) </w:t>
      </w:r>
      <w:r w:rsidR="003404B0" w:rsidRPr="006F0A66">
        <w:rPr>
          <w:rFonts w:ascii="Palatino Linotype" w:hAnsi="Palatino Linotype" w:cs="Arial"/>
          <w:b/>
          <w:bCs/>
        </w:rPr>
        <w:t>Informe Justificado</w:t>
      </w:r>
    </w:p>
    <w:p w14:paraId="0871E087" w14:textId="5EE2A555" w:rsidR="00756235" w:rsidRDefault="008D6499" w:rsidP="00ED586C">
      <w:pPr>
        <w:spacing w:line="360" w:lineRule="auto"/>
        <w:jc w:val="both"/>
        <w:rPr>
          <w:rFonts w:ascii="Palatino Linotype" w:hAnsi="Palatino Linotype" w:cs="Arial"/>
          <w:color w:val="000000" w:themeColor="text1"/>
        </w:rPr>
      </w:pPr>
      <w:r>
        <w:rPr>
          <w:rFonts w:ascii="Palatino Linotype" w:eastAsia="Arial Unicode MS" w:hAnsi="Palatino Linotype" w:cs="Arial"/>
          <w:color w:val="000000" w:themeColor="text1"/>
        </w:rPr>
        <w:t>En cumplimiento a lo anterior, c</w:t>
      </w:r>
      <w:r w:rsidR="00756235" w:rsidRPr="006F0A66">
        <w:rPr>
          <w:rFonts w:ascii="Palatino Linotype" w:eastAsia="Arial Unicode MS" w:hAnsi="Palatino Linotype" w:cs="Arial"/>
          <w:color w:val="000000" w:themeColor="text1"/>
        </w:rPr>
        <w:t xml:space="preserve">onforme a las constancias del </w:t>
      </w:r>
      <w:r w:rsidR="00756235" w:rsidRPr="006F0A66">
        <w:rPr>
          <w:rFonts w:ascii="Palatino Linotype" w:eastAsia="Arial Unicode MS" w:hAnsi="Palatino Linotype" w:cs="Arial"/>
          <w:b/>
          <w:color w:val="000000" w:themeColor="text1"/>
        </w:rPr>
        <w:t>SAIMEX</w:t>
      </w:r>
      <w:r w:rsidR="00756235" w:rsidRPr="006F0A66">
        <w:rPr>
          <w:rFonts w:ascii="Palatino Linotype" w:eastAsia="Arial Unicode MS" w:hAnsi="Palatino Linotype" w:cs="Arial"/>
          <w:color w:val="000000" w:themeColor="text1"/>
        </w:rPr>
        <w:t xml:space="preserve"> se desprende que atento a lo dispuesto en el artículo 185 de la Ley de Transparencia y Acceso a la Información Pública del Estado de México y Municipios, </w:t>
      </w:r>
      <w:r w:rsidR="00805F08">
        <w:rPr>
          <w:rFonts w:ascii="Palatino Linotype" w:hAnsi="Palatino Linotype" w:cs="Arial"/>
          <w:b/>
        </w:rPr>
        <w:t>EL SUJETO OBLIGADO</w:t>
      </w:r>
      <w:r w:rsidR="00756235" w:rsidRPr="006F0A66">
        <w:rPr>
          <w:rFonts w:ascii="Palatino Linotype" w:eastAsia="Arial Unicode MS" w:hAnsi="Palatino Linotype" w:cs="Arial"/>
          <w:color w:val="000000" w:themeColor="text1"/>
        </w:rPr>
        <w:t xml:space="preserve">, </w:t>
      </w:r>
      <w:r w:rsidR="009F4218">
        <w:rPr>
          <w:rFonts w:ascii="Palatino Linotype" w:eastAsia="Arial Unicode MS" w:hAnsi="Palatino Linotype" w:cs="Arial"/>
          <w:color w:val="000000" w:themeColor="text1"/>
        </w:rPr>
        <w:t xml:space="preserve">envió </w:t>
      </w:r>
      <w:r w:rsidR="00337565">
        <w:rPr>
          <w:rFonts w:ascii="Palatino Linotype" w:eastAsia="Arial Unicode MS" w:hAnsi="Palatino Linotype" w:cs="Arial"/>
          <w:color w:val="000000" w:themeColor="text1"/>
        </w:rPr>
        <w:t>un archivo denominado</w:t>
      </w:r>
      <w:r w:rsidR="009F4218">
        <w:rPr>
          <w:rFonts w:ascii="Palatino Linotype" w:eastAsia="Arial Unicode MS" w:hAnsi="Palatino Linotype" w:cs="Arial"/>
          <w:color w:val="000000" w:themeColor="text1"/>
        </w:rPr>
        <w:t xml:space="preserve"> </w:t>
      </w:r>
      <w:r w:rsidR="009F4218" w:rsidRPr="008D6499">
        <w:rPr>
          <w:rFonts w:ascii="Palatino Linotype" w:eastAsia="Arial Unicode MS" w:hAnsi="Palatino Linotype" w:cs="Arial"/>
          <w:b/>
          <w:color w:val="000000" w:themeColor="text1"/>
        </w:rPr>
        <w:t>“</w:t>
      </w:r>
      <w:r w:rsidR="00337565" w:rsidRPr="008D6499">
        <w:rPr>
          <w:rFonts w:ascii="Palatino Linotype" w:eastAsia="Arial Unicode MS" w:hAnsi="Palatino Linotype" w:cs="Arial"/>
          <w:b/>
          <w:color w:val="000000" w:themeColor="text1"/>
        </w:rPr>
        <w:t>Informe de Justificación 079022.pdf</w:t>
      </w:r>
      <w:r w:rsidR="009F4218" w:rsidRPr="008D6499">
        <w:rPr>
          <w:rFonts w:ascii="Palatino Linotype" w:eastAsia="Arial Unicode MS" w:hAnsi="Palatino Linotype" w:cs="Arial"/>
          <w:b/>
          <w:color w:val="000000" w:themeColor="text1"/>
        </w:rPr>
        <w:t>”</w:t>
      </w:r>
      <w:r w:rsidR="009F4218">
        <w:rPr>
          <w:rFonts w:ascii="Palatino Linotype" w:eastAsia="Arial Unicode MS" w:hAnsi="Palatino Linotype" w:cs="Arial"/>
          <w:color w:val="000000" w:themeColor="text1"/>
        </w:rPr>
        <w:t xml:space="preserve"> </w:t>
      </w:r>
      <w:r w:rsidR="00337565">
        <w:rPr>
          <w:rFonts w:ascii="Palatino Linotype" w:eastAsia="Arial Unicode MS" w:hAnsi="Palatino Linotype" w:cs="Arial"/>
          <w:color w:val="000000" w:themeColor="text1"/>
        </w:rPr>
        <w:t>mismo que se puso</w:t>
      </w:r>
      <w:r w:rsidR="00805F08">
        <w:rPr>
          <w:rFonts w:ascii="Palatino Linotype" w:eastAsia="Arial Unicode MS" w:hAnsi="Palatino Linotype" w:cs="Arial"/>
          <w:color w:val="000000" w:themeColor="text1"/>
        </w:rPr>
        <w:t xml:space="preserve"> a disposición de </w:t>
      </w:r>
      <w:r w:rsidR="00805F08">
        <w:rPr>
          <w:rFonts w:ascii="Palatino Linotype" w:hAnsi="Palatino Linotype"/>
          <w:b/>
          <w:lang w:val="es-ES"/>
        </w:rPr>
        <w:t xml:space="preserve">EL RECURRENTE </w:t>
      </w:r>
      <w:r w:rsidR="00805F08">
        <w:rPr>
          <w:rFonts w:ascii="Palatino Linotype" w:hAnsi="Palatino Linotype"/>
          <w:lang w:val="es-ES"/>
        </w:rPr>
        <w:t xml:space="preserve">el </w:t>
      </w:r>
      <w:r w:rsidR="00337565">
        <w:rPr>
          <w:rFonts w:ascii="Palatino Linotype" w:hAnsi="Palatino Linotype"/>
          <w:lang w:val="es-ES"/>
        </w:rPr>
        <w:t>cinco</w:t>
      </w:r>
      <w:r w:rsidR="00805F08">
        <w:rPr>
          <w:rFonts w:ascii="Palatino Linotype" w:hAnsi="Palatino Linotype"/>
          <w:lang w:val="es-ES"/>
        </w:rPr>
        <w:t xml:space="preserve"> de </w:t>
      </w:r>
      <w:r w:rsidR="00337565">
        <w:rPr>
          <w:rFonts w:ascii="Palatino Linotype" w:hAnsi="Palatino Linotype"/>
          <w:lang w:val="es-ES"/>
        </w:rPr>
        <w:t>octubre</w:t>
      </w:r>
      <w:r w:rsidR="00805F08">
        <w:rPr>
          <w:rFonts w:ascii="Palatino Linotype" w:hAnsi="Palatino Linotype"/>
          <w:lang w:val="es-ES"/>
        </w:rPr>
        <w:t xml:space="preserve"> de dos mil veintidós</w:t>
      </w:r>
      <w:r w:rsidR="00756235" w:rsidRPr="006F0A66">
        <w:rPr>
          <w:rFonts w:ascii="Palatino Linotype" w:eastAsia="Arial Unicode MS" w:hAnsi="Palatino Linotype" w:cs="Arial"/>
          <w:color w:val="000000" w:themeColor="text1"/>
        </w:rPr>
        <w:t xml:space="preserve">, tal y como se aprecia en la siguiente </w:t>
      </w:r>
      <w:r w:rsidR="00805F08">
        <w:rPr>
          <w:rFonts w:ascii="Palatino Linotype" w:eastAsia="Arial Unicode MS" w:hAnsi="Palatino Linotype" w:cs="Arial"/>
          <w:color w:val="000000" w:themeColor="text1"/>
        </w:rPr>
        <w:t>imagen</w:t>
      </w:r>
      <w:r w:rsidR="00756235" w:rsidRPr="006F0A66">
        <w:rPr>
          <w:rFonts w:ascii="Palatino Linotype" w:eastAsia="Arial Unicode MS" w:hAnsi="Palatino Linotype" w:cs="Arial"/>
          <w:color w:val="000000" w:themeColor="text1"/>
        </w:rPr>
        <w:t xml:space="preserve">: </w:t>
      </w:r>
      <w:r w:rsidR="00756235" w:rsidRPr="006F0A66">
        <w:rPr>
          <w:rFonts w:ascii="Palatino Linotype" w:hAnsi="Palatino Linotype" w:cs="Arial"/>
          <w:color w:val="000000" w:themeColor="text1"/>
        </w:rPr>
        <w:t xml:space="preserve"> </w:t>
      </w:r>
    </w:p>
    <w:p w14:paraId="66862AD2" w14:textId="7E5ECEC7" w:rsidR="00CB029B" w:rsidRDefault="00337565" w:rsidP="00756235">
      <w:pPr>
        <w:spacing w:line="360" w:lineRule="auto"/>
        <w:jc w:val="both"/>
        <w:rPr>
          <w:rFonts w:ascii="Palatino Linotype" w:hAnsi="Palatino Linotype" w:cs="Arial"/>
          <w:color w:val="000000" w:themeColor="text1"/>
        </w:rPr>
      </w:pPr>
      <w:r>
        <w:rPr>
          <w:rFonts w:ascii="Palatino Linotype" w:hAnsi="Palatino Linotype" w:cs="Arial"/>
          <w:noProof/>
          <w:color w:val="000000" w:themeColor="text1"/>
          <w:lang w:val="es-419" w:eastAsia="es-419"/>
        </w:rPr>
        <w:lastRenderedPageBreak/>
        <w:drawing>
          <wp:inline distT="0" distB="0" distL="0" distR="0" wp14:anchorId="47C5FD91" wp14:editId="70EE3B1E">
            <wp:extent cx="5931535" cy="221869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1535" cy="2218690"/>
                    </a:xfrm>
                    <a:prstGeom prst="rect">
                      <a:avLst/>
                    </a:prstGeom>
                    <a:noFill/>
                    <a:ln>
                      <a:noFill/>
                    </a:ln>
                  </pic:spPr>
                </pic:pic>
              </a:graphicData>
            </a:graphic>
          </wp:inline>
        </w:drawing>
      </w:r>
    </w:p>
    <w:p w14:paraId="67E184B7" w14:textId="77777777" w:rsidR="0098436A" w:rsidRDefault="0098436A" w:rsidP="003404B0">
      <w:pPr>
        <w:pStyle w:val="Prrafodelista"/>
        <w:spacing w:line="360" w:lineRule="auto"/>
        <w:ind w:left="0"/>
        <w:jc w:val="both"/>
        <w:rPr>
          <w:rFonts w:ascii="Palatino Linotype" w:eastAsia="Arial Unicode MS" w:hAnsi="Palatino Linotype" w:cs="Arial"/>
          <w:color w:val="000000" w:themeColor="text1"/>
        </w:rPr>
      </w:pPr>
    </w:p>
    <w:p w14:paraId="7E8126B8" w14:textId="4B254CAB" w:rsidR="00671655" w:rsidRPr="0098436A" w:rsidRDefault="00ED586C" w:rsidP="0098436A">
      <w:pPr>
        <w:pStyle w:val="Prrafodelista"/>
        <w:spacing w:line="360" w:lineRule="auto"/>
        <w:ind w:left="0"/>
        <w:jc w:val="both"/>
        <w:rPr>
          <w:rFonts w:ascii="Palatino Linotype" w:eastAsia="Arial Unicode MS" w:hAnsi="Palatino Linotype" w:cs="Arial"/>
          <w:color w:val="000000" w:themeColor="text1"/>
        </w:rPr>
      </w:pPr>
      <w:r w:rsidRPr="00ED586C">
        <w:rPr>
          <w:rFonts w:ascii="Palatino Linotype" w:eastAsia="Arial Unicode MS" w:hAnsi="Palatino Linotype" w:cs="Arial"/>
          <w:color w:val="000000" w:themeColor="text1"/>
        </w:rPr>
        <w:t>Advirtiendo</w:t>
      </w:r>
      <w:r w:rsidR="0098436A">
        <w:rPr>
          <w:rFonts w:ascii="Palatino Linotype" w:eastAsia="Arial Unicode MS" w:hAnsi="Palatino Linotype" w:cs="Arial"/>
          <w:color w:val="000000" w:themeColor="text1"/>
        </w:rPr>
        <w:t xml:space="preserve"> de dicho informe que </w:t>
      </w:r>
      <w:r>
        <w:rPr>
          <w:rFonts w:ascii="Palatino Linotype" w:eastAsia="Arial Unicode MS" w:hAnsi="Palatino Linotype" w:cs="Arial"/>
          <w:color w:val="000000" w:themeColor="text1"/>
        </w:rPr>
        <w:t xml:space="preserve"> </w:t>
      </w:r>
      <w:r w:rsidR="0098436A">
        <w:rPr>
          <w:rFonts w:ascii="Palatino Linotype" w:hAnsi="Palatino Linotype" w:cs="Arial"/>
          <w:b/>
        </w:rPr>
        <w:t xml:space="preserve">EL SUJETO OBLIGADO </w:t>
      </w:r>
      <w:r w:rsidR="0098436A">
        <w:rPr>
          <w:rFonts w:ascii="Palatino Linotype" w:hAnsi="Palatino Linotype" w:cs="Arial"/>
        </w:rPr>
        <w:t xml:space="preserve">anexó el archivo electrónico </w:t>
      </w:r>
      <w:r w:rsidR="00337565" w:rsidRPr="0098436A">
        <w:rPr>
          <w:rFonts w:ascii="Palatino Linotype" w:eastAsia="Arial Unicode MS" w:hAnsi="Palatino Linotype" w:cs="Arial"/>
          <w:b/>
          <w:color w:val="000000" w:themeColor="text1"/>
        </w:rPr>
        <w:t>Informe de Justificación 079022.pdf</w:t>
      </w:r>
      <w:r w:rsidRPr="0098436A">
        <w:rPr>
          <w:rFonts w:ascii="Palatino Linotype" w:eastAsia="Arial Unicode MS" w:hAnsi="Palatino Linotype" w:cs="Arial"/>
          <w:color w:val="000000" w:themeColor="text1"/>
        </w:rPr>
        <w:t xml:space="preserve">, </w:t>
      </w:r>
      <w:r w:rsidR="0098436A">
        <w:rPr>
          <w:rFonts w:ascii="Palatino Linotype" w:eastAsia="Arial Unicode MS" w:hAnsi="Palatino Linotype" w:cs="Arial"/>
          <w:color w:val="000000" w:themeColor="text1"/>
        </w:rPr>
        <w:t xml:space="preserve">el cual de su contenido se advierte el oficio número DCOH/0929/2022, por medio del cual el Titular de la Dirección de Construcción y Operación Hidráulica de OPERAGUA IZCALLI, refiere </w:t>
      </w:r>
      <w:r w:rsidR="002944DC" w:rsidRPr="0098436A">
        <w:rPr>
          <w:rFonts w:ascii="Palatino Linotype" w:hAnsi="Palatino Linotype" w:cs="Arial"/>
        </w:rPr>
        <w:t>qu</w:t>
      </w:r>
      <w:r w:rsidR="002944DC" w:rsidRPr="0098436A">
        <w:rPr>
          <w:rFonts w:ascii="Palatino Linotype" w:eastAsia="Arial Unicode MS" w:hAnsi="Palatino Linotype" w:cs="Arial"/>
          <w:color w:val="000000" w:themeColor="text1"/>
        </w:rPr>
        <w:t>e</w:t>
      </w:r>
      <w:r w:rsidR="00671655" w:rsidRPr="0098436A">
        <w:rPr>
          <w:rFonts w:ascii="Palatino Linotype" w:eastAsia="Arial Unicode MS" w:hAnsi="Palatino Linotype" w:cs="Arial"/>
          <w:color w:val="000000" w:themeColor="text1"/>
        </w:rPr>
        <w:t xml:space="preserve"> “… este Organismo Público Descentralizado a través de la Dirección a mi cargo reitera que dicha solicitud fue atendida en su totalidad atendiendo e informado el motivo por el cual aún no entra en función dicho sistema y precisando que se están realizando las acciones necesarias para proponer la construcción de un línea de conducción, en el próximo ejercicio fiscal 2023, lo anterior con fundamento en el artículo 41 fracciones I, II, III, IV, y V del vigente Reglamento Interno de este Organismo Público Descentralizado. Lo anterior con fundamento en lo dispuesto en el Artículo 12 segundo párrafo, y demás artículos aplicables a la Ley de Transparencia y Acceso a la Información Pública del Estado de México y Municipios.” (Sic).</w:t>
      </w:r>
    </w:p>
    <w:p w14:paraId="41918F5D" w14:textId="77777777" w:rsidR="0098436A" w:rsidRDefault="0098436A" w:rsidP="0098436A">
      <w:pPr>
        <w:spacing w:line="360" w:lineRule="auto"/>
        <w:jc w:val="both"/>
        <w:rPr>
          <w:rFonts w:ascii="Palatino Linotype" w:eastAsia="Arial Unicode MS" w:hAnsi="Palatino Linotype" w:cs="Arial"/>
          <w:color w:val="000000" w:themeColor="text1"/>
        </w:rPr>
      </w:pPr>
    </w:p>
    <w:p w14:paraId="0835B1D7" w14:textId="77777777" w:rsidR="0098436A" w:rsidRPr="00FE60CF" w:rsidRDefault="0098436A" w:rsidP="0098436A">
      <w:pPr>
        <w:tabs>
          <w:tab w:val="center" w:pos="4252"/>
          <w:tab w:val="right" w:pos="8504"/>
        </w:tabs>
        <w:spacing w:line="360" w:lineRule="auto"/>
        <w:jc w:val="both"/>
        <w:rPr>
          <w:rFonts w:ascii="Palatino Linotype" w:eastAsia="Arial Unicode MS" w:hAnsi="Palatino Linotype" w:cs="Arial"/>
          <w:lang w:val="es-ES_tradnl"/>
        </w:rPr>
      </w:pPr>
      <w:r w:rsidRPr="00FE60CF">
        <w:rPr>
          <w:rFonts w:ascii="Palatino Linotype" w:eastAsiaTheme="minorEastAsia" w:hAnsi="Palatino Linotype" w:cstheme="minorBidi"/>
          <w:noProof/>
          <w:lang w:eastAsia="es-MX"/>
        </w:rPr>
        <w:lastRenderedPageBreak/>
        <w:t>Por su parte, la particular no realizó manifiestación alguna,</w:t>
      </w:r>
      <w:r w:rsidRPr="00FE60CF">
        <w:rPr>
          <w:rFonts w:ascii="Palatino Linotype" w:eastAsia="Arial Unicode MS" w:hAnsi="Palatino Linotype" w:cs="Arial"/>
          <w:lang w:val="es-ES_tradnl"/>
        </w:rPr>
        <w:t xml:space="preserve"> ni presentó pruebas o alegatos.</w:t>
      </w:r>
    </w:p>
    <w:p w14:paraId="1506177A" w14:textId="77777777" w:rsidR="00232302" w:rsidRDefault="00232302" w:rsidP="0098436A">
      <w:pPr>
        <w:spacing w:line="360" w:lineRule="auto"/>
        <w:jc w:val="both"/>
        <w:rPr>
          <w:rFonts w:ascii="Palatino Linotype" w:eastAsia="Arial Unicode MS" w:hAnsi="Palatino Linotype" w:cs="Arial"/>
          <w:color w:val="000000" w:themeColor="text1"/>
        </w:rPr>
      </w:pPr>
    </w:p>
    <w:p w14:paraId="25BF6FF9" w14:textId="241CF081" w:rsidR="00232302" w:rsidRPr="009412EC" w:rsidRDefault="00232302" w:rsidP="00232302">
      <w:pPr>
        <w:spacing w:line="360" w:lineRule="auto"/>
        <w:jc w:val="both"/>
        <w:rPr>
          <w:rFonts w:ascii="Palatino Linotype" w:eastAsia="Palatino Linotype" w:hAnsi="Palatino Linotype" w:cs="Palatino Linotype"/>
          <w:b/>
        </w:rPr>
      </w:pPr>
      <w:r w:rsidRPr="009412EC">
        <w:rPr>
          <w:rFonts w:ascii="Palatino Linotype" w:hAnsi="Palatino Linotype" w:cs="Arial"/>
          <w:b/>
          <w:bCs/>
        </w:rPr>
        <w:t xml:space="preserve">c) </w:t>
      </w:r>
      <w:r w:rsidRPr="009412EC">
        <w:rPr>
          <w:rFonts w:ascii="Palatino Linotype" w:eastAsia="Palatino Linotype" w:hAnsi="Palatino Linotype" w:cs="Palatino Linotype"/>
          <w:b/>
        </w:rPr>
        <w:t>De la ampliación</w:t>
      </w:r>
    </w:p>
    <w:p w14:paraId="3C377654" w14:textId="77777777" w:rsidR="00232302" w:rsidRPr="009412EC" w:rsidRDefault="00232302" w:rsidP="00232302">
      <w:pPr>
        <w:spacing w:line="360" w:lineRule="auto"/>
        <w:jc w:val="both"/>
        <w:rPr>
          <w:rFonts w:ascii="Palatino Linotype" w:hAnsi="Palatino Linotype" w:cs="Arial"/>
        </w:rPr>
      </w:pPr>
      <w:r w:rsidRPr="009412EC">
        <w:rPr>
          <w:rFonts w:ascii="Palatino Linotype" w:eastAsia="Palatino Linotype" w:hAnsi="Palatino Linotype" w:cs="Palatino Linotype"/>
        </w:rPr>
        <w:t xml:space="preserve">En fecha </w:t>
      </w:r>
      <w:r w:rsidRPr="009412EC">
        <w:rPr>
          <w:rFonts w:ascii="Palatino Linotype" w:eastAsia="Palatino Linotype" w:hAnsi="Palatino Linotype" w:cs="Palatino Linotype"/>
          <w:b/>
        </w:rPr>
        <w:t>trece de octubre de dos mil veintidós</w:t>
      </w:r>
      <w:r w:rsidRPr="009412EC">
        <w:rPr>
          <w:rFonts w:ascii="Palatino Linotype" w:eastAsia="Palatino Linotype" w:hAnsi="Palatino Linotype" w:cs="Palatino Linotype"/>
        </w:rPr>
        <w:t>, se notificó el acuerdo de ampliación del plazo para resolver el presente Recurso de Revisión, previsto en el artículo 181, tercer párrafo de la Ley de Transparencia y Acceso a la Información Pública del Estado de México y Municipios</w:t>
      </w:r>
      <w:r w:rsidRPr="009412EC">
        <w:rPr>
          <w:rFonts w:ascii="Palatino Linotype" w:hAnsi="Palatino Linotype" w:cs="Arial"/>
        </w:rPr>
        <w:t>.</w:t>
      </w:r>
    </w:p>
    <w:p w14:paraId="7649B254" w14:textId="30E39805" w:rsidR="00EC16AB" w:rsidRDefault="00671655" w:rsidP="0098436A">
      <w:pPr>
        <w:spacing w:line="360" w:lineRule="auto"/>
        <w:jc w:val="both"/>
        <w:rPr>
          <w:rFonts w:ascii="Palatino Linotype" w:eastAsia="Arial Unicode MS" w:hAnsi="Palatino Linotype" w:cs="Arial"/>
          <w:color w:val="000000" w:themeColor="text1"/>
        </w:rPr>
      </w:pPr>
      <w:r w:rsidRPr="0098436A">
        <w:rPr>
          <w:rFonts w:ascii="Palatino Linotype" w:eastAsia="Arial Unicode MS" w:hAnsi="Palatino Linotype" w:cs="Arial"/>
          <w:color w:val="000000" w:themeColor="text1"/>
        </w:rPr>
        <w:t xml:space="preserve"> </w:t>
      </w:r>
    </w:p>
    <w:p w14:paraId="70B2C395" w14:textId="77777777" w:rsidR="00232302" w:rsidRPr="0098436A" w:rsidRDefault="00232302" w:rsidP="0098436A">
      <w:pPr>
        <w:spacing w:line="360" w:lineRule="auto"/>
        <w:jc w:val="both"/>
        <w:rPr>
          <w:rFonts w:ascii="Palatino Linotype" w:eastAsia="Arial Unicode MS" w:hAnsi="Palatino Linotype" w:cs="Arial"/>
          <w:color w:val="000000" w:themeColor="text1"/>
        </w:rPr>
      </w:pPr>
    </w:p>
    <w:p w14:paraId="6F1AA041" w14:textId="0344ADD6" w:rsidR="003404B0" w:rsidRPr="009412EC" w:rsidRDefault="00232302" w:rsidP="003404B0">
      <w:pPr>
        <w:pStyle w:val="Prrafodelista"/>
        <w:spacing w:line="360" w:lineRule="auto"/>
        <w:ind w:left="0"/>
        <w:jc w:val="both"/>
        <w:rPr>
          <w:rFonts w:ascii="Palatino Linotype" w:hAnsi="Palatino Linotype" w:cs="Arial"/>
          <w:b/>
          <w:bCs/>
        </w:rPr>
      </w:pPr>
      <w:r w:rsidRPr="009412EC">
        <w:rPr>
          <w:rFonts w:ascii="Palatino Linotype" w:hAnsi="Palatino Linotype" w:cs="Arial"/>
          <w:b/>
          <w:bCs/>
        </w:rPr>
        <w:t>d</w:t>
      </w:r>
      <w:r w:rsidR="003404B0" w:rsidRPr="009412EC">
        <w:rPr>
          <w:rFonts w:ascii="Palatino Linotype" w:hAnsi="Palatino Linotype" w:cs="Arial"/>
          <w:b/>
          <w:bCs/>
        </w:rPr>
        <w:t>) Cierre de Instrucción</w:t>
      </w:r>
    </w:p>
    <w:p w14:paraId="7B3E0FD7" w14:textId="36879250" w:rsidR="00151594" w:rsidRPr="004D4D8D" w:rsidRDefault="00536C04" w:rsidP="00801793">
      <w:pPr>
        <w:spacing w:line="360" w:lineRule="auto"/>
        <w:jc w:val="both"/>
        <w:rPr>
          <w:rFonts w:ascii="Palatino Linotype" w:hAnsi="Palatino Linotype" w:cs="Arial"/>
        </w:rPr>
      </w:pPr>
      <w:r w:rsidRPr="009412EC">
        <w:rPr>
          <w:rFonts w:ascii="Palatino Linotype" w:hAnsi="Palatino Linotype"/>
          <w:color w:val="000000" w:themeColor="text1"/>
        </w:rPr>
        <w:t>Una vez analizado el estado procesal que guarda el expediente</w:t>
      </w:r>
      <w:r w:rsidR="005F5D50" w:rsidRPr="009412EC">
        <w:rPr>
          <w:rFonts w:ascii="Palatino Linotype" w:hAnsi="Palatino Linotype"/>
          <w:color w:val="000000" w:themeColor="text1"/>
        </w:rPr>
        <w:t xml:space="preserve"> de mérito</w:t>
      </w:r>
      <w:r w:rsidRPr="009412EC">
        <w:rPr>
          <w:rFonts w:ascii="Palatino Linotype" w:hAnsi="Palatino Linotype"/>
          <w:color w:val="000000" w:themeColor="text1"/>
        </w:rPr>
        <w:t xml:space="preserve">, el </w:t>
      </w:r>
      <w:r w:rsidR="009412EC" w:rsidRPr="009412EC">
        <w:rPr>
          <w:rFonts w:ascii="Palatino Linotype" w:hAnsi="Palatino Linotype"/>
          <w:b/>
          <w:bCs/>
          <w:color w:val="000000" w:themeColor="text1"/>
        </w:rPr>
        <w:t xml:space="preserve">veinticinco de octubre </w:t>
      </w:r>
      <w:r w:rsidR="00801793" w:rsidRPr="009412EC">
        <w:rPr>
          <w:rFonts w:ascii="Palatino Linotype" w:hAnsi="Palatino Linotype"/>
          <w:b/>
          <w:bCs/>
          <w:color w:val="000000" w:themeColor="text1"/>
        </w:rPr>
        <w:t>de dos mil veintidós</w:t>
      </w:r>
      <w:r w:rsidR="00C10EEE" w:rsidRPr="009412EC">
        <w:rPr>
          <w:rFonts w:ascii="Palatino Linotype" w:hAnsi="Palatino Linotype"/>
          <w:b/>
          <w:bCs/>
          <w:color w:val="000000" w:themeColor="text1"/>
        </w:rPr>
        <w:t xml:space="preserve">, </w:t>
      </w:r>
      <w:r w:rsidRPr="009412EC">
        <w:rPr>
          <w:rFonts w:ascii="Palatino Linotype" w:hAnsi="Palatino Linotype"/>
          <w:color w:val="000000" w:themeColor="text1"/>
        </w:rPr>
        <w:t>l</w:t>
      </w:r>
      <w:r w:rsidR="00C10EEE" w:rsidRPr="009412EC">
        <w:rPr>
          <w:rFonts w:ascii="Palatino Linotype" w:hAnsi="Palatino Linotype"/>
          <w:color w:val="000000" w:themeColor="text1"/>
        </w:rPr>
        <w:t>a</w:t>
      </w:r>
      <w:r w:rsidRPr="009412EC">
        <w:rPr>
          <w:rFonts w:ascii="Palatino Linotype" w:hAnsi="Palatino Linotype"/>
          <w:color w:val="000000" w:themeColor="text1"/>
        </w:rPr>
        <w:t xml:space="preserve"> </w:t>
      </w:r>
      <w:r w:rsidR="00D01412" w:rsidRPr="009412EC">
        <w:rPr>
          <w:rFonts w:ascii="Palatino Linotype" w:hAnsi="Palatino Linotype"/>
          <w:b/>
          <w:color w:val="000000" w:themeColor="text1"/>
        </w:rPr>
        <w:t>C</w:t>
      </w:r>
      <w:r w:rsidRPr="009412EC">
        <w:rPr>
          <w:rFonts w:ascii="Palatino Linotype" w:hAnsi="Palatino Linotype"/>
          <w:b/>
          <w:color w:val="000000" w:themeColor="text1"/>
        </w:rPr>
        <w:t>omisionad</w:t>
      </w:r>
      <w:r w:rsidR="00C10EEE" w:rsidRPr="009412EC">
        <w:rPr>
          <w:rFonts w:ascii="Palatino Linotype" w:hAnsi="Palatino Linotype"/>
          <w:b/>
          <w:color w:val="000000" w:themeColor="text1"/>
        </w:rPr>
        <w:t>a</w:t>
      </w:r>
      <w:r w:rsidRPr="009412EC">
        <w:rPr>
          <w:rFonts w:ascii="Palatino Linotype" w:hAnsi="Palatino Linotype"/>
          <w:color w:val="000000" w:themeColor="text1"/>
        </w:rPr>
        <w:t xml:space="preserve"> </w:t>
      </w:r>
      <w:r w:rsidR="00801793" w:rsidRPr="009412EC">
        <w:rPr>
          <w:rFonts w:ascii="Palatino Linotype" w:hAnsi="Palatino Linotype"/>
          <w:b/>
          <w:color w:val="000000" w:themeColor="text1"/>
        </w:rPr>
        <w:t>Sharon Cristina Morales Martínez</w:t>
      </w:r>
      <w:r w:rsidR="00801793" w:rsidRPr="009412EC">
        <w:rPr>
          <w:rFonts w:ascii="Palatino Linotype" w:hAnsi="Palatino Linotype"/>
          <w:color w:val="000000" w:themeColor="text1"/>
        </w:rPr>
        <w:t xml:space="preserve"> </w:t>
      </w:r>
      <w:r w:rsidRPr="009412EC">
        <w:rPr>
          <w:rFonts w:ascii="Palatino Linotype" w:hAnsi="Palatino Linotype"/>
          <w:color w:val="000000" w:themeColor="text1"/>
        </w:rPr>
        <w:t xml:space="preserve">acordó </w:t>
      </w:r>
      <w:r w:rsidR="00C10EEE" w:rsidRPr="009412EC">
        <w:rPr>
          <w:rFonts w:ascii="Palatino Linotype" w:hAnsi="Palatino Linotype"/>
          <w:color w:val="000000" w:themeColor="text1"/>
        </w:rPr>
        <w:t>los</w:t>
      </w:r>
      <w:r w:rsidRPr="009412EC">
        <w:rPr>
          <w:rFonts w:ascii="Palatino Linotype" w:hAnsi="Palatino Linotype"/>
          <w:color w:val="000000" w:themeColor="text1"/>
        </w:rPr>
        <w:t xml:space="preserve"> cierre</w:t>
      </w:r>
      <w:r w:rsidR="00C10EEE" w:rsidRPr="009412EC">
        <w:rPr>
          <w:rFonts w:ascii="Palatino Linotype" w:hAnsi="Palatino Linotype"/>
          <w:color w:val="000000" w:themeColor="text1"/>
        </w:rPr>
        <w:t>s</w:t>
      </w:r>
      <w:r w:rsidRPr="009412EC">
        <w:rPr>
          <w:rFonts w:ascii="Palatino Linotype" w:hAnsi="Palatino Linotype"/>
          <w:color w:val="000000" w:themeColor="text1"/>
        </w:rPr>
        <w:t xml:space="preserve"> de instrucción;</w:t>
      </w:r>
      <w:r w:rsidRPr="009412EC">
        <w:rPr>
          <w:rFonts w:ascii="Palatino Linotype" w:hAnsi="Palatino Linotype" w:cs="Arial"/>
        </w:rPr>
        <w:t xml:space="preserve"> así como, la remisión de</w:t>
      </w:r>
      <w:r w:rsidR="00C10EEE" w:rsidRPr="009412EC">
        <w:rPr>
          <w:rFonts w:ascii="Palatino Linotype" w:hAnsi="Palatino Linotype" w:cs="Arial"/>
        </w:rPr>
        <w:t xml:space="preserve"> los </w:t>
      </w:r>
      <w:r w:rsidRPr="009412EC">
        <w:rPr>
          <w:rFonts w:ascii="Palatino Linotype" w:hAnsi="Palatino Linotype" w:cs="Arial"/>
        </w:rPr>
        <w:t>mismo</w:t>
      </w:r>
      <w:r w:rsidR="00C10EEE" w:rsidRPr="009412EC">
        <w:rPr>
          <w:rFonts w:ascii="Palatino Linotype" w:hAnsi="Palatino Linotype" w:cs="Arial"/>
        </w:rPr>
        <w:t>s</w:t>
      </w:r>
      <w:r w:rsidRPr="009412EC">
        <w:rPr>
          <w:rFonts w:ascii="Palatino Linotype" w:hAnsi="Palatino Linotype" w:cs="Arial"/>
        </w:rPr>
        <w:t xml:space="preserve"> a efecto de ser resuelto</w:t>
      </w:r>
      <w:r w:rsidR="00C10EEE" w:rsidRPr="009412EC">
        <w:rPr>
          <w:rFonts w:ascii="Palatino Linotype" w:hAnsi="Palatino Linotype" w:cs="Arial"/>
        </w:rPr>
        <w:t>s</w:t>
      </w:r>
      <w:r w:rsidRPr="009412EC">
        <w:rPr>
          <w:rFonts w:ascii="Palatino Linotype" w:hAnsi="Palatino Linotype" w:cs="Arial"/>
        </w:rPr>
        <w:t>, de conformidad con lo establecido en el artículo 185 fracciones VI y VIII de la Ley de Transparencia y Acceso a la Información Pública del Estado de México y Municipios</w:t>
      </w:r>
      <w:r w:rsidR="00151594" w:rsidRPr="009412EC">
        <w:rPr>
          <w:rFonts w:ascii="Palatino Linotype" w:hAnsi="Palatino Linotype" w:cs="Arial"/>
        </w:rPr>
        <w:t>.</w:t>
      </w:r>
    </w:p>
    <w:p w14:paraId="265F48C5" w14:textId="77777777" w:rsidR="00536C04" w:rsidRPr="006F0A66" w:rsidRDefault="00536C04" w:rsidP="00232302">
      <w:pPr>
        <w:ind w:right="50"/>
        <w:rPr>
          <w:rFonts w:ascii="Palatino Linotype" w:hAnsi="Palatino Linotype" w:cs="Arial"/>
          <w:b/>
          <w:color w:val="000000" w:themeColor="text1"/>
          <w:sz w:val="28"/>
        </w:rPr>
      </w:pPr>
    </w:p>
    <w:p w14:paraId="307772BA" w14:textId="77777777" w:rsidR="00536C04" w:rsidRPr="006F0A66" w:rsidRDefault="00536C04" w:rsidP="00177BA7">
      <w:pPr>
        <w:jc w:val="center"/>
        <w:rPr>
          <w:rFonts w:ascii="Palatino Linotype" w:hAnsi="Palatino Linotype" w:cs="Arial"/>
          <w:b/>
          <w:bCs/>
          <w:color w:val="000000" w:themeColor="text1"/>
          <w:spacing w:val="60"/>
          <w:sz w:val="28"/>
        </w:rPr>
      </w:pPr>
      <w:r w:rsidRPr="006F0A66">
        <w:rPr>
          <w:rFonts w:ascii="Palatino Linotype" w:hAnsi="Palatino Linotype" w:cs="Arial"/>
          <w:b/>
          <w:bCs/>
          <w:color w:val="000000" w:themeColor="text1"/>
          <w:spacing w:val="60"/>
          <w:sz w:val="28"/>
        </w:rPr>
        <w:t>CONSIDERANDO</w:t>
      </w:r>
    </w:p>
    <w:p w14:paraId="3142EC0D" w14:textId="77777777" w:rsidR="00536C04" w:rsidRPr="00CB029B" w:rsidRDefault="00536C04" w:rsidP="00177BA7">
      <w:pPr>
        <w:rPr>
          <w:rFonts w:ascii="Palatino Linotype" w:hAnsi="Palatino Linotype"/>
          <w:b/>
          <w:bCs/>
          <w:spacing w:val="40"/>
          <w:sz w:val="28"/>
          <w:szCs w:val="28"/>
        </w:rPr>
      </w:pPr>
    </w:p>
    <w:p w14:paraId="7531711D" w14:textId="77777777" w:rsidR="00756235" w:rsidRPr="006F0A66" w:rsidRDefault="00756235" w:rsidP="00756235">
      <w:pPr>
        <w:spacing w:line="360" w:lineRule="auto"/>
        <w:ind w:right="50"/>
        <w:jc w:val="both"/>
        <w:rPr>
          <w:rFonts w:ascii="Palatino Linotype" w:hAnsi="Palatino Linotype"/>
          <w:b/>
          <w:color w:val="000000" w:themeColor="text1"/>
        </w:rPr>
      </w:pPr>
      <w:r w:rsidRPr="006F0A66">
        <w:rPr>
          <w:rFonts w:ascii="Palatino Linotype" w:hAnsi="Palatino Linotype"/>
          <w:b/>
          <w:color w:val="000000" w:themeColor="text1"/>
          <w:sz w:val="28"/>
          <w:szCs w:val="28"/>
        </w:rPr>
        <w:t>PRIMERO</w:t>
      </w:r>
      <w:r w:rsidRPr="006F0A66">
        <w:rPr>
          <w:rFonts w:ascii="Palatino Linotype" w:hAnsi="Palatino Linotype"/>
          <w:b/>
          <w:color w:val="000000" w:themeColor="text1"/>
        </w:rPr>
        <w:t>.</w:t>
      </w:r>
      <w:r w:rsidRPr="006F0A66">
        <w:rPr>
          <w:rFonts w:ascii="Palatino Linotype" w:hAnsi="Palatino Linotype"/>
          <w:color w:val="000000" w:themeColor="text1"/>
        </w:rPr>
        <w:t xml:space="preserve"> </w:t>
      </w:r>
      <w:r w:rsidRPr="006F0A66">
        <w:rPr>
          <w:rFonts w:ascii="Palatino Linotype" w:hAnsi="Palatino Linotype"/>
          <w:b/>
          <w:color w:val="000000" w:themeColor="text1"/>
        </w:rPr>
        <w:t>Competencia</w:t>
      </w:r>
      <w:r w:rsidRPr="006F0A66">
        <w:rPr>
          <w:rFonts w:ascii="Palatino Linotype" w:hAnsi="Palatino Linotype"/>
          <w:color w:val="000000" w:themeColor="text1"/>
        </w:rPr>
        <w:t>.</w:t>
      </w:r>
      <w:r w:rsidRPr="006F0A66">
        <w:rPr>
          <w:rFonts w:ascii="Palatino Linotype" w:hAnsi="Palatino Linotype"/>
          <w:b/>
          <w:color w:val="000000" w:themeColor="text1"/>
        </w:rPr>
        <w:t xml:space="preserve"> </w:t>
      </w:r>
    </w:p>
    <w:p w14:paraId="04CD4BF7" w14:textId="1B2FFBB2" w:rsidR="00756235" w:rsidRPr="006F0A66" w:rsidRDefault="00756235" w:rsidP="00756235">
      <w:pPr>
        <w:spacing w:line="360" w:lineRule="auto"/>
        <w:ind w:right="50"/>
        <w:jc w:val="both"/>
        <w:rPr>
          <w:rFonts w:ascii="Palatino Linotype" w:hAnsi="Palatino Linotype" w:cs="Arial"/>
          <w:color w:val="000000" w:themeColor="text1"/>
        </w:rPr>
      </w:pPr>
      <w:r w:rsidRPr="006F0A66">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resolver </w:t>
      </w:r>
      <w:r w:rsidR="00025060" w:rsidRPr="006F0A66">
        <w:rPr>
          <w:rFonts w:ascii="Palatino Linotype" w:hAnsi="Palatino Linotype"/>
          <w:color w:val="000000" w:themeColor="text1"/>
        </w:rPr>
        <w:t>los</w:t>
      </w:r>
      <w:r w:rsidRPr="006F0A66">
        <w:rPr>
          <w:rFonts w:ascii="Palatino Linotype" w:hAnsi="Palatino Linotype"/>
          <w:color w:val="000000" w:themeColor="text1"/>
        </w:rPr>
        <w:t xml:space="preserve"> presente</w:t>
      </w:r>
      <w:r w:rsidR="00025060" w:rsidRPr="006F0A66">
        <w:rPr>
          <w:rFonts w:ascii="Palatino Linotype" w:hAnsi="Palatino Linotype"/>
          <w:color w:val="000000" w:themeColor="text1"/>
        </w:rPr>
        <w:t>s</w:t>
      </w:r>
      <w:r w:rsidRPr="006F0A66">
        <w:rPr>
          <w:rFonts w:ascii="Palatino Linotype" w:hAnsi="Palatino Linotype"/>
          <w:color w:val="000000" w:themeColor="text1"/>
        </w:rPr>
        <w:t xml:space="preserve"> </w:t>
      </w:r>
      <w:r w:rsidR="00025060" w:rsidRPr="006F0A66">
        <w:rPr>
          <w:rFonts w:ascii="Palatino Linotype" w:hAnsi="Palatino Linotype"/>
          <w:color w:val="000000" w:themeColor="text1"/>
        </w:rPr>
        <w:t>R</w:t>
      </w:r>
      <w:r w:rsidRPr="006F0A66">
        <w:rPr>
          <w:rFonts w:ascii="Palatino Linotype" w:hAnsi="Palatino Linotype"/>
          <w:color w:val="000000" w:themeColor="text1"/>
        </w:rPr>
        <w:t xml:space="preserve">ecurso de </w:t>
      </w:r>
      <w:r w:rsidR="00025060" w:rsidRPr="006F0A66">
        <w:rPr>
          <w:rFonts w:ascii="Palatino Linotype" w:hAnsi="Palatino Linotype"/>
          <w:color w:val="000000" w:themeColor="text1"/>
        </w:rPr>
        <w:t>R</w:t>
      </w:r>
      <w:r w:rsidRPr="006F0A66">
        <w:rPr>
          <w:rFonts w:ascii="Palatino Linotype" w:hAnsi="Palatino Linotype"/>
          <w:color w:val="000000" w:themeColor="text1"/>
        </w:rPr>
        <w:t xml:space="preserve">evisión, conforme a lo dispuesto en los artículos 6, Apartado </w:t>
      </w:r>
      <w:r w:rsidRPr="006F0A66">
        <w:rPr>
          <w:rFonts w:ascii="Palatino Linotype" w:hAnsi="Palatino Linotype"/>
          <w:color w:val="000000" w:themeColor="text1"/>
        </w:rPr>
        <w:lastRenderedPageBreak/>
        <w:t>A de la Constitución Política de los Estados Unidos Mexicanos; 5, párrafos trigésimo, trigésimo primero y trigésimo segundo,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6F0A66">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3BD56BE8" w14:textId="77777777" w:rsidR="00A818B3" w:rsidRPr="00CB029B" w:rsidRDefault="00A818B3" w:rsidP="00323C71">
      <w:pPr>
        <w:spacing w:line="360" w:lineRule="auto"/>
        <w:jc w:val="both"/>
        <w:rPr>
          <w:rFonts w:ascii="Palatino Linotype" w:hAnsi="Palatino Linotype"/>
          <w:b/>
          <w:color w:val="000000" w:themeColor="text1"/>
          <w:sz w:val="28"/>
          <w:szCs w:val="28"/>
        </w:rPr>
      </w:pPr>
    </w:p>
    <w:p w14:paraId="1C2D846F" w14:textId="77777777" w:rsidR="00756235" w:rsidRPr="006F0A66" w:rsidRDefault="00756235" w:rsidP="00756235">
      <w:pPr>
        <w:spacing w:line="360" w:lineRule="auto"/>
        <w:jc w:val="both"/>
        <w:rPr>
          <w:rFonts w:ascii="Palatino Linotype" w:hAnsi="Palatino Linotype" w:cs="Arial"/>
          <w:b/>
          <w:color w:val="000000" w:themeColor="text1"/>
        </w:rPr>
      </w:pPr>
      <w:r w:rsidRPr="006F0A66">
        <w:rPr>
          <w:rFonts w:ascii="Palatino Linotype" w:hAnsi="Palatino Linotype" w:cs="Arial"/>
          <w:b/>
          <w:color w:val="000000" w:themeColor="text1"/>
          <w:sz w:val="28"/>
        </w:rPr>
        <w:t>SEGUNDO</w:t>
      </w:r>
      <w:r w:rsidRPr="006F0A66">
        <w:rPr>
          <w:rFonts w:ascii="Palatino Linotype" w:hAnsi="Palatino Linotype" w:cs="Arial"/>
          <w:b/>
          <w:color w:val="000000" w:themeColor="text1"/>
        </w:rPr>
        <w:t xml:space="preserve">. Interés. </w:t>
      </w:r>
    </w:p>
    <w:p w14:paraId="204DEEDD" w14:textId="29C4C1D1" w:rsidR="00C83CB6" w:rsidRPr="006F0A66" w:rsidRDefault="00D67E07" w:rsidP="00C83CB6">
      <w:pPr>
        <w:spacing w:line="360" w:lineRule="auto"/>
        <w:jc w:val="both"/>
        <w:rPr>
          <w:rFonts w:ascii="Palatino Linotype" w:hAnsi="Palatino Linotype" w:cs="Arial"/>
          <w:b/>
          <w:bCs/>
          <w:color w:val="000000" w:themeColor="text1"/>
        </w:rPr>
      </w:pPr>
      <w:r>
        <w:rPr>
          <w:rFonts w:ascii="Palatino Linotype" w:hAnsi="Palatino Linotype" w:cs="Arial"/>
          <w:bCs/>
          <w:color w:val="000000" w:themeColor="text1"/>
        </w:rPr>
        <w:t>El</w:t>
      </w:r>
      <w:r w:rsidR="00756235" w:rsidRPr="006F0A66">
        <w:rPr>
          <w:rFonts w:ascii="Palatino Linotype" w:hAnsi="Palatino Linotype" w:cs="Arial"/>
          <w:bCs/>
          <w:color w:val="000000" w:themeColor="text1"/>
        </w:rPr>
        <w:t xml:space="preserve"> </w:t>
      </w:r>
      <w:r w:rsidR="005E17B7" w:rsidRPr="006F0A66">
        <w:rPr>
          <w:rFonts w:ascii="Palatino Linotype" w:hAnsi="Palatino Linotype" w:cs="Arial"/>
          <w:bCs/>
          <w:color w:val="000000" w:themeColor="text1"/>
        </w:rPr>
        <w:t>R</w:t>
      </w:r>
      <w:r>
        <w:rPr>
          <w:rFonts w:ascii="Palatino Linotype" w:hAnsi="Palatino Linotype" w:cs="Arial"/>
          <w:bCs/>
          <w:color w:val="000000" w:themeColor="text1"/>
        </w:rPr>
        <w:t>ecurso</w:t>
      </w:r>
      <w:r w:rsidR="00756235" w:rsidRPr="006F0A66">
        <w:rPr>
          <w:rFonts w:ascii="Palatino Linotype" w:hAnsi="Palatino Linotype" w:cs="Arial"/>
          <w:bCs/>
          <w:color w:val="000000" w:themeColor="text1"/>
        </w:rPr>
        <w:t xml:space="preserve"> de </w:t>
      </w:r>
      <w:r w:rsidR="005E17B7" w:rsidRPr="006F0A66">
        <w:rPr>
          <w:rFonts w:ascii="Palatino Linotype" w:hAnsi="Palatino Linotype" w:cs="Arial"/>
          <w:bCs/>
          <w:color w:val="000000" w:themeColor="text1"/>
        </w:rPr>
        <w:t>R</w:t>
      </w:r>
      <w:r w:rsidR="00756235" w:rsidRPr="006F0A66">
        <w:rPr>
          <w:rFonts w:ascii="Palatino Linotype" w:hAnsi="Palatino Linotype" w:cs="Arial"/>
          <w:bCs/>
          <w:color w:val="000000" w:themeColor="text1"/>
        </w:rPr>
        <w:t>evisión</w:t>
      </w:r>
      <w:r w:rsidR="005F5D50" w:rsidRPr="006F0A66">
        <w:rPr>
          <w:rFonts w:ascii="Palatino Linotype" w:hAnsi="Palatino Linotype" w:cs="Arial"/>
          <w:bCs/>
          <w:color w:val="000000" w:themeColor="text1"/>
        </w:rPr>
        <w:t xml:space="preserve"> materia del presente estudio</w:t>
      </w:r>
      <w:r>
        <w:rPr>
          <w:rFonts w:ascii="Palatino Linotype" w:hAnsi="Palatino Linotype" w:cs="Arial"/>
          <w:bCs/>
          <w:color w:val="000000" w:themeColor="text1"/>
        </w:rPr>
        <w:t xml:space="preserve"> fue interpuesto</w:t>
      </w:r>
      <w:r w:rsidR="00756235" w:rsidRPr="006F0A66">
        <w:rPr>
          <w:rFonts w:ascii="Palatino Linotype" w:hAnsi="Palatino Linotype" w:cs="Arial"/>
          <w:bCs/>
          <w:color w:val="000000" w:themeColor="text1"/>
        </w:rPr>
        <w:t xml:space="preserve"> por parte legítima, en atención a que se presentó por </w:t>
      </w:r>
      <w:r w:rsidR="00756235" w:rsidRPr="006F0A66">
        <w:rPr>
          <w:rFonts w:ascii="Palatino Linotype" w:hAnsi="Palatino Linotype" w:cs="Arial"/>
          <w:b/>
          <w:color w:val="000000" w:themeColor="text1"/>
        </w:rPr>
        <w:t>EL</w:t>
      </w:r>
      <w:r w:rsidR="00756235" w:rsidRPr="006F0A66">
        <w:rPr>
          <w:rFonts w:ascii="Palatino Linotype" w:hAnsi="Palatino Linotype" w:cs="Arial"/>
          <w:b/>
          <w:bCs/>
          <w:color w:val="000000" w:themeColor="text1"/>
        </w:rPr>
        <w:t xml:space="preserve"> RECURRENTE,</w:t>
      </w:r>
      <w:r w:rsidR="00756235" w:rsidRPr="006F0A66">
        <w:rPr>
          <w:rFonts w:ascii="Palatino Linotype" w:hAnsi="Palatino Linotype" w:cs="Arial"/>
          <w:bCs/>
          <w:color w:val="000000" w:themeColor="text1"/>
        </w:rPr>
        <w:t xml:space="preserve"> quien es la misma persona que formuló la solicitud de acceso a la información pública al </w:t>
      </w:r>
      <w:r w:rsidR="00756235" w:rsidRPr="006F0A66">
        <w:rPr>
          <w:rFonts w:ascii="Palatino Linotype" w:hAnsi="Palatino Linotype" w:cs="Arial"/>
          <w:b/>
          <w:bCs/>
          <w:color w:val="000000" w:themeColor="text1"/>
        </w:rPr>
        <w:t>SUJETO OBLIGADO</w:t>
      </w:r>
      <w:r w:rsidR="00C83CB6" w:rsidRPr="006F0A66">
        <w:rPr>
          <w:rFonts w:ascii="Palatino Linotype" w:hAnsi="Palatino Linotype" w:cs="Arial"/>
          <w:b/>
          <w:bCs/>
          <w:color w:val="000000" w:themeColor="text1"/>
        </w:rPr>
        <w:t xml:space="preserve">, </w:t>
      </w:r>
      <w:r w:rsidR="00C83CB6" w:rsidRPr="006F0A66">
        <w:rPr>
          <w:rFonts w:ascii="Palatino Linotype" w:hAnsi="Palatino Linotype" w:cs="Arial"/>
          <w:bCs/>
          <w:color w:val="000000" w:themeColor="text1"/>
        </w:rPr>
        <w:t xml:space="preserve">pues para ello, es </w:t>
      </w:r>
      <w:r w:rsidR="00C83CB6" w:rsidRPr="006F0A66">
        <w:rPr>
          <w:rFonts w:ascii="Palatino Linotype" w:hAnsi="Palatino Linotype" w:cs="Arial"/>
          <w:color w:val="000000"/>
          <w:lang w:eastAsia="es-MX"/>
        </w:rPr>
        <w:t xml:space="preserve">necesario que el particular ingrese al </w:t>
      </w:r>
      <w:r w:rsidR="00C83CB6" w:rsidRPr="006F0A66">
        <w:rPr>
          <w:rFonts w:ascii="Palatino Linotype" w:hAnsi="Palatino Linotype" w:cs="Arial"/>
          <w:b/>
          <w:color w:val="000000"/>
          <w:lang w:eastAsia="es-MX"/>
        </w:rPr>
        <w:t xml:space="preserve">SAIMEX </w:t>
      </w:r>
      <w:r w:rsidR="00C83CB6" w:rsidRPr="006F0A66">
        <w:rPr>
          <w:rFonts w:ascii="Palatino Linotype" w:hAnsi="Palatino Linotype" w:cs="Arial"/>
          <w:color w:val="000000"/>
          <w:lang w:eastAsia="es-MX"/>
        </w:rPr>
        <w:t>mediante la utilización de su clave de usuario y contraseña.</w:t>
      </w:r>
    </w:p>
    <w:p w14:paraId="41F46396" w14:textId="20C55804" w:rsidR="00CB029B" w:rsidRDefault="00CB029B" w:rsidP="00323C71">
      <w:pPr>
        <w:spacing w:line="360" w:lineRule="auto"/>
        <w:jc w:val="both"/>
        <w:rPr>
          <w:rFonts w:ascii="Palatino Linotype" w:hAnsi="Palatino Linotype" w:cs="Arial"/>
          <w:b/>
          <w:color w:val="000000" w:themeColor="text1"/>
          <w:sz w:val="28"/>
          <w:szCs w:val="28"/>
        </w:rPr>
      </w:pPr>
    </w:p>
    <w:p w14:paraId="27798468" w14:textId="77777777" w:rsidR="00756235" w:rsidRPr="006F0A66" w:rsidRDefault="00756235" w:rsidP="00756235">
      <w:pPr>
        <w:autoSpaceDE w:val="0"/>
        <w:autoSpaceDN w:val="0"/>
        <w:adjustRightInd w:val="0"/>
        <w:spacing w:line="360" w:lineRule="auto"/>
        <w:ind w:right="49"/>
        <w:jc w:val="both"/>
        <w:rPr>
          <w:rFonts w:ascii="Palatino Linotype" w:hAnsi="Palatino Linotype" w:cs="Arial"/>
          <w:b/>
          <w:color w:val="000000" w:themeColor="text1"/>
          <w:lang w:val="es-ES"/>
        </w:rPr>
      </w:pPr>
      <w:r w:rsidRPr="006F0A66">
        <w:rPr>
          <w:rFonts w:ascii="Palatino Linotype" w:hAnsi="Palatino Linotype" w:cs="Arial"/>
          <w:b/>
          <w:color w:val="000000" w:themeColor="text1"/>
          <w:sz w:val="28"/>
          <w:szCs w:val="28"/>
        </w:rPr>
        <w:t xml:space="preserve">TERCERO. </w:t>
      </w:r>
      <w:r w:rsidRPr="006F0A66">
        <w:rPr>
          <w:rFonts w:ascii="Palatino Linotype" w:hAnsi="Palatino Linotype" w:cs="Arial"/>
          <w:b/>
          <w:color w:val="000000" w:themeColor="text1"/>
          <w:lang w:val="es-ES"/>
        </w:rPr>
        <w:t xml:space="preserve">Oportunidad. </w:t>
      </w:r>
    </w:p>
    <w:p w14:paraId="7C75D1BE" w14:textId="201EC883" w:rsidR="00E82A21" w:rsidRPr="00B730CD" w:rsidRDefault="00D67E07" w:rsidP="00E82A21">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Pr>
          <w:rFonts w:ascii="Palatino Linotype" w:hAnsi="Palatino Linotype" w:cs="Arial"/>
        </w:rPr>
        <w:t>El Recursos de Revisión fue</w:t>
      </w:r>
      <w:r w:rsidR="00E82A21">
        <w:rPr>
          <w:rFonts w:ascii="Palatino Linotype" w:hAnsi="Palatino Linotype" w:cs="Arial"/>
        </w:rPr>
        <w:t xml:space="preserve"> </w:t>
      </w:r>
      <w:r w:rsidR="00E82A21" w:rsidRPr="00B730CD">
        <w:rPr>
          <w:rFonts w:ascii="Palatino Linotype" w:hAnsi="Palatino Linotype" w:cs="Arial"/>
        </w:rPr>
        <w:t xml:space="preserve">interpuesto dentro del plazo de quince días hábiles, contados a partir del día siguiente en que </w:t>
      </w:r>
      <w:r w:rsidR="00E82A21">
        <w:rPr>
          <w:rFonts w:ascii="Palatino Linotype" w:hAnsi="Palatino Linotype" w:cs="Arial"/>
          <w:b/>
        </w:rPr>
        <w:t>EL</w:t>
      </w:r>
      <w:r w:rsidR="00E82A21" w:rsidRPr="00B730CD">
        <w:rPr>
          <w:rFonts w:ascii="Palatino Linotype" w:hAnsi="Palatino Linotype" w:cs="Arial"/>
          <w:b/>
        </w:rPr>
        <w:t xml:space="preserve"> RECURRENTE </w:t>
      </w:r>
      <w:r w:rsidR="00E82A21" w:rsidRPr="00B730CD">
        <w:rPr>
          <w:rFonts w:ascii="Palatino Linotype" w:hAnsi="Palatino Linotype" w:cs="Arial"/>
        </w:rPr>
        <w:t xml:space="preserve">tuvo conocimiento de la respuesta impugnada; tal y como, lo prevé el artículo 178 de la Ley de Transparencia y </w:t>
      </w:r>
      <w:r w:rsidR="00E82A21">
        <w:rPr>
          <w:rFonts w:ascii="Palatino Linotype" w:hAnsi="Palatino Linotype" w:cs="Arial"/>
        </w:rPr>
        <w:t>Acceso a la Información Pública</w:t>
      </w:r>
      <w:r w:rsidR="00E82A21" w:rsidRPr="00B730CD">
        <w:rPr>
          <w:rFonts w:ascii="Palatino Linotype" w:hAnsi="Palatino Linotype" w:cs="Arial"/>
        </w:rPr>
        <w:t xml:space="preserve"> del Estado de México y Municipios, que establece:</w:t>
      </w:r>
    </w:p>
    <w:p w14:paraId="4EFC5F55" w14:textId="77777777" w:rsidR="00E82A21" w:rsidRPr="00E82A21" w:rsidRDefault="00E82A21" w:rsidP="00E82A21">
      <w:pPr>
        <w:ind w:left="851" w:right="901"/>
        <w:jc w:val="both"/>
        <w:rPr>
          <w:rFonts w:ascii="Palatino Linotype" w:hAnsi="Palatino Linotype" w:cs="Arial"/>
          <w:i/>
          <w:sz w:val="22"/>
          <w:szCs w:val="22"/>
          <w:lang w:eastAsia="es-MX"/>
        </w:rPr>
      </w:pPr>
      <w:r w:rsidRPr="00E82A21">
        <w:rPr>
          <w:rFonts w:ascii="Palatino Linotype" w:hAnsi="Palatino Linotype" w:cs="Arial"/>
          <w:i/>
          <w:sz w:val="22"/>
          <w:szCs w:val="22"/>
          <w:lang w:eastAsia="es-MX"/>
        </w:rPr>
        <w:t>“</w:t>
      </w:r>
      <w:r w:rsidRPr="00E82A21">
        <w:rPr>
          <w:rFonts w:ascii="Palatino Linotype" w:hAnsi="Palatino Linotype" w:cs="Arial"/>
          <w:b/>
          <w:i/>
          <w:sz w:val="22"/>
          <w:szCs w:val="22"/>
          <w:lang w:eastAsia="es-MX"/>
        </w:rPr>
        <w:t>Artículo 178</w:t>
      </w:r>
      <w:r w:rsidRPr="00E82A21">
        <w:rPr>
          <w:rFonts w:ascii="Palatino Linotype" w:hAnsi="Palatino Linotype" w:cs="Arial"/>
          <w:i/>
          <w:sz w:val="22"/>
          <w:szCs w:val="22"/>
          <w:lang w:eastAsia="es-MX"/>
        </w:rPr>
        <w:t xml:space="preserve">. El solicitante podrá interponer, por sí mismo o a través de su representante, de manera directa o por medios electrónicos, Recursos de Revisión  ante </w:t>
      </w:r>
      <w:r w:rsidRPr="00E82A21">
        <w:rPr>
          <w:rFonts w:ascii="Palatino Linotype" w:hAnsi="Palatino Linotype" w:cs="Arial"/>
          <w:i/>
          <w:sz w:val="22"/>
          <w:szCs w:val="22"/>
          <w:lang w:eastAsia="es-MX"/>
        </w:rPr>
        <w:lastRenderedPageBreak/>
        <w:t xml:space="preserve">el Instituto o ante la Unidad de Transparencia que haya conocido de la solicitud dentro de los quince días hábiles, siguientes a la fecha de la notificación de la respuesta. </w:t>
      </w:r>
    </w:p>
    <w:p w14:paraId="42E21CB7" w14:textId="77777777" w:rsidR="00E82A21" w:rsidRPr="00E82A21" w:rsidRDefault="00E82A21" w:rsidP="00E82A21">
      <w:pPr>
        <w:ind w:left="851" w:right="901"/>
        <w:jc w:val="both"/>
        <w:rPr>
          <w:rFonts w:ascii="Palatino Linotype" w:hAnsi="Palatino Linotype" w:cs="Arial"/>
          <w:i/>
          <w:sz w:val="22"/>
          <w:szCs w:val="22"/>
          <w:lang w:eastAsia="es-MX"/>
        </w:rPr>
      </w:pPr>
    </w:p>
    <w:p w14:paraId="77747457" w14:textId="77777777" w:rsidR="00E82A21" w:rsidRPr="00E82A21" w:rsidRDefault="00E82A21" w:rsidP="00E82A21">
      <w:pPr>
        <w:ind w:left="851" w:right="901"/>
        <w:jc w:val="both"/>
        <w:rPr>
          <w:rFonts w:ascii="Palatino Linotype" w:hAnsi="Palatino Linotype" w:cs="Arial"/>
          <w:i/>
          <w:sz w:val="22"/>
          <w:szCs w:val="22"/>
          <w:lang w:eastAsia="es-MX"/>
        </w:rPr>
      </w:pPr>
      <w:r w:rsidRPr="00E82A21">
        <w:rPr>
          <w:rFonts w:ascii="Palatino Linotype" w:hAnsi="Palatino Linotype" w:cs="Arial"/>
          <w:i/>
          <w:sz w:val="22"/>
          <w:szCs w:val="22"/>
          <w:lang w:eastAsia="es-MX"/>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9A021F8" w14:textId="77777777" w:rsidR="00E82A21" w:rsidRPr="00E82A21" w:rsidRDefault="00E82A21" w:rsidP="00E82A21">
      <w:pPr>
        <w:ind w:left="851" w:right="901"/>
        <w:jc w:val="both"/>
        <w:rPr>
          <w:rFonts w:ascii="Palatino Linotype" w:hAnsi="Palatino Linotype" w:cs="Arial"/>
          <w:i/>
          <w:sz w:val="22"/>
          <w:szCs w:val="22"/>
          <w:lang w:eastAsia="es-MX"/>
        </w:rPr>
      </w:pPr>
    </w:p>
    <w:p w14:paraId="1F440462" w14:textId="77777777" w:rsidR="00E82A21" w:rsidRDefault="00E82A21" w:rsidP="00E82A21">
      <w:pPr>
        <w:ind w:left="851" w:right="901"/>
        <w:jc w:val="both"/>
        <w:rPr>
          <w:rFonts w:ascii="Palatino Linotype" w:hAnsi="Palatino Linotype"/>
          <w:i/>
          <w:sz w:val="22"/>
          <w:szCs w:val="22"/>
        </w:rPr>
      </w:pPr>
      <w:r w:rsidRPr="00E82A21">
        <w:rPr>
          <w:rFonts w:ascii="Palatino Linotype" w:hAnsi="Palatino Linotype" w:cs="Arial"/>
          <w:i/>
          <w:sz w:val="22"/>
          <w:szCs w:val="22"/>
          <w:lang w:eastAsia="es-MX"/>
        </w:rPr>
        <w:t>En el caso de que se interponga ante la Unidad de Transparencia, ésta deberá remitir el Recursos de Revisión  al Instituto a más tardar al día siguiente de haberlo recibido”</w:t>
      </w:r>
      <w:r w:rsidRPr="00E82A21">
        <w:rPr>
          <w:rFonts w:ascii="Palatino Linotype" w:hAnsi="Palatino Linotype"/>
          <w:i/>
          <w:sz w:val="22"/>
          <w:szCs w:val="22"/>
        </w:rPr>
        <w:t xml:space="preserve"> (Sic)</w:t>
      </w:r>
    </w:p>
    <w:p w14:paraId="2E8C8826" w14:textId="77777777" w:rsidR="00E82A21" w:rsidRPr="00E82A21" w:rsidRDefault="00E82A21" w:rsidP="00E82A21">
      <w:pPr>
        <w:ind w:left="851" w:right="901"/>
        <w:jc w:val="both"/>
        <w:rPr>
          <w:rFonts w:ascii="Palatino Linotype" w:hAnsi="Palatino Linotype"/>
          <w:i/>
          <w:sz w:val="22"/>
          <w:szCs w:val="22"/>
        </w:rPr>
      </w:pPr>
    </w:p>
    <w:p w14:paraId="479CBB56" w14:textId="75341A6D" w:rsidR="00163B61" w:rsidRPr="00CB2BA6" w:rsidRDefault="00E82A21" w:rsidP="00E82A21">
      <w:pPr>
        <w:spacing w:line="360" w:lineRule="auto"/>
        <w:jc w:val="both"/>
        <w:rPr>
          <w:rFonts w:ascii="Palatino Linotype" w:hAnsi="Palatino Linotype" w:cs="Arial"/>
        </w:rPr>
      </w:pPr>
      <w:r w:rsidRPr="0095221C">
        <w:rPr>
          <w:rFonts w:ascii="Palatino Linotype" w:hAnsi="Palatino Linotype" w:cs="Arial"/>
        </w:rPr>
        <w:t xml:space="preserve">En esa tesitura, atendiendo a que </w:t>
      </w:r>
      <w:r w:rsidRPr="003F4B91">
        <w:rPr>
          <w:rFonts w:ascii="Palatino Linotype" w:hAnsi="Palatino Linotype" w:cs="Arial"/>
          <w:b/>
        </w:rPr>
        <w:t>EL SUJETO OBLIGADO</w:t>
      </w:r>
      <w:r w:rsidRPr="0095221C">
        <w:rPr>
          <w:rFonts w:ascii="Palatino Linotype" w:hAnsi="Palatino Linotype" w:cs="Arial"/>
        </w:rPr>
        <w:t xml:space="preserve"> notificó la respuesta a la solicitud de Acceso a la Información Pública </w:t>
      </w:r>
      <w:r w:rsidR="00974451">
        <w:rPr>
          <w:rFonts w:ascii="Palatino Linotype" w:hAnsi="Palatino Linotype" w:cs="Arial"/>
        </w:rPr>
        <w:t>el</w:t>
      </w:r>
      <w:r>
        <w:rPr>
          <w:rFonts w:ascii="Palatino Linotype" w:hAnsi="Palatino Linotype" w:cs="Arial"/>
        </w:rPr>
        <w:t xml:space="preserve"> </w:t>
      </w:r>
      <w:r w:rsidR="00687B33">
        <w:rPr>
          <w:rFonts w:ascii="Palatino Linotype" w:hAnsi="Palatino Linotype" w:cs="Arial"/>
          <w:b/>
        </w:rPr>
        <w:t>veintiséis de agosto</w:t>
      </w:r>
      <w:r w:rsidR="00D67E07">
        <w:rPr>
          <w:rFonts w:ascii="Palatino Linotype" w:hAnsi="Palatino Linotype" w:cs="Arial"/>
          <w:b/>
        </w:rPr>
        <w:t xml:space="preserve"> </w:t>
      </w:r>
      <w:r w:rsidRPr="00E82A21">
        <w:rPr>
          <w:rFonts w:ascii="Palatino Linotype" w:hAnsi="Palatino Linotype" w:cs="Arial"/>
          <w:b/>
        </w:rPr>
        <w:t>de dos mil veintidós</w:t>
      </w:r>
      <w:r w:rsidR="00A34CE4">
        <w:rPr>
          <w:rFonts w:ascii="Palatino Linotype" w:hAnsi="Palatino Linotype" w:cs="Arial"/>
        </w:rPr>
        <w:t xml:space="preserve">; </w:t>
      </w:r>
      <w:r w:rsidRPr="0095221C">
        <w:rPr>
          <w:rFonts w:ascii="Palatino Linotype" w:hAnsi="Palatino Linotype" w:cs="Arial"/>
        </w:rPr>
        <w:t>el plazo de quince días hábiles que el artículo 178 d</w:t>
      </w:r>
      <w:r w:rsidR="009D09B7">
        <w:rPr>
          <w:rFonts w:ascii="Palatino Linotype" w:hAnsi="Palatino Linotype" w:cs="Arial"/>
        </w:rPr>
        <w:t>e la Ley de la materia otorga a</w:t>
      </w:r>
      <w:r w:rsidRPr="0095221C">
        <w:rPr>
          <w:rFonts w:ascii="Palatino Linotype" w:hAnsi="Palatino Linotype" w:cs="Arial"/>
        </w:rPr>
        <w:t xml:space="preserve"> </w:t>
      </w:r>
      <w:r w:rsidR="00A34CE4">
        <w:rPr>
          <w:rFonts w:ascii="Palatino Linotype" w:hAnsi="Palatino Linotype" w:cs="Arial"/>
          <w:b/>
        </w:rPr>
        <w:t>EL RECURRENTE</w:t>
      </w:r>
      <w:r w:rsidR="00A34CE4" w:rsidRPr="0095221C">
        <w:rPr>
          <w:rFonts w:ascii="Palatino Linotype" w:hAnsi="Palatino Linotype" w:cs="Arial"/>
        </w:rPr>
        <w:t xml:space="preserve"> </w:t>
      </w:r>
      <w:r w:rsidRPr="0095221C">
        <w:rPr>
          <w:rFonts w:ascii="Palatino Linotype" w:hAnsi="Palatino Linotype" w:cs="Arial"/>
        </w:rPr>
        <w:t xml:space="preserve">para presentar </w:t>
      </w:r>
      <w:r w:rsidR="00A34CE4">
        <w:rPr>
          <w:rFonts w:ascii="Palatino Linotype" w:hAnsi="Palatino Linotype" w:cs="Arial"/>
        </w:rPr>
        <w:t>el</w:t>
      </w:r>
      <w:r>
        <w:rPr>
          <w:rFonts w:ascii="Palatino Linotype" w:hAnsi="Palatino Linotype" w:cs="Arial"/>
        </w:rPr>
        <w:t xml:space="preserve"> Recurso de Revisión</w:t>
      </w:r>
      <w:r w:rsidRPr="0095221C">
        <w:rPr>
          <w:rFonts w:ascii="Palatino Linotype" w:hAnsi="Palatino Linotype" w:cs="Arial"/>
        </w:rPr>
        <w:t xml:space="preserve">, transcurrió del </w:t>
      </w:r>
      <w:r w:rsidR="00CB2BA6" w:rsidRPr="00CB2BA6">
        <w:rPr>
          <w:rFonts w:ascii="Palatino Linotype" w:hAnsi="Palatino Linotype" w:cs="Arial"/>
          <w:b/>
        </w:rPr>
        <w:t>veintinueve</w:t>
      </w:r>
      <w:r w:rsidR="00CB2BA6">
        <w:rPr>
          <w:rFonts w:ascii="Palatino Linotype" w:hAnsi="Palatino Linotype" w:cs="Arial"/>
        </w:rPr>
        <w:t xml:space="preserve"> </w:t>
      </w:r>
      <w:r w:rsidR="00CB2BA6" w:rsidRPr="00CB2BA6">
        <w:rPr>
          <w:rFonts w:ascii="Palatino Linotype" w:hAnsi="Palatino Linotype" w:cs="Arial"/>
          <w:b/>
        </w:rPr>
        <w:t>de agosto</w:t>
      </w:r>
      <w:r w:rsidR="00CB2BA6">
        <w:rPr>
          <w:rFonts w:ascii="Palatino Linotype" w:hAnsi="Palatino Linotype" w:cs="Arial"/>
        </w:rPr>
        <w:t xml:space="preserve"> </w:t>
      </w:r>
      <w:r w:rsidR="00974451">
        <w:rPr>
          <w:rFonts w:ascii="Palatino Linotype" w:hAnsi="Palatino Linotype" w:cs="Arial"/>
          <w:b/>
        </w:rPr>
        <w:t xml:space="preserve">al </w:t>
      </w:r>
      <w:r w:rsidR="00CB2BA6">
        <w:rPr>
          <w:rFonts w:ascii="Palatino Linotype" w:hAnsi="Palatino Linotype" w:cs="Arial"/>
          <w:b/>
        </w:rPr>
        <w:t>diecinueve de septiembre</w:t>
      </w:r>
      <w:r w:rsidRPr="00A818B3">
        <w:rPr>
          <w:rFonts w:ascii="Palatino Linotype" w:hAnsi="Palatino Linotype" w:cs="Arial"/>
          <w:b/>
        </w:rPr>
        <w:t xml:space="preserve"> de dos mil veintidós</w:t>
      </w:r>
      <w:r w:rsidRPr="0095221C">
        <w:rPr>
          <w:rFonts w:ascii="Palatino Linotype" w:hAnsi="Palatino Linotype" w:cs="Arial"/>
        </w:rPr>
        <w:t xml:space="preserve">, sin contemplar en el cómputo los </w:t>
      </w:r>
      <w:r>
        <w:rPr>
          <w:rFonts w:ascii="Palatino Linotype" w:hAnsi="Palatino Linotype" w:cs="Arial"/>
        </w:rPr>
        <w:t xml:space="preserve">días </w:t>
      </w:r>
      <w:r w:rsidR="00CB2BA6">
        <w:rPr>
          <w:rFonts w:ascii="Palatino Linotype" w:hAnsi="Palatino Linotype" w:cs="Arial"/>
        </w:rPr>
        <w:t>vein</w:t>
      </w:r>
      <w:r w:rsidR="001020CD">
        <w:rPr>
          <w:rFonts w:ascii="Palatino Linotype" w:hAnsi="Palatino Linotype" w:cs="Arial"/>
        </w:rPr>
        <w:t>tisiete y veintiocho de agosto,</w:t>
      </w:r>
      <w:r w:rsidR="00CB2BA6">
        <w:rPr>
          <w:rFonts w:ascii="Palatino Linotype" w:hAnsi="Palatino Linotype" w:cs="Arial"/>
        </w:rPr>
        <w:t xml:space="preserve"> tres, cuatro, diez, once, diecisiete y dieciocho de septiembre de dos mil veintidós, </w:t>
      </w:r>
      <w:r w:rsidRPr="0095221C">
        <w:rPr>
          <w:rFonts w:ascii="Palatino Linotype" w:hAnsi="Palatino Linotype" w:cs="Arial"/>
        </w:rPr>
        <w:t>por corresponder a sábados y domingos, considerados como días inhábiles, en términos del artículo 3, fracción X de la Ley de Transparencia y Acceso a la Información Pública del Estado de M</w:t>
      </w:r>
      <w:r>
        <w:rPr>
          <w:rFonts w:ascii="Palatino Linotype" w:hAnsi="Palatino Linotype" w:cs="Arial"/>
        </w:rPr>
        <w:t xml:space="preserve">éxico y Municipios; así como, el </w:t>
      </w:r>
      <w:r w:rsidRPr="0095221C">
        <w:rPr>
          <w:rFonts w:ascii="Palatino Linotype" w:hAnsi="Palatino Linotype" w:cs="Arial"/>
        </w:rPr>
        <w:t xml:space="preserve">día </w:t>
      </w:r>
      <w:r w:rsidR="00A34CE4">
        <w:rPr>
          <w:rFonts w:ascii="Palatino Linotype" w:hAnsi="Palatino Linotype" w:cs="Arial"/>
        </w:rPr>
        <w:t>veintiuno</w:t>
      </w:r>
      <w:r>
        <w:rPr>
          <w:rFonts w:ascii="Palatino Linotype" w:hAnsi="Palatino Linotype" w:cs="Arial"/>
        </w:rPr>
        <w:t>, de marzo</w:t>
      </w:r>
      <w:r w:rsidRPr="0095221C">
        <w:rPr>
          <w:rFonts w:ascii="Palatino Linotype" w:hAnsi="Palatino Linotype" w:cs="Arial"/>
        </w:rPr>
        <w:t xml:space="preserve"> de dos mil veintidós</w:t>
      </w:r>
      <w:r>
        <w:rPr>
          <w:rFonts w:ascii="Palatino Linotype" w:hAnsi="Palatino Linotype" w:cs="Arial"/>
        </w:rPr>
        <w:t>,</w:t>
      </w:r>
      <w:r w:rsidRPr="00ED592C">
        <w:rPr>
          <w:rFonts w:ascii="Palatino Linotype" w:eastAsia="Palatino Linotype" w:hAnsi="Palatino Linotype" w:cs="Palatino Linotype"/>
          <w:color w:val="000000"/>
        </w:rPr>
        <w:t xml:space="preserve"> </w:t>
      </w:r>
      <w:r w:rsidRPr="00FB7305">
        <w:rPr>
          <w:rFonts w:ascii="Palatino Linotype" w:eastAsia="Palatino Linotype" w:hAnsi="Palatino Linotype" w:cs="Palatino Linotype"/>
          <w:color w:val="000000"/>
        </w:rPr>
        <w:t>por ser considerado como día inhábil por suspensión de labores en términos del Calendario Oficial en Materia de Transparencia, Acceso a la Información Pública y Protección de Datos Personales del Estado de México y Municipios, así como de labores del Instituto para el año dos mil veintidós y enero de dos mil veintitrés, publicado en el Periódico Oficial “Gaceta del Gobierno”, el veintidós de diciembre de dos mil veintiuno.</w:t>
      </w:r>
      <w:r>
        <w:rPr>
          <w:rFonts w:ascii="Palatino Linotype" w:eastAsia="Palatino Linotype" w:hAnsi="Palatino Linotype" w:cs="Palatino Linotype"/>
          <w:color w:val="000000"/>
        </w:rPr>
        <w:t xml:space="preserve"> </w:t>
      </w:r>
    </w:p>
    <w:p w14:paraId="39A6DE09" w14:textId="77777777" w:rsidR="00163B61" w:rsidRDefault="00163B61" w:rsidP="00E82A21">
      <w:pPr>
        <w:spacing w:line="360" w:lineRule="auto"/>
        <w:jc w:val="both"/>
        <w:rPr>
          <w:rFonts w:ascii="Palatino Linotype" w:eastAsia="Palatino Linotype" w:hAnsi="Palatino Linotype" w:cs="Palatino Linotype"/>
          <w:color w:val="000000"/>
        </w:rPr>
      </w:pPr>
    </w:p>
    <w:p w14:paraId="32B4E7F6" w14:textId="56F9FD06" w:rsidR="00756235" w:rsidRPr="006F0A66" w:rsidRDefault="00E82A21" w:rsidP="00E82A21">
      <w:pPr>
        <w:spacing w:line="360" w:lineRule="auto"/>
        <w:jc w:val="both"/>
        <w:rPr>
          <w:rFonts w:ascii="Palatino Linotype" w:hAnsi="Palatino Linotype" w:cs="Arial"/>
          <w:color w:val="000000" w:themeColor="text1"/>
          <w:lang w:val="es-ES"/>
        </w:rPr>
      </w:pPr>
      <w:r w:rsidRPr="0095221C">
        <w:rPr>
          <w:rFonts w:ascii="Palatino Linotype" w:hAnsi="Palatino Linotype" w:cs="Arial"/>
        </w:rPr>
        <w:lastRenderedPageBreak/>
        <w:t xml:space="preserve">Por tanto, si </w:t>
      </w:r>
      <w:r w:rsidR="00A34CE4">
        <w:rPr>
          <w:rFonts w:ascii="Palatino Linotype" w:hAnsi="Palatino Linotype" w:cs="Arial"/>
        </w:rPr>
        <w:t xml:space="preserve">el Recurso de Revisión </w:t>
      </w:r>
      <w:r w:rsidR="00CB2BA6">
        <w:rPr>
          <w:rFonts w:ascii="Palatino Linotype" w:hAnsi="Palatino Linotype" w:cs="Arial"/>
        </w:rPr>
        <w:t>materia del presente estudio</w:t>
      </w:r>
      <w:r w:rsidRPr="0095221C">
        <w:rPr>
          <w:rFonts w:ascii="Palatino Linotype" w:hAnsi="Palatino Linotype" w:cs="Arial"/>
        </w:rPr>
        <w:t>,</w:t>
      </w:r>
      <w:r w:rsidR="00CB2BA6">
        <w:rPr>
          <w:rFonts w:ascii="Palatino Linotype" w:hAnsi="Palatino Linotype" w:cs="Arial"/>
        </w:rPr>
        <w:t xml:space="preserve"> fue interpuesto el </w:t>
      </w:r>
      <w:r w:rsidRPr="0095221C">
        <w:rPr>
          <w:rFonts w:ascii="Palatino Linotype" w:hAnsi="Palatino Linotype" w:cs="Arial"/>
        </w:rPr>
        <w:t xml:space="preserve"> </w:t>
      </w:r>
      <w:r w:rsidR="009F0E3E">
        <w:rPr>
          <w:rFonts w:ascii="Palatino Linotype" w:hAnsi="Palatino Linotype" w:cs="Arial"/>
        </w:rPr>
        <w:t xml:space="preserve">día </w:t>
      </w:r>
      <w:r w:rsidR="00CB2BA6" w:rsidRPr="00CB2BA6">
        <w:rPr>
          <w:rFonts w:ascii="Palatino Linotype" w:hAnsi="Palatino Linotype" w:cs="Arial"/>
          <w:b/>
        </w:rPr>
        <w:t>veinti</w:t>
      </w:r>
      <w:r w:rsidR="00302404" w:rsidRPr="00CB2BA6">
        <w:rPr>
          <w:rFonts w:ascii="Palatino Linotype" w:hAnsi="Palatino Linotype" w:cs="Arial"/>
          <w:b/>
        </w:rPr>
        <w:t>nueve</w:t>
      </w:r>
      <w:r w:rsidR="009F0E3E" w:rsidRPr="009F0E3E">
        <w:rPr>
          <w:rFonts w:ascii="Palatino Linotype" w:hAnsi="Palatino Linotype" w:cs="Arial"/>
          <w:b/>
        </w:rPr>
        <w:t xml:space="preserve"> de </w:t>
      </w:r>
      <w:r w:rsidR="00CB2BA6">
        <w:rPr>
          <w:rFonts w:ascii="Palatino Linotype" w:hAnsi="Palatino Linotype" w:cs="Arial"/>
          <w:b/>
        </w:rPr>
        <w:t>agosto</w:t>
      </w:r>
      <w:r w:rsidRPr="009F0E3E">
        <w:rPr>
          <w:rFonts w:ascii="Palatino Linotype" w:hAnsi="Palatino Linotype" w:cs="Arial"/>
          <w:b/>
        </w:rPr>
        <w:t xml:space="preserve"> de dos mil veintidós</w:t>
      </w:r>
      <w:r w:rsidRPr="0095221C">
        <w:rPr>
          <w:rFonts w:ascii="Palatino Linotype" w:hAnsi="Palatino Linotype" w:cs="Arial"/>
        </w:rPr>
        <w:t xml:space="preserve">, </w:t>
      </w:r>
      <w:r w:rsidR="00A34CE4">
        <w:rPr>
          <w:rFonts w:ascii="Palatino Linotype" w:hAnsi="Palatino Linotype" w:cs="Arial"/>
        </w:rPr>
        <w:t xml:space="preserve">éste </w:t>
      </w:r>
      <w:r w:rsidRPr="0095221C">
        <w:rPr>
          <w:rFonts w:ascii="Palatino Linotype" w:hAnsi="Palatino Linotype" w:cs="Arial"/>
        </w:rPr>
        <w:t>se encuentra dentro de los márgenes temporales previstos en el precepto legal citado en el párrafo anterior y, por tanto, su interposición se considera oportuna.</w:t>
      </w:r>
    </w:p>
    <w:p w14:paraId="78EA6403" w14:textId="77777777" w:rsidR="000240CB" w:rsidRPr="009F0E3E" w:rsidRDefault="000240CB" w:rsidP="00323C71">
      <w:pPr>
        <w:autoSpaceDE w:val="0"/>
        <w:autoSpaceDN w:val="0"/>
        <w:adjustRightInd w:val="0"/>
        <w:spacing w:line="360" w:lineRule="auto"/>
        <w:ind w:right="49"/>
        <w:jc w:val="both"/>
        <w:rPr>
          <w:rFonts w:ascii="Palatino Linotype" w:hAnsi="Palatino Linotype"/>
          <w:b/>
          <w:color w:val="000000" w:themeColor="text1"/>
          <w:lang w:val="es-ES_tradnl"/>
        </w:rPr>
      </w:pPr>
    </w:p>
    <w:p w14:paraId="585C811B" w14:textId="168B93E1" w:rsidR="00756235" w:rsidRPr="006F0A66" w:rsidRDefault="00AE7110" w:rsidP="00756235">
      <w:pPr>
        <w:pStyle w:val="Prrafodelista"/>
        <w:autoSpaceDE w:val="0"/>
        <w:autoSpaceDN w:val="0"/>
        <w:adjustRightInd w:val="0"/>
        <w:spacing w:line="360" w:lineRule="auto"/>
        <w:ind w:left="0" w:right="49"/>
        <w:jc w:val="both"/>
        <w:rPr>
          <w:rFonts w:ascii="Palatino Linotype" w:hAnsi="Palatino Linotype"/>
          <w:b/>
        </w:rPr>
      </w:pPr>
      <w:r>
        <w:rPr>
          <w:rFonts w:ascii="Palatino Linotype" w:hAnsi="Palatino Linotype"/>
          <w:b/>
          <w:color w:val="000000" w:themeColor="text1"/>
          <w:sz w:val="28"/>
        </w:rPr>
        <w:t>CUARTO</w:t>
      </w:r>
      <w:r w:rsidR="003533BB" w:rsidRPr="006F0A66">
        <w:rPr>
          <w:rFonts w:ascii="Palatino Linotype" w:hAnsi="Palatino Linotype"/>
          <w:b/>
          <w:color w:val="000000" w:themeColor="text1"/>
          <w:sz w:val="28"/>
        </w:rPr>
        <w:t xml:space="preserve">. </w:t>
      </w:r>
      <w:r w:rsidR="00756235" w:rsidRPr="006F0A66">
        <w:rPr>
          <w:rFonts w:ascii="Palatino Linotype" w:hAnsi="Palatino Linotype"/>
          <w:b/>
        </w:rPr>
        <w:t xml:space="preserve">Procedibilidad. </w:t>
      </w:r>
    </w:p>
    <w:p w14:paraId="4C3C8EE2" w14:textId="66B1FBAD" w:rsidR="00AE4768" w:rsidRPr="006F0A66" w:rsidRDefault="00AE4768" w:rsidP="00AE4768">
      <w:pPr>
        <w:autoSpaceDE w:val="0"/>
        <w:autoSpaceDN w:val="0"/>
        <w:adjustRightInd w:val="0"/>
        <w:spacing w:line="360" w:lineRule="auto"/>
        <w:ind w:right="49"/>
        <w:jc w:val="both"/>
        <w:rPr>
          <w:rFonts w:ascii="Palatino Linotype" w:hAnsi="Palatino Linotype" w:cs="Arial"/>
          <w:lang w:val="es-ES" w:eastAsia="es-MX"/>
        </w:rPr>
      </w:pPr>
      <w:r w:rsidRPr="006F0A66">
        <w:rPr>
          <w:rFonts w:ascii="Palatino Linotype" w:hAnsi="Palatino Linotype" w:cs="Arial"/>
          <w:lang w:val="es-ES"/>
        </w:rPr>
        <w:t xml:space="preserve">Este Instituto considera importante precisar que conforme al artículo 180, fracción II, último párrafo de la </w:t>
      </w:r>
      <w:r w:rsidRPr="006F0A66">
        <w:rPr>
          <w:rFonts w:ascii="Palatino Linotype" w:hAnsi="Palatino Linotype" w:cs="Arial"/>
          <w:lang w:val="es-ES" w:eastAsia="es-MX"/>
        </w:rPr>
        <w:t xml:space="preserve">Ley de Transparencia y Acceso a la </w:t>
      </w:r>
      <w:r w:rsidRPr="006F0A66">
        <w:rPr>
          <w:rFonts w:ascii="Palatino Linotype" w:hAnsi="Palatino Linotype" w:cs="Arial"/>
          <w:lang w:val="es-ES"/>
        </w:rPr>
        <w:t>Información</w:t>
      </w:r>
      <w:r w:rsidRPr="006F0A66">
        <w:rPr>
          <w:rFonts w:ascii="Palatino Linotype" w:hAnsi="Palatino Linotype" w:cs="Arial"/>
          <w:lang w:val="es-ES" w:eastAsia="es-MX"/>
        </w:rPr>
        <w:t xml:space="preserve"> Pública del Estado de México y Municipios, que prevé cuando las solicitudes se presenten de manera electrónica no es requisito indispensable el proporcionar el nombre, tal como se muestra a continuación: </w:t>
      </w:r>
    </w:p>
    <w:p w14:paraId="4A42507D" w14:textId="77777777" w:rsidR="00AE4768" w:rsidRPr="006F0A66" w:rsidRDefault="00AE4768" w:rsidP="00AE4768">
      <w:pPr>
        <w:autoSpaceDE w:val="0"/>
        <w:autoSpaceDN w:val="0"/>
        <w:adjustRightInd w:val="0"/>
        <w:spacing w:line="360" w:lineRule="auto"/>
        <w:ind w:right="49"/>
        <w:jc w:val="both"/>
        <w:rPr>
          <w:rFonts w:ascii="Palatino Linotype" w:hAnsi="Palatino Linotype" w:cs="Arial"/>
          <w:lang w:val="es-ES"/>
        </w:rPr>
      </w:pPr>
    </w:p>
    <w:p w14:paraId="6D16A3D3" w14:textId="77777777" w:rsidR="00AE4768" w:rsidRPr="006F0A66" w:rsidRDefault="00AE4768" w:rsidP="00AE4768">
      <w:pPr>
        <w:tabs>
          <w:tab w:val="left" w:pos="851"/>
        </w:tabs>
        <w:ind w:left="851" w:right="901"/>
        <w:jc w:val="both"/>
        <w:rPr>
          <w:rFonts w:ascii="Palatino Linotype" w:hAnsi="Palatino Linotype"/>
          <w:b/>
          <w:i/>
          <w:sz w:val="22"/>
          <w:szCs w:val="22"/>
          <w:lang w:val="es-ES"/>
        </w:rPr>
      </w:pPr>
      <w:r w:rsidRPr="006F0A66">
        <w:rPr>
          <w:rFonts w:ascii="Palatino Linotype" w:hAnsi="Palatino Linotype"/>
          <w:b/>
          <w:i/>
          <w:sz w:val="22"/>
          <w:szCs w:val="22"/>
          <w:lang w:val="es-ES"/>
        </w:rPr>
        <w:t xml:space="preserve">“Artículo 180. </w:t>
      </w:r>
      <w:r w:rsidRPr="006F0A66">
        <w:rPr>
          <w:rFonts w:ascii="Palatino Linotype" w:hAnsi="Palatino Linotype"/>
          <w:i/>
          <w:sz w:val="22"/>
          <w:szCs w:val="22"/>
          <w:lang w:val="es-ES"/>
        </w:rPr>
        <w:t xml:space="preserve">El </w:t>
      </w:r>
      <w:r w:rsidRPr="006F0A66">
        <w:rPr>
          <w:rFonts w:ascii="Palatino Linotype" w:hAnsi="Palatino Linotype" w:cs="Arial"/>
          <w:i/>
          <w:sz w:val="22"/>
          <w:szCs w:val="22"/>
          <w:lang w:val="es-ES"/>
        </w:rPr>
        <w:t>recurso</w:t>
      </w:r>
      <w:r w:rsidRPr="006F0A66">
        <w:rPr>
          <w:rFonts w:ascii="Palatino Linotype" w:hAnsi="Palatino Linotype"/>
          <w:i/>
          <w:sz w:val="22"/>
          <w:szCs w:val="22"/>
          <w:lang w:val="es-ES"/>
        </w:rPr>
        <w:t xml:space="preserve"> </w:t>
      </w:r>
      <w:r w:rsidRPr="006F0A66">
        <w:rPr>
          <w:rFonts w:ascii="Palatino Linotype" w:hAnsi="Palatino Linotype" w:cs="Arial"/>
          <w:i/>
          <w:color w:val="222222"/>
          <w:sz w:val="22"/>
          <w:szCs w:val="22"/>
          <w:lang w:val="es-ES" w:eastAsia="es-MX"/>
        </w:rPr>
        <w:t>de</w:t>
      </w:r>
      <w:r w:rsidRPr="006F0A66">
        <w:rPr>
          <w:rFonts w:ascii="Palatino Linotype" w:hAnsi="Palatino Linotype"/>
          <w:i/>
          <w:sz w:val="22"/>
          <w:szCs w:val="22"/>
          <w:lang w:val="es-ES"/>
        </w:rPr>
        <w:t xml:space="preserve"> revisión contendrá:</w:t>
      </w:r>
      <w:r w:rsidRPr="006F0A66">
        <w:rPr>
          <w:rFonts w:ascii="Palatino Linotype" w:hAnsi="Palatino Linotype"/>
          <w:b/>
          <w:i/>
          <w:sz w:val="22"/>
          <w:szCs w:val="22"/>
          <w:lang w:val="es-ES"/>
        </w:rPr>
        <w:t xml:space="preserve"> </w:t>
      </w:r>
    </w:p>
    <w:p w14:paraId="1897BC62" w14:textId="77777777" w:rsidR="00AE4768" w:rsidRPr="006F0A66" w:rsidRDefault="00AE4768" w:rsidP="00AE4768">
      <w:pPr>
        <w:tabs>
          <w:tab w:val="left" w:pos="851"/>
        </w:tabs>
        <w:ind w:left="851" w:right="901"/>
        <w:jc w:val="both"/>
        <w:rPr>
          <w:rFonts w:ascii="Palatino Linotype" w:hAnsi="Palatino Linotype"/>
          <w:b/>
          <w:i/>
          <w:sz w:val="22"/>
          <w:szCs w:val="22"/>
          <w:lang w:val="es-ES"/>
        </w:rPr>
      </w:pPr>
      <w:r w:rsidRPr="006F0A66">
        <w:rPr>
          <w:rFonts w:ascii="Palatino Linotype" w:hAnsi="Palatino Linotype"/>
          <w:b/>
          <w:i/>
          <w:sz w:val="22"/>
          <w:szCs w:val="22"/>
          <w:lang w:val="es-ES"/>
        </w:rPr>
        <w:t>…</w:t>
      </w:r>
    </w:p>
    <w:p w14:paraId="1022B048" w14:textId="77777777" w:rsidR="00AE4768" w:rsidRPr="006F0A66" w:rsidRDefault="00AE4768" w:rsidP="00AE4768">
      <w:pPr>
        <w:tabs>
          <w:tab w:val="left" w:pos="851"/>
        </w:tabs>
        <w:ind w:left="851" w:right="901"/>
        <w:jc w:val="both"/>
        <w:rPr>
          <w:rFonts w:ascii="Palatino Linotype" w:hAnsi="Palatino Linotype"/>
          <w:i/>
          <w:sz w:val="22"/>
          <w:szCs w:val="22"/>
          <w:lang w:val="es-ES"/>
        </w:rPr>
      </w:pPr>
      <w:r w:rsidRPr="006F0A66">
        <w:rPr>
          <w:rFonts w:ascii="Palatino Linotype" w:hAnsi="Palatino Linotype"/>
          <w:b/>
          <w:i/>
          <w:sz w:val="22"/>
          <w:szCs w:val="22"/>
          <w:lang w:val="es-ES"/>
        </w:rPr>
        <w:t xml:space="preserve">II. El nombre del solicitante </w:t>
      </w:r>
      <w:r w:rsidRPr="006F0A66">
        <w:rPr>
          <w:rFonts w:ascii="Palatino Linotype" w:hAnsi="Palatino Linotype" w:cs="Arial"/>
          <w:b/>
          <w:i/>
          <w:color w:val="222222"/>
          <w:sz w:val="22"/>
          <w:szCs w:val="22"/>
          <w:lang w:val="es-ES" w:eastAsia="es-MX"/>
        </w:rPr>
        <w:t>que</w:t>
      </w:r>
      <w:r w:rsidRPr="006F0A66">
        <w:rPr>
          <w:rFonts w:ascii="Palatino Linotype" w:hAnsi="Palatino Linotype"/>
          <w:b/>
          <w:i/>
          <w:sz w:val="22"/>
          <w:szCs w:val="22"/>
          <w:lang w:val="es-ES"/>
        </w:rPr>
        <w:t xml:space="preserve"> recurre </w:t>
      </w:r>
      <w:r w:rsidRPr="006F0A66">
        <w:rPr>
          <w:rFonts w:ascii="Palatino Linotype" w:hAnsi="Palatino Linotype"/>
          <w:i/>
          <w:sz w:val="22"/>
          <w:szCs w:val="22"/>
          <w:lang w:val="es-ES"/>
        </w:rPr>
        <w:t>o de su representante y, en su caso</w:t>
      </w:r>
      <w:proofErr w:type="gramStart"/>
      <w:r w:rsidRPr="006F0A66">
        <w:rPr>
          <w:rFonts w:ascii="Palatino Linotype" w:hAnsi="Palatino Linotype"/>
          <w:i/>
          <w:sz w:val="22"/>
          <w:szCs w:val="22"/>
          <w:lang w:val="es-ES"/>
        </w:rPr>
        <w:t>, …</w:t>
      </w:r>
      <w:proofErr w:type="gramEnd"/>
    </w:p>
    <w:p w14:paraId="1DD161DF" w14:textId="77777777" w:rsidR="00AE4768" w:rsidRPr="006F0A66" w:rsidRDefault="00AE4768" w:rsidP="00AE4768">
      <w:pPr>
        <w:tabs>
          <w:tab w:val="left" w:pos="851"/>
        </w:tabs>
        <w:ind w:left="851" w:right="901"/>
        <w:jc w:val="both"/>
        <w:rPr>
          <w:rFonts w:ascii="Palatino Linotype" w:hAnsi="Palatino Linotype"/>
          <w:b/>
          <w:i/>
          <w:sz w:val="22"/>
          <w:szCs w:val="22"/>
          <w:lang w:val="es-ES"/>
        </w:rPr>
      </w:pPr>
      <w:r w:rsidRPr="006F0A66">
        <w:rPr>
          <w:rFonts w:ascii="Palatino Linotype" w:hAnsi="Palatino Linotype"/>
          <w:b/>
          <w:i/>
          <w:sz w:val="22"/>
          <w:szCs w:val="22"/>
          <w:lang w:val="es-ES"/>
        </w:rPr>
        <w:t xml:space="preserve">En caso de </w:t>
      </w:r>
      <w:r w:rsidRPr="006F0A66">
        <w:rPr>
          <w:rFonts w:ascii="Palatino Linotype" w:hAnsi="Palatino Linotype" w:cs="Arial"/>
          <w:b/>
          <w:i/>
          <w:color w:val="222222"/>
          <w:sz w:val="22"/>
          <w:szCs w:val="22"/>
          <w:lang w:val="es-ES" w:eastAsia="es-MX"/>
        </w:rPr>
        <w:t>que</w:t>
      </w:r>
      <w:r w:rsidRPr="006F0A66">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6F0A66">
        <w:rPr>
          <w:rFonts w:ascii="Palatino Linotype" w:hAnsi="Palatino Linotype"/>
          <w:i/>
          <w:sz w:val="22"/>
          <w:szCs w:val="22"/>
          <w:lang w:val="es-ES"/>
        </w:rPr>
        <w:t>, IV, VII y VIII.</w:t>
      </w:r>
      <w:r w:rsidRPr="006F0A66">
        <w:rPr>
          <w:rFonts w:ascii="Palatino Linotype" w:hAnsi="Palatino Linotype"/>
          <w:b/>
          <w:i/>
          <w:sz w:val="22"/>
          <w:szCs w:val="22"/>
          <w:lang w:val="es-ES"/>
        </w:rPr>
        <w:t>”</w:t>
      </w:r>
    </w:p>
    <w:p w14:paraId="04A465D5" w14:textId="396D2C41" w:rsidR="00AE4768" w:rsidRDefault="00AE4768" w:rsidP="00AE4768">
      <w:pPr>
        <w:tabs>
          <w:tab w:val="left" w:pos="851"/>
        </w:tabs>
        <w:ind w:left="851" w:right="901"/>
        <w:jc w:val="both"/>
        <w:rPr>
          <w:rFonts w:ascii="Palatino Linotype" w:hAnsi="Palatino Linotype"/>
          <w:i/>
          <w:sz w:val="22"/>
          <w:szCs w:val="22"/>
          <w:lang w:val="es-ES"/>
        </w:rPr>
      </w:pPr>
      <w:r w:rsidRPr="006F0A66">
        <w:rPr>
          <w:rFonts w:ascii="Palatino Linotype" w:hAnsi="Palatino Linotype"/>
          <w:i/>
          <w:sz w:val="22"/>
          <w:szCs w:val="22"/>
          <w:lang w:val="es-ES"/>
        </w:rPr>
        <w:t>(Énfasis añadido)</w:t>
      </w:r>
    </w:p>
    <w:p w14:paraId="2C47861E" w14:textId="77777777" w:rsidR="00097826" w:rsidRPr="006F0A66" w:rsidRDefault="00097826" w:rsidP="00AE4768">
      <w:pPr>
        <w:tabs>
          <w:tab w:val="left" w:pos="851"/>
        </w:tabs>
        <w:ind w:left="851" w:right="901"/>
        <w:jc w:val="both"/>
        <w:rPr>
          <w:rFonts w:ascii="Palatino Linotype" w:hAnsi="Palatino Linotype"/>
          <w:i/>
          <w:sz w:val="22"/>
          <w:szCs w:val="22"/>
          <w:lang w:val="es-ES"/>
        </w:rPr>
      </w:pPr>
    </w:p>
    <w:p w14:paraId="77A3BFED" w14:textId="71E613A7" w:rsidR="00AE4768" w:rsidRPr="006F0A66" w:rsidRDefault="00AE4768" w:rsidP="00AE4768">
      <w:pPr>
        <w:spacing w:line="360" w:lineRule="auto"/>
        <w:jc w:val="both"/>
        <w:rPr>
          <w:rFonts w:ascii="Palatino Linotype" w:hAnsi="Palatino Linotype"/>
          <w:b/>
          <w:lang w:val="es-ES"/>
        </w:rPr>
      </w:pPr>
      <w:r w:rsidRPr="006F0A66">
        <w:rPr>
          <w:rFonts w:ascii="Palatino Linotype" w:hAnsi="Palatino Linotype"/>
          <w:lang w:val="es-ES"/>
        </w:rPr>
        <w:t xml:space="preserve">Por lo que, derivado que </w:t>
      </w:r>
      <w:r w:rsidR="00A20226">
        <w:rPr>
          <w:rFonts w:ascii="Palatino Linotype" w:hAnsi="Palatino Linotype"/>
          <w:lang w:val="es-ES"/>
        </w:rPr>
        <w:t>el</w:t>
      </w:r>
      <w:r w:rsidR="005E17B7" w:rsidRPr="006F0A66">
        <w:rPr>
          <w:rFonts w:ascii="Palatino Linotype" w:hAnsi="Palatino Linotype"/>
          <w:lang w:val="es-ES"/>
        </w:rPr>
        <w:t xml:space="preserve"> R</w:t>
      </w:r>
      <w:r w:rsidRPr="006F0A66">
        <w:rPr>
          <w:rFonts w:ascii="Palatino Linotype" w:hAnsi="Palatino Linotype"/>
          <w:lang w:val="es-ES"/>
        </w:rPr>
        <w:t xml:space="preserve">ecurso de </w:t>
      </w:r>
      <w:r w:rsidR="005E17B7" w:rsidRPr="006F0A66">
        <w:rPr>
          <w:rFonts w:ascii="Palatino Linotype" w:hAnsi="Palatino Linotype"/>
          <w:lang w:val="es-ES"/>
        </w:rPr>
        <w:t>R</w:t>
      </w:r>
      <w:r w:rsidRPr="006F0A66">
        <w:rPr>
          <w:rFonts w:ascii="Palatino Linotype" w:hAnsi="Palatino Linotype"/>
          <w:lang w:val="es-ES"/>
        </w:rPr>
        <w:t>evisión materia del presente asunto, se interpus</w:t>
      </w:r>
      <w:r w:rsidR="00A20226">
        <w:rPr>
          <w:rFonts w:ascii="Palatino Linotype" w:hAnsi="Palatino Linotype"/>
          <w:lang w:val="es-ES"/>
        </w:rPr>
        <w:t>o</w:t>
      </w:r>
      <w:r w:rsidR="005E17B7" w:rsidRPr="006F0A66">
        <w:rPr>
          <w:rFonts w:ascii="Palatino Linotype" w:hAnsi="Palatino Linotype"/>
          <w:lang w:val="es-ES"/>
        </w:rPr>
        <w:t xml:space="preserve"> </w:t>
      </w:r>
      <w:r w:rsidRPr="006F0A66">
        <w:rPr>
          <w:rFonts w:ascii="Palatino Linotype" w:hAnsi="Palatino Linotype"/>
          <w:lang w:val="es-ES"/>
        </w:rPr>
        <w:t>de manera electrónica, no es necesario que contenga determinado requisito, entre ellos, el nombre de</w:t>
      </w:r>
      <w:r w:rsidR="00A20226">
        <w:rPr>
          <w:rFonts w:ascii="Palatino Linotype" w:hAnsi="Palatino Linotype"/>
          <w:lang w:val="es-ES"/>
        </w:rPr>
        <w:t xml:space="preserve"> </w:t>
      </w:r>
      <w:r w:rsidR="00A20226">
        <w:rPr>
          <w:rFonts w:ascii="Palatino Linotype" w:hAnsi="Palatino Linotype" w:cs="Arial"/>
          <w:b/>
        </w:rPr>
        <w:t>EL RECURRENTE</w:t>
      </w:r>
      <w:r w:rsidRPr="006F0A66">
        <w:rPr>
          <w:rFonts w:ascii="Palatino Linotype" w:hAnsi="Palatino Linotype" w:cs="Arial"/>
          <w:b/>
          <w:lang w:val="es-ES"/>
        </w:rPr>
        <w:t>;</w:t>
      </w:r>
      <w:r w:rsidRPr="006F0A66">
        <w:rPr>
          <w:rFonts w:ascii="Palatino Linotype" w:hAnsi="Palatino Linotype"/>
          <w:lang w:val="es-ES"/>
        </w:rPr>
        <w:t xml:space="preserve"> por lo que, en el presente caso, al haber sido presentado</w:t>
      </w:r>
      <w:r w:rsidR="005E17B7" w:rsidRPr="006F0A66">
        <w:rPr>
          <w:rFonts w:ascii="Palatino Linotype" w:hAnsi="Palatino Linotype"/>
          <w:lang w:val="es-ES"/>
        </w:rPr>
        <w:t xml:space="preserve"> </w:t>
      </w:r>
      <w:r w:rsidR="00A20226">
        <w:rPr>
          <w:rFonts w:ascii="Palatino Linotype" w:hAnsi="Palatino Linotype"/>
          <w:lang w:val="es-ES"/>
        </w:rPr>
        <w:t xml:space="preserve">el </w:t>
      </w:r>
      <w:r w:rsidR="005E17B7" w:rsidRPr="006F0A66">
        <w:rPr>
          <w:rFonts w:ascii="Palatino Linotype" w:hAnsi="Palatino Linotype"/>
          <w:lang w:val="es-ES"/>
        </w:rPr>
        <w:t>R</w:t>
      </w:r>
      <w:r w:rsidRPr="006F0A66">
        <w:rPr>
          <w:rFonts w:ascii="Palatino Linotype" w:hAnsi="Palatino Linotype"/>
          <w:lang w:val="es-ES"/>
        </w:rPr>
        <w:t>ecurso</w:t>
      </w:r>
      <w:r w:rsidR="005E17B7" w:rsidRPr="006F0A66">
        <w:rPr>
          <w:rFonts w:ascii="Palatino Linotype" w:hAnsi="Palatino Linotype"/>
          <w:lang w:val="es-ES"/>
        </w:rPr>
        <w:t>s</w:t>
      </w:r>
      <w:r w:rsidRPr="006F0A66">
        <w:rPr>
          <w:rFonts w:ascii="Palatino Linotype" w:hAnsi="Palatino Linotype"/>
          <w:lang w:val="es-ES"/>
        </w:rPr>
        <w:t xml:space="preserve"> de </w:t>
      </w:r>
      <w:r w:rsidR="005E17B7" w:rsidRPr="006F0A66">
        <w:rPr>
          <w:rFonts w:ascii="Palatino Linotype" w:hAnsi="Palatino Linotype"/>
          <w:lang w:val="es-ES"/>
        </w:rPr>
        <w:t>R</w:t>
      </w:r>
      <w:r w:rsidRPr="006F0A66">
        <w:rPr>
          <w:rFonts w:ascii="Palatino Linotype" w:hAnsi="Palatino Linotype"/>
          <w:lang w:val="es-ES"/>
        </w:rPr>
        <w:t xml:space="preserve">evisión vía </w:t>
      </w:r>
      <w:r w:rsidRPr="006F0A66">
        <w:rPr>
          <w:rFonts w:ascii="Palatino Linotype" w:hAnsi="Palatino Linotype"/>
          <w:b/>
          <w:lang w:val="es-ES"/>
        </w:rPr>
        <w:t>SAIMEX</w:t>
      </w:r>
      <w:r w:rsidRPr="006F0A66">
        <w:rPr>
          <w:rFonts w:ascii="Palatino Linotype" w:hAnsi="Palatino Linotype"/>
          <w:lang w:val="es-ES"/>
        </w:rPr>
        <w:t>, dicho requisito resulta innecesario.</w:t>
      </w:r>
    </w:p>
    <w:p w14:paraId="6006E906" w14:textId="77777777" w:rsidR="00AE4768" w:rsidRPr="006F0A66" w:rsidRDefault="00AE4768" w:rsidP="00AE4768">
      <w:pPr>
        <w:spacing w:line="360" w:lineRule="auto"/>
        <w:jc w:val="both"/>
        <w:rPr>
          <w:rFonts w:ascii="Palatino Linotype" w:hAnsi="Palatino Linotype"/>
          <w:lang w:val="es-ES"/>
        </w:rPr>
      </w:pPr>
    </w:p>
    <w:p w14:paraId="042663D3" w14:textId="77777777" w:rsidR="00AE4768" w:rsidRPr="006F0A66" w:rsidRDefault="00AE4768" w:rsidP="00AE4768">
      <w:pPr>
        <w:spacing w:line="360" w:lineRule="auto"/>
        <w:jc w:val="both"/>
        <w:rPr>
          <w:rFonts w:ascii="Palatino Linotype" w:hAnsi="Palatino Linotype" w:cs="Arial"/>
          <w:color w:val="000000"/>
          <w:lang w:val="es-ES"/>
        </w:rPr>
      </w:pPr>
      <w:r w:rsidRPr="006F0A66">
        <w:rPr>
          <w:rFonts w:ascii="Palatino Linotype" w:hAnsi="Palatino Linotype"/>
          <w:lang w:val="es-ES"/>
        </w:rPr>
        <w:t xml:space="preserve">Lo anterior es así, pues el artículo 15 de </w:t>
      </w:r>
      <w:r w:rsidRPr="006F0A66">
        <w:rPr>
          <w:rFonts w:ascii="Palatino Linotype" w:hAnsi="Palatino Linotype" w:cs="Arial"/>
          <w:lang w:val="es-ES" w:eastAsia="es-MX"/>
        </w:rPr>
        <w:t xml:space="preserve">Ley de Transparencia y Acceso a la </w:t>
      </w:r>
      <w:r w:rsidRPr="006F0A66">
        <w:rPr>
          <w:rFonts w:ascii="Palatino Linotype" w:hAnsi="Palatino Linotype" w:cs="Arial"/>
          <w:lang w:val="es-ES"/>
        </w:rPr>
        <w:t>Información</w:t>
      </w:r>
      <w:r w:rsidRPr="006F0A66">
        <w:rPr>
          <w:rFonts w:ascii="Palatino Linotype" w:hAnsi="Palatino Linotype" w:cs="Arial"/>
          <w:lang w:val="es-ES" w:eastAsia="es-MX"/>
        </w:rPr>
        <w:t xml:space="preserve"> Pública del Estado de México y Municipios </w:t>
      </w:r>
      <w:r w:rsidRPr="006F0A66">
        <w:rPr>
          <w:rFonts w:ascii="Palatino Linotype" w:hAnsi="Palatino Linotype" w:cs="Arial"/>
          <w:iCs/>
          <w:lang w:val="es-ES"/>
        </w:rPr>
        <w:t xml:space="preserve">prevé que, </w:t>
      </w:r>
      <w:r w:rsidRPr="006F0A66">
        <w:rPr>
          <w:rFonts w:ascii="Palatino Linotype" w:hAnsi="Palatino Linotype"/>
          <w:lang w:val="es-ES"/>
        </w:rPr>
        <w:t xml:space="preserve">toda persona tendrá acceso a la </w:t>
      </w:r>
      <w:r w:rsidRPr="006F0A66">
        <w:rPr>
          <w:rFonts w:ascii="Palatino Linotype" w:hAnsi="Palatino Linotype"/>
          <w:lang w:val="es-ES"/>
        </w:rPr>
        <w:lastRenderedPageBreak/>
        <w:t xml:space="preserve">información </w:t>
      </w:r>
      <w:r w:rsidRPr="006F0A66">
        <w:rPr>
          <w:rFonts w:ascii="Palatino Linotype" w:hAnsi="Palatino Linotype" w:cs="Arial"/>
          <w:color w:val="000000"/>
          <w:lang w:val="es-ES"/>
        </w:rPr>
        <w:t xml:space="preserve">sin necesidad de acreditar interés alguno o justificar su utilización, de lo que se infiere que para el </w:t>
      </w:r>
      <w:r w:rsidRPr="006F0A66">
        <w:rPr>
          <w:rFonts w:ascii="Palatino Linotype" w:hAnsi="Palatino Linotype"/>
          <w:lang w:val="es-ES"/>
        </w:rPr>
        <w:t>ejercicio</w:t>
      </w:r>
      <w:r w:rsidRPr="006F0A66">
        <w:rPr>
          <w:rFonts w:ascii="Palatino Linotype" w:hAnsi="Palatino Linotype" w:cs="Arial"/>
          <w:color w:val="000000"/>
          <w:lang w:val="es-ES"/>
        </w:rPr>
        <w:t xml:space="preserve"> del derecho de acceso a la información pública, </w:t>
      </w:r>
      <w:r w:rsidRPr="006F0A66">
        <w:rPr>
          <w:rFonts w:ascii="Palatino Linotype" w:hAnsi="Palatino Linotype" w:cs="Arial"/>
          <w:b/>
          <w:color w:val="000000"/>
          <w:u w:val="single"/>
          <w:lang w:val="es-ES"/>
        </w:rPr>
        <w:t xml:space="preserve">el nombre no es un requisito </w:t>
      </w:r>
      <w:r w:rsidRPr="006F0A66">
        <w:rPr>
          <w:rFonts w:ascii="Palatino Linotype" w:hAnsi="Palatino Linotype" w:cs="Arial"/>
          <w:b/>
          <w:i/>
          <w:color w:val="000000"/>
          <w:u w:val="single"/>
          <w:lang w:val="es-ES"/>
        </w:rPr>
        <w:t>sine qua non</w:t>
      </w:r>
      <w:r w:rsidRPr="006F0A66">
        <w:rPr>
          <w:rFonts w:ascii="Palatino Linotype" w:hAnsi="Palatino Linotype" w:cs="Arial"/>
          <w:color w:val="000000"/>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4FD0448F" w14:textId="77777777" w:rsidR="00AE4768" w:rsidRPr="006F0A66" w:rsidRDefault="00AE4768" w:rsidP="00AE4768">
      <w:pPr>
        <w:spacing w:line="360" w:lineRule="auto"/>
        <w:jc w:val="both"/>
        <w:rPr>
          <w:rFonts w:ascii="Palatino Linotype" w:hAnsi="Palatino Linotype" w:cs="Arial"/>
          <w:color w:val="000000"/>
          <w:lang w:val="es-ES"/>
        </w:rPr>
      </w:pPr>
    </w:p>
    <w:p w14:paraId="03E2F08E" w14:textId="77777777" w:rsidR="00AE4768" w:rsidRPr="006F0A66" w:rsidRDefault="00AE4768" w:rsidP="00AE4768">
      <w:pPr>
        <w:spacing w:line="360" w:lineRule="auto"/>
        <w:jc w:val="both"/>
        <w:rPr>
          <w:rFonts w:ascii="Palatino Linotype" w:hAnsi="Palatino Linotype"/>
          <w:sz w:val="22"/>
          <w:szCs w:val="22"/>
          <w:lang w:val="es-ES"/>
        </w:rPr>
      </w:pPr>
      <w:r w:rsidRPr="006F0A66">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34331974" w14:textId="77777777" w:rsidR="00AE4768" w:rsidRPr="006F0A66" w:rsidRDefault="00AE4768" w:rsidP="00AE4768">
      <w:pPr>
        <w:tabs>
          <w:tab w:val="left" w:pos="851"/>
        </w:tabs>
        <w:ind w:left="851" w:right="901"/>
        <w:jc w:val="both"/>
        <w:rPr>
          <w:rFonts w:ascii="Palatino Linotype" w:hAnsi="Palatino Linotype"/>
          <w:sz w:val="22"/>
          <w:szCs w:val="22"/>
          <w:lang w:val="es-ES"/>
        </w:rPr>
      </w:pPr>
    </w:p>
    <w:p w14:paraId="276454E1" w14:textId="118E623A" w:rsidR="00AE4768" w:rsidRPr="006F0A66" w:rsidRDefault="00AE4768" w:rsidP="00AE4768">
      <w:pPr>
        <w:spacing w:line="360" w:lineRule="auto"/>
        <w:jc w:val="both"/>
        <w:rPr>
          <w:rFonts w:ascii="Palatino Linotype" w:hAnsi="Palatino Linotype"/>
          <w:lang w:val="es-ES"/>
        </w:rPr>
      </w:pPr>
      <w:r w:rsidRPr="006F0A66">
        <w:rPr>
          <w:rFonts w:ascii="Palatino Linotype" w:hAnsi="Palatino Linotype"/>
          <w:lang w:val="es-ES"/>
        </w:rPr>
        <w:t>Asimismo, se estima que el requisito relativo al nombre de</w:t>
      </w:r>
      <w:r w:rsidR="00302404">
        <w:rPr>
          <w:rFonts w:ascii="Palatino Linotype" w:hAnsi="Palatino Linotype"/>
          <w:lang w:val="es-ES"/>
        </w:rPr>
        <w:t xml:space="preserve"> </w:t>
      </w:r>
      <w:r w:rsidR="00302404">
        <w:rPr>
          <w:rFonts w:ascii="Palatino Linotype" w:hAnsi="Palatino Linotype"/>
          <w:b/>
          <w:lang w:val="es-ES"/>
        </w:rPr>
        <w:t>EL RECURRENTE</w:t>
      </w:r>
      <w:r w:rsidR="00302404">
        <w:rPr>
          <w:rFonts w:ascii="Palatino Linotype" w:hAnsi="Palatino Linotype" w:cs="Arial"/>
          <w:lang w:val="es-ES"/>
        </w:rPr>
        <w:t xml:space="preserve"> </w:t>
      </w:r>
      <w:r w:rsidRPr="006F0A66">
        <w:rPr>
          <w:rFonts w:ascii="Palatino Linotype" w:hAnsi="Palatino Linotype"/>
          <w:lang w:val="es-ES"/>
        </w:rPr>
        <w:t xml:space="preserve">no constituye un supuesto indispensable de procedibilidad de los </w:t>
      </w:r>
      <w:r w:rsidR="005E17B7" w:rsidRPr="006F0A66">
        <w:rPr>
          <w:rFonts w:ascii="Palatino Linotype" w:hAnsi="Palatino Linotype"/>
          <w:lang w:val="es-ES"/>
        </w:rPr>
        <w:t>R</w:t>
      </w:r>
      <w:r w:rsidRPr="006F0A66">
        <w:rPr>
          <w:rFonts w:ascii="Palatino Linotype" w:hAnsi="Palatino Linotype"/>
          <w:lang w:val="es-ES"/>
        </w:rPr>
        <w:t xml:space="preserve">ecursos de </w:t>
      </w:r>
      <w:r w:rsidR="005E17B7" w:rsidRPr="006F0A66">
        <w:rPr>
          <w:rFonts w:ascii="Palatino Linotype" w:hAnsi="Palatino Linotype"/>
          <w:lang w:val="es-ES"/>
        </w:rPr>
        <w:t>R</w:t>
      </w:r>
      <w:r w:rsidRPr="006F0A66">
        <w:rPr>
          <w:rFonts w:ascii="Palatino Linotype" w:hAnsi="Palatino Linotype"/>
          <w:lang w:val="es-ES"/>
        </w:rPr>
        <w:t xml:space="preserve">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w:t>
      </w:r>
      <w:r w:rsidR="005E17B7" w:rsidRPr="006F0A66">
        <w:rPr>
          <w:rFonts w:ascii="Palatino Linotype" w:hAnsi="Palatino Linotype"/>
          <w:lang w:val="es-ES"/>
        </w:rPr>
        <w:t>Recurso de R</w:t>
      </w:r>
      <w:r w:rsidRPr="006F0A66">
        <w:rPr>
          <w:rFonts w:ascii="Palatino Linotype" w:hAnsi="Palatino Linotype"/>
          <w:lang w:val="es-ES"/>
        </w:rPr>
        <w:t xml:space="preserve">evisión, circunstancia que se acredita en las constancias electrónicas del expediente, de </w:t>
      </w:r>
      <w:r w:rsidRPr="006F0A66">
        <w:rPr>
          <w:rFonts w:ascii="Palatino Linotype" w:hAnsi="Palatino Linotype"/>
          <w:lang w:val="es-ES"/>
        </w:rPr>
        <w:lastRenderedPageBreak/>
        <w:t xml:space="preserve">las que se desprende que </w:t>
      </w:r>
      <w:r w:rsidRPr="006F0A66">
        <w:rPr>
          <w:rFonts w:ascii="Palatino Linotype" w:hAnsi="Palatino Linotype" w:cs="Arial"/>
          <w:b/>
          <w:lang w:val="es-ES"/>
        </w:rPr>
        <w:t>EL RECURRENTE</w:t>
      </w:r>
      <w:r w:rsidRPr="006F0A66">
        <w:rPr>
          <w:rFonts w:ascii="Palatino Linotype" w:hAnsi="Palatino Linotype"/>
          <w:lang w:val="es-ES"/>
        </w:rPr>
        <w:t xml:space="preserve"> es la misma persona que realizó la</w:t>
      </w:r>
      <w:r w:rsidR="005E17B7" w:rsidRPr="006F0A66">
        <w:rPr>
          <w:rFonts w:ascii="Palatino Linotype" w:hAnsi="Palatino Linotype"/>
          <w:lang w:val="es-ES"/>
        </w:rPr>
        <w:t>s</w:t>
      </w:r>
      <w:r w:rsidRPr="006F0A66">
        <w:rPr>
          <w:rFonts w:ascii="Palatino Linotype" w:hAnsi="Palatino Linotype"/>
          <w:lang w:val="es-ES"/>
        </w:rPr>
        <w:t xml:space="preserve"> solicitud</w:t>
      </w:r>
      <w:r w:rsidR="005E17B7" w:rsidRPr="006F0A66">
        <w:rPr>
          <w:rFonts w:ascii="Palatino Linotype" w:hAnsi="Palatino Linotype"/>
          <w:lang w:val="es-ES"/>
        </w:rPr>
        <w:t>es</w:t>
      </w:r>
      <w:r w:rsidRPr="006F0A66">
        <w:rPr>
          <w:rFonts w:ascii="Palatino Linotype" w:hAnsi="Palatino Linotype"/>
          <w:lang w:val="es-ES"/>
        </w:rPr>
        <w:t xml:space="preserve"> de acceso a la información pública que ahora se impugna</w:t>
      </w:r>
      <w:r w:rsidR="005E17B7" w:rsidRPr="006F0A66">
        <w:rPr>
          <w:rFonts w:ascii="Palatino Linotype" w:hAnsi="Palatino Linotype"/>
          <w:lang w:val="es-ES"/>
        </w:rPr>
        <w:t>n</w:t>
      </w:r>
      <w:r w:rsidRPr="006F0A66">
        <w:rPr>
          <w:rFonts w:ascii="Palatino Linotype" w:hAnsi="Palatino Linotype"/>
          <w:lang w:val="es-ES"/>
        </w:rPr>
        <w:t>.</w:t>
      </w:r>
    </w:p>
    <w:p w14:paraId="4F18F821" w14:textId="77777777" w:rsidR="00AE4768" w:rsidRPr="006F0A66" w:rsidRDefault="00AE4768" w:rsidP="00AE4768">
      <w:pPr>
        <w:tabs>
          <w:tab w:val="left" w:pos="851"/>
        </w:tabs>
        <w:ind w:left="851" w:right="901"/>
        <w:jc w:val="both"/>
        <w:rPr>
          <w:rFonts w:ascii="Palatino Linotype" w:hAnsi="Palatino Linotype"/>
          <w:sz w:val="22"/>
          <w:szCs w:val="22"/>
          <w:lang w:val="es-ES"/>
        </w:rPr>
      </w:pPr>
    </w:p>
    <w:p w14:paraId="0A6D669D" w14:textId="3731C9CE" w:rsidR="00756235" w:rsidRPr="006F0A66" w:rsidRDefault="00AE4768" w:rsidP="00AE4768">
      <w:pPr>
        <w:spacing w:line="360" w:lineRule="auto"/>
        <w:jc w:val="both"/>
        <w:textAlignment w:val="baseline"/>
        <w:rPr>
          <w:rFonts w:ascii="Palatino Linotype" w:hAnsi="Palatino Linotype"/>
          <w:lang w:val="es-ES"/>
        </w:rPr>
      </w:pPr>
      <w:r w:rsidRPr="006F0A66">
        <w:rPr>
          <w:rFonts w:ascii="Palatino Linotype" w:hAnsi="Palatino Linotype"/>
          <w:lang w:val="es-ES"/>
        </w:rPr>
        <w:t xml:space="preserve">Es así que, para el estudio de la materia sobre la que se resuelve </w:t>
      </w:r>
      <w:r w:rsidR="00A20226">
        <w:rPr>
          <w:rFonts w:ascii="Palatino Linotype" w:hAnsi="Palatino Linotype"/>
          <w:lang w:val="es-ES"/>
        </w:rPr>
        <w:t xml:space="preserve">el </w:t>
      </w:r>
      <w:r w:rsidRPr="006F0A66">
        <w:rPr>
          <w:rFonts w:ascii="Palatino Linotype" w:hAnsi="Palatino Linotype"/>
          <w:lang w:val="es-ES"/>
        </w:rPr>
        <w:t xml:space="preserve">presente </w:t>
      </w:r>
      <w:r w:rsidR="0038105A" w:rsidRPr="006F0A66">
        <w:rPr>
          <w:rFonts w:ascii="Palatino Linotype" w:hAnsi="Palatino Linotype"/>
          <w:lang w:val="es-ES"/>
        </w:rPr>
        <w:t>R</w:t>
      </w:r>
      <w:r w:rsidRPr="006F0A66">
        <w:rPr>
          <w:rFonts w:ascii="Palatino Linotype" w:hAnsi="Palatino Linotype"/>
          <w:lang w:val="es-ES"/>
        </w:rPr>
        <w:t xml:space="preserve">ecurso de </w:t>
      </w:r>
      <w:r w:rsidR="0038105A" w:rsidRPr="006F0A66">
        <w:rPr>
          <w:rFonts w:ascii="Palatino Linotype" w:hAnsi="Palatino Linotype"/>
          <w:lang w:val="es-ES"/>
        </w:rPr>
        <w:t>R</w:t>
      </w:r>
      <w:r w:rsidRPr="006F0A66">
        <w:rPr>
          <w:rFonts w:ascii="Palatino Linotype" w:hAnsi="Palatino Linotype"/>
          <w:lang w:val="es-ES"/>
        </w:rPr>
        <w:t xml:space="preserve">evisión, resulta intrascendente conocer el nombre de la persona que lo hubiere promovido, en virtud de que tanto la </w:t>
      </w:r>
      <w:r w:rsidRPr="006F0A66">
        <w:rPr>
          <w:rFonts w:ascii="Palatino Linotype" w:hAnsi="Palatino Linotype"/>
          <w:color w:val="000000" w:themeColor="text1"/>
        </w:rPr>
        <w:t>Constitución Política de los Estados Unidos Mexicanos</w:t>
      </w:r>
      <w:r w:rsidRPr="006F0A66">
        <w:rPr>
          <w:rFonts w:ascii="Palatino Linotype" w:hAnsi="Palatino Linotype"/>
          <w:lang w:val="es-ES"/>
        </w:rPr>
        <w:t>,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28A7C607" w14:textId="77777777" w:rsidR="000D71AC" w:rsidRDefault="000D71AC" w:rsidP="00323C71">
      <w:pPr>
        <w:autoSpaceDE w:val="0"/>
        <w:autoSpaceDN w:val="0"/>
        <w:adjustRightInd w:val="0"/>
        <w:spacing w:line="360" w:lineRule="auto"/>
        <w:ind w:right="49"/>
        <w:jc w:val="both"/>
        <w:rPr>
          <w:rFonts w:ascii="Palatino Linotype" w:hAnsi="Palatino Linotype" w:cs="Arial"/>
          <w:b/>
          <w:color w:val="000000" w:themeColor="text1"/>
          <w:sz w:val="28"/>
          <w:szCs w:val="28"/>
        </w:rPr>
      </w:pPr>
    </w:p>
    <w:p w14:paraId="7C9ABA59" w14:textId="49EA68E4" w:rsidR="00756235" w:rsidRPr="006F0A66" w:rsidRDefault="00EA2DA0" w:rsidP="00323C71">
      <w:pPr>
        <w:autoSpaceDE w:val="0"/>
        <w:autoSpaceDN w:val="0"/>
        <w:adjustRightInd w:val="0"/>
        <w:spacing w:line="360" w:lineRule="auto"/>
        <w:ind w:right="49"/>
        <w:jc w:val="both"/>
        <w:rPr>
          <w:rFonts w:ascii="Palatino Linotype" w:hAnsi="Palatino Linotype" w:cs="Arial"/>
          <w:b/>
          <w:color w:val="000000" w:themeColor="text1"/>
        </w:rPr>
      </w:pPr>
      <w:r>
        <w:rPr>
          <w:rFonts w:ascii="Palatino Linotype" w:hAnsi="Palatino Linotype" w:cs="Arial"/>
          <w:b/>
          <w:color w:val="000000" w:themeColor="text1"/>
          <w:sz w:val="28"/>
          <w:szCs w:val="28"/>
        </w:rPr>
        <w:t>QUINTO</w:t>
      </w:r>
      <w:r w:rsidR="003533BB" w:rsidRPr="006F0A66">
        <w:rPr>
          <w:rFonts w:ascii="Palatino Linotype" w:hAnsi="Palatino Linotype"/>
          <w:b/>
          <w:color w:val="000000" w:themeColor="text1"/>
          <w:sz w:val="28"/>
          <w:szCs w:val="28"/>
        </w:rPr>
        <w:t>.</w:t>
      </w:r>
      <w:r w:rsidR="003533BB" w:rsidRPr="006F0A66">
        <w:rPr>
          <w:rFonts w:ascii="Palatino Linotype" w:hAnsi="Palatino Linotype"/>
          <w:b/>
          <w:color w:val="000000" w:themeColor="text1"/>
        </w:rPr>
        <w:t xml:space="preserve"> </w:t>
      </w:r>
      <w:r w:rsidR="00756235" w:rsidRPr="006F0A66">
        <w:rPr>
          <w:rFonts w:ascii="Palatino Linotype" w:hAnsi="Palatino Linotype" w:cs="Arial"/>
          <w:b/>
          <w:color w:val="000000" w:themeColor="text1"/>
        </w:rPr>
        <w:t>Estudio y resolución del asunto.</w:t>
      </w:r>
    </w:p>
    <w:p w14:paraId="543559C8" w14:textId="41C3D7DA" w:rsidR="00DD6889" w:rsidRDefault="00DD6889" w:rsidP="00DD6889">
      <w:pPr>
        <w:spacing w:line="360" w:lineRule="auto"/>
        <w:jc w:val="both"/>
        <w:rPr>
          <w:rFonts w:ascii="Palatino Linotype" w:hAnsi="Palatino Linotype" w:cs="Arial"/>
        </w:rPr>
      </w:pPr>
      <w:r>
        <w:rPr>
          <w:rFonts w:ascii="Palatino Linotype" w:hAnsi="Palatino Linotype" w:cs="Arial"/>
        </w:rPr>
        <w:t xml:space="preserve">Una vez determinada la vía sobre la que versará el presente recurso, y previa revisión del expediente electrónico formado en </w:t>
      </w:r>
      <w:r>
        <w:rPr>
          <w:rFonts w:ascii="Palatino Linotype" w:hAnsi="Palatino Linotype" w:cs="Arial"/>
          <w:b/>
        </w:rPr>
        <w:t>EL SAIMEX</w:t>
      </w:r>
      <w:r>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Política de los Estados Unidos Mexicanos, Constitución Política del Estado Libre del Estado de México y demás leyes aplicables en la materia; así como, en los Tratados Internacionales en los que el Estado Mexicano sea parte, en concordancia con el párrafo tercero del artículo 1 de la Constitución Política de los Estados Unidos Mexicanos, así </w:t>
      </w:r>
      <w:r>
        <w:rPr>
          <w:rFonts w:ascii="Palatino Linotype" w:hAnsi="Palatino Linotype" w:cs="Arial"/>
        </w:rPr>
        <w:lastRenderedPageBreak/>
        <w:t>como los diversos 8 y 9 de la Ley de Transparencia y Acceso a la Información Pública del Estado de México y Municipios.</w:t>
      </w:r>
    </w:p>
    <w:p w14:paraId="7D8CBBFD" w14:textId="77777777" w:rsidR="007B2389" w:rsidRDefault="007B2389" w:rsidP="00DD6889">
      <w:pPr>
        <w:spacing w:line="360" w:lineRule="auto"/>
        <w:jc w:val="both"/>
        <w:rPr>
          <w:rFonts w:ascii="Palatino Linotype" w:hAnsi="Palatino Linotype" w:cs="Arial"/>
        </w:rPr>
      </w:pPr>
    </w:p>
    <w:p w14:paraId="1DC23F66" w14:textId="77777777" w:rsidR="00DD6889" w:rsidRDefault="00DD6889" w:rsidP="00DD688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este tenor, es necesario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4006FB8E" w14:textId="77777777" w:rsidR="00DD6889" w:rsidRDefault="00DD6889" w:rsidP="00DD6889">
      <w:pPr>
        <w:spacing w:before="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6ED45B5" w14:textId="77777777" w:rsidR="00DD6889" w:rsidRDefault="00DD6889" w:rsidP="00DD6889">
      <w:pPr>
        <w:spacing w:before="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79829C4" w14:textId="77777777" w:rsidR="00DD6889" w:rsidRDefault="00DD6889" w:rsidP="00DD6889">
      <w:pPr>
        <w:spacing w:before="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63870517" w14:textId="77777777" w:rsidR="00DD6889" w:rsidRDefault="00DD6889" w:rsidP="00DD6889">
      <w:pPr>
        <w:spacing w:before="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w:t>
      </w:r>
    </w:p>
    <w:p w14:paraId="4DDB28BC" w14:textId="77777777" w:rsidR="00DD6889" w:rsidRDefault="00DD6889" w:rsidP="00DD6889">
      <w:pPr>
        <w:spacing w:before="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BB684EB" w14:textId="77777777" w:rsidR="00DD6889" w:rsidRDefault="00DD6889" w:rsidP="00DD6889">
      <w:pPr>
        <w:spacing w:before="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p>
    <w:p w14:paraId="5416164B" w14:textId="77777777" w:rsidR="00DD6889" w:rsidRDefault="00DD6889" w:rsidP="00DD6889">
      <w:pPr>
        <w:spacing w:before="240"/>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Artículo 24. </w:t>
      </w:r>
    </w:p>
    <w:p w14:paraId="6E621CE0" w14:textId="77777777" w:rsidR="00DD6889" w:rsidRDefault="00DD6889" w:rsidP="00DD6889">
      <w:pPr>
        <w:spacing w:before="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4FAB137" w14:textId="77777777" w:rsidR="00DD6889" w:rsidRDefault="00DD6889" w:rsidP="00DD6889">
      <w:pPr>
        <w:spacing w:before="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solo proporcionarán la información pública que generen, administren o posean en el ejercicio de sus atribuciones.”</w:t>
      </w:r>
    </w:p>
    <w:p w14:paraId="606D5DED" w14:textId="77777777" w:rsidR="00DD6889" w:rsidRDefault="00DD6889" w:rsidP="00DD6889">
      <w:pPr>
        <w:spacing w:before="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EB929DB" w14:textId="77777777" w:rsidR="00DD6889" w:rsidRDefault="00DD6889" w:rsidP="00DD6889">
      <w:pPr>
        <w:spacing w:before="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160.</w:t>
      </w:r>
      <w:r>
        <w:rPr>
          <w:rFonts w:ascii="Palatino Linotype" w:eastAsia="Palatino Linotype" w:hAnsi="Palatino Linotype" w:cs="Palatino Linotype"/>
          <w:i/>
          <w:sz w:val="22"/>
          <w:szCs w:val="22"/>
        </w:rPr>
        <w:t xml:space="preserve"> Los sujetos obligados deberán otorgar acceso a los documentos que se </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087B1D2" w14:textId="2FB2822E" w:rsidR="00DD6889" w:rsidRDefault="00DD6889" w:rsidP="00DD6889">
      <w:pPr>
        <w:spacing w:before="240"/>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En caso que la información solicitada consista en bases de datos se deberá privilegiar la entrega de la misma en formatos abiertos.”</w:t>
      </w:r>
      <w:r>
        <w:rPr>
          <w:rFonts w:ascii="Palatino Linotype" w:eastAsia="Palatino Linotype" w:hAnsi="Palatino Linotype" w:cs="Palatino Linotype"/>
          <w:b/>
          <w:i/>
          <w:sz w:val="22"/>
          <w:szCs w:val="22"/>
        </w:rPr>
        <w:t>[Sic]</w:t>
      </w:r>
      <w:r w:rsidR="00302404">
        <w:rPr>
          <w:rFonts w:ascii="Palatino Linotype" w:eastAsia="Palatino Linotype" w:hAnsi="Palatino Linotype" w:cs="Palatino Linotype"/>
          <w:b/>
          <w:i/>
          <w:sz w:val="22"/>
          <w:szCs w:val="22"/>
        </w:rPr>
        <w:t xml:space="preserve"> </w:t>
      </w:r>
      <w:r w:rsidR="00302404">
        <w:rPr>
          <w:rFonts w:ascii="Palatino Linotype" w:hAnsi="Palatino Linotype" w:cs="Arial"/>
          <w:i/>
          <w:sz w:val="22"/>
          <w:szCs w:val="22"/>
        </w:rPr>
        <w:t>(Énfasis añadido)</w:t>
      </w:r>
    </w:p>
    <w:p w14:paraId="70BD710B" w14:textId="77777777" w:rsidR="00DD6889" w:rsidRDefault="00DD6889" w:rsidP="00DD6889">
      <w:pPr>
        <w:spacing w:before="240" w:line="360" w:lineRule="auto"/>
        <w:ind w:left="851" w:right="851"/>
        <w:jc w:val="both"/>
        <w:rPr>
          <w:rFonts w:ascii="Palatino Linotype" w:eastAsia="Palatino Linotype" w:hAnsi="Palatino Linotype" w:cs="Palatino Linotype"/>
          <w:b/>
          <w:i/>
          <w:sz w:val="16"/>
          <w:szCs w:val="16"/>
        </w:rPr>
      </w:pPr>
    </w:p>
    <w:p w14:paraId="4ADAD9C3" w14:textId="3BA13C67" w:rsidR="004967AD" w:rsidRDefault="004967AD" w:rsidP="004967AD">
      <w:pPr>
        <w:tabs>
          <w:tab w:val="left" w:pos="70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Señalado lo anterior, se procede a analizar las documentales que integran el expediente electrónico formado en el </w:t>
      </w:r>
      <w:r>
        <w:rPr>
          <w:rFonts w:ascii="Palatino Linotype" w:eastAsia="Palatino Linotype" w:hAnsi="Palatino Linotype" w:cs="Palatino Linotype"/>
          <w:b/>
        </w:rPr>
        <w:t xml:space="preserve">SAIMEX </w:t>
      </w:r>
      <w:r>
        <w:rPr>
          <w:rFonts w:ascii="Palatino Linotype" w:eastAsia="Palatino Linotype" w:hAnsi="Palatino Linotype" w:cs="Palatino Linotype"/>
        </w:rPr>
        <w:t>del Recurso de Revisión materia del presente estudio, en atención a ello es conveniente recordar la solicitud del particular y la respuesta</w:t>
      </w:r>
      <w:r w:rsidR="00EA2DA0">
        <w:rPr>
          <w:rFonts w:ascii="Palatino Linotype" w:eastAsia="Palatino Linotype" w:hAnsi="Palatino Linotype" w:cs="Palatino Linotype"/>
        </w:rPr>
        <w:t xml:space="preserve"> otorgada</w:t>
      </w:r>
      <w:r>
        <w:rPr>
          <w:rFonts w:ascii="Palatino Linotype" w:eastAsia="Palatino Linotype" w:hAnsi="Palatino Linotype" w:cs="Palatino Linotype"/>
        </w:rPr>
        <w:t xml:space="preserve"> por </w:t>
      </w:r>
      <w:r w:rsidR="00EA2DA0" w:rsidRPr="00EA2DA0">
        <w:rPr>
          <w:rFonts w:ascii="Palatino Linotype" w:eastAsia="Palatino Linotype" w:hAnsi="Palatino Linotype" w:cs="Palatino Linotype"/>
          <w:b/>
        </w:rPr>
        <w:t xml:space="preserve">El </w:t>
      </w:r>
      <w:r>
        <w:rPr>
          <w:rFonts w:ascii="Palatino Linotype" w:eastAsia="Palatino Linotype" w:hAnsi="Palatino Linotype" w:cs="Palatino Linotype"/>
          <w:b/>
        </w:rPr>
        <w:t>SUJETO OBLIGADO</w:t>
      </w:r>
      <w:r w:rsidR="00DD04A0">
        <w:rPr>
          <w:rFonts w:ascii="Palatino Linotype" w:eastAsia="Palatino Linotype" w:hAnsi="Palatino Linotype" w:cs="Palatino Linotype"/>
        </w:rPr>
        <w:t>,</w:t>
      </w:r>
      <w:r>
        <w:rPr>
          <w:rFonts w:ascii="Palatino Linotype" w:eastAsia="Palatino Linotype" w:hAnsi="Palatino Linotype" w:cs="Palatino Linotype"/>
        </w:rPr>
        <w:t xml:space="preserve"> la</w:t>
      </w:r>
      <w:r w:rsidR="00DD04A0">
        <w:rPr>
          <w:rFonts w:ascii="Palatino Linotype" w:eastAsia="Palatino Linotype" w:hAnsi="Palatino Linotype" w:cs="Palatino Linotype"/>
        </w:rPr>
        <w:t>s cuales versan en los siguientes términos</w:t>
      </w:r>
      <w:r>
        <w:rPr>
          <w:rFonts w:ascii="Palatino Linotype" w:eastAsia="Palatino Linotype" w:hAnsi="Palatino Linotype" w:cs="Palatino Linotype"/>
        </w:rPr>
        <w:t xml:space="preserve">: </w:t>
      </w:r>
    </w:p>
    <w:p w14:paraId="6DB6F247" w14:textId="77777777" w:rsidR="00427C7F" w:rsidRDefault="00427C7F" w:rsidP="00C83CB6">
      <w:pPr>
        <w:spacing w:line="360" w:lineRule="auto"/>
        <w:jc w:val="both"/>
        <w:rPr>
          <w:rFonts w:ascii="Palatino Linotype" w:hAnsi="Palatino Linotype" w:cs="Arial"/>
          <w:color w:val="000000" w:themeColor="text1"/>
        </w:rPr>
      </w:pPr>
    </w:p>
    <w:tbl>
      <w:tblPr>
        <w:tblStyle w:val="Tablaconcuadrcula"/>
        <w:tblW w:w="0" w:type="auto"/>
        <w:jc w:val="center"/>
        <w:tblLook w:val="04A0" w:firstRow="1" w:lastRow="0" w:firstColumn="1" w:lastColumn="0" w:noHBand="0" w:noVBand="1"/>
      </w:tblPr>
      <w:tblGrid>
        <w:gridCol w:w="3717"/>
        <w:gridCol w:w="5492"/>
      </w:tblGrid>
      <w:tr w:rsidR="00EA2DA0" w:rsidRPr="002B2570" w14:paraId="6EAF385F" w14:textId="77777777" w:rsidTr="00EA2DA0">
        <w:trPr>
          <w:trHeight w:val="471"/>
          <w:tblHeader/>
          <w:jc w:val="center"/>
        </w:trPr>
        <w:tc>
          <w:tcPr>
            <w:tcW w:w="3717" w:type="dxa"/>
            <w:shd w:val="clear" w:color="auto" w:fill="000000" w:themeFill="text1"/>
            <w:vAlign w:val="center"/>
          </w:tcPr>
          <w:p w14:paraId="401FDA1A" w14:textId="3FDF617A" w:rsidR="00EA2DA0" w:rsidRPr="002B2570" w:rsidRDefault="00EA2DA0" w:rsidP="00A246D2">
            <w:pPr>
              <w:tabs>
                <w:tab w:val="left" w:pos="709"/>
              </w:tabs>
              <w:spacing w:before="100" w:beforeAutospacing="1" w:after="100" w:afterAutospacing="1" w:line="360" w:lineRule="auto"/>
              <w:jc w:val="center"/>
              <w:rPr>
                <w:rFonts w:ascii="Palatino Linotype" w:hAnsi="Palatino Linotype"/>
                <w:b/>
                <w:color w:val="FFFFFF" w:themeColor="background1"/>
                <w:sz w:val="16"/>
                <w:szCs w:val="16"/>
                <w:lang w:eastAsia="es-ES"/>
              </w:rPr>
            </w:pPr>
            <w:r w:rsidRPr="002B2570">
              <w:rPr>
                <w:rFonts w:ascii="Palatino Linotype" w:hAnsi="Palatino Linotype"/>
                <w:b/>
                <w:color w:val="FFFFFF" w:themeColor="background1"/>
                <w:sz w:val="16"/>
                <w:szCs w:val="16"/>
                <w:lang w:eastAsia="es-ES"/>
              </w:rPr>
              <w:t>Solicitud</w:t>
            </w:r>
          </w:p>
        </w:tc>
        <w:tc>
          <w:tcPr>
            <w:tcW w:w="5492" w:type="dxa"/>
            <w:shd w:val="clear" w:color="auto" w:fill="000000" w:themeFill="text1"/>
            <w:vAlign w:val="center"/>
          </w:tcPr>
          <w:p w14:paraId="20FEEBF7" w14:textId="069C207B" w:rsidR="00EA2DA0" w:rsidRPr="002B2570" w:rsidRDefault="00EA2DA0" w:rsidP="00A246D2">
            <w:pPr>
              <w:tabs>
                <w:tab w:val="left" w:pos="709"/>
              </w:tabs>
              <w:spacing w:before="100" w:beforeAutospacing="1" w:after="100" w:afterAutospacing="1" w:line="360" w:lineRule="auto"/>
              <w:jc w:val="center"/>
              <w:rPr>
                <w:rFonts w:ascii="Palatino Linotype" w:hAnsi="Palatino Linotype"/>
                <w:b/>
                <w:color w:val="FFFFFF" w:themeColor="background1"/>
                <w:sz w:val="16"/>
                <w:szCs w:val="16"/>
                <w:lang w:eastAsia="es-ES"/>
              </w:rPr>
            </w:pPr>
            <w:r>
              <w:rPr>
                <w:rFonts w:ascii="Palatino Linotype" w:hAnsi="Palatino Linotype"/>
                <w:b/>
                <w:color w:val="FFFFFF" w:themeColor="background1"/>
                <w:sz w:val="16"/>
                <w:szCs w:val="16"/>
                <w:lang w:eastAsia="es-ES"/>
              </w:rPr>
              <w:t xml:space="preserve">Respuesta del Sujeto Obligado </w:t>
            </w:r>
          </w:p>
        </w:tc>
      </w:tr>
      <w:tr w:rsidR="00EA2DA0" w:rsidRPr="002B2570" w14:paraId="73613702" w14:textId="77777777" w:rsidTr="00EA2DA0">
        <w:trPr>
          <w:jc w:val="center"/>
        </w:trPr>
        <w:tc>
          <w:tcPr>
            <w:tcW w:w="3717" w:type="dxa"/>
            <w:vAlign w:val="center"/>
          </w:tcPr>
          <w:p w14:paraId="08A9BBC8" w14:textId="33326A7E" w:rsidR="00EA2DA0" w:rsidRPr="00331725" w:rsidRDefault="00331725" w:rsidP="003A5A71">
            <w:pPr>
              <w:spacing w:line="360" w:lineRule="auto"/>
              <w:jc w:val="both"/>
              <w:rPr>
                <w:rFonts w:ascii="Palatino Linotype" w:hAnsi="Palatino Linotype" w:cs="Arial"/>
                <w:lang w:val="es-ES"/>
              </w:rPr>
            </w:pPr>
            <w:r>
              <w:rPr>
                <w:rFonts w:ascii="Palatino Linotype" w:hAnsi="Palatino Linotype" w:cs="Arial"/>
                <w:i/>
              </w:rPr>
              <w:t>“</w:t>
            </w:r>
            <w:r w:rsidR="003A5A71" w:rsidRPr="003A5A71">
              <w:rPr>
                <w:rFonts w:ascii="Palatino Linotype" w:hAnsi="Palatino Linotype" w:cs="Arial"/>
                <w:i/>
              </w:rPr>
              <w:t xml:space="preserve">SE ADJUNTA AL PRESENTE LA SOLICITUD DE INFORMACION REFERENTE AL POZO DE AGUA QUE SE ENCUENTRA EN EL CONJUNTO URBANO LA PIEDAD, TODA VEZ QUE EL </w:t>
            </w:r>
            <w:r w:rsidR="003A5A71" w:rsidRPr="003A5A71">
              <w:rPr>
                <w:rFonts w:ascii="Palatino Linotype" w:hAnsi="Palatino Linotype" w:cs="Arial"/>
                <w:i/>
              </w:rPr>
              <w:lastRenderedPageBreak/>
              <w:t>AYUNTAMIENTO DE CUAUTITLAN IZCALLI SE DECLARA INCOMPETENTE PARA ENVIAR LO SOLICITADO, ADJUNTO AL PRESENTE LA SOLICITUD DE INFORMACION, ESPERANDO ESTA SEA ATENDIDA</w:t>
            </w:r>
            <w:r>
              <w:rPr>
                <w:rFonts w:ascii="Palatino Linotype" w:hAnsi="Palatino Linotype" w:cs="Arial"/>
                <w:i/>
              </w:rPr>
              <w:t>” (Sic) (Énfasis añadido)</w:t>
            </w:r>
          </w:p>
        </w:tc>
        <w:tc>
          <w:tcPr>
            <w:tcW w:w="5492" w:type="dxa"/>
            <w:vAlign w:val="center"/>
          </w:tcPr>
          <w:p w14:paraId="708FDB29" w14:textId="20FABE8D" w:rsidR="0084146E" w:rsidRDefault="0084146E" w:rsidP="00331725">
            <w:pPr>
              <w:ind w:left="567" w:right="577"/>
              <w:rPr>
                <w:rFonts w:ascii="Palatino Linotype" w:hAnsi="Palatino Linotype" w:cs="Arial"/>
                <w:i/>
              </w:rPr>
            </w:pPr>
            <w:r>
              <w:rPr>
                <w:rFonts w:ascii="Palatino Linotype" w:hAnsi="Palatino Linotype" w:cs="Arial"/>
                <w:i/>
              </w:rPr>
              <w:lastRenderedPageBreak/>
              <w:t xml:space="preserve">“DIRECCION DE CONSTRUCCIÓN Y OPERACIÓN HIDRÁULICA </w:t>
            </w:r>
          </w:p>
          <w:p w14:paraId="349C6C64" w14:textId="59D796B9" w:rsidR="0084146E" w:rsidRDefault="0084146E" w:rsidP="00331725">
            <w:pPr>
              <w:ind w:left="567" w:right="577"/>
              <w:rPr>
                <w:rFonts w:ascii="Palatino Linotype" w:hAnsi="Palatino Linotype" w:cs="Arial"/>
                <w:i/>
              </w:rPr>
            </w:pPr>
            <w:r>
              <w:rPr>
                <w:rFonts w:ascii="Palatino Linotype" w:hAnsi="Palatino Linotype" w:cs="Arial"/>
                <w:i/>
              </w:rPr>
              <w:t>NO. DE OFICIO: DCOH/0838/2022</w:t>
            </w:r>
          </w:p>
          <w:p w14:paraId="6495DE74" w14:textId="297DF529" w:rsidR="0084146E" w:rsidRDefault="0084146E" w:rsidP="0084146E">
            <w:pPr>
              <w:ind w:left="567" w:right="577"/>
              <w:rPr>
                <w:rFonts w:ascii="Palatino Linotype" w:hAnsi="Palatino Linotype" w:cs="Arial"/>
                <w:i/>
              </w:rPr>
            </w:pPr>
            <w:r>
              <w:rPr>
                <w:rFonts w:ascii="Palatino Linotype" w:hAnsi="Palatino Linotype" w:cs="Arial"/>
                <w:i/>
              </w:rPr>
              <w:t>ASUNTO: Solicitud de Información Pública Folio 00079/OASCUATIZC/IP/2022.</w:t>
            </w:r>
          </w:p>
          <w:p w14:paraId="6032FB63" w14:textId="77777777" w:rsidR="0084146E" w:rsidRDefault="0084146E" w:rsidP="0084146E">
            <w:pPr>
              <w:ind w:left="567" w:right="577"/>
              <w:rPr>
                <w:rFonts w:ascii="Palatino Linotype" w:hAnsi="Palatino Linotype" w:cs="Arial"/>
                <w:i/>
              </w:rPr>
            </w:pPr>
          </w:p>
          <w:p w14:paraId="01FD25D4" w14:textId="06FDB47C" w:rsidR="0084146E" w:rsidRDefault="0084146E" w:rsidP="0084146E">
            <w:pPr>
              <w:ind w:left="567" w:right="577"/>
              <w:rPr>
                <w:rFonts w:ascii="Palatino Linotype" w:hAnsi="Palatino Linotype" w:cs="Arial"/>
                <w:i/>
              </w:rPr>
            </w:pPr>
            <w:r>
              <w:rPr>
                <w:rFonts w:ascii="Palatino Linotype" w:hAnsi="Palatino Linotype" w:cs="Arial"/>
                <w:i/>
              </w:rPr>
              <w:t>…</w:t>
            </w:r>
          </w:p>
          <w:p w14:paraId="4E01B0F1" w14:textId="5A8DC86F" w:rsidR="0084146E" w:rsidRDefault="0084146E" w:rsidP="0084146E">
            <w:pPr>
              <w:ind w:left="567" w:right="577"/>
              <w:rPr>
                <w:rFonts w:ascii="Palatino Linotype" w:hAnsi="Palatino Linotype" w:cs="Arial"/>
                <w:i/>
              </w:rPr>
            </w:pPr>
            <w:r>
              <w:rPr>
                <w:rFonts w:ascii="Palatino Linotype" w:hAnsi="Palatino Linotype" w:cs="Arial"/>
                <w:i/>
              </w:rPr>
              <w:t xml:space="preserve">Al respecto me permito informarle a Usted, que el motivo por el cual aún no entra en </w:t>
            </w:r>
            <w:r>
              <w:rPr>
                <w:rFonts w:ascii="Palatino Linotype" w:hAnsi="Palatino Linotype" w:cs="Arial"/>
                <w:i/>
              </w:rPr>
              <w:lastRenderedPageBreak/>
              <w:t>funcionamiento el pozo de la Piedad, obedece a que se requiere la construcción de una línea de conducción, la cual no fue concluida en el proyecto original: en ese sentido, actualmente se están realizando las acciones necesarias para proponer su construcción en el próximo ejercicio fiscal 2023.</w:t>
            </w:r>
          </w:p>
          <w:p w14:paraId="43ED9E97" w14:textId="77777777" w:rsidR="0084146E" w:rsidRDefault="0084146E" w:rsidP="0084146E">
            <w:pPr>
              <w:ind w:left="567" w:right="577"/>
              <w:rPr>
                <w:rFonts w:ascii="Palatino Linotype" w:hAnsi="Palatino Linotype" w:cs="Arial"/>
                <w:i/>
              </w:rPr>
            </w:pPr>
          </w:p>
          <w:p w14:paraId="0DE9E964" w14:textId="3A07E47C" w:rsidR="0084146E" w:rsidRDefault="0084146E" w:rsidP="0084146E">
            <w:pPr>
              <w:ind w:left="567" w:right="577"/>
              <w:rPr>
                <w:rFonts w:ascii="Palatino Linotype" w:hAnsi="Palatino Linotype" w:cs="Arial"/>
                <w:i/>
              </w:rPr>
            </w:pPr>
            <w:r>
              <w:rPr>
                <w:rFonts w:ascii="Palatino Linotype" w:hAnsi="Palatino Linotype" w:cs="Arial"/>
                <w:i/>
              </w:rPr>
              <w:t xml:space="preserve">Lo anterior con fundamento en lo dispuesto en el artículo 12 segundo párrafo, y en demás artículos aplicables de la Ley de Transparencia y Acceso a la Información Pública del Estado de México y Municipios y Acceso a la Información Pública del Estado de México y Municipios. </w:t>
            </w:r>
          </w:p>
          <w:p w14:paraId="3963E1DF" w14:textId="77777777" w:rsidR="0084146E" w:rsidRDefault="0084146E" w:rsidP="0084146E">
            <w:pPr>
              <w:ind w:left="567" w:right="577"/>
              <w:rPr>
                <w:rFonts w:ascii="Palatino Linotype" w:hAnsi="Palatino Linotype" w:cs="Arial"/>
                <w:i/>
              </w:rPr>
            </w:pPr>
          </w:p>
          <w:p w14:paraId="07A35E04" w14:textId="77777777" w:rsidR="00331725" w:rsidRDefault="00331725" w:rsidP="00560F05">
            <w:pPr>
              <w:ind w:right="577"/>
              <w:rPr>
                <w:rFonts w:ascii="Palatino Linotype" w:hAnsi="Palatino Linotype" w:cs="Arial"/>
                <w:i/>
              </w:rPr>
            </w:pPr>
            <w:r>
              <w:rPr>
                <w:rFonts w:ascii="Palatino Linotype" w:hAnsi="Palatino Linotype" w:cs="Arial"/>
                <w:i/>
              </w:rPr>
              <w:t>ATENTAMENTE</w:t>
            </w:r>
          </w:p>
          <w:p w14:paraId="501B6726" w14:textId="1EE325CB" w:rsidR="0084146E" w:rsidRDefault="0084146E" w:rsidP="00331725">
            <w:pPr>
              <w:tabs>
                <w:tab w:val="left" w:pos="709"/>
              </w:tabs>
              <w:jc w:val="both"/>
              <w:rPr>
                <w:rFonts w:ascii="Palatino Linotype" w:hAnsi="Palatino Linotype" w:cs="Arial"/>
                <w:i/>
              </w:rPr>
            </w:pPr>
            <w:r>
              <w:rPr>
                <w:rFonts w:ascii="Palatino Linotype" w:hAnsi="Palatino Linotype" w:cs="Arial"/>
                <w:i/>
              </w:rPr>
              <w:t xml:space="preserve">HÉCTOR ANTONIO TORRES GARCÍA </w:t>
            </w:r>
          </w:p>
          <w:p w14:paraId="7295AED6" w14:textId="23384BB9" w:rsidR="00EA2DA0" w:rsidRPr="002B2570" w:rsidRDefault="0084146E" w:rsidP="00331725">
            <w:pPr>
              <w:tabs>
                <w:tab w:val="left" w:pos="709"/>
              </w:tabs>
              <w:jc w:val="both"/>
              <w:rPr>
                <w:rFonts w:ascii="Palatino Linotype" w:hAnsi="Palatino Linotype"/>
                <w:b/>
                <w:i/>
                <w:sz w:val="16"/>
                <w:szCs w:val="16"/>
                <w:lang w:eastAsia="es-ES"/>
              </w:rPr>
            </w:pPr>
            <w:r>
              <w:rPr>
                <w:rFonts w:ascii="Palatino Linotype" w:hAnsi="Palatino Linotype" w:cs="Arial"/>
                <w:i/>
              </w:rPr>
              <w:t xml:space="preserve">DIRECTOR DE CONSTRUCCIÓN Y OPERACIÓN HIDRÁULICA DE OPERAGUA IZCALLI, O.P.D.P. </w:t>
            </w:r>
            <w:r w:rsidR="00331725">
              <w:rPr>
                <w:rFonts w:ascii="Palatino Linotype" w:hAnsi="Palatino Linotype" w:cs="Arial"/>
                <w:i/>
              </w:rPr>
              <w:t>”  (Sic)</w:t>
            </w:r>
          </w:p>
        </w:tc>
      </w:tr>
    </w:tbl>
    <w:p w14:paraId="1B14C46F" w14:textId="77777777" w:rsidR="007B2389" w:rsidRDefault="007B2389" w:rsidP="00D43AA3">
      <w:pPr>
        <w:pStyle w:val="Prrafodelista"/>
        <w:widowControl w:val="0"/>
        <w:autoSpaceDE w:val="0"/>
        <w:autoSpaceDN w:val="0"/>
        <w:adjustRightInd w:val="0"/>
        <w:spacing w:line="360" w:lineRule="auto"/>
        <w:ind w:left="0"/>
        <w:jc w:val="both"/>
        <w:rPr>
          <w:rFonts w:ascii="Palatino Linotype" w:hAnsi="Palatino Linotype" w:cs="Arial"/>
        </w:rPr>
      </w:pPr>
      <w:bookmarkStart w:id="1" w:name="_Hlk63244169"/>
    </w:p>
    <w:p w14:paraId="033D3C7C" w14:textId="77777777" w:rsidR="00D43AA3" w:rsidRDefault="00164CD3" w:rsidP="00D43AA3">
      <w:pPr>
        <w:pStyle w:val="Prrafodelista"/>
        <w:widowControl w:val="0"/>
        <w:autoSpaceDE w:val="0"/>
        <w:autoSpaceDN w:val="0"/>
        <w:adjustRightInd w:val="0"/>
        <w:spacing w:line="360" w:lineRule="auto"/>
        <w:ind w:left="0"/>
        <w:jc w:val="both"/>
        <w:rPr>
          <w:rFonts w:ascii="Palatino Linotype" w:hAnsi="Palatino Linotype"/>
          <w:color w:val="000000" w:themeColor="text1"/>
        </w:rPr>
      </w:pPr>
      <w:r>
        <w:rPr>
          <w:rFonts w:ascii="Palatino Linotype" w:hAnsi="Palatino Linotype" w:cs="Arial"/>
        </w:rPr>
        <w:t xml:space="preserve">Ante ello, </w:t>
      </w:r>
      <w:r w:rsidRPr="007F5ED6">
        <w:rPr>
          <w:rFonts w:ascii="Palatino Linotype" w:hAnsi="Palatino Linotype" w:cs="Arial"/>
          <w:b/>
        </w:rPr>
        <w:t>E</w:t>
      </w:r>
      <w:r w:rsidRPr="004F2D8D">
        <w:rPr>
          <w:rFonts w:ascii="Palatino Linotype" w:hAnsi="Palatino Linotype" w:cs="Arial"/>
          <w:b/>
        </w:rPr>
        <w:t>L RECURRENTE</w:t>
      </w:r>
      <w:r>
        <w:rPr>
          <w:rFonts w:ascii="Palatino Linotype" w:hAnsi="Palatino Linotype" w:cs="Arial"/>
        </w:rPr>
        <w:t xml:space="preserve"> interpuso el presente Recurso de Revisión, </w:t>
      </w:r>
      <w:r w:rsidR="00877753" w:rsidRPr="00FE60CF">
        <w:rPr>
          <w:rFonts w:ascii="Palatino Linotype" w:hAnsi="Palatino Linotype"/>
          <w:color w:val="000000" w:themeColor="text1"/>
        </w:rPr>
        <w:t>materia del presente asunto,</w:t>
      </w:r>
      <w:r w:rsidR="00877753">
        <w:rPr>
          <w:rFonts w:ascii="Palatino Linotype" w:hAnsi="Palatino Linotype"/>
          <w:color w:val="000000" w:themeColor="text1"/>
        </w:rPr>
        <w:t xml:space="preserve"> en el que señaló como: </w:t>
      </w:r>
    </w:p>
    <w:p w14:paraId="208253DA" w14:textId="77777777" w:rsidR="00D43AA3" w:rsidRDefault="00D43AA3" w:rsidP="00D43AA3">
      <w:pPr>
        <w:pStyle w:val="Prrafodelista"/>
        <w:widowControl w:val="0"/>
        <w:autoSpaceDE w:val="0"/>
        <w:autoSpaceDN w:val="0"/>
        <w:adjustRightInd w:val="0"/>
        <w:spacing w:line="360" w:lineRule="auto"/>
        <w:ind w:left="0"/>
        <w:jc w:val="both"/>
        <w:rPr>
          <w:rFonts w:ascii="Palatino Linotype" w:hAnsi="Palatino Linotype"/>
          <w:color w:val="000000" w:themeColor="text1"/>
        </w:rPr>
      </w:pPr>
    </w:p>
    <w:p w14:paraId="6987735C" w14:textId="5F46218F" w:rsidR="00877753" w:rsidRPr="00D43AA3" w:rsidRDefault="00877753" w:rsidP="00D43AA3">
      <w:pPr>
        <w:pStyle w:val="Prrafodelista"/>
        <w:widowControl w:val="0"/>
        <w:autoSpaceDE w:val="0"/>
        <w:autoSpaceDN w:val="0"/>
        <w:adjustRightInd w:val="0"/>
        <w:spacing w:line="360" w:lineRule="auto"/>
        <w:ind w:left="0"/>
        <w:jc w:val="both"/>
        <w:rPr>
          <w:rFonts w:ascii="Palatino Linotype" w:hAnsi="Palatino Linotype"/>
          <w:color w:val="000000" w:themeColor="text1"/>
        </w:rPr>
      </w:pPr>
      <w:r w:rsidRPr="00FE60CF">
        <w:rPr>
          <w:rFonts w:ascii="Palatino Linotype" w:hAnsi="Palatino Linotype" w:cs="Arial"/>
          <w:b/>
          <w:color w:val="000000" w:themeColor="text1"/>
        </w:rPr>
        <w:t xml:space="preserve">Acto impugnado: </w:t>
      </w:r>
    </w:p>
    <w:p w14:paraId="0C617128" w14:textId="67D7E46B" w:rsidR="00877753" w:rsidRPr="00FE60CF" w:rsidRDefault="00877753" w:rsidP="00877753">
      <w:pPr>
        <w:ind w:left="851" w:right="899"/>
        <w:jc w:val="both"/>
        <w:rPr>
          <w:rFonts w:ascii="Palatino Linotype" w:hAnsi="Palatino Linotype" w:cs="Arial"/>
          <w:i/>
          <w:color w:val="000000" w:themeColor="text1"/>
          <w:sz w:val="22"/>
        </w:rPr>
      </w:pPr>
      <w:r w:rsidRPr="00FE60CF">
        <w:rPr>
          <w:rFonts w:ascii="Palatino Linotype" w:hAnsi="Palatino Linotype" w:cs="Arial"/>
          <w:i/>
          <w:color w:val="000000" w:themeColor="text1"/>
          <w:sz w:val="22"/>
        </w:rPr>
        <w:t>“</w:t>
      </w:r>
      <w:r w:rsidRPr="00877753">
        <w:rPr>
          <w:rFonts w:ascii="Palatino Linotype" w:hAnsi="Palatino Linotype" w:cs="Arial"/>
          <w:i/>
          <w:color w:val="000000" w:themeColor="text1"/>
          <w:sz w:val="22"/>
        </w:rPr>
        <w:t xml:space="preserve">INFORMACION INCOMPLETA, SOLICITE SSABER CUANDO ENTRA EN FUNCIONES EL POZO DE AGUA Y ME CONTESTA QUE NO ESTA FUNCIONANDO, ESO YA SE SABE, DICE QUE DEBIDO A LA FALTA DE LA "CONSTRUCCION DE UNA LINEA DE CONDUCCION" QUE ES UNA LINEA DE CONDUCCION?? EN LA PARTE EXTERNA DEL POZO SE OBSERVA UNA PLANTA DE LUZ EN COLOR VERDE, QUE FALTA PARA SU FUNCIONAMIENTO DICHO POZO, EL AGUA FUE PARTE DE LA PROMESA </w:t>
      </w:r>
      <w:r w:rsidRPr="00877753">
        <w:rPr>
          <w:rFonts w:ascii="Palatino Linotype" w:hAnsi="Palatino Linotype" w:cs="Arial"/>
          <w:i/>
          <w:color w:val="000000" w:themeColor="text1"/>
          <w:sz w:val="22"/>
        </w:rPr>
        <w:lastRenderedPageBreak/>
        <w:t>DE CAMPAÑA DE KARLA FIESCO, Y LO DEJAN PARA EL SIGUIENTE AÑO</w:t>
      </w:r>
      <w:r w:rsidRPr="00FE60CF">
        <w:rPr>
          <w:rFonts w:ascii="Palatino Linotype" w:hAnsi="Palatino Linotype" w:cs="Arial"/>
          <w:i/>
          <w:color w:val="000000" w:themeColor="text1"/>
          <w:sz w:val="22"/>
        </w:rPr>
        <w:t>” (sic)</w:t>
      </w:r>
    </w:p>
    <w:p w14:paraId="113ED21E" w14:textId="77777777" w:rsidR="00877753" w:rsidRPr="00FE60CF" w:rsidRDefault="00877753" w:rsidP="00877753">
      <w:pPr>
        <w:ind w:right="899"/>
        <w:jc w:val="both"/>
        <w:rPr>
          <w:rFonts w:ascii="Palatino Linotype" w:hAnsi="Palatino Linotype" w:cs="Arial"/>
          <w:i/>
          <w:color w:val="000000" w:themeColor="text1"/>
          <w:sz w:val="22"/>
        </w:rPr>
      </w:pPr>
    </w:p>
    <w:p w14:paraId="1C0D5FF0" w14:textId="6BC0ABF0" w:rsidR="00877753" w:rsidRPr="00877753" w:rsidRDefault="00877753" w:rsidP="00877753">
      <w:pPr>
        <w:spacing w:line="360" w:lineRule="auto"/>
        <w:ind w:right="899"/>
        <w:jc w:val="both"/>
        <w:rPr>
          <w:rFonts w:ascii="Palatino Linotype" w:hAnsi="Palatino Linotype" w:cs="Arial"/>
          <w:b/>
          <w:color w:val="000000" w:themeColor="text1"/>
        </w:rPr>
      </w:pPr>
      <w:r w:rsidRPr="00FE60CF">
        <w:rPr>
          <w:rFonts w:ascii="Palatino Linotype" w:hAnsi="Palatino Linotype" w:cs="Arial"/>
          <w:b/>
          <w:color w:val="000000" w:themeColor="text1"/>
        </w:rPr>
        <w:t>Así como, raz</w:t>
      </w:r>
      <w:r>
        <w:rPr>
          <w:rFonts w:ascii="Palatino Linotype" w:hAnsi="Palatino Linotype" w:cs="Arial"/>
          <w:b/>
          <w:color w:val="000000" w:themeColor="text1"/>
        </w:rPr>
        <w:t>ones o motivos de inconformidad:</w:t>
      </w:r>
    </w:p>
    <w:p w14:paraId="014A6A59" w14:textId="4266D6D5" w:rsidR="00877753" w:rsidRPr="00FE60CF" w:rsidRDefault="00877753" w:rsidP="00877753">
      <w:pPr>
        <w:ind w:left="851" w:right="899"/>
        <w:jc w:val="both"/>
        <w:rPr>
          <w:rFonts w:ascii="Palatino Linotype" w:hAnsi="Palatino Linotype" w:cs="Arial"/>
          <w:i/>
          <w:color w:val="000000" w:themeColor="text1"/>
          <w:sz w:val="22"/>
        </w:rPr>
      </w:pPr>
      <w:r w:rsidRPr="00FE60CF">
        <w:rPr>
          <w:rFonts w:ascii="Palatino Linotype" w:hAnsi="Palatino Linotype" w:cs="Arial"/>
          <w:i/>
          <w:color w:val="000000" w:themeColor="text1"/>
          <w:sz w:val="22"/>
        </w:rPr>
        <w:t>“</w:t>
      </w:r>
      <w:r w:rsidRPr="00877753">
        <w:rPr>
          <w:rFonts w:ascii="Palatino Linotype" w:hAnsi="Palatino Linotype" w:cs="Arial"/>
          <w:i/>
          <w:color w:val="000000" w:themeColor="text1"/>
          <w:sz w:val="22"/>
        </w:rPr>
        <w:t>INFORMACION QUE NO ES CONVINCENTE, DICEN QUE SE NECESITA CONSTRUCCION DE LINEAS, NO DICE LINEAS DE QUE TIPO SI DE AGUA, DE LUZ O DE QUE, ADEMAS ESPERAR AL OTRO AÑO PARA SU CONSTRUCCION, Y OTRO MAS PARA HACER PRUEBAS Y YA SE ACABO LA ADMNISTRACION Y EL POZO</w:t>
      </w:r>
      <w:proofErr w:type="gramStart"/>
      <w:r w:rsidRPr="00877753">
        <w:rPr>
          <w:rFonts w:ascii="Palatino Linotype" w:hAnsi="Palatino Linotype" w:cs="Arial"/>
          <w:i/>
          <w:color w:val="000000" w:themeColor="text1"/>
          <w:sz w:val="22"/>
        </w:rPr>
        <w:t>??</w:t>
      </w:r>
      <w:proofErr w:type="gramEnd"/>
      <w:r w:rsidRPr="00FE60CF">
        <w:rPr>
          <w:rFonts w:ascii="Palatino Linotype" w:hAnsi="Palatino Linotype" w:cs="Arial"/>
          <w:i/>
          <w:color w:val="000000" w:themeColor="text1"/>
          <w:sz w:val="22"/>
        </w:rPr>
        <w:t>” (</w:t>
      </w:r>
      <w:proofErr w:type="gramStart"/>
      <w:r w:rsidRPr="00FE60CF">
        <w:rPr>
          <w:rFonts w:ascii="Palatino Linotype" w:hAnsi="Palatino Linotype" w:cs="Arial"/>
          <w:i/>
          <w:color w:val="000000" w:themeColor="text1"/>
          <w:sz w:val="22"/>
        </w:rPr>
        <w:t>sic</w:t>
      </w:r>
      <w:proofErr w:type="gramEnd"/>
      <w:r w:rsidRPr="00FE60CF">
        <w:rPr>
          <w:rFonts w:ascii="Palatino Linotype" w:hAnsi="Palatino Linotype" w:cs="Arial"/>
          <w:i/>
          <w:color w:val="000000" w:themeColor="text1"/>
          <w:sz w:val="22"/>
        </w:rPr>
        <w:t>)</w:t>
      </w:r>
    </w:p>
    <w:p w14:paraId="1EDE946D" w14:textId="77777777" w:rsidR="00877753" w:rsidRDefault="00877753" w:rsidP="00877753">
      <w:pPr>
        <w:pStyle w:val="Prrafodelista"/>
        <w:widowControl w:val="0"/>
        <w:autoSpaceDE w:val="0"/>
        <w:autoSpaceDN w:val="0"/>
        <w:adjustRightInd w:val="0"/>
        <w:spacing w:line="360" w:lineRule="auto"/>
        <w:ind w:left="0"/>
        <w:jc w:val="both"/>
        <w:rPr>
          <w:rFonts w:ascii="Palatino Linotype" w:hAnsi="Palatino Linotype"/>
          <w:color w:val="000000" w:themeColor="text1"/>
        </w:rPr>
      </w:pPr>
    </w:p>
    <w:p w14:paraId="78EE6373" w14:textId="77777777" w:rsidR="00877753" w:rsidRPr="00C24D48" w:rsidRDefault="00877753" w:rsidP="00877753">
      <w:pPr>
        <w:spacing w:line="360" w:lineRule="auto"/>
        <w:jc w:val="both"/>
        <w:rPr>
          <w:rFonts w:ascii="Palatino Linotype" w:hAnsi="Palatino Linotype"/>
          <w:lang w:val="es-ES_tradnl"/>
        </w:rPr>
      </w:pPr>
      <w:r>
        <w:rPr>
          <w:rFonts w:ascii="Palatino Linotype" w:hAnsi="Palatino Linotype" w:cs="Arial"/>
          <w:lang w:val="es-ES"/>
        </w:rPr>
        <w:t>Por lo anterior, e</w:t>
      </w:r>
      <w:r w:rsidRPr="00C24D48">
        <w:rPr>
          <w:rFonts w:ascii="Palatino Linotype" w:hAnsi="Palatino Linotype" w:cs="Arial"/>
          <w:lang w:val="es-ES"/>
        </w:rPr>
        <w:t xml:space="preserve">s </w:t>
      </w:r>
      <w:r>
        <w:rPr>
          <w:rFonts w:ascii="Palatino Linotype" w:hAnsi="Palatino Linotype" w:cs="Arial"/>
          <w:lang w:val="es-ES"/>
        </w:rPr>
        <w:t>necesario</w:t>
      </w:r>
      <w:r w:rsidRPr="00C24D48">
        <w:rPr>
          <w:rFonts w:ascii="Palatino Linotype" w:hAnsi="Palatino Linotype" w:cs="Arial"/>
          <w:lang w:val="es-ES"/>
        </w:rPr>
        <w:t xml:space="preserve"> precisar que conforme a lo establecido en los artículos </w:t>
      </w:r>
      <w:r w:rsidRPr="00C24D48">
        <w:rPr>
          <w:rFonts w:ascii="Palatino Linotype" w:hAnsi="Palatino Linotype" w:cs="Arial"/>
          <w:color w:val="000000" w:themeColor="text1"/>
        </w:rPr>
        <w:t xml:space="preserve">176 y 179 de la Ley de Transparencia y Acceso a la Información Pública del Estado de México y Municipios, el </w:t>
      </w:r>
      <w:r w:rsidRPr="00C24D48">
        <w:rPr>
          <w:rFonts w:ascii="Palatino Linotype" w:hAnsi="Palatino Linotype" w:cs="Arial"/>
          <w:lang w:val="es-ES"/>
        </w:rPr>
        <w:t>Recurso de Revisión</w:t>
      </w:r>
      <w:r w:rsidRPr="00C24D48">
        <w:rPr>
          <w:rFonts w:ascii="Palatino Linotype" w:hAnsi="Palatino Linotype" w:cs="Arial"/>
          <w:color w:val="000000" w:themeColor="text1"/>
        </w:rPr>
        <w:t xml:space="preserve"> es la garantía secundaria que la Ley otorga a los particulares para reparar cualquier posible afectación a su derecho de Acceso a la Información Pública; siendo éste el medio a través del cual, este Órgano Garante después de realizar el</w:t>
      </w:r>
      <w:r w:rsidRPr="00C24D48">
        <w:rPr>
          <w:rFonts w:ascii="Palatino Linotype" w:hAnsi="Palatino Linotype"/>
          <w:lang w:val="es-ES_tradnl"/>
        </w:rPr>
        <w:t xml:space="preserve"> análisis al procedimiento de Acceso a la Información, podrá determinar la posible afectación y de ser el caso ordenar la reparación a la violación del derecho en cuestión.</w:t>
      </w:r>
    </w:p>
    <w:p w14:paraId="6C6A1E39" w14:textId="77777777" w:rsidR="00877753" w:rsidRPr="00C24D48" w:rsidRDefault="00877753" w:rsidP="00877753">
      <w:pPr>
        <w:spacing w:line="360" w:lineRule="auto"/>
        <w:jc w:val="both"/>
        <w:rPr>
          <w:rFonts w:ascii="Palatino Linotype" w:hAnsi="Palatino Linotype"/>
          <w:lang w:val="es-ES_tradnl"/>
        </w:rPr>
      </w:pPr>
    </w:p>
    <w:p w14:paraId="3E165CD4" w14:textId="77777777" w:rsidR="00877753" w:rsidRPr="00C24D48" w:rsidRDefault="00877753" w:rsidP="00877753">
      <w:pPr>
        <w:spacing w:line="360" w:lineRule="auto"/>
        <w:jc w:val="both"/>
        <w:rPr>
          <w:rFonts w:ascii="Palatino Linotype" w:hAnsi="Palatino Linotype"/>
          <w:bCs/>
          <w:color w:val="000000" w:themeColor="text1"/>
        </w:rPr>
      </w:pPr>
      <w:r w:rsidRPr="00C24D48">
        <w:rPr>
          <w:rFonts w:ascii="Palatino Linotype" w:hAnsi="Palatino Linotype"/>
          <w:bCs/>
          <w:color w:val="000000" w:themeColor="text1"/>
        </w:rPr>
        <w:t>Es así que, la legislación adjetiva establece medios de impugnación o recursos a través de los cuales los particulares o las personas que se consideren afectados en la emisión de un acto de autoridad, cuentan con la posibilidad de impugnar aquél, con el objeto de que la misma autoridad que emitió el acto, o bien, un órgano superior, realice un nuevo análisis del asunto a efecto de determinar la legalidad o ilegalidad del acto que se combate.</w:t>
      </w:r>
    </w:p>
    <w:p w14:paraId="65C062DC" w14:textId="77777777" w:rsidR="00877753" w:rsidRDefault="00877753" w:rsidP="00877753">
      <w:pPr>
        <w:spacing w:line="360" w:lineRule="auto"/>
        <w:jc w:val="both"/>
        <w:rPr>
          <w:rFonts w:ascii="Palatino Linotype" w:hAnsi="Palatino Linotype"/>
          <w:lang w:val="es-ES"/>
        </w:rPr>
      </w:pPr>
    </w:p>
    <w:p w14:paraId="65AB7E3B" w14:textId="77777777" w:rsidR="00877753" w:rsidRPr="00C24D48" w:rsidRDefault="00877753" w:rsidP="00877753">
      <w:pPr>
        <w:spacing w:line="360" w:lineRule="auto"/>
        <w:jc w:val="both"/>
        <w:rPr>
          <w:rFonts w:ascii="Palatino Linotype" w:hAnsi="Palatino Linotype"/>
          <w:bCs/>
          <w:color w:val="000000" w:themeColor="text1"/>
        </w:rPr>
      </w:pPr>
      <w:r w:rsidRPr="00C24D48">
        <w:rPr>
          <w:rFonts w:ascii="Palatino Linotype" w:hAnsi="Palatino Linotype"/>
          <w:bCs/>
          <w:color w:val="000000" w:themeColor="text1"/>
        </w:rPr>
        <w:lastRenderedPageBreak/>
        <w:t>También, es necesario precisar que los medios de impugnación constituyen recursos legales a través de los cuales se corrigen los errores cometidos tanto en el curso del procedimiento, como en el dictado de la resolución.</w:t>
      </w:r>
    </w:p>
    <w:p w14:paraId="7F169085" w14:textId="77777777" w:rsidR="00877753" w:rsidRPr="00C24D48" w:rsidRDefault="00877753" w:rsidP="00877753">
      <w:pPr>
        <w:spacing w:line="360" w:lineRule="auto"/>
        <w:jc w:val="both"/>
        <w:rPr>
          <w:rFonts w:ascii="Palatino Linotype" w:hAnsi="Palatino Linotype"/>
          <w:bCs/>
          <w:color w:val="000000" w:themeColor="text1"/>
        </w:rPr>
      </w:pPr>
    </w:p>
    <w:p w14:paraId="3A724610" w14:textId="1974509C" w:rsidR="00877753" w:rsidRDefault="00877753" w:rsidP="00877753">
      <w:pPr>
        <w:spacing w:line="360" w:lineRule="auto"/>
        <w:jc w:val="both"/>
        <w:rPr>
          <w:rFonts w:ascii="Palatino Linotype" w:hAnsi="Palatino Linotype"/>
          <w:bCs/>
          <w:color w:val="000000" w:themeColor="text1"/>
        </w:rPr>
      </w:pPr>
      <w:r w:rsidRPr="00C24D48">
        <w:rPr>
          <w:rFonts w:ascii="Palatino Linotype" w:hAnsi="Palatino Linotype"/>
          <w:bCs/>
          <w:color w:val="000000" w:themeColor="text1"/>
        </w:rPr>
        <w:t>Derivado de todo lo antes descrito, podemos señalar que la finalidad de los recursos o medios de impugnación tienen como finalidad revocar, confirmar o modificar el acto que se impugna.</w:t>
      </w:r>
    </w:p>
    <w:p w14:paraId="06C0A2FB" w14:textId="77777777" w:rsidR="007B2389" w:rsidRPr="00C24D48" w:rsidRDefault="007B2389" w:rsidP="00877753">
      <w:pPr>
        <w:spacing w:line="360" w:lineRule="auto"/>
        <w:jc w:val="both"/>
        <w:rPr>
          <w:rFonts w:ascii="Palatino Linotype" w:hAnsi="Palatino Linotype"/>
          <w:bCs/>
          <w:color w:val="000000" w:themeColor="text1"/>
        </w:rPr>
      </w:pPr>
    </w:p>
    <w:p w14:paraId="4CF6B42B" w14:textId="77777777" w:rsidR="00877753" w:rsidRPr="00C24D48" w:rsidRDefault="00877753" w:rsidP="00877753">
      <w:pPr>
        <w:spacing w:line="360" w:lineRule="auto"/>
        <w:jc w:val="both"/>
        <w:rPr>
          <w:rFonts w:ascii="Palatino Linotype" w:hAnsi="Palatino Linotype"/>
          <w:bCs/>
          <w:color w:val="000000" w:themeColor="text1"/>
        </w:rPr>
      </w:pPr>
      <w:r w:rsidRPr="00C24D48">
        <w:rPr>
          <w:rFonts w:ascii="Palatino Linotype" w:hAnsi="Palatino Linotype"/>
          <w:bCs/>
          <w:color w:val="000000" w:themeColor="text1"/>
        </w:rPr>
        <w:t xml:space="preserve">Conforme a los argumentos expuestos, se afirma que la finalidad de un recurso o medio de impugnación consiste en que ya sea la misma autoridad que emite el acto, un superior o distinta autoridad, estudie la legalidad de la resolución que se impugna con el objeto confirmar, revocar o modificar éste; por ende, para lograr este objetivo es indispensable que </w:t>
      </w:r>
      <w:r w:rsidRPr="00C24D48">
        <w:rPr>
          <w:rFonts w:ascii="Palatino Linotype" w:hAnsi="Palatino Linotype"/>
          <w:b/>
          <w:color w:val="000000" w:themeColor="text1"/>
        </w:rPr>
        <w:t>EL RECURRENTE</w:t>
      </w:r>
      <w:r w:rsidRPr="00C24D48">
        <w:rPr>
          <w:rFonts w:ascii="Palatino Linotype" w:hAnsi="Palatino Linotype"/>
          <w:bCs/>
          <w:color w:val="000000" w:themeColor="text1"/>
        </w:rPr>
        <w:t>, señale la causa, motivo o circunstancia por la que considera que el acto que impugna le causa perjuicio o lesión a sus intereses.</w:t>
      </w:r>
    </w:p>
    <w:p w14:paraId="2F6AC617" w14:textId="77777777" w:rsidR="00877753" w:rsidRPr="00C24D48" w:rsidRDefault="00877753" w:rsidP="00877753">
      <w:pPr>
        <w:spacing w:line="360" w:lineRule="auto"/>
        <w:jc w:val="both"/>
        <w:rPr>
          <w:rFonts w:ascii="Palatino Linotype" w:hAnsi="Palatino Linotype"/>
          <w:bCs/>
          <w:color w:val="000000" w:themeColor="text1"/>
        </w:rPr>
      </w:pPr>
    </w:p>
    <w:p w14:paraId="2E3E2C7C" w14:textId="77777777" w:rsidR="00877753" w:rsidRPr="00C24D48" w:rsidRDefault="00877753" w:rsidP="00877753">
      <w:pPr>
        <w:spacing w:line="360" w:lineRule="auto"/>
        <w:jc w:val="both"/>
        <w:rPr>
          <w:rFonts w:ascii="Palatino Linotype" w:hAnsi="Palatino Linotype"/>
          <w:bCs/>
          <w:color w:val="000000" w:themeColor="text1"/>
        </w:rPr>
      </w:pPr>
      <w:r w:rsidRPr="00C24D48">
        <w:rPr>
          <w:rFonts w:ascii="Palatino Linotype" w:hAnsi="Palatino Linotype"/>
          <w:bCs/>
          <w:color w:val="000000" w:themeColor="text1"/>
        </w:rPr>
        <w:t>Asimismo, es importante destacar que los motivos de inconformidad o agravios expresados en un Recurso de Revisión deben tener por objeto combatir los argumentos sustentados en la respuesta impugnada, lo que implica que el límite de un recurso es el estudio efectuado a los motivos de inconformidad que deben necesariamente tener relación directa con la materia del acto combatido.</w:t>
      </w:r>
    </w:p>
    <w:p w14:paraId="531C1F6C" w14:textId="77777777" w:rsidR="00877753" w:rsidRDefault="00877753" w:rsidP="00877753">
      <w:pPr>
        <w:spacing w:line="360" w:lineRule="auto"/>
        <w:jc w:val="both"/>
        <w:rPr>
          <w:rFonts w:ascii="Palatino Linotype" w:hAnsi="Palatino Linotype"/>
          <w:lang w:val="es-ES"/>
        </w:rPr>
      </w:pPr>
    </w:p>
    <w:p w14:paraId="52CEB14F" w14:textId="77777777" w:rsidR="00D43AA3" w:rsidRPr="00C24D48" w:rsidRDefault="00D43AA3" w:rsidP="00D43AA3">
      <w:pPr>
        <w:spacing w:line="360" w:lineRule="auto"/>
        <w:jc w:val="both"/>
        <w:rPr>
          <w:rFonts w:ascii="Palatino Linotype" w:hAnsi="Palatino Linotype"/>
          <w:bCs/>
          <w:color w:val="000000" w:themeColor="text1"/>
        </w:rPr>
      </w:pPr>
      <w:r w:rsidRPr="00C24D48">
        <w:rPr>
          <w:rFonts w:ascii="Palatino Linotype" w:hAnsi="Palatino Linotype"/>
          <w:bCs/>
          <w:color w:val="000000" w:themeColor="text1"/>
        </w:rPr>
        <w:t xml:space="preserve">Lo anterior es así, en atención a que como se ha expuesto, las manifestaciones de las que se duele el </w:t>
      </w:r>
      <w:r w:rsidRPr="00C24D48">
        <w:rPr>
          <w:rFonts w:ascii="Palatino Linotype" w:hAnsi="Palatino Linotype"/>
          <w:b/>
          <w:color w:val="000000" w:themeColor="text1"/>
        </w:rPr>
        <w:t>RECURRENTE</w:t>
      </w:r>
      <w:r w:rsidRPr="00C24D48">
        <w:rPr>
          <w:rFonts w:ascii="Palatino Linotype" w:hAnsi="Palatino Linotype"/>
          <w:bCs/>
          <w:color w:val="000000" w:themeColor="text1"/>
        </w:rPr>
        <w:t xml:space="preserve"> deben llevar un perjuicio o motivo de inconformidad, que es </w:t>
      </w:r>
      <w:r w:rsidRPr="00C24D48">
        <w:rPr>
          <w:rFonts w:ascii="Palatino Linotype" w:hAnsi="Palatino Linotype"/>
          <w:bCs/>
          <w:color w:val="000000" w:themeColor="text1"/>
        </w:rPr>
        <w:lastRenderedPageBreak/>
        <w:t xml:space="preserve">lo que constituye la lesión, menoscabo o afectación que una persona sufre en sus derechos en virtud de la emisión de un acto de autoridad. </w:t>
      </w:r>
    </w:p>
    <w:p w14:paraId="5E750CBF" w14:textId="77777777" w:rsidR="00D43AA3" w:rsidRPr="00C24D48" w:rsidRDefault="00D43AA3" w:rsidP="00D43AA3">
      <w:pPr>
        <w:spacing w:line="360" w:lineRule="auto"/>
        <w:jc w:val="both"/>
        <w:rPr>
          <w:rFonts w:ascii="Palatino Linotype" w:hAnsi="Palatino Linotype"/>
          <w:bCs/>
          <w:color w:val="000000" w:themeColor="text1"/>
        </w:rPr>
      </w:pPr>
    </w:p>
    <w:p w14:paraId="4B76EE8D" w14:textId="77777777" w:rsidR="00D43AA3" w:rsidRPr="00C24D48" w:rsidRDefault="00D43AA3" w:rsidP="00D43AA3">
      <w:pPr>
        <w:spacing w:line="360" w:lineRule="auto"/>
        <w:jc w:val="both"/>
        <w:rPr>
          <w:rFonts w:ascii="Palatino Linotype" w:hAnsi="Palatino Linotype" w:cs="Arial"/>
        </w:rPr>
      </w:pPr>
      <w:r w:rsidRPr="00C24D48">
        <w:rPr>
          <w:rFonts w:ascii="Palatino Linotype" w:hAnsi="Palatino Linotype" w:cs="Arial"/>
          <w:color w:val="000000" w:themeColor="text1"/>
        </w:rPr>
        <w:t xml:space="preserve">Por lo que, del análisis realizado a las manifestaciones vertidas por el particular como acto impugnado; así como razones o motivos de inconformidad, </w:t>
      </w:r>
      <w:r w:rsidRPr="0033140F">
        <w:rPr>
          <w:rFonts w:ascii="Palatino Linotype" w:hAnsi="Palatino Linotype" w:cs="Arial"/>
          <w:b/>
          <w:color w:val="000000" w:themeColor="text1"/>
        </w:rPr>
        <w:t>este Órgano Garante advierte que impugna la veracidad de la información proporcionada</w:t>
      </w:r>
      <w:r w:rsidRPr="00C24D48">
        <w:rPr>
          <w:rFonts w:ascii="Palatino Linotype" w:eastAsia="Arial Unicode MS" w:hAnsi="Palatino Linotype" w:cs="Arial"/>
        </w:rPr>
        <w:t xml:space="preserve">; situación que actualiza la causal de improcedencia establecida en el artículo 191 fracción V, de la </w:t>
      </w:r>
      <w:r w:rsidRPr="00C24D48">
        <w:rPr>
          <w:rFonts w:ascii="Palatino Linotype" w:hAnsi="Palatino Linotype" w:cs="Arial"/>
        </w:rPr>
        <w:t>Ley de Transparencia y Acceso a la Información Pública del Estado de México y Municipios; que a la letra dice:</w:t>
      </w:r>
    </w:p>
    <w:p w14:paraId="2CAA7808" w14:textId="77777777" w:rsidR="00D43AA3" w:rsidRPr="00C24D48" w:rsidRDefault="00D43AA3" w:rsidP="00D43AA3">
      <w:pPr>
        <w:autoSpaceDE w:val="0"/>
        <w:autoSpaceDN w:val="0"/>
        <w:adjustRightInd w:val="0"/>
        <w:ind w:right="49"/>
        <w:jc w:val="both"/>
        <w:rPr>
          <w:rFonts w:ascii="Palatino Linotype" w:hAnsi="Palatino Linotype" w:cs="Arial"/>
        </w:rPr>
      </w:pPr>
    </w:p>
    <w:p w14:paraId="22CB9876" w14:textId="77777777" w:rsidR="00D43AA3" w:rsidRPr="00C24D48" w:rsidRDefault="00D43AA3" w:rsidP="00D43AA3">
      <w:pPr>
        <w:ind w:left="851" w:right="901"/>
        <w:jc w:val="both"/>
        <w:rPr>
          <w:rFonts w:ascii="Palatino Linotype" w:hAnsi="Palatino Linotype" w:cs="Arial"/>
          <w:i/>
          <w:sz w:val="22"/>
          <w:szCs w:val="22"/>
        </w:rPr>
      </w:pPr>
      <w:r w:rsidRPr="00C24D48">
        <w:rPr>
          <w:rFonts w:ascii="Palatino Linotype" w:hAnsi="Palatino Linotype" w:cs="Arial"/>
          <w:i/>
          <w:sz w:val="22"/>
          <w:szCs w:val="22"/>
        </w:rPr>
        <w:t>“</w:t>
      </w:r>
      <w:r w:rsidRPr="00C24D48">
        <w:rPr>
          <w:rFonts w:ascii="Palatino Linotype" w:hAnsi="Palatino Linotype" w:cs="Arial"/>
          <w:b/>
          <w:i/>
          <w:sz w:val="22"/>
          <w:szCs w:val="22"/>
        </w:rPr>
        <w:t xml:space="preserve">Artículo 191. </w:t>
      </w:r>
      <w:r w:rsidRPr="00C24D48">
        <w:rPr>
          <w:rFonts w:ascii="Palatino Linotype" w:hAnsi="Palatino Linotype" w:cs="Arial"/>
          <w:i/>
          <w:sz w:val="22"/>
          <w:szCs w:val="22"/>
        </w:rPr>
        <w:t>El recurso será desechado por improcedente cuando:</w:t>
      </w:r>
    </w:p>
    <w:p w14:paraId="77A49A44" w14:textId="77777777" w:rsidR="00D43AA3" w:rsidRPr="00C24D48" w:rsidRDefault="00D43AA3" w:rsidP="00D43AA3">
      <w:pPr>
        <w:ind w:left="851" w:right="901"/>
        <w:jc w:val="both"/>
        <w:rPr>
          <w:rFonts w:ascii="Palatino Linotype" w:hAnsi="Palatino Linotype" w:cs="Arial"/>
          <w:i/>
          <w:sz w:val="22"/>
          <w:szCs w:val="22"/>
        </w:rPr>
      </w:pPr>
      <w:r w:rsidRPr="00C24D48">
        <w:rPr>
          <w:rFonts w:ascii="Palatino Linotype" w:hAnsi="Palatino Linotype" w:cs="Arial"/>
          <w:i/>
          <w:sz w:val="22"/>
          <w:szCs w:val="22"/>
        </w:rPr>
        <w:t>(…)</w:t>
      </w:r>
    </w:p>
    <w:p w14:paraId="00BF13C6" w14:textId="77777777" w:rsidR="00D43AA3" w:rsidRPr="00C24D48" w:rsidRDefault="00D43AA3" w:rsidP="00D43AA3">
      <w:pPr>
        <w:ind w:left="851" w:right="901"/>
        <w:jc w:val="both"/>
        <w:rPr>
          <w:rFonts w:ascii="Palatino Linotype" w:hAnsi="Palatino Linotype" w:cs="Arial"/>
          <w:b/>
          <w:i/>
          <w:sz w:val="22"/>
          <w:szCs w:val="22"/>
        </w:rPr>
      </w:pPr>
      <w:r w:rsidRPr="00C24D48">
        <w:rPr>
          <w:rFonts w:ascii="Palatino Linotype" w:hAnsi="Palatino Linotype" w:cs="Arial"/>
          <w:b/>
          <w:i/>
          <w:sz w:val="22"/>
          <w:szCs w:val="22"/>
        </w:rPr>
        <w:t>V. Se impugne la veracidad de la información proporcionada;</w:t>
      </w:r>
    </w:p>
    <w:p w14:paraId="3D664A27" w14:textId="77777777" w:rsidR="00D43AA3" w:rsidRPr="00C24D48" w:rsidRDefault="00D43AA3" w:rsidP="00D43AA3">
      <w:pPr>
        <w:ind w:left="851" w:right="901"/>
        <w:jc w:val="both"/>
        <w:rPr>
          <w:rFonts w:ascii="Palatino Linotype" w:hAnsi="Palatino Linotype" w:cs="Arial"/>
          <w:i/>
          <w:sz w:val="22"/>
          <w:szCs w:val="22"/>
        </w:rPr>
      </w:pPr>
      <w:r w:rsidRPr="00C24D48">
        <w:rPr>
          <w:rFonts w:ascii="Palatino Linotype" w:hAnsi="Palatino Linotype" w:cs="Arial"/>
          <w:i/>
          <w:sz w:val="22"/>
          <w:szCs w:val="22"/>
        </w:rPr>
        <w:t>(…)</w:t>
      </w:r>
    </w:p>
    <w:p w14:paraId="18378EFE" w14:textId="77777777" w:rsidR="00D43AA3" w:rsidRPr="00C24D48" w:rsidRDefault="00D43AA3" w:rsidP="00D43AA3">
      <w:pPr>
        <w:jc w:val="both"/>
        <w:rPr>
          <w:rFonts w:ascii="Palatino Linotype" w:hAnsi="Palatino Linotype" w:cs="Arial"/>
          <w:color w:val="000000" w:themeColor="text1"/>
        </w:rPr>
      </w:pPr>
    </w:p>
    <w:p w14:paraId="26755687" w14:textId="77777777" w:rsidR="00D43AA3" w:rsidRPr="00C24D48" w:rsidRDefault="00D43AA3" w:rsidP="00D43AA3">
      <w:pPr>
        <w:spacing w:line="360" w:lineRule="auto"/>
        <w:jc w:val="both"/>
        <w:rPr>
          <w:rFonts w:ascii="Palatino Linotype" w:hAnsi="Palatino Linotype"/>
          <w:color w:val="000000" w:themeColor="text1"/>
          <w:shd w:val="clear" w:color="auto" w:fill="FFFFFF"/>
        </w:rPr>
      </w:pPr>
      <w:r w:rsidRPr="00C24D48">
        <w:rPr>
          <w:rFonts w:ascii="Palatino Linotype" w:hAnsi="Palatino Linotype"/>
          <w:color w:val="000000" w:themeColor="text1"/>
          <w:shd w:val="clear" w:color="auto" w:fill="FFFFFF"/>
        </w:rPr>
        <w:t xml:space="preserve">Derivado de lo anterior, no se omite comentar que no puede realizarse la suplencia en el presente Recurso de Revisión, dado que no señaló ningún tipo de agravio al momento de presentar el recurso que nos ocupa, específicamente en el acto reclamado o impugnado; por lo que, este Órgano Garante debe actuar con apego al principio de objetividad, el </w:t>
      </w:r>
      <w:proofErr w:type="spellStart"/>
      <w:r w:rsidRPr="00C24D48">
        <w:rPr>
          <w:rFonts w:ascii="Palatino Linotype" w:hAnsi="Palatino Linotype"/>
          <w:color w:val="000000" w:themeColor="text1"/>
          <w:shd w:val="clear" w:color="auto" w:fill="FFFFFF"/>
        </w:rPr>
        <w:t>cuál</w:t>
      </w:r>
      <w:proofErr w:type="spellEnd"/>
      <w:r w:rsidRPr="00C24D48">
        <w:rPr>
          <w:rFonts w:ascii="Palatino Linotype" w:hAnsi="Palatino Linotype"/>
          <w:color w:val="000000" w:themeColor="text1"/>
          <w:shd w:val="clear" w:color="auto" w:fill="FFFFFF"/>
        </w:rPr>
        <w:t xml:space="preserve"> no es otra cosa, que la autoridad garante, adecue un criterio objetivo, velando la correcta aplicación del derecho, lo anterior de conformidad con lo dispuesto por el artículo 9 de la Ley de la materia.</w:t>
      </w:r>
    </w:p>
    <w:p w14:paraId="7E8551FB" w14:textId="77777777" w:rsidR="00D43AA3" w:rsidRPr="00C24D48" w:rsidRDefault="00D43AA3" w:rsidP="00D43AA3">
      <w:pPr>
        <w:jc w:val="both"/>
        <w:rPr>
          <w:rFonts w:ascii="Palatino Linotype" w:hAnsi="Palatino Linotype"/>
          <w:color w:val="000000" w:themeColor="text1"/>
        </w:rPr>
      </w:pPr>
    </w:p>
    <w:p w14:paraId="5BA6FB53" w14:textId="77777777" w:rsidR="00D43AA3" w:rsidRPr="00C24D48" w:rsidRDefault="00D43AA3" w:rsidP="00D43AA3">
      <w:pPr>
        <w:shd w:val="clear" w:color="auto" w:fill="FFFFFF"/>
        <w:ind w:left="851" w:right="899"/>
        <w:jc w:val="both"/>
        <w:rPr>
          <w:rFonts w:ascii="Palatino Linotype" w:hAnsi="Palatino Linotype" w:cs="Calibri"/>
          <w:b/>
          <w:bCs/>
          <w:i/>
          <w:iCs/>
          <w:color w:val="000000" w:themeColor="text1"/>
          <w:sz w:val="22"/>
          <w:szCs w:val="22"/>
        </w:rPr>
      </w:pPr>
      <w:r w:rsidRPr="00C24D48">
        <w:rPr>
          <w:rFonts w:ascii="Palatino Linotype" w:hAnsi="Palatino Linotype" w:cs="Calibri"/>
          <w:b/>
          <w:bCs/>
          <w:i/>
          <w:iCs/>
          <w:color w:val="000000" w:themeColor="text1"/>
          <w:sz w:val="22"/>
          <w:szCs w:val="22"/>
        </w:rPr>
        <w:t>SUPLENCIA DE LA QUEJA DEFICIENTE EN EL AMPARO. NO TIENE EL ALCANCE DE QUE EL JUZGADOR CONSIDERE COMO ACTOS RECLAMADOS, AQUELLOS QUE EL QUEJOSO NO SEÑALÓ.</w:t>
      </w:r>
    </w:p>
    <w:p w14:paraId="300483C8" w14:textId="77777777" w:rsidR="00D43AA3" w:rsidRPr="00C24D48" w:rsidRDefault="00D43AA3" w:rsidP="00D43AA3">
      <w:pPr>
        <w:shd w:val="clear" w:color="auto" w:fill="FFFFFF"/>
        <w:ind w:left="851" w:right="899"/>
        <w:jc w:val="both"/>
        <w:rPr>
          <w:rFonts w:ascii="Palatino Linotype" w:hAnsi="Palatino Linotype" w:cs="Calibri"/>
          <w:i/>
          <w:iCs/>
          <w:color w:val="000000" w:themeColor="text1"/>
          <w:sz w:val="22"/>
          <w:szCs w:val="22"/>
        </w:rPr>
      </w:pPr>
      <w:r w:rsidRPr="00C24D48">
        <w:rPr>
          <w:rFonts w:ascii="Palatino Linotype" w:hAnsi="Palatino Linotype" w:cs="Calibri"/>
          <w:i/>
          <w:iCs/>
          <w:color w:val="000000" w:themeColor="text1"/>
          <w:sz w:val="22"/>
          <w:szCs w:val="22"/>
        </w:rPr>
        <w:t>De conformidad con el artículo </w:t>
      </w:r>
      <w:hyperlink r:id="rId14" w:history="1">
        <w:r w:rsidRPr="00C24D48">
          <w:rPr>
            <w:rFonts w:ascii="Palatino Linotype" w:hAnsi="Palatino Linotype" w:cs="Calibri"/>
            <w:i/>
            <w:iCs/>
            <w:color w:val="000000" w:themeColor="text1"/>
            <w:sz w:val="22"/>
            <w:szCs w:val="22"/>
          </w:rPr>
          <w:t>79 de la Ley de Amparo</w:t>
        </w:r>
      </w:hyperlink>
      <w:r w:rsidRPr="00C24D48">
        <w:rPr>
          <w:rFonts w:ascii="Palatino Linotype" w:hAnsi="Palatino Linotype" w:cs="Calibri"/>
          <w:i/>
          <w:iCs/>
          <w:color w:val="000000" w:themeColor="text1"/>
          <w:sz w:val="22"/>
          <w:szCs w:val="22"/>
        </w:rPr>
        <w:t> y la jurisprudencia P</w:t>
      </w:r>
      <w:proofErr w:type="gramStart"/>
      <w:r w:rsidRPr="00C24D48">
        <w:rPr>
          <w:rFonts w:ascii="Palatino Linotype" w:hAnsi="Palatino Linotype" w:cs="Calibri"/>
          <w:i/>
          <w:iCs/>
          <w:color w:val="000000" w:themeColor="text1"/>
          <w:sz w:val="22"/>
          <w:szCs w:val="22"/>
        </w:rPr>
        <w:t>./</w:t>
      </w:r>
      <w:proofErr w:type="gramEnd"/>
      <w:r w:rsidRPr="00C24D48">
        <w:rPr>
          <w:rFonts w:ascii="Palatino Linotype" w:hAnsi="Palatino Linotype" w:cs="Calibri"/>
          <w:i/>
          <w:iCs/>
          <w:color w:val="000000" w:themeColor="text1"/>
          <w:sz w:val="22"/>
          <w:szCs w:val="22"/>
        </w:rPr>
        <w:t xml:space="preserve">J. 7/2017 (10a.), sustentada por el Pleno de la Suprema Corte de Justicia de la Nación, de título </w:t>
      </w:r>
      <w:r w:rsidRPr="00C24D48">
        <w:rPr>
          <w:rFonts w:ascii="Palatino Linotype" w:hAnsi="Palatino Linotype" w:cs="Calibri"/>
          <w:i/>
          <w:iCs/>
          <w:color w:val="000000" w:themeColor="text1"/>
          <w:sz w:val="22"/>
          <w:szCs w:val="22"/>
        </w:rPr>
        <w:lastRenderedPageBreak/>
        <w:t>y subtítulo: "</w:t>
      </w:r>
      <w:hyperlink r:id="rId15" w:tgtFrame="_blank" w:history="1">
        <w:r w:rsidRPr="00C24D48">
          <w:rPr>
            <w:rFonts w:ascii="Palatino Linotype" w:hAnsi="Palatino Linotype" w:cs="Calibri"/>
            <w:i/>
            <w:iCs/>
            <w:color w:val="000000" w:themeColor="text1"/>
            <w:sz w:val="22"/>
            <w:szCs w:val="22"/>
          </w:rPr>
          <w:t>SUPLENCIA DE LA DEFICIENCIA DE LOS CONCEPTOS DE VIOLACIÓN O AGRAVIOS PREVISTA EN EL ARTÍCULO 79, FRACCIÓN V, DE LA LEY DE AMPARO. OPERA EN FAVOR DE LOS MIEMBROS DE LOS CUERPOS DE SEGURIDAD PÚBLICA, EN LOS PROCEDIMIENTOS ADMINISTRATIVOS DE SEPARACIÓN POR INCUMPLIMIENTO DE LOS REQUISITOS DE INGRESO Y PERMANENCIA</w:t>
        </w:r>
      </w:hyperlink>
      <w:r w:rsidRPr="00C24D48">
        <w:rPr>
          <w:rFonts w:ascii="Palatino Linotype" w:hAnsi="Palatino Linotype" w:cs="Calibri"/>
          <w:i/>
          <w:iCs/>
          <w:color w:val="000000" w:themeColor="text1"/>
          <w:sz w:val="22"/>
          <w:szCs w:val="22"/>
        </w:rPr>
        <w:t xml:space="preserve">.", la suplencia de la queja deficiente en el juicio constitucional se </w:t>
      </w:r>
      <w:r w:rsidRPr="00C24D48">
        <w:rPr>
          <w:rFonts w:ascii="Palatino Linotype" w:hAnsi="Palatino Linotype" w:cs="Calibri"/>
          <w:b/>
          <w:bCs/>
          <w:i/>
          <w:iCs/>
          <w:color w:val="000000" w:themeColor="text1"/>
          <w:sz w:val="22"/>
          <w:szCs w:val="22"/>
        </w:rPr>
        <w:t xml:space="preserve">limita a mejorar, subsanar e invocar los conceptos de violación o agravios, entendidos como las lesiones que irroguen los actos </w:t>
      </w:r>
      <w:r w:rsidRPr="00C24D48">
        <w:rPr>
          <w:rFonts w:ascii="Palatino Linotype" w:hAnsi="Palatino Linotype" w:cs="Calibri"/>
          <w:i/>
          <w:iCs/>
          <w:color w:val="000000" w:themeColor="text1"/>
          <w:sz w:val="22"/>
          <w:szCs w:val="22"/>
        </w:rPr>
        <w:t xml:space="preserve">reclamados o la sentencia. Por tanto, esa </w:t>
      </w:r>
      <w:r w:rsidRPr="00C24D48">
        <w:rPr>
          <w:rFonts w:ascii="Palatino Linotype" w:hAnsi="Palatino Linotype" w:cs="Calibri"/>
          <w:b/>
          <w:bCs/>
          <w:i/>
          <w:iCs/>
          <w:color w:val="000000" w:themeColor="text1"/>
          <w:sz w:val="22"/>
          <w:szCs w:val="22"/>
        </w:rPr>
        <w:t>institución no tiene el alcance de que el juzgador considere como actos reclamados, aquellos que el quejoso no señaló</w:t>
      </w:r>
      <w:r w:rsidRPr="00C24D48">
        <w:rPr>
          <w:rFonts w:ascii="Palatino Linotype" w:hAnsi="Palatino Linotype" w:cs="Calibri"/>
          <w:i/>
          <w:iCs/>
          <w:color w:val="000000" w:themeColor="text1"/>
          <w:sz w:val="22"/>
          <w:szCs w:val="22"/>
        </w:rPr>
        <w:t>, pues incluso el artículo </w:t>
      </w:r>
      <w:hyperlink r:id="rId16" w:history="1">
        <w:r w:rsidRPr="00C24D48">
          <w:rPr>
            <w:rFonts w:ascii="Palatino Linotype" w:hAnsi="Palatino Linotype" w:cs="Calibri"/>
            <w:i/>
            <w:iCs/>
            <w:color w:val="000000" w:themeColor="text1"/>
            <w:sz w:val="22"/>
            <w:szCs w:val="22"/>
          </w:rPr>
          <w:t>114, fracción II</w:t>
        </w:r>
      </w:hyperlink>
      <w:r w:rsidRPr="00C24D48">
        <w:rPr>
          <w:rFonts w:ascii="Palatino Linotype" w:hAnsi="Palatino Linotype" w:cs="Calibri"/>
          <w:i/>
          <w:iCs/>
          <w:color w:val="000000" w:themeColor="text1"/>
          <w:sz w:val="22"/>
          <w:szCs w:val="22"/>
        </w:rPr>
        <w:t>, en relación con el diverso </w:t>
      </w:r>
      <w:hyperlink r:id="rId17" w:history="1">
        <w:r w:rsidRPr="00C24D48">
          <w:rPr>
            <w:rFonts w:ascii="Palatino Linotype" w:hAnsi="Palatino Linotype" w:cs="Calibri"/>
            <w:i/>
            <w:iCs/>
            <w:color w:val="000000" w:themeColor="text1"/>
            <w:sz w:val="22"/>
            <w:szCs w:val="22"/>
          </w:rPr>
          <w:t>108, fracción IV</w:t>
        </w:r>
      </w:hyperlink>
      <w:r w:rsidRPr="00C24D48">
        <w:rPr>
          <w:rFonts w:ascii="Palatino Linotype" w:hAnsi="Palatino Linotype" w:cs="Calibri"/>
          <w:i/>
          <w:iCs/>
          <w:color w:val="000000" w:themeColor="text1"/>
          <w:sz w:val="22"/>
          <w:szCs w:val="22"/>
        </w:rPr>
        <w:t>, ambos de la propia ley, dispone que el órgano jurisdiccional debe requerir al promovente para que aclare su demanda cuando omita expresar los actos que de cada autoridad reclame y, si no cumple la prevención, no puede subsanarse esa deficiencia.”</w:t>
      </w:r>
    </w:p>
    <w:p w14:paraId="38406753" w14:textId="77777777" w:rsidR="00D43AA3" w:rsidRPr="00C24D48" w:rsidRDefault="00D43AA3" w:rsidP="00D43AA3">
      <w:pPr>
        <w:shd w:val="clear" w:color="auto" w:fill="FFFFFF"/>
        <w:ind w:left="851" w:right="902"/>
        <w:jc w:val="both"/>
        <w:rPr>
          <w:rFonts w:ascii="Palatino Linotype" w:hAnsi="Palatino Linotype" w:cs="Calibri"/>
          <w:b/>
          <w:bCs/>
          <w:i/>
          <w:iCs/>
          <w:color w:val="000000" w:themeColor="text1"/>
          <w:sz w:val="22"/>
          <w:szCs w:val="22"/>
        </w:rPr>
      </w:pPr>
      <w:r w:rsidRPr="00C24D48">
        <w:rPr>
          <w:rFonts w:ascii="Palatino Linotype" w:hAnsi="Palatino Linotype" w:cs="Calibri"/>
          <w:b/>
          <w:bCs/>
          <w:i/>
          <w:iCs/>
          <w:color w:val="000000" w:themeColor="text1"/>
          <w:sz w:val="22"/>
          <w:szCs w:val="22"/>
        </w:rPr>
        <w:t>(Énfasis añadido)</w:t>
      </w:r>
    </w:p>
    <w:p w14:paraId="19C8A290" w14:textId="77777777" w:rsidR="00D43AA3" w:rsidRPr="00C24D48" w:rsidRDefault="00D43AA3" w:rsidP="00D43AA3">
      <w:pPr>
        <w:shd w:val="clear" w:color="auto" w:fill="FFFFFF"/>
        <w:ind w:left="851" w:right="902"/>
        <w:jc w:val="both"/>
        <w:rPr>
          <w:rFonts w:ascii="Palatino Linotype" w:hAnsi="Palatino Linotype" w:cs="Calibri"/>
          <w:b/>
          <w:bCs/>
          <w:i/>
          <w:iCs/>
          <w:color w:val="000000" w:themeColor="text1"/>
          <w:sz w:val="22"/>
          <w:szCs w:val="22"/>
        </w:rPr>
      </w:pPr>
    </w:p>
    <w:p w14:paraId="411125C2" w14:textId="77777777" w:rsidR="00D43AA3" w:rsidRPr="00C24D48" w:rsidRDefault="00D43AA3" w:rsidP="00D43AA3">
      <w:pPr>
        <w:spacing w:line="360" w:lineRule="auto"/>
        <w:jc w:val="both"/>
        <w:rPr>
          <w:rFonts w:ascii="Palatino Linotype" w:hAnsi="Palatino Linotype"/>
          <w:b/>
          <w:color w:val="000000" w:themeColor="text1"/>
        </w:rPr>
      </w:pPr>
      <w:r w:rsidRPr="00C24D48">
        <w:rPr>
          <w:rFonts w:ascii="Palatino Linotype" w:hAnsi="Palatino Linotype"/>
          <w:bCs/>
          <w:color w:val="000000" w:themeColor="text1"/>
        </w:rPr>
        <w:t xml:space="preserve">Es importante referir que no se debe perder de vista que la materia del Recurso de Revisión versa sobre los motivos de inconformidad que ha de señalar </w:t>
      </w:r>
      <w:r w:rsidRPr="00C24D48">
        <w:rPr>
          <w:rFonts w:ascii="Palatino Linotype" w:hAnsi="Palatino Linotype"/>
          <w:b/>
          <w:color w:val="000000" w:themeColor="text1"/>
        </w:rPr>
        <w:t>EL RECURRENTE</w:t>
      </w:r>
      <w:r w:rsidRPr="00C24D48">
        <w:rPr>
          <w:rFonts w:ascii="Palatino Linotype" w:hAnsi="Palatino Linotype"/>
          <w:bCs/>
          <w:color w:val="000000" w:themeColor="text1"/>
        </w:rPr>
        <w:t xml:space="preserve">, los cuales tendrán por objeto desvirtuar o demostrar la ilegalidad de la respuesta impugnada; situación que en el presente caso no aconteció, toda vez que </w:t>
      </w:r>
      <w:r w:rsidRPr="00C24D48">
        <w:rPr>
          <w:rFonts w:ascii="Palatino Linotype" w:hAnsi="Palatino Linotype"/>
          <w:b/>
          <w:color w:val="000000" w:themeColor="text1"/>
        </w:rPr>
        <w:t>EL RECURRENTE</w:t>
      </w:r>
      <w:r w:rsidRPr="00C24D48">
        <w:rPr>
          <w:rFonts w:ascii="Palatino Linotype" w:hAnsi="Palatino Linotype"/>
          <w:bCs/>
          <w:color w:val="000000" w:themeColor="text1"/>
        </w:rPr>
        <w:t xml:space="preserve"> impugnó la veracidad de la información proporcionada por </w:t>
      </w:r>
      <w:r w:rsidRPr="00C24D48">
        <w:rPr>
          <w:rFonts w:ascii="Palatino Linotype" w:hAnsi="Palatino Linotype"/>
          <w:b/>
          <w:color w:val="000000" w:themeColor="text1"/>
        </w:rPr>
        <w:t xml:space="preserve">EL SUJETO OBLIGADO. </w:t>
      </w:r>
    </w:p>
    <w:p w14:paraId="49E26D33" w14:textId="77777777" w:rsidR="00D43AA3" w:rsidRPr="00C24D48" w:rsidRDefault="00D43AA3" w:rsidP="00D43AA3">
      <w:pPr>
        <w:spacing w:line="360" w:lineRule="auto"/>
        <w:jc w:val="both"/>
        <w:rPr>
          <w:rFonts w:ascii="Palatino Linotype" w:hAnsi="Palatino Linotype" w:cs="Arial"/>
          <w:color w:val="000000" w:themeColor="text1"/>
        </w:rPr>
      </w:pPr>
    </w:p>
    <w:p w14:paraId="0E8422AF" w14:textId="77777777" w:rsidR="00D43AA3" w:rsidRPr="00C24D48" w:rsidRDefault="00D43AA3" w:rsidP="00D43AA3">
      <w:pPr>
        <w:spacing w:line="360" w:lineRule="auto"/>
        <w:jc w:val="both"/>
        <w:rPr>
          <w:rFonts w:ascii="Palatino Linotype" w:hAnsi="Palatino Linotype" w:cs="Arial"/>
        </w:rPr>
      </w:pPr>
      <w:r w:rsidRPr="00C24D48">
        <w:rPr>
          <w:rFonts w:ascii="Palatino Linotype" w:hAnsi="Palatino Linotype" w:cs="Arial"/>
        </w:rPr>
        <w:t xml:space="preserve">Ahora bien, es importante precisar que en atención a lo previsto en el artículo 179 de la Ley de Transparencia y Acceso a la Información Pública del Estado de México y Municipios, el </w:t>
      </w:r>
      <w:r w:rsidRPr="00C24D48">
        <w:rPr>
          <w:rFonts w:ascii="Palatino Linotype" w:hAnsi="Palatino Linotype"/>
          <w:color w:val="000000" w:themeColor="text1"/>
        </w:rPr>
        <w:t xml:space="preserve">Instituto de Transparencia, Acceso a la Información Pública y Protección de Datos Personales del Estado de México y Municipios, funge </w:t>
      </w:r>
      <w:r w:rsidRPr="00C24D48">
        <w:rPr>
          <w:rFonts w:ascii="Palatino Linotype" w:hAnsi="Palatino Linotype" w:cs="Arial"/>
        </w:rPr>
        <w:t>como Órgano Garante de la difusión, protección y respeto al derecho de acceso a la Información Pública y a la protección de datos personales, conforme a su naturaleza jurídica y es competente para resolver los recursos de revisión, cuando se actualice cualquiera de las siguientes causas:</w:t>
      </w:r>
    </w:p>
    <w:p w14:paraId="7E334F4A" w14:textId="77777777" w:rsidR="00D43AA3" w:rsidRPr="00C24D48" w:rsidRDefault="00D43AA3" w:rsidP="00D43AA3">
      <w:pPr>
        <w:jc w:val="both"/>
        <w:rPr>
          <w:rFonts w:ascii="Palatino Linotype" w:hAnsi="Palatino Linotype" w:cs="Arial"/>
        </w:rPr>
      </w:pPr>
    </w:p>
    <w:p w14:paraId="1175C12C" w14:textId="77777777" w:rsidR="00D43AA3" w:rsidRPr="00C24D48" w:rsidRDefault="00D43AA3" w:rsidP="00D43AA3">
      <w:pPr>
        <w:tabs>
          <w:tab w:val="left" w:pos="8222"/>
        </w:tabs>
        <w:ind w:left="851" w:right="992"/>
        <w:jc w:val="both"/>
        <w:rPr>
          <w:rFonts w:ascii="Palatino Linotype" w:hAnsi="Palatino Linotype" w:cs="Arial"/>
          <w:i/>
          <w:sz w:val="22"/>
        </w:rPr>
      </w:pPr>
      <w:r w:rsidRPr="00C24D48">
        <w:rPr>
          <w:rFonts w:ascii="Palatino Linotype" w:hAnsi="Palatino Linotype" w:cs="Arial"/>
          <w:i/>
          <w:sz w:val="22"/>
        </w:rPr>
        <w:t>“</w:t>
      </w:r>
      <w:r w:rsidRPr="00C24D48">
        <w:rPr>
          <w:rFonts w:ascii="Palatino Linotype" w:hAnsi="Palatino Linotype" w:cs="Arial"/>
          <w:b/>
          <w:i/>
          <w:sz w:val="22"/>
        </w:rPr>
        <w:t>Artículo 179</w:t>
      </w:r>
      <w:r w:rsidRPr="00C24D48">
        <w:rPr>
          <w:rFonts w:ascii="Palatino Linotype" w:hAnsi="Palatino Linotype" w:cs="Arial"/>
          <w:i/>
          <w:sz w:val="22"/>
        </w:rPr>
        <w:t>. El Recurso de Revisión es un medio de protección que la Ley otorga a los particulares, para hacer valer su derecho de acceso a la Información Pública, y procederá en contra de las siguientes causas:</w:t>
      </w:r>
    </w:p>
    <w:p w14:paraId="6D806F0D" w14:textId="77777777" w:rsidR="00D43AA3" w:rsidRPr="00C24D48" w:rsidRDefault="00D43AA3" w:rsidP="00D43AA3">
      <w:pPr>
        <w:ind w:left="851" w:right="992"/>
        <w:jc w:val="both"/>
        <w:rPr>
          <w:rFonts w:ascii="Palatino Linotype" w:hAnsi="Palatino Linotype" w:cs="Arial"/>
          <w:i/>
          <w:sz w:val="22"/>
        </w:rPr>
      </w:pPr>
      <w:r w:rsidRPr="00C24D48">
        <w:rPr>
          <w:rFonts w:ascii="Palatino Linotype" w:hAnsi="Palatino Linotype" w:cs="Arial"/>
          <w:i/>
          <w:sz w:val="22"/>
        </w:rPr>
        <w:t>I. La negativa a la información solicitada;</w:t>
      </w:r>
    </w:p>
    <w:p w14:paraId="73313D28" w14:textId="77777777" w:rsidR="00D43AA3" w:rsidRPr="00C24D48" w:rsidRDefault="00D43AA3" w:rsidP="00D43AA3">
      <w:pPr>
        <w:ind w:left="851" w:right="992"/>
        <w:jc w:val="both"/>
        <w:rPr>
          <w:rFonts w:ascii="Palatino Linotype" w:hAnsi="Palatino Linotype" w:cs="Arial"/>
          <w:i/>
          <w:sz w:val="22"/>
        </w:rPr>
      </w:pPr>
      <w:r w:rsidRPr="00C24D48">
        <w:rPr>
          <w:rFonts w:ascii="Palatino Linotype" w:hAnsi="Palatino Linotype" w:cs="Arial"/>
          <w:i/>
          <w:sz w:val="22"/>
        </w:rPr>
        <w:t>II. La clasificación de la información;</w:t>
      </w:r>
    </w:p>
    <w:p w14:paraId="4304160D" w14:textId="77777777" w:rsidR="00D43AA3" w:rsidRPr="00C24D48" w:rsidRDefault="00D43AA3" w:rsidP="00D43AA3">
      <w:pPr>
        <w:ind w:left="851" w:right="992"/>
        <w:jc w:val="both"/>
        <w:rPr>
          <w:rFonts w:ascii="Palatino Linotype" w:hAnsi="Palatino Linotype" w:cs="Arial"/>
          <w:i/>
          <w:sz w:val="22"/>
        </w:rPr>
      </w:pPr>
      <w:r w:rsidRPr="00C24D48">
        <w:rPr>
          <w:rFonts w:ascii="Palatino Linotype" w:hAnsi="Palatino Linotype" w:cs="Arial"/>
          <w:i/>
          <w:sz w:val="22"/>
        </w:rPr>
        <w:t>III. La declaración de inexistencia de la información;</w:t>
      </w:r>
    </w:p>
    <w:p w14:paraId="0ECEC791" w14:textId="77777777" w:rsidR="00D43AA3" w:rsidRPr="00C24D48" w:rsidRDefault="00D43AA3" w:rsidP="00D43AA3">
      <w:pPr>
        <w:ind w:left="851" w:right="992"/>
        <w:jc w:val="both"/>
        <w:rPr>
          <w:rFonts w:ascii="Palatino Linotype" w:hAnsi="Palatino Linotype" w:cs="Arial"/>
          <w:i/>
          <w:sz w:val="22"/>
        </w:rPr>
      </w:pPr>
      <w:r w:rsidRPr="00C24D48">
        <w:rPr>
          <w:rFonts w:ascii="Palatino Linotype" w:hAnsi="Palatino Linotype" w:cs="Arial"/>
          <w:i/>
          <w:sz w:val="22"/>
        </w:rPr>
        <w:t>IV. La declaración de incompetencia por el sujeto obligado;</w:t>
      </w:r>
    </w:p>
    <w:p w14:paraId="2DCACD29" w14:textId="77777777" w:rsidR="00D43AA3" w:rsidRPr="00C24D48" w:rsidRDefault="00D43AA3" w:rsidP="00D43AA3">
      <w:pPr>
        <w:ind w:left="851" w:right="992"/>
        <w:jc w:val="both"/>
        <w:rPr>
          <w:rFonts w:ascii="Palatino Linotype" w:hAnsi="Palatino Linotype" w:cs="Arial"/>
          <w:i/>
          <w:sz w:val="22"/>
        </w:rPr>
      </w:pPr>
      <w:r w:rsidRPr="00C24D48">
        <w:rPr>
          <w:rFonts w:ascii="Palatino Linotype" w:hAnsi="Palatino Linotype" w:cs="Arial"/>
          <w:i/>
          <w:sz w:val="22"/>
        </w:rPr>
        <w:t>V. La entrega de información incompleta;</w:t>
      </w:r>
    </w:p>
    <w:p w14:paraId="582D5C4F" w14:textId="77777777" w:rsidR="00D43AA3" w:rsidRPr="00C24D48" w:rsidRDefault="00D43AA3" w:rsidP="00D43AA3">
      <w:pPr>
        <w:ind w:left="851" w:right="992"/>
        <w:jc w:val="both"/>
        <w:rPr>
          <w:rFonts w:ascii="Palatino Linotype" w:hAnsi="Palatino Linotype" w:cs="Arial"/>
          <w:i/>
          <w:sz w:val="22"/>
        </w:rPr>
      </w:pPr>
      <w:r w:rsidRPr="00C24D48">
        <w:rPr>
          <w:rFonts w:ascii="Palatino Linotype" w:hAnsi="Palatino Linotype" w:cs="Arial"/>
          <w:i/>
          <w:sz w:val="22"/>
        </w:rPr>
        <w:t>VI. La entrega de información que no corresponda con lo solicitado;</w:t>
      </w:r>
    </w:p>
    <w:p w14:paraId="5F3B284D" w14:textId="77777777" w:rsidR="00D43AA3" w:rsidRPr="00C24D48" w:rsidRDefault="00D43AA3" w:rsidP="00D43AA3">
      <w:pPr>
        <w:ind w:left="851" w:right="992"/>
        <w:jc w:val="both"/>
        <w:rPr>
          <w:rFonts w:ascii="Palatino Linotype" w:hAnsi="Palatino Linotype" w:cs="Arial"/>
          <w:i/>
          <w:sz w:val="22"/>
        </w:rPr>
      </w:pPr>
      <w:r w:rsidRPr="00C24D48">
        <w:rPr>
          <w:rFonts w:ascii="Palatino Linotype" w:hAnsi="Palatino Linotype" w:cs="Arial"/>
          <w:i/>
          <w:sz w:val="22"/>
        </w:rPr>
        <w:t>VII. La falta de respuesta a una solicitud de acceso a la información;</w:t>
      </w:r>
    </w:p>
    <w:p w14:paraId="7B85F77F" w14:textId="77777777" w:rsidR="00D43AA3" w:rsidRPr="00C24D48" w:rsidRDefault="00D43AA3" w:rsidP="00D43AA3">
      <w:pPr>
        <w:tabs>
          <w:tab w:val="left" w:pos="8222"/>
        </w:tabs>
        <w:ind w:left="851" w:right="992"/>
        <w:jc w:val="both"/>
        <w:rPr>
          <w:rFonts w:ascii="Palatino Linotype" w:hAnsi="Palatino Linotype" w:cs="Arial"/>
          <w:i/>
          <w:sz w:val="22"/>
        </w:rPr>
      </w:pPr>
      <w:r w:rsidRPr="00C24D48">
        <w:rPr>
          <w:rFonts w:ascii="Palatino Linotype" w:hAnsi="Palatino Linotype" w:cs="Arial"/>
          <w:i/>
          <w:sz w:val="22"/>
        </w:rPr>
        <w:t>VIII. La notificación, entrega o puesta a disposición de información en una modalidad o formato distinto al solicitado;</w:t>
      </w:r>
    </w:p>
    <w:p w14:paraId="5D74C80F" w14:textId="77777777" w:rsidR="00D43AA3" w:rsidRPr="00C24D48" w:rsidRDefault="00D43AA3" w:rsidP="00D43AA3">
      <w:pPr>
        <w:tabs>
          <w:tab w:val="left" w:pos="8222"/>
        </w:tabs>
        <w:ind w:left="851" w:right="992"/>
        <w:jc w:val="both"/>
        <w:rPr>
          <w:rFonts w:ascii="Palatino Linotype" w:hAnsi="Palatino Linotype" w:cs="Arial"/>
          <w:i/>
          <w:sz w:val="22"/>
        </w:rPr>
      </w:pPr>
      <w:r w:rsidRPr="00C24D48">
        <w:rPr>
          <w:rFonts w:ascii="Palatino Linotype" w:hAnsi="Palatino Linotype" w:cs="Arial"/>
          <w:i/>
          <w:sz w:val="22"/>
        </w:rPr>
        <w:t>IX. La entrega o puesta a disposición de información en un formato incomprensible y/o no accesible para el solicitante;</w:t>
      </w:r>
    </w:p>
    <w:p w14:paraId="642BCA47" w14:textId="77777777" w:rsidR="00D43AA3" w:rsidRPr="00C24D48" w:rsidRDefault="00D43AA3" w:rsidP="00D43AA3">
      <w:pPr>
        <w:ind w:left="851" w:right="992"/>
        <w:jc w:val="both"/>
        <w:rPr>
          <w:rFonts w:ascii="Palatino Linotype" w:hAnsi="Palatino Linotype" w:cs="Arial"/>
          <w:i/>
          <w:sz w:val="22"/>
        </w:rPr>
      </w:pPr>
      <w:r w:rsidRPr="00C24D48">
        <w:rPr>
          <w:rFonts w:ascii="Palatino Linotype" w:hAnsi="Palatino Linotype" w:cs="Arial"/>
          <w:i/>
          <w:sz w:val="22"/>
        </w:rPr>
        <w:t>X. Los costos o tiempos de entrega de la información;</w:t>
      </w:r>
    </w:p>
    <w:p w14:paraId="7EFBF608" w14:textId="77777777" w:rsidR="00D43AA3" w:rsidRPr="00C24D48" w:rsidRDefault="00D43AA3" w:rsidP="00D43AA3">
      <w:pPr>
        <w:ind w:left="851" w:right="992"/>
        <w:jc w:val="both"/>
        <w:rPr>
          <w:rFonts w:ascii="Palatino Linotype" w:hAnsi="Palatino Linotype" w:cs="Arial"/>
          <w:i/>
          <w:sz w:val="22"/>
        </w:rPr>
      </w:pPr>
      <w:r w:rsidRPr="00C24D48">
        <w:rPr>
          <w:rFonts w:ascii="Palatino Linotype" w:hAnsi="Palatino Linotype" w:cs="Arial"/>
          <w:i/>
          <w:sz w:val="22"/>
        </w:rPr>
        <w:t>XI. La falta de trámite a una solicitud;</w:t>
      </w:r>
    </w:p>
    <w:p w14:paraId="231A94DB" w14:textId="77777777" w:rsidR="00D43AA3" w:rsidRPr="00C24D48" w:rsidRDefault="00D43AA3" w:rsidP="00D43AA3">
      <w:pPr>
        <w:ind w:left="851" w:right="992"/>
        <w:jc w:val="both"/>
        <w:rPr>
          <w:rFonts w:ascii="Palatino Linotype" w:hAnsi="Palatino Linotype" w:cs="Arial"/>
          <w:i/>
          <w:sz w:val="22"/>
        </w:rPr>
      </w:pPr>
      <w:r w:rsidRPr="00C24D48">
        <w:rPr>
          <w:rFonts w:ascii="Palatino Linotype" w:hAnsi="Palatino Linotype" w:cs="Arial"/>
          <w:i/>
          <w:sz w:val="22"/>
        </w:rPr>
        <w:t>XII. La negativa a permitir la consulta directa de la información;</w:t>
      </w:r>
    </w:p>
    <w:p w14:paraId="4DCD6A74" w14:textId="77777777" w:rsidR="00D43AA3" w:rsidRPr="00C24D48" w:rsidRDefault="00D43AA3" w:rsidP="00D43AA3">
      <w:pPr>
        <w:tabs>
          <w:tab w:val="left" w:pos="8222"/>
        </w:tabs>
        <w:ind w:left="851" w:right="992"/>
        <w:jc w:val="both"/>
        <w:rPr>
          <w:rFonts w:ascii="Palatino Linotype" w:hAnsi="Palatino Linotype" w:cs="Arial"/>
          <w:i/>
          <w:sz w:val="22"/>
        </w:rPr>
      </w:pPr>
      <w:r w:rsidRPr="00C24D48">
        <w:rPr>
          <w:rFonts w:ascii="Palatino Linotype" w:hAnsi="Palatino Linotype" w:cs="Arial"/>
          <w:i/>
          <w:sz w:val="22"/>
        </w:rPr>
        <w:t>XIII. La falta, deficiencia o insuficiencia de la fundamentación y/o motivación en la respuesta; y</w:t>
      </w:r>
    </w:p>
    <w:p w14:paraId="5C79B643" w14:textId="77777777" w:rsidR="00D43AA3" w:rsidRPr="00C24D48" w:rsidRDefault="00D43AA3" w:rsidP="00D43AA3">
      <w:pPr>
        <w:ind w:left="851" w:right="992"/>
        <w:jc w:val="both"/>
        <w:rPr>
          <w:rFonts w:ascii="Palatino Linotype" w:hAnsi="Palatino Linotype" w:cs="Arial"/>
          <w:i/>
          <w:sz w:val="22"/>
        </w:rPr>
      </w:pPr>
      <w:r w:rsidRPr="00C24D48">
        <w:rPr>
          <w:rFonts w:ascii="Palatino Linotype" w:hAnsi="Palatino Linotype" w:cs="Arial"/>
          <w:i/>
          <w:sz w:val="22"/>
        </w:rPr>
        <w:t>XIV. La orientación a un trámite específico.</w:t>
      </w:r>
    </w:p>
    <w:p w14:paraId="4452052D" w14:textId="77777777" w:rsidR="00D43AA3" w:rsidRPr="00C24D48" w:rsidRDefault="00D43AA3" w:rsidP="00D43AA3">
      <w:pPr>
        <w:ind w:left="851" w:right="992"/>
        <w:jc w:val="both"/>
        <w:rPr>
          <w:rFonts w:ascii="Palatino Linotype" w:hAnsi="Palatino Linotype" w:cs="Arial"/>
          <w:i/>
          <w:sz w:val="22"/>
        </w:rPr>
      </w:pPr>
    </w:p>
    <w:p w14:paraId="199D6B36" w14:textId="77777777" w:rsidR="00D43AA3" w:rsidRPr="00C24D48" w:rsidRDefault="00D43AA3" w:rsidP="00D43AA3">
      <w:pPr>
        <w:tabs>
          <w:tab w:val="left" w:pos="8222"/>
        </w:tabs>
        <w:ind w:left="851" w:right="992"/>
        <w:jc w:val="both"/>
        <w:rPr>
          <w:rFonts w:ascii="Palatino Linotype" w:hAnsi="Palatino Linotype" w:cs="Arial"/>
          <w:i/>
          <w:sz w:val="22"/>
        </w:rPr>
      </w:pPr>
      <w:r w:rsidRPr="00C24D48">
        <w:rPr>
          <w:rFonts w:ascii="Palatino Linotype" w:hAnsi="Palatino Linotype" w:cs="Arial"/>
          <w:i/>
          <w:sz w:val="22"/>
        </w:rPr>
        <w:t>La respuesta que den los sujetos obligados derivada de la resolución a un Recurso de Revisión que proceda por las causales señaladas en las fracciones IV, VII, IX, X, XI y XII es susceptible de ser impugnada de nueva cuenta, mediante Recurso de Revisión, ante el Instituto.” (Sic)</w:t>
      </w:r>
    </w:p>
    <w:p w14:paraId="4726C49E" w14:textId="77777777" w:rsidR="00D43AA3" w:rsidRPr="00C24D48" w:rsidRDefault="00D43AA3" w:rsidP="00D43AA3">
      <w:pPr>
        <w:jc w:val="both"/>
        <w:rPr>
          <w:rFonts w:ascii="Palatino Linotype" w:hAnsi="Palatino Linotype" w:cs="Arial"/>
        </w:rPr>
      </w:pPr>
    </w:p>
    <w:p w14:paraId="3551BE9C" w14:textId="77777777" w:rsidR="00D43AA3" w:rsidRPr="00C24D48" w:rsidRDefault="00D43AA3" w:rsidP="00D43AA3">
      <w:pPr>
        <w:spacing w:line="360" w:lineRule="auto"/>
        <w:jc w:val="both"/>
        <w:rPr>
          <w:rFonts w:ascii="Palatino Linotype" w:hAnsi="Palatino Linotype" w:cs="Arial"/>
        </w:rPr>
      </w:pPr>
      <w:r w:rsidRPr="00C24D48">
        <w:rPr>
          <w:rFonts w:ascii="Palatino Linotype" w:hAnsi="Palatino Linotype" w:cs="Arial"/>
        </w:rPr>
        <w:t xml:space="preserve">Derivado del contenido del numeral citado en el párrafo que antecede, se advierte que no se encuentran dentro de citadas causales, alguna hipótesis que prevea la veracidad de la información. </w:t>
      </w:r>
    </w:p>
    <w:p w14:paraId="1C0A3F04" w14:textId="77777777" w:rsidR="00D43AA3" w:rsidRPr="00C24D48" w:rsidRDefault="00D43AA3" w:rsidP="00D43AA3">
      <w:pPr>
        <w:spacing w:line="360" w:lineRule="auto"/>
        <w:jc w:val="both"/>
        <w:rPr>
          <w:rFonts w:ascii="Palatino Linotype" w:hAnsi="Palatino Linotype" w:cs="Arial"/>
        </w:rPr>
      </w:pPr>
    </w:p>
    <w:p w14:paraId="502035D9" w14:textId="77777777" w:rsidR="00D43AA3" w:rsidRPr="00C24D48" w:rsidRDefault="00D43AA3" w:rsidP="00D43AA3">
      <w:pPr>
        <w:spacing w:line="360" w:lineRule="auto"/>
        <w:jc w:val="both"/>
        <w:rPr>
          <w:rFonts w:ascii="Palatino Linotype" w:hAnsi="Palatino Linotype" w:cs="Arial"/>
        </w:rPr>
      </w:pPr>
      <w:r w:rsidRPr="00C24D48">
        <w:rPr>
          <w:rFonts w:ascii="Palatino Linotype" w:hAnsi="Palatino Linotype" w:cs="Arial"/>
          <w:lang w:eastAsia="es-MX"/>
        </w:rPr>
        <w:t xml:space="preserve">Derivado de lo anterior, es importante traer a contexto lo dispuesto en los artículos </w:t>
      </w:r>
      <w:r w:rsidRPr="00C24D48">
        <w:rPr>
          <w:rFonts w:ascii="Palatino Linotype" w:hAnsi="Palatino Linotype" w:cs="Arial"/>
        </w:rPr>
        <w:t>186, 191 y 192 de la Ley de Transparencia y Acceso a la Información Pública del Estado de México y Municipios, los cuales disponen lo siguiente:</w:t>
      </w:r>
    </w:p>
    <w:p w14:paraId="7EBEA4EA" w14:textId="77777777" w:rsidR="00D43AA3" w:rsidRPr="00C24D48" w:rsidRDefault="00D43AA3" w:rsidP="00D43AA3">
      <w:pPr>
        <w:jc w:val="both"/>
        <w:rPr>
          <w:rFonts w:ascii="Palatino Linotype" w:hAnsi="Palatino Linotype" w:cs="Arial"/>
          <w:lang w:eastAsia="es-MX"/>
        </w:rPr>
      </w:pPr>
    </w:p>
    <w:p w14:paraId="72C9921A" w14:textId="77777777" w:rsidR="00D43AA3" w:rsidRPr="00C24D48" w:rsidRDefault="00D43AA3" w:rsidP="00D43AA3">
      <w:pPr>
        <w:autoSpaceDE w:val="0"/>
        <w:autoSpaceDN w:val="0"/>
        <w:adjustRightInd w:val="0"/>
        <w:ind w:left="851" w:right="899"/>
        <w:jc w:val="both"/>
        <w:rPr>
          <w:rFonts w:ascii="Palatino Linotype" w:eastAsiaTheme="minorEastAsia" w:hAnsi="Palatino Linotype" w:cs="Bookman Old Style"/>
          <w:i/>
          <w:sz w:val="22"/>
          <w:szCs w:val="22"/>
        </w:rPr>
      </w:pPr>
      <w:r w:rsidRPr="00C24D48">
        <w:rPr>
          <w:rFonts w:ascii="Palatino Linotype" w:eastAsiaTheme="minorEastAsia" w:hAnsi="Palatino Linotype" w:cs="Bookman Old Style,Bold"/>
          <w:b/>
          <w:bCs/>
          <w:i/>
          <w:sz w:val="22"/>
          <w:szCs w:val="22"/>
        </w:rPr>
        <w:t xml:space="preserve">“Artículo 186. </w:t>
      </w:r>
      <w:r w:rsidRPr="00C24D48">
        <w:rPr>
          <w:rFonts w:ascii="Palatino Linotype" w:eastAsiaTheme="minorEastAsia" w:hAnsi="Palatino Linotype" w:cs="Bookman Old Style"/>
          <w:i/>
          <w:sz w:val="22"/>
          <w:szCs w:val="22"/>
        </w:rPr>
        <w:t>Las resoluciones del Instituto podrán:</w:t>
      </w:r>
    </w:p>
    <w:p w14:paraId="39F6DB45" w14:textId="77777777" w:rsidR="00D43AA3" w:rsidRPr="00C24D48" w:rsidRDefault="00D43AA3" w:rsidP="00D43AA3">
      <w:pPr>
        <w:autoSpaceDE w:val="0"/>
        <w:autoSpaceDN w:val="0"/>
        <w:adjustRightInd w:val="0"/>
        <w:ind w:left="851" w:right="899"/>
        <w:jc w:val="both"/>
        <w:rPr>
          <w:rFonts w:ascii="Palatino Linotype" w:eastAsiaTheme="minorEastAsia" w:hAnsi="Palatino Linotype" w:cs="Bookman Old Style"/>
          <w:i/>
          <w:sz w:val="22"/>
          <w:szCs w:val="22"/>
        </w:rPr>
      </w:pPr>
      <w:r w:rsidRPr="00C24D48">
        <w:rPr>
          <w:rFonts w:ascii="Palatino Linotype" w:eastAsiaTheme="minorEastAsia" w:hAnsi="Palatino Linotype" w:cs="Bookman Old Style,Bold"/>
          <w:b/>
          <w:bCs/>
          <w:i/>
          <w:sz w:val="22"/>
          <w:szCs w:val="22"/>
        </w:rPr>
        <w:t xml:space="preserve">I. </w:t>
      </w:r>
      <w:r w:rsidRPr="00C24D48">
        <w:rPr>
          <w:rFonts w:ascii="Palatino Linotype" w:eastAsiaTheme="minorEastAsia" w:hAnsi="Palatino Linotype" w:cs="Bookman Old Style"/>
          <w:i/>
          <w:sz w:val="22"/>
          <w:szCs w:val="22"/>
        </w:rPr>
        <w:t>Desechar o sobreseer el recurso;</w:t>
      </w:r>
    </w:p>
    <w:p w14:paraId="4E46A83A" w14:textId="77777777" w:rsidR="00D43AA3" w:rsidRPr="00C24D48" w:rsidRDefault="00D43AA3" w:rsidP="00D43AA3">
      <w:pPr>
        <w:autoSpaceDE w:val="0"/>
        <w:autoSpaceDN w:val="0"/>
        <w:adjustRightInd w:val="0"/>
        <w:ind w:left="851" w:right="899"/>
        <w:jc w:val="both"/>
        <w:rPr>
          <w:rFonts w:ascii="Palatino Linotype" w:eastAsiaTheme="minorEastAsia" w:hAnsi="Palatino Linotype" w:cs="Bookman Old Style"/>
          <w:i/>
          <w:sz w:val="22"/>
          <w:szCs w:val="22"/>
        </w:rPr>
      </w:pPr>
      <w:r w:rsidRPr="00C24D48">
        <w:rPr>
          <w:rFonts w:ascii="Palatino Linotype" w:eastAsiaTheme="minorEastAsia" w:hAnsi="Palatino Linotype" w:cs="Bookman Old Style,Bold"/>
          <w:b/>
          <w:bCs/>
          <w:i/>
          <w:sz w:val="22"/>
          <w:szCs w:val="22"/>
        </w:rPr>
        <w:t xml:space="preserve">II. </w:t>
      </w:r>
      <w:r w:rsidRPr="00C24D48">
        <w:rPr>
          <w:rFonts w:ascii="Palatino Linotype" w:eastAsiaTheme="minorEastAsia" w:hAnsi="Palatino Linotype" w:cs="Bookman Old Style"/>
          <w:i/>
          <w:sz w:val="22"/>
          <w:szCs w:val="22"/>
        </w:rPr>
        <w:t>Confirmar la respuesta del sujeto obligado;</w:t>
      </w:r>
    </w:p>
    <w:p w14:paraId="07B0A1D3" w14:textId="77777777" w:rsidR="00D43AA3" w:rsidRPr="00C24D48" w:rsidRDefault="00D43AA3" w:rsidP="00D43AA3">
      <w:pPr>
        <w:autoSpaceDE w:val="0"/>
        <w:autoSpaceDN w:val="0"/>
        <w:adjustRightInd w:val="0"/>
        <w:ind w:left="851" w:right="899"/>
        <w:jc w:val="both"/>
        <w:rPr>
          <w:rFonts w:ascii="Palatino Linotype" w:eastAsiaTheme="minorEastAsia" w:hAnsi="Palatino Linotype" w:cs="Bookman Old Style"/>
          <w:i/>
          <w:sz w:val="22"/>
          <w:szCs w:val="22"/>
        </w:rPr>
      </w:pPr>
      <w:r w:rsidRPr="00C24D48">
        <w:rPr>
          <w:rFonts w:ascii="Palatino Linotype" w:eastAsiaTheme="minorEastAsia" w:hAnsi="Palatino Linotype" w:cs="Bookman Old Style,Bold"/>
          <w:b/>
          <w:bCs/>
          <w:i/>
          <w:sz w:val="22"/>
          <w:szCs w:val="22"/>
        </w:rPr>
        <w:t xml:space="preserve">III. </w:t>
      </w:r>
      <w:r w:rsidRPr="00C24D48">
        <w:rPr>
          <w:rFonts w:ascii="Palatino Linotype" w:eastAsiaTheme="minorEastAsia" w:hAnsi="Palatino Linotype" w:cs="Bookman Old Style"/>
          <w:i/>
          <w:sz w:val="22"/>
          <w:szCs w:val="22"/>
        </w:rPr>
        <w:t>Revocar o modificar la respuesta del sujeto obligado; y</w:t>
      </w:r>
    </w:p>
    <w:p w14:paraId="1E3CCC95" w14:textId="77777777" w:rsidR="00D43AA3" w:rsidRPr="00C24D48" w:rsidRDefault="00D43AA3" w:rsidP="00D43AA3">
      <w:pPr>
        <w:ind w:left="851" w:right="899"/>
        <w:jc w:val="both"/>
        <w:rPr>
          <w:rFonts w:ascii="Palatino Linotype" w:eastAsiaTheme="minorEastAsia" w:hAnsi="Palatino Linotype" w:cs="Bookman Old Style"/>
          <w:i/>
          <w:sz w:val="22"/>
          <w:szCs w:val="22"/>
        </w:rPr>
      </w:pPr>
      <w:r w:rsidRPr="00C24D48">
        <w:rPr>
          <w:rFonts w:ascii="Palatino Linotype" w:eastAsiaTheme="minorEastAsia" w:hAnsi="Palatino Linotype" w:cs="Bookman Old Style,Bold"/>
          <w:b/>
          <w:bCs/>
          <w:i/>
          <w:sz w:val="22"/>
          <w:szCs w:val="22"/>
        </w:rPr>
        <w:t xml:space="preserve">IV. </w:t>
      </w:r>
      <w:r w:rsidRPr="00C24D48">
        <w:rPr>
          <w:rFonts w:ascii="Palatino Linotype" w:eastAsiaTheme="minorEastAsia" w:hAnsi="Palatino Linotype" w:cs="Bookman Old Style"/>
          <w:i/>
          <w:sz w:val="22"/>
          <w:szCs w:val="22"/>
        </w:rPr>
        <w:t>Ordenar la entrega de la información</w:t>
      </w:r>
    </w:p>
    <w:p w14:paraId="1D813B0F" w14:textId="77777777" w:rsidR="00D43AA3" w:rsidRPr="00C24D48" w:rsidRDefault="00D43AA3" w:rsidP="00D43AA3">
      <w:pPr>
        <w:ind w:left="851" w:right="899"/>
        <w:jc w:val="both"/>
        <w:rPr>
          <w:rFonts w:ascii="Palatino Linotype" w:eastAsiaTheme="minorEastAsia" w:hAnsi="Palatino Linotype" w:cs="Bookman Old Style"/>
          <w:i/>
          <w:sz w:val="22"/>
          <w:szCs w:val="22"/>
        </w:rPr>
      </w:pPr>
      <w:r w:rsidRPr="00C24D48">
        <w:rPr>
          <w:rFonts w:ascii="Palatino Linotype" w:eastAsiaTheme="minorEastAsia" w:hAnsi="Palatino Linotype" w:cs="Bookman Old Style,Bold"/>
          <w:b/>
          <w:bCs/>
          <w:i/>
          <w:sz w:val="22"/>
          <w:szCs w:val="22"/>
        </w:rPr>
        <w:t>…</w:t>
      </w:r>
    </w:p>
    <w:p w14:paraId="01C37A81" w14:textId="77777777" w:rsidR="00D43AA3" w:rsidRPr="00C24D48" w:rsidRDefault="00D43AA3" w:rsidP="00D43AA3">
      <w:pPr>
        <w:autoSpaceDE w:val="0"/>
        <w:autoSpaceDN w:val="0"/>
        <w:adjustRightInd w:val="0"/>
        <w:ind w:left="851" w:right="899"/>
        <w:jc w:val="both"/>
        <w:rPr>
          <w:rFonts w:ascii="Palatino Linotype" w:eastAsiaTheme="minorEastAsia" w:hAnsi="Palatino Linotype" w:cs="Bookman Old Style,Bold"/>
          <w:b/>
          <w:bCs/>
          <w:i/>
          <w:sz w:val="22"/>
          <w:szCs w:val="22"/>
        </w:rPr>
      </w:pPr>
    </w:p>
    <w:p w14:paraId="433F685A" w14:textId="77777777" w:rsidR="00D43AA3" w:rsidRPr="00C24D48" w:rsidRDefault="00D43AA3" w:rsidP="00D43AA3">
      <w:pPr>
        <w:autoSpaceDE w:val="0"/>
        <w:autoSpaceDN w:val="0"/>
        <w:adjustRightInd w:val="0"/>
        <w:ind w:left="851" w:right="899"/>
        <w:jc w:val="both"/>
        <w:rPr>
          <w:rFonts w:ascii="Palatino Linotype" w:eastAsiaTheme="minorEastAsia" w:hAnsi="Palatino Linotype" w:cs="Bookman Old Style"/>
          <w:i/>
          <w:sz w:val="22"/>
          <w:szCs w:val="22"/>
        </w:rPr>
      </w:pPr>
      <w:r w:rsidRPr="00C24D48">
        <w:rPr>
          <w:rFonts w:ascii="Palatino Linotype" w:eastAsiaTheme="minorEastAsia" w:hAnsi="Palatino Linotype" w:cs="Bookman Old Style,Bold"/>
          <w:b/>
          <w:bCs/>
          <w:i/>
          <w:sz w:val="22"/>
          <w:szCs w:val="22"/>
        </w:rPr>
        <w:t xml:space="preserve">Artículo 191. </w:t>
      </w:r>
      <w:r w:rsidRPr="00C24D48">
        <w:rPr>
          <w:rFonts w:ascii="Palatino Linotype" w:eastAsiaTheme="minorEastAsia" w:hAnsi="Palatino Linotype" w:cs="Bookman Old Style"/>
          <w:i/>
          <w:sz w:val="22"/>
          <w:szCs w:val="22"/>
        </w:rPr>
        <w:t>El recurso será desechado por improcedente cuando:</w:t>
      </w:r>
    </w:p>
    <w:p w14:paraId="72931518" w14:textId="77777777" w:rsidR="00D43AA3" w:rsidRPr="00C24D48" w:rsidRDefault="00D43AA3" w:rsidP="00D43AA3">
      <w:pPr>
        <w:autoSpaceDE w:val="0"/>
        <w:autoSpaceDN w:val="0"/>
        <w:adjustRightInd w:val="0"/>
        <w:ind w:left="851" w:right="899"/>
        <w:jc w:val="both"/>
        <w:rPr>
          <w:rFonts w:ascii="Palatino Linotype" w:eastAsiaTheme="minorEastAsia" w:hAnsi="Palatino Linotype" w:cs="Bookman Old Style"/>
          <w:i/>
          <w:sz w:val="22"/>
          <w:szCs w:val="22"/>
        </w:rPr>
      </w:pPr>
      <w:r w:rsidRPr="00C24D48">
        <w:rPr>
          <w:rFonts w:ascii="Palatino Linotype" w:eastAsiaTheme="minorEastAsia" w:hAnsi="Palatino Linotype" w:cs="Bookman Old Style,Bold"/>
          <w:b/>
          <w:bCs/>
          <w:i/>
          <w:sz w:val="22"/>
          <w:szCs w:val="22"/>
        </w:rPr>
        <w:t xml:space="preserve">I. </w:t>
      </w:r>
      <w:r w:rsidRPr="00C24D48">
        <w:rPr>
          <w:rFonts w:ascii="Palatino Linotype" w:eastAsiaTheme="minorEastAsia" w:hAnsi="Palatino Linotype" w:cs="Bookman Old Style"/>
          <w:i/>
          <w:sz w:val="22"/>
          <w:szCs w:val="22"/>
        </w:rPr>
        <w:t>Sea extemporáneo por haber transcurrido el plazo establecido en la presente Ley, a partir de la respuesta;</w:t>
      </w:r>
    </w:p>
    <w:p w14:paraId="0F9D26BE" w14:textId="77777777" w:rsidR="00D43AA3" w:rsidRPr="00C24D48" w:rsidRDefault="00D43AA3" w:rsidP="00D43AA3">
      <w:pPr>
        <w:autoSpaceDE w:val="0"/>
        <w:autoSpaceDN w:val="0"/>
        <w:adjustRightInd w:val="0"/>
        <w:ind w:left="851" w:right="899"/>
        <w:jc w:val="both"/>
        <w:rPr>
          <w:rFonts w:ascii="Palatino Linotype" w:eastAsiaTheme="minorEastAsia" w:hAnsi="Palatino Linotype" w:cs="Bookman Old Style"/>
          <w:i/>
          <w:sz w:val="22"/>
          <w:szCs w:val="22"/>
        </w:rPr>
      </w:pPr>
      <w:r w:rsidRPr="00C24D48">
        <w:rPr>
          <w:rFonts w:ascii="Palatino Linotype" w:eastAsiaTheme="minorEastAsia" w:hAnsi="Palatino Linotype" w:cs="Bookman Old Style,Bold"/>
          <w:b/>
          <w:bCs/>
          <w:i/>
          <w:sz w:val="22"/>
          <w:szCs w:val="22"/>
        </w:rPr>
        <w:t xml:space="preserve">II. </w:t>
      </w:r>
      <w:r w:rsidRPr="00C24D48">
        <w:rPr>
          <w:rFonts w:ascii="Palatino Linotype" w:eastAsiaTheme="minorEastAsia" w:hAnsi="Palatino Linotype" w:cs="Bookman Old Style"/>
          <w:i/>
          <w:sz w:val="22"/>
          <w:szCs w:val="22"/>
        </w:rPr>
        <w:t>Se esté tramitando ante el Poder Judicial de la Federación algún recurso o medio de defensa interpuesto por el recurrente;</w:t>
      </w:r>
    </w:p>
    <w:p w14:paraId="1AE40597" w14:textId="77777777" w:rsidR="00D43AA3" w:rsidRPr="00C24D48" w:rsidRDefault="00D43AA3" w:rsidP="00D43AA3">
      <w:pPr>
        <w:autoSpaceDE w:val="0"/>
        <w:autoSpaceDN w:val="0"/>
        <w:adjustRightInd w:val="0"/>
        <w:ind w:left="851" w:right="899"/>
        <w:jc w:val="both"/>
        <w:rPr>
          <w:rFonts w:ascii="Palatino Linotype" w:eastAsiaTheme="minorEastAsia" w:hAnsi="Palatino Linotype" w:cs="Bookman Old Style"/>
          <w:i/>
          <w:sz w:val="22"/>
          <w:szCs w:val="22"/>
        </w:rPr>
      </w:pPr>
      <w:r w:rsidRPr="00C24D48">
        <w:rPr>
          <w:rFonts w:ascii="Palatino Linotype" w:eastAsiaTheme="minorEastAsia" w:hAnsi="Palatino Linotype" w:cs="Bookman Old Style,Bold"/>
          <w:b/>
          <w:bCs/>
          <w:i/>
          <w:sz w:val="22"/>
          <w:szCs w:val="22"/>
        </w:rPr>
        <w:t xml:space="preserve">III. </w:t>
      </w:r>
      <w:r w:rsidRPr="00C24D48">
        <w:rPr>
          <w:rFonts w:ascii="Palatino Linotype" w:eastAsiaTheme="minorEastAsia" w:hAnsi="Palatino Linotype" w:cs="Bookman Old Style"/>
          <w:i/>
          <w:sz w:val="22"/>
          <w:szCs w:val="22"/>
        </w:rPr>
        <w:t>No actualice alguno de los supuestos previstos en la presente Ley;</w:t>
      </w:r>
    </w:p>
    <w:p w14:paraId="38B73F08" w14:textId="77777777" w:rsidR="00D43AA3" w:rsidRPr="00C24D48" w:rsidRDefault="00D43AA3" w:rsidP="00D43AA3">
      <w:pPr>
        <w:autoSpaceDE w:val="0"/>
        <w:autoSpaceDN w:val="0"/>
        <w:adjustRightInd w:val="0"/>
        <w:ind w:left="851" w:right="899"/>
        <w:jc w:val="both"/>
        <w:rPr>
          <w:rFonts w:ascii="Palatino Linotype" w:eastAsiaTheme="minorEastAsia" w:hAnsi="Palatino Linotype" w:cs="Bookman Old Style"/>
          <w:i/>
          <w:sz w:val="22"/>
          <w:szCs w:val="22"/>
        </w:rPr>
      </w:pPr>
      <w:r w:rsidRPr="00C24D48">
        <w:rPr>
          <w:rFonts w:ascii="Palatino Linotype" w:eastAsiaTheme="minorEastAsia" w:hAnsi="Palatino Linotype" w:cs="Bookman Old Style,Bold"/>
          <w:b/>
          <w:bCs/>
          <w:i/>
          <w:sz w:val="22"/>
          <w:szCs w:val="22"/>
        </w:rPr>
        <w:t xml:space="preserve">IV. </w:t>
      </w:r>
      <w:r w:rsidRPr="00C24D48">
        <w:rPr>
          <w:rFonts w:ascii="Palatino Linotype" w:eastAsiaTheme="minorEastAsia" w:hAnsi="Palatino Linotype" w:cs="Bookman Old Style"/>
          <w:i/>
          <w:sz w:val="22"/>
          <w:szCs w:val="22"/>
        </w:rPr>
        <w:t>No se haya desahogado la prevención en los términos establecidos en la presente Ley;</w:t>
      </w:r>
    </w:p>
    <w:p w14:paraId="68F9F331" w14:textId="77777777" w:rsidR="00D43AA3" w:rsidRPr="00C24D48" w:rsidRDefault="00D43AA3" w:rsidP="00D43AA3">
      <w:pPr>
        <w:autoSpaceDE w:val="0"/>
        <w:autoSpaceDN w:val="0"/>
        <w:adjustRightInd w:val="0"/>
        <w:ind w:left="851" w:right="899"/>
        <w:jc w:val="both"/>
        <w:rPr>
          <w:rFonts w:ascii="Palatino Linotype" w:eastAsiaTheme="minorEastAsia" w:hAnsi="Palatino Linotype" w:cs="Bookman Old Style"/>
          <w:i/>
          <w:sz w:val="22"/>
          <w:szCs w:val="22"/>
        </w:rPr>
      </w:pPr>
      <w:r w:rsidRPr="00C24D48">
        <w:rPr>
          <w:rFonts w:ascii="Palatino Linotype" w:eastAsiaTheme="minorEastAsia" w:hAnsi="Palatino Linotype" w:cs="Bookman Old Style,Bold"/>
          <w:b/>
          <w:bCs/>
          <w:i/>
          <w:sz w:val="22"/>
          <w:szCs w:val="22"/>
        </w:rPr>
        <w:t xml:space="preserve">V. </w:t>
      </w:r>
      <w:r w:rsidRPr="00C24D48">
        <w:rPr>
          <w:rFonts w:ascii="Palatino Linotype" w:eastAsiaTheme="minorEastAsia" w:hAnsi="Palatino Linotype" w:cs="Bookman Old Style"/>
          <w:b/>
          <w:i/>
          <w:sz w:val="22"/>
          <w:szCs w:val="22"/>
        </w:rPr>
        <w:t>Se impugne la veracidad de la información proporcionada</w:t>
      </w:r>
      <w:r w:rsidRPr="00C24D48">
        <w:rPr>
          <w:rFonts w:ascii="Palatino Linotype" w:eastAsiaTheme="minorEastAsia" w:hAnsi="Palatino Linotype" w:cs="Bookman Old Style"/>
          <w:i/>
          <w:sz w:val="22"/>
          <w:szCs w:val="22"/>
        </w:rPr>
        <w:t>;</w:t>
      </w:r>
    </w:p>
    <w:p w14:paraId="57F37E1C" w14:textId="77777777" w:rsidR="00D43AA3" w:rsidRPr="00C24D48" w:rsidRDefault="00D43AA3" w:rsidP="00D43AA3">
      <w:pPr>
        <w:autoSpaceDE w:val="0"/>
        <w:autoSpaceDN w:val="0"/>
        <w:adjustRightInd w:val="0"/>
        <w:ind w:left="851" w:right="899"/>
        <w:jc w:val="both"/>
        <w:rPr>
          <w:rFonts w:ascii="Palatino Linotype" w:eastAsiaTheme="minorEastAsia" w:hAnsi="Palatino Linotype" w:cs="Bookman Old Style"/>
          <w:i/>
          <w:sz w:val="22"/>
          <w:szCs w:val="22"/>
        </w:rPr>
      </w:pPr>
      <w:r w:rsidRPr="00C24D48">
        <w:rPr>
          <w:rFonts w:ascii="Palatino Linotype" w:eastAsiaTheme="minorEastAsia" w:hAnsi="Palatino Linotype" w:cs="Bookman Old Style,Bold"/>
          <w:b/>
          <w:bCs/>
          <w:i/>
          <w:sz w:val="22"/>
          <w:szCs w:val="22"/>
        </w:rPr>
        <w:t xml:space="preserve">VI. </w:t>
      </w:r>
      <w:r w:rsidRPr="00C24D48">
        <w:rPr>
          <w:rFonts w:ascii="Palatino Linotype" w:eastAsiaTheme="minorEastAsia" w:hAnsi="Palatino Linotype" w:cs="Bookman Old Style"/>
          <w:i/>
          <w:sz w:val="22"/>
          <w:szCs w:val="22"/>
        </w:rPr>
        <w:t>Se trate de una consulta, o trámite en específico; y</w:t>
      </w:r>
    </w:p>
    <w:p w14:paraId="3339D3CF" w14:textId="77777777" w:rsidR="00D43AA3" w:rsidRPr="00C24D48" w:rsidRDefault="00D43AA3" w:rsidP="00D43AA3">
      <w:pPr>
        <w:autoSpaceDE w:val="0"/>
        <w:autoSpaceDN w:val="0"/>
        <w:adjustRightInd w:val="0"/>
        <w:ind w:left="851" w:right="899"/>
        <w:jc w:val="both"/>
        <w:rPr>
          <w:rFonts w:ascii="Palatino Linotype" w:eastAsiaTheme="minorEastAsia" w:hAnsi="Palatino Linotype" w:cs="Bookman Old Style"/>
          <w:i/>
          <w:sz w:val="22"/>
          <w:szCs w:val="22"/>
        </w:rPr>
      </w:pPr>
      <w:r w:rsidRPr="00C24D48">
        <w:rPr>
          <w:rFonts w:ascii="Palatino Linotype" w:eastAsiaTheme="minorEastAsia" w:hAnsi="Palatino Linotype" w:cs="Bookman Old Style,Bold"/>
          <w:b/>
          <w:bCs/>
          <w:i/>
          <w:sz w:val="22"/>
          <w:szCs w:val="22"/>
        </w:rPr>
        <w:t xml:space="preserve">VII. </w:t>
      </w:r>
      <w:r w:rsidRPr="00C24D48">
        <w:rPr>
          <w:rFonts w:ascii="Palatino Linotype" w:eastAsiaTheme="minorEastAsia" w:hAnsi="Palatino Linotype" w:cs="Bookman Old Style"/>
          <w:i/>
          <w:sz w:val="22"/>
          <w:szCs w:val="22"/>
        </w:rPr>
        <w:t>El recurrente amplíe su solicitud en el Recurso de Revisión, únicamente respecto de los nuevos contenidos.</w:t>
      </w:r>
    </w:p>
    <w:p w14:paraId="4C7F8BA8" w14:textId="77777777" w:rsidR="00D43AA3" w:rsidRPr="00C24D48" w:rsidRDefault="00D43AA3" w:rsidP="00D43AA3">
      <w:pPr>
        <w:autoSpaceDE w:val="0"/>
        <w:autoSpaceDN w:val="0"/>
        <w:adjustRightInd w:val="0"/>
        <w:ind w:left="851" w:right="899"/>
        <w:jc w:val="both"/>
        <w:rPr>
          <w:rFonts w:ascii="Palatino Linotype" w:eastAsiaTheme="minorEastAsia" w:hAnsi="Palatino Linotype" w:cs="Bookman Old Style"/>
          <w:i/>
          <w:sz w:val="22"/>
          <w:szCs w:val="22"/>
        </w:rPr>
      </w:pPr>
    </w:p>
    <w:p w14:paraId="541D959B" w14:textId="77777777" w:rsidR="00D43AA3" w:rsidRPr="00C24D48" w:rsidRDefault="00D43AA3" w:rsidP="00D43AA3">
      <w:pPr>
        <w:autoSpaceDE w:val="0"/>
        <w:autoSpaceDN w:val="0"/>
        <w:adjustRightInd w:val="0"/>
        <w:ind w:left="851" w:right="899"/>
        <w:jc w:val="both"/>
        <w:rPr>
          <w:rFonts w:ascii="Palatino Linotype" w:eastAsiaTheme="minorEastAsia" w:hAnsi="Palatino Linotype" w:cs="Bookman Old Style"/>
          <w:i/>
          <w:sz w:val="22"/>
          <w:szCs w:val="22"/>
        </w:rPr>
      </w:pPr>
      <w:r w:rsidRPr="00C24D48">
        <w:rPr>
          <w:rFonts w:ascii="Palatino Linotype" w:eastAsiaTheme="minorEastAsia" w:hAnsi="Palatino Linotype" w:cs="Bookman Old Style,Bold"/>
          <w:b/>
          <w:bCs/>
          <w:i/>
          <w:sz w:val="22"/>
          <w:szCs w:val="22"/>
        </w:rPr>
        <w:t xml:space="preserve">Artículo 192. </w:t>
      </w:r>
      <w:r w:rsidRPr="00C24D48">
        <w:rPr>
          <w:rFonts w:ascii="Palatino Linotype" w:eastAsiaTheme="minorEastAsia" w:hAnsi="Palatino Linotype" w:cs="Bookman Old Style"/>
          <w:i/>
          <w:sz w:val="22"/>
          <w:szCs w:val="22"/>
        </w:rPr>
        <w:t>El recurso será sobreseído, en todo o en parte, cuando una vez admitido, se actualicen alguno de los siguientes supuestos:</w:t>
      </w:r>
    </w:p>
    <w:p w14:paraId="0E013287" w14:textId="77777777" w:rsidR="00D43AA3" w:rsidRPr="00C24D48" w:rsidRDefault="00D43AA3" w:rsidP="00D43AA3">
      <w:pPr>
        <w:autoSpaceDE w:val="0"/>
        <w:autoSpaceDN w:val="0"/>
        <w:adjustRightInd w:val="0"/>
        <w:ind w:left="851" w:right="899"/>
        <w:jc w:val="both"/>
        <w:rPr>
          <w:rFonts w:ascii="Palatino Linotype" w:eastAsiaTheme="minorEastAsia" w:hAnsi="Palatino Linotype" w:cs="Bookman Old Style"/>
          <w:i/>
          <w:sz w:val="22"/>
          <w:szCs w:val="22"/>
        </w:rPr>
      </w:pPr>
      <w:r w:rsidRPr="00C24D48">
        <w:rPr>
          <w:rFonts w:ascii="Palatino Linotype" w:eastAsiaTheme="minorEastAsia" w:hAnsi="Palatino Linotype" w:cs="Bookman Old Style,Bold"/>
          <w:b/>
          <w:bCs/>
          <w:i/>
          <w:sz w:val="22"/>
          <w:szCs w:val="22"/>
        </w:rPr>
        <w:t xml:space="preserve">I. </w:t>
      </w:r>
      <w:r w:rsidRPr="00C24D48">
        <w:rPr>
          <w:rFonts w:ascii="Palatino Linotype" w:eastAsiaTheme="minorEastAsia" w:hAnsi="Palatino Linotype" w:cs="Bookman Old Style"/>
          <w:i/>
          <w:sz w:val="22"/>
          <w:szCs w:val="22"/>
        </w:rPr>
        <w:t>El recurrente se desista expresamente del recurso;</w:t>
      </w:r>
    </w:p>
    <w:p w14:paraId="5EFC2900" w14:textId="77777777" w:rsidR="00D43AA3" w:rsidRPr="00C24D48" w:rsidRDefault="00D43AA3" w:rsidP="00D43AA3">
      <w:pPr>
        <w:autoSpaceDE w:val="0"/>
        <w:autoSpaceDN w:val="0"/>
        <w:adjustRightInd w:val="0"/>
        <w:ind w:left="851" w:right="899"/>
        <w:jc w:val="both"/>
        <w:rPr>
          <w:rFonts w:ascii="Palatino Linotype" w:eastAsiaTheme="minorEastAsia" w:hAnsi="Palatino Linotype" w:cs="Bookman Old Style"/>
          <w:i/>
          <w:sz w:val="22"/>
          <w:szCs w:val="22"/>
        </w:rPr>
      </w:pPr>
      <w:r w:rsidRPr="00C24D48">
        <w:rPr>
          <w:rFonts w:ascii="Palatino Linotype" w:eastAsiaTheme="minorEastAsia" w:hAnsi="Palatino Linotype" w:cs="Bookman Old Style,Bold"/>
          <w:b/>
          <w:bCs/>
          <w:i/>
          <w:sz w:val="22"/>
          <w:szCs w:val="22"/>
        </w:rPr>
        <w:t xml:space="preserve">II. </w:t>
      </w:r>
      <w:r w:rsidRPr="00C24D48">
        <w:rPr>
          <w:rFonts w:ascii="Palatino Linotype" w:eastAsiaTheme="minorEastAsia" w:hAnsi="Palatino Linotype" w:cs="Bookman Old Style"/>
          <w:i/>
          <w:sz w:val="22"/>
          <w:szCs w:val="22"/>
        </w:rPr>
        <w:t>El recurrente fallezca o, tratándose de personas jurídicas colectivas, se disuelva;</w:t>
      </w:r>
    </w:p>
    <w:p w14:paraId="0ABDDB8A" w14:textId="77777777" w:rsidR="00D43AA3" w:rsidRPr="004E7E3B" w:rsidRDefault="00D43AA3" w:rsidP="00D43AA3">
      <w:pPr>
        <w:autoSpaceDE w:val="0"/>
        <w:autoSpaceDN w:val="0"/>
        <w:adjustRightInd w:val="0"/>
        <w:ind w:left="851" w:right="899"/>
        <w:jc w:val="both"/>
        <w:rPr>
          <w:rFonts w:ascii="Palatino Linotype" w:eastAsiaTheme="minorEastAsia" w:hAnsi="Palatino Linotype" w:cs="Bookman Old Style"/>
          <w:b/>
          <w:i/>
          <w:sz w:val="22"/>
          <w:szCs w:val="22"/>
        </w:rPr>
      </w:pPr>
      <w:r w:rsidRPr="004E7E3B">
        <w:rPr>
          <w:rFonts w:ascii="Palatino Linotype" w:eastAsiaTheme="minorEastAsia" w:hAnsi="Palatino Linotype" w:cs="Bookman Old Style,Bold"/>
          <w:b/>
          <w:bCs/>
          <w:i/>
          <w:sz w:val="22"/>
          <w:szCs w:val="22"/>
        </w:rPr>
        <w:t xml:space="preserve">III. </w:t>
      </w:r>
      <w:r w:rsidRPr="004E7E3B">
        <w:rPr>
          <w:rFonts w:ascii="Palatino Linotype" w:eastAsiaTheme="minorEastAsia" w:hAnsi="Palatino Linotype" w:cs="Bookman Old Style"/>
          <w:b/>
          <w:i/>
          <w:sz w:val="22"/>
          <w:szCs w:val="22"/>
        </w:rPr>
        <w:t>El sujeto obligado responsable del acto lo modifique o revoque de tal manera que el Recurso de Revisión quede sin materia;</w:t>
      </w:r>
    </w:p>
    <w:p w14:paraId="309BFE3F" w14:textId="77777777" w:rsidR="00D43AA3" w:rsidRPr="004E7E3B" w:rsidRDefault="00D43AA3" w:rsidP="00D43AA3">
      <w:pPr>
        <w:autoSpaceDE w:val="0"/>
        <w:autoSpaceDN w:val="0"/>
        <w:adjustRightInd w:val="0"/>
        <w:ind w:left="851" w:right="899"/>
        <w:jc w:val="both"/>
        <w:rPr>
          <w:rFonts w:ascii="Palatino Linotype" w:eastAsiaTheme="minorEastAsia" w:hAnsi="Palatino Linotype" w:cs="Bookman Old Style"/>
          <w:i/>
          <w:sz w:val="22"/>
          <w:szCs w:val="22"/>
        </w:rPr>
      </w:pPr>
      <w:r w:rsidRPr="004E7E3B">
        <w:rPr>
          <w:rFonts w:ascii="Palatino Linotype" w:eastAsiaTheme="minorEastAsia" w:hAnsi="Palatino Linotype" w:cs="Bookman Old Style,Bold"/>
          <w:bCs/>
          <w:i/>
          <w:sz w:val="22"/>
          <w:szCs w:val="22"/>
        </w:rPr>
        <w:t xml:space="preserve">IV. </w:t>
      </w:r>
      <w:r w:rsidRPr="004E7E3B">
        <w:rPr>
          <w:rFonts w:ascii="Palatino Linotype" w:eastAsiaTheme="minorEastAsia" w:hAnsi="Palatino Linotype" w:cs="Bookman Old Style"/>
          <w:i/>
          <w:sz w:val="22"/>
          <w:szCs w:val="22"/>
        </w:rPr>
        <w:t>Admitido el Recurso de Revisión, aparezca alguna causal de improcedencia en los términos de la presente Ley; y</w:t>
      </w:r>
    </w:p>
    <w:p w14:paraId="6B758ACE" w14:textId="77777777" w:rsidR="00D43AA3" w:rsidRPr="00C24D48" w:rsidRDefault="00D43AA3" w:rsidP="00D43AA3">
      <w:pPr>
        <w:autoSpaceDE w:val="0"/>
        <w:autoSpaceDN w:val="0"/>
        <w:adjustRightInd w:val="0"/>
        <w:ind w:left="851" w:right="899"/>
        <w:jc w:val="both"/>
        <w:rPr>
          <w:rFonts w:ascii="Palatino Linotype" w:eastAsiaTheme="minorEastAsia" w:hAnsi="Palatino Linotype" w:cs="Bookman Old Style"/>
          <w:sz w:val="22"/>
          <w:szCs w:val="22"/>
        </w:rPr>
      </w:pPr>
      <w:r w:rsidRPr="00C24D48">
        <w:rPr>
          <w:rFonts w:ascii="Palatino Linotype" w:eastAsiaTheme="minorEastAsia" w:hAnsi="Palatino Linotype" w:cs="Bookman Old Style,Bold"/>
          <w:b/>
          <w:bCs/>
          <w:i/>
          <w:sz w:val="22"/>
          <w:szCs w:val="22"/>
        </w:rPr>
        <w:t xml:space="preserve">V. </w:t>
      </w:r>
      <w:r w:rsidRPr="00C24D48">
        <w:rPr>
          <w:rFonts w:ascii="Palatino Linotype" w:eastAsiaTheme="minorEastAsia" w:hAnsi="Palatino Linotype" w:cs="Bookman Old Style"/>
          <w:i/>
          <w:sz w:val="22"/>
          <w:szCs w:val="22"/>
        </w:rPr>
        <w:t>Cuando por cualquier motivo quede sin materia el recurso</w:t>
      </w:r>
      <w:r w:rsidRPr="00C24D48">
        <w:rPr>
          <w:rFonts w:ascii="Palatino Linotype" w:eastAsiaTheme="minorEastAsia" w:hAnsi="Palatino Linotype" w:cs="Bookman Old Style"/>
          <w:sz w:val="22"/>
          <w:szCs w:val="22"/>
        </w:rPr>
        <w:t>.”</w:t>
      </w:r>
    </w:p>
    <w:p w14:paraId="175AEB76" w14:textId="77777777" w:rsidR="00D43AA3" w:rsidRPr="00C24D48" w:rsidRDefault="00D43AA3" w:rsidP="00D43AA3">
      <w:pPr>
        <w:autoSpaceDE w:val="0"/>
        <w:autoSpaceDN w:val="0"/>
        <w:adjustRightInd w:val="0"/>
        <w:ind w:left="851" w:right="899"/>
        <w:jc w:val="both"/>
        <w:rPr>
          <w:rFonts w:ascii="Palatino Linotype" w:eastAsiaTheme="minorEastAsia" w:hAnsi="Palatino Linotype" w:cs="Bookman Old Style"/>
          <w:sz w:val="22"/>
          <w:szCs w:val="22"/>
        </w:rPr>
      </w:pPr>
      <w:r w:rsidRPr="00C24D48">
        <w:rPr>
          <w:rFonts w:ascii="Palatino Linotype" w:eastAsiaTheme="minorEastAsia" w:hAnsi="Palatino Linotype" w:cs="Bookman Old Style,Bold"/>
          <w:bCs/>
          <w:i/>
          <w:sz w:val="22"/>
          <w:szCs w:val="22"/>
        </w:rPr>
        <w:t>(Énfasis añadido)</w:t>
      </w:r>
    </w:p>
    <w:p w14:paraId="1607D3A1" w14:textId="77777777" w:rsidR="00D43AA3" w:rsidRPr="00C24D48" w:rsidRDefault="00D43AA3" w:rsidP="00D43AA3">
      <w:pPr>
        <w:autoSpaceDE w:val="0"/>
        <w:autoSpaceDN w:val="0"/>
        <w:adjustRightInd w:val="0"/>
        <w:ind w:left="851" w:right="899"/>
        <w:jc w:val="both"/>
        <w:rPr>
          <w:rFonts w:ascii="Palatino Linotype" w:eastAsiaTheme="minorEastAsia" w:hAnsi="Palatino Linotype" w:cs="Bookman Old Style"/>
          <w:sz w:val="22"/>
          <w:szCs w:val="22"/>
        </w:rPr>
      </w:pPr>
    </w:p>
    <w:p w14:paraId="454E7F16" w14:textId="77777777" w:rsidR="00D43AA3" w:rsidRPr="00C24D48" w:rsidRDefault="00D43AA3" w:rsidP="00D43AA3">
      <w:pPr>
        <w:spacing w:line="360" w:lineRule="auto"/>
        <w:ind w:right="49"/>
        <w:jc w:val="both"/>
        <w:rPr>
          <w:rFonts w:ascii="Palatino Linotype" w:hAnsi="Palatino Linotype" w:cs="Arial"/>
        </w:rPr>
      </w:pPr>
      <w:r w:rsidRPr="00C24D48">
        <w:rPr>
          <w:rFonts w:ascii="Palatino Linotype" w:hAnsi="Palatino Linotype" w:cs="Arial"/>
        </w:rPr>
        <w:t xml:space="preserve">Por lo que al analizar el contenido de los numerales citados previamente, podemos señalar que la Ley de Transparencia y Acceso a la Información Pública del Estado de México y Municipios,  contempla la posibilidad de desechar el Recurso de Revisión en el momento procesal en que también se puede admitir, por alguna de las causales </w:t>
      </w:r>
      <w:r w:rsidRPr="00C24D48">
        <w:rPr>
          <w:rFonts w:ascii="Palatino Linotype" w:hAnsi="Palatino Linotype" w:cs="Arial"/>
        </w:rPr>
        <w:lastRenderedPageBreak/>
        <w:t>transcritas, artículo que tiene un momento de aplicabilidad previo a la admisión del Recurso de Revisión por no reunir los requisitos de procedibilidad previstos en el artículo 179 de la Ley en la Materia.</w:t>
      </w:r>
    </w:p>
    <w:p w14:paraId="6F6E4049" w14:textId="77777777" w:rsidR="00D43AA3" w:rsidRPr="00C24D48" w:rsidRDefault="00D43AA3" w:rsidP="00D43AA3">
      <w:pPr>
        <w:spacing w:line="360" w:lineRule="auto"/>
        <w:ind w:right="49"/>
        <w:jc w:val="both"/>
        <w:rPr>
          <w:rFonts w:ascii="Palatino Linotype" w:hAnsi="Palatino Linotype" w:cs="Arial"/>
        </w:rPr>
      </w:pPr>
    </w:p>
    <w:p w14:paraId="73A533CB" w14:textId="77777777" w:rsidR="00D43AA3" w:rsidRPr="00C24D48" w:rsidRDefault="00D43AA3" w:rsidP="00D43AA3">
      <w:pPr>
        <w:spacing w:line="360" w:lineRule="auto"/>
        <w:ind w:right="49"/>
        <w:jc w:val="both"/>
        <w:rPr>
          <w:rFonts w:ascii="Palatino Linotype" w:hAnsi="Palatino Linotype" w:cs="Arial"/>
        </w:rPr>
      </w:pPr>
      <w:r w:rsidRPr="00C24D48">
        <w:rPr>
          <w:rFonts w:ascii="Palatino Linotype" w:hAnsi="Palatino Linotype" w:cs="Arial"/>
        </w:rPr>
        <w:t>Dentro de este orden de ideas, es evidente que no se puede invocar el precepto legal 191 de la Ley de Transparencia y Acceso a la Información Pública del Estado de México y Municipios, posterior a que ha sido admitido, determinando la actualización de un desechamiento</w:t>
      </w:r>
      <w:r w:rsidRPr="00C24D48">
        <w:rPr>
          <w:rFonts w:ascii="Palatino Linotype" w:hAnsi="Palatino Linotype" w:cs="Arial"/>
          <w:vertAlign w:val="superscript"/>
        </w:rPr>
        <w:footnoteReference w:id="1"/>
      </w:r>
      <w:r w:rsidRPr="00C24D48">
        <w:rPr>
          <w:rFonts w:ascii="Palatino Linotype" w:hAnsi="Palatino Linotype" w:cs="Arial"/>
        </w:rPr>
        <w:t>, porque sería subsecuente a la etapa procedimental en la que debió desecharse.</w:t>
      </w:r>
    </w:p>
    <w:p w14:paraId="23C0D594" w14:textId="77777777" w:rsidR="00D43AA3" w:rsidRPr="00C24D48" w:rsidRDefault="00D43AA3" w:rsidP="00D43AA3">
      <w:pPr>
        <w:spacing w:line="360" w:lineRule="auto"/>
        <w:ind w:right="49"/>
        <w:jc w:val="both"/>
        <w:rPr>
          <w:rFonts w:ascii="Palatino Linotype" w:hAnsi="Palatino Linotype" w:cs="Arial"/>
        </w:rPr>
      </w:pPr>
    </w:p>
    <w:p w14:paraId="37CE58B8" w14:textId="5443689D" w:rsidR="00D43AA3" w:rsidRPr="00C24D48" w:rsidRDefault="00D43AA3" w:rsidP="00D43AA3">
      <w:pPr>
        <w:spacing w:line="360" w:lineRule="auto"/>
        <w:ind w:right="49"/>
        <w:jc w:val="both"/>
        <w:rPr>
          <w:rFonts w:ascii="Palatino Linotype" w:hAnsi="Palatino Linotype" w:cs="Arial"/>
        </w:rPr>
      </w:pPr>
      <w:r w:rsidRPr="00C24D48">
        <w:rPr>
          <w:rFonts w:ascii="Palatino Linotype" w:hAnsi="Palatino Linotype" w:cs="Arial"/>
        </w:rPr>
        <w:t>Cobrando aplicación lo previst</w:t>
      </w:r>
      <w:r w:rsidR="004E7E3B">
        <w:rPr>
          <w:rFonts w:ascii="Palatino Linotype" w:hAnsi="Palatino Linotype" w:cs="Arial"/>
        </w:rPr>
        <w:t>o en el artículo 192 fracción III</w:t>
      </w:r>
      <w:r w:rsidRPr="00C24D48">
        <w:rPr>
          <w:rFonts w:ascii="Palatino Linotype" w:hAnsi="Palatino Linotype" w:cs="Arial"/>
        </w:rPr>
        <w:t xml:space="preserve"> de la Ley de Transparencia y Acceso a la Información Pública del Estado de México y Municipios, que señala las posibilidades en el que el Recurso de Revisión será sobreseído, actualizándose para el caso en concreto una causal de improcedencia en los términos de la presente ley. </w:t>
      </w:r>
    </w:p>
    <w:p w14:paraId="022E6F67" w14:textId="77777777" w:rsidR="00D43AA3" w:rsidRPr="00C24D48" w:rsidRDefault="00D43AA3" w:rsidP="00D43AA3">
      <w:pPr>
        <w:spacing w:line="360" w:lineRule="auto"/>
        <w:ind w:right="49"/>
        <w:jc w:val="both"/>
        <w:rPr>
          <w:rFonts w:ascii="Palatino Linotype" w:hAnsi="Palatino Linotype" w:cs="Arial"/>
        </w:rPr>
      </w:pPr>
    </w:p>
    <w:p w14:paraId="4A746CC1" w14:textId="78AF3510" w:rsidR="00D43AA3" w:rsidRPr="00C24D48" w:rsidRDefault="00D43AA3" w:rsidP="00D43AA3">
      <w:pPr>
        <w:spacing w:line="360" w:lineRule="auto"/>
        <w:ind w:right="49"/>
        <w:jc w:val="both"/>
        <w:rPr>
          <w:rFonts w:ascii="Palatino Linotype" w:hAnsi="Palatino Linotype" w:cs="Arial"/>
        </w:rPr>
      </w:pPr>
      <w:r w:rsidRPr="00C24D48">
        <w:rPr>
          <w:rFonts w:ascii="Palatino Linotype" w:hAnsi="Palatino Linotype" w:cs="Arial"/>
        </w:rPr>
        <w:t xml:space="preserve">Del análisis de las constancias que obran en el expediente electrónico formado en el </w:t>
      </w:r>
      <w:r w:rsidRPr="00C24D48">
        <w:rPr>
          <w:rFonts w:ascii="Palatino Linotype" w:hAnsi="Palatino Linotype" w:cs="Arial"/>
          <w:b/>
          <w:bCs/>
        </w:rPr>
        <w:t xml:space="preserve">SAIMEX </w:t>
      </w:r>
      <w:r w:rsidRPr="00C24D48">
        <w:rPr>
          <w:rFonts w:ascii="Palatino Linotype" w:hAnsi="Palatino Linotype" w:cs="Arial"/>
        </w:rPr>
        <w:t xml:space="preserve">del Recurso de Revisión materia del presente estudio, se advierte que se actualiza la causal de </w:t>
      </w:r>
      <w:r w:rsidRPr="00C24D48">
        <w:rPr>
          <w:rFonts w:ascii="Palatino Linotype" w:hAnsi="Palatino Linotype" w:cs="Arial"/>
          <w:b/>
          <w:bCs/>
        </w:rPr>
        <w:t xml:space="preserve">sobreseimiento </w:t>
      </w:r>
      <w:r w:rsidRPr="00C24D48">
        <w:rPr>
          <w:rFonts w:ascii="Palatino Linotype" w:hAnsi="Palatino Linotype" w:cs="Arial"/>
        </w:rPr>
        <w:t>previst</w:t>
      </w:r>
      <w:r w:rsidR="004E7E3B">
        <w:rPr>
          <w:rFonts w:ascii="Palatino Linotype" w:hAnsi="Palatino Linotype" w:cs="Arial"/>
        </w:rPr>
        <w:t>a en el artículo 192 fracción III</w:t>
      </w:r>
      <w:r w:rsidRPr="00C24D48">
        <w:rPr>
          <w:rFonts w:ascii="Palatino Linotype" w:hAnsi="Palatino Linotype" w:cs="Arial"/>
        </w:rPr>
        <w:t xml:space="preserve"> en relación con el artículo 191 fracción V de la Ley de Transparencia y Acceso a la Información </w:t>
      </w:r>
      <w:r w:rsidRPr="00C24D48">
        <w:rPr>
          <w:rFonts w:ascii="Palatino Linotype" w:hAnsi="Palatino Linotype" w:cs="Arial"/>
        </w:rPr>
        <w:lastRenderedPageBreak/>
        <w:t>Pública del Estado de México y Municipios,  lo anterior, por cómo se ha analizado en el presente estudio, no existen elementos de procedencia.</w:t>
      </w:r>
    </w:p>
    <w:p w14:paraId="6F7CF3A4" w14:textId="77777777" w:rsidR="00D43AA3" w:rsidRPr="00C24D48" w:rsidRDefault="00D43AA3" w:rsidP="00D43AA3">
      <w:pPr>
        <w:spacing w:line="360" w:lineRule="auto"/>
        <w:jc w:val="both"/>
        <w:rPr>
          <w:rFonts w:ascii="Palatino Linotype" w:hAnsi="Palatino Linotype" w:cs="Arial"/>
          <w:lang w:eastAsia="es-MX"/>
        </w:rPr>
      </w:pPr>
    </w:p>
    <w:p w14:paraId="279BCF05" w14:textId="77777777" w:rsidR="00D43AA3" w:rsidRPr="00C24D48" w:rsidRDefault="00D43AA3" w:rsidP="00D43AA3">
      <w:pPr>
        <w:spacing w:line="360" w:lineRule="auto"/>
        <w:ind w:right="49"/>
        <w:jc w:val="both"/>
        <w:rPr>
          <w:rFonts w:ascii="Palatino Linotype" w:hAnsi="Palatino Linotype" w:cs="Arial"/>
        </w:rPr>
      </w:pPr>
      <w:r w:rsidRPr="00C24D48">
        <w:rPr>
          <w:rFonts w:ascii="Palatino Linotype" w:hAnsi="Palatino Linotype" w:cs="Arial"/>
        </w:rPr>
        <w:t>Sirve como criterio orientador, lo establecido en la Jurisprudencia 1ª./J 3/99 de la Novena Época, emitida por la Primera Sala de la Suprema Corte de Justicia de la Nación, publicada en el Semanario Judicial de la Federación y su Gaceta, que en lo conducente dispone:</w:t>
      </w:r>
    </w:p>
    <w:p w14:paraId="1F61B0C9" w14:textId="77777777" w:rsidR="00D43AA3" w:rsidRPr="00C24D48" w:rsidRDefault="00D43AA3" w:rsidP="00D43AA3">
      <w:pPr>
        <w:ind w:right="49"/>
        <w:jc w:val="both"/>
        <w:rPr>
          <w:rFonts w:ascii="Palatino Linotype" w:hAnsi="Palatino Linotype" w:cs="Arial"/>
          <w:sz w:val="22"/>
          <w:szCs w:val="22"/>
        </w:rPr>
      </w:pPr>
    </w:p>
    <w:p w14:paraId="01C7CAD1" w14:textId="77777777" w:rsidR="00D43AA3" w:rsidRPr="00C24D48" w:rsidRDefault="00D43AA3" w:rsidP="00D43AA3">
      <w:pPr>
        <w:autoSpaceDE w:val="0"/>
        <w:autoSpaceDN w:val="0"/>
        <w:adjustRightInd w:val="0"/>
        <w:ind w:left="851" w:right="899"/>
        <w:jc w:val="both"/>
        <w:rPr>
          <w:rFonts w:ascii="Palatino Linotype" w:hAnsi="Palatino Linotype" w:cs="Arial"/>
          <w:i/>
          <w:sz w:val="22"/>
          <w:szCs w:val="22"/>
        </w:rPr>
      </w:pPr>
      <w:r w:rsidRPr="00C24D48">
        <w:rPr>
          <w:rFonts w:ascii="Palatino Linotype" w:hAnsi="Palatino Linotype" w:cs="Arial"/>
          <w:b/>
          <w:i/>
          <w:sz w:val="22"/>
          <w:szCs w:val="22"/>
        </w:rPr>
        <w:t xml:space="preserve">“IMPROCEDENCIA. ESTUDIO PREFERENCIAL DE LAS CAUSALES PREVISTAS EN EL ARTÍCULO 73 DE LA LEY DE AMPARO. </w:t>
      </w:r>
      <w:r w:rsidRPr="00C24D48">
        <w:rPr>
          <w:rFonts w:ascii="Palatino Linotype" w:hAnsi="Palatino Linotype" w:cs="Arial"/>
          <w:i/>
          <w:sz w:val="22"/>
          <w:szCs w:val="22"/>
        </w:rPr>
        <w:t>De conformidad con lo dispuesto en el último párrafo del artículo 73 de la Ley de Amparo las causales de improcedencia deben ser examinadas de oficio y debe abordarse en cualquier instancia en que el juicio se encuentre; de tal manera que si en la revisión se advierte que existen otras causas de estudio preferente a la invocada por el Juez para sobreseer, habrán de analizarse, sin atender razonamiento alguno expresado por el recurrente…”</w:t>
      </w:r>
    </w:p>
    <w:p w14:paraId="68BC6574" w14:textId="77777777" w:rsidR="00D43AA3" w:rsidRPr="00C24D48" w:rsidRDefault="00D43AA3" w:rsidP="00D43AA3">
      <w:pPr>
        <w:autoSpaceDE w:val="0"/>
        <w:autoSpaceDN w:val="0"/>
        <w:adjustRightInd w:val="0"/>
        <w:ind w:left="851" w:right="899"/>
        <w:jc w:val="both"/>
        <w:rPr>
          <w:rFonts w:ascii="Palatino Linotype" w:hAnsi="Palatino Linotype" w:cs="Arial"/>
          <w:i/>
          <w:sz w:val="22"/>
          <w:szCs w:val="22"/>
        </w:rPr>
      </w:pPr>
    </w:p>
    <w:p w14:paraId="07A525FF" w14:textId="77777777" w:rsidR="00E82DFF" w:rsidRPr="00AD08C1" w:rsidRDefault="00E82DFF" w:rsidP="00D43AA3">
      <w:pPr>
        <w:spacing w:line="360" w:lineRule="auto"/>
        <w:ind w:right="49"/>
        <w:jc w:val="both"/>
        <w:rPr>
          <w:rFonts w:ascii="Palatino Linotype" w:hAnsi="Palatino Linotype"/>
        </w:rPr>
      </w:pPr>
    </w:p>
    <w:p w14:paraId="5D1E4970" w14:textId="67307921" w:rsidR="00111F08" w:rsidRDefault="00D43AA3" w:rsidP="00D43AA3">
      <w:pPr>
        <w:spacing w:line="360" w:lineRule="auto"/>
        <w:ind w:right="49"/>
        <w:jc w:val="both"/>
        <w:rPr>
          <w:rFonts w:ascii="Palatino Linotype" w:hAnsi="Palatino Linotype"/>
        </w:rPr>
      </w:pPr>
      <w:r w:rsidRPr="00AD08C1">
        <w:rPr>
          <w:rFonts w:ascii="Palatino Linotype" w:hAnsi="Palatino Linotype"/>
        </w:rPr>
        <w:t xml:space="preserve">Por ello, en términos del artículo 191, fracción V, de la Ley de Transparencia y Acceso a la Información Pública del Estado de México y Municipios, este Órgano Garante considera procedente </w:t>
      </w:r>
      <w:r w:rsidRPr="00AD08C1">
        <w:rPr>
          <w:rFonts w:ascii="Palatino Linotype" w:hAnsi="Palatino Linotype"/>
          <w:b/>
        </w:rPr>
        <w:t xml:space="preserve">SOBRESEER </w:t>
      </w:r>
      <w:r w:rsidRPr="00AD08C1">
        <w:rPr>
          <w:rFonts w:ascii="Palatino Linotype" w:hAnsi="Palatino Linotype"/>
        </w:rPr>
        <w:t>el presente Recurso de Revisión, toda vez que se actualiza la fracción IV del artículo 19</w:t>
      </w:r>
      <w:r w:rsidR="00111F08" w:rsidRPr="00AD08C1">
        <w:rPr>
          <w:rFonts w:ascii="Palatino Linotype" w:hAnsi="Palatino Linotype"/>
        </w:rPr>
        <w:t xml:space="preserve">2 del citado ordenamiento legal, que en lo conducente consagran: </w:t>
      </w:r>
    </w:p>
    <w:p w14:paraId="7096AE01" w14:textId="77777777" w:rsidR="00AD08C1" w:rsidRPr="00AD08C1" w:rsidRDefault="00AD08C1" w:rsidP="00D43AA3">
      <w:pPr>
        <w:spacing w:line="360" w:lineRule="auto"/>
        <w:ind w:right="49"/>
        <w:jc w:val="both"/>
        <w:rPr>
          <w:rFonts w:ascii="Palatino Linotype" w:hAnsi="Palatino Linotype"/>
        </w:rPr>
      </w:pPr>
    </w:p>
    <w:p w14:paraId="0E6BB41E" w14:textId="2ABB5ACA" w:rsidR="00111F08" w:rsidRPr="00AD08C1" w:rsidRDefault="00AD08C1" w:rsidP="00111F08">
      <w:pPr>
        <w:pStyle w:val="Citas"/>
        <w:spacing w:before="0" w:after="0" w:line="240" w:lineRule="auto"/>
        <w:ind w:right="907"/>
      </w:pPr>
      <w:r w:rsidRPr="00AD08C1">
        <w:t xml:space="preserve"> </w:t>
      </w:r>
      <w:r w:rsidR="00111F08" w:rsidRPr="00AD08C1">
        <w:t>“</w:t>
      </w:r>
      <w:r w:rsidR="00111F08" w:rsidRPr="00AD08C1">
        <w:rPr>
          <w:b/>
        </w:rPr>
        <w:t>Artículo 191</w:t>
      </w:r>
      <w:r w:rsidR="00111F08" w:rsidRPr="00AD08C1">
        <w:t>. El recurso será desechado por improcedente cuando:</w:t>
      </w:r>
    </w:p>
    <w:p w14:paraId="54E9A5CF" w14:textId="77777777" w:rsidR="00111F08" w:rsidRPr="00AD08C1" w:rsidRDefault="00111F08" w:rsidP="00111F08">
      <w:pPr>
        <w:pStyle w:val="Citas"/>
        <w:spacing w:before="0" w:after="0" w:line="240" w:lineRule="auto"/>
        <w:ind w:right="907"/>
      </w:pPr>
      <w:r w:rsidRPr="00AD08C1">
        <w:t>(…)</w:t>
      </w:r>
    </w:p>
    <w:p w14:paraId="228AD7E8" w14:textId="77777777" w:rsidR="00111F08" w:rsidRPr="00AD08C1" w:rsidRDefault="00111F08" w:rsidP="00111F08">
      <w:pPr>
        <w:pStyle w:val="Citas"/>
        <w:spacing w:before="0" w:after="0" w:line="240" w:lineRule="auto"/>
        <w:ind w:right="907"/>
        <w:rPr>
          <w:b/>
          <w:u w:val="single"/>
        </w:rPr>
      </w:pPr>
      <w:r w:rsidRPr="00AD08C1">
        <w:rPr>
          <w:b/>
          <w:u w:val="single"/>
        </w:rPr>
        <w:t>V. Se impugne la veracidad de la información proporcionada;</w:t>
      </w:r>
    </w:p>
    <w:p w14:paraId="4389B3BA" w14:textId="77777777" w:rsidR="00111F08" w:rsidRPr="00AD08C1" w:rsidRDefault="00111F08" w:rsidP="00111F08">
      <w:pPr>
        <w:pStyle w:val="Citas"/>
        <w:spacing w:before="0" w:after="0" w:line="240" w:lineRule="auto"/>
        <w:ind w:right="907"/>
        <w:rPr>
          <w:b/>
        </w:rPr>
      </w:pPr>
      <w:r w:rsidRPr="00AD08C1">
        <w:rPr>
          <w:b/>
        </w:rPr>
        <w:t>(…</w:t>
      </w:r>
      <w:r w:rsidRPr="00AD08C1">
        <w:t xml:space="preserve">)” </w:t>
      </w:r>
      <w:r w:rsidRPr="00AD08C1">
        <w:rPr>
          <w:b/>
        </w:rPr>
        <w:t>(Sic)</w:t>
      </w:r>
    </w:p>
    <w:p w14:paraId="419E1FA1" w14:textId="77777777" w:rsidR="00111F08" w:rsidRPr="00AD08C1" w:rsidRDefault="00111F08" w:rsidP="00111F08">
      <w:pPr>
        <w:pStyle w:val="Citas"/>
        <w:spacing w:before="0" w:after="0" w:line="240" w:lineRule="auto"/>
        <w:ind w:right="907"/>
        <w:rPr>
          <w:b/>
        </w:rPr>
      </w:pPr>
    </w:p>
    <w:p w14:paraId="70741187" w14:textId="77777777" w:rsidR="00111F08" w:rsidRPr="00111F08" w:rsidRDefault="00111F08" w:rsidP="00111F08">
      <w:pPr>
        <w:pStyle w:val="Citas"/>
        <w:ind w:right="907"/>
        <w:rPr>
          <w:b/>
        </w:rPr>
      </w:pPr>
      <w:r w:rsidRPr="00AD08C1">
        <w:rPr>
          <w:b/>
        </w:rPr>
        <w:lastRenderedPageBreak/>
        <w:t xml:space="preserve">“Artículo 192. El recurso será </w:t>
      </w:r>
      <w:r w:rsidRPr="00AD08C1">
        <w:rPr>
          <w:b/>
          <w:u w:val="single"/>
        </w:rPr>
        <w:t>sobreseído</w:t>
      </w:r>
      <w:r w:rsidRPr="00AD08C1">
        <w:rPr>
          <w:b/>
        </w:rPr>
        <w:t>, en todo o en parte, cuando una vez</w:t>
      </w:r>
      <w:r w:rsidRPr="00111F08">
        <w:rPr>
          <w:b/>
        </w:rPr>
        <w:t xml:space="preserve"> admitido, se actualicen alguno de los siguientes supuestos:</w:t>
      </w:r>
    </w:p>
    <w:p w14:paraId="2FD14FAC" w14:textId="77777777" w:rsidR="00111F08" w:rsidRPr="00111F08" w:rsidRDefault="00111F08" w:rsidP="00111F08">
      <w:pPr>
        <w:pStyle w:val="Citas"/>
        <w:ind w:right="907"/>
        <w:rPr>
          <w:b/>
        </w:rPr>
      </w:pPr>
      <w:r w:rsidRPr="00111F08">
        <w:rPr>
          <w:b/>
        </w:rPr>
        <w:t>(…)</w:t>
      </w:r>
    </w:p>
    <w:p w14:paraId="60BBEE88" w14:textId="77777777" w:rsidR="004E7E3B" w:rsidRPr="004E7E3B" w:rsidRDefault="004E7E3B" w:rsidP="004E7E3B">
      <w:pPr>
        <w:pStyle w:val="Citas"/>
        <w:ind w:right="907"/>
        <w:rPr>
          <w:b/>
        </w:rPr>
      </w:pPr>
      <w:r w:rsidRPr="004E7E3B">
        <w:rPr>
          <w:b/>
          <w:bCs/>
        </w:rPr>
        <w:t xml:space="preserve">III. </w:t>
      </w:r>
      <w:r w:rsidRPr="004E7E3B">
        <w:rPr>
          <w:b/>
        </w:rPr>
        <w:t>El sujeto obligado responsable del acto lo modifique o revoque de tal manera que el Recurso de Revisión quede sin materia;</w:t>
      </w:r>
    </w:p>
    <w:p w14:paraId="25AB8518" w14:textId="24BABD76" w:rsidR="00111F08" w:rsidRDefault="004E7E3B" w:rsidP="004E7E3B">
      <w:pPr>
        <w:pStyle w:val="Citas"/>
        <w:ind w:right="907"/>
        <w:rPr>
          <w:b/>
        </w:rPr>
      </w:pPr>
      <w:r w:rsidRPr="004E7E3B">
        <w:rPr>
          <w:b/>
        </w:rPr>
        <w:t xml:space="preserve"> </w:t>
      </w:r>
      <w:r w:rsidR="00111F08" w:rsidRPr="00111F08">
        <w:rPr>
          <w:b/>
        </w:rPr>
        <w:t>(…)” (Sic)</w:t>
      </w:r>
    </w:p>
    <w:p w14:paraId="11FF85F0" w14:textId="77777777" w:rsidR="00111F08" w:rsidRDefault="00111F08" w:rsidP="00D43AA3">
      <w:pPr>
        <w:spacing w:line="360" w:lineRule="auto"/>
        <w:jc w:val="both"/>
        <w:rPr>
          <w:rFonts w:ascii="Palatino Linotype" w:eastAsiaTheme="minorHAnsi" w:hAnsi="Palatino Linotype" w:cs="Arial"/>
          <w:b/>
          <w:i/>
          <w:sz w:val="22"/>
          <w:szCs w:val="22"/>
          <w:lang w:eastAsia="en-US"/>
        </w:rPr>
      </w:pPr>
    </w:p>
    <w:p w14:paraId="4E3B0BA3" w14:textId="77777777" w:rsidR="00D43AA3" w:rsidRPr="00C24D48" w:rsidRDefault="00D43AA3" w:rsidP="00D43AA3">
      <w:pPr>
        <w:spacing w:line="360" w:lineRule="auto"/>
        <w:jc w:val="both"/>
        <w:rPr>
          <w:rFonts w:ascii="Palatino Linotype" w:hAnsi="Palatino Linotype"/>
        </w:rPr>
      </w:pPr>
      <w:r w:rsidRPr="00C24D48">
        <w:rPr>
          <w:rFonts w:ascii="Palatino Linotype" w:hAnsi="Palatino Linotype" w:cs="Arial"/>
          <w:color w:val="000000"/>
          <w:lang w:val="es-ES"/>
        </w:rPr>
        <w:t xml:space="preserve">Ahora bien, </w:t>
      </w:r>
      <w:r w:rsidRPr="00C24D48">
        <w:rPr>
          <w:rFonts w:ascii="Palatino Linotype" w:hAnsi="Palatino Linotype"/>
        </w:rPr>
        <w:t xml:space="preserve">es importante referir que </w:t>
      </w:r>
      <w:r>
        <w:rPr>
          <w:rFonts w:ascii="Palatino Linotype" w:hAnsi="Palatino Linotype"/>
        </w:rPr>
        <w:t xml:space="preserve">respecto de las documentales remitidas </w:t>
      </w:r>
      <w:r w:rsidRPr="00C24D48">
        <w:rPr>
          <w:rFonts w:ascii="Palatino Linotype" w:hAnsi="Palatino Linotype"/>
        </w:rPr>
        <w:t xml:space="preserve">por parte del </w:t>
      </w:r>
      <w:r w:rsidRPr="00C24D48">
        <w:rPr>
          <w:rFonts w:ascii="Palatino Linotype" w:hAnsi="Palatino Linotype"/>
          <w:b/>
        </w:rPr>
        <w:t>SUJETO OBLIGADO</w:t>
      </w:r>
      <w:r w:rsidRPr="00C24D48">
        <w:rPr>
          <w:rFonts w:ascii="Palatino Linotype" w:hAnsi="Palatino Linotype"/>
        </w:rPr>
        <w:t xml:space="preserve">, a fin de dar respuesta a la solicitud planteada, este Instituto no está facultado para manifestarse sobre la veracidad de la información proporcionada, pues este Órgano Garante conforme al artículo 36 de la </w:t>
      </w:r>
      <w:r w:rsidRPr="00C24D48">
        <w:rPr>
          <w:rFonts w:ascii="Palatino Linotype" w:hAnsi="Palatino Linotype" w:cs="Arial"/>
        </w:rPr>
        <w:t>de la Ley de Transparencia y Acceso a la Información Pública del Estado de México y Municipios,</w:t>
      </w:r>
      <w:r w:rsidRPr="00C24D48">
        <w:rPr>
          <w:rFonts w:ascii="Palatino Linotype" w:hAnsi="Palatino Linotype"/>
        </w:rPr>
        <w:t xml:space="preserve"> no se encuentra facultado para pronunciarse acerca de la veracidad de la información remitida por los Sujetos Obligados.</w:t>
      </w:r>
    </w:p>
    <w:p w14:paraId="4A3A47A1" w14:textId="77777777" w:rsidR="00D43AA3" w:rsidRPr="00C24D48" w:rsidRDefault="00D43AA3" w:rsidP="00D43AA3">
      <w:pPr>
        <w:spacing w:line="360" w:lineRule="auto"/>
        <w:jc w:val="both"/>
        <w:rPr>
          <w:rFonts w:ascii="Palatino Linotype" w:hAnsi="Palatino Linotype" w:cs="Arial"/>
          <w:sz w:val="20"/>
          <w:szCs w:val="20"/>
        </w:rPr>
      </w:pPr>
    </w:p>
    <w:p w14:paraId="38DAB60B" w14:textId="77777777" w:rsidR="00D43AA3" w:rsidRPr="00C24D48" w:rsidRDefault="00D43AA3" w:rsidP="00D43AA3">
      <w:pPr>
        <w:spacing w:line="360" w:lineRule="auto"/>
        <w:jc w:val="both"/>
        <w:rPr>
          <w:rFonts w:ascii="Palatino Linotype" w:hAnsi="Palatino Linotype" w:cs="Arial"/>
        </w:rPr>
      </w:pPr>
      <w:r w:rsidRPr="00C24D48">
        <w:rPr>
          <w:rFonts w:ascii="Palatino Linotype" w:hAnsi="Palatino Linotype" w:cs="Arial"/>
        </w:rPr>
        <w:t xml:space="preserve">Para ello, sirve de sustento el criterio 31/10 emitido por el entonces Instituto Federal de Acceso a la Información y Protección de Datos, ahora Instituto Nacional de Acceso a la Información y Protección de Datos, el cual refiere: </w:t>
      </w:r>
    </w:p>
    <w:p w14:paraId="39869392" w14:textId="77777777" w:rsidR="00D43AA3" w:rsidRPr="00C24D48" w:rsidRDefault="00D43AA3" w:rsidP="00D43AA3">
      <w:pPr>
        <w:jc w:val="both"/>
        <w:rPr>
          <w:rFonts w:ascii="Palatino Linotype" w:hAnsi="Palatino Linotype" w:cs="Arial"/>
          <w:sz w:val="20"/>
          <w:szCs w:val="20"/>
        </w:rPr>
      </w:pPr>
    </w:p>
    <w:p w14:paraId="464706A3" w14:textId="1A2A2CAC" w:rsidR="0018730B" w:rsidRDefault="00D43AA3" w:rsidP="0018730B">
      <w:pPr>
        <w:tabs>
          <w:tab w:val="left" w:pos="8222"/>
        </w:tabs>
        <w:ind w:left="709" w:right="899"/>
        <w:jc w:val="both"/>
        <w:rPr>
          <w:rFonts w:ascii="Palatino Linotype" w:hAnsi="Palatino Linotype" w:cs="Arial"/>
          <w:b/>
          <w:i/>
          <w:sz w:val="22"/>
        </w:rPr>
      </w:pPr>
      <w:r w:rsidRPr="00C24D48">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C24D48">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w:t>
      </w:r>
      <w:r w:rsidRPr="00C24D48">
        <w:rPr>
          <w:rFonts w:ascii="Palatino Linotype" w:hAnsi="Palatino Linotype" w:cs="Arial"/>
          <w:i/>
          <w:sz w:val="22"/>
        </w:rPr>
        <w:lastRenderedPageBreak/>
        <w:t>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C24D48">
        <w:rPr>
          <w:rFonts w:ascii="Palatino Linotype" w:hAnsi="Palatino Linotype" w:cs="Arial"/>
          <w:b/>
          <w:i/>
          <w:sz w:val="22"/>
        </w:rPr>
        <w:t>”</w:t>
      </w:r>
      <w:r w:rsidRPr="00C24D48">
        <w:rPr>
          <w:rFonts w:ascii="Palatino Linotype" w:hAnsi="Palatino Linotype" w:cs="Arial"/>
          <w:i/>
          <w:sz w:val="22"/>
        </w:rPr>
        <w:t xml:space="preserve"> (</w:t>
      </w:r>
      <w:proofErr w:type="gramStart"/>
      <w:r w:rsidRPr="00C24D48">
        <w:rPr>
          <w:rFonts w:ascii="Palatino Linotype" w:hAnsi="Palatino Linotype" w:cs="Arial"/>
          <w:i/>
          <w:sz w:val="22"/>
        </w:rPr>
        <w:t>sic</w:t>
      </w:r>
      <w:proofErr w:type="gramEnd"/>
      <w:r w:rsidRPr="00C24D48">
        <w:rPr>
          <w:rFonts w:ascii="Palatino Linotype" w:hAnsi="Palatino Linotype" w:cs="Arial"/>
          <w:i/>
          <w:sz w:val="22"/>
        </w:rPr>
        <w:t>)</w:t>
      </w:r>
      <w:r w:rsidR="0018730B">
        <w:rPr>
          <w:rFonts w:ascii="Palatino Linotype" w:hAnsi="Palatino Linotype" w:cs="Arial"/>
          <w:b/>
          <w:i/>
          <w:sz w:val="22"/>
        </w:rPr>
        <w:t>.</w:t>
      </w:r>
    </w:p>
    <w:p w14:paraId="14AF0A48" w14:textId="77777777" w:rsidR="0018730B" w:rsidRPr="0018730B" w:rsidRDefault="0018730B" w:rsidP="0018730B">
      <w:pPr>
        <w:tabs>
          <w:tab w:val="left" w:pos="8222"/>
        </w:tabs>
        <w:ind w:left="709" w:right="899"/>
        <w:jc w:val="both"/>
        <w:rPr>
          <w:rFonts w:ascii="Palatino Linotype" w:hAnsi="Palatino Linotype" w:cs="Arial"/>
          <w:b/>
          <w:i/>
          <w:sz w:val="22"/>
        </w:rPr>
      </w:pPr>
    </w:p>
    <w:p w14:paraId="0F7F8B17" w14:textId="77777777" w:rsidR="00081D6D" w:rsidRDefault="00081D6D" w:rsidP="00081D6D">
      <w:p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Por ello, de conformidad con lo establecido en el artículo 12 de la Ley de Transparencia y Acceso a la Información Pública del Estado de México y Municipios </w:t>
      </w:r>
      <w:r>
        <w:rPr>
          <w:rFonts w:ascii="Palatino Linotype" w:hAnsi="Palatino Linotype" w:cs="Arial"/>
          <w:b/>
        </w:rPr>
        <w:t>EL SUJETO OBLIGADO</w:t>
      </w:r>
      <w:r>
        <w:rPr>
          <w:rFonts w:ascii="Palatino Linotype" w:hAnsi="Palatino Linotype" w:cs="Arial"/>
        </w:rPr>
        <w:t xml:space="preserve"> sólo proporcionará la información que se les requiera y que obre en sus archivos, lo que a contrario sensu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la materia, y ante un hecho negativo resulta aplicable la siguiente tesis:</w:t>
      </w:r>
    </w:p>
    <w:p w14:paraId="2B07BA30" w14:textId="77777777" w:rsidR="00081D6D" w:rsidRDefault="00081D6D" w:rsidP="00081D6D">
      <w:pPr>
        <w:widowControl w:val="0"/>
        <w:tabs>
          <w:tab w:val="left" w:pos="1276"/>
        </w:tabs>
        <w:autoSpaceDE w:val="0"/>
        <w:autoSpaceDN w:val="0"/>
        <w:adjustRightInd w:val="0"/>
        <w:ind w:left="851" w:right="899"/>
        <w:jc w:val="both"/>
        <w:rPr>
          <w:rFonts w:ascii="Palatino Linotype" w:hAnsi="Palatino Linotype"/>
          <w:b/>
          <w:i/>
          <w:sz w:val="22"/>
          <w:szCs w:val="22"/>
        </w:rPr>
      </w:pPr>
      <w:r>
        <w:rPr>
          <w:rFonts w:ascii="Palatino Linotype" w:hAnsi="Palatino Linotype"/>
          <w:b/>
          <w:i/>
          <w:sz w:val="22"/>
          <w:szCs w:val="22"/>
        </w:rPr>
        <w:t>“HECHOS NEGATIVOS, NO SON SUSCEPTIBLES DE DEMOSTRACIÓN.</w:t>
      </w:r>
    </w:p>
    <w:p w14:paraId="627E8C31" w14:textId="77777777" w:rsidR="00081D6D" w:rsidRDefault="00081D6D" w:rsidP="00081D6D">
      <w:pPr>
        <w:widowControl w:val="0"/>
        <w:tabs>
          <w:tab w:val="left" w:pos="1276"/>
        </w:tabs>
        <w:autoSpaceDE w:val="0"/>
        <w:autoSpaceDN w:val="0"/>
        <w:adjustRightInd w:val="0"/>
        <w:ind w:left="851" w:right="899"/>
        <w:jc w:val="both"/>
        <w:rPr>
          <w:rFonts w:ascii="Palatino Linotype" w:hAnsi="Palatino Linotype"/>
          <w:i/>
          <w:sz w:val="22"/>
          <w:szCs w:val="22"/>
        </w:rPr>
      </w:pPr>
      <w:r>
        <w:rPr>
          <w:rFonts w:ascii="Palatino Linotype" w:hAnsi="Palatino Linotype"/>
          <w:i/>
          <w:sz w:val="22"/>
          <w:szCs w:val="22"/>
        </w:rPr>
        <w:t>Tratándose de un hecho negativo, el Juez no tiene por qué invocar prueba alguna de la que se desprenda, ya que es bien sabido que esta clase de hechos no son susceptibles de demostración.</w:t>
      </w:r>
    </w:p>
    <w:p w14:paraId="2BD51BF4" w14:textId="77777777" w:rsidR="00081D6D" w:rsidRDefault="00081D6D" w:rsidP="00081D6D">
      <w:pPr>
        <w:widowControl w:val="0"/>
        <w:tabs>
          <w:tab w:val="left" w:pos="1276"/>
        </w:tabs>
        <w:autoSpaceDE w:val="0"/>
        <w:autoSpaceDN w:val="0"/>
        <w:adjustRightInd w:val="0"/>
        <w:ind w:left="851" w:right="899"/>
        <w:jc w:val="both"/>
        <w:rPr>
          <w:rFonts w:ascii="Palatino Linotype" w:hAnsi="Palatino Linotype"/>
          <w:i/>
          <w:sz w:val="22"/>
          <w:szCs w:val="22"/>
        </w:rPr>
      </w:pPr>
      <w:r>
        <w:rPr>
          <w:rFonts w:ascii="Palatino Linotype" w:hAnsi="Palatino Linotype"/>
          <w:i/>
          <w:sz w:val="22"/>
          <w:szCs w:val="22"/>
        </w:rPr>
        <w:t>Amparo en revisión 2022/61. José García Florín (Menor). 9 de octubre de 1961. Cinco votos. Ponente: José Rivera Pérez Campos.”</w:t>
      </w:r>
    </w:p>
    <w:p w14:paraId="299E258D" w14:textId="77777777" w:rsidR="00081D6D" w:rsidRDefault="00081D6D" w:rsidP="00081D6D">
      <w:pPr>
        <w:spacing w:before="100" w:beforeAutospacing="1" w:after="100" w:afterAutospacing="1" w:line="360" w:lineRule="auto"/>
        <w:jc w:val="both"/>
        <w:rPr>
          <w:rFonts w:ascii="Palatino Linotype" w:hAnsi="Palatino Linotype" w:cs="Arial"/>
        </w:rPr>
      </w:pPr>
      <w:r>
        <w:rPr>
          <w:rFonts w:ascii="Palatino Linotype" w:hAnsi="Palatino Linotype" w:cs="Arial"/>
        </w:rPr>
        <w:t>De igual forma, es aplicable el criterio 7/2017, emitido en la Segunda Época por el Instituto Nacional de Transparencia, Acceso a la Información y Protección de Datos Personales (INAI), el cual señala lo siguiente:</w:t>
      </w:r>
    </w:p>
    <w:p w14:paraId="2965FAD7" w14:textId="47DC36CD" w:rsidR="00081D6D" w:rsidRDefault="00081D6D" w:rsidP="00081D6D">
      <w:pPr>
        <w:widowControl w:val="0"/>
        <w:tabs>
          <w:tab w:val="left" w:pos="1276"/>
        </w:tabs>
        <w:autoSpaceDE w:val="0"/>
        <w:autoSpaceDN w:val="0"/>
        <w:adjustRightInd w:val="0"/>
        <w:ind w:left="851" w:right="899"/>
        <w:jc w:val="both"/>
        <w:rPr>
          <w:rFonts w:ascii="Palatino Linotype" w:hAnsi="Palatino Linotype"/>
          <w:i/>
          <w:sz w:val="22"/>
          <w:szCs w:val="22"/>
        </w:rPr>
      </w:pPr>
      <w:r>
        <w:rPr>
          <w:rFonts w:ascii="Palatino Linotype" w:hAnsi="Palatino Linotype"/>
          <w:i/>
          <w:sz w:val="22"/>
          <w:szCs w:val="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w:t>
      </w:r>
      <w:r>
        <w:rPr>
          <w:rFonts w:ascii="Palatino Linotype" w:hAnsi="Palatino Linotype"/>
          <w:i/>
          <w:sz w:val="22"/>
          <w:szCs w:val="22"/>
        </w:rPr>
        <w:lastRenderedPageBreak/>
        <w:t xml:space="preserve">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w:t>
      </w:r>
      <w:r w:rsidR="00746EEB">
        <w:rPr>
          <w:rFonts w:ascii="Palatino Linotype" w:hAnsi="Palatino Linotype"/>
          <w:i/>
          <w:sz w:val="22"/>
          <w:szCs w:val="22"/>
        </w:rPr>
        <w:t>inexistencia de la información</w:t>
      </w:r>
      <w:r>
        <w:rPr>
          <w:rFonts w:ascii="Palatino Linotype" w:hAnsi="Palatino Linotype"/>
          <w:i/>
          <w:sz w:val="22"/>
          <w:szCs w:val="22"/>
        </w:rPr>
        <w:t>.”</w:t>
      </w:r>
    </w:p>
    <w:p w14:paraId="0AEE8ED9" w14:textId="77777777" w:rsidR="004A7DA2" w:rsidRDefault="004A7DA2" w:rsidP="00081D6D">
      <w:pPr>
        <w:widowControl w:val="0"/>
        <w:tabs>
          <w:tab w:val="left" w:pos="1276"/>
        </w:tabs>
        <w:autoSpaceDE w:val="0"/>
        <w:autoSpaceDN w:val="0"/>
        <w:adjustRightInd w:val="0"/>
        <w:ind w:left="851" w:right="899"/>
        <w:jc w:val="both"/>
        <w:rPr>
          <w:rFonts w:ascii="Palatino Linotype" w:hAnsi="Palatino Linotype"/>
          <w:i/>
          <w:sz w:val="22"/>
          <w:szCs w:val="22"/>
        </w:rPr>
      </w:pPr>
    </w:p>
    <w:p w14:paraId="01E133F2" w14:textId="77777777" w:rsidR="00FE59C4" w:rsidRDefault="00FE59C4" w:rsidP="00AC30F0">
      <w:pPr>
        <w:widowControl w:val="0"/>
        <w:autoSpaceDE w:val="0"/>
        <w:autoSpaceDN w:val="0"/>
        <w:adjustRightInd w:val="0"/>
        <w:spacing w:line="360" w:lineRule="auto"/>
        <w:jc w:val="both"/>
        <w:rPr>
          <w:rFonts w:ascii="Palatino Linotype" w:hAnsi="Palatino Linotype"/>
          <w:color w:val="000000"/>
        </w:rPr>
      </w:pPr>
    </w:p>
    <w:p w14:paraId="205D81D5" w14:textId="4DEDC2D4" w:rsidR="00AC30F0" w:rsidRPr="00AD08C1" w:rsidRDefault="00AC30F0" w:rsidP="00AC30F0">
      <w:pPr>
        <w:widowControl w:val="0"/>
        <w:autoSpaceDE w:val="0"/>
        <w:autoSpaceDN w:val="0"/>
        <w:adjustRightInd w:val="0"/>
        <w:spacing w:line="360" w:lineRule="auto"/>
        <w:jc w:val="both"/>
        <w:rPr>
          <w:rFonts w:ascii="Palatino Linotype" w:eastAsia="Calibri" w:hAnsi="Palatino Linotype" w:cs="Arial"/>
        </w:rPr>
      </w:pPr>
      <w:r w:rsidRPr="00AB4F1C">
        <w:rPr>
          <w:rFonts w:ascii="Palatino Linotype" w:hAnsi="Palatino Linotype"/>
          <w:color w:val="000000"/>
        </w:rPr>
        <w:t xml:space="preserve">En </w:t>
      </w:r>
      <w:r w:rsidRPr="00AB4F1C">
        <w:rPr>
          <w:rFonts w:ascii="Palatino Linotype" w:hAnsi="Palatino Linotype"/>
        </w:rPr>
        <w:t>consecuencia</w:t>
      </w:r>
      <w:r w:rsidRPr="00AB4F1C">
        <w:rPr>
          <w:rFonts w:ascii="Palatino Linotype" w:hAnsi="Palatino Linotype"/>
          <w:color w:val="000000"/>
        </w:rPr>
        <w:t xml:space="preserve">, </w:t>
      </w:r>
      <w:r w:rsidRPr="00AB4F1C">
        <w:rPr>
          <w:rFonts w:ascii="Palatino Linotype" w:hAnsi="Palatino Linotype"/>
        </w:rPr>
        <w:t xml:space="preserve">se </w:t>
      </w:r>
      <w:r w:rsidRPr="00AB4F1C">
        <w:rPr>
          <w:rFonts w:ascii="Palatino Linotype" w:hAnsi="Palatino Linotype" w:cs="Arial"/>
          <w:lang w:val="es-ES_tradnl"/>
        </w:rPr>
        <w:t xml:space="preserve">determina </w:t>
      </w:r>
      <w:r w:rsidRPr="00AB4F1C">
        <w:rPr>
          <w:rFonts w:ascii="Palatino Linotype" w:hAnsi="Palatino Linotype" w:cs="Arial"/>
          <w:b/>
          <w:lang w:val="es-ES_tradnl"/>
        </w:rPr>
        <w:t>SOBRESEER</w:t>
      </w:r>
      <w:r w:rsidRPr="00AB4F1C">
        <w:rPr>
          <w:rFonts w:ascii="Palatino Linotype" w:hAnsi="Palatino Linotype" w:cs="Arial"/>
          <w:lang w:val="es-ES_tradnl"/>
        </w:rPr>
        <w:t xml:space="preserve"> el presente recurso de revisión, en </w:t>
      </w:r>
      <w:r w:rsidRPr="00AB4F1C">
        <w:rPr>
          <w:rFonts w:ascii="Palatino Linotype" w:hAnsi="Palatino Linotype"/>
          <w:bCs/>
        </w:rPr>
        <w:t>términos</w:t>
      </w:r>
      <w:r w:rsidRPr="00AB4F1C">
        <w:rPr>
          <w:rFonts w:ascii="Palatino Linotype" w:hAnsi="Palatino Linotype" w:cs="Arial"/>
          <w:lang w:val="es-ES_tradnl"/>
        </w:rPr>
        <w:t xml:space="preserve"> </w:t>
      </w:r>
      <w:r w:rsidRPr="00AD08C1">
        <w:rPr>
          <w:rFonts w:ascii="Palatino Linotype" w:hAnsi="Palatino Linotype" w:cs="Arial"/>
          <w:lang w:val="es-ES_tradnl"/>
        </w:rPr>
        <w:t xml:space="preserve">del artículo 186, fracción I, </w:t>
      </w:r>
      <w:r w:rsidR="004E7E3B">
        <w:rPr>
          <w:rFonts w:ascii="Palatino Linotype" w:hAnsi="Palatino Linotype" w:cs="Arial"/>
          <w:lang w:val="es-ES_tradnl"/>
        </w:rPr>
        <w:t xml:space="preserve"> 191 y 192 fracción III</w:t>
      </w:r>
      <w:r w:rsidR="005A33DE" w:rsidRPr="00AD08C1">
        <w:rPr>
          <w:rFonts w:ascii="Palatino Linotype" w:hAnsi="Palatino Linotype" w:cs="Arial"/>
          <w:lang w:val="es-ES_tradnl"/>
        </w:rPr>
        <w:t xml:space="preserve"> </w:t>
      </w:r>
      <w:r w:rsidRPr="00AD08C1">
        <w:rPr>
          <w:rFonts w:ascii="Palatino Linotype" w:hAnsi="Palatino Linotype" w:cs="Arial"/>
          <w:lang w:val="es-ES_tradnl"/>
        </w:rPr>
        <w:t xml:space="preserve">de la </w:t>
      </w:r>
      <w:r w:rsidRPr="00AD08C1">
        <w:rPr>
          <w:rFonts w:ascii="Palatino Linotype" w:eastAsia="Calibri" w:hAnsi="Palatino Linotype" w:cs="Arial"/>
        </w:rPr>
        <w:t>Ley de Transparencia y Acceso a la Información Pública del Estado de México y Municipios:</w:t>
      </w:r>
    </w:p>
    <w:p w14:paraId="3E4A963B" w14:textId="5830D3A2" w:rsidR="00AC30F0" w:rsidRPr="00AB4F1C" w:rsidRDefault="00AC30F0" w:rsidP="00AC30F0">
      <w:pPr>
        <w:widowControl w:val="0"/>
        <w:autoSpaceDE w:val="0"/>
        <w:autoSpaceDN w:val="0"/>
        <w:adjustRightInd w:val="0"/>
        <w:jc w:val="both"/>
        <w:rPr>
          <w:rFonts w:ascii="Palatino Linotype" w:eastAsia="Calibri" w:hAnsi="Palatino Linotype" w:cs="Arial"/>
        </w:rPr>
      </w:pPr>
    </w:p>
    <w:p w14:paraId="4E7224B5" w14:textId="77777777" w:rsidR="00AC30F0" w:rsidRPr="00AB4F1C" w:rsidRDefault="00AC30F0" w:rsidP="00AC30F0">
      <w:pPr>
        <w:tabs>
          <w:tab w:val="left" w:pos="851"/>
        </w:tabs>
        <w:ind w:left="851" w:right="901"/>
        <w:jc w:val="both"/>
        <w:rPr>
          <w:rFonts w:ascii="Palatino Linotype" w:hAnsi="Palatino Linotype" w:cs="Arial"/>
          <w:i/>
          <w:sz w:val="22"/>
        </w:rPr>
      </w:pPr>
      <w:r w:rsidRPr="00AB4F1C">
        <w:rPr>
          <w:rFonts w:ascii="Palatino Linotype" w:hAnsi="Palatino Linotype" w:cs="Arial"/>
          <w:i/>
          <w:sz w:val="22"/>
        </w:rPr>
        <w:t>“</w:t>
      </w:r>
      <w:r w:rsidRPr="00AB4F1C">
        <w:rPr>
          <w:rFonts w:ascii="Palatino Linotype" w:hAnsi="Palatino Linotype" w:cs="Arial"/>
          <w:b/>
          <w:i/>
          <w:sz w:val="22"/>
        </w:rPr>
        <w:t xml:space="preserve">Artículo 186. </w:t>
      </w:r>
      <w:r w:rsidRPr="00AB4F1C">
        <w:rPr>
          <w:rFonts w:ascii="Palatino Linotype" w:hAnsi="Palatino Linotype" w:cs="Arial"/>
          <w:b/>
          <w:i/>
          <w:sz w:val="22"/>
          <w:u w:val="single"/>
        </w:rPr>
        <w:t>Las resoluciones del Instituto podrán</w:t>
      </w:r>
      <w:r w:rsidRPr="00AB4F1C">
        <w:rPr>
          <w:rFonts w:ascii="Palatino Linotype" w:hAnsi="Palatino Linotype" w:cs="Arial"/>
          <w:i/>
          <w:sz w:val="22"/>
        </w:rPr>
        <w:t xml:space="preserve">: </w:t>
      </w:r>
    </w:p>
    <w:p w14:paraId="0BF71457" w14:textId="4C22A2BA" w:rsidR="00AC30F0" w:rsidRPr="005A33DE" w:rsidRDefault="00AC30F0" w:rsidP="00AC30F0">
      <w:pPr>
        <w:pStyle w:val="Prrafodelista"/>
        <w:numPr>
          <w:ilvl w:val="0"/>
          <w:numId w:val="15"/>
        </w:numPr>
        <w:tabs>
          <w:tab w:val="left" w:pos="851"/>
        </w:tabs>
        <w:ind w:right="901"/>
        <w:jc w:val="both"/>
        <w:rPr>
          <w:rFonts w:ascii="Palatino Linotype" w:hAnsi="Palatino Linotype" w:cs="Arial"/>
          <w:i/>
          <w:sz w:val="22"/>
        </w:rPr>
      </w:pPr>
      <w:r w:rsidRPr="00CE6105">
        <w:rPr>
          <w:rFonts w:ascii="Palatino Linotype" w:hAnsi="Palatino Linotype" w:cs="Arial"/>
          <w:i/>
          <w:sz w:val="22"/>
        </w:rPr>
        <w:t xml:space="preserve">Desechar o </w:t>
      </w:r>
      <w:r w:rsidRPr="00CE6105">
        <w:rPr>
          <w:rFonts w:ascii="Palatino Linotype" w:hAnsi="Palatino Linotype" w:cs="Arial"/>
          <w:b/>
          <w:i/>
          <w:sz w:val="22"/>
          <w:u w:val="single"/>
        </w:rPr>
        <w:t>sobreseer el recurso</w:t>
      </w:r>
      <w:r w:rsidRPr="00CE6105">
        <w:rPr>
          <w:rFonts w:ascii="Palatino Linotype" w:hAnsi="Palatino Linotype" w:cs="Arial"/>
          <w:i/>
          <w:sz w:val="22"/>
        </w:rPr>
        <w:t xml:space="preserve">;” </w:t>
      </w:r>
      <w:r w:rsidR="00D561B5">
        <w:rPr>
          <w:rFonts w:ascii="Palatino Linotype" w:hAnsi="Palatino Linotype" w:cs="Arial"/>
          <w:i/>
          <w:sz w:val="22"/>
          <w:szCs w:val="22"/>
        </w:rPr>
        <w:t>(Énfasis añadido)</w:t>
      </w:r>
    </w:p>
    <w:p w14:paraId="46E3868E" w14:textId="77777777" w:rsidR="005A33DE" w:rsidRDefault="005A33DE" w:rsidP="005A33DE">
      <w:pPr>
        <w:tabs>
          <w:tab w:val="left" w:pos="851"/>
        </w:tabs>
        <w:ind w:right="901"/>
        <w:jc w:val="both"/>
        <w:rPr>
          <w:rFonts w:ascii="Palatino Linotype" w:hAnsi="Palatino Linotype" w:cs="Arial"/>
          <w:i/>
          <w:sz w:val="22"/>
        </w:rPr>
      </w:pPr>
    </w:p>
    <w:p w14:paraId="125C43BD" w14:textId="77777777" w:rsidR="005A33DE" w:rsidRPr="00C24D48" w:rsidRDefault="005A33DE" w:rsidP="005A33DE">
      <w:pPr>
        <w:autoSpaceDE w:val="0"/>
        <w:autoSpaceDN w:val="0"/>
        <w:adjustRightInd w:val="0"/>
        <w:ind w:left="851" w:right="899"/>
        <w:jc w:val="both"/>
        <w:rPr>
          <w:rFonts w:ascii="Palatino Linotype" w:eastAsiaTheme="minorEastAsia" w:hAnsi="Palatino Linotype" w:cs="Bookman Old Style"/>
          <w:i/>
          <w:sz w:val="22"/>
          <w:szCs w:val="22"/>
        </w:rPr>
      </w:pPr>
      <w:r>
        <w:rPr>
          <w:rFonts w:ascii="Palatino Linotype" w:hAnsi="Palatino Linotype" w:cs="Arial"/>
          <w:i/>
          <w:sz w:val="22"/>
        </w:rPr>
        <w:tab/>
      </w:r>
      <w:r w:rsidRPr="00C24D48">
        <w:rPr>
          <w:rFonts w:ascii="Palatino Linotype" w:eastAsiaTheme="minorEastAsia" w:hAnsi="Palatino Linotype" w:cs="Bookman Old Style,Bold"/>
          <w:b/>
          <w:bCs/>
          <w:i/>
          <w:sz w:val="22"/>
          <w:szCs w:val="22"/>
        </w:rPr>
        <w:t xml:space="preserve">Artículo 191. </w:t>
      </w:r>
      <w:r w:rsidRPr="00C24D48">
        <w:rPr>
          <w:rFonts w:ascii="Palatino Linotype" w:eastAsiaTheme="minorEastAsia" w:hAnsi="Palatino Linotype" w:cs="Bookman Old Style"/>
          <w:i/>
          <w:sz w:val="22"/>
          <w:szCs w:val="22"/>
        </w:rPr>
        <w:t>El recurso será desechado por improcedente cuando:</w:t>
      </w:r>
    </w:p>
    <w:p w14:paraId="789F64B3" w14:textId="77777777" w:rsidR="005A33DE" w:rsidRPr="00C24D48" w:rsidRDefault="005A33DE" w:rsidP="005A33DE">
      <w:pPr>
        <w:autoSpaceDE w:val="0"/>
        <w:autoSpaceDN w:val="0"/>
        <w:adjustRightInd w:val="0"/>
        <w:ind w:left="851" w:right="899"/>
        <w:jc w:val="both"/>
        <w:rPr>
          <w:rFonts w:ascii="Palatino Linotype" w:eastAsiaTheme="minorEastAsia" w:hAnsi="Palatino Linotype" w:cs="Bookman Old Style"/>
          <w:i/>
          <w:sz w:val="22"/>
          <w:szCs w:val="22"/>
        </w:rPr>
      </w:pPr>
      <w:r w:rsidRPr="00C24D48">
        <w:rPr>
          <w:rFonts w:ascii="Palatino Linotype" w:eastAsiaTheme="minorEastAsia" w:hAnsi="Palatino Linotype" w:cs="Bookman Old Style,Bold"/>
          <w:b/>
          <w:bCs/>
          <w:i/>
          <w:sz w:val="22"/>
          <w:szCs w:val="22"/>
        </w:rPr>
        <w:t xml:space="preserve">I. </w:t>
      </w:r>
      <w:r w:rsidRPr="00C24D48">
        <w:rPr>
          <w:rFonts w:ascii="Palatino Linotype" w:eastAsiaTheme="minorEastAsia" w:hAnsi="Palatino Linotype" w:cs="Bookman Old Style"/>
          <w:i/>
          <w:sz w:val="22"/>
          <w:szCs w:val="22"/>
        </w:rPr>
        <w:t>Sea extemporáneo por haber transcurrido el plazo establecido en la presente Ley, a partir de la respuesta;</w:t>
      </w:r>
    </w:p>
    <w:p w14:paraId="15E72C54" w14:textId="77777777" w:rsidR="005A33DE" w:rsidRPr="00C24D48" w:rsidRDefault="005A33DE" w:rsidP="005A33DE">
      <w:pPr>
        <w:autoSpaceDE w:val="0"/>
        <w:autoSpaceDN w:val="0"/>
        <w:adjustRightInd w:val="0"/>
        <w:ind w:left="851" w:right="899"/>
        <w:jc w:val="both"/>
        <w:rPr>
          <w:rFonts w:ascii="Palatino Linotype" w:eastAsiaTheme="minorEastAsia" w:hAnsi="Palatino Linotype" w:cs="Bookman Old Style"/>
          <w:i/>
          <w:sz w:val="22"/>
          <w:szCs w:val="22"/>
        </w:rPr>
      </w:pPr>
      <w:r w:rsidRPr="00C24D48">
        <w:rPr>
          <w:rFonts w:ascii="Palatino Linotype" w:eastAsiaTheme="minorEastAsia" w:hAnsi="Palatino Linotype" w:cs="Bookman Old Style,Bold"/>
          <w:b/>
          <w:bCs/>
          <w:i/>
          <w:sz w:val="22"/>
          <w:szCs w:val="22"/>
        </w:rPr>
        <w:t xml:space="preserve">II. </w:t>
      </w:r>
      <w:r w:rsidRPr="00C24D48">
        <w:rPr>
          <w:rFonts w:ascii="Palatino Linotype" w:eastAsiaTheme="minorEastAsia" w:hAnsi="Palatino Linotype" w:cs="Bookman Old Style"/>
          <w:i/>
          <w:sz w:val="22"/>
          <w:szCs w:val="22"/>
        </w:rPr>
        <w:t>Se esté tramitando ante el Poder Judicial de la Federación algún recurso o medio de defensa interpuesto por el recurrente;</w:t>
      </w:r>
    </w:p>
    <w:p w14:paraId="609C4B62" w14:textId="77777777" w:rsidR="005A33DE" w:rsidRPr="00C24D48" w:rsidRDefault="005A33DE" w:rsidP="005A33DE">
      <w:pPr>
        <w:autoSpaceDE w:val="0"/>
        <w:autoSpaceDN w:val="0"/>
        <w:adjustRightInd w:val="0"/>
        <w:ind w:left="851" w:right="899"/>
        <w:jc w:val="both"/>
        <w:rPr>
          <w:rFonts w:ascii="Palatino Linotype" w:eastAsiaTheme="minorEastAsia" w:hAnsi="Palatino Linotype" w:cs="Bookman Old Style"/>
          <w:i/>
          <w:sz w:val="22"/>
          <w:szCs w:val="22"/>
        </w:rPr>
      </w:pPr>
      <w:r w:rsidRPr="00C24D48">
        <w:rPr>
          <w:rFonts w:ascii="Palatino Linotype" w:eastAsiaTheme="minorEastAsia" w:hAnsi="Palatino Linotype" w:cs="Bookman Old Style,Bold"/>
          <w:b/>
          <w:bCs/>
          <w:i/>
          <w:sz w:val="22"/>
          <w:szCs w:val="22"/>
        </w:rPr>
        <w:t xml:space="preserve">III. </w:t>
      </w:r>
      <w:r w:rsidRPr="00C24D48">
        <w:rPr>
          <w:rFonts w:ascii="Palatino Linotype" w:eastAsiaTheme="minorEastAsia" w:hAnsi="Palatino Linotype" w:cs="Bookman Old Style"/>
          <w:i/>
          <w:sz w:val="22"/>
          <w:szCs w:val="22"/>
        </w:rPr>
        <w:t>No actualice alguno de los supuestos previstos en la presente Ley;</w:t>
      </w:r>
    </w:p>
    <w:p w14:paraId="6704E9A2" w14:textId="77777777" w:rsidR="005A33DE" w:rsidRPr="00C24D48" w:rsidRDefault="005A33DE" w:rsidP="005A33DE">
      <w:pPr>
        <w:autoSpaceDE w:val="0"/>
        <w:autoSpaceDN w:val="0"/>
        <w:adjustRightInd w:val="0"/>
        <w:ind w:left="851" w:right="899"/>
        <w:jc w:val="both"/>
        <w:rPr>
          <w:rFonts w:ascii="Palatino Linotype" w:eastAsiaTheme="minorEastAsia" w:hAnsi="Palatino Linotype" w:cs="Bookman Old Style"/>
          <w:i/>
          <w:sz w:val="22"/>
          <w:szCs w:val="22"/>
        </w:rPr>
      </w:pPr>
      <w:r w:rsidRPr="00C24D48">
        <w:rPr>
          <w:rFonts w:ascii="Palatino Linotype" w:eastAsiaTheme="minorEastAsia" w:hAnsi="Palatino Linotype" w:cs="Bookman Old Style,Bold"/>
          <w:b/>
          <w:bCs/>
          <w:i/>
          <w:sz w:val="22"/>
          <w:szCs w:val="22"/>
        </w:rPr>
        <w:t xml:space="preserve">IV. </w:t>
      </w:r>
      <w:r w:rsidRPr="00C24D48">
        <w:rPr>
          <w:rFonts w:ascii="Palatino Linotype" w:eastAsiaTheme="minorEastAsia" w:hAnsi="Palatino Linotype" w:cs="Bookman Old Style"/>
          <w:i/>
          <w:sz w:val="22"/>
          <w:szCs w:val="22"/>
        </w:rPr>
        <w:t>No se haya desahogado la prevención en los términos establecidos en la presente Ley;</w:t>
      </w:r>
    </w:p>
    <w:p w14:paraId="4283CF6E" w14:textId="77777777" w:rsidR="005A33DE" w:rsidRPr="00C24D48" w:rsidRDefault="005A33DE" w:rsidP="005A33DE">
      <w:pPr>
        <w:autoSpaceDE w:val="0"/>
        <w:autoSpaceDN w:val="0"/>
        <w:adjustRightInd w:val="0"/>
        <w:ind w:left="851" w:right="899"/>
        <w:jc w:val="both"/>
        <w:rPr>
          <w:rFonts w:ascii="Palatino Linotype" w:eastAsiaTheme="minorEastAsia" w:hAnsi="Palatino Linotype" w:cs="Bookman Old Style"/>
          <w:i/>
          <w:sz w:val="22"/>
          <w:szCs w:val="22"/>
        </w:rPr>
      </w:pPr>
      <w:r w:rsidRPr="00C24D48">
        <w:rPr>
          <w:rFonts w:ascii="Palatino Linotype" w:eastAsiaTheme="minorEastAsia" w:hAnsi="Palatino Linotype" w:cs="Bookman Old Style,Bold"/>
          <w:b/>
          <w:bCs/>
          <w:i/>
          <w:sz w:val="22"/>
          <w:szCs w:val="22"/>
        </w:rPr>
        <w:t xml:space="preserve">V. </w:t>
      </w:r>
      <w:r w:rsidRPr="00C24D48">
        <w:rPr>
          <w:rFonts w:ascii="Palatino Linotype" w:eastAsiaTheme="minorEastAsia" w:hAnsi="Palatino Linotype" w:cs="Bookman Old Style"/>
          <w:b/>
          <w:i/>
          <w:sz w:val="22"/>
          <w:szCs w:val="22"/>
        </w:rPr>
        <w:t>Se impugne la veracidad de la información proporcionada</w:t>
      </w:r>
      <w:r w:rsidRPr="00C24D48">
        <w:rPr>
          <w:rFonts w:ascii="Palatino Linotype" w:eastAsiaTheme="minorEastAsia" w:hAnsi="Palatino Linotype" w:cs="Bookman Old Style"/>
          <w:i/>
          <w:sz w:val="22"/>
          <w:szCs w:val="22"/>
        </w:rPr>
        <w:t>;</w:t>
      </w:r>
    </w:p>
    <w:p w14:paraId="55B99829" w14:textId="77777777" w:rsidR="005A33DE" w:rsidRPr="00C24D48" w:rsidRDefault="005A33DE" w:rsidP="005A33DE">
      <w:pPr>
        <w:autoSpaceDE w:val="0"/>
        <w:autoSpaceDN w:val="0"/>
        <w:adjustRightInd w:val="0"/>
        <w:ind w:left="851" w:right="899"/>
        <w:jc w:val="both"/>
        <w:rPr>
          <w:rFonts w:ascii="Palatino Linotype" w:eastAsiaTheme="minorEastAsia" w:hAnsi="Palatino Linotype" w:cs="Bookman Old Style"/>
          <w:i/>
          <w:sz w:val="22"/>
          <w:szCs w:val="22"/>
        </w:rPr>
      </w:pPr>
      <w:r w:rsidRPr="00C24D48">
        <w:rPr>
          <w:rFonts w:ascii="Palatino Linotype" w:eastAsiaTheme="minorEastAsia" w:hAnsi="Palatino Linotype" w:cs="Bookman Old Style,Bold"/>
          <w:b/>
          <w:bCs/>
          <w:i/>
          <w:sz w:val="22"/>
          <w:szCs w:val="22"/>
        </w:rPr>
        <w:t xml:space="preserve">VI. </w:t>
      </w:r>
      <w:r w:rsidRPr="00C24D48">
        <w:rPr>
          <w:rFonts w:ascii="Palatino Linotype" w:eastAsiaTheme="minorEastAsia" w:hAnsi="Palatino Linotype" w:cs="Bookman Old Style"/>
          <w:i/>
          <w:sz w:val="22"/>
          <w:szCs w:val="22"/>
        </w:rPr>
        <w:t>Se trate de una consulta, o trámite en específico; y</w:t>
      </w:r>
    </w:p>
    <w:p w14:paraId="4C0F37A2" w14:textId="77777777" w:rsidR="005A33DE" w:rsidRPr="00C24D48" w:rsidRDefault="005A33DE" w:rsidP="005A33DE">
      <w:pPr>
        <w:autoSpaceDE w:val="0"/>
        <w:autoSpaceDN w:val="0"/>
        <w:adjustRightInd w:val="0"/>
        <w:ind w:left="851" w:right="899"/>
        <w:jc w:val="both"/>
        <w:rPr>
          <w:rFonts w:ascii="Palatino Linotype" w:eastAsiaTheme="minorEastAsia" w:hAnsi="Palatino Linotype" w:cs="Bookman Old Style"/>
          <w:i/>
          <w:sz w:val="22"/>
          <w:szCs w:val="22"/>
        </w:rPr>
      </w:pPr>
      <w:r w:rsidRPr="00C24D48">
        <w:rPr>
          <w:rFonts w:ascii="Palatino Linotype" w:eastAsiaTheme="minorEastAsia" w:hAnsi="Palatino Linotype" w:cs="Bookman Old Style,Bold"/>
          <w:b/>
          <w:bCs/>
          <w:i/>
          <w:sz w:val="22"/>
          <w:szCs w:val="22"/>
        </w:rPr>
        <w:t xml:space="preserve">VII. </w:t>
      </w:r>
      <w:r w:rsidRPr="00C24D48">
        <w:rPr>
          <w:rFonts w:ascii="Palatino Linotype" w:eastAsiaTheme="minorEastAsia" w:hAnsi="Palatino Linotype" w:cs="Bookman Old Style"/>
          <w:i/>
          <w:sz w:val="22"/>
          <w:szCs w:val="22"/>
        </w:rPr>
        <w:t>El recurrente amplíe su solicitud en el Recurso de Revisión, únicamente respecto de los nuevos contenidos.</w:t>
      </w:r>
    </w:p>
    <w:p w14:paraId="7ED61A6A" w14:textId="77777777" w:rsidR="005A33DE" w:rsidRPr="00C24D48" w:rsidRDefault="005A33DE" w:rsidP="005A33DE">
      <w:pPr>
        <w:autoSpaceDE w:val="0"/>
        <w:autoSpaceDN w:val="0"/>
        <w:adjustRightInd w:val="0"/>
        <w:ind w:left="851" w:right="899"/>
        <w:jc w:val="both"/>
        <w:rPr>
          <w:rFonts w:ascii="Palatino Linotype" w:eastAsiaTheme="minorEastAsia" w:hAnsi="Palatino Linotype" w:cs="Bookman Old Style"/>
          <w:i/>
          <w:sz w:val="22"/>
          <w:szCs w:val="22"/>
        </w:rPr>
      </w:pPr>
    </w:p>
    <w:p w14:paraId="76C0492B" w14:textId="77777777" w:rsidR="005A33DE" w:rsidRPr="00C24D48" w:rsidRDefault="005A33DE" w:rsidP="005A33DE">
      <w:pPr>
        <w:autoSpaceDE w:val="0"/>
        <w:autoSpaceDN w:val="0"/>
        <w:adjustRightInd w:val="0"/>
        <w:ind w:left="851" w:right="899"/>
        <w:jc w:val="both"/>
        <w:rPr>
          <w:rFonts w:ascii="Palatino Linotype" w:eastAsiaTheme="minorEastAsia" w:hAnsi="Palatino Linotype" w:cs="Bookman Old Style"/>
          <w:i/>
          <w:sz w:val="22"/>
          <w:szCs w:val="22"/>
        </w:rPr>
      </w:pPr>
      <w:r w:rsidRPr="00C24D48">
        <w:rPr>
          <w:rFonts w:ascii="Palatino Linotype" w:eastAsiaTheme="minorEastAsia" w:hAnsi="Palatino Linotype" w:cs="Bookman Old Style,Bold"/>
          <w:b/>
          <w:bCs/>
          <w:i/>
          <w:sz w:val="22"/>
          <w:szCs w:val="22"/>
        </w:rPr>
        <w:t xml:space="preserve">Artículo 192. </w:t>
      </w:r>
      <w:r w:rsidRPr="00C24D48">
        <w:rPr>
          <w:rFonts w:ascii="Palatino Linotype" w:eastAsiaTheme="minorEastAsia" w:hAnsi="Palatino Linotype" w:cs="Bookman Old Style"/>
          <w:i/>
          <w:sz w:val="22"/>
          <w:szCs w:val="22"/>
        </w:rPr>
        <w:t>El recurso será sobreseído, en todo o en parte, cuando una vez admitido, se actualicen alguno de los siguientes supuestos:</w:t>
      </w:r>
    </w:p>
    <w:p w14:paraId="49C3EFC8" w14:textId="77777777" w:rsidR="005A33DE" w:rsidRPr="00C24D48" w:rsidRDefault="005A33DE" w:rsidP="005A33DE">
      <w:pPr>
        <w:autoSpaceDE w:val="0"/>
        <w:autoSpaceDN w:val="0"/>
        <w:adjustRightInd w:val="0"/>
        <w:ind w:left="851" w:right="899"/>
        <w:jc w:val="both"/>
        <w:rPr>
          <w:rFonts w:ascii="Palatino Linotype" w:eastAsiaTheme="minorEastAsia" w:hAnsi="Palatino Linotype" w:cs="Bookman Old Style"/>
          <w:i/>
          <w:sz w:val="22"/>
          <w:szCs w:val="22"/>
        </w:rPr>
      </w:pPr>
      <w:r w:rsidRPr="00C24D48">
        <w:rPr>
          <w:rFonts w:ascii="Palatino Linotype" w:eastAsiaTheme="minorEastAsia" w:hAnsi="Palatino Linotype" w:cs="Bookman Old Style,Bold"/>
          <w:b/>
          <w:bCs/>
          <w:i/>
          <w:sz w:val="22"/>
          <w:szCs w:val="22"/>
        </w:rPr>
        <w:t xml:space="preserve">I. </w:t>
      </w:r>
      <w:r w:rsidRPr="00C24D48">
        <w:rPr>
          <w:rFonts w:ascii="Palatino Linotype" w:eastAsiaTheme="minorEastAsia" w:hAnsi="Palatino Linotype" w:cs="Bookman Old Style"/>
          <w:i/>
          <w:sz w:val="22"/>
          <w:szCs w:val="22"/>
        </w:rPr>
        <w:t>El recurrente se desista expresamente del recurso;</w:t>
      </w:r>
    </w:p>
    <w:p w14:paraId="7CD29A8D" w14:textId="77777777" w:rsidR="005A33DE" w:rsidRPr="00C24D48" w:rsidRDefault="005A33DE" w:rsidP="005A33DE">
      <w:pPr>
        <w:autoSpaceDE w:val="0"/>
        <w:autoSpaceDN w:val="0"/>
        <w:adjustRightInd w:val="0"/>
        <w:ind w:left="851" w:right="899"/>
        <w:jc w:val="both"/>
        <w:rPr>
          <w:rFonts w:ascii="Palatino Linotype" w:eastAsiaTheme="minorEastAsia" w:hAnsi="Palatino Linotype" w:cs="Bookman Old Style"/>
          <w:i/>
          <w:sz w:val="22"/>
          <w:szCs w:val="22"/>
        </w:rPr>
      </w:pPr>
      <w:r w:rsidRPr="00C24D48">
        <w:rPr>
          <w:rFonts w:ascii="Palatino Linotype" w:eastAsiaTheme="minorEastAsia" w:hAnsi="Palatino Linotype" w:cs="Bookman Old Style,Bold"/>
          <w:b/>
          <w:bCs/>
          <w:i/>
          <w:sz w:val="22"/>
          <w:szCs w:val="22"/>
        </w:rPr>
        <w:t xml:space="preserve">II. </w:t>
      </w:r>
      <w:r w:rsidRPr="00C24D48">
        <w:rPr>
          <w:rFonts w:ascii="Palatino Linotype" w:eastAsiaTheme="minorEastAsia" w:hAnsi="Palatino Linotype" w:cs="Bookman Old Style"/>
          <w:i/>
          <w:sz w:val="22"/>
          <w:szCs w:val="22"/>
        </w:rPr>
        <w:t>El recurrente fallezca o, tratándose de personas jurídicas colectivas, se disuelva;</w:t>
      </w:r>
    </w:p>
    <w:p w14:paraId="36801DB1" w14:textId="77777777" w:rsidR="005A33DE" w:rsidRPr="004E7E3B" w:rsidRDefault="005A33DE" w:rsidP="005A33DE">
      <w:pPr>
        <w:autoSpaceDE w:val="0"/>
        <w:autoSpaceDN w:val="0"/>
        <w:adjustRightInd w:val="0"/>
        <w:ind w:left="851" w:right="899"/>
        <w:jc w:val="both"/>
        <w:rPr>
          <w:rFonts w:ascii="Palatino Linotype" w:eastAsiaTheme="minorEastAsia" w:hAnsi="Palatino Linotype" w:cs="Bookman Old Style"/>
          <w:b/>
          <w:i/>
          <w:sz w:val="22"/>
          <w:szCs w:val="22"/>
        </w:rPr>
      </w:pPr>
      <w:r w:rsidRPr="004E7E3B">
        <w:rPr>
          <w:rFonts w:ascii="Palatino Linotype" w:eastAsiaTheme="minorEastAsia" w:hAnsi="Palatino Linotype" w:cs="Bookman Old Style,Bold"/>
          <w:b/>
          <w:bCs/>
          <w:i/>
          <w:sz w:val="22"/>
          <w:szCs w:val="22"/>
        </w:rPr>
        <w:t xml:space="preserve">III. </w:t>
      </w:r>
      <w:r w:rsidRPr="004E7E3B">
        <w:rPr>
          <w:rFonts w:ascii="Palatino Linotype" w:eastAsiaTheme="minorEastAsia" w:hAnsi="Palatino Linotype" w:cs="Bookman Old Style"/>
          <w:b/>
          <w:i/>
          <w:sz w:val="22"/>
          <w:szCs w:val="22"/>
        </w:rPr>
        <w:t>El sujeto obligado responsable del acto lo modifique o revoque de tal manera que el Recurso de Revisión quede sin materia;</w:t>
      </w:r>
    </w:p>
    <w:p w14:paraId="6BFFDC8D" w14:textId="77777777" w:rsidR="005A33DE" w:rsidRPr="004E7E3B" w:rsidRDefault="005A33DE" w:rsidP="005A33DE">
      <w:pPr>
        <w:autoSpaceDE w:val="0"/>
        <w:autoSpaceDN w:val="0"/>
        <w:adjustRightInd w:val="0"/>
        <w:ind w:left="851" w:right="899"/>
        <w:jc w:val="both"/>
        <w:rPr>
          <w:rFonts w:ascii="Palatino Linotype" w:eastAsiaTheme="minorEastAsia" w:hAnsi="Palatino Linotype" w:cs="Bookman Old Style"/>
          <w:i/>
          <w:sz w:val="22"/>
          <w:szCs w:val="22"/>
        </w:rPr>
      </w:pPr>
      <w:r w:rsidRPr="004E7E3B">
        <w:rPr>
          <w:rFonts w:ascii="Palatino Linotype" w:eastAsiaTheme="minorEastAsia" w:hAnsi="Palatino Linotype" w:cs="Bookman Old Style,Bold"/>
          <w:bCs/>
          <w:i/>
          <w:sz w:val="22"/>
          <w:szCs w:val="22"/>
        </w:rPr>
        <w:lastRenderedPageBreak/>
        <w:t xml:space="preserve">IV. </w:t>
      </w:r>
      <w:r w:rsidRPr="004E7E3B">
        <w:rPr>
          <w:rFonts w:ascii="Palatino Linotype" w:eastAsiaTheme="minorEastAsia" w:hAnsi="Palatino Linotype" w:cs="Bookman Old Style"/>
          <w:i/>
          <w:sz w:val="22"/>
          <w:szCs w:val="22"/>
        </w:rPr>
        <w:t>Admitido el Recurso de Revisión, aparezca alguna causal de improcedencia en los términos de la presente Ley; y</w:t>
      </w:r>
    </w:p>
    <w:p w14:paraId="51BCF17A" w14:textId="77777777" w:rsidR="005A33DE" w:rsidRPr="00C24D48" w:rsidRDefault="005A33DE" w:rsidP="005A33DE">
      <w:pPr>
        <w:autoSpaceDE w:val="0"/>
        <w:autoSpaceDN w:val="0"/>
        <w:adjustRightInd w:val="0"/>
        <w:ind w:left="851" w:right="899"/>
        <w:jc w:val="both"/>
        <w:rPr>
          <w:rFonts w:ascii="Palatino Linotype" w:eastAsiaTheme="minorEastAsia" w:hAnsi="Palatino Linotype" w:cs="Bookman Old Style"/>
          <w:sz w:val="22"/>
          <w:szCs w:val="22"/>
        </w:rPr>
      </w:pPr>
      <w:r w:rsidRPr="00C24D48">
        <w:rPr>
          <w:rFonts w:ascii="Palatino Linotype" w:eastAsiaTheme="minorEastAsia" w:hAnsi="Palatino Linotype" w:cs="Bookman Old Style,Bold"/>
          <w:b/>
          <w:bCs/>
          <w:i/>
          <w:sz w:val="22"/>
          <w:szCs w:val="22"/>
        </w:rPr>
        <w:t xml:space="preserve">V. </w:t>
      </w:r>
      <w:r w:rsidRPr="00C24D48">
        <w:rPr>
          <w:rFonts w:ascii="Palatino Linotype" w:eastAsiaTheme="minorEastAsia" w:hAnsi="Palatino Linotype" w:cs="Bookman Old Style"/>
          <w:i/>
          <w:sz w:val="22"/>
          <w:szCs w:val="22"/>
        </w:rPr>
        <w:t>Cuando por cualquier motivo quede sin materia el recurso</w:t>
      </w:r>
      <w:r w:rsidRPr="00C24D48">
        <w:rPr>
          <w:rFonts w:ascii="Palatino Linotype" w:eastAsiaTheme="minorEastAsia" w:hAnsi="Palatino Linotype" w:cs="Bookman Old Style"/>
          <w:sz w:val="22"/>
          <w:szCs w:val="22"/>
        </w:rPr>
        <w:t>.”</w:t>
      </w:r>
    </w:p>
    <w:p w14:paraId="5888B0A8" w14:textId="77777777" w:rsidR="005A33DE" w:rsidRPr="00C24D48" w:rsidRDefault="005A33DE" w:rsidP="005A33DE">
      <w:pPr>
        <w:autoSpaceDE w:val="0"/>
        <w:autoSpaceDN w:val="0"/>
        <w:adjustRightInd w:val="0"/>
        <w:ind w:left="851" w:right="899"/>
        <w:jc w:val="both"/>
        <w:rPr>
          <w:rFonts w:ascii="Palatino Linotype" w:eastAsiaTheme="minorEastAsia" w:hAnsi="Palatino Linotype" w:cs="Bookman Old Style"/>
          <w:sz w:val="22"/>
          <w:szCs w:val="22"/>
        </w:rPr>
      </w:pPr>
      <w:r w:rsidRPr="00C24D48">
        <w:rPr>
          <w:rFonts w:ascii="Palatino Linotype" w:eastAsiaTheme="minorEastAsia" w:hAnsi="Palatino Linotype" w:cs="Bookman Old Style,Bold"/>
          <w:bCs/>
          <w:i/>
          <w:sz w:val="22"/>
          <w:szCs w:val="22"/>
        </w:rPr>
        <w:t>(Énfasis añadido)</w:t>
      </w:r>
    </w:p>
    <w:p w14:paraId="6870350D" w14:textId="77777777" w:rsidR="004A7DA2" w:rsidRDefault="004A7DA2" w:rsidP="00A617BC">
      <w:pPr>
        <w:spacing w:line="360" w:lineRule="auto"/>
        <w:jc w:val="both"/>
        <w:rPr>
          <w:rFonts w:ascii="Palatino Linotype" w:eastAsia="Calibri" w:hAnsi="Palatino Linotype" w:cs="Arial"/>
          <w:color w:val="000000" w:themeColor="text1"/>
        </w:rPr>
      </w:pPr>
    </w:p>
    <w:p w14:paraId="174B0BE5" w14:textId="77777777" w:rsidR="005A33DE" w:rsidRPr="00C24D48" w:rsidRDefault="005A33DE" w:rsidP="005A33DE">
      <w:pPr>
        <w:spacing w:line="360" w:lineRule="auto"/>
        <w:ind w:right="49"/>
        <w:jc w:val="both"/>
        <w:rPr>
          <w:rFonts w:ascii="Palatino Linotype" w:hAnsi="Palatino Linotype" w:cs="Arial"/>
        </w:rPr>
      </w:pPr>
      <w:r w:rsidRPr="00C24D48">
        <w:rPr>
          <w:rFonts w:ascii="Palatino Linotype" w:hAnsi="Palatino Linotype" w:cs="Arial"/>
        </w:rPr>
        <w:t>Por lo que al analizar el contenido de los numerales citados previamente, podemos señalar que la Ley de Transparencia y Acceso a la Información Pública del Estado de México y Municipios,  contempla la posibilidad de desechar el Recurso de Revisión en el momento procesal en que también se puede admitir, por alguna de las causales transcritas, artículo que tiene un momento de aplicabilidad previo a la admisión del Recurso de Revisión por no reunir los requisitos de procedibilidad previstos en el artículo 179 de la Ley en la Materia.</w:t>
      </w:r>
    </w:p>
    <w:p w14:paraId="6F3B3333" w14:textId="77777777" w:rsidR="005A33DE" w:rsidRDefault="005A33DE" w:rsidP="00A617BC">
      <w:pPr>
        <w:spacing w:line="360" w:lineRule="auto"/>
        <w:jc w:val="both"/>
        <w:rPr>
          <w:rFonts w:ascii="Palatino Linotype" w:eastAsia="Calibri" w:hAnsi="Palatino Linotype" w:cs="Arial"/>
          <w:color w:val="000000" w:themeColor="text1"/>
        </w:rPr>
      </w:pPr>
    </w:p>
    <w:p w14:paraId="3136D473" w14:textId="53423585" w:rsidR="00993EDF" w:rsidRPr="00C24D48" w:rsidRDefault="00993EDF" w:rsidP="00993EDF">
      <w:pPr>
        <w:spacing w:line="360" w:lineRule="auto"/>
        <w:ind w:right="49"/>
        <w:jc w:val="both"/>
        <w:rPr>
          <w:rFonts w:ascii="Palatino Linotype" w:hAnsi="Palatino Linotype" w:cs="Arial"/>
        </w:rPr>
      </w:pPr>
      <w:r w:rsidRPr="00C24D48">
        <w:rPr>
          <w:rFonts w:ascii="Palatino Linotype" w:hAnsi="Palatino Linotype" w:cs="Arial"/>
        </w:rPr>
        <w:t>Dentro de este orden de ideas, es evidente que no se puede invocar el precepto legal 191 de la Ley de Transparencia y Acceso a la Información Pública del Estado de México y Municipios, posterior a que ha sido admitido, determinando la actualización de un desechamiento, porque sería subsecuente a la etapa procedimental en la que debió desecharse.</w:t>
      </w:r>
    </w:p>
    <w:p w14:paraId="21C582C7" w14:textId="77777777" w:rsidR="00993EDF" w:rsidRDefault="00993EDF" w:rsidP="00A617BC">
      <w:pPr>
        <w:spacing w:line="360" w:lineRule="auto"/>
        <w:jc w:val="both"/>
        <w:rPr>
          <w:rFonts w:ascii="Palatino Linotype" w:eastAsia="Calibri" w:hAnsi="Palatino Linotype" w:cs="Arial"/>
          <w:color w:val="000000" w:themeColor="text1"/>
        </w:rPr>
      </w:pPr>
    </w:p>
    <w:p w14:paraId="43CDDC35" w14:textId="4A3DB1E3" w:rsidR="00993EDF" w:rsidRPr="00993EDF" w:rsidRDefault="00993EDF" w:rsidP="00993EDF">
      <w:pPr>
        <w:spacing w:line="360" w:lineRule="auto"/>
        <w:ind w:right="49"/>
        <w:jc w:val="both"/>
        <w:rPr>
          <w:rFonts w:ascii="Palatino Linotype" w:hAnsi="Palatino Linotype" w:cs="Arial"/>
        </w:rPr>
      </w:pPr>
      <w:r w:rsidRPr="00C24D48">
        <w:rPr>
          <w:rFonts w:ascii="Palatino Linotype" w:hAnsi="Palatino Linotype" w:cs="Arial"/>
        </w:rPr>
        <w:t>Cobrando aplicación lo previsto en el artículo 192 fracción I</w:t>
      </w:r>
      <w:r w:rsidR="004E7E3B">
        <w:rPr>
          <w:rFonts w:ascii="Palatino Linotype" w:hAnsi="Palatino Linotype" w:cs="Arial"/>
        </w:rPr>
        <w:t>II</w:t>
      </w:r>
      <w:r w:rsidRPr="00C24D48">
        <w:rPr>
          <w:rFonts w:ascii="Palatino Linotype" w:hAnsi="Palatino Linotype" w:cs="Arial"/>
        </w:rPr>
        <w:t xml:space="preserve"> de la Ley de Transparencia y Acceso a la Información Pública del Estado de México y Municipios, que señala las posibilidades en el que el Recurso de Revisión será sobreseído, actualizándose para el caso en concreto una causal de improcedencia en los términos de la presente ley. </w:t>
      </w:r>
    </w:p>
    <w:p w14:paraId="4D281F71" w14:textId="77777777" w:rsidR="005A33DE" w:rsidRPr="005A33DE" w:rsidRDefault="005A33DE" w:rsidP="00A617BC">
      <w:pPr>
        <w:spacing w:line="360" w:lineRule="auto"/>
        <w:jc w:val="both"/>
        <w:rPr>
          <w:rFonts w:ascii="Palatino Linotype" w:eastAsia="Calibri" w:hAnsi="Palatino Linotype" w:cs="Arial"/>
          <w:color w:val="000000" w:themeColor="text1"/>
        </w:rPr>
      </w:pPr>
    </w:p>
    <w:p w14:paraId="6D774DBC" w14:textId="31608DFB" w:rsidR="004A7DA2" w:rsidRPr="00993EDF" w:rsidRDefault="00D561B5" w:rsidP="00993EDF">
      <w:pPr>
        <w:spacing w:line="360" w:lineRule="auto"/>
        <w:ind w:right="49"/>
        <w:jc w:val="both"/>
        <w:rPr>
          <w:rFonts w:ascii="Palatino Linotype" w:hAnsi="Palatino Linotype" w:cs="Arial"/>
        </w:rPr>
      </w:pPr>
      <w:r>
        <w:rPr>
          <w:rFonts w:ascii="Palatino Linotype" w:eastAsia="Calibri" w:hAnsi="Palatino Linotype" w:cs="Arial"/>
          <w:color w:val="000000" w:themeColor="text1"/>
        </w:rPr>
        <w:lastRenderedPageBreak/>
        <w:t xml:space="preserve">Lo anterior </w:t>
      </w:r>
      <w:r w:rsidR="00993EDF">
        <w:rPr>
          <w:rFonts w:ascii="Palatino Linotype" w:eastAsia="Calibri" w:hAnsi="Palatino Linotype" w:cs="Arial"/>
          <w:color w:val="000000" w:themeColor="text1"/>
        </w:rPr>
        <w:t xml:space="preserve"> del análisis de las constancias que obran en el expediente electrónico formado en </w:t>
      </w:r>
      <w:r w:rsidR="00993EDF" w:rsidRPr="00993EDF">
        <w:rPr>
          <w:rFonts w:ascii="Palatino Linotype" w:eastAsia="Calibri" w:hAnsi="Palatino Linotype" w:cs="Arial"/>
          <w:b/>
          <w:color w:val="000000" w:themeColor="text1"/>
        </w:rPr>
        <w:t>SAIMEX</w:t>
      </w:r>
      <w:r w:rsidR="00993EDF">
        <w:rPr>
          <w:rFonts w:ascii="Palatino Linotype" w:eastAsia="Calibri" w:hAnsi="Palatino Linotype" w:cs="Arial"/>
          <w:color w:val="000000" w:themeColor="text1"/>
        </w:rPr>
        <w:t xml:space="preserve"> </w:t>
      </w:r>
      <w:r w:rsidR="00993EDF" w:rsidRPr="00C24D48">
        <w:rPr>
          <w:rFonts w:ascii="Palatino Linotype" w:hAnsi="Palatino Linotype" w:cs="Arial"/>
        </w:rPr>
        <w:t xml:space="preserve">del Recurso de Revisión materia del presente estudio, se advierte que se actualiza la causal de </w:t>
      </w:r>
      <w:r w:rsidR="00993EDF" w:rsidRPr="00C24D48">
        <w:rPr>
          <w:rFonts w:ascii="Palatino Linotype" w:hAnsi="Palatino Linotype" w:cs="Arial"/>
          <w:b/>
          <w:bCs/>
        </w:rPr>
        <w:t xml:space="preserve">sobreseimiento </w:t>
      </w:r>
      <w:r w:rsidR="00993EDF" w:rsidRPr="00C24D48">
        <w:rPr>
          <w:rFonts w:ascii="Palatino Linotype" w:hAnsi="Palatino Linotype" w:cs="Arial"/>
        </w:rPr>
        <w:t xml:space="preserve">prevista en el artículo 192 fracción </w:t>
      </w:r>
      <w:r w:rsidR="004E7E3B">
        <w:rPr>
          <w:rFonts w:ascii="Palatino Linotype" w:hAnsi="Palatino Linotype" w:cs="Arial"/>
        </w:rPr>
        <w:t>III</w:t>
      </w:r>
      <w:r w:rsidR="00993EDF" w:rsidRPr="00C24D48">
        <w:rPr>
          <w:rFonts w:ascii="Palatino Linotype" w:hAnsi="Palatino Linotype" w:cs="Arial"/>
        </w:rPr>
        <w:t xml:space="preserve"> en relación con el artículo 191 fracción V de la Ley de Transparencia y Acceso a la Información Pública del Estado de México y Municipios,  lo anterior, por cómo se ha analizado en el presente estudio, no e</w:t>
      </w:r>
      <w:r w:rsidR="00993EDF">
        <w:rPr>
          <w:rFonts w:ascii="Palatino Linotype" w:hAnsi="Palatino Linotype" w:cs="Arial"/>
        </w:rPr>
        <w:t xml:space="preserve">xisten elementos de procedencia, </w:t>
      </w:r>
      <w:r>
        <w:rPr>
          <w:rFonts w:ascii="Palatino Linotype" w:eastAsia="Calibri" w:hAnsi="Palatino Linotype" w:cs="Arial"/>
          <w:color w:val="000000" w:themeColor="text1"/>
        </w:rPr>
        <w:t xml:space="preserve">por haberse atendido la solicitud en los términos requeridos al </w:t>
      </w:r>
      <w:r w:rsidR="00FE59C4">
        <w:rPr>
          <w:rFonts w:ascii="Palatino Linotype" w:eastAsia="Calibri" w:hAnsi="Palatino Linotype" w:cs="Arial"/>
          <w:color w:val="000000" w:themeColor="text1"/>
        </w:rPr>
        <w:t>haberse pronunciado respecto al motivo por el cual no entra en funcionamiento el pozo la Piedad, obedece a que se requiere la construcción de una línea de conducción, la cual no fue concluida en el proyecto original, en ese sentido actualmente se están realizando las acciones necesarias para proponer su construcción en el próximo ejercicio fiscal 2023.</w:t>
      </w:r>
    </w:p>
    <w:p w14:paraId="0F74CD6D" w14:textId="77777777" w:rsidR="004A7DA2" w:rsidRDefault="004A7DA2" w:rsidP="00A617BC">
      <w:pPr>
        <w:spacing w:line="360" w:lineRule="auto"/>
        <w:jc w:val="both"/>
        <w:rPr>
          <w:rFonts w:ascii="Palatino Linotype" w:eastAsia="Calibri" w:hAnsi="Palatino Linotype" w:cs="Arial"/>
          <w:color w:val="000000" w:themeColor="text1"/>
        </w:rPr>
      </w:pPr>
    </w:p>
    <w:p w14:paraId="472DFC83" w14:textId="14EE27AD" w:rsidR="00D561B5" w:rsidRDefault="00FE59C4" w:rsidP="00A617BC">
      <w:pPr>
        <w:spacing w:line="360" w:lineRule="auto"/>
        <w:jc w:val="both"/>
        <w:rPr>
          <w:rFonts w:ascii="Palatino Linotype" w:eastAsia="Calibri" w:hAnsi="Palatino Linotype" w:cs="Arial"/>
          <w:color w:val="000000" w:themeColor="text1"/>
        </w:rPr>
      </w:pPr>
      <w:r>
        <w:rPr>
          <w:rFonts w:ascii="Palatino Linotype" w:eastAsia="Calibri" w:hAnsi="Palatino Linotype" w:cs="Arial"/>
          <w:color w:val="000000" w:themeColor="text1"/>
        </w:rPr>
        <w:t xml:space="preserve"> </w:t>
      </w:r>
      <w:r w:rsidR="00D44CFE">
        <w:rPr>
          <w:rFonts w:ascii="Palatino Linotype" w:eastAsia="Calibri" w:hAnsi="Palatino Linotype" w:cs="Arial"/>
          <w:color w:val="000000" w:themeColor="text1"/>
        </w:rPr>
        <w:t>Bajo ese tenor, se precisa que la afectación al derecho de acceso a la información pública establecido constitucionalmente a favor del particular, ha sido resarcida.</w:t>
      </w:r>
    </w:p>
    <w:p w14:paraId="70521230" w14:textId="77777777" w:rsidR="00D44CFE" w:rsidRDefault="00D44CFE" w:rsidP="00A617BC">
      <w:pPr>
        <w:spacing w:line="360" w:lineRule="auto"/>
        <w:jc w:val="both"/>
        <w:rPr>
          <w:rFonts w:ascii="Palatino Linotype" w:eastAsia="Calibri" w:hAnsi="Palatino Linotype" w:cs="Arial"/>
          <w:color w:val="000000" w:themeColor="text1"/>
        </w:rPr>
      </w:pPr>
    </w:p>
    <w:p w14:paraId="411F36A6" w14:textId="77777777" w:rsidR="00993EDF" w:rsidRPr="00C24D48" w:rsidRDefault="00993EDF" w:rsidP="00993EDF">
      <w:pPr>
        <w:spacing w:line="360" w:lineRule="auto"/>
        <w:jc w:val="both"/>
        <w:rPr>
          <w:rFonts w:ascii="Palatino Linotype" w:hAnsi="Palatino Linotype"/>
        </w:rPr>
      </w:pPr>
      <w:r w:rsidRPr="00C24D48">
        <w:rPr>
          <w:rFonts w:ascii="Palatino Linotype" w:hAnsi="Palatino Linotype" w:cs="Arial"/>
          <w:color w:val="000000"/>
          <w:lang w:val="es-ES"/>
        </w:rPr>
        <w:t xml:space="preserve">Ahora bien, </w:t>
      </w:r>
      <w:r w:rsidRPr="00C24D48">
        <w:rPr>
          <w:rFonts w:ascii="Palatino Linotype" w:hAnsi="Palatino Linotype"/>
        </w:rPr>
        <w:t xml:space="preserve">es importante referir que </w:t>
      </w:r>
      <w:r>
        <w:rPr>
          <w:rFonts w:ascii="Palatino Linotype" w:hAnsi="Palatino Linotype"/>
        </w:rPr>
        <w:t xml:space="preserve">respecto de las documentales remitidas </w:t>
      </w:r>
      <w:r w:rsidRPr="00C24D48">
        <w:rPr>
          <w:rFonts w:ascii="Palatino Linotype" w:hAnsi="Palatino Linotype"/>
        </w:rPr>
        <w:t xml:space="preserve">por parte del </w:t>
      </w:r>
      <w:r w:rsidRPr="00C24D48">
        <w:rPr>
          <w:rFonts w:ascii="Palatino Linotype" w:hAnsi="Palatino Linotype"/>
          <w:b/>
        </w:rPr>
        <w:t>SUJETO OBLIGADO</w:t>
      </w:r>
      <w:r w:rsidRPr="00C24D48">
        <w:rPr>
          <w:rFonts w:ascii="Palatino Linotype" w:hAnsi="Palatino Linotype"/>
        </w:rPr>
        <w:t xml:space="preserve">, a fin de dar respuesta a la solicitud planteada, este Instituto no está facultado para manifestarse sobre la veracidad de la información proporcionada, pues este Órgano Garante conforme al artículo 36 de la </w:t>
      </w:r>
      <w:r w:rsidRPr="00C24D48">
        <w:rPr>
          <w:rFonts w:ascii="Palatino Linotype" w:hAnsi="Palatino Linotype" w:cs="Arial"/>
        </w:rPr>
        <w:t>de la Ley de Transparencia y Acceso a la Información Pública del Estado de México y Municipios,</w:t>
      </w:r>
      <w:r w:rsidRPr="00C24D48">
        <w:rPr>
          <w:rFonts w:ascii="Palatino Linotype" w:hAnsi="Palatino Linotype"/>
        </w:rPr>
        <w:t xml:space="preserve"> no se encuentra facultado para pronunciarse acerca de la veracidad de la información remitida por los Sujetos Obligados.</w:t>
      </w:r>
    </w:p>
    <w:p w14:paraId="658057FE" w14:textId="77777777" w:rsidR="00993EDF" w:rsidRPr="00C24D48" w:rsidRDefault="00993EDF" w:rsidP="00993EDF">
      <w:pPr>
        <w:spacing w:line="360" w:lineRule="auto"/>
        <w:jc w:val="both"/>
        <w:rPr>
          <w:rFonts w:ascii="Palatino Linotype" w:hAnsi="Palatino Linotype" w:cs="Arial"/>
          <w:sz w:val="20"/>
          <w:szCs w:val="20"/>
        </w:rPr>
      </w:pPr>
    </w:p>
    <w:p w14:paraId="07BC9560" w14:textId="77777777" w:rsidR="00993EDF" w:rsidRPr="00C24D48" w:rsidRDefault="00993EDF" w:rsidP="00993EDF">
      <w:pPr>
        <w:spacing w:line="360" w:lineRule="auto"/>
        <w:jc w:val="both"/>
        <w:rPr>
          <w:rFonts w:ascii="Palatino Linotype" w:hAnsi="Palatino Linotype" w:cs="Arial"/>
        </w:rPr>
      </w:pPr>
      <w:r w:rsidRPr="00C24D48">
        <w:rPr>
          <w:rFonts w:ascii="Palatino Linotype" w:hAnsi="Palatino Linotype" w:cs="Arial"/>
        </w:rPr>
        <w:lastRenderedPageBreak/>
        <w:t xml:space="preserve">Para ello, sirve de sustento el criterio 31/10 emitido por el entonces Instituto Federal de Acceso a la Información y Protección de Datos, ahora Instituto Nacional de Acceso a la Información y Protección de Datos, el cual refiere: </w:t>
      </w:r>
    </w:p>
    <w:p w14:paraId="68BB3F24" w14:textId="77777777" w:rsidR="00993EDF" w:rsidRPr="00C24D48" w:rsidRDefault="00993EDF" w:rsidP="00993EDF">
      <w:pPr>
        <w:jc w:val="both"/>
        <w:rPr>
          <w:rFonts w:ascii="Palatino Linotype" w:hAnsi="Palatino Linotype" w:cs="Arial"/>
          <w:sz w:val="20"/>
          <w:szCs w:val="20"/>
        </w:rPr>
      </w:pPr>
    </w:p>
    <w:p w14:paraId="2B2838FE" w14:textId="2371792B" w:rsidR="00993EDF" w:rsidRPr="00993EDF" w:rsidRDefault="00993EDF" w:rsidP="00993EDF">
      <w:pPr>
        <w:tabs>
          <w:tab w:val="left" w:pos="8222"/>
        </w:tabs>
        <w:ind w:left="709" w:right="899"/>
        <w:jc w:val="both"/>
        <w:rPr>
          <w:rFonts w:ascii="Palatino Linotype" w:hAnsi="Palatino Linotype" w:cs="Arial"/>
          <w:b/>
          <w:i/>
          <w:sz w:val="22"/>
        </w:rPr>
      </w:pPr>
      <w:r w:rsidRPr="00C24D48">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C24D48">
        <w:rPr>
          <w:rFonts w:ascii="Palatino Linotype" w:hAnsi="Palatino Linotype" w:cs="Arial"/>
          <w:i/>
          <w:sz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C24D48">
        <w:rPr>
          <w:rFonts w:ascii="Palatino Linotype" w:hAnsi="Palatino Linotype" w:cs="Arial"/>
          <w:b/>
          <w:i/>
          <w:sz w:val="22"/>
        </w:rPr>
        <w:t>”</w:t>
      </w:r>
      <w:r w:rsidRPr="00C24D48">
        <w:rPr>
          <w:rFonts w:ascii="Palatino Linotype" w:hAnsi="Palatino Linotype" w:cs="Arial"/>
          <w:i/>
          <w:sz w:val="22"/>
        </w:rPr>
        <w:t xml:space="preserve"> (</w:t>
      </w:r>
      <w:proofErr w:type="gramStart"/>
      <w:r w:rsidRPr="00C24D48">
        <w:rPr>
          <w:rFonts w:ascii="Palatino Linotype" w:hAnsi="Palatino Linotype" w:cs="Arial"/>
          <w:i/>
          <w:sz w:val="22"/>
        </w:rPr>
        <w:t>sic</w:t>
      </w:r>
      <w:proofErr w:type="gramEnd"/>
      <w:r w:rsidRPr="00C24D48">
        <w:rPr>
          <w:rFonts w:ascii="Palatino Linotype" w:hAnsi="Palatino Linotype" w:cs="Arial"/>
          <w:i/>
          <w:sz w:val="22"/>
        </w:rPr>
        <w:t>)</w:t>
      </w:r>
    </w:p>
    <w:p w14:paraId="419C38DF" w14:textId="77777777" w:rsidR="00647061" w:rsidRDefault="00647061" w:rsidP="00647061">
      <w:pPr>
        <w:spacing w:line="360" w:lineRule="auto"/>
        <w:jc w:val="both"/>
        <w:rPr>
          <w:rFonts w:ascii="Palatino Linotype" w:eastAsia="Calibri" w:hAnsi="Palatino Linotype" w:cs="Arial"/>
          <w:color w:val="000000" w:themeColor="text1"/>
        </w:rPr>
      </w:pPr>
    </w:p>
    <w:p w14:paraId="6D07B491" w14:textId="1DA7BC00" w:rsidR="00647061" w:rsidRPr="00647061" w:rsidRDefault="00647061" w:rsidP="00647061">
      <w:pPr>
        <w:spacing w:line="360" w:lineRule="auto"/>
        <w:jc w:val="both"/>
        <w:rPr>
          <w:rFonts w:ascii="Palatino Linotype" w:eastAsia="Calibri" w:hAnsi="Palatino Linotype" w:cs="Arial"/>
          <w:color w:val="000000" w:themeColor="text1"/>
        </w:rPr>
      </w:pPr>
      <w:r w:rsidRPr="00647061">
        <w:rPr>
          <w:rFonts w:ascii="Palatino Linotype" w:eastAsia="Calibri" w:hAnsi="Palatino Linotype" w:cs="Arial"/>
          <w:color w:val="000000" w:themeColor="text1"/>
        </w:rPr>
        <w:t>Finalmente, respecto a las manifestaciones realizadas por EL RECURRENTE como razones o motivos de inconformidad, consistentes en “</w:t>
      </w:r>
      <w:r>
        <w:rPr>
          <w:rFonts w:ascii="Palatino Linotype" w:eastAsia="Calibri" w:hAnsi="Palatino Linotype" w:cs="Arial"/>
          <w:color w:val="000000" w:themeColor="text1"/>
        </w:rPr>
        <w:t xml:space="preserve">… no dice que líneas de que tipo si de agua, de luz o de que…”; </w:t>
      </w:r>
      <w:r w:rsidRPr="00647061">
        <w:rPr>
          <w:rFonts w:ascii="Palatino Linotype" w:eastAsia="Calibri" w:hAnsi="Palatino Linotype" w:cs="Arial"/>
          <w:color w:val="000000" w:themeColor="text1"/>
        </w:rPr>
        <w:t xml:space="preserve">al respecto es de señalar que este Instituto observa que se trata de una petición adicional o plus </w:t>
      </w:r>
      <w:proofErr w:type="spellStart"/>
      <w:r w:rsidRPr="00647061">
        <w:rPr>
          <w:rFonts w:ascii="Palatino Linotype" w:eastAsia="Calibri" w:hAnsi="Palatino Linotype" w:cs="Arial"/>
          <w:color w:val="000000" w:themeColor="text1"/>
        </w:rPr>
        <w:t>petitio</w:t>
      </w:r>
      <w:proofErr w:type="spellEnd"/>
      <w:r w:rsidRPr="00647061">
        <w:rPr>
          <w:rFonts w:ascii="Palatino Linotype" w:eastAsia="Calibri" w:hAnsi="Palatino Linotype" w:cs="Arial"/>
          <w:color w:val="000000" w:themeColor="text1"/>
        </w:rPr>
        <w:t xml:space="preserve">, en relación a la solicitud de información del RECURRENTE; esto es, adhiere información, que no había sido solicitada, pues de la solicitud primigenia únicamente se advierte que requirió información relacionada con los recibos de nómina.   </w:t>
      </w:r>
    </w:p>
    <w:p w14:paraId="5BA70C72" w14:textId="77777777" w:rsidR="00647061" w:rsidRPr="00647061" w:rsidRDefault="00647061" w:rsidP="00647061">
      <w:pPr>
        <w:spacing w:line="360" w:lineRule="auto"/>
        <w:jc w:val="both"/>
        <w:rPr>
          <w:rFonts w:ascii="Palatino Linotype" w:eastAsia="Calibri" w:hAnsi="Palatino Linotype" w:cs="Arial"/>
          <w:color w:val="000000" w:themeColor="text1"/>
        </w:rPr>
      </w:pPr>
    </w:p>
    <w:p w14:paraId="32954F4D" w14:textId="77777777" w:rsidR="00647061" w:rsidRPr="00647061" w:rsidRDefault="00647061" w:rsidP="00647061">
      <w:pPr>
        <w:spacing w:line="360" w:lineRule="auto"/>
        <w:jc w:val="both"/>
        <w:rPr>
          <w:rFonts w:ascii="Palatino Linotype" w:eastAsia="Calibri" w:hAnsi="Palatino Linotype" w:cs="Arial"/>
          <w:color w:val="000000" w:themeColor="text1"/>
        </w:rPr>
      </w:pPr>
      <w:r w:rsidRPr="00647061">
        <w:rPr>
          <w:rFonts w:ascii="Palatino Linotype" w:eastAsia="Calibri" w:hAnsi="Palatino Linotype" w:cs="Arial"/>
          <w:color w:val="000000" w:themeColor="text1"/>
        </w:rPr>
        <w:t xml:space="preserve">Asimismo, dichas manifestaciones al haber sido referidas a manera de razones o motivos de inconformidad, devienen parcialmente fundadas, esto es así, debido a que al ser argumentos que no se plantearon ante EL SUJETO OBLIGADO que respondió a la </w:t>
      </w:r>
      <w:r w:rsidRPr="00647061">
        <w:rPr>
          <w:rFonts w:ascii="Palatino Linotype" w:eastAsia="Calibri" w:hAnsi="Palatino Linotype" w:cs="Arial"/>
          <w:color w:val="000000" w:themeColor="text1"/>
        </w:rPr>
        <w:lastRenderedPageBreak/>
        <w:t>solicitud de acceso a la información, respuesta que constituye el acto reclamado; resultaría injustificado examinar tales argumentos pues éstos no fueron del conocimiento del SUJETO OBLIGADO, por lo que, no tuvo la oportunidad legal de analizarlas ni de pronunciarse sobre ellas; atento a ello, se dejan a salvo sus derechos a fin de que pueda formular nuevamente la solicitud de acceso a la información que requiera.</w:t>
      </w:r>
    </w:p>
    <w:p w14:paraId="2510074E" w14:textId="77777777" w:rsidR="00647061" w:rsidRPr="00647061" w:rsidRDefault="00647061" w:rsidP="00647061">
      <w:pPr>
        <w:spacing w:line="360" w:lineRule="auto"/>
        <w:jc w:val="both"/>
        <w:rPr>
          <w:rFonts w:ascii="Palatino Linotype" w:eastAsia="Calibri" w:hAnsi="Palatino Linotype" w:cs="Arial"/>
          <w:color w:val="000000" w:themeColor="text1"/>
        </w:rPr>
      </w:pPr>
    </w:p>
    <w:p w14:paraId="72F4F601" w14:textId="77777777" w:rsidR="00647061" w:rsidRPr="00647061" w:rsidRDefault="00647061" w:rsidP="00647061">
      <w:pPr>
        <w:spacing w:line="360" w:lineRule="auto"/>
        <w:ind w:left="851" w:right="907"/>
        <w:jc w:val="both"/>
        <w:rPr>
          <w:rFonts w:ascii="Palatino Linotype" w:eastAsia="Calibri" w:hAnsi="Palatino Linotype" w:cs="Arial"/>
          <w:color w:val="000000" w:themeColor="text1"/>
        </w:rPr>
      </w:pPr>
      <w:r w:rsidRPr="00647061">
        <w:rPr>
          <w:rFonts w:ascii="Palatino Linotype" w:eastAsia="Calibri" w:hAnsi="Palatino Linotype" w:cs="Arial"/>
          <w:color w:val="000000" w:themeColor="text1"/>
        </w:rPr>
        <w:t>Sirve de apoyo por analogía la siguiente tesis jurisprudencial número VI. 2º. A. J/7, publicada en el Semanario Judicial de la Federación y su gaceta, bajo el número de registro 178,788:</w:t>
      </w:r>
    </w:p>
    <w:p w14:paraId="3A8E66D2" w14:textId="77777777" w:rsidR="00647061" w:rsidRPr="00647061" w:rsidRDefault="00647061" w:rsidP="00647061">
      <w:pPr>
        <w:spacing w:line="360" w:lineRule="auto"/>
        <w:jc w:val="both"/>
        <w:rPr>
          <w:rFonts w:ascii="Palatino Linotype" w:eastAsia="Calibri" w:hAnsi="Palatino Linotype" w:cs="Arial"/>
          <w:color w:val="000000" w:themeColor="text1"/>
        </w:rPr>
      </w:pPr>
    </w:p>
    <w:p w14:paraId="3C895C8E" w14:textId="040B53D8" w:rsidR="00647061" w:rsidRPr="00647061" w:rsidRDefault="00647061" w:rsidP="00647061">
      <w:pPr>
        <w:spacing w:line="360" w:lineRule="auto"/>
        <w:ind w:left="851" w:right="907"/>
        <w:jc w:val="both"/>
        <w:rPr>
          <w:rFonts w:ascii="Palatino Linotype" w:eastAsia="Calibri" w:hAnsi="Palatino Linotype" w:cs="Arial"/>
          <w:color w:val="000000" w:themeColor="text1"/>
          <w:sz w:val="22"/>
          <w:szCs w:val="22"/>
        </w:rPr>
      </w:pPr>
      <w:r w:rsidRPr="00647061">
        <w:rPr>
          <w:rFonts w:ascii="Palatino Linotype" w:eastAsia="Calibri" w:hAnsi="Palatino Linotype" w:cs="Arial"/>
          <w:color w:val="000000" w:themeColor="text1"/>
          <w:sz w:val="22"/>
          <w:szCs w:val="22"/>
        </w:rPr>
        <w:t>“CONCEPTOS DE VIOLACIÓN EN EL AMPARO DIRECTO. INOPERANCIA DE LOS QUE INTRODUCEN CUESTIONAMIENTOS NOVEDOSOS QUE NO FUERON PLANTEADOS EN EL JUICIO NATURAL. Si en los conceptos de violación se formulan argumentos que no se plantearon ante la Sala Fiscal que dictó la sentencia que constituye el acto reclamado, los mismos son inoperantes, toda vez que resultaría injustificado examinar la constitucionalidad de la sentencia combatida a la luz de razonamientos que no conoció la autoridad responsable, pues como tales manifestaciones no formaron parte de la litis natural, la Sala no tuvo la oportunidad legal de analizarlas ni de pronunciarse sobre ellas.</w:t>
      </w:r>
    </w:p>
    <w:p w14:paraId="1D539315" w14:textId="77777777" w:rsidR="00647061" w:rsidRDefault="00647061" w:rsidP="00A617BC">
      <w:pPr>
        <w:spacing w:line="360" w:lineRule="auto"/>
        <w:jc w:val="both"/>
        <w:rPr>
          <w:rFonts w:ascii="Palatino Linotype" w:eastAsia="Calibri" w:hAnsi="Palatino Linotype" w:cs="Arial"/>
          <w:color w:val="000000" w:themeColor="text1"/>
        </w:rPr>
      </w:pPr>
    </w:p>
    <w:p w14:paraId="03DCBF96" w14:textId="471D37F3" w:rsidR="00E87734" w:rsidRDefault="00177BA7" w:rsidP="00A617BC">
      <w:pPr>
        <w:spacing w:line="360" w:lineRule="auto"/>
        <w:jc w:val="both"/>
        <w:rPr>
          <w:rFonts w:ascii="Palatino Linotype" w:eastAsia="Calibri" w:hAnsi="Palatino Linotype" w:cs="Arial"/>
          <w:color w:val="000000" w:themeColor="text1"/>
        </w:rPr>
      </w:pPr>
      <w:r w:rsidRPr="006F0A66">
        <w:rPr>
          <w:rFonts w:ascii="Palatino Linotype" w:eastAsia="Calibri" w:hAnsi="Palatino Linotype" w:cs="Arial"/>
          <w:color w:val="000000" w:themeColor="text1"/>
        </w:rPr>
        <w:t xml:space="preserve">Así, con fundamento en lo previsto en los artículos 5, párrafos </w:t>
      </w:r>
      <w:r w:rsidRPr="006F0A66">
        <w:rPr>
          <w:rFonts w:ascii="Palatino Linotype" w:hAnsi="Palatino Linotype"/>
          <w:color w:val="000000" w:themeColor="text1"/>
        </w:rPr>
        <w:t>trigésimo, trigésimo primero y trigésimo segundo</w:t>
      </w:r>
      <w:r w:rsidRPr="006F0A66">
        <w:rPr>
          <w:rFonts w:ascii="Palatino Linotype" w:eastAsia="Calibri" w:hAnsi="Palatino Linotype" w:cs="Arial"/>
          <w:color w:val="000000" w:themeColor="text1"/>
        </w:rPr>
        <w:t xml:space="preserve">, fracciones IV y V de la Constitución Política del Estado Libre y Soberano de México; </w:t>
      </w:r>
      <w:r w:rsidRPr="006F0A66">
        <w:rPr>
          <w:rFonts w:ascii="Palatino Linotype" w:hAnsi="Palatino Linotype" w:cs="Arial"/>
          <w:color w:val="000000" w:themeColor="text1"/>
        </w:rPr>
        <w:t xml:space="preserve">2, fracción II, 29, 36, fracciones I y II, 176, 178, 179, 181, 185 </w:t>
      </w:r>
      <w:r w:rsidRPr="006F0A66">
        <w:rPr>
          <w:rFonts w:ascii="Palatino Linotype" w:hAnsi="Palatino Linotype" w:cs="Arial"/>
          <w:color w:val="000000" w:themeColor="text1"/>
        </w:rPr>
        <w:lastRenderedPageBreak/>
        <w:t>fracción I, 186 y 188</w:t>
      </w:r>
      <w:r w:rsidRPr="006F0A66">
        <w:rPr>
          <w:rFonts w:ascii="Palatino Linotype" w:eastAsia="Calibri" w:hAnsi="Palatino Linotype" w:cs="Arial"/>
          <w:color w:val="000000" w:themeColor="text1"/>
        </w:rPr>
        <w:t xml:space="preserve"> de la Ley de Transparencia y Acceso a la Información Pública del Estado de México y Municipios, este Pleno: </w:t>
      </w:r>
      <w:bookmarkEnd w:id="1"/>
    </w:p>
    <w:p w14:paraId="46460D44" w14:textId="77777777" w:rsidR="00CA4911" w:rsidRDefault="00CA4911" w:rsidP="00647061">
      <w:pPr>
        <w:rPr>
          <w:rFonts w:ascii="Palatino Linotype" w:hAnsi="Palatino Linotype"/>
          <w:b/>
          <w:color w:val="000000" w:themeColor="text1"/>
          <w:spacing w:val="60"/>
          <w:sz w:val="28"/>
          <w:szCs w:val="28"/>
        </w:rPr>
      </w:pPr>
    </w:p>
    <w:p w14:paraId="7FD08FB9" w14:textId="77777777" w:rsidR="000171D8" w:rsidRPr="006F0A66" w:rsidRDefault="000171D8" w:rsidP="00323C71">
      <w:pPr>
        <w:jc w:val="center"/>
        <w:rPr>
          <w:rFonts w:ascii="Palatino Linotype" w:hAnsi="Palatino Linotype"/>
          <w:b/>
          <w:color w:val="000000" w:themeColor="text1"/>
          <w:spacing w:val="60"/>
          <w:sz w:val="28"/>
          <w:szCs w:val="28"/>
        </w:rPr>
      </w:pPr>
      <w:r w:rsidRPr="006F0A66">
        <w:rPr>
          <w:rFonts w:ascii="Palatino Linotype" w:hAnsi="Palatino Linotype"/>
          <w:b/>
          <w:color w:val="000000" w:themeColor="text1"/>
          <w:spacing w:val="60"/>
          <w:sz w:val="28"/>
          <w:szCs w:val="28"/>
        </w:rPr>
        <w:t>RESUELVE</w:t>
      </w:r>
    </w:p>
    <w:p w14:paraId="124A5727" w14:textId="77777777" w:rsidR="00323C71" w:rsidRPr="006F0A66" w:rsidRDefault="00323C71" w:rsidP="00323C71">
      <w:pPr>
        <w:jc w:val="center"/>
        <w:rPr>
          <w:rFonts w:ascii="Palatino Linotype" w:hAnsi="Palatino Linotype"/>
          <w:b/>
          <w:color w:val="000000" w:themeColor="text1"/>
          <w:spacing w:val="60"/>
          <w:sz w:val="28"/>
          <w:szCs w:val="28"/>
        </w:rPr>
      </w:pPr>
    </w:p>
    <w:p w14:paraId="7A9FD347" w14:textId="3A2DCB08" w:rsidR="00D561B5" w:rsidRPr="00AB4F1C" w:rsidRDefault="00D561B5" w:rsidP="00D561B5">
      <w:pPr>
        <w:widowControl w:val="0"/>
        <w:tabs>
          <w:tab w:val="left" w:pos="1701"/>
        </w:tabs>
        <w:autoSpaceDE w:val="0"/>
        <w:autoSpaceDN w:val="0"/>
        <w:adjustRightInd w:val="0"/>
        <w:spacing w:line="360" w:lineRule="auto"/>
        <w:jc w:val="both"/>
        <w:rPr>
          <w:rFonts w:ascii="Palatino Linotype" w:hAnsi="Palatino Linotype" w:cs="Arial"/>
          <w:color w:val="000000" w:themeColor="text1"/>
        </w:rPr>
      </w:pPr>
      <w:r w:rsidRPr="00AB4F1C">
        <w:rPr>
          <w:rFonts w:ascii="Palatino Linotype" w:hAnsi="Palatino Linotype" w:cs="Arial"/>
          <w:b/>
          <w:color w:val="000000" w:themeColor="text1"/>
          <w:sz w:val="28"/>
        </w:rPr>
        <w:t>PRIMERO</w:t>
      </w:r>
      <w:r w:rsidRPr="00AB4F1C">
        <w:rPr>
          <w:rFonts w:ascii="Palatino Linotype" w:hAnsi="Palatino Linotype" w:cs="Arial"/>
          <w:b/>
          <w:color w:val="000000" w:themeColor="text1"/>
        </w:rPr>
        <w:t xml:space="preserve">. </w:t>
      </w:r>
      <w:r w:rsidRPr="00AB4F1C">
        <w:rPr>
          <w:rFonts w:ascii="Palatino Linotype" w:hAnsi="Palatino Linotype" w:cs="Arial"/>
          <w:color w:val="000000" w:themeColor="text1"/>
        </w:rPr>
        <w:t>Se</w:t>
      </w:r>
      <w:r w:rsidRPr="00AB4F1C">
        <w:rPr>
          <w:rFonts w:ascii="Palatino Linotype" w:hAnsi="Palatino Linotype" w:cs="Arial"/>
          <w:b/>
          <w:color w:val="000000" w:themeColor="text1"/>
        </w:rPr>
        <w:t xml:space="preserve"> SOBRESEE </w:t>
      </w:r>
      <w:r w:rsidRPr="00AB4F1C">
        <w:rPr>
          <w:rFonts w:ascii="Palatino Linotype" w:hAnsi="Palatino Linotype" w:cs="Arial"/>
          <w:color w:val="000000" w:themeColor="text1"/>
        </w:rPr>
        <w:t xml:space="preserve">el </w:t>
      </w:r>
      <w:r>
        <w:rPr>
          <w:rFonts w:ascii="Palatino Linotype" w:hAnsi="Palatino Linotype" w:cs="Arial"/>
          <w:color w:val="222222"/>
          <w:shd w:val="clear" w:color="auto" w:fill="FFFFFF"/>
        </w:rPr>
        <w:t>R</w:t>
      </w:r>
      <w:r w:rsidRPr="00AB4F1C">
        <w:rPr>
          <w:rFonts w:ascii="Palatino Linotype" w:hAnsi="Palatino Linotype" w:cs="Arial"/>
          <w:color w:val="222222"/>
          <w:shd w:val="clear" w:color="auto" w:fill="FFFFFF"/>
        </w:rPr>
        <w:t>ecurso</w:t>
      </w:r>
      <w:r w:rsidRPr="00AB4F1C">
        <w:rPr>
          <w:rFonts w:ascii="Palatino Linotype" w:hAnsi="Palatino Linotype" w:cs="Arial"/>
          <w:color w:val="000000" w:themeColor="text1"/>
        </w:rPr>
        <w:t xml:space="preserve"> de </w:t>
      </w:r>
      <w:r>
        <w:rPr>
          <w:rFonts w:ascii="Palatino Linotype" w:hAnsi="Palatino Linotype"/>
          <w:lang w:eastAsia="es-ES_tradnl"/>
        </w:rPr>
        <w:t>R</w:t>
      </w:r>
      <w:r w:rsidRPr="00AB4F1C">
        <w:rPr>
          <w:rFonts w:ascii="Palatino Linotype" w:hAnsi="Palatino Linotype"/>
          <w:lang w:eastAsia="es-ES_tradnl"/>
        </w:rPr>
        <w:t>evisión</w:t>
      </w:r>
      <w:r w:rsidRPr="00AB4F1C">
        <w:rPr>
          <w:rFonts w:ascii="Palatino Linotype" w:hAnsi="Palatino Linotype" w:cs="Arial"/>
          <w:color w:val="000000" w:themeColor="text1"/>
        </w:rPr>
        <w:t xml:space="preserve"> número</w:t>
      </w:r>
      <w:r w:rsidRPr="00AB4F1C">
        <w:rPr>
          <w:rFonts w:ascii="Palatino Linotype" w:hAnsi="Palatino Linotype" w:cs="Arial"/>
          <w:b/>
          <w:color w:val="000000" w:themeColor="text1"/>
        </w:rPr>
        <w:t xml:space="preserve"> </w:t>
      </w:r>
      <w:r w:rsidR="0018730B">
        <w:rPr>
          <w:rFonts w:ascii="Palatino Linotype" w:hAnsi="Palatino Linotype"/>
          <w:b/>
          <w:color w:val="000000" w:themeColor="text1"/>
        </w:rPr>
        <w:t>013942</w:t>
      </w:r>
      <w:r>
        <w:rPr>
          <w:rFonts w:ascii="Palatino Linotype" w:hAnsi="Palatino Linotype"/>
          <w:b/>
          <w:color w:val="000000" w:themeColor="text1"/>
        </w:rPr>
        <w:t>/INFOEM/IP/RR/2022</w:t>
      </w:r>
      <w:r w:rsidRPr="00AB4F1C">
        <w:rPr>
          <w:rFonts w:ascii="Palatino Linotype" w:hAnsi="Palatino Linotype" w:cs="Arial"/>
          <w:color w:val="000000" w:themeColor="text1"/>
        </w:rPr>
        <w:t>,</w:t>
      </w:r>
      <w:r w:rsidR="006251EF">
        <w:rPr>
          <w:rFonts w:ascii="Palatino Linotype" w:hAnsi="Palatino Linotype" w:cs="Arial"/>
          <w:color w:val="000000" w:themeColor="text1"/>
        </w:rPr>
        <w:t xml:space="preserve"> </w:t>
      </w:r>
      <w:r w:rsidR="00407729">
        <w:rPr>
          <w:rFonts w:ascii="Palatino Linotype" w:hAnsi="Palatino Linotype" w:cs="Arial"/>
          <w:color w:val="000000" w:themeColor="text1"/>
        </w:rPr>
        <w:t xml:space="preserve">por actualizarse la causal establecida en el </w:t>
      </w:r>
      <w:r w:rsidR="00407729" w:rsidRPr="004B5FAA">
        <w:rPr>
          <w:rFonts w:ascii="Palatino Linotype" w:hAnsi="Palatino Linotype" w:cs="Arial"/>
          <w:b/>
          <w:color w:val="000000" w:themeColor="text1"/>
        </w:rPr>
        <w:t>ar</w:t>
      </w:r>
      <w:r w:rsidR="004E7E3B" w:rsidRPr="004B5FAA">
        <w:rPr>
          <w:rFonts w:ascii="Palatino Linotype" w:hAnsi="Palatino Linotype" w:cs="Arial"/>
          <w:b/>
          <w:color w:val="000000" w:themeColor="text1"/>
        </w:rPr>
        <w:t xml:space="preserve">tículo 192 </w:t>
      </w:r>
      <w:r w:rsidR="004E7E3B" w:rsidRPr="00F5213B">
        <w:rPr>
          <w:rFonts w:ascii="Palatino Linotype" w:hAnsi="Palatino Linotype" w:cs="Arial"/>
          <w:color w:val="000000" w:themeColor="text1"/>
        </w:rPr>
        <w:t>fracción III</w:t>
      </w:r>
      <w:r w:rsidR="00746EEB" w:rsidRPr="00F5213B">
        <w:rPr>
          <w:rFonts w:ascii="Palatino Linotype" w:hAnsi="Palatino Linotype" w:cs="Arial"/>
          <w:color w:val="000000" w:themeColor="text1"/>
        </w:rPr>
        <w:t xml:space="preserve">, de la Ley de Transparencia y Acceso a la Información Pública del Estado de México y Municipios, porque al modificar la respuesta el Recurso de Revisión quedo sin materia, </w:t>
      </w:r>
      <w:r w:rsidRPr="00F5213B">
        <w:rPr>
          <w:rFonts w:ascii="Palatino Linotype" w:hAnsi="Palatino Linotype" w:cs="Arial"/>
          <w:color w:val="000000" w:themeColor="text1"/>
        </w:rPr>
        <w:t xml:space="preserve">en </w:t>
      </w:r>
      <w:r w:rsidRPr="00F5213B">
        <w:rPr>
          <w:rFonts w:ascii="Palatino Linotype" w:hAnsi="Palatino Linotype"/>
          <w:lang w:eastAsia="es-ES_tradnl"/>
        </w:rPr>
        <w:t>términos</w:t>
      </w:r>
      <w:r w:rsidRPr="00F5213B">
        <w:rPr>
          <w:rFonts w:ascii="Palatino Linotype" w:hAnsi="Palatino Linotype" w:cs="Arial"/>
          <w:color w:val="000000" w:themeColor="text1"/>
        </w:rPr>
        <w:t xml:space="preserve"> del Considerando</w:t>
      </w:r>
      <w:r w:rsidRPr="00F5213B">
        <w:rPr>
          <w:rFonts w:ascii="Palatino Linotype" w:hAnsi="Palatino Linotype" w:cs="Arial"/>
          <w:b/>
          <w:color w:val="000000" w:themeColor="text1"/>
        </w:rPr>
        <w:t xml:space="preserve"> QUINTO </w:t>
      </w:r>
      <w:r w:rsidRPr="00F5213B">
        <w:rPr>
          <w:rFonts w:ascii="Palatino Linotype" w:hAnsi="Palatino Linotype" w:cs="Arial"/>
          <w:color w:val="000000" w:themeColor="text1"/>
        </w:rPr>
        <w:t>de la presente resolución.</w:t>
      </w:r>
    </w:p>
    <w:p w14:paraId="4F6F55EB" w14:textId="77777777" w:rsidR="00D561B5" w:rsidRDefault="00D561B5" w:rsidP="00D561B5">
      <w:pPr>
        <w:widowControl w:val="0"/>
        <w:tabs>
          <w:tab w:val="left" w:pos="1701"/>
        </w:tabs>
        <w:autoSpaceDE w:val="0"/>
        <w:autoSpaceDN w:val="0"/>
        <w:adjustRightInd w:val="0"/>
        <w:spacing w:line="360" w:lineRule="auto"/>
        <w:jc w:val="both"/>
        <w:rPr>
          <w:rFonts w:ascii="Palatino Linotype" w:hAnsi="Palatino Linotype" w:cs="Arial"/>
          <w:color w:val="000000" w:themeColor="text1"/>
        </w:rPr>
      </w:pPr>
    </w:p>
    <w:p w14:paraId="254DCC45" w14:textId="77777777" w:rsidR="00D561B5" w:rsidRPr="00AB4F1C" w:rsidRDefault="00D561B5" w:rsidP="00D561B5">
      <w:pPr>
        <w:widowControl w:val="0"/>
        <w:tabs>
          <w:tab w:val="left" w:pos="1701"/>
        </w:tabs>
        <w:autoSpaceDE w:val="0"/>
        <w:autoSpaceDN w:val="0"/>
        <w:adjustRightInd w:val="0"/>
        <w:spacing w:line="360" w:lineRule="auto"/>
        <w:jc w:val="both"/>
        <w:rPr>
          <w:rFonts w:ascii="Palatino Linotype" w:hAnsi="Palatino Linotype" w:cs="Arial"/>
          <w:color w:val="222222"/>
          <w:shd w:val="clear" w:color="auto" w:fill="FFFFFF"/>
        </w:rPr>
      </w:pPr>
      <w:r w:rsidRPr="00AB4F1C">
        <w:rPr>
          <w:rFonts w:ascii="Palatino Linotype" w:hAnsi="Palatino Linotype" w:cs="Arial"/>
          <w:b/>
          <w:color w:val="000000" w:themeColor="text1"/>
          <w:sz w:val="28"/>
        </w:rPr>
        <w:t>SEGUNDO</w:t>
      </w:r>
      <w:r w:rsidRPr="00AB4F1C">
        <w:rPr>
          <w:rFonts w:ascii="Palatino Linotype" w:hAnsi="Palatino Linotype" w:cs="Arial"/>
          <w:b/>
          <w:color w:val="222222"/>
          <w:shd w:val="clear" w:color="auto" w:fill="FFFFFF"/>
        </w:rPr>
        <w:t xml:space="preserve">. Notifíquese </w:t>
      </w:r>
      <w:r>
        <w:rPr>
          <w:rFonts w:ascii="Palatino Linotype" w:hAnsi="Palatino Linotype" w:cs="Arial"/>
          <w:color w:val="222222"/>
          <w:shd w:val="clear" w:color="auto" w:fill="FFFFFF"/>
        </w:rPr>
        <w:t xml:space="preserve">a la </w:t>
      </w:r>
      <w:r w:rsidRPr="00AB4F1C">
        <w:rPr>
          <w:rFonts w:ascii="Palatino Linotype" w:hAnsi="Palatino Linotype"/>
          <w:lang w:eastAsia="es-ES_tradnl"/>
        </w:rPr>
        <w:t>Titular</w:t>
      </w:r>
      <w:r w:rsidRPr="00AB4F1C">
        <w:rPr>
          <w:rFonts w:ascii="Palatino Linotype" w:hAnsi="Palatino Linotype" w:cs="Arial"/>
          <w:color w:val="222222"/>
          <w:shd w:val="clear" w:color="auto" w:fill="FFFFFF"/>
        </w:rPr>
        <w:t xml:space="preserve"> de la Unidad de Transparencia de</w:t>
      </w:r>
      <w:r>
        <w:rPr>
          <w:rFonts w:ascii="Palatino Linotype" w:hAnsi="Palatino Linotype" w:cs="Arial"/>
          <w:color w:val="222222"/>
          <w:shd w:val="clear" w:color="auto" w:fill="FFFFFF"/>
        </w:rPr>
        <w:t xml:space="preserve"> </w:t>
      </w:r>
      <w:r>
        <w:rPr>
          <w:rFonts w:ascii="Palatino Linotype" w:hAnsi="Palatino Linotype"/>
          <w:b/>
        </w:rPr>
        <w:t>EL SUJETO OBLIGADO</w:t>
      </w:r>
      <w:r w:rsidRPr="00AB4F1C">
        <w:rPr>
          <w:rFonts w:ascii="Palatino Linotype" w:hAnsi="Palatino Linotype" w:cs="Arial"/>
          <w:color w:val="222222"/>
          <w:shd w:val="clear" w:color="auto" w:fill="FFFFFF"/>
        </w:rPr>
        <w:t xml:space="preserve"> para su conocimiento. </w:t>
      </w:r>
    </w:p>
    <w:p w14:paraId="34A2329B" w14:textId="77777777" w:rsidR="00D561B5" w:rsidRPr="00AB4F1C" w:rsidRDefault="00D561B5" w:rsidP="00D561B5">
      <w:pPr>
        <w:widowControl w:val="0"/>
        <w:tabs>
          <w:tab w:val="left" w:pos="1701"/>
        </w:tabs>
        <w:autoSpaceDE w:val="0"/>
        <w:autoSpaceDN w:val="0"/>
        <w:adjustRightInd w:val="0"/>
        <w:spacing w:line="360" w:lineRule="auto"/>
        <w:jc w:val="both"/>
        <w:rPr>
          <w:rFonts w:ascii="Palatino Linotype" w:hAnsi="Palatino Linotype" w:cs="Arial"/>
        </w:rPr>
      </w:pPr>
    </w:p>
    <w:p w14:paraId="4D7C3F59" w14:textId="1AFC3F1E" w:rsidR="00D561B5" w:rsidRPr="003C77ED" w:rsidRDefault="00D561B5" w:rsidP="00D561B5">
      <w:pPr>
        <w:widowControl w:val="0"/>
        <w:tabs>
          <w:tab w:val="left" w:pos="1701"/>
        </w:tabs>
        <w:autoSpaceDE w:val="0"/>
        <w:autoSpaceDN w:val="0"/>
        <w:adjustRightInd w:val="0"/>
        <w:spacing w:line="360" w:lineRule="auto"/>
        <w:jc w:val="both"/>
        <w:rPr>
          <w:rFonts w:ascii="Palatino Linotype" w:eastAsiaTheme="minorEastAsia" w:hAnsi="Palatino Linotype"/>
          <w:b/>
          <w:color w:val="222222"/>
          <w:lang w:eastAsia="es-ES_tradnl"/>
        </w:rPr>
      </w:pPr>
      <w:r w:rsidRPr="00AB4F1C">
        <w:rPr>
          <w:rFonts w:ascii="Palatino Linotype" w:hAnsi="Palatino Linotype" w:cs="Arial"/>
          <w:b/>
          <w:color w:val="000000" w:themeColor="text1"/>
          <w:sz w:val="28"/>
        </w:rPr>
        <w:t>TERCERO</w:t>
      </w:r>
      <w:r w:rsidRPr="00AB4F1C">
        <w:rPr>
          <w:rFonts w:ascii="Palatino Linotype" w:eastAsiaTheme="minorEastAsia" w:hAnsi="Palatino Linotype"/>
          <w:color w:val="222222"/>
          <w:lang w:eastAsia="es-ES_tradnl"/>
        </w:rPr>
        <w:t xml:space="preserve">. </w:t>
      </w:r>
      <w:r w:rsidRPr="00AB4F1C">
        <w:rPr>
          <w:rFonts w:ascii="Palatino Linotype" w:eastAsiaTheme="minorEastAsia" w:hAnsi="Palatino Linotype"/>
          <w:b/>
          <w:color w:val="222222"/>
          <w:lang w:eastAsia="es-ES_tradnl"/>
        </w:rPr>
        <w:t>Notifíquese</w:t>
      </w:r>
      <w:r w:rsidRPr="00AB4F1C">
        <w:rPr>
          <w:rFonts w:ascii="Palatino Linotype" w:eastAsiaTheme="minorEastAsia" w:hAnsi="Palatino Linotype"/>
          <w:color w:val="222222"/>
          <w:lang w:eastAsia="es-ES_tradnl"/>
        </w:rPr>
        <w:t xml:space="preserve"> a</w:t>
      </w:r>
      <w:r>
        <w:rPr>
          <w:rFonts w:ascii="Palatino Linotype" w:eastAsiaTheme="minorEastAsia" w:hAnsi="Palatino Linotype"/>
          <w:color w:val="222222"/>
          <w:lang w:eastAsia="es-ES_tradnl"/>
        </w:rPr>
        <w:t xml:space="preserve"> </w:t>
      </w:r>
      <w:r>
        <w:rPr>
          <w:rFonts w:ascii="Palatino Linotype" w:eastAsiaTheme="minorEastAsia" w:hAnsi="Palatino Linotype"/>
          <w:b/>
          <w:color w:val="222222"/>
          <w:lang w:eastAsia="es-ES_tradnl"/>
        </w:rPr>
        <w:t xml:space="preserve">EL </w:t>
      </w:r>
      <w:r w:rsidRPr="00AB4F1C">
        <w:rPr>
          <w:rFonts w:ascii="Palatino Linotype" w:hAnsi="Palatino Linotype"/>
          <w:b/>
        </w:rPr>
        <w:t>RECURRENTE</w:t>
      </w:r>
      <w:r w:rsidRPr="00AB4F1C">
        <w:rPr>
          <w:rFonts w:ascii="Palatino Linotype" w:eastAsiaTheme="minorEastAsia" w:hAnsi="Palatino Linotype"/>
          <w:color w:val="222222"/>
          <w:lang w:eastAsia="es-ES_tradnl"/>
        </w:rPr>
        <w:t xml:space="preserve"> la </w:t>
      </w:r>
      <w:r w:rsidRPr="00AB4F1C">
        <w:rPr>
          <w:rFonts w:ascii="Palatino Linotype" w:hAnsi="Palatino Linotype"/>
          <w:lang w:eastAsia="es-ES_tradnl"/>
        </w:rPr>
        <w:t>presente</w:t>
      </w:r>
      <w:r>
        <w:rPr>
          <w:rFonts w:ascii="Palatino Linotype" w:eastAsiaTheme="minorEastAsia" w:hAnsi="Palatino Linotype"/>
          <w:color w:val="222222"/>
          <w:lang w:eastAsia="es-ES_tradnl"/>
        </w:rPr>
        <w:t xml:space="preserve"> resolución vía Sistema de Acceso a la Información Mexiquense </w:t>
      </w:r>
      <w:r>
        <w:rPr>
          <w:rFonts w:ascii="Palatino Linotype" w:eastAsiaTheme="minorEastAsia" w:hAnsi="Palatino Linotype"/>
          <w:b/>
          <w:color w:val="222222"/>
          <w:lang w:eastAsia="es-ES_tradnl"/>
        </w:rPr>
        <w:t>SAIMEX.</w:t>
      </w:r>
    </w:p>
    <w:p w14:paraId="32970769" w14:textId="77777777" w:rsidR="00D561B5" w:rsidRPr="00AB4F1C" w:rsidRDefault="00D561B5" w:rsidP="00D561B5">
      <w:pPr>
        <w:widowControl w:val="0"/>
        <w:tabs>
          <w:tab w:val="left" w:pos="1701"/>
        </w:tabs>
        <w:autoSpaceDE w:val="0"/>
        <w:autoSpaceDN w:val="0"/>
        <w:adjustRightInd w:val="0"/>
        <w:spacing w:line="360" w:lineRule="auto"/>
        <w:jc w:val="both"/>
        <w:rPr>
          <w:rFonts w:ascii="Palatino Linotype" w:eastAsiaTheme="minorEastAsia" w:hAnsi="Palatino Linotype"/>
          <w:color w:val="222222"/>
          <w:lang w:eastAsia="es-ES_tradnl"/>
        </w:rPr>
      </w:pPr>
    </w:p>
    <w:p w14:paraId="670404F5" w14:textId="29EC1317" w:rsidR="00D561B5" w:rsidRDefault="00D561B5" w:rsidP="00D561B5">
      <w:pPr>
        <w:widowControl w:val="0"/>
        <w:tabs>
          <w:tab w:val="left" w:pos="1701"/>
        </w:tabs>
        <w:autoSpaceDE w:val="0"/>
        <w:autoSpaceDN w:val="0"/>
        <w:adjustRightInd w:val="0"/>
        <w:spacing w:line="360" w:lineRule="auto"/>
        <w:jc w:val="both"/>
        <w:rPr>
          <w:rFonts w:ascii="Palatino Linotype" w:eastAsiaTheme="minorEastAsia" w:hAnsi="Palatino Linotype"/>
          <w:color w:val="222222"/>
          <w:lang w:eastAsia="es-ES_tradnl"/>
        </w:rPr>
      </w:pPr>
      <w:r w:rsidRPr="00AB4F1C">
        <w:rPr>
          <w:rFonts w:ascii="Palatino Linotype" w:hAnsi="Palatino Linotype" w:cs="Arial"/>
          <w:b/>
          <w:color w:val="000000" w:themeColor="text1"/>
          <w:sz w:val="28"/>
        </w:rPr>
        <w:t>CUARTO</w:t>
      </w:r>
      <w:r w:rsidRPr="00AB4F1C">
        <w:rPr>
          <w:rFonts w:ascii="Palatino Linotype" w:eastAsiaTheme="minorEastAsia" w:hAnsi="Palatino Linotype"/>
          <w:b/>
          <w:color w:val="222222"/>
          <w:lang w:eastAsia="es-ES_tradnl"/>
        </w:rPr>
        <w:t>. Hágase del conocimiento</w:t>
      </w:r>
      <w:r w:rsidRPr="00AB4F1C">
        <w:rPr>
          <w:rFonts w:ascii="Palatino Linotype" w:eastAsiaTheme="minorEastAsia" w:hAnsi="Palatino Linotype"/>
          <w:color w:val="222222"/>
          <w:lang w:eastAsia="es-ES_tradnl"/>
        </w:rPr>
        <w:t xml:space="preserve"> a</w:t>
      </w:r>
      <w:r>
        <w:rPr>
          <w:rFonts w:ascii="Palatino Linotype" w:eastAsiaTheme="minorEastAsia" w:hAnsi="Palatino Linotype"/>
          <w:color w:val="222222"/>
          <w:lang w:eastAsia="es-ES_tradnl"/>
        </w:rPr>
        <w:t xml:space="preserve"> </w:t>
      </w:r>
      <w:r>
        <w:rPr>
          <w:rFonts w:ascii="Palatino Linotype" w:eastAsiaTheme="minorEastAsia" w:hAnsi="Palatino Linotype"/>
          <w:b/>
          <w:color w:val="222222"/>
          <w:lang w:eastAsia="es-ES_tradnl"/>
        </w:rPr>
        <w:t xml:space="preserve">EL </w:t>
      </w:r>
      <w:r w:rsidRPr="00AB4F1C">
        <w:rPr>
          <w:rFonts w:ascii="Palatino Linotype" w:hAnsi="Palatino Linotype"/>
          <w:b/>
        </w:rPr>
        <w:t>RECURRENTE</w:t>
      </w:r>
      <w:r w:rsidRPr="00AB4F1C">
        <w:rPr>
          <w:rFonts w:ascii="Palatino Linotype" w:eastAsiaTheme="minorEastAsia" w:hAnsi="Palatino Linotype"/>
          <w:color w:val="222222"/>
          <w:lang w:eastAsia="es-ES_tradnl"/>
        </w:rPr>
        <w:t xml:space="preserve"> que de </w:t>
      </w:r>
      <w:r w:rsidRPr="00AB4F1C">
        <w:rPr>
          <w:rFonts w:ascii="Palatino Linotype" w:hAnsi="Palatino Linotype"/>
          <w:lang w:eastAsia="es-ES_tradnl"/>
        </w:rPr>
        <w:t>conformidad</w:t>
      </w:r>
      <w:r w:rsidRPr="00AB4F1C">
        <w:rPr>
          <w:rFonts w:ascii="Palatino Linotype" w:eastAsiaTheme="minorEastAsia" w:hAnsi="Palatino Linotype"/>
          <w:color w:val="222222"/>
          <w:lang w:eastAsia="es-ES_tradnl"/>
        </w:rPr>
        <w:t xml:space="preserve"> con lo establecido en el artículo 196 de la Ley de Transparencia y Acceso a la Información Pública del Estado de México y Municipios, podrá impugnarla vía Juicio de Amparo en los términos de las leyes aplicables.</w:t>
      </w:r>
    </w:p>
    <w:p w14:paraId="10027FD5" w14:textId="4AEEC214" w:rsidR="0088692F" w:rsidRDefault="0088692F" w:rsidP="00D561B5">
      <w:pPr>
        <w:widowControl w:val="0"/>
        <w:tabs>
          <w:tab w:val="left" w:pos="1701"/>
        </w:tabs>
        <w:autoSpaceDE w:val="0"/>
        <w:autoSpaceDN w:val="0"/>
        <w:adjustRightInd w:val="0"/>
        <w:spacing w:line="360" w:lineRule="auto"/>
        <w:jc w:val="both"/>
        <w:rPr>
          <w:rFonts w:ascii="Palatino Linotype" w:eastAsiaTheme="minorEastAsia" w:hAnsi="Palatino Linotype"/>
          <w:color w:val="222222"/>
          <w:lang w:eastAsia="es-ES_tradnl"/>
        </w:rPr>
      </w:pPr>
    </w:p>
    <w:p w14:paraId="44985FD8" w14:textId="77777777" w:rsidR="0088692F" w:rsidRDefault="0088692F" w:rsidP="00D561B5">
      <w:pPr>
        <w:widowControl w:val="0"/>
        <w:tabs>
          <w:tab w:val="left" w:pos="1701"/>
        </w:tabs>
        <w:autoSpaceDE w:val="0"/>
        <w:autoSpaceDN w:val="0"/>
        <w:adjustRightInd w:val="0"/>
        <w:spacing w:line="360" w:lineRule="auto"/>
        <w:jc w:val="both"/>
        <w:rPr>
          <w:rFonts w:ascii="Palatino Linotype" w:eastAsiaTheme="minorEastAsia" w:hAnsi="Palatino Linotype"/>
          <w:color w:val="222222"/>
          <w:lang w:eastAsia="es-ES_tradnl"/>
        </w:rPr>
      </w:pPr>
    </w:p>
    <w:p w14:paraId="0DC6B9E7" w14:textId="77777777" w:rsidR="0022582E" w:rsidRDefault="0022582E" w:rsidP="00323C71">
      <w:pPr>
        <w:widowControl w:val="0"/>
        <w:tabs>
          <w:tab w:val="left" w:pos="1701"/>
        </w:tabs>
        <w:autoSpaceDE w:val="0"/>
        <w:autoSpaceDN w:val="0"/>
        <w:adjustRightInd w:val="0"/>
        <w:spacing w:line="360" w:lineRule="auto"/>
        <w:ind w:right="49"/>
        <w:jc w:val="both"/>
        <w:rPr>
          <w:rFonts w:ascii="Palatino Linotype" w:hAnsi="Palatino Linotype"/>
          <w:szCs w:val="17"/>
          <w:lang w:eastAsia="es-ES_tradnl"/>
        </w:rPr>
      </w:pPr>
    </w:p>
    <w:p w14:paraId="755E1FFC" w14:textId="068EA505" w:rsidR="00177BA7" w:rsidRPr="00AD08C1" w:rsidRDefault="00177BA7" w:rsidP="00177BA7">
      <w:pPr>
        <w:widowControl w:val="0"/>
        <w:autoSpaceDE w:val="0"/>
        <w:autoSpaceDN w:val="0"/>
        <w:adjustRightInd w:val="0"/>
        <w:spacing w:line="360" w:lineRule="auto"/>
        <w:jc w:val="both"/>
        <w:rPr>
          <w:rFonts w:ascii="Palatino Linotype" w:hAnsi="Palatino Linotype" w:cs="Arial"/>
          <w:color w:val="000000" w:themeColor="text1"/>
        </w:rPr>
      </w:pPr>
      <w:r w:rsidRPr="006F0A66">
        <w:rPr>
          <w:rFonts w:ascii="Palatino Linotype" w:hAnsi="Palatino Linotype" w:cs="Arial"/>
          <w:color w:val="000000" w:themeColor="text1"/>
        </w:rPr>
        <w:lastRenderedPageBreak/>
        <w:t xml:space="preserve">ASÍ LO RESUELVE, POR </w:t>
      </w:r>
      <w:r w:rsidR="00357C81" w:rsidRPr="00F2293D">
        <w:rPr>
          <w:rFonts w:ascii="Palatino Linotype" w:hAnsi="Palatino Linotype" w:cs="Arial"/>
          <w:color w:val="000000" w:themeColor="text1"/>
          <w:lang w:val="es-419"/>
        </w:rPr>
        <w:t>UNANIMIDAD</w:t>
      </w:r>
      <w:r w:rsidRPr="006F0A66">
        <w:rPr>
          <w:rFonts w:ascii="Palatino Linotype" w:hAnsi="Palatino Linotype" w:cs="Arial"/>
          <w:color w:val="000000" w:themeColor="text1"/>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w:t>
      </w:r>
      <w:r w:rsidRPr="00AD08C1">
        <w:rPr>
          <w:rFonts w:ascii="Palatino Linotype" w:hAnsi="Palatino Linotype" w:cs="Arial"/>
          <w:color w:val="000000" w:themeColor="text1"/>
        </w:rPr>
        <w:t xml:space="preserve">NORIEGA Y GUADALUPE RAMÍREZ PEÑA; EN LA </w:t>
      </w:r>
      <w:r w:rsidR="00D17BD4">
        <w:rPr>
          <w:rFonts w:ascii="Palatino Linotype" w:hAnsi="Palatino Linotype" w:cs="Arial"/>
          <w:color w:val="000000" w:themeColor="text1"/>
          <w:lang w:val="es-419"/>
        </w:rPr>
        <w:t>CUADRAGÉSIMA</w:t>
      </w:r>
      <w:r w:rsidR="007A7628" w:rsidRPr="00AD08C1">
        <w:rPr>
          <w:rFonts w:ascii="Palatino Linotype" w:hAnsi="Palatino Linotype" w:cs="Arial"/>
          <w:color w:val="000000" w:themeColor="text1"/>
        </w:rPr>
        <w:t xml:space="preserve"> </w:t>
      </w:r>
      <w:r w:rsidRPr="00AD08C1">
        <w:rPr>
          <w:rFonts w:ascii="Palatino Linotype" w:hAnsi="Palatino Linotype" w:cs="Arial"/>
          <w:color w:val="000000" w:themeColor="text1"/>
        </w:rPr>
        <w:t xml:space="preserve">SESIÓN ORDINARIA CELEBRADA EL </w:t>
      </w:r>
      <w:r w:rsidR="00D17BD4">
        <w:rPr>
          <w:rFonts w:ascii="Palatino Linotype" w:hAnsi="Palatino Linotype" w:cs="Arial"/>
          <w:color w:val="000000" w:themeColor="text1"/>
          <w:lang w:val="es-419"/>
        </w:rPr>
        <w:t>NUEVE</w:t>
      </w:r>
      <w:r w:rsidR="004A7DA2" w:rsidRPr="00AD08C1">
        <w:rPr>
          <w:rFonts w:ascii="Palatino Linotype" w:hAnsi="Palatino Linotype" w:cs="Arial"/>
          <w:color w:val="000000" w:themeColor="text1"/>
        </w:rPr>
        <w:t xml:space="preserve"> DE NOVIEMBRE DE</w:t>
      </w:r>
      <w:r w:rsidRPr="00AD08C1">
        <w:rPr>
          <w:rFonts w:ascii="Palatino Linotype" w:hAnsi="Palatino Linotype" w:cs="Arial"/>
          <w:color w:val="000000" w:themeColor="text1"/>
        </w:rPr>
        <w:t xml:space="preserve"> DOS MIL VEINTIDÓS, ANTE EL SECRETARIO TÉCNICO DEL PLENO, ALEXIS TAPIA RAMÍREZ. </w:t>
      </w:r>
    </w:p>
    <w:p w14:paraId="0F81B503" w14:textId="77777777" w:rsidR="00647061" w:rsidRDefault="00647061" w:rsidP="00177BA7">
      <w:pPr>
        <w:widowControl w:val="0"/>
        <w:autoSpaceDE w:val="0"/>
        <w:autoSpaceDN w:val="0"/>
        <w:adjustRightInd w:val="0"/>
        <w:spacing w:line="360" w:lineRule="auto"/>
        <w:jc w:val="both"/>
        <w:rPr>
          <w:rFonts w:ascii="Palatino Linotype" w:hAnsi="Palatino Linotype"/>
          <w:sz w:val="20"/>
        </w:rPr>
      </w:pPr>
    </w:p>
    <w:p w14:paraId="36FDEB7A" w14:textId="63C11E23" w:rsidR="00177BA7" w:rsidRPr="009659C5" w:rsidRDefault="00170263" w:rsidP="00177BA7">
      <w:pPr>
        <w:widowControl w:val="0"/>
        <w:autoSpaceDE w:val="0"/>
        <w:autoSpaceDN w:val="0"/>
        <w:adjustRightInd w:val="0"/>
        <w:spacing w:line="360" w:lineRule="auto"/>
        <w:jc w:val="both"/>
        <w:rPr>
          <w:rFonts w:ascii="Palatino Linotype" w:hAnsi="Palatino Linotype"/>
          <w:sz w:val="20"/>
        </w:rPr>
      </w:pPr>
      <w:r w:rsidRPr="00AD08C1">
        <w:rPr>
          <w:rFonts w:ascii="Palatino Linotype" w:hAnsi="Palatino Linotype"/>
          <w:sz w:val="20"/>
        </w:rPr>
        <w:t>SCMM</w:t>
      </w:r>
      <w:r w:rsidR="001F454E" w:rsidRPr="00AD08C1">
        <w:rPr>
          <w:rFonts w:ascii="Palatino Linotype" w:hAnsi="Palatino Linotype"/>
          <w:sz w:val="20"/>
        </w:rPr>
        <w:t>/BLA/DEMF/MRC</w:t>
      </w:r>
    </w:p>
    <w:p w14:paraId="332F197D" w14:textId="463F7492" w:rsidR="00177BA7" w:rsidRPr="009659C5" w:rsidRDefault="00177BA7">
      <w:pPr>
        <w:rPr>
          <w:rFonts w:ascii="Palatino Linotype" w:hAnsi="Palatino Linotype"/>
          <w:b/>
          <w:color w:val="000000" w:themeColor="text1"/>
          <w:sz w:val="28"/>
          <w:szCs w:val="28"/>
        </w:rPr>
      </w:pPr>
      <w:r w:rsidRPr="009659C5">
        <w:rPr>
          <w:rFonts w:ascii="Palatino Linotype" w:hAnsi="Palatino Linotype"/>
          <w:b/>
          <w:color w:val="000000" w:themeColor="text1"/>
          <w:sz w:val="28"/>
          <w:szCs w:val="28"/>
        </w:rPr>
        <w:br w:type="page"/>
      </w:r>
    </w:p>
    <w:p w14:paraId="0B67E94C" w14:textId="77777777" w:rsidR="00EE52D0" w:rsidRPr="009659C5" w:rsidRDefault="00EE52D0" w:rsidP="00323C71">
      <w:pPr>
        <w:spacing w:line="360" w:lineRule="auto"/>
        <w:jc w:val="both"/>
        <w:rPr>
          <w:rFonts w:ascii="Palatino Linotype" w:hAnsi="Palatino Linotype"/>
          <w:b/>
          <w:color w:val="000000" w:themeColor="text1"/>
          <w:sz w:val="28"/>
          <w:szCs w:val="28"/>
        </w:rPr>
      </w:pPr>
    </w:p>
    <w:sectPr w:rsidR="00EE52D0" w:rsidRPr="009659C5" w:rsidSect="00536C04">
      <w:headerReference w:type="even" r:id="rId18"/>
      <w:headerReference w:type="default" r:id="rId19"/>
      <w:footerReference w:type="default" r:id="rId20"/>
      <w:headerReference w:type="first" r:id="rId21"/>
      <w:footerReference w:type="first" r:id="rId22"/>
      <w:pgSz w:w="12240" w:h="15840"/>
      <w:pgMar w:top="1418" w:right="1183"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17C57D" w14:textId="77777777" w:rsidR="00361A2A" w:rsidRDefault="00361A2A" w:rsidP="00C80F8C">
      <w:r>
        <w:separator/>
      </w:r>
    </w:p>
  </w:endnote>
  <w:endnote w:type="continuationSeparator" w:id="0">
    <w:p w14:paraId="479EF3BF" w14:textId="77777777" w:rsidR="00361A2A" w:rsidRDefault="00361A2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Palatino">
    <w:altName w:val="Book Antiqua"/>
    <w:charset w:val="4D"/>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6CDB8E3F" w:rsidR="00D43AA3" w:rsidRPr="0010196A" w:rsidRDefault="00D43AA3"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0F7D6D">
      <w:rPr>
        <w:rFonts w:ascii="Palatino Linotype" w:hAnsi="Palatino Linotype" w:cs="Arial"/>
        <w:bCs/>
        <w:noProof/>
        <w:sz w:val="22"/>
        <w:szCs w:val="22"/>
      </w:rPr>
      <w:t>34</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0F7D6D">
      <w:rPr>
        <w:rFonts w:ascii="Palatino Linotype" w:hAnsi="Palatino Linotype" w:cs="Arial"/>
        <w:bCs/>
        <w:noProof/>
        <w:sz w:val="22"/>
        <w:szCs w:val="22"/>
      </w:rPr>
      <w:t>34</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0DF15137" w:rsidR="00D43AA3" w:rsidRPr="0010196A" w:rsidRDefault="00D43AA3"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0F7D6D">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0F7D6D">
      <w:rPr>
        <w:rFonts w:ascii="Palatino Linotype" w:hAnsi="Palatino Linotype" w:cs="Arial"/>
        <w:bCs/>
        <w:noProof/>
        <w:sz w:val="22"/>
        <w:szCs w:val="22"/>
      </w:rPr>
      <w:t>34</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98455E" w14:textId="77777777" w:rsidR="00361A2A" w:rsidRDefault="00361A2A" w:rsidP="00C80F8C">
      <w:r>
        <w:separator/>
      </w:r>
    </w:p>
  </w:footnote>
  <w:footnote w:type="continuationSeparator" w:id="0">
    <w:p w14:paraId="5502EF80" w14:textId="77777777" w:rsidR="00361A2A" w:rsidRDefault="00361A2A" w:rsidP="00C80F8C">
      <w:r>
        <w:continuationSeparator/>
      </w:r>
    </w:p>
  </w:footnote>
  <w:footnote w:id="1">
    <w:p w14:paraId="3056E2A0" w14:textId="77777777" w:rsidR="00D43AA3" w:rsidRPr="009568C3" w:rsidRDefault="00D43AA3" w:rsidP="00D43AA3">
      <w:pPr>
        <w:pStyle w:val="Textonotapie"/>
        <w:jc w:val="both"/>
        <w:rPr>
          <w:rFonts w:ascii="Palatino Linotype" w:hAnsi="Palatino Linotype"/>
          <w:i/>
          <w:sz w:val="16"/>
          <w:szCs w:val="16"/>
        </w:rPr>
      </w:pPr>
      <w:r>
        <w:rPr>
          <w:rStyle w:val="Refdenotaalpie"/>
        </w:rPr>
        <w:footnoteRef/>
      </w:r>
      <w:r>
        <w:t xml:space="preserve"> “</w:t>
      </w:r>
      <w:r w:rsidRPr="00D0051F">
        <w:rPr>
          <w:rFonts w:ascii="Palatino Linotype" w:hAnsi="Palatino Linotype"/>
          <w:i/>
          <w:sz w:val="16"/>
          <w:szCs w:val="16"/>
        </w:rPr>
        <w:t>DESISTIMIENTO DE LA DEMANDA DE AMPARO. CORRESPONDE PROVEER RESPECTO DE ÉL AL JUEZ DE DISTRITO CUANDO SE PLANTEA ESTANDO PENDIENTE LA RESOLUCIÓN DEL RECURSO DE REVISIÓN Y ÉSTE SE DESECHA. El desechamiento del recurso de revisión implica, por una parte, la inexistencia de la apertura de la segunda instancia, ya que, en todo caso, la sola interposición del citado medio de defensa sólo originó el trámite de un expediente y, por otra, que quede firme la sentencia recurrida, en términos del artículo 356, fracción II, del Código Federal de Procedimientos Civiles, de aplicación supletoria conforme al artículo 2o., de la Ley de Amparo. En consecuencia, cuando se presenta ante el Juez de primera instancia el desistimiento de la demanda de amparo durante el trámite del recurso de revisión, y éste sea desechado por la falta de legitimación de la parte que lo interpuso, corresponderá a ese juzgador, quien dictó la sentencia impugnada, conocer de dicha manifestación en el ámbito de su competencia, en virtud de que el tribunal revisor carecerá de jurisdicción sobre el asunto al no haberse colmado uno de los presupuestos procesales de dicho recurso.</w:t>
      </w:r>
      <w:r>
        <w:rPr>
          <w:rFonts w:ascii="Palatino Linotype" w:hAnsi="Palatino Linotype"/>
          <w:i/>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D43AA3" w:rsidRDefault="00361A2A">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D43AA3" w:rsidRPr="0010196A" w:rsidRDefault="00361A2A"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2694"/>
      <w:gridCol w:w="2551"/>
      <w:gridCol w:w="4111"/>
    </w:tblGrid>
    <w:tr w:rsidR="00D43AA3" w:rsidRPr="008F2CCC" w14:paraId="1F097D8A" w14:textId="77777777" w:rsidTr="00E44BB1">
      <w:tc>
        <w:tcPr>
          <w:tcW w:w="2694" w:type="dxa"/>
          <w:vMerge w:val="restart"/>
        </w:tcPr>
        <w:p w14:paraId="1F780A0C" w14:textId="1EFF25F4" w:rsidR="00D43AA3" w:rsidRPr="008F2CCC" w:rsidRDefault="00D43AA3" w:rsidP="00070856">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3D5FD3EA" wp14:editId="20517C6B">
                <wp:extent cx="1663440" cy="838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5F87F21C" w:rsidR="00D43AA3" w:rsidRPr="00664658" w:rsidRDefault="00D43AA3"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111" w:type="dxa"/>
          <w:shd w:val="clear" w:color="auto" w:fill="auto"/>
          <w:vAlign w:val="center"/>
        </w:tcPr>
        <w:p w14:paraId="65AFA994" w14:textId="3C613F0C" w:rsidR="00D43AA3" w:rsidRPr="00664658" w:rsidRDefault="00D43AA3" w:rsidP="00327A35">
          <w:pPr>
            <w:jc w:val="both"/>
            <w:rPr>
              <w:rFonts w:ascii="Palatino Linotype" w:hAnsi="Palatino Linotype"/>
              <w:b/>
              <w:sz w:val="22"/>
              <w:szCs w:val="22"/>
              <w:lang w:val="es-ES_tradnl"/>
            </w:rPr>
          </w:pPr>
          <w:r>
            <w:rPr>
              <w:rFonts w:ascii="Palatino Linotype" w:hAnsi="Palatino Linotype"/>
              <w:b/>
              <w:sz w:val="22"/>
              <w:szCs w:val="22"/>
              <w:lang w:val="es-ES_tradnl"/>
            </w:rPr>
            <w:t>013942</w:t>
          </w:r>
          <w:r w:rsidRPr="00C41EB1">
            <w:rPr>
              <w:rFonts w:ascii="Palatino Linotype" w:hAnsi="Palatino Linotype"/>
              <w:b/>
              <w:sz w:val="22"/>
              <w:szCs w:val="22"/>
              <w:lang w:val="es-ES_tradnl"/>
            </w:rPr>
            <w:t>/INFOEM/IP/RR/2022</w:t>
          </w:r>
        </w:p>
      </w:tc>
    </w:tr>
    <w:tr w:rsidR="00D43AA3" w:rsidRPr="008F2CCC" w14:paraId="049677A3" w14:textId="77777777" w:rsidTr="00E44BB1">
      <w:tc>
        <w:tcPr>
          <w:tcW w:w="2694" w:type="dxa"/>
          <w:vMerge/>
        </w:tcPr>
        <w:p w14:paraId="4A21EAC1" w14:textId="5C1F145E" w:rsidR="00D43AA3" w:rsidRPr="008F2CCC" w:rsidRDefault="00D43AA3" w:rsidP="00536C04">
          <w:pPr>
            <w:rPr>
              <w:rFonts w:ascii="Palatino Linotype" w:hAnsi="Palatino Linotype"/>
              <w:b/>
              <w:sz w:val="22"/>
              <w:szCs w:val="22"/>
              <w:lang w:val="es-ES_tradnl"/>
            </w:rPr>
          </w:pPr>
        </w:p>
      </w:tc>
      <w:tc>
        <w:tcPr>
          <w:tcW w:w="2551" w:type="dxa"/>
          <w:shd w:val="clear" w:color="auto" w:fill="auto"/>
        </w:tcPr>
        <w:p w14:paraId="1237BCDE" w14:textId="77777777" w:rsidR="00D43AA3" w:rsidRPr="00664658" w:rsidRDefault="00D43AA3" w:rsidP="00536C04">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111" w:type="dxa"/>
          <w:shd w:val="clear" w:color="auto" w:fill="auto"/>
          <w:vAlign w:val="center"/>
        </w:tcPr>
        <w:p w14:paraId="7F554073" w14:textId="4D590432" w:rsidR="00D43AA3" w:rsidRPr="00D41D47" w:rsidRDefault="00D43AA3" w:rsidP="00EC7656">
          <w:pPr>
            <w:jc w:val="both"/>
            <w:rPr>
              <w:rFonts w:ascii="Palatino Linotype" w:hAnsi="Palatino Linotype"/>
              <w:b/>
              <w:sz w:val="22"/>
              <w:szCs w:val="22"/>
              <w:lang w:val="es-ES_tradnl"/>
            </w:rPr>
          </w:pPr>
          <w:r>
            <w:rPr>
              <w:rFonts w:ascii="Palatino Linotype" w:hAnsi="Palatino Linotype"/>
              <w:b/>
              <w:bCs/>
            </w:rPr>
            <w:t xml:space="preserve">OPERAGUA </w:t>
          </w:r>
          <w:r w:rsidRPr="00327A35">
            <w:rPr>
              <w:rFonts w:ascii="Palatino Linotype" w:hAnsi="Palatino Linotype"/>
              <w:b/>
              <w:bCs/>
            </w:rPr>
            <w:t>de Cuautitlán Izcalli</w:t>
          </w:r>
        </w:p>
      </w:tc>
    </w:tr>
    <w:tr w:rsidR="00D43AA3" w:rsidRPr="008F2CCC" w14:paraId="72CD087D" w14:textId="77777777" w:rsidTr="00E44BB1">
      <w:trPr>
        <w:trHeight w:val="228"/>
      </w:trPr>
      <w:tc>
        <w:tcPr>
          <w:tcW w:w="2694" w:type="dxa"/>
          <w:vMerge/>
        </w:tcPr>
        <w:p w14:paraId="1B78656F" w14:textId="01E6F6F6" w:rsidR="00D43AA3" w:rsidRPr="008F2CCC" w:rsidRDefault="00D43AA3" w:rsidP="00536C04">
          <w:pPr>
            <w:rPr>
              <w:rFonts w:ascii="Palatino Linotype" w:hAnsi="Palatino Linotype"/>
              <w:b/>
              <w:sz w:val="22"/>
              <w:szCs w:val="22"/>
              <w:lang w:val="es-ES_tradnl"/>
            </w:rPr>
          </w:pPr>
        </w:p>
      </w:tc>
      <w:tc>
        <w:tcPr>
          <w:tcW w:w="2551" w:type="dxa"/>
          <w:shd w:val="clear" w:color="auto" w:fill="auto"/>
        </w:tcPr>
        <w:p w14:paraId="74D81628" w14:textId="5DC3BCA5" w:rsidR="00D43AA3" w:rsidRPr="00664658" w:rsidRDefault="00D43AA3" w:rsidP="00536C04">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111" w:type="dxa"/>
          <w:shd w:val="clear" w:color="auto" w:fill="auto"/>
        </w:tcPr>
        <w:p w14:paraId="20D6FDA3" w14:textId="59017E0F" w:rsidR="00D43AA3" w:rsidRPr="00664658" w:rsidRDefault="00D43AA3" w:rsidP="00536C04">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3ECB9F0B" w14:textId="77777777" w:rsidR="00D43AA3" w:rsidRPr="0010196A" w:rsidRDefault="00D43AA3"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D43AA3" w:rsidRPr="00EB02AD" w:rsidRDefault="00D43AA3">
    <w:pPr>
      <w:rPr>
        <w:rFonts w:ascii="Palatino Linotype" w:hAnsi="Palatino Linotype"/>
      </w:rPr>
    </w:pPr>
  </w:p>
  <w:tbl>
    <w:tblPr>
      <w:tblW w:w="10490" w:type="dxa"/>
      <w:tblInd w:w="-1276" w:type="dxa"/>
      <w:tblLayout w:type="fixed"/>
      <w:tblLook w:val="04A0" w:firstRow="1" w:lastRow="0" w:firstColumn="1" w:lastColumn="0" w:noHBand="0" w:noVBand="1"/>
    </w:tblPr>
    <w:tblGrid>
      <w:gridCol w:w="3828"/>
      <w:gridCol w:w="2551"/>
      <w:gridCol w:w="4111"/>
    </w:tblGrid>
    <w:tr w:rsidR="00D43AA3" w:rsidRPr="008F2CCC" w14:paraId="6ABABA57" w14:textId="77777777" w:rsidTr="00E44BB1">
      <w:tc>
        <w:tcPr>
          <w:tcW w:w="3828" w:type="dxa"/>
          <w:vMerge w:val="restart"/>
          <w:shd w:val="clear" w:color="auto" w:fill="auto"/>
        </w:tcPr>
        <w:p w14:paraId="6AA376CC" w14:textId="1E62217E" w:rsidR="00D43AA3" w:rsidRPr="008F2CCC" w:rsidRDefault="00D43AA3" w:rsidP="00A2780F">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7340D196" wp14:editId="320972A3">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1C114EF9" w14:textId="10EDE82E" w:rsidR="00D43AA3" w:rsidRPr="008F2CCC" w:rsidRDefault="00D43AA3"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4111" w:type="dxa"/>
          <w:shd w:val="clear" w:color="auto" w:fill="auto"/>
          <w:vAlign w:val="center"/>
        </w:tcPr>
        <w:p w14:paraId="5F0F5848" w14:textId="0E44BB50" w:rsidR="00D43AA3" w:rsidRPr="008F2CCC" w:rsidRDefault="00D43AA3" w:rsidP="005D0E66">
          <w:pPr>
            <w:jc w:val="both"/>
            <w:rPr>
              <w:rFonts w:ascii="Palatino Linotype" w:hAnsi="Palatino Linotype"/>
              <w:b/>
              <w:sz w:val="22"/>
              <w:szCs w:val="22"/>
              <w:lang w:val="es-ES_tradnl"/>
            </w:rPr>
          </w:pPr>
          <w:r>
            <w:rPr>
              <w:rFonts w:ascii="Palatino Linotype" w:hAnsi="Palatino Linotype"/>
              <w:b/>
              <w:sz w:val="22"/>
              <w:szCs w:val="22"/>
              <w:lang w:val="es-ES_tradnl"/>
            </w:rPr>
            <w:t>013942</w:t>
          </w:r>
          <w:r w:rsidRPr="00C41EB1">
            <w:rPr>
              <w:rFonts w:ascii="Palatino Linotype" w:hAnsi="Palatino Linotype"/>
              <w:b/>
              <w:sz w:val="22"/>
              <w:szCs w:val="22"/>
              <w:lang w:val="es-ES_tradnl"/>
            </w:rPr>
            <w:t>/INFOEM/IP/RR/2022</w:t>
          </w:r>
        </w:p>
      </w:tc>
    </w:tr>
    <w:tr w:rsidR="00D43AA3" w:rsidRPr="008F2CCC" w14:paraId="3B45FB53" w14:textId="77777777" w:rsidTr="00E44BB1">
      <w:tc>
        <w:tcPr>
          <w:tcW w:w="3828" w:type="dxa"/>
          <w:vMerge/>
          <w:shd w:val="clear" w:color="auto" w:fill="auto"/>
        </w:tcPr>
        <w:p w14:paraId="188B82EF" w14:textId="77777777" w:rsidR="00D43AA3" w:rsidRPr="008F2CCC" w:rsidRDefault="00D43AA3" w:rsidP="00A2780F">
          <w:pPr>
            <w:rPr>
              <w:rFonts w:ascii="Palatino Linotype" w:hAnsi="Palatino Linotype"/>
              <w:b/>
              <w:sz w:val="22"/>
              <w:szCs w:val="22"/>
              <w:lang w:val="es-ES_tradnl"/>
            </w:rPr>
          </w:pPr>
        </w:p>
      </w:tc>
      <w:tc>
        <w:tcPr>
          <w:tcW w:w="2551" w:type="dxa"/>
          <w:shd w:val="clear" w:color="auto" w:fill="auto"/>
        </w:tcPr>
        <w:p w14:paraId="3B2AD0CF" w14:textId="77777777" w:rsidR="00D43AA3" w:rsidRPr="008F2CCC" w:rsidRDefault="00D43AA3"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4111" w:type="dxa"/>
          <w:shd w:val="clear" w:color="auto" w:fill="auto"/>
          <w:vAlign w:val="center"/>
        </w:tcPr>
        <w:p w14:paraId="749961B3" w14:textId="6BD1A3C4" w:rsidR="00D43AA3" w:rsidRPr="00EB02AD" w:rsidRDefault="000F7D6D" w:rsidP="00C27EA8">
          <w:pPr>
            <w:jc w:val="both"/>
            <w:rPr>
              <w:rFonts w:ascii="Palatino Linotype" w:hAnsi="Palatino Linotype" w:cs="Arial"/>
              <w:b/>
              <w:bCs/>
              <w:sz w:val="22"/>
              <w:szCs w:val="22"/>
            </w:rPr>
          </w:pPr>
          <w:r>
            <w:rPr>
              <w:rFonts w:ascii="Palatino Linotype" w:hAnsi="Palatino Linotype" w:cs="Arial"/>
              <w:b/>
              <w:bCs/>
              <w:sz w:val="22"/>
              <w:szCs w:val="22"/>
            </w:rPr>
            <w:t>XXXXXX XXXXXXX</w:t>
          </w:r>
        </w:p>
      </w:tc>
    </w:tr>
    <w:tr w:rsidR="00D43AA3" w:rsidRPr="008F2CCC" w14:paraId="28A493EB" w14:textId="77777777" w:rsidTr="00E44BB1">
      <w:trPr>
        <w:trHeight w:val="228"/>
      </w:trPr>
      <w:tc>
        <w:tcPr>
          <w:tcW w:w="3828" w:type="dxa"/>
          <w:vMerge/>
          <w:shd w:val="clear" w:color="auto" w:fill="auto"/>
        </w:tcPr>
        <w:p w14:paraId="06C77D31" w14:textId="77777777" w:rsidR="00D43AA3" w:rsidRPr="008F2CCC" w:rsidRDefault="00D43AA3" w:rsidP="00E37C88">
          <w:pPr>
            <w:rPr>
              <w:rFonts w:ascii="Palatino Linotype" w:hAnsi="Palatino Linotype"/>
              <w:b/>
              <w:sz w:val="22"/>
              <w:szCs w:val="22"/>
              <w:lang w:val="es-ES_tradnl"/>
            </w:rPr>
          </w:pPr>
        </w:p>
      </w:tc>
      <w:tc>
        <w:tcPr>
          <w:tcW w:w="2551" w:type="dxa"/>
          <w:shd w:val="clear" w:color="auto" w:fill="auto"/>
        </w:tcPr>
        <w:p w14:paraId="2E1A72B4" w14:textId="77777777" w:rsidR="00D43AA3" w:rsidRPr="008F2CCC" w:rsidRDefault="00D43AA3"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4111" w:type="dxa"/>
          <w:shd w:val="clear" w:color="auto" w:fill="auto"/>
          <w:vAlign w:val="center"/>
        </w:tcPr>
        <w:p w14:paraId="47AF3C2E" w14:textId="2B7D937D" w:rsidR="00D43AA3" w:rsidRPr="00DC41C8" w:rsidRDefault="00D43AA3" w:rsidP="00327A35">
          <w:pPr>
            <w:jc w:val="both"/>
            <w:rPr>
              <w:rFonts w:ascii="Palatino Linotype" w:hAnsi="Palatino Linotype"/>
              <w:b/>
              <w:sz w:val="22"/>
              <w:szCs w:val="22"/>
            </w:rPr>
          </w:pPr>
          <w:r>
            <w:rPr>
              <w:rFonts w:ascii="Palatino Linotype" w:hAnsi="Palatino Linotype"/>
              <w:b/>
              <w:bCs/>
            </w:rPr>
            <w:t xml:space="preserve">OPERAGUA </w:t>
          </w:r>
          <w:r w:rsidRPr="00327A35">
            <w:rPr>
              <w:rFonts w:ascii="Palatino Linotype" w:hAnsi="Palatino Linotype"/>
              <w:b/>
              <w:bCs/>
            </w:rPr>
            <w:t xml:space="preserve">de Cuautitlán Izcalli </w:t>
          </w:r>
        </w:p>
      </w:tc>
    </w:tr>
    <w:tr w:rsidR="00D43AA3" w:rsidRPr="008F2CCC" w14:paraId="0F114FF0" w14:textId="77777777" w:rsidTr="00E44BB1">
      <w:tc>
        <w:tcPr>
          <w:tcW w:w="3828" w:type="dxa"/>
          <w:vMerge/>
          <w:shd w:val="clear" w:color="auto" w:fill="auto"/>
        </w:tcPr>
        <w:p w14:paraId="4CCB64BA" w14:textId="77777777" w:rsidR="00D43AA3" w:rsidRPr="008F2CCC" w:rsidRDefault="00D43AA3" w:rsidP="00A2780F">
          <w:pPr>
            <w:rPr>
              <w:rFonts w:ascii="Palatino Linotype" w:hAnsi="Palatino Linotype"/>
              <w:b/>
              <w:sz w:val="22"/>
              <w:szCs w:val="22"/>
              <w:lang w:val="es-ES_tradnl"/>
            </w:rPr>
          </w:pPr>
        </w:p>
      </w:tc>
      <w:tc>
        <w:tcPr>
          <w:tcW w:w="2551" w:type="dxa"/>
          <w:shd w:val="clear" w:color="auto" w:fill="auto"/>
        </w:tcPr>
        <w:p w14:paraId="31E422EA" w14:textId="12F398EB" w:rsidR="00D43AA3" w:rsidRPr="008F2CCC" w:rsidRDefault="00D43AA3" w:rsidP="00E44BB1">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4111" w:type="dxa"/>
          <w:shd w:val="clear" w:color="auto" w:fill="auto"/>
        </w:tcPr>
        <w:p w14:paraId="181C41B4" w14:textId="118FAD7D" w:rsidR="00D43AA3" w:rsidRPr="008F2CCC" w:rsidRDefault="00D43AA3" w:rsidP="003C718E">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263470D9" w14:textId="35AB92B3" w:rsidR="00D43AA3" w:rsidRPr="0010196A" w:rsidRDefault="00361A2A"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E309D"/>
    <w:multiLevelType w:val="hybridMultilevel"/>
    <w:tmpl w:val="FEAE01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8C3743"/>
    <w:multiLevelType w:val="hybridMultilevel"/>
    <w:tmpl w:val="1A3E0088"/>
    <w:lvl w:ilvl="0" w:tplc="DDC66F66">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1982502A"/>
    <w:multiLevelType w:val="hybridMultilevel"/>
    <w:tmpl w:val="33E0A4E6"/>
    <w:lvl w:ilvl="0" w:tplc="2FF63A98">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7" w15:restartNumberingAfterBreak="0">
    <w:nsid w:val="270768D7"/>
    <w:multiLevelType w:val="multilevel"/>
    <w:tmpl w:val="81647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EF08CC"/>
    <w:multiLevelType w:val="hybridMultilevel"/>
    <w:tmpl w:val="BDB8BE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5BE654BB"/>
    <w:multiLevelType w:val="hybridMultilevel"/>
    <w:tmpl w:val="4EA228FE"/>
    <w:lvl w:ilvl="0" w:tplc="C6DA41F8">
      <w:start w:val="3"/>
      <w:numFmt w:val="upperRoman"/>
      <w:suff w:val="space"/>
      <w:lvlText w:val="%1."/>
      <w:lvlJc w:val="right"/>
      <w:pPr>
        <w:ind w:left="720" w:hanging="360"/>
      </w:pPr>
      <w:rPr>
        <w:rFonts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208143E"/>
    <w:multiLevelType w:val="hybridMultilevel"/>
    <w:tmpl w:val="4BF6AC7E"/>
    <w:lvl w:ilvl="0" w:tplc="E26AA7BC">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3" w15:restartNumberingAfterBreak="0">
    <w:nsid w:val="6D5240D5"/>
    <w:multiLevelType w:val="multilevel"/>
    <w:tmpl w:val="EC04E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920924"/>
    <w:multiLevelType w:val="hybridMultilevel"/>
    <w:tmpl w:val="BDB8BE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5"/>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6"/>
  </w:num>
  <w:num w:numId="6">
    <w:abstractNumId w:val="11"/>
  </w:num>
  <w:num w:numId="7">
    <w:abstractNumId w:val="3"/>
  </w:num>
  <w:num w:numId="8">
    <w:abstractNumId w:val="13"/>
  </w:num>
  <w:num w:numId="9">
    <w:abstractNumId w:val="2"/>
  </w:num>
  <w:num w:numId="10">
    <w:abstractNumId w:val="12"/>
  </w:num>
  <w:num w:numId="11">
    <w:abstractNumId w:val="1"/>
  </w:num>
  <w:num w:numId="12">
    <w:abstractNumId w:val="8"/>
  </w:num>
  <w:num w:numId="13">
    <w:abstractNumId w:val="14"/>
  </w:num>
  <w:num w:numId="14">
    <w:abstractNumId w:val="0"/>
  </w:num>
  <w:num w:numId="15">
    <w:abstractNumId w:val="4"/>
  </w:num>
  <w:num w:numId="16">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88"/>
    <w:rsid w:val="00006EC0"/>
    <w:rsid w:val="00006F2F"/>
    <w:rsid w:val="00007558"/>
    <w:rsid w:val="000075A8"/>
    <w:rsid w:val="00007AF1"/>
    <w:rsid w:val="00007FD8"/>
    <w:rsid w:val="000104F0"/>
    <w:rsid w:val="000109F4"/>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7BB"/>
    <w:rsid w:val="00020BD7"/>
    <w:rsid w:val="00020C9F"/>
    <w:rsid w:val="00021F54"/>
    <w:rsid w:val="00022013"/>
    <w:rsid w:val="00022350"/>
    <w:rsid w:val="000225F4"/>
    <w:rsid w:val="00022A73"/>
    <w:rsid w:val="00022DCF"/>
    <w:rsid w:val="00022E8B"/>
    <w:rsid w:val="00023233"/>
    <w:rsid w:val="000240CB"/>
    <w:rsid w:val="000244C6"/>
    <w:rsid w:val="00024688"/>
    <w:rsid w:val="0002471C"/>
    <w:rsid w:val="00024A5F"/>
    <w:rsid w:val="00024E68"/>
    <w:rsid w:val="00025060"/>
    <w:rsid w:val="000254C2"/>
    <w:rsid w:val="00025DB0"/>
    <w:rsid w:val="00025DBA"/>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97D"/>
    <w:rsid w:val="00036B1A"/>
    <w:rsid w:val="00037DDE"/>
    <w:rsid w:val="00037FDC"/>
    <w:rsid w:val="0004009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0F0"/>
    <w:rsid w:val="0005363B"/>
    <w:rsid w:val="00053A25"/>
    <w:rsid w:val="00053FA9"/>
    <w:rsid w:val="00054446"/>
    <w:rsid w:val="000546C9"/>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54"/>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4917"/>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9"/>
    <w:rsid w:val="00077AC1"/>
    <w:rsid w:val="00077B79"/>
    <w:rsid w:val="00077BB8"/>
    <w:rsid w:val="00077BC0"/>
    <w:rsid w:val="0008043B"/>
    <w:rsid w:val="0008139C"/>
    <w:rsid w:val="00081B66"/>
    <w:rsid w:val="00081D6D"/>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826"/>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A30"/>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D67"/>
    <w:rsid w:val="000C7F3D"/>
    <w:rsid w:val="000D075B"/>
    <w:rsid w:val="000D0DA0"/>
    <w:rsid w:val="000D1A6F"/>
    <w:rsid w:val="000D1B2D"/>
    <w:rsid w:val="000D21C4"/>
    <w:rsid w:val="000D2684"/>
    <w:rsid w:val="000D2BC0"/>
    <w:rsid w:val="000D3E87"/>
    <w:rsid w:val="000D447F"/>
    <w:rsid w:val="000D5436"/>
    <w:rsid w:val="000D58EC"/>
    <w:rsid w:val="000D5D68"/>
    <w:rsid w:val="000D6ADD"/>
    <w:rsid w:val="000D6BA3"/>
    <w:rsid w:val="000D71AC"/>
    <w:rsid w:val="000D72D0"/>
    <w:rsid w:val="000D74DD"/>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0F7D6D"/>
    <w:rsid w:val="00100BC0"/>
    <w:rsid w:val="0010196A"/>
    <w:rsid w:val="00101BFD"/>
    <w:rsid w:val="001020CD"/>
    <w:rsid w:val="001027DA"/>
    <w:rsid w:val="001028C2"/>
    <w:rsid w:val="0010293F"/>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1F08"/>
    <w:rsid w:val="00112988"/>
    <w:rsid w:val="00112B8E"/>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783"/>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75"/>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594"/>
    <w:rsid w:val="00151C8C"/>
    <w:rsid w:val="00151EC2"/>
    <w:rsid w:val="0015208B"/>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B61"/>
    <w:rsid w:val="00163E4C"/>
    <w:rsid w:val="001640BD"/>
    <w:rsid w:val="001642E9"/>
    <w:rsid w:val="0016439F"/>
    <w:rsid w:val="001646CE"/>
    <w:rsid w:val="0016493E"/>
    <w:rsid w:val="00164CD3"/>
    <w:rsid w:val="00164D1B"/>
    <w:rsid w:val="00165069"/>
    <w:rsid w:val="001657E8"/>
    <w:rsid w:val="00165B8D"/>
    <w:rsid w:val="00166410"/>
    <w:rsid w:val="0016670B"/>
    <w:rsid w:val="00166D1D"/>
    <w:rsid w:val="00166F44"/>
    <w:rsid w:val="0016735C"/>
    <w:rsid w:val="00167677"/>
    <w:rsid w:val="001676B7"/>
    <w:rsid w:val="00167D9D"/>
    <w:rsid w:val="00170043"/>
    <w:rsid w:val="001701E7"/>
    <w:rsid w:val="00170263"/>
    <w:rsid w:val="00170DE2"/>
    <w:rsid w:val="0017174F"/>
    <w:rsid w:val="00171E23"/>
    <w:rsid w:val="001725F2"/>
    <w:rsid w:val="00172612"/>
    <w:rsid w:val="00172A5F"/>
    <w:rsid w:val="00172B49"/>
    <w:rsid w:val="00172EC4"/>
    <w:rsid w:val="001731F5"/>
    <w:rsid w:val="001737DF"/>
    <w:rsid w:val="00175590"/>
    <w:rsid w:val="00175682"/>
    <w:rsid w:val="001757B6"/>
    <w:rsid w:val="00175805"/>
    <w:rsid w:val="00175CC8"/>
    <w:rsid w:val="00175EBB"/>
    <w:rsid w:val="00175FE0"/>
    <w:rsid w:val="001769F3"/>
    <w:rsid w:val="001779E0"/>
    <w:rsid w:val="00177BA7"/>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30B"/>
    <w:rsid w:val="00187682"/>
    <w:rsid w:val="001877EE"/>
    <w:rsid w:val="001900D7"/>
    <w:rsid w:val="00190687"/>
    <w:rsid w:val="00190BFD"/>
    <w:rsid w:val="0019130A"/>
    <w:rsid w:val="00191B16"/>
    <w:rsid w:val="00192B47"/>
    <w:rsid w:val="0019369B"/>
    <w:rsid w:val="00193C04"/>
    <w:rsid w:val="00193D12"/>
    <w:rsid w:val="0019504F"/>
    <w:rsid w:val="00195288"/>
    <w:rsid w:val="0019536A"/>
    <w:rsid w:val="00195609"/>
    <w:rsid w:val="00195662"/>
    <w:rsid w:val="00195F6E"/>
    <w:rsid w:val="001962AC"/>
    <w:rsid w:val="00197048"/>
    <w:rsid w:val="00197E56"/>
    <w:rsid w:val="001A0054"/>
    <w:rsid w:val="001A0CFE"/>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2AB"/>
    <w:rsid w:val="001C4310"/>
    <w:rsid w:val="001C45B4"/>
    <w:rsid w:val="001C4DDE"/>
    <w:rsid w:val="001C4E80"/>
    <w:rsid w:val="001C55E0"/>
    <w:rsid w:val="001C6036"/>
    <w:rsid w:val="001C60DC"/>
    <w:rsid w:val="001C6629"/>
    <w:rsid w:val="001C70A8"/>
    <w:rsid w:val="001C7515"/>
    <w:rsid w:val="001D0333"/>
    <w:rsid w:val="001D03A9"/>
    <w:rsid w:val="001D0D4A"/>
    <w:rsid w:val="001D1147"/>
    <w:rsid w:val="001D1592"/>
    <w:rsid w:val="001D197C"/>
    <w:rsid w:val="001D2165"/>
    <w:rsid w:val="001D22C9"/>
    <w:rsid w:val="001D2764"/>
    <w:rsid w:val="001D2EED"/>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26D"/>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54E"/>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BBE"/>
    <w:rsid w:val="00206EF4"/>
    <w:rsid w:val="00210956"/>
    <w:rsid w:val="00210AF1"/>
    <w:rsid w:val="00211EAB"/>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138A"/>
    <w:rsid w:val="00231D08"/>
    <w:rsid w:val="00232302"/>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5F67"/>
    <w:rsid w:val="002660D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B62"/>
    <w:rsid w:val="00291CD6"/>
    <w:rsid w:val="00292081"/>
    <w:rsid w:val="00292588"/>
    <w:rsid w:val="00292DCD"/>
    <w:rsid w:val="002930AD"/>
    <w:rsid w:val="002930C5"/>
    <w:rsid w:val="002930F8"/>
    <w:rsid w:val="00293120"/>
    <w:rsid w:val="002931A0"/>
    <w:rsid w:val="0029397F"/>
    <w:rsid w:val="00293F4A"/>
    <w:rsid w:val="002944DC"/>
    <w:rsid w:val="00294BD2"/>
    <w:rsid w:val="00294EE7"/>
    <w:rsid w:val="002969AE"/>
    <w:rsid w:val="00296F09"/>
    <w:rsid w:val="00297165"/>
    <w:rsid w:val="00297453"/>
    <w:rsid w:val="00297641"/>
    <w:rsid w:val="00297A56"/>
    <w:rsid w:val="002A0708"/>
    <w:rsid w:val="002A0A30"/>
    <w:rsid w:val="002A0D34"/>
    <w:rsid w:val="002A0DD8"/>
    <w:rsid w:val="002A1156"/>
    <w:rsid w:val="002A1348"/>
    <w:rsid w:val="002A157A"/>
    <w:rsid w:val="002A16E7"/>
    <w:rsid w:val="002A265E"/>
    <w:rsid w:val="002A2814"/>
    <w:rsid w:val="002A3240"/>
    <w:rsid w:val="002A3253"/>
    <w:rsid w:val="002A3ABB"/>
    <w:rsid w:val="002A3B29"/>
    <w:rsid w:val="002A3FF4"/>
    <w:rsid w:val="002A40A0"/>
    <w:rsid w:val="002A462C"/>
    <w:rsid w:val="002A4F20"/>
    <w:rsid w:val="002A4FBB"/>
    <w:rsid w:val="002A5A7C"/>
    <w:rsid w:val="002A5E0D"/>
    <w:rsid w:val="002A616A"/>
    <w:rsid w:val="002A6F0C"/>
    <w:rsid w:val="002A707F"/>
    <w:rsid w:val="002A7ADC"/>
    <w:rsid w:val="002B0232"/>
    <w:rsid w:val="002B0E2D"/>
    <w:rsid w:val="002B1211"/>
    <w:rsid w:val="002B1EFF"/>
    <w:rsid w:val="002B1F09"/>
    <w:rsid w:val="002B2570"/>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2E0"/>
    <w:rsid w:val="002B7402"/>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4CBD"/>
    <w:rsid w:val="002C6CE9"/>
    <w:rsid w:val="002C742B"/>
    <w:rsid w:val="002C783E"/>
    <w:rsid w:val="002C798F"/>
    <w:rsid w:val="002C79B8"/>
    <w:rsid w:val="002D077D"/>
    <w:rsid w:val="002D0ADC"/>
    <w:rsid w:val="002D1C47"/>
    <w:rsid w:val="002D1F7F"/>
    <w:rsid w:val="002D2928"/>
    <w:rsid w:val="002D2D55"/>
    <w:rsid w:val="002D2E8E"/>
    <w:rsid w:val="002D30A0"/>
    <w:rsid w:val="002D32E2"/>
    <w:rsid w:val="002D334A"/>
    <w:rsid w:val="002D35AD"/>
    <w:rsid w:val="002D4F4B"/>
    <w:rsid w:val="002D51F7"/>
    <w:rsid w:val="002D52A2"/>
    <w:rsid w:val="002D5962"/>
    <w:rsid w:val="002D5D07"/>
    <w:rsid w:val="002D7159"/>
    <w:rsid w:val="002D773B"/>
    <w:rsid w:val="002D7957"/>
    <w:rsid w:val="002D79D3"/>
    <w:rsid w:val="002E0326"/>
    <w:rsid w:val="002E056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DFA"/>
    <w:rsid w:val="002E7772"/>
    <w:rsid w:val="002E79BD"/>
    <w:rsid w:val="002E7B6A"/>
    <w:rsid w:val="002E7E03"/>
    <w:rsid w:val="002F0740"/>
    <w:rsid w:val="002F0C82"/>
    <w:rsid w:val="002F0E65"/>
    <w:rsid w:val="002F12C6"/>
    <w:rsid w:val="002F18E7"/>
    <w:rsid w:val="002F1A28"/>
    <w:rsid w:val="002F1A7D"/>
    <w:rsid w:val="002F21D6"/>
    <w:rsid w:val="002F274B"/>
    <w:rsid w:val="002F281F"/>
    <w:rsid w:val="002F2934"/>
    <w:rsid w:val="002F29AD"/>
    <w:rsid w:val="002F2CB1"/>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219F"/>
    <w:rsid w:val="00302404"/>
    <w:rsid w:val="00303671"/>
    <w:rsid w:val="00303AF8"/>
    <w:rsid w:val="00304085"/>
    <w:rsid w:val="0030426C"/>
    <w:rsid w:val="003044B2"/>
    <w:rsid w:val="00304BA5"/>
    <w:rsid w:val="003052CB"/>
    <w:rsid w:val="003056B1"/>
    <w:rsid w:val="00305F6C"/>
    <w:rsid w:val="00306604"/>
    <w:rsid w:val="00306BCD"/>
    <w:rsid w:val="003072F5"/>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D6A"/>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C71"/>
    <w:rsid w:val="00323F80"/>
    <w:rsid w:val="00324949"/>
    <w:rsid w:val="00324C3F"/>
    <w:rsid w:val="00324D82"/>
    <w:rsid w:val="0032570C"/>
    <w:rsid w:val="003259B8"/>
    <w:rsid w:val="00326BB0"/>
    <w:rsid w:val="00326E8E"/>
    <w:rsid w:val="00326F37"/>
    <w:rsid w:val="00327676"/>
    <w:rsid w:val="00327A35"/>
    <w:rsid w:val="00327DD4"/>
    <w:rsid w:val="00330120"/>
    <w:rsid w:val="00330180"/>
    <w:rsid w:val="00330C3B"/>
    <w:rsid w:val="00330D04"/>
    <w:rsid w:val="0033134C"/>
    <w:rsid w:val="0033140F"/>
    <w:rsid w:val="0033148E"/>
    <w:rsid w:val="00331725"/>
    <w:rsid w:val="00331A1A"/>
    <w:rsid w:val="00331D23"/>
    <w:rsid w:val="0033214C"/>
    <w:rsid w:val="003328F2"/>
    <w:rsid w:val="00332BD1"/>
    <w:rsid w:val="00333541"/>
    <w:rsid w:val="0033371A"/>
    <w:rsid w:val="0033392B"/>
    <w:rsid w:val="00334276"/>
    <w:rsid w:val="003343F4"/>
    <w:rsid w:val="003347AD"/>
    <w:rsid w:val="00334840"/>
    <w:rsid w:val="00335A01"/>
    <w:rsid w:val="00335D6D"/>
    <w:rsid w:val="00335EB8"/>
    <w:rsid w:val="00336276"/>
    <w:rsid w:val="0033635E"/>
    <w:rsid w:val="00337565"/>
    <w:rsid w:val="003402BA"/>
    <w:rsid w:val="003404B0"/>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33BB"/>
    <w:rsid w:val="00354355"/>
    <w:rsid w:val="0035481E"/>
    <w:rsid w:val="00354CDD"/>
    <w:rsid w:val="003552BF"/>
    <w:rsid w:val="00355650"/>
    <w:rsid w:val="003561CB"/>
    <w:rsid w:val="0035677A"/>
    <w:rsid w:val="003567C7"/>
    <w:rsid w:val="00356E5D"/>
    <w:rsid w:val="00357421"/>
    <w:rsid w:val="003576E8"/>
    <w:rsid w:val="00357994"/>
    <w:rsid w:val="003579AB"/>
    <w:rsid w:val="00357C81"/>
    <w:rsid w:val="0036004B"/>
    <w:rsid w:val="003604BD"/>
    <w:rsid w:val="003604F7"/>
    <w:rsid w:val="003605BA"/>
    <w:rsid w:val="00360675"/>
    <w:rsid w:val="00361A2A"/>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0A98"/>
    <w:rsid w:val="0038105A"/>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87A63"/>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A8B"/>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2E0F"/>
    <w:rsid w:val="003A3FBF"/>
    <w:rsid w:val="003A41C5"/>
    <w:rsid w:val="003A468A"/>
    <w:rsid w:val="003A4E64"/>
    <w:rsid w:val="003A52A9"/>
    <w:rsid w:val="003A546B"/>
    <w:rsid w:val="003A5A71"/>
    <w:rsid w:val="003A5BF1"/>
    <w:rsid w:val="003A66A8"/>
    <w:rsid w:val="003A6DCE"/>
    <w:rsid w:val="003A71DD"/>
    <w:rsid w:val="003A73F9"/>
    <w:rsid w:val="003A79AE"/>
    <w:rsid w:val="003A7A3C"/>
    <w:rsid w:val="003A7F6E"/>
    <w:rsid w:val="003B0016"/>
    <w:rsid w:val="003B0C64"/>
    <w:rsid w:val="003B171D"/>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26B9"/>
    <w:rsid w:val="003C3640"/>
    <w:rsid w:val="003C3ACE"/>
    <w:rsid w:val="003C3D09"/>
    <w:rsid w:val="003C46B9"/>
    <w:rsid w:val="003C492A"/>
    <w:rsid w:val="003C549A"/>
    <w:rsid w:val="003C582F"/>
    <w:rsid w:val="003C5AD5"/>
    <w:rsid w:val="003C5BE8"/>
    <w:rsid w:val="003C5FA2"/>
    <w:rsid w:val="003C653B"/>
    <w:rsid w:val="003C65F0"/>
    <w:rsid w:val="003C66FF"/>
    <w:rsid w:val="003C687A"/>
    <w:rsid w:val="003C718E"/>
    <w:rsid w:val="003C736B"/>
    <w:rsid w:val="003D027E"/>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4A1"/>
    <w:rsid w:val="003D7948"/>
    <w:rsid w:val="003E0020"/>
    <w:rsid w:val="003E05C7"/>
    <w:rsid w:val="003E09E7"/>
    <w:rsid w:val="003E0D20"/>
    <w:rsid w:val="003E0F14"/>
    <w:rsid w:val="003E1926"/>
    <w:rsid w:val="003E222D"/>
    <w:rsid w:val="003E22CB"/>
    <w:rsid w:val="003E2402"/>
    <w:rsid w:val="003E2C19"/>
    <w:rsid w:val="003E349B"/>
    <w:rsid w:val="003E3832"/>
    <w:rsid w:val="003E3AFA"/>
    <w:rsid w:val="003E446F"/>
    <w:rsid w:val="003E4810"/>
    <w:rsid w:val="003E48CA"/>
    <w:rsid w:val="003E6C51"/>
    <w:rsid w:val="003E728E"/>
    <w:rsid w:val="003E77DB"/>
    <w:rsid w:val="003E78F7"/>
    <w:rsid w:val="003E7BF9"/>
    <w:rsid w:val="003E7D00"/>
    <w:rsid w:val="003F012C"/>
    <w:rsid w:val="003F01CE"/>
    <w:rsid w:val="003F05FB"/>
    <w:rsid w:val="003F0AD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0633"/>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C32"/>
    <w:rsid w:val="00406C3F"/>
    <w:rsid w:val="00406EEC"/>
    <w:rsid w:val="00407729"/>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623F"/>
    <w:rsid w:val="00416281"/>
    <w:rsid w:val="00417988"/>
    <w:rsid w:val="00417DEC"/>
    <w:rsid w:val="00420726"/>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C7F"/>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07FB"/>
    <w:rsid w:val="00451252"/>
    <w:rsid w:val="00451491"/>
    <w:rsid w:val="00451515"/>
    <w:rsid w:val="00452910"/>
    <w:rsid w:val="00453185"/>
    <w:rsid w:val="004536A9"/>
    <w:rsid w:val="0045460F"/>
    <w:rsid w:val="00454B3A"/>
    <w:rsid w:val="00455095"/>
    <w:rsid w:val="00455213"/>
    <w:rsid w:val="00455350"/>
    <w:rsid w:val="00456EDA"/>
    <w:rsid w:val="00457335"/>
    <w:rsid w:val="00457A14"/>
    <w:rsid w:val="00457BB8"/>
    <w:rsid w:val="00457EEE"/>
    <w:rsid w:val="00460083"/>
    <w:rsid w:val="00460A6E"/>
    <w:rsid w:val="00460F38"/>
    <w:rsid w:val="00461FE2"/>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67FDD"/>
    <w:rsid w:val="004718FD"/>
    <w:rsid w:val="00471C89"/>
    <w:rsid w:val="00472203"/>
    <w:rsid w:val="00472B2F"/>
    <w:rsid w:val="00472EEC"/>
    <w:rsid w:val="00473992"/>
    <w:rsid w:val="004746D0"/>
    <w:rsid w:val="004749CA"/>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571"/>
    <w:rsid w:val="00484642"/>
    <w:rsid w:val="004855BC"/>
    <w:rsid w:val="004857CA"/>
    <w:rsid w:val="0048603B"/>
    <w:rsid w:val="0048619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B06"/>
    <w:rsid w:val="00493E3D"/>
    <w:rsid w:val="00493E71"/>
    <w:rsid w:val="00493F71"/>
    <w:rsid w:val="00494D8E"/>
    <w:rsid w:val="00495278"/>
    <w:rsid w:val="00495455"/>
    <w:rsid w:val="00495796"/>
    <w:rsid w:val="00495809"/>
    <w:rsid w:val="00495E84"/>
    <w:rsid w:val="004967AD"/>
    <w:rsid w:val="00497D47"/>
    <w:rsid w:val="00497FC5"/>
    <w:rsid w:val="004A04DD"/>
    <w:rsid w:val="004A087A"/>
    <w:rsid w:val="004A088B"/>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A7DA2"/>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5FAA"/>
    <w:rsid w:val="004B60B8"/>
    <w:rsid w:val="004B674C"/>
    <w:rsid w:val="004B6890"/>
    <w:rsid w:val="004B6BE3"/>
    <w:rsid w:val="004B705B"/>
    <w:rsid w:val="004B7285"/>
    <w:rsid w:val="004B7691"/>
    <w:rsid w:val="004B7782"/>
    <w:rsid w:val="004B7AE7"/>
    <w:rsid w:val="004B7EDD"/>
    <w:rsid w:val="004C060B"/>
    <w:rsid w:val="004C0779"/>
    <w:rsid w:val="004C0DB2"/>
    <w:rsid w:val="004C1AE2"/>
    <w:rsid w:val="004C202E"/>
    <w:rsid w:val="004C2719"/>
    <w:rsid w:val="004C4245"/>
    <w:rsid w:val="004C45EE"/>
    <w:rsid w:val="004C498A"/>
    <w:rsid w:val="004C4D09"/>
    <w:rsid w:val="004C597A"/>
    <w:rsid w:val="004C5CF9"/>
    <w:rsid w:val="004C5DF9"/>
    <w:rsid w:val="004C64C2"/>
    <w:rsid w:val="004C652E"/>
    <w:rsid w:val="004C7286"/>
    <w:rsid w:val="004C771C"/>
    <w:rsid w:val="004C79DB"/>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D8D"/>
    <w:rsid w:val="004D4EEC"/>
    <w:rsid w:val="004D51E5"/>
    <w:rsid w:val="004D546C"/>
    <w:rsid w:val="004D5B01"/>
    <w:rsid w:val="004D5D80"/>
    <w:rsid w:val="004D5EF3"/>
    <w:rsid w:val="004D6483"/>
    <w:rsid w:val="004D6B55"/>
    <w:rsid w:val="004D6E48"/>
    <w:rsid w:val="004E0611"/>
    <w:rsid w:val="004E1194"/>
    <w:rsid w:val="004E2E1D"/>
    <w:rsid w:val="004E2FC6"/>
    <w:rsid w:val="004E3429"/>
    <w:rsid w:val="004E34E5"/>
    <w:rsid w:val="004E35E4"/>
    <w:rsid w:val="004E38AF"/>
    <w:rsid w:val="004E4332"/>
    <w:rsid w:val="004E49DF"/>
    <w:rsid w:val="004E4DD9"/>
    <w:rsid w:val="004E54B5"/>
    <w:rsid w:val="004E5727"/>
    <w:rsid w:val="004E5A11"/>
    <w:rsid w:val="004E6445"/>
    <w:rsid w:val="004E66B3"/>
    <w:rsid w:val="004E6C22"/>
    <w:rsid w:val="004E6E50"/>
    <w:rsid w:val="004E7738"/>
    <w:rsid w:val="004E7E3B"/>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0AD"/>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110"/>
    <w:rsid w:val="00516405"/>
    <w:rsid w:val="00517F8D"/>
    <w:rsid w:val="00520CA8"/>
    <w:rsid w:val="00520DAB"/>
    <w:rsid w:val="00521291"/>
    <w:rsid w:val="005215F0"/>
    <w:rsid w:val="00521CC2"/>
    <w:rsid w:val="0052232E"/>
    <w:rsid w:val="00522397"/>
    <w:rsid w:val="00522A1D"/>
    <w:rsid w:val="00523636"/>
    <w:rsid w:val="0052391C"/>
    <w:rsid w:val="00523E71"/>
    <w:rsid w:val="0052470C"/>
    <w:rsid w:val="005251DD"/>
    <w:rsid w:val="00525242"/>
    <w:rsid w:val="0052566C"/>
    <w:rsid w:val="0052578D"/>
    <w:rsid w:val="00525D52"/>
    <w:rsid w:val="00525ED0"/>
    <w:rsid w:val="005269FB"/>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5DF7"/>
    <w:rsid w:val="005363B1"/>
    <w:rsid w:val="00536915"/>
    <w:rsid w:val="00536B5A"/>
    <w:rsid w:val="00536C04"/>
    <w:rsid w:val="00537422"/>
    <w:rsid w:val="005377CF"/>
    <w:rsid w:val="005405C4"/>
    <w:rsid w:val="005406A4"/>
    <w:rsid w:val="00540F26"/>
    <w:rsid w:val="005414CB"/>
    <w:rsid w:val="00541A1C"/>
    <w:rsid w:val="00541D5C"/>
    <w:rsid w:val="00542025"/>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46F"/>
    <w:rsid w:val="0055374D"/>
    <w:rsid w:val="0055375E"/>
    <w:rsid w:val="00553A6B"/>
    <w:rsid w:val="00553FB2"/>
    <w:rsid w:val="00554CDC"/>
    <w:rsid w:val="0055507D"/>
    <w:rsid w:val="005555B6"/>
    <w:rsid w:val="00555672"/>
    <w:rsid w:val="00555AEC"/>
    <w:rsid w:val="00555C12"/>
    <w:rsid w:val="00555F0D"/>
    <w:rsid w:val="005560E0"/>
    <w:rsid w:val="0055647C"/>
    <w:rsid w:val="0055676A"/>
    <w:rsid w:val="0055740F"/>
    <w:rsid w:val="00557769"/>
    <w:rsid w:val="0055797E"/>
    <w:rsid w:val="00557A90"/>
    <w:rsid w:val="00557B6A"/>
    <w:rsid w:val="00560F05"/>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D72"/>
    <w:rsid w:val="0057305F"/>
    <w:rsid w:val="0057333C"/>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77C"/>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33DE"/>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90A"/>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5CE9"/>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E66"/>
    <w:rsid w:val="005D0FD8"/>
    <w:rsid w:val="005D1149"/>
    <w:rsid w:val="005D169A"/>
    <w:rsid w:val="005D19EA"/>
    <w:rsid w:val="005D1A4B"/>
    <w:rsid w:val="005D1B56"/>
    <w:rsid w:val="005D1CAE"/>
    <w:rsid w:val="005D272E"/>
    <w:rsid w:val="005D2966"/>
    <w:rsid w:val="005D3E32"/>
    <w:rsid w:val="005D46EE"/>
    <w:rsid w:val="005D4B10"/>
    <w:rsid w:val="005D5514"/>
    <w:rsid w:val="005D5829"/>
    <w:rsid w:val="005D5D49"/>
    <w:rsid w:val="005D5EC5"/>
    <w:rsid w:val="005D64DA"/>
    <w:rsid w:val="005D6C5F"/>
    <w:rsid w:val="005D7418"/>
    <w:rsid w:val="005D7558"/>
    <w:rsid w:val="005E0421"/>
    <w:rsid w:val="005E0559"/>
    <w:rsid w:val="005E0668"/>
    <w:rsid w:val="005E0B7F"/>
    <w:rsid w:val="005E0DF3"/>
    <w:rsid w:val="005E17B7"/>
    <w:rsid w:val="005E1D28"/>
    <w:rsid w:val="005E1D2C"/>
    <w:rsid w:val="005E2992"/>
    <w:rsid w:val="005E2AF7"/>
    <w:rsid w:val="005E336C"/>
    <w:rsid w:val="005E3AB6"/>
    <w:rsid w:val="005E4AF2"/>
    <w:rsid w:val="005E4B08"/>
    <w:rsid w:val="005E4DDB"/>
    <w:rsid w:val="005E63B2"/>
    <w:rsid w:val="005E654B"/>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5D50"/>
    <w:rsid w:val="005F6AA0"/>
    <w:rsid w:val="00600A8E"/>
    <w:rsid w:val="00600E62"/>
    <w:rsid w:val="00601150"/>
    <w:rsid w:val="006011C5"/>
    <w:rsid w:val="00601329"/>
    <w:rsid w:val="006017E2"/>
    <w:rsid w:val="00602A6F"/>
    <w:rsid w:val="006044B8"/>
    <w:rsid w:val="00604940"/>
    <w:rsid w:val="00604AE6"/>
    <w:rsid w:val="006053EB"/>
    <w:rsid w:val="00605BE2"/>
    <w:rsid w:val="0060628C"/>
    <w:rsid w:val="006064F4"/>
    <w:rsid w:val="00606759"/>
    <w:rsid w:val="006079D6"/>
    <w:rsid w:val="00607B93"/>
    <w:rsid w:val="0061099A"/>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B17"/>
    <w:rsid w:val="00615999"/>
    <w:rsid w:val="00615AA6"/>
    <w:rsid w:val="00615B13"/>
    <w:rsid w:val="0061607B"/>
    <w:rsid w:val="006160FE"/>
    <w:rsid w:val="00616362"/>
    <w:rsid w:val="00616F15"/>
    <w:rsid w:val="00617087"/>
    <w:rsid w:val="006170B9"/>
    <w:rsid w:val="006170DA"/>
    <w:rsid w:val="0061732F"/>
    <w:rsid w:val="0061758F"/>
    <w:rsid w:val="00617EA0"/>
    <w:rsid w:val="0062069D"/>
    <w:rsid w:val="0062208D"/>
    <w:rsid w:val="00622581"/>
    <w:rsid w:val="00622C67"/>
    <w:rsid w:val="00622FD8"/>
    <w:rsid w:val="006238C9"/>
    <w:rsid w:val="00623C2A"/>
    <w:rsid w:val="00623D81"/>
    <w:rsid w:val="00623E0D"/>
    <w:rsid w:val="0062454D"/>
    <w:rsid w:val="00624FE2"/>
    <w:rsid w:val="006251EF"/>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00"/>
    <w:rsid w:val="0063386B"/>
    <w:rsid w:val="00633A1F"/>
    <w:rsid w:val="00633A73"/>
    <w:rsid w:val="006340C7"/>
    <w:rsid w:val="00634138"/>
    <w:rsid w:val="00634485"/>
    <w:rsid w:val="00634511"/>
    <w:rsid w:val="00634890"/>
    <w:rsid w:val="00634C72"/>
    <w:rsid w:val="00634E48"/>
    <w:rsid w:val="00635154"/>
    <w:rsid w:val="006359A6"/>
    <w:rsid w:val="00635E0E"/>
    <w:rsid w:val="00635EE1"/>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DD0"/>
    <w:rsid w:val="00647061"/>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0DF"/>
    <w:rsid w:val="00661215"/>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655"/>
    <w:rsid w:val="00671B0E"/>
    <w:rsid w:val="00672CF1"/>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5497"/>
    <w:rsid w:val="00686102"/>
    <w:rsid w:val="0068633E"/>
    <w:rsid w:val="00686869"/>
    <w:rsid w:val="006868B0"/>
    <w:rsid w:val="00686FEE"/>
    <w:rsid w:val="00687B33"/>
    <w:rsid w:val="0069069F"/>
    <w:rsid w:val="00690973"/>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A7AF9"/>
    <w:rsid w:val="006A7F55"/>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836"/>
    <w:rsid w:val="006E0953"/>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66"/>
    <w:rsid w:val="006F0A93"/>
    <w:rsid w:val="006F0BAE"/>
    <w:rsid w:val="006F0F3C"/>
    <w:rsid w:val="006F2431"/>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1AB"/>
    <w:rsid w:val="0070224A"/>
    <w:rsid w:val="00702909"/>
    <w:rsid w:val="00703168"/>
    <w:rsid w:val="00703582"/>
    <w:rsid w:val="00703C28"/>
    <w:rsid w:val="007042CF"/>
    <w:rsid w:val="0070431A"/>
    <w:rsid w:val="007047FD"/>
    <w:rsid w:val="0070528E"/>
    <w:rsid w:val="00705741"/>
    <w:rsid w:val="00706383"/>
    <w:rsid w:val="007066E2"/>
    <w:rsid w:val="0070799C"/>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526"/>
    <w:rsid w:val="00716124"/>
    <w:rsid w:val="007161A6"/>
    <w:rsid w:val="00716989"/>
    <w:rsid w:val="00716F76"/>
    <w:rsid w:val="0071714C"/>
    <w:rsid w:val="00717401"/>
    <w:rsid w:val="00717925"/>
    <w:rsid w:val="00717BD1"/>
    <w:rsid w:val="00720E0F"/>
    <w:rsid w:val="0072132B"/>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64C"/>
    <w:rsid w:val="007328BA"/>
    <w:rsid w:val="00732FA0"/>
    <w:rsid w:val="007330C3"/>
    <w:rsid w:val="0073311C"/>
    <w:rsid w:val="007344E5"/>
    <w:rsid w:val="007347F5"/>
    <w:rsid w:val="0073525E"/>
    <w:rsid w:val="007353F0"/>
    <w:rsid w:val="00735930"/>
    <w:rsid w:val="00735F72"/>
    <w:rsid w:val="00736B73"/>
    <w:rsid w:val="00736C06"/>
    <w:rsid w:val="00737A75"/>
    <w:rsid w:val="00740052"/>
    <w:rsid w:val="007400E8"/>
    <w:rsid w:val="00740238"/>
    <w:rsid w:val="00740494"/>
    <w:rsid w:val="00740AFD"/>
    <w:rsid w:val="00741046"/>
    <w:rsid w:val="007410AA"/>
    <w:rsid w:val="00741570"/>
    <w:rsid w:val="007416A3"/>
    <w:rsid w:val="00741AB6"/>
    <w:rsid w:val="00742801"/>
    <w:rsid w:val="00742EDD"/>
    <w:rsid w:val="007431A4"/>
    <w:rsid w:val="00743F63"/>
    <w:rsid w:val="00744446"/>
    <w:rsid w:val="00744BA4"/>
    <w:rsid w:val="00745354"/>
    <w:rsid w:val="007458B3"/>
    <w:rsid w:val="00745C77"/>
    <w:rsid w:val="007465F0"/>
    <w:rsid w:val="00746708"/>
    <w:rsid w:val="00746EEB"/>
    <w:rsid w:val="00747261"/>
    <w:rsid w:val="00747331"/>
    <w:rsid w:val="00747F64"/>
    <w:rsid w:val="00750D6F"/>
    <w:rsid w:val="00750F1A"/>
    <w:rsid w:val="00751099"/>
    <w:rsid w:val="00752248"/>
    <w:rsid w:val="007523B1"/>
    <w:rsid w:val="00752A67"/>
    <w:rsid w:val="00752E1F"/>
    <w:rsid w:val="0075338B"/>
    <w:rsid w:val="0075343A"/>
    <w:rsid w:val="00753688"/>
    <w:rsid w:val="00753E3E"/>
    <w:rsid w:val="00754ECB"/>
    <w:rsid w:val="00755188"/>
    <w:rsid w:val="007552CD"/>
    <w:rsid w:val="0075623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3DA6"/>
    <w:rsid w:val="007642A9"/>
    <w:rsid w:val="0076517B"/>
    <w:rsid w:val="00766985"/>
    <w:rsid w:val="00766A04"/>
    <w:rsid w:val="00766C69"/>
    <w:rsid w:val="00766D0D"/>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5A16"/>
    <w:rsid w:val="00786260"/>
    <w:rsid w:val="0078687F"/>
    <w:rsid w:val="00787360"/>
    <w:rsid w:val="00787662"/>
    <w:rsid w:val="00790A00"/>
    <w:rsid w:val="00790CA5"/>
    <w:rsid w:val="00790CE5"/>
    <w:rsid w:val="00791C00"/>
    <w:rsid w:val="00791E3B"/>
    <w:rsid w:val="007925D7"/>
    <w:rsid w:val="0079262C"/>
    <w:rsid w:val="00792819"/>
    <w:rsid w:val="00792979"/>
    <w:rsid w:val="007930FE"/>
    <w:rsid w:val="00793619"/>
    <w:rsid w:val="00793670"/>
    <w:rsid w:val="0079430B"/>
    <w:rsid w:val="007943FF"/>
    <w:rsid w:val="00794540"/>
    <w:rsid w:val="0079491D"/>
    <w:rsid w:val="00794939"/>
    <w:rsid w:val="00795322"/>
    <w:rsid w:val="007956CB"/>
    <w:rsid w:val="00795DB8"/>
    <w:rsid w:val="00796094"/>
    <w:rsid w:val="00797B84"/>
    <w:rsid w:val="00797B98"/>
    <w:rsid w:val="007A059E"/>
    <w:rsid w:val="007A09B0"/>
    <w:rsid w:val="007A15A9"/>
    <w:rsid w:val="007A18D5"/>
    <w:rsid w:val="007A1EF3"/>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28"/>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389"/>
    <w:rsid w:val="007B261B"/>
    <w:rsid w:val="007B2B6A"/>
    <w:rsid w:val="007B2C17"/>
    <w:rsid w:val="007B2F2C"/>
    <w:rsid w:val="007B314D"/>
    <w:rsid w:val="007B3302"/>
    <w:rsid w:val="007B33F9"/>
    <w:rsid w:val="007B341A"/>
    <w:rsid w:val="007B3733"/>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8C7"/>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414D"/>
    <w:rsid w:val="007F4D6F"/>
    <w:rsid w:val="007F4DA5"/>
    <w:rsid w:val="007F502F"/>
    <w:rsid w:val="007F53AA"/>
    <w:rsid w:val="007F75A8"/>
    <w:rsid w:val="00801018"/>
    <w:rsid w:val="008011A7"/>
    <w:rsid w:val="008014D3"/>
    <w:rsid w:val="00801793"/>
    <w:rsid w:val="00801A6C"/>
    <w:rsid w:val="00802451"/>
    <w:rsid w:val="0080273A"/>
    <w:rsid w:val="00802E93"/>
    <w:rsid w:val="00803682"/>
    <w:rsid w:val="00803C89"/>
    <w:rsid w:val="00804212"/>
    <w:rsid w:val="00804442"/>
    <w:rsid w:val="00804B03"/>
    <w:rsid w:val="008059FF"/>
    <w:rsid w:val="00805A5B"/>
    <w:rsid w:val="00805CAE"/>
    <w:rsid w:val="00805E83"/>
    <w:rsid w:val="00805F08"/>
    <w:rsid w:val="00806C71"/>
    <w:rsid w:val="00806D9B"/>
    <w:rsid w:val="0080775D"/>
    <w:rsid w:val="008079A9"/>
    <w:rsid w:val="00807DA0"/>
    <w:rsid w:val="00810766"/>
    <w:rsid w:val="008117CC"/>
    <w:rsid w:val="00811D39"/>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75C"/>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46E"/>
    <w:rsid w:val="00841E4A"/>
    <w:rsid w:val="008422EC"/>
    <w:rsid w:val="00842C7F"/>
    <w:rsid w:val="0084396D"/>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753"/>
    <w:rsid w:val="00877DA5"/>
    <w:rsid w:val="00877F14"/>
    <w:rsid w:val="0088062A"/>
    <w:rsid w:val="00880852"/>
    <w:rsid w:val="00881598"/>
    <w:rsid w:val="00881F95"/>
    <w:rsid w:val="00882F26"/>
    <w:rsid w:val="008831C0"/>
    <w:rsid w:val="0088335C"/>
    <w:rsid w:val="00883602"/>
    <w:rsid w:val="008838AA"/>
    <w:rsid w:val="00883C9C"/>
    <w:rsid w:val="008842F0"/>
    <w:rsid w:val="008851BF"/>
    <w:rsid w:val="0088574B"/>
    <w:rsid w:val="0088594E"/>
    <w:rsid w:val="00885A60"/>
    <w:rsid w:val="0088649D"/>
    <w:rsid w:val="0088649F"/>
    <w:rsid w:val="00886768"/>
    <w:rsid w:val="0088692F"/>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5E50"/>
    <w:rsid w:val="008A622A"/>
    <w:rsid w:val="008A6351"/>
    <w:rsid w:val="008A6446"/>
    <w:rsid w:val="008A78C5"/>
    <w:rsid w:val="008B0019"/>
    <w:rsid w:val="008B00B8"/>
    <w:rsid w:val="008B0908"/>
    <w:rsid w:val="008B11CC"/>
    <w:rsid w:val="008B1339"/>
    <w:rsid w:val="008B1DD6"/>
    <w:rsid w:val="008B225B"/>
    <w:rsid w:val="008B2966"/>
    <w:rsid w:val="008B34DD"/>
    <w:rsid w:val="008B39BD"/>
    <w:rsid w:val="008B3E3D"/>
    <w:rsid w:val="008B5001"/>
    <w:rsid w:val="008B63C9"/>
    <w:rsid w:val="008B6925"/>
    <w:rsid w:val="008B700A"/>
    <w:rsid w:val="008B71B5"/>
    <w:rsid w:val="008B7526"/>
    <w:rsid w:val="008B7775"/>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89C"/>
    <w:rsid w:val="008D5C72"/>
    <w:rsid w:val="008D5E09"/>
    <w:rsid w:val="008D6050"/>
    <w:rsid w:val="008D6499"/>
    <w:rsid w:val="008D68C3"/>
    <w:rsid w:val="008D7678"/>
    <w:rsid w:val="008D773B"/>
    <w:rsid w:val="008D7748"/>
    <w:rsid w:val="008D7D66"/>
    <w:rsid w:val="008D7EDA"/>
    <w:rsid w:val="008D7FA9"/>
    <w:rsid w:val="008E0597"/>
    <w:rsid w:val="008E06FC"/>
    <w:rsid w:val="008E0942"/>
    <w:rsid w:val="008E0A7D"/>
    <w:rsid w:val="008E165F"/>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34D"/>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9E4"/>
    <w:rsid w:val="00933F8F"/>
    <w:rsid w:val="00934200"/>
    <w:rsid w:val="0093427C"/>
    <w:rsid w:val="009348FC"/>
    <w:rsid w:val="0093517B"/>
    <w:rsid w:val="0093538F"/>
    <w:rsid w:val="00935943"/>
    <w:rsid w:val="00936631"/>
    <w:rsid w:val="00936BBC"/>
    <w:rsid w:val="00936C1A"/>
    <w:rsid w:val="00936EED"/>
    <w:rsid w:val="0093742C"/>
    <w:rsid w:val="00937DB0"/>
    <w:rsid w:val="00937F6C"/>
    <w:rsid w:val="0094077F"/>
    <w:rsid w:val="00940972"/>
    <w:rsid w:val="00940CDA"/>
    <w:rsid w:val="00940D58"/>
    <w:rsid w:val="009410B1"/>
    <w:rsid w:val="009412EC"/>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A9F"/>
    <w:rsid w:val="00950BCA"/>
    <w:rsid w:val="00950F35"/>
    <w:rsid w:val="00952203"/>
    <w:rsid w:val="00952910"/>
    <w:rsid w:val="00952DFE"/>
    <w:rsid w:val="009537A0"/>
    <w:rsid w:val="00953838"/>
    <w:rsid w:val="009539AE"/>
    <w:rsid w:val="00953A6E"/>
    <w:rsid w:val="009548C2"/>
    <w:rsid w:val="009548CA"/>
    <w:rsid w:val="00955F29"/>
    <w:rsid w:val="00955F75"/>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9C5"/>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C7"/>
    <w:rsid w:val="0097283E"/>
    <w:rsid w:val="00972F05"/>
    <w:rsid w:val="009739DD"/>
    <w:rsid w:val="009739F6"/>
    <w:rsid w:val="00973BFF"/>
    <w:rsid w:val="00973D02"/>
    <w:rsid w:val="00974451"/>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36A"/>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2FA"/>
    <w:rsid w:val="00993500"/>
    <w:rsid w:val="00993770"/>
    <w:rsid w:val="00993EDF"/>
    <w:rsid w:val="009941A8"/>
    <w:rsid w:val="00995B06"/>
    <w:rsid w:val="0099621E"/>
    <w:rsid w:val="009963B4"/>
    <w:rsid w:val="00996794"/>
    <w:rsid w:val="00996AB3"/>
    <w:rsid w:val="00997316"/>
    <w:rsid w:val="009974D4"/>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9B7"/>
    <w:rsid w:val="009D0ED6"/>
    <w:rsid w:val="009D0F71"/>
    <w:rsid w:val="009D11BE"/>
    <w:rsid w:val="009D1711"/>
    <w:rsid w:val="009D1831"/>
    <w:rsid w:val="009D201E"/>
    <w:rsid w:val="009D27E2"/>
    <w:rsid w:val="009D294A"/>
    <w:rsid w:val="009D2EC8"/>
    <w:rsid w:val="009D2EDB"/>
    <w:rsid w:val="009D374B"/>
    <w:rsid w:val="009D3C82"/>
    <w:rsid w:val="009D3EC7"/>
    <w:rsid w:val="009D5C26"/>
    <w:rsid w:val="009D60EF"/>
    <w:rsid w:val="009D617D"/>
    <w:rsid w:val="009D6335"/>
    <w:rsid w:val="009D6755"/>
    <w:rsid w:val="009D6B53"/>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52"/>
    <w:rsid w:val="009F0961"/>
    <w:rsid w:val="009F0B42"/>
    <w:rsid w:val="009F0D06"/>
    <w:rsid w:val="009F0E3E"/>
    <w:rsid w:val="009F0EA8"/>
    <w:rsid w:val="009F150F"/>
    <w:rsid w:val="009F19D4"/>
    <w:rsid w:val="009F1AB6"/>
    <w:rsid w:val="009F1CCE"/>
    <w:rsid w:val="009F2046"/>
    <w:rsid w:val="009F23C2"/>
    <w:rsid w:val="009F2705"/>
    <w:rsid w:val="009F2CCB"/>
    <w:rsid w:val="009F40B2"/>
    <w:rsid w:val="009F4218"/>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6BA1"/>
    <w:rsid w:val="00A0756F"/>
    <w:rsid w:val="00A07627"/>
    <w:rsid w:val="00A11024"/>
    <w:rsid w:val="00A11233"/>
    <w:rsid w:val="00A11619"/>
    <w:rsid w:val="00A1175A"/>
    <w:rsid w:val="00A11B39"/>
    <w:rsid w:val="00A11C34"/>
    <w:rsid w:val="00A127A4"/>
    <w:rsid w:val="00A1302E"/>
    <w:rsid w:val="00A13637"/>
    <w:rsid w:val="00A13741"/>
    <w:rsid w:val="00A1375F"/>
    <w:rsid w:val="00A139D8"/>
    <w:rsid w:val="00A1493B"/>
    <w:rsid w:val="00A14A4E"/>
    <w:rsid w:val="00A166EE"/>
    <w:rsid w:val="00A16D9E"/>
    <w:rsid w:val="00A2014B"/>
    <w:rsid w:val="00A20226"/>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6D2"/>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1A7"/>
    <w:rsid w:val="00A3447A"/>
    <w:rsid w:val="00A34CE4"/>
    <w:rsid w:val="00A35172"/>
    <w:rsid w:val="00A356F2"/>
    <w:rsid w:val="00A3617A"/>
    <w:rsid w:val="00A3689D"/>
    <w:rsid w:val="00A37C30"/>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22"/>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3FF1"/>
    <w:rsid w:val="00A54110"/>
    <w:rsid w:val="00A550CD"/>
    <w:rsid w:val="00A55945"/>
    <w:rsid w:val="00A560FD"/>
    <w:rsid w:val="00A56129"/>
    <w:rsid w:val="00A56AE1"/>
    <w:rsid w:val="00A57335"/>
    <w:rsid w:val="00A57AD7"/>
    <w:rsid w:val="00A57C21"/>
    <w:rsid w:val="00A57CBA"/>
    <w:rsid w:val="00A57EAE"/>
    <w:rsid w:val="00A60552"/>
    <w:rsid w:val="00A60B7A"/>
    <w:rsid w:val="00A60E10"/>
    <w:rsid w:val="00A617BC"/>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8B3"/>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B2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819"/>
    <w:rsid w:val="00AA390E"/>
    <w:rsid w:val="00AA3C87"/>
    <w:rsid w:val="00AA44D3"/>
    <w:rsid w:val="00AA48A5"/>
    <w:rsid w:val="00AA4926"/>
    <w:rsid w:val="00AA4BFA"/>
    <w:rsid w:val="00AA53AA"/>
    <w:rsid w:val="00AA5599"/>
    <w:rsid w:val="00AA564D"/>
    <w:rsid w:val="00AA5BFA"/>
    <w:rsid w:val="00AA5C2A"/>
    <w:rsid w:val="00AA61B8"/>
    <w:rsid w:val="00AA68CF"/>
    <w:rsid w:val="00AA6C3A"/>
    <w:rsid w:val="00AA6EBE"/>
    <w:rsid w:val="00AA6EFC"/>
    <w:rsid w:val="00AA7019"/>
    <w:rsid w:val="00AA7310"/>
    <w:rsid w:val="00AA766D"/>
    <w:rsid w:val="00AA76CF"/>
    <w:rsid w:val="00AA7844"/>
    <w:rsid w:val="00AA7A6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0F0"/>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6B2C"/>
    <w:rsid w:val="00AC70C9"/>
    <w:rsid w:val="00AC739E"/>
    <w:rsid w:val="00AC77B0"/>
    <w:rsid w:val="00AC7B97"/>
    <w:rsid w:val="00AC7C43"/>
    <w:rsid w:val="00AD042C"/>
    <w:rsid w:val="00AD08C1"/>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43BD"/>
    <w:rsid w:val="00AD47A6"/>
    <w:rsid w:val="00AD48BB"/>
    <w:rsid w:val="00AD5AF1"/>
    <w:rsid w:val="00AD5D99"/>
    <w:rsid w:val="00AD6316"/>
    <w:rsid w:val="00AD65CD"/>
    <w:rsid w:val="00AD66B5"/>
    <w:rsid w:val="00AD6AAF"/>
    <w:rsid w:val="00AD743B"/>
    <w:rsid w:val="00AE0492"/>
    <w:rsid w:val="00AE07B5"/>
    <w:rsid w:val="00AE09AC"/>
    <w:rsid w:val="00AE0C17"/>
    <w:rsid w:val="00AE18D5"/>
    <w:rsid w:val="00AE26E7"/>
    <w:rsid w:val="00AE27B1"/>
    <w:rsid w:val="00AE281B"/>
    <w:rsid w:val="00AE2FE6"/>
    <w:rsid w:val="00AE3DC4"/>
    <w:rsid w:val="00AE4585"/>
    <w:rsid w:val="00AE45DB"/>
    <w:rsid w:val="00AE4768"/>
    <w:rsid w:val="00AE4B07"/>
    <w:rsid w:val="00AE5631"/>
    <w:rsid w:val="00AE67F7"/>
    <w:rsid w:val="00AE6C84"/>
    <w:rsid w:val="00AE6EA9"/>
    <w:rsid w:val="00AE6F5F"/>
    <w:rsid w:val="00AE7110"/>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C64"/>
    <w:rsid w:val="00AF5EF6"/>
    <w:rsid w:val="00AF6C24"/>
    <w:rsid w:val="00AF6E7F"/>
    <w:rsid w:val="00AF7162"/>
    <w:rsid w:val="00AF7575"/>
    <w:rsid w:val="00AF7949"/>
    <w:rsid w:val="00AF7A0B"/>
    <w:rsid w:val="00AF7B90"/>
    <w:rsid w:val="00B01153"/>
    <w:rsid w:val="00B01545"/>
    <w:rsid w:val="00B0168D"/>
    <w:rsid w:val="00B018E7"/>
    <w:rsid w:val="00B018F3"/>
    <w:rsid w:val="00B020EB"/>
    <w:rsid w:val="00B0244B"/>
    <w:rsid w:val="00B02D12"/>
    <w:rsid w:val="00B031BD"/>
    <w:rsid w:val="00B03E19"/>
    <w:rsid w:val="00B040E3"/>
    <w:rsid w:val="00B04104"/>
    <w:rsid w:val="00B045AD"/>
    <w:rsid w:val="00B04E2B"/>
    <w:rsid w:val="00B057A7"/>
    <w:rsid w:val="00B0677A"/>
    <w:rsid w:val="00B06D88"/>
    <w:rsid w:val="00B06FFA"/>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0CF"/>
    <w:rsid w:val="00B1579E"/>
    <w:rsid w:val="00B15B8A"/>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68FF"/>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EC1"/>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146"/>
    <w:rsid w:val="00B94C04"/>
    <w:rsid w:val="00B94EB1"/>
    <w:rsid w:val="00B95486"/>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93D"/>
    <w:rsid w:val="00BB0A85"/>
    <w:rsid w:val="00BB13AD"/>
    <w:rsid w:val="00BB1EE1"/>
    <w:rsid w:val="00BB2364"/>
    <w:rsid w:val="00BB29A9"/>
    <w:rsid w:val="00BB35EE"/>
    <w:rsid w:val="00BB3823"/>
    <w:rsid w:val="00BB3883"/>
    <w:rsid w:val="00BB3C9D"/>
    <w:rsid w:val="00BB3F91"/>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3BA"/>
    <w:rsid w:val="00BC770A"/>
    <w:rsid w:val="00BD0542"/>
    <w:rsid w:val="00BD05CA"/>
    <w:rsid w:val="00BD0F19"/>
    <w:rsid w:val="00BD12B6"/>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173C"/>
    <w:rsid w:val="00BE214A"/>
    <w:rsid w:val="00BE215C"/>
    <w:rsid w:val="00BE243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646"/>
    <w:rsid w:val="00BF46F6"/>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7BF"/>
    <w:rsid w:val="00C03F7A"/>
    <w:rsid w:val="00C0436A"/>
    <w:rsid w:val="00C0486E"/>
    <w:rsid w:val="00C04CCB"/>
    <w:rsid w:val="00C052B7"/>
    <w:rsid w:val="00C057BF"/>
    <w:rsid w:val="00C0585D"/>
    <w:rsid w:val="00C05C01"/>
    <w:rsid w:val="00C06F89"/>
    <w:rsid w:val="00C07011"/>
    <w:rsid w:val="00C07FC5"/>
    <w:rsid w:val="00C10812"/>
    <w:rsid w:val="00C108DF"/>
    <w:rsid w:val="00C10EEE"/>
    <w:rsid w:val="00C11597"/>
    <w:rsid w:val="00C11FAE"/>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3BF"/>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EA8"/>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EB1"/>
    <w:rsid w:val="00C41F05"/>
    <w:rsid w:val="00C421C2"/>
    <w:rsid w:val="00C4230D"/>
    <w:rsid w:val="00C423FC"/>
    <w:rsid w:val="00C43937"/>
    <w:rsid w:val="00C43A32"/>
    <w:rsid w:val="00C43D02"/>
    <w:rsid w:val="00C441CD"/>
    <w:rsid w:val="00C4548E"/>
    <w:rsid w:val="00C45C4C"/>
    <w:rsid w:val="00C4630A"/>
    <w:rsid w:val="00C4700C"/>
    <w:rsid w:val="00C507F4"/>
    <w:rsid w:val="00C50835"/>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CEE"/>
    <w:rsid w:val="00C60F50"/>
    <w:rsid w:val="00C6133E"/>
    <w:rsid w:val="00C6151D"/>
    <w:rsid w:val="00C61D1F"/>
    <w:rsid w:val="00C61F59"/>
    <w:rsid w:val="00C62385"/>
    <w:rsid w:val="00C62B05"/>
    <w:rsid w:val="00C6338C"/>
    <w:rsid w:val="00C63735"/>
    <w:rsid w:val="00C641AB"/>
    <w:rsid w:val="00C649F1"/>
    <w:rsid w:val="00C66919"/>
    <w:rsid w:val="00C66C21"/>
    <w:rsid w:val="00C671F7"/>
    <w:rsid w:val="00C673CF"/>
    <w:rsid w:val="00C677E6"/>
    <w:rsid w:val="00C67A90"/>
    <w:rsid w:val="00C70810"/>
    <w:rsid w:val="00C70FB7"/>
    <w:rsid w:val="00C71373"/>
    <w:rsid w:val="00C71401"/>
    <w:rsid w:val="00C7170E"/>
    <w:rsid w:val="00C71888"/>
    <w:rsid w:val="00C724A7"/>
    <w:rsid w:val="00C7267B"/>
    <w:rsid w:val="00C72785"/>
    <w:rsid w:val="00C72FC7"/>
    <w:rsid w:val="00C73084"/>
    <w:rsid w:val="00C733DB"/>
    <w:rsid w:val="00C74181"/>
    <w:rsid w:val="00C748B8"/>
    <w:rsid w:val="00C74D84"/>
    <w:rsid w:val="00C75787"/>
    <w:rsid w:val="00C75A16"/>
    <w:rsid w:val="00C75BAF"/>
    <w:rsid w:val="00C75EC5"/>
    <w:rsid w:val="00C75F3B"/>
    <w:rsid w:val="00C764CF"/>
    <w:rsid w:val="00C765CD"/>
    <w:rsid w:val="00C76CC2"/>
    <w:rsid w:val="00C7715E"/>
    <w:rsid w:val="00C7788E"/>
    <w:rsid w:val="00C778B4"/>
    <w:rsid w:val="00C779D8"/>
    <w:rsid w:val="00C77AAA"/>
    <w:rsid w:val="00C801B1"/>
    <w:rsid w:val="00C804BE"/>
    <w:rsid w:val="00C80F8C"/>
    <w:rsid w:val="00C812D2"/>
    <w:rsid w:val="00C813CF"/>
    <w:rsid w:val="00C8219A"/>
    <w:rsid w:val="00C835BF"/>
    <w:rsid w:val="00C83685"/>
    <w:rsid w:val="00C83CB6"/>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919"/>
    <w:rsid w:val="00CA0E4C"/>
    <w:rsid w:val="00CA0FD7"/>
    <w:rsid w:val="00CA0FFF"/>
    <w:rsid w:val="00CA1AF4"/>
    <w:rsid w:val="00CA217B"/>
    <w:rsid w:val="00CA2D89"/>
    <w:rsid w:val="00CA328C"/>
    <w:rsid w:val="00CA3488"/>
    <w:rsid w:val="00CA40D9"/>
    <w:rsid w:val="00CA421E"/>
    <w:rsid w:val="00CA4911"/>
    <w:rsid w:val="00CA4AE4"/>
    <w:rsid w:val="00CA4FFF"/>
    <w:rsid w:val="00CA538C"/>
    <w:rsid w:val="00CA574E"/>
    <w:rsid w:val="00CA5C7C"/>
    <w:rsid w:val="00CA5F76"/>
    <w:rsid w:val="00CA66DA"/>
    <w:rsid w:val="00CA6B3E"/>
    <w:rsid w:val="00CA7AC5"/>
    <w:rsid w:val="00CA7F00"/>
    <w:rsid w:val="00CB022E"/>
    <w:rsid w:val="00CB029B"/>
    <w:rsid w:val="00CB03F1"/>
    <w:rsid w:val="00CB05C2"/>
    <w:rsid w:val="00CB0700"/>
    <w:rsid w:val="00CB0A14"/>
    <w:rsid w:val="00CB0D34"/>
    <w:rsid w:val="00CB14A3"/>
    <w:rsid w:val="00CB1932"/>
    <w:rsid w:val="00CB22AE"/>
    <w:rsid w:val="00CB28A0"/>
    <w:rsid w:val="00CB294E"/>
    <w:rsid w:val="00CB2BA6"/>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1C2D"/>
    <w:rsid w:val="00CC1F88"/>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4677"/>
    <w:rsid w:val="00CF5A72"/>
    <w:rsid w:val="00CF5B6A"/>
    <w:rsid w:val="00CF6421"/>
    <w:rsid w:val="00CF7515"/>
    <w:rsid w:val="00D00664"/>
    <w:rsid w:val="00D00A64"/>
    <w:rsid w:val="00D00B6E"/>
    <w:rsid w:val="00D01412"/>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25F"/>
    <w:rsid w:val="00D159D4"/>
    <w:rsid w:val="00D15E8B"/>
    <w:rsid w:val="00D16391"/>
    <w:rsid w:val="00D16559"/>
    <w:rsid w:val="00D16CAB"/>
    <w:rsid w:val="00D16EF4"/>
    <w:rsid w:val="00D17BD4"/>
    <w:rsid w:val="00D17EAC"/>
    <w:rsid w:val="00D17ECD"/>
    <w:rsid w:val="00D20212"/>
    <w:rsid w:val="00D205A3"/>
    <w:rsid w:val="00D20A11"/>
    <w:rsid w:val="00D20FD7"/>
    <w:rsid w:val="00D212DF"/>
    <w:rsid w:val="00D21D91"/>
    <w:rsid w:val="00D22638"/>
    <w:rsid w:val="00D22B05"/>
    <w:rsid w:val="00D23C5B"/>
    <w:rsid w:val="00D2486D"/>
    <w:rsid w:val="00D24B37"/>
    <w:rsid w:val="00D253F8"/>
    <w:rsid w:val="00D255A8"/>
    <w:rsid w:val="00D25733"/>
    <w:rsid w:val="00D25D8E"/>
    <w:rsid w:val="00D26144"/>
    <w:rsid w:val="00D27855"/>
    <w:rsid w:val="00D278B8"/>
    <w:rsid w:val="00D30461"/>
    <w:rsid w:val="00D30561"/>
    <w:rsid w:val="00D30C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1EBD"/>
    <w:rsid w:val="00D422A1"/>
    <w:rsid w:val="00D43343"/>
    <w:rsid w:val="00D43A22"/>
    <w:rsid w:val="00D43AA3"/>
    <w:rsid w:val="00D43DD3"/>
    <w:rsid w:val="00D440CC"/>
    <w:rsid w:val="00D44420"/>
    <w:rsid w:val="00D44655"/>
    <w:rsid w:val="00D446DF"/>
    <w:rsid w:val="00D4474E"/>
    <w:rsid w:val="00D44C70"/>
    <w:rsid w:val="00D44CFE"/>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1B5"/>
    <w:rsid w:val="00D566DF"/>
    <w:rsid w:val="00D57CB6"/>
    <w:rsid w:val="00D60074"/>
    <w:rsid w:val="00D60251"/>
    <w:rsid w:val="00D607A2"/>
    <w:rsid w:val="00D611EE"/>
    <w:rsid w:val="00D61478"/>
    <w:rsid w:val="00D61554"/>
    <w:rsid w:val="00D61DE5"/>
    <w:rsid w:val="00D62461"/>
    <w:rsid w:val="00D62A02"/>
    <w:rsid w:val="00D64204"/>
    <w:rsid w:val="00D642C4"/>
    <w:rsid w:val="00D64437"/>
    <w:rsid w:val="00D6540E"/>
    <w:rsid w:val="00D65AEB"/>
    <w:rsid w:val="00D6610B"/>
    <w:rsid w:val="00D66C0A"/>
    <w:rsid w:val="00D66DEF"/>
    <w:rsid w:val="00D67464"/>
    <w:rsid w:val="00D67770"/>
    <w:rsid w:val="00D67B93"/>
    <w:rsid w:val="00D67E07"/>
    <w:rsid w:val="00D71480"/>
    <w:rsid w:val="00D7177B"/>
    <w:rsid w:val="00D71B73"/>
    <w:rsid w:val="00D71F84"/>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682D"/>
    <w:rsid w:val="00D86DB5"/>
    <w:rsid w:val="00D87A8E"/>
    <w:rsid w:val="00D9016A"/>
    <w:rsid w:val="00D90F34"/>
    <w:rsid w:val="00D91286"/>
    <w:rsid w:val="00D913BB"/>
    <w:rsid w:val="00D91438"/>
    <w:rsid w:val="00D9186C"/>
    <w:rsid w:val="00D91E6A"/>
    <w:rsid w:val="00D91F4E"/>
    <w:rsid w:val="00D92019"/>
    <w:rsid w:val="00D9206C"/>
    <w:rsid w:val="00D920E3"/>
    <w:rsid w:val="00D92984"/>
    <w:rsid w:val="00D92BD7"/>
    <w:rsid w:val="00D9389A"/>
    <w:rsid w:val="00D93976"/>
    <w:rsid w:val="00D93CAF"/>
    <w:rsid w:val="00D94B2E"/>
    <w:rsid w:val="00D95268"/>
    <w:rsid w:val="00D952FA"/>
    <w:rsid w:val="00D9541E"/>
    <w:rsid w:val="00D95B77"/>
    <w:rsid w:val="00D96A9B"/>
    <w:rsid w:val="00D9736C"/>
    <w:rsid w:val="00D9765D"/>
    <w:rsid w:val="00D9778C"/>
    <w:rsid w:val="00D977AF"/>
    <w:rsid w:val="00D97FDA"/>
    <w:rsid w:val="00DA015F"/>
    <w:rsid w:val="00DA0234"/>
    <w:rsid w:val="00DA049F"/>
    <w:rsid w:val="00DA0C95"/>
    <w:rsid w:val="00DA0F40"/>
    <w:rsid w:val="00DA10A8"/>
    <w:rsid w:val="00DA1918"/>
    <w:rsid w:val="00DA1DE7"/>
    <w:rsid w:val="00DA271B"/>
    <w:rsid w:val="00DA2987"/>
    <w:rsid w:val="00DA2DD6"/>
    <w:rsid w:val="00DA3028"/>
    <w:rsid w:val="00DA3205"/>
    <w:rsid w:val="00DA387F"/>
    <w:rsid w:val="00DA3DCE"/>
    <w:rsid w:val="00DA40FC"/>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627"/>
    <w:rsid w:val="00DB07A9"/>
    <w:rsid w:val="00DB0A64"/>
    <w:rsid w:val="00DB1878"/>
    <w:rsid w:val="00DB1B18"/>
    <w:rsid w:val="00DB1F38"/>
    <w:rsid w:val="00DB1F39"/>
    <w:rsid w:val="00DB20B1"/>
    <w:rsid w:val="00DB26B9"/>
    <w:rsid w:val="00DB2967"/>
    <w:rsid w:val="00DB29D7"/>
    <w:rsid w:val="00DB2C3C"/>
    <w:rsid w:val="00DB2C8A"/>
    <w:rsid w:val="00DB33F8"/>
    <w:rsid w:val="00DB38FF"/>
    <w:rsid w:val="00DB3DDC"/>
    <w:rsid w:val="00DB4197"/>
    <w:rsid w:val="00DB4980"/>
    <w:rsid w:val="00DB4FA7"/>
    <w:rsid w:val="00DB5B41"/>
    <w:rsid w:val="00DB5B8B"/>
    <w:rsid w:val="00DB5EC6"/>
    <w:rsid w:val="00DB63E0"/>
    <w:rsid w:val="00DB63FB"/>
    <w:rsid w:val="00DB6554"/>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3AF"/>
    <w:rsid w:val="00DC5D75"/>
    <w:rsid w:val="00DC6E2E"/>
    <w:rsid w:val="00DC70DE"/>
    <w:rsid w:val="00DC7579"/>
    <w:rsid w:val="00DC76FF"/>
    <w:rsid w:val="00DC79CF"/>
    <w:rsid w:val="00DC7B79"/>
    <w:rsid w:val="00DC7F94"/>
    <w:rsid w:val="00DD022B"/>
    <w:rsid w:val="00DD04A0"/>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889"/>
    <w:rsid w:val="00DD6DED"/>
    <w:rsid w:val="00DD7161"/>
    <w:rsid w:val="00DD72E4"/>
    <w:rsid w:val="00DD739D"/>
    <w:rsid w:val="00DD777D"/>
    <w:rsid w:val="00DE0088"/>
    <w:rsid w:val="00DE0132"/>
    <w:rsid w:val="00DE0781"/>
    <w:rsid w:val="00DE121A"/>
    <w:rsid w:val="00DE143F"/>
    <w:rsid w:val="00DE192E"/>
    <w:rsid w:val="00DE1D5C"/>
    <w:rsid w:val="00DE3177"/>
    <w:rsid w:val="00DE3A77"/>
    <w:rsid w:val="00DE3E34"/>
    <w:rsid w:val="00DE3FAE"/>
    <w:rsid w:val="00DE43CA"/>
    <w:rsid w:val="00DE4400"/>
    <w:rsid w:val="00DE461D"/>
    <w:rsid w:val="00DE47B5"/>
    <w:rsid w:val="00DE4856"/>
    <w:rsid w:val="00DE4868"/>
    <w:rsid w:val="00DE491E"/>
    <w:rsid w:val="00DE5140"/>
    <w:rsid w:val="00DE5399"/>
    <w:rsid w:val="00DE5A70"/>
    <w:rsid w:val="00DE5DA6"/>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10CC9"/>
    <w:rsid w:val="00E110F8"/>
    <w:rsid w:val="00E120FD"/>
    <w:rsid w:val="00E12322"/>
    <w:rsid w:val="00E12B9D"/>
    <w:rsid w:val="00E13B19"/>
    <w:rsid w:val="00E149E9"/>
    <w:rsid w:val="00E14FC1"/>
    <w:rsid w:val="00E153A2"/>
    <w:rsid w:val="00E15A4A"/>
    <w:rsid w:val="00E15BE0"/>
    <w:rsid w:val="00E15C58"/>
    <w:rsid w:val="00E15F30"/>
    <w:rsid w:val="00E16208"/>
    <w:rsid w:val="00E16513"/>
    <w:rsid w:val="00E16B06"/>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1C02"/>
    <w:rsid w:val="00E422A0"/>
    <w:rsid w:val="00E42905"/>
    <w:rsid w:val="00E42F0C"/>
    <w:rsid w:val="00E42F1E"/>
    <w:rsid w:val="00E43258"/>
    <w:rsid w:val="00E433F5"/>
    <w:rsid w:val="00E44599"/>
    <w:rsid w:val="00E44ADD"/>
    <w:rsid w:val="00E44BB1"/>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37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4C65"/>
    <w:rsid w:val="00E75068"/>
    <w:rsid w:val="00E7586C"/>
    <w:rsid w:val="00E76B3A"/>
    <w:rsid w:val="00E76BC6"/>
    <w:rsid w:val="00E77CB9"/>
    <w:rsid w:val="00E80488"/>
    <w:rsid w:val="00E808C7"/>
    <w:rsid w:val="00E80B7F"/>
    <w:rsid w:val="00E81572"/>
    <w:rsid w:val="00E816E0"/>
    <w:rsid w:val="00E81912"/>
    <w:rsid w:val="00E82955"/>
    <w:rsid w:val="00E82A21"/>
    <w:rsid w:val="00E82DFF"/>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87734"/>
    <w:rsid w:val="00E9151F"/>
    <w:rsid w:val="00E91588"/>
    <w:rsid w:val="00E915CC"/>
    <w:rsid w:val="00E91D9A"/>
    <w:rsid w:val="00E9246E"/>
    <w:rsid w:val="00E92585"/>
    <w:rsid w:val="00E925FB"/>
    <w:rsid w:val="00E92A98"/>
    <w:rsid w:val="00E9369B"/>
    <w:rsid w:val="00E947D0"/>
    <w:rsid w:val="00E94F26"/>
    <w:rsid w:val="00E958A5"/>
    <w:rsid w:val="00E95AE0"/>
    <w:rsid w:val="00E96568"/>
    <w:rsid w:val="00E96AC5"/>
    <w:rsid w:val="00E96BE8"/>
    <w:rsid w:val="00E96CDD"/>
    <w:rsid w:val="00E96EA4"/>
    <w:rsid w:val="00E97522"/>
    <w:rsid w:val="00EA0839"/>
    <w:rsid w:val="00EA0ECA"/>
    <w:rsid w:val="00EA0F34"/>
    <w:rsid w:val="00EA1079"/>
    <w:rsid w:val="00EA131F"/>
    <w:rsid w:val="00EA1414"/>
    <w:rsid w:val="00EA1D12"/>
    <w:rsid w:val="00EA1ECC"/>
    <w:rsid w:val="00EA1EE4"/>
    <w:rsid w:val="00EA23FF"/>
    <w:rsid w:val="00EA27D1"/>
    <w:rsid w:val="00EA2DA0"/>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2AD"/>
    <w:rsid w:val="00EB0828"/>
    <w:rsid w:val="00EB0940"/>
    <w:rsid w:val="00EB1644"/>
    <w:rsid w:val="00EB1F03"/>
    <w:rsid w:val="00EB2BC1"/>
    <w:rsid w:val="00EB3302"/>
    <w:rsid w:val="00EB34EA"/>
    <w:rsid w:val="00EB3635"/>
    <w:rsid w:val="00EB3895"/>
    <w:rsid w:val="00EB456A"/>
    <w:rsid w:val="00EB4F8F"/>
    <w:rsid w:val="00EB51AA"/>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16AB"/>
    <w:rsid w:val="00EC26E1"/>
    <w:rsid w:val="00EC298C"/>
    <w:rsid w:val="00EC2C26"/>
    <w:rsid w:val="00EC3861"/>
    <w:rsid w:val="00EC509C"/>
    <w:rsid w:val="00EC5301"/>
    <w:rsid w:val="00EC5454"/>
    <w:rsid w:val="00EC5CA8"/>
    <w:rsid w:val="00EC64B5"/>
    <w:rsid w:val="00EC685F"/>
    <w:rsid w:val="00EC715C"/>
    <w:rsid w:val="00EC761D"/>
    <w:rsid w:val="00EC7656"/>
    <w:rsid w:val="00ED059D"/>
    <w:rsid w:val="00ED0A62"/>
    <w:rsid w:val="00ED0EFD"/>
    <w:rsid w:val="00ED1F7C"/>
    <w:rsid w:val="00ED255A"/>
    <w:rsid w:val="00ED2644"/>
    <w:rsid w:val="00ED2D9C"/>
    <w:rsid w:val="00ED360F"/>
    <w:rsid w:val="00ED37A6"/>
    <w:rsid w:val="00ED3E2B"/>
    <w:rsid w:val="00ED3EC5"/>
    <w:rsid w:val="00ED4566"/>
    <w:rsid w:val="00ED4E8E"/>
    <w:rsid w:val="00ED4F9F"/>
    <w:rsid w:val="00ED5205"/>
    <w:rsid w:val="00ED5486"/>
    <w:rsid w:val="00ED586C"/>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4874"/>
    <w:rsid w:val="00EF5242"/>
    <w:rsid w:val="00EF5FD3"/>
    <w:rsid w:val="00EF5FEF"/>
    <w:rsid w:val="00EF6383"/>
    <w:rsid w:val="00EF645D"/>
    <w:rsid w:val="00EF6910"/>
    <w:rsid w:val="00EF7031"/>
    <w:rsid w:val="00EF7198"/>
    <w:rsid w:val="00EF7982"/>
    <w:rsid w:val="00EF7AE9"/>
    <w:rsid w:val="00F00DAC"/>
    <w:rsid w:val="00F01AB5"/>
    <w:rsid w:val="00F01DBA"/>
    <w:rsid w:val="00F0219A"/>
    <w:rsid w:val="00F0244B"/>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43"/>
    <w:rsid w:val="00F16ADE"/>
    <w:rsid w:val="00F17345"/>
    <w:rsid w:val="00F17AC9"/>
    <w:rsid w:val="00F17B70"/>
    <w:rsid w:val="00F212DD"/>
    <w:rsid w:val="00F218FF"/>
    <w:rsid w:val="00F2244C"/>
    <w:rsid w:val="00F2293D"/>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0E88"/>
    <w:rsid w:val="00F413DE"/>
    <w:rsid w:val="00F41917"/>
    <w:rsid w:val="00F43AFE"/>
    <w:rsid w:val="00F43BF4"/>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3B"/>
    <w:rsid w:val="00F521B2"/>
    <w:rsid w:val="00F52383"/>
    <w:rsid w:val="00F5250F"/>
    <w:rsid w:val="00F52B2C"/>
    <w:rsid w:val="00F52CBC"/>
    <w:rsid w:val="00F52F48"/>
    <w:rsid w:val="00F530F1"/>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57FDE"/>
    <w:rsid w:val="00F614DD"/>
    <w:rsid w:val="00F61543"/>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6D93"/>
    <w:rsid w:val="00F7024E"/>
    <w:rsid w:val="00F705FE"/>
    <w:rsid w:val="00F70754"/>
    <w:rsid w:val="00F710AB"/>
    <w:rsid w:val="00F7149E"/>
    <w:rsid w:val="00F714AC"/>
    <w:rsid w:val="00F71583"/>
    <w:rsid w:val="00F7187B"/>
    <w:rsid w:val="00F71D98"/>
    <w:rsid w:val="00F71FA2"/>
    <w:rsid w:val="00F71FE6"/>
    <w:rsid w:val="00F7200F"/>
    <w:rsid w:val="00F72734"/>
    <w:rsid w:val="00F72E59"/>
    <w:rsid w:val="00F73129"/>
    <w:rsid w:val="00F745D1"/>
    <w:rsid w:val="00F74711"/>
    <w:rsid w:val="00F74E4E"/>
    <w:rsid w:val="00F74FF2"/>
    <w:rsid w:val="00F75600"/>
    <w:rsid w:val="00F757B3"/>
    <w:rsid w:val="00F75C16"/>
    <w:rsid w:val="00F75F32"/>
    <w:rsid w:val="00F7794C"/>
    <w:rsid w:val="00F77BFA"/>
    <w:rsid w:val="00F8044C"/>
    <w:rsid w:val="00F80560"/>
    <w:rsid w:val="00F80841"/>
    <w:rsid w:val="00F8099F"/>
    <w:rsid w:val="00F80DC2"/>
    <w:rsid w:val="00F81FCF"/>
    <w:rsid w:val="00F82134"/>
    <w:rsid w:val="00F822B2"/>
    <w:rsid w:val="00F822BE"/>
    <w:rsid w:val="00F82627"/>
    <w:rsid w:val="00F827D7"/>
    <w:rsid w:val="00F828E2"/>
    <w:rsid w:val="00F836A2"/>
    <w:rsid w:val="00F836BA"/>
    <w:rsid w:val="00F837A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2AD"/>
    <w:rsid w:val="00F913D6"/>
    <w:rsid w:val="00F915EF"/>
    <w:rsid w:val="00F91A00"/>
    <w:rsid w:val="00F92094"/>
    <w:rsid w:val="00F928D1"/>
    <w:rsid w:val="00F92E10"/>
    <w:rsid w:val="00F93087"/>
    <w:rsid w:val="00F930EF"/>
    <w:rsid w:val="00F9402A"/>
    <w:rsid w:val="00F9454F"/>
    <w:rsid w:val="00F94593"/>
    <w:rsid w:val="00F9477D"/>
    <w:rsid w:val="00F95E33"/>
    <w:rsid w:val="00F960EC"/>
    <w:rsid w:val="00F9611B"/>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02C"/>
    <w:rsid w:val="00FB637B"/>
    <w:rsid w:val="00FB6B8E"/>
    <w:rsid w:val="00FB6E80"/>
    <w:rsid w:val="00FB6EF3"/>
    <w:rsid w:val="00FB72D9"/>
    <w:rsid w:val="00FB7647"/>
    <w:rsid w:val="00FB7BC0"/>
    <w:rsid w:val="00FB7D7B"/>
    <w:rsid w:val="00FC013D"/>
    <w:rsid w:val="00FC09B1"/>
    <w:rsid w:val="00FC0AF6"/>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BBB"/>
    <w:rsid w:val="00FC7DF3"/>
    <w:rsid w:val="00FD0744"/>
    <w:rsid w:val="00FD15D9"/>
    <w:rsid w:val="00FD22CB"/>
    <w:rsid w:val="00FD241D"/>
    <w:rsid w:val="00FD37A4"/>
    <w:rsid w:val="00FD387E"/>
    <w:rsid w:val="00FD3CA5"/>
    <w:rsid w:val="00FD3CB1"/>
    <w:rsid w:val="00FD41F6"/>
    <w:rsid w:val="00FD4FD4"/>
    <w:rsid w:val="00FD50ED"/>
    <w:rsid w:val="00FD5206"/>
    <w:rsid w:val="00FD57F4"/>
    <w:rsid w:val="00FD5889"/>
    <w:rsid w:val="00FD5A53"/>
    <w:rsid w:val="00FD645D"/>
    <w:rsid w:val="00FD6506"/>
    <w:rsid w:val="00FD6D3C"/>
    <w:rsid w:val="00FD6F87"/>
    <w:rsid w:val="00FD736A"/>
    <w:rsid w:val="00FD78AF"/>
    <w:rsid w:val="00FE021D"/>
    <w:rsid w:val="00FE0D14"/>
    <w:rsid w:val="00FE135A"/>
    <w:rsid w:val="00FE1A49"/>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59C4"/>
    <w:rsid w:val="00FE6082"/>
    <w:rsid w:val="00FE6428"/>
    <w:rsid w:val="00FE685C"/>
    <w:rsid w:val="00FF0610"/>
    <w:rsid w:val="00FF08B7"/>
    <w:rsid w:val="00FF0A60"/>
    <w:rsid w:val="00FF1A93"/>
    <w:rsid w:val="00FF200F"/>
    <w:rsid w:val="00FF2316"/>
    <w:rsid w:val="00FF25D7"/>
    <w:rsid w:val="00FF3111"/>
    <w:rsid w:val="00FF40E7"/>
    <w:rsid w:val="00FF4AF4"/>
    <w:rsid w:val="00FF4AFE"/>
    <w:rsid w:val="00FF4D2F"/>
    <w:rsid w:val="00FF5232"/>
    <w:rsid w:val="00FF592F"/>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dium">
    <w:name w:val="medium"/>
    <w:basedOn w:val="Fuentedeprrafopredeter"/>
    <w:rsid w:val="00E44BB1"/>
  </w:style>
  <w:style w:type="paragraph" w:customStyle="1" w:styleId="Citas">
    <w:name w:val="Citas"/>
    <w:basedOn w:val="Normal"/>
    <w:qFormat/>
    <w:rsid w:val="00111F08"/>
    <w:pPr>
      <w:spacing w:before="240" w:after="160" w:line="360" w:lineRule="auto"/>
      <w:ind w:left="851" w:right="851"/>
      <w:jc w:val="both"/>
    </w:pPr>
    <w:rPr>
      <w:rFonts w:ascii="Palatino Linotype" w:eastAsiaTheme="minorHAnsi" w:hAnsi="Palatino Linotype" w:cs="Arial"/>
      <w: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9370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002950">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8956803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0825556">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0227116">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4205646">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9861046">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62667499">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6739677">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7589499">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00044304">
      <w:bodyDiv w:val="1"/>
      <w:marLeft w:val="0"/>
      <w:marRight w:val="0"/>
      <w:marTop w:val="0"/>
      <w:marBottom w:val="0"/>
      <w:divBdr>
        <w:top w:val="none" w:sz="0" w:space="0" w:color="auto"/>
        <w:left w:val="none" w:sz="0" w:space="0" w:color="auto"/>
        <w:bottom w:val="none" w:sz="0" w:space="0" w:color="auto"/>
        <w:right w:val="none" w:sz="0" w:space="0" w:color="auto"/>
      </w:divBdr>
    </w:div>
    <w:div w:id="1008674486">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5586510">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486090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4883923">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5626763">
      <w:bodyDiv w:val="1"/>
      <w:marLeft w:val="0"/>
      <w:marRight w:val="0"/>
      <w:marTop w:val="0"/>
      <w:marBottom w:val="0"/>
      <w:divBdr>
        <w:top w:val="none" w:sz="0" w:space="0" w:color="auto"/>
        <w:left w:val="none" w:sz="0" w:space="0" w:color="auto"/>
        <w:bottom w:val="none" w:sz="0" w:space="0" w:color="auto"/>
        <w:right w:val="none" w:sz="0" w:space="0" w:color="auto"/>
      </w:divBdr>
    </w:div>
    <w:div w:id="1237785799">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02948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0804579">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4551444">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8199944">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7298648">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5279580">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292056">
      <w:bodyDiv w:val="1"/>
      <w:marLeft w:val="0"/>
      <w:marRight w:val="0"/>
      <w:marTop w:val="0"/>
      <w:marBottom w:val="0"/>
      <w:divBdr>
        <w:top w:val="none" w:sz="0" w:space="0" w:color="auto"/>
        <w:left w:val="none" w:sz="0" w:space="0" w:color="auto"/>
        <w:bottom w:val="none" w:sz="0" w:space="0" w:color="auto"/>
        <w:right w:val="none" w:sz="0" w:space="0" w:color="auto"/>
      </w:divBdr>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6914811">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105925">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7394847">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3096371">
      <w:bodyDiv w:val="1"/>
      <w:marLeft w:val="0"/>
      <w:marRight w:val="0"/>
      <w:marTop w:val="0"/>
      <w:marBottom w:val="0"/>
      <w:divBdr>
        <w:top w:val="none" w:sz="0" w:space="0" w:color="auto"/>
        <w:left w:val="none" w:sz="0" w:space="0" w:color="auto"/>
        <w:bottom w:val="none" w:sz="0" w:space="0" w:color="auto"/>
        <w:right w:val="none" w:sz="0" w:space="0" w:color="auto"/>
      </w:divBdr>
      <w:divsChild>
        <w:div w:id="1189374554">
          <w:marLeft w:val="0"/>
          <w:marRight w:val="0"/>
          <w:marTop w:val="0"/>
          <w:marBottom w:val="0"/>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527448.page"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yperlink" Target="javascript:void(0)" TargetMode="External"/><Relationship Id="rId2" Type="http://schemas.openxmlformats.org/officeDocument/2006/relationships/numbering" Target="numbering.xml"/><Relationship Id="rId16" Type="http://schemas.openxmlformats.org/officeDocument/2006/relationships/hyperlink" Target="javascript:void(0)"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jf2.scjn.gob.mx/detalle/tesis/2014203"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javascript:void(0)"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DDBBFF-938E-4581-853D-308F6EE51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34</Pages>
  <Words>7469</Words>
  <Characters>41084</Characters>
  <Application>Microsoft Office Word</Application>
  <DocSecurity>0</DocSecurity>
  <Lines>342</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2022-11-11T04:31:00Z</cp:lastPrinted>
  <dcterms:created xsi:type="dcterms:W3CDTF">2022-10-25T04:11:00Z</dcterms:created>
  <dcterms:modified xsi:type="dcterms:W3CDTF">2022-12-02T00:58:00Z</dcterms:modified>
</cp:coreProperties>
</file>