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050" w:rsidRPr="00872BEB" w:rsidRDefault="00115B05">
      <w:pPr>
        <w:spacing w:before="120" w:after="0" w:line="360" w:lineRule="auto"/>
        <w:ind w:right="49"/>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noviembre de dos mil veintidós.</w:t>
      </w:r>
    </w:p>
    <w:p w:rsidR="006B1050" w:rsidRPr="00872BEB" w:rsidRDefault="006B1050"/>
    <w:p w:rsidR="006B1050" w:rsidRPr="00872BEB" w:rsidRDefault="00115B05">
      <w:pPr>
        <w:spacing w:before="12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Visto </w:t>
      </w:r>
      <w:r w:rsidRPr="00872BEB">
        <w:rPr>
          <w:rFonts w:ascii="Palatino Linotype" w:eastAsia="Palatino Linotype" w:hAnsi="Palatino Linotype" w:cs="Palatino Linotype"/>
          <w:sz w:val="24"/>
          <w:szCs w:val="24"/>
        </w:rPr>
        <w:t xml:space="preserve">el expediente relativo al recurso de revisión </w:t>
      </w:r>
      <w:r w:rsidRPr="00872BEB">
        <w:rPr>
          <w:rFonts w:ascii="Palatino Linotype" w:eastAsia="Palatino Linotype" w:hAnsi="Palatino Linotype" w:cs="Palatino Linotype"/>
          <w:b/>
          <w:sz w:val="24"/>
          <w:szCs w:val="24"/>
        </w:rPr>
        <w:t>12474/INFOEM/IP/RR/2022</w:t>
      </w:r>
      <w:r w:rsidRPr="00872BEB">
        <w:rPr>
          <w:rFonts w:ascii="Palatino Linotype" w:eastAsia="Palatino Linotype" w:hAnsi="Palatino Linotype" w:cs="Palatino Linotype"/>
          <w:sz w:val="24"/>
          <w:szCs w:val="24"/>
        </w:rPr>
        <w:t xml:space="preserve">, interpuesto por </w:t>
      </w:r>
      <w:r w:rsidR="00555B1F">
        <w:rPr>
          <w:rFonts w:ascii="Palatino Linotype" w:eastAsia="Palatino Linotype" w:hAnsi="Palatino Linotype" w:cs="Palatino Linotype"/>
          <w:b/>
          <w:sz w:val="24"/>
          <w:szCs w:val="24"/>
        </w:rPr>
        <w:t xml:space="preserve">XXXX </w:t>
      </w:r>
      <w:proofErr w:type="spellStart"/>
      <w:r w:rsidR="00555B1F">
        <w:rPr>
          <w:rFonts w:ascii="Palatino Linotype" w:eastAsia="Palatino Linotype" w:hAnsi="Palatino Linotype" w:cs="Palatino Linotype"/>
          <w:b/>
          <w:sz w:val="24"/>
          <w:szCs w:val="24"/>
        </w:rPr>
        <w:t>XXXX</w:t>
      </w:r>
      <w:proofErr w:type="spellEnd"/>
      <w:r w:rsidR="00555B1F">
        <w:rPr>
          <w:rFonts w:ascii="Palatino Linotype" w:eastAsia="Palatino Linotype" w:hAnsi="Palatino Linotype" w:cs="Palatino Linotype"/>
          <w:b/>
          <w:sz w:val="24"/>
          <w:szCs w:val="24"/>
        </w:rPr>
        <w:t xml:space="preserve"> XXXXXX</w:t>
      </w:r>
      <w:r w:rsidRPr="00872BEB">
        <w:rPr>
          <w:rFonts w:ascii="Palatino Linotype" w:eastAsia="Palatino Linotype" w:hAnsi="Palatino Linotype" w:cs="Palatino Linotype"/>
          <w:sz w:val="24"/>
          <w:szCs w:val="24"/>
        </w:rPr>
        <w:t xml:space="preserve">, en lo sucesivo se le denominara </w:t>
      </w:r>
      <w:r w:rsidRPr="00872BEB">
        <w:rPr>
          <w:rFonts w:ascii="Palatino Linotype" w:eastAsia="Palatino Linotype" w:hAnsi="Palatino Linotype" w:cs="Palatino Linotype"/>
          <w:b/>
          <w:sz w:val="24"/>
          <w:szCs w:val="24"/>
        </w:rPr>
        <w:t>EL RECURRENTE</w:t>
      </w:r>
      <w:r w:rsidRPr="00872BEB">
        <w:rPr>
          <w:rFonts w:ascii="Palatino Linotype" w:eastAsia="Palatino Linotype" w:hAnsi="Palatino Linotype" w:cs="Palatino Linotype"/>
          <w:sz w:val="24"/>
          <w:szCs w:val="24"/>
        </w:rPr>
        <w:t xml:space="preserve">, en contra de la respuesta a la solicitud de información con número de folio </w:t>
      </w:r>
      <w:r w:rsidRPr="00872BEB">
        <w:rPr>
          <w:rFonts w:ascii="Palatino Linotype" w:eastAsia="Palatino Linotype" w:hAnsi="Palatino Linotype" w:cs="Palatino Linotype"/>
          <w:b/>
          <w:sz w:val="24"/>
          <w:szCs w:val="24"/>
        </w:rPr>
        <w:t>00134/TEPETLIX/IP/2022,</w:t>
      </w:r>
      <w:r w:rsidRPr="00872BEB">
        <w:rPr>
          <w:rFonts w:ascii="Palatino Linotype" w:eastAsia="Palatino Linotype" w:hAnsi="Palatino Linotype" w:cs="Palatino Linotype"/>
          <w:sz w:val="24"/>
          <w:szCs w:val="24"/>
        </w:rPr>
        <w:t xml:space="preserve"> por parte del</w:t>
      </w:r>
      <w:r w:rsidRPr="00872BEB">
        <w:rPr>
          <w:rFonts w:ascii="Palatino Linotype" w:eastAsia="Palatino Linotype" w:hAnsi="Palatino Linotype" w:cs="Palatino Linotype"/>
          <w:b/>
          <w:sz w:val="24"/>
          <w:szCs w:val="24"/>
        </w:rPr>
        <w:t xml:space="preserve"> Ayuntamiento de </w:t>
      </w:r>
      <w:proofErr w:type="spellStart"/>
      <w:r w:rsidRPr="00872BEB">
        <w:rPr>
          <w:rFonts w:ascii="Palatino Linotype" w:eastAsia="Palatino Linotype" w:hAnsi="Palatino Linotype" w:cs="Palatino Linotype"/>
          <w:b/>
          <w:sz w:val="24"/>
          <w:szCs w:val="24"/>
        </w:rPr>
        <w:t>Tepetlixpa</w:t>
      </w:r>
      <w:proofErr w:type="spellEnd"/>
      <w:r w:rsidRPr="00872BEB">
        <w:rPr>
          <w:rFonts w:ascii="Palatino Linotype" w:eastAsia="Palatino Linotype" w:hAnsi="Palatino Linotype" w:cs="Palatino Linotype"/>
          <w:sz w:val="24"/>
          <w:szCs w:val="24"/>
        </w:rPr>
        <w:t>, en lo sucesivo</w:t>
      </w:r>
      <w:r w:rsidRPr="00872BEB">
        <w:rPr>
          <w:rFonts w:ascii="Palatino Linotype" w:eastAsia="Palatino Linotype" w:hAnsi="Palatino Linotype" w:cs="Palatino Linotype"/>
          <w:b/>
          <w:sz w:val="24"/>
          <w:szCs w:val="24"/>
        </w:rPr>
        <w:t xml:space="preserve"> EL SUJETO OBLIGADO; </w:t>
      </w:r>
      <w:r w:rsidRPr="00872BEB">
        <w:rPr>
          <w:rFonts w:ascii="Palatino Linotype" w:eastAsia="Palatino Linotype" w:hAnsi="Palatino Linotype" w:cs="Palatino Linotype"/>
          <w:sz w:val="24"/>
          <w:szCs w:val="24"/>
        </w:rPr>
        <w:t xml:space="preserve">se procede a dictar la presente resolución, con base en lo siguiente. </w:t>
      </w:r>
    </w:p>
    <w:p w:rsidR="006B1050" w:rsidRPr="00872BEB" w:rsidRDefault="00115B05">
      <w:pPr>
        <w:spacing w:after="0" w:line="360" w:lineRule="auto"/>
        <w:jc w:val="center"/>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 xml:space="preserve">A N T E C E D E N T E S   </w:t>
      </w:r>
    </w:p>
    <w:p w:rsidR="006B1050" w:rsidRPr="00872BEB" w:rsidRDefault="006B1050">
      <w:pPr>
        <w:spacing w:after="0" w:line="360" w:lineRule="auto"/>
        <w:jc w:val="center"/>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1.</w:t>
      </w:r>
      <w:r w:rsidRPr="00872BEB">
        <w:rPr>
          <w:rFonts w:ascii="Palatino Linotype" w:eastAsia="Palatino Linotype" w:hAnsi="Palatino Linotype" w:cs="Palatino Linotype"/>
          <w:sz w:val="24"/>
          <w:szCs w:val="24"/>
        </w:rPr>
        <w:t xml:space="preserve"> </w:t>
      </w:r>
      <w:r w:rsidRPr="00872BEB">
        <w:rPr>
          <w:rFonts w:ascii="Palatino Linotype" w:eastAsia="Palatino Linotype" w:hAnsi="Palatino Linotype" w:cs="Palatino Linotype"/>
          <w:b/>
          <w:sz w:val="24"/>
          <w:szCs w:val="24"/>
        </w:rPr>
        <w:t>SOLICITUD DE INFORMACIÓN.</w:t>
      </w:r>
      <w:r w:rsidRPr="00872BEB">
        <w:rPr>
          <w:rFonts w:ascii="Palatino Linotype" w:eastAsia="Palatino Linotype" w:hAnsi="Palatino Linotype" w:cs="Palatino Linotype"/>
          <w:sz w:val="24"/>
          <w:szCs w:val="24"/>
        </w:rPr>
        <w:t xml:space="preserve"> Con fecha treinta de mayo de dos mil veintidós, </w:t>
      </w:r>
      <w:r w:rsidRPr="00872BEB">
        <w:rPr>
          <w:rFonts w:ascii="Palatino Linotype" w:eastAsia="Palatino Linotype" w:hAnsi="Palatino Linotype" w:cs="Palatino Linotype"/>
          <w:b/>
          <w:sz w:val="24"/>
          <w:szCs w:val="24"/>
        </w:rPr>
        <w:t>EL RECURRENTE</w:t>
      </w:r>
      <w:r w:rsidRPr="00872BEB">
        <w:rPr>
          <w:rFonts w:ascii="Palatino Linotype" w:eastAsia="Palatino Linotype" w:hAnsi="Palatino Linotype" w:cs="Palatino Linotype"/>
          <w:sz w:val="24"/>
          <w:szCs w:val="24"/>
        </w:rPr>
        <w:t>, presentó a través del Sistema de Acceso a la Información Mexiquense (</w:t>
      </w:r>
      <w:r w:rsidRPr="00872BEB">
        <w:rPr>
          <w:rFonts w:ascii="Palatino Linotype" w:eastAsia="Palatino Linotype" w:hAnsi="Palatino Linotype" w:cs="Palatino Linotype"/>
          <w:b/>
          <w:sz w:val="24"/>
          <w:szCs w:val="24"/>
        </w:rPr>
        <w:t>SAIMEX)</w:t>
      </w:r>
      <w:r w:rsidRPr="00872BEB">
        <w:rPr>
          <w:rFonts w:ascii="Palatino Linotype" w:eastAsia="Palatino Linotype" w:hAnsi="Palatino Linotype" w:cs="Palatino Linotype"/>
          <w:sz w:val="24"/>
          <w:szCs w:val="24"/>
        </w:rPr>
        <w:t xml:space="preserve"> ante </w:t>
      </w:r>
      <w:r w:rsidRPr="00872BEB">
        <w:rPr>
          <w:rFonts w:ascii="Palatino Linotype" w:eastAsia="Palatino Linotype" w:hAnsi="Palatino Linotype" w:cs="Palatino Linotype"/>
          <w:b/>
          <w:sz w:val="24"/>
          <w:szCs w:val="24"/>
        </w:rPr>
        <w:t>EL SUJETO OBLIGADO</w:t>
      </w:r>
      <w:r w:rsidRPr="00872BEB">
        <w:rPr>
          <w:rFonts w:ascii="Palatino Linotype" w:eastAsia="Palatino Linotype" w:hAnsi="Palatino Linotype" w:cs="Palatino Linotype"/>
          <w:sz w:val="24"/>
          <w:szCs w:val="24"/>
        </w:rPr>
        <w:t>, solicitud de acceso a la información pública, registrada bajo el número de expediente</w:t>
      </w:r>
      <w:r w:rsidRPr="00872BEB">
        <w:rPr>
          <w:rFonts w:ascii="Verdana" w:eastAsia="Verdana" w:hAnsi="Verdana" w:cs="Verdana"/>
          <w:b/>
        </w:rPr>
        <w:t> </w:t>
      </w:r>
      <w:r w:rsidRPr="00872BEB">
        <w:rPr>
          <w:rFonts w:ascii="Palatino Linotype" w:eastAsia="Palatino Linotype" w:hAnsi="Palatino Linotype" w:cs="Palatino Linotype"/>
          <w:b/>
          <w:sz w:val="24"/>
          <w:szCs w:val="24"/>
        </w:rPr>
        <w:t>00134/TEPETLIX/IP/2022</w:t>
      </w:r>
      <w:r w:rsidRPr="00872BEB">
        <w:rPr>
          <w:rFonts w:ascii="Palatino Linotype" w:eastAsia="Palatino Linotype" w:hAnsi="Palatino Linotype" w:cs="Palatino Linotype"/>
          <w:sz w:val="24"/>
          <w:szCs w:val="24"/>
        </w:rPr>
        <w:t>,</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mediante la cual solicitó información en el tenor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ind w:left="851" w:right="851"/>
        <w:jc w:val="both"/>
        <w:rPr>
          <w:rFonts w:ascii="Palatino Linotype" w:eastAsia="Palatino Linotype" w:hAnsi="Palatino Linotype" w:cs="Palatino Linotype"/>
          <w:i/>
          <w:sz w:val="24"/>
          <w:szCs w:val="24"/>
        </w:rPr>
      </w:pPr>
      <w:r w:rsidRPr="00872BEB">
        <w:rPr>
          <w:rFonts w:ascii="Palatino Linotype" w:eastAsia="Palatino Linotype" w:hAnsi="Palatino Linotype" w:cs="Palatino Linotype"/>
          <w:i/>
          <w:sz w:val="24"/>
          <w:szCs w:val="24"/>
        </w:rPr>
        <w:t>“Se adjunta la solicitud en PDF”. (Sic)</w:t>
      </w:r>
    </w:p>
    <w:p w:rsidR="006B1050" w:rsidRPr="00872BEB" w:rsidRDefault="006B1050">
      <w:pPr>
        <w:spacing w:after="0" w:line="360" w:lineRule="auto"/>
        <w:ind w:left="851" w:right="851"/>
        <w:jc w:val="both"/>
        <w:rPr>
          <w:rFonts w:ascii="Palatino Linotype" w:eastAsia="Palatino Linotype" w:hAnsi="Palatino Linotype" w:cs="Palatino Linotype"/>
          <w:i/>
          <w:sz w:val="24"/>
          <w:szCs w:val="24"/>
        </w:rPr>
      </w:pPr>
    </w:p>
    <w:p w:rsidR="006B1050" w:rsidRPr="00872BEB" w:rsidRDefault="00115B05">
      <w:pPr>
        <w:spacing w:after="80" w:line="360" w:lineRule="auto"/>
        <w:ind w:right="49"/>
        <w:jc w:val="both"/>
        <w:rPr>
          <w:rFonts w:ascii="Palatino Linotype" w:eastAsia="Palatino Linotype" w:hAnsi="Palatino Linotype" w:cs="Palatino Linotype"/>
          <w:i/>
          <w:sz w:val="24"/>
          <w:szCs w:val="24"/>
        </w:rPr>
      </w:pPr>
      <w:r w:rsidRPr="00872BEB">
        <w:rPr>
          <w:rFonts w:ascii="Palatino Linotype" w:eastAsia="Palatino Linotype" w:hAnsi="Palatino Linotype" w:cs="Palatino Linotype"/>
          <w:sz w:val="24"/>
          <w:szCs w:val="24"/>
        </w:rPr>
        <w:lastRenderedPageBreak/>
        <w:t>El particular adjuntó su solicitud el archivo electrónico “</w:t>
      </w:r>
      <w:r w:rsidRPr="00872BEB">
        <w:rPr>
          <w:rFonts w:ascii="Palatino Linotype" w:eastAsia="Palatino Linotype" w:hAnsi="Palatino Linotype" w:cs="Palatino Linotype"/>
          <w:b/>
          <w:i/>
          <w:sz w:val="24"/>
          <w:szCs w:val="24"/>
          <w:u w:val="single"/>
        </w:rPr>
        <w:t xml:space="preserve">SAI Tepetlixpa.pdf” </w:t>
      </w:r>
      <w:r w:rsidRPr="00872BEB">
        <w:rPr>
          <w:rFonts w:ascii="Palatino Linotype" w:eastAsia="Palatino Linotype" w:hAnsi="Palatino Linotype" w:cs="Palatino Linotype"/>
          <w:sz w:val="24"/>
          <w:szCs w:val="24"/>
        </w:rPr>
        <w:t xml:space="preserve">en el cual se observa lo siguiente: </w:t>
      </w:r>
    </w:p>
    <w:p w:rsidR="006B1050" w:rsidRPr="00872BEB" w:rsidRDefault="00115B05">
      <w:pPr>
        <w:spacing w:before="80" w:line="276" w:lineRule="auto"/>
        <w:ind w:right="851"/>
        <w:jc w:val="center"/>
        <w:rPr>
          <w:rFonts w:ascii="Palatino Linotype" w:eastAsia="Palatino Linotype" w:hAnsi="Palatino Linotype" w:cs="Palatino Linotype"/>
        </w:rPr>
      </w:pPr>
      <w:r w:rsidRPr="00872BEB">
        <w:rPr>
          <w:noProof/>
        </w:rPr>
        <w:drawing>
          <wp:inline distT="0" distB="0" distL="0" distR="0">
            <wp:extent cx="4438650" cy="571954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6830" t="19614" r="37542" b="18527"/>
                    <a:stretch>
                      <a:fillRect/>
                    </a:stretch>
                  </pic:blipFill>
                  <pic:spPr>
                    <a:xfrm>
                      <a:off x="0" y="0"/>
                      <a:ext cx="4438650" cy="5719545"/>
                    </a:xfrm>
                    <a:prstGeom prst="rect">
                      <a:avLst/>
                    </a:prstGeom>
                    <a:ln/>
                  </pic:spPr>
                </pic:pic>
              </a:graphicData>
            </a:graphic>
          </wp:inline>
        </w:drawing>
      </w:r>
    </w:p>
    <w:p w:rsidR="006B1050" w:rsidRPr="00872BEB" w:rsidRDefault="00555B1F">
      <w:pPr>
        <w:spacing w:before="240" w:line="276" w:lineRule="auto"/>
        <w:ind w:right="851"/>
        <w:jc w:val="both"/>
        <w:rPr>
          <w:rFonts w:ascii="Palatino Linotype" w:eastAsia="Palatino Linotype" w:hAnsi="Palatino Linotype" w:cs="Palatino Linotype"/>
        </w:rPr>
      </w:pPr>
      <w:r>
        <w:rPr>
          <w:noProof/>
        </w:rPr>
        <w:lastRenderedPageBreak/>
        <w:drawing>
          <wp:inline distT="0" distB="0" distL="0" distR="0" wp14:anchorId="3FA0F303" wp14:editId="22082379">
            <wp:extent cx="5389245" cy="417919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12" t="23460" r="29534" b="20814"/>
                    <a:stretch/>
                  </pic:blipFill>
                  <pic:spPr bwMode="auto">
                    <a:xfrm>
                      <a:off x="0" y="0"/>
                      <a:ext cx="5427717" cy="420902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B1050" w:rsidRPr="00872BEB" w:rsidRDefault="00115B05">
      <w:pPr>
        <w:spacing w:before="16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Modalidad de entrega:</w:t>
      </w:r>
      <w:r w:rsidRPr="00872BEB">
        <w:rPr>
          <w:rFonts w:ascii="Palatino Linotype" w:eastAsia="Palatino Linotype" w:hAnsi="Palatino Linotype" w:cs="Palatino Linotype"/>
          <w:sz w:val="24"/>
          <w:szCs w:val="24"/>
        </w:rPr>
        <w:t xml:space="preserve"> A través de SAIMEX, correo electrónico, Sistema de solicitudes de la Plataforma Nacional de Transparencia, o mecanismo de </w:t>
      </w:r>
      <w:proofErr w:type="gramStart"/>
      <w:r w:rsidRPr="00872BEB">
        <w:rPr>
          <w:rFonts w:ascii="Palatino Linotype" w:eastAsia="Palatino Linotype" w:hAnsi="Palatino Linotype" w:cs="Palatino Linotype"/>
          <w:sz w:val="24"/>
          <w:szCs w:val="24"/>
        </w:rPr>
        <w:t>almacenamiento</w:t>
      </w:r>
      <w:proofErr w:type="gramEnd"/>
      <w:r w:rsidRPr="00872BEB">
        <w:rPr>
          <w:rFonts w:ascii="Palatino Linotype" w:eastAsia="Palatino Linotype" w:hAnsi="Palatino Linotype" w:cs="Palatino Linotype"/>
          <w:sz w:val="24"/>
          <w:szCs w:val="24"/>
        </w:rPr>
        <w:t xml:space="preserve"> y sincronización de archivos.</w:t>
      </w:r>
    </w:p>
    <w:p w:rsidR="006B1050" w:rsidRPr="00872BEB" w:rsidRDefault="006B1050">
      <w:pPr>
        <w:spacing w:after="0" w:line="360" w:lineRule="auto"/>
        <w:ind w:right="850"/>
        <w:jc w:val="both"/>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2. RESPUESTA. </w:t>
      </w:r>
      <w:r w:rsidRPr="00872BEB">
        <w:rPr>
          <w:rFonts w:ascii="Palatino Linotype" w:eastAsia="Palatino Linotype" w:hAnsi="Palatino Linotype" w:cs="Palatino Linotype"/>
          <w:sz w:val="24"/>
          <w:szCs w:val="24"/>
        </w:rPr>
        <w:t xml:space="preserve">Con fecha veintidós de junio de dos mil veintidós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6B1050" w:rsidRPr="00872BEB" w:rsidRDefault="00115B05">
      <w:pPr>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Se anexo el oficio No DGSPV/165/2022, mediante el cual se da contestación a la solicitud 00134/TEPETLIX/IP/2022. En Relación a la Solicitud 00134/TEPETLIX/IP/2022, se corrige el anexo ya que por error se examinó un archivo erróneo, siendo el que se adjunta el correcto Conforme a lo dispuesto por el Articulo 12 y 24 Fracción XXV de la Ley de Transparencia y Acceso a la Información Pública del Estado y Municipios me permito hacer mención que los sujetos obligados solo proporcionaran la información pública que se les requiera y que obre en sus archivos y en el estado que esta se encuentre. La obligación de proporcionar la información no comprende el procesamiento de la misma, ni el presentarla conforme al interés del solicitante; no estará obligado a generarla, resumirla, efectuar cálculos o practicar investigaciones. Los sujetos obligados serán los responsables del cumplimiento de las obligaciones procesos, procedimientos y responsabilidades establecidas en la Ley General y la presente Ley en los términos que las mismas determinen</w:t>
      </w:r>
    </w:p>
    <w:p w:rsidR="006B1050" w:rsidRPr="00872BEB" w:rsidRDefault="00115B05">
      <w:pPr>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ATENTAMENTE</w:t>
      </w:r>
    </w:p>
    <w:p w:rsidR="006B1050" w:rsidRPr="00872BEB" w:rsidRDefault="00115B05">
      <w:pPr>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C JORGE MORA CASTAÑEDA” (Sic)</w:t>
      </w:r>
    </w:p>
    <w:p w:rsidR="006B1050" w:rsidRPr="00872BEB" w:rsidRDefault="006B1050">
      <w:pPr>
        <w:rPr>
          <w:rFonts w:ascii="Palatino Linotype" w:eastAsia="Palatino Linotype" w:hAnsi="Palatino Linotype" w:cs="Palatino Linotype"/>
          <w:sz w:val="24"/>
          <w:szCs w:val="24"/>
        </w:rPr>
      </w:pPr>
    </w:p>
    <w:p w:rsidR="006B1050" w:rsidRPr="00872BEB" w:rsidRDefault="00115B05">
      <w:pPr>
        <w:spacing w:after="0" w:line="360" w:lineRule="auto"/>
        <w:ind w:right="193"/>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EL SUJETO OBLIGADO</w:t>
      </w:r>
      <w:r w:rsidRPr="00872BEB">
        <w:rPr>
          <w:rFonts w:ascii="Palatino Linotype" w:eastAsia="Palatino Linotype" w:hAnsi="Palatino Linotype" w:cs="Palatino Linotype"/>
          <w:sz w:val="24"/>
          <w:szCs w:val="24"/>
        </w:rPr>
        <w:t xml:space="preserve"> adjuntó a su respuesta los archivos electrónicos denominados:</w:t>
      </w:r>
    </w:p>
    <w:p w:rsidR="006B1050" w:rsidRPr="00872BEB" w:rsidRDefault="006B1050">
      <w:pPr>
        <w:spacing w:after="0" w:line="360" w:lineRule="auto"/>
        <w:ind w:right="193"/>
        <w:jc w:val="both"/>
        <w:rPr>
          <w:rFonts w:ascii="Palatino Linotype" w:eastAsia="Palatino Linotype" w:hAnsi="Palatino Linotype" w:cs="Palatino Linotype"/>
          <w:sz w:val="24"/>
          <w:szCs w:val="24"/>
        </w:rPr>
      </w:pPr>
    </w:p>
    <w:p w:rsidR="006B1050" w:rsidRPr="00872BEB" w:rsidRDefault="00555B1F">
      <w:pPr>
        <w:spacing w:after="0" w:line="360" w:lineRule="auto"/>
        <w:ind w:right="193"/>
        <w:jc w:val="both"/>
        <w:rPr>
          <w:rFonts w:ascii="Palatino Linotype" w:eastAsia="Palatino Linotype" w:hAnsi="Palatino Linotype" w:cs="Palatino Linotype"/>
          <w:sz w:val="24"/>
          <w:szCs w:val="24"/>
        </w:rPr>
      </w:pPr>
      <w:hyperlink r:id="rId10">
        <w:r w:rsidR="00115B05" w:rsidRPr="00872BEB">
          <w:rPr>
            <w:rFonts w:ascii="Palatino Linotype" w:eastAsia="Palatino Linotype" w:hAnsi="Palatino Linotype" w:cs="Palatino Linotype"/>
            <w:b/>
            <w:i/>
            <w:sz w:val="24"/>
            <w:szCs w:val="24"/>
            <w:u w:val="single"/>
          </w:rPr>
          <w:t>Solicitud SAIMEZ 00134.pdf</w:t>
        </w:r>
      </w:hyperlink>
      <w:r w:rsidR="00115B05" w:rsidRPr="00872BEB">
        <w:rPr>
          <w:rFonts w:ascii="Palatino Linotype" w:eastAsia="Palatino Linotype" w:hAnsi="Palatino Linotype" w:cs="Palatino Linotype"/>
          <w:b/>
          <w:i/>
          <w:sz w:val="24"/>
          <w:szCs w:val="24"/>
          <w:u w:val="single"/>
        </w:rPr>
        <w:t xml:space="preserve">: </w:t>
      </w:r>
      <w:r w:rsidR="00115B05" w:rsidRPr="00872BEB">
        <w:rPr>
          <w:rFonts w:ascii="Palatino Linotype" w:eastAsia="Palatino Linotype" w:hAnsi="Palatino Linotype" w:cs="Palatino Linotype"/>
          <w:sz w:val="24"/>
          <w:szCs w:val="24"/>
        </w:rPr>
        <w:t>Oficio DGSPV/164/2022 de fecha veintiuno de junio de dos  mil veintidós, signado por el Director de Seguridad Pública y Vialidad, mediante el cual refiere que no es posible proporcionar la lista de los elementos ya que dicha lista se encuentra dentro de información clasificada como confidencial por información relacionada al armamentos y datos personales que contiene. (Información que no corresponde con lo solicitado)</w:t>
      </w:r>
    </w:p>
    <w:p w:rsidR="006B1050" w:rsidRPr="00872BEB" w:rsidRDefault="00115B05">
      <w:pPr>
        <w:tabs>
          <w:tab w:val="left" w:pos="7245"/>
        </w:tabs>
        <w:spacing w:after="0" w:line="360" w:lineRule="auto"/>
        <w:ind w:right="193"/>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b/>
      </w:r>
    </w:p>
    <w:p w:rsidR="006B1050" w:rsidRPr="00872BEB" w:rsidRDefault="00555B1F">
      <w:pPr>
        <w:spacing w:after="0" w:line="360" w:lineRule="auto"/>
        <w:ind w:right="193"/>
        <w:jc w:val="both"/>
        <w:rPr>
          <w:rFonts w:ascii="Palatino Linotype" w:eastAsia="Palatino Linotype" w:hAnsi="Palatino Linotype" w:cs="Palatino Linotype"/>
          <w:sz w:val="24"/>
          <w:szCs w:val="24"/>
        </w:rPr>
      </w:pPr>
      <w:hyperlink r:id="rId11">
        <w:r w:rsidR="00115B05" w:rsidRPr="00872BEB">
          <w:rPr>
            <w:rFonts w:ascii="Palatino Linotype" w:eastAsia="Palatino Linotype" w:hAnsi="Palatino Linotype" w:cs="Palatino Linotype"/>
            <w:b/>
            <w:i/>
            <w:sz w:val="24"/>
            <w:szCs w:val="24"/>
            <w:u w:val="single"/>
          </w:rPr>
          <w:t>Solicitud SAIMEZ 00143.pdf</w:t>
        </w:r>
      </w:hyperlink>
      <w:r w:rsidR="00115B05" w:rsidRPr="00872BEB">
        <w:rPr>
          <w:rFonts w:ascii="Palatino Linotype" w:eastAsia="Palatino Linotype" w:hAnsi="Palatino Linotype" w:cs="Palatino Linotype"/>
          <w:b/>
          <w:i/>
          <w:sz w:val="24"/>
          <w:szCs w:val="24"/>
          <w:u w:val="single"/>
        </w:rPr>
        <w:t xml:space="preserve"> </w:t>
      </w:r>
      <w:r w:rsidR="00115B05" w:rsidRPr="00872BEB">
        <w:rPr>
          <w:rFonts w:ascii="Palatino Linotype" w:eastAsia="Palatino Linotype" w:hAnsi="Palatino Linotype" w:cs="Palatino Linotype"/>
          <w:sz w:val="24"/>
          <w:szCs w:val="24"/>
        </w:rPr>
        <w:t xml:space="preserve">Consiste en el oficio entregado en el archivo anterior, motivo por el que se considera innecesaria su descripción. </w:t>
      </w:r>
    </w:p>
    <w:p w:rsidR="006B1050" w:rsidRPr="00872BEB" w:rsidRDefault="006B1050"/>
    <w:p w:rsidR="006B1050" w:rsidRPr="00872BEB" w:rsidRDefault="00115B05">
      <w:pPr>
        <w:spacing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3. DEL RECURSO DE REVISIÓN. </w:t>
      </w:r>
      <w:r w:rsidRPr="00872BEB">
        <w:rPr>
          <w:rFonts w:ascii="Palatino Linotype" w:eastAsia="Palatino Linotype" w:hAnsi="Palatino Linotype" w:cs="Palatino Linotype"/>
          <w:sz w:val="24"/>
          <w:szCs w:val="24"/>
        </w:rPr>
        <w:t xml:space="preserve">Inconforme con la respuesta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w:t>
      </w:r>
      <w:r w:rsidRPr="00872BEB">
        <w:rPr>
          <w:rFonts w:ascii="Palatino Linotype" w:eastAsia="Palatino Linotype" w:hAnsi="Palatino Linotype" w:cs="Palatino Linotype"/>
          <w:b/>
          <w:sz w:val="24"/>
          <w:szCs w:val="24"/>
        </w:rPr>
        <w:t xml:space="preserve">EL RECURRENTE </w:t>
      </w:r>
      <w:r w:rsidRPr="00872BEB">
        <w:rPr>
          <w:rFonts w:ascii="Palatino Linotype" w:eastAsia="Palatino Linotype" w:hAnsi="Palatino Linotype" w:cs="Palatino Linotype"/>
          <w:sz w:val="24"/>
          <w:szCs w:val="24"/>
        </w:rPr>
        <w:t>interpuso el recurso de revisión, en fecha seis de julio de dos mil veintidós, el cual fue registrado</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 xml:space="preserve">en el sistema electrónico con el expediente número </w:t>
      </w:r>
      <w:r w:rsidRPr="00872BEB">
        <w:rPr>
          <w:rFonts w:ascii="Palatino Linotype" w:eastAsia="Palatino Linotype" w:hAnsi="Palatino Linotype" w:cs="Palatino Linotype"/>
          <w:b/>
          <w:sz w:val="24"/>
          <w:szCs w:val="24"/>
        </w:rPr>
        <w:t>12474/INFOEM/IP/RR/2022</w:t>
      </w:r>
      <w:r w:rsidRPr="00872BEB">
        <w:rPr>
          <w:rFonts w:ascii="Palatino Linotype" w:eastAsia="Palatino Linotype" w:hAnsi="Palatino Linotype" w:cs="Palatino Linotype"/>
          <w:sz w:val="24"/>
          <w:szCs w:val="24"/>
        </w:rPr>
        <w:t>, en el cual manifiesta, lo siguiente:</w:t>
      </w:r>
    </w:p>
    <w:p w:rsidR="006B1050" w:rsidRPr="00872BEB" w:rsidRDefault="00115B05">
      <w:pPr>
        <w:numPr>
          <w:ilvl w:val="0"/>
          <w:numId w:val="8"/>
        </w:numPr>
        <w:pBdr>
          <w:top w:val="nil"/>
          <w:left w:val="nil"/>
          <w:bottom w:val="nil"/>
          <w:right w:val="nil"/>
          <w:between w:val="nil"/>
        </w:pBdr>
        <w:spacing w:before="120" w:after="12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Acto Impugnado:</w:t>
      </w:r>
    </w:p>
    <w:p w:rsidR="006B1050" w:rsidRPr="00872BEB" w:rsidRDefault="00115B05">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r w:rsidRPr="00872BEB">
        <w:rPr>
          <w:rFonts w:ascii="Palatino Linotype" w:eastAsia="Palatino Linotype" w:hAnsi="Palatino Linotype" w:cs="Palatino Linotype"/>
          <w:i/>
          <w:sz w:val="24"/>
          <w:szCs w:val="24"/>
        </w:rPr>
        <w:t>“Respuesta que no corresponde a lo solicitado</w:t>
      </w:r>
      <w:r w:rsidRPr="00872BEB">
        <w:rPr>
          <w:rFonts w:ascii="Palatino Linotype" w:eastAsia="Palatino Linotype" w:hAnsi="Palatino Linotype" w:cs="Palatino Linotype"/>
          <w:b/>
          <w:i/>
          <w:sz w:val="24"/>
          <w:szCs w:val="24"/>
          <w:u w:val="single"/>
        </w:rPr>
        <w:t>”</w:t>
      </w:r>
      <w:r w:rsidRPr="00872BEB">
        <w:rPr>
          <w:rFonts w:ascii="Palatino Linotype" w:eastAsia="Palatino Linotype" w:hAnsi="Palatino Linotype" w:cs="Palatino Linotype"/>
          <w:i/>
          <w:sz w:val="24"/>
          <w:szCs w:val="24"/>
        </w:rPr>
        <w:t xml:space="preserve"> [Sic]</w:t>
      </w:r>
    </w:p>
    <w:p w:rsidR="006B1050" w:rsidRPr="00872BEB" w:rsidRDefault="006B1050">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p>
    <w:p w:rsidR="006B1050" w:rsidRPr="00872BEB" w:rsidRDefault="00115B05">
      <w:pPr>
        <w:numPr>
          <w:ilvl w:val="0"/>
          <w:numId w:val="8"/>
        </w:numPr>
        <w:pBdr>
          <w:top w:val="nil"/>
          <w:left w:val="nil"/>
          <w:bottom w:val="nil"/>
          <w:right w:val="nil"/>
          <w:between w:val="nil"/>
        </w:pBdr>
        <w:spacing w:after="12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Razones o Motivos de Inconformidad</w:t>
      </w:r>
      <w:r w:rsidRPr="00872BEB">
        <w:rPr>
          <w:rFonts w:ascii="Palatino Linotype" w:eastAsia="Palatino Linotype" w:hAnsi="Palatino Linotype" w:cs="Palatino Linotype"/>
          <w:sz w:val="24"/>
          <w:szCs w:val="24"/>
        </w:rPr>
        <w:t>:</w:t>
      </w:r>
    </w:p>
    <w:p w:rsidR="006B1050" w:rsidRPr="00872BEB" w:rsidRDefault="00115B05">
      <w:pPr>
        <w:pBdr>
          <w:top w:val="nil"/>
          <w:left w:val="nil"/>
          <w:bottom w:val="nil"/>
          <w:right w:val="nil"/>
          <w:between w:val="nil"/>
        </w:pBdr>
        <w:spacing w:before="120" w:after="120" w:line="240" w:lineRule="auto"/>
        <w:ind w:left="720" w:right="900"/>
        <w:jc w:val="both"/>
        <w:rPr>
          <w:rFonts w:ascii="Palatino Linotype" w:eastAsia="Palatino Linotype" w:hAnsi="Palatino Linotype" w:cs="Palatino Linotype"/>
          <w:i/>
          <w:sz w:val="24"/>
          <w:szCs w:val="24"/>
        </w:rPr>
      </w:pPr>
      <w:r w:rsidRPr="00872BEB">
        <w:rPr>
          <w:rFonts w:ascii="Palatino Linotype" w:eastAsia="Palatino Linotype" w:hAnsi="Palatino Linotype" w:cs="Palatino Linotype"/>
          <w:i/>
          <w:sz w:val="24"/>
          <w:szCs w:val="24"/>
        </w:rPr>
        <w:t xml:space="preserve"> “En respuesta recibida, el sujeto obligado establece que la información solicitada es confidencial, pero señala que el "listado de personas que cuentan con portación de armas de fuego es confidencial”. Por lo anterior, es mi deseo recurrir la respuesta del Sujeto Obligado, ya que identifico que no se dio el trámite correcto a mi solicitud, puesto que, además, hace referencia a otro número de folio el cual no corresponde a mi solicitud. Considero que el sujeto obligado no agota el principio de congruencia, al no existir concordancia entre lo solicitado y la respuesta del sujeto obligado de acuerdo al Criterio 02/171, emitido por el Peno del Instituto Nacional de Transparencia, Acceso a la Información Pública y Protección de Datos Personales. Finalmente, señalo que hice una solicitud idéntica a la de este sujeto obligado, al Ayuntamiento de Santo Tomás, mismo que si me hace entrega de la información ya que no hay necesidad de procesarla, puesto que ya debería encontrarse hecha. Adjunto evidencia.” [Sic]</w:t>
      </w:r>
    </w:p>
    <w:p w:rsidR="006B1050" w:rsidRPr="00872BEB" w:rsidRDefault="006B1050"/>
    <w:p w:rsidR="006B1050" w:rsidRPr="00872BEB" w:rsidRDefault="00115B05">
      <w:pPr>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El particular adjunta a su recurso de revisión el archivo electrónico “</w:t>
      </w:r>
      <w:r w:rsidRPr="00872BEB">
        <w:rPr>
          <w:rFonts w:ascii="Palatino Linotype" w:eastAsia="Palatino Linotype" w:hAnsi="Palatino Linotype" w:cs="Palatino Linotype"/>
          <w:b/>
          <w:i/>
          <w:sz w:val="24"/>
          <w:szCs w:val="24"/>
          <w:u w:val="single"/>
        </w:rPr>
        <w:t>Neza.pdf”</w:t>
      </w:r>
      <w:r w:rsidRPr="00872BEB">
        <w:rPr>
          <w:rFonts w:ascii="Palatino Linotype" w:eastAsia="Palatino Linotype" w:hAnsi="Palatino Linotype" w:cs="Palatino Linotype"/>
          <w:sz w:val="24"/>
          <w:szCs w:val="24"/>
        </w:rPr>
        <w:t>:</w:t>
      </w:r>
    </w:p>
    <w:p w:rsidR="006B1050" w:rsidRPr="00872BEB" w:rsidRDefault="00115B05">
      <w:pPr>
        <w:jc w:val="both"/>
        <w:rPr>
          <w:rFonts w:ascii="Palatino Linotype" w:eastAsia="Palatino Linotype" w:hAnsi="Palatino Linotype" w:cs="Palatino Linotype"/>
          <w:sz w:val="24"/>
          <w:szCs w:val="24"/>
        </w:rPr>
      </w:pPr>
      <w:r w:rsidRPr="00872BEB">
        <w:rPr>
          <w:noProof/>
        </w:rPr>
        <w:drawing>
          <wp:inline distT="0" distB="0" distL="0" distR="0">
            <wp:extent cx="2777482" cy="3692789"/>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4114" t="16596" r="36015" b="12793"/>
                    <a:stretch>
                      <a:fillRect/>
                    </a:stretch>
                  </pic:blipFill>
                  <pic:spPr>
                    <a:xfrm>
                      <a:off x="0" y="0"/>
                      <a:ext cx="2777482" cy="3692789"/>
                    </a:xfrm>
                    <a:prstGeom prst="rect">
                      <a:avLst/>
                    </a:prstGeom>
                    <a:ln/>
                  </pic:spPr>
                </pic:pic>
              </a:graphicData>
            </a:graphic>
          </wp:inline>
        </w:drawing>
      </w:r>
      <w:r w:rsidRPr="00872BEB">
        <w:rPr>
          <w:noProof/>
        </w:rPr>
        <w:drawing>
          <wp:inline distT="0" distB="0" distL="0" distR="0">
            <wp:extent cx="2644442" cy="3727064"/>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36490" t="24441" r="38220" b="12191"/>
                    <a:stretch>
                      <a:fillRect/>
                    </a:stretch>
                  </pic:blipFill>
                  <pic:spPr>
                    <a:xfrm>
                      <a:off x="0" y="0"/>
                      <a:ext cx="2644442" cy="3727064"/>
                    </a:xfrm>
                    <a:prstGeom prst="rect">
                      <a:avLst/>
                    </a:prstGeom>
                    <a:ln/>
                  </pic:spPr>
                </pic:pic>
              </a:graphicData>
            </a:graphic>
          </wp:inline>
        </w:drawing>
      </w:r>
    </w:p>
    <w:p w:rsidR="006B1050" w:rsidRPr="00872BEB" w:rsidRDefault="00115B05">
      <w:pPr>
        <w:jc w:val="center"/>
        <w:rPr>
          <w:rFonts w:ascii="Palatino Linotype" w:eastAsia="Palatino Linotype" w:hAnsi="Palatino Linotype" w:cs="Palatino Linotype"/>
          <w:sz w:val="24"/>
          <w:szCs w:val="24"/>
        </w:rPr>
      </w:pPr>
      <w:r w:rsidRPr="00872BEB">
        <w:rPr>
          <w:noProof/>
        </w:rPr>
        <w:drawing>
          <wp:inline distT="0" distB="0" distL="0" distR="0">
            <wp:extent cx="2575128" cy="3574684"/>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5981" t="31382" r="38221" b="4948"/>
                    <a:stretch>
                      <a:fillRect/>
                    </a:stretch>
                  </pic:blipFill>
                  <pic:spPr>
                    <a:xfrm>
                      <a:off x="0" y="0"/>
                      <a:ext cx="2575128" cy="3574684"/>
                    </a:xfrm>
                    <a:prstGeom prst="rect">
                      <a:avLst/>
                    </a:prstGeom>
                    <a:ln/>
                  </pic:spPr>
                </pic:pic>
              </a:graphicData>
            </a:graphic>
          </wp:inline>
        </w:drawing>
      </w:r>
    </w:p>
    <w:p w:rsidR="006B1050" w:rsidRPr="00872BEB" w:rsidRDefault="00115B05">
      <w:pPr>
        <w:spacing w:before="12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4. TURNO. </w:t>
      </w:r>
      <w:r w:rsidRPr="00872BEB">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872BEB">
        <w:rPr>
          <w:rFonts w:ascii="Palatino Linotype" w:eastAsia="Palatino Linotype" w:hAnsi="Palatino Linotype" w:cs="Palatino Linotype"/>
          <w:b/>
          <w:sz w:val="24"/>
          <w:szCs w:val="24"/>
        </w:rPr>
        <w:t xml:space="preserve"> 12474/INFOEM/IP/RR/2022 </w:t>
      </w:r>
      <w:r w:rsidRPr="00872BEB">
        <w:rPr>
          <w:rFonts w:ascii="Palatino Linotype" w:eastAsia="Palatino Linotype" w:hAnsi="Palatino Linotype" w:cs="Palatino Linotype"/>
          <w:sz w:val="24"/>
          <w:szCs w:val="24"/>
        </w:rPr>
        <w:t xml:space="preserve">fue turnado a la Comisionada Ponente </w:t>
      </w:r>
      <w:r w:rsidRPr="00872BEB">
        <w:rPr>
          <w:rFonts w:ascii="Palatino Linotype" w:eastAsia="Palatino Linotype" w:hAnsi="Palatino Linotype" w:cs="Palatino Linotype"/>
          <w:b/>
          <w:sz w:val="24"/>
          <w:szCs w:val="24"/>
        </w:rPr>
        <w:t>Guadalupe Ramírez Peña</w:t>
      </w:r>
      <w:r w:rsidRPr="00872BEB">
        <w:rPr>
          <w:rFonts w:ascii="Palatino Linotype" w:eastAsia="Palatino Linotype" w:hAnsi="Palatino Linotype" w:cs="Palatino Linotype"/>
          <w:sz w:val="24"/>
          <w:szCs w:val="24"/>
        </w:rPr>
        <w:t>; a efecto de presentar al Pleno el proyecto de resolución correspondiente.</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before="120" w:after="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5. ADMISIÓN. </w:t>
      </w:r>
      <w:r w:rsidRPr="00872BEB">
        <w:rPr>
          <w:rFonts w:ascii="Palatino Linotype" w:eastAsia="Palatino Linotype" w:hAnsi="Palatino Linotype" w:cs="Palatino Linotype"/>
          <w:sz w:val="24"/>
          <w:szCs w:val="24"/>
        </w:rPr>
        <w:t>En fecha once de julio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6B1050" w:rsidRPr="00872BEB" w:rsidRDefault="006B1050">
      <w:pPr>
        <w:spacing w:before="120" w:after="40" w:line="360" w:lineRule="auto"/>
        <w:jc w:val="both"/>
        <w:rPr>
          <w:rFonts w:ascii="Palatino Linotype" w:eastAsia="Palatino Linotype" w:hAnsi="Palatino Linotype" w:cs="Palatino Linotype"/>
          <w:sz w:val="24"/>
          <w:szCs w:val="24"/>
        </w:rPr>
      </w:pPr>
    </w:p>
    <w:p w:rsidR="006B1050" w:rsidRPr="00872BEB" w:rsidRDefault="00115B05">
      <w:pPr>
        <w:spacing w:before="4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6. MANIFESTACIONES. </w:t>
      </w:r>
      <w:r w:rsidRPr="00872BEB">
        <w:rPr>
          <w:rFonts w:ascii="Palatino Linotype" w:eastAsia="Palatino Linotype" w:hAnsi="Palatino Linotype" w:cs="Palatino Linotype"/>
          <w:sz w:val="24"/>
          <w:szCs w:val="24"/>
        </w:rPr>
        <w:t xml:space="preserve">De las constancias que obran en el expediente electrónico del SAIMEX se desprende que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no rindió su informe justificado, del mismo modo el ahora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omitió realizar manifestaciones, como se observa a continuación:</w:t>
      </w:r>
    </w:p>
    <w:p w:rsidR="006B1050" w:rsidRPr="00872BEB" w:rsidRDefault="00115B05">
      <w:pPr>
        <w:jc w:val="both"/>
        <w:rPr>
          <w:rFonts w:ascii="Palatino Linotype" w:eastAsia="Palatino Linotype" w:hAnsi="Palatino Linotype" w:cs="Palatino Linotype"/>
          <w:sz w:val="24"/>
          <w:szCs w:val="24"/>
        </w:rPr>
      </w:pPr>
      <w:r w:rsidRPr="00872BEB">
        <w:rPr>
          <w:noProof/>
        </w:rPr>
        <w:drawing>
          <wp:inline distT="0" distB="0" distL="0" distR="0">
            <wp:extent cx="5756801" cy="150489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9701" t="25045" r="29396" b="55944"/>
                    <a:stretch>
                      <a:fillRect/>
                    </a:stretch>
                  </pic:blipFill>
                  <pic:spPr>
                    <a:xfrm>
                      <a:off x="0" y="0"/>
                      <a:ext cx="5756801" cy="1504890"/>
                    </a:xfrm>
                    <a:prstGeom prst="rect">
                      <a:avLst/>
                    </a:prstGeom>
                    <a:ln/>
                  </pic:spPr>
                </pic:pic>
              </a:graphicData>
            </a:graphic>
          </wp:inline>
        </w:drawing>
      </w:r>
    </w:p>
    <w:p w:rsidR="006B1050" w:rsidRPr="00872BEB" w:rsidRDefault="006B1050">
      <w:pPr>
        <w:spacing w:after="0" w:line="360" w:lineRule="auto"/>
        <w:jc w:val="both"/>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7. AMPLIACIÓN DEL TÉRMINO PARA RESOLVER</w:t>
      </w:r>
      <w:r w:rsidRPr="00872BEB">
        <w:rPr>
          <w:rFonts w:ascii="Palatino Linotype" w:eastAsia="Palatino Linotype" w:hAnsi="Palatino Linotype" w:cs="Palatino Linotype"/>
          <w:sz w:val="24"/>
          <w:szCs w:val="24"/>
        </w:rPr>
        <w:t>.</w:t>
      </w:r>
      <w:r w:rsidRPr="00872BEB">
        <w:rPr>
          <w:rFonts w:ascii="Palatino Linotype" w:eastAsia="Palatino Linotype" w:hAnsi="Palatino Linotype" w:cs="Palatino Linotype"/>
        </w:rPr>
        <w:t xml:space="preserve"> </w:t>
      </w:r>
      <w:r w:rsidRPr="00872BEB">
        <w:rPr>
          <w:rFonts w:ascii="Palatino Linotype" w:eastAsia="Palatino Linotype" w:hAnsi="Palatino Linotype" w:cs="Palatino Linotype"/>
          <w:sz w:val="24"/>
          <w:szCs w:val="24"/>
        </w:rPr>
        <w:t xml:space="preserve">En veintitrés de noviembre de dos mil veintidós, se amplió el término para resolver el recurso de revisión en términos del artículo 181 párrafo tercero de la Ley de Transparencia y Acceso a la Información Pública del Estado de México y Municipios.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6B1050" w:rsidRPr="00872BEB" w:rsidRDefault="006B1050">
      <w:pPr>
        <w:spacing w:after="0" w:line="360" w:lineRule="auto"/>
        <w:jc w:val="both"/>
        <w:rPr>
          <w:rFonts w:ascii="Palatino Linotype" w:eastAsia="Palatino Linotype" w:hAnsi="Palatino Linotype" w:cs="Palatino Linotype"/>
          <w:strike/>
          <w:sz w:val="24"/>
          <w:szCs w:val="24"/>
        </w:rPr>
      </w:pPr>
    </w:p>
    <w:p w:rsidR="006B1050" w:rsidRPr="00872BEB" w:rsidRDefault="00115B05">
      <w:pPr>
        <w:numPr>
          <w:ilvl w:val="0"/>
          <w:numId w:val="9"/>
        </w:num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6B1050" w:rsidRPr="00872BEB" w:rsidRDefault="006B1050">
      <w:pPr>
        <w:spacing w:after="0" w:line="360" w:lineRule="auto"/>
        <w:ind w:left="927"/>
        <w:jc w:val="both"/>
        <w:rPr>
          <w:rFonts w:ascii="Palatino Linotype" w:eastAsia="Palatino Linotype" w:hAnsi="Palatino Linotype" w:cs="Palatino Linotype"/>
          <w:sz w:val="24"/>
          <w:szCs w:val="24"/>
        </w:rPr>
      </w:pPr>
    </w:p>
    <w:p w:rsidR="006B1050" w:rsidRPr="00872BEB" w:rsidRDefault="00115B05">
      <w:pPr>
        <w:numPr>
          <w:ilvl w:val="0"/>
          <w:numId w:val="9"/>
        </w:num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Actividad Procesal del interesado. Acciones u omisiones del interesado.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numPr>
          <w:ilvl w:val="0"/>
          <w:numId w:val="9"/>
        </w:num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6B1050" w:rsidRPr="00872BEB" w:rsidRDefault="006B1050">
      <w:pPr>
        <w:spacing w:after="0" w:line="360" w:lineRule="auto"/>
        <w:ind w:left="708"/>
        <w:rPr>
          <w:rFonts w:ascii="Palatino Linotype" w:eastAsia="Palatino Linotype" w:hAnsi="Palatino Linotype" w:cs="Palatino Linotype"/>
          <w:sz w:val="24"/>
          <w:szCs w:val="24"/>
        </w:rPr>
      </w:pPr>
    </w:p>
    <w:p w:rsidR="006B1050" w:rsidRPr="00872BEB" w:rsidRDefault="00115B05">
      <w:pPr>
        <w:spacing w:after="0" w:line="360" w:lineRule="auto"/>
        <w:ind w:left="567"/>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Argumento que encuentra sustento en la jurisprudencia P</w:t>
      </w:r>
      <w:proofErr w:type="gramStart"/>
      <w:r w:rsidRPr="00872BEB">
        <w:rPr>
          <w:rFonts w:ascii="Palatino Linotype" w:eastAsia="Palatino Linotype" w:hAnsi="Palatino Linotype" w:cs="Palatino Linotype"/>
          <w:sz w:val="24"/>
          <w:szCs w:val="24"/>
        </w:rPr>
        <w:t>./</w:t>
      </w:r>
      <w:proofErr w:type="gramEnd"/>
      <w:r w:rsidRPr="00872BEB">
        <w:rPr>
          <w:rFonts w:ascii="Palatino Linotype" w:eastAsia="Palatino Linotype" w:hAnsi="Palatino Linotype" w:cs="Palatino Linotype"/>
          <w:sz w:val="24"/>
          <w:szCs w:val="24"/>
        </w:rPr>
        <w:t xml:space="preserve">J. 32/92 emitida por el Pleno de la Suprema Corte de Justicia de la Nación de rubro </w:t>
      </w:r>
      <w:r w:rsidRPr="00872BE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72BEB">
        <w:rPr>
          <w:rFonts w:ascii="Palatino Linotype" w:eastAsia="Palatino Linotype" w:hAnsi="Palatino Linotype" w:cs="Palatino Linotype"/>
          <w:sz w:val="24"/>
          <w:szCs w:val="24"/>
        </w:rPr>
        <w:t>, visible en la Gaceta del Seminario Judicial de la Federación con el registro digital 205635.</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i/>
          <w:sz w:val="24"/>
          <w:szCs w:val="24"/>
        </w:rPr>
        <w:t>“PLAZO RAZONABLE PARA RESOLVER. DIMENSIÓN Y EFECTOS DE ESTE CONCEPTO CUANDO SE ADUCE EXCESIVA CARGA DE TRABAJO.”</w:t>
      </w:r>
      <w:r w:rsidRPr="00872BEB">
        <w:rPr>
          <w:rFonts w:ascii="Palatino Linotype" w:eastAsia="Palatino Linotype" w:hAnsi="Palatino Linotype" w:cs="Palatino Linotype"/>
          <w:sz w:val="24"/>
          <w:szCs w:val="24"/>
        </w:rPr>
        <w:t xml:space="preserve"> consultable en el Seminario Judicial de la Federación y su gaceta, con el registro digital 2002351.</w:t>
      </w:r>
    </w:p>
    <w:p w:rsidR="006B1050" w:rsidRPr="00872BEB" w:rsidRDefault="006B1050">
      <w:pPr>
        <w:spacing w:after="0" w:line="360" w:lineRule="auto"/>
        <w:jc w:val="both"/>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72BEB">
        <w:rPr>
          <w:rFonts w:ascii="Palatino Linotype" w:eastAsia="Palatino Linotype" w:hAnsi="Palatino Linotype" w:cs="Palatino Linotype"/>
          <w:sz w:val="24"/>
          <w:szCs w:val="24"/>
        </w:rPr>
        <w:t>, visible en el Seminario Judicial de la Federación y su gaceta, con el registro digital 2002350.</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6B1050" w:rsidRPr="00872BEB" w:rsidRDefault="006B1050"/>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8. CIERRE DE INSTRUCCIÓN. </w:t>
      </w:r>
      <w:r w:rsidRPr="00872BEB">
        <w:rPr>
          <w:rFonts w:ascii="Palatino Linotype" w:eastAsia="Palatino Linotype" w:hAnsi="Palatino Linotype" w:cs="Palatino Linotype"/>
          <w:sz w:val="24"/>
          <w:szCs w:val="24"/>
        </w:rPr>
        <w:t>El veintitrés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widowControl w:val="0"/>
        <w:spacing w:after="0" w:line="360" w:lineRule="auto"/>
        <w:jc w:val="center"/>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C O N S I D E R A N D O S</w:t>
      </w:r>
    </w:p>
    <w:p w:rsidR="006B1050" w:rsidRPr="00872BEB" w:rsidRDefault="006B1050">
      <w:pPr>
        <w:widowControl w:val="0"/>
        <w:spacing w:after="0" w:line="360" w:lineRule="auto"/>
        <w:jc w:val="center"/>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PRIMERO. COMPETENCIA.</w:t>
      </w:r>
      <w:r w:rsidRPr="00872BE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ind w:right="-234"/>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SEGUNDO. OPORTUNIDAD Y PROCEDIBILIDAD DEL RECURSO DE REVISIÓN.  </w:t>
      </w:r>
      <w:r w:rsidRPr="00872BEB">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872BEB">
        <w:rPr>
          <w:rFonts w:ascii="Palatino Linotype" w:eastAsia="Palatino Linotype" w:hAnsi="Palatino Linotype" w:cs="Palatino Linotype"/>
          <w:sz w:val="24"/>
          <w:szCs w:val="24"/>
        </w:rPr>
        <w:t>procedibilidad</w:t>
      </w:r>
      <w:proofErr w:type="spellEnd"/>
      <w:r w:rsidRPr="00872BEB">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ind w:right="-234"/>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72BEB">
        <w:rPr>
          <w:rFonts w:ascii="Palatino Linotype" w:eastAsia="Palatino Linotype" w:hAnsi="Palatino Linotype" w:cs="Palatino Linotype"/>
          <w:b/>
          <w:sz w:val="24"/>
          <w:szCs w:val="24"/>
        </w:rPr>
        <w:t xml:space="preserve"> EL SUJETO OBLIGADO </w:t>
      </w:r>
      <w:r w:rsidRPr="00872BEB">
        <w:rPr>
          <w:rFonts w:ascii="Palatino Linotype" w:eastAsia="Palatino Linotype" w:hAnsi="Palatino Linotype" w:cs="Palatino Linotype"/>
          <w:sz w:val="24"/>
          <w:szCs w:val="24"/>
        </w:rPr>
        <w:t xml:space="preserve">emitió la respuesta, toda vez que esta fue pronunciada el día veintidós de junio de dos mil veintidós, mientras que </w:t>
      </w:r>
      <w:r w:rsidRPr="00872BEB">
        <w:rPr>
          <w:rFonts w:ascii="Palatino Linotype" w:eastAsia="Palatino Linotype" w:hAnsi="Palatino Linotype" w:cs="Palatino Linotype"/>
          <w:b/>
          <w:sz w:val="24"/>
          <w:szCs w:val="24"/>
        </w:rPr>
        <w:t>EL</w:t>
      </w:r>
      <w:r w:rsidRPr="00872BEB">
        <w:rPr>
          <w:rFonts w:ascii="Palatino Linotype" w:eastAsia="Palatino Linotype" w:hAnsi="Palatino Linotype" w:cs="Palatino Linotype"/>
          <w:sz w:val="24"/>
          <w:szCs w:val="24"/>
        </w:rPr>
        <w:t xml:space="preserve">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interpuso el recurso de revisión en fecha seis de julio de dos mil veintidós, esto es al décimo día hábil de haber recibido la respuesta. </w:t>
      </w:r>
    </w:p>
    <w:p w:rsidR="006B1050" w:rsidRPr="00872BEB" w:rsidRDefault="006B1050">
      <w:pPr>
        <w:spacing w:after="0" w:line="360" w:lineRule="auto"/>
        <w:ind w:right="-234"/>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872BEB">
        <w:rPr>
          <w:rFonts w:ascii="Palatino Linotype" w:eastAsia="Palatino Linotype" w:hAnsi="Palatino Linotype" w:cs="Palatino Linotype"/>
          <w:b/>
          <w:sz w:val="24"/>
          <w:szCs w:val="24"/>
        </w:rPr>
        <w:t>EL</w:t>
      </w:r>
      <w:r w:rsidRPr="00872BEB">
        <w:rPr>
          <w:rFonts w:ascii="Palatino Linotype" w:eastAsia="Palatino Linotype" w:hAnsi="Palatino Linotype" w:cs="Palatino Linotype"/>
          <w:sz w:val="24"/>
          <w:szCs w:val="24"/>
        </w:rPr>
        <w:t xml:space="preserve">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72BEB">
        <w:rPr>
          <w:rFonts w:ascii="Palatino Linotype" w:eastAsia="Palatino Linotype" w:hAnsi="Palatino Linotype" w:cs="Palatino Linotype"/>
          <w:b/>
          <w:sz w:val="24"/>
          <w:szCs w:val="24"/>
        </w:rPr>
        <w:t xml:space="preserve">EL SAIMEX.  </w:t>
      </w:r>
    </w:p>
    <w:p w:rsidR="006B1050" w:rsidRPr="00872BEB" w:rsidRDefault="006B1050">
      <w:pPr>
        <w:spacing w:after="0" w:line="360" w:lineRule="auto"/>
        <w:jc w:val="both"/>
        <w:rPr>
          <w:rFonts w:ascii="Palatino Linotype" w:eastAsia="Palatino Linotype" w:hAnsi="Palatino Linotype" w:cs="Palatino Linotype"/>
          <w:b/>
          <w:sz w:val="24"/>
          <w:szCs w:val="24"/>
        </w:rPr>
      </w:pPr>
    </w:p>
    <w:p w:rsidR="006B1050" w:rsidRPr="00872BEB" w:rsidRDefault="00115B0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Finalmente, resulta procedente la interposición del recurso, según lo aducido por la parte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rsidR="006B1050" w:rsidRPr="00872BEB" w:rsidRDefault="006B105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6B1050" w:rsidRPr="00872BEB" w:rsidRDefault="00115B0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179</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El recurso de revisión</w:t>
      </w:r>
      <w:r w:rsidRPr="00872BE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72BEB">
        <w:rPr>
          <w:rFonts w:ascii="Palatino Linotype" w:eastAsia="Palatino Linotype" w:hAnsi="Palatino Linotype" w:cs="Palatino Linotype"/>
          <w:b/>
          <w:i/>
        </w:rPr>
        <w:t>, y procederá en contra de las siguientes causas</w:t>
      </w:r>
      <w:r w:rsidRPr="00872BEB">
        <w:rPr>
          <w:rFonts w:ascii="Palatino Linotype" w:eastAsia="Palatino Linotype" w:hAnsi="Palatino Linotype" w:cs="Palatino Linotype"/>
          <w:i/>
        </w:rPr>
        <w:t>:</w:t>
      </w:r>
    </w:p>
    <w:p w:rsidR="006B1050" w:rsidRPr="00872BEB" w:rsidRDefault="00115B0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72BEB">
        <w:rPr>
          <w:rFonts w:ascii="Palatino Linotype" w:eastAsia="Palatino Linotype" w:hAnsi="Palatino Linotype" w:cs="Palatino Linotype"/>
          <w:i/>
        </w:rPr>
        <w:t>VI. La entrega de información que no corresponda con lo solicitado;</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TERCERO. MATERIA DE LA REVISIÓN. </w:t>
      </w:r>
      <w:r w:rsidRPr="00872BE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o en su defecto, en caso de ser procedente, ordenar la entrega de información oportuna.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CUARTO. ESTUDIO Y RESOLUCIÓN DEL ASUNTO.  </w:t>
      </w:r>
      <w:r w:rsidRPr="00872BEB">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6B1050" w:rsidRPr="00872BEB" w:rsidRDefault="006B105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Artículo 4.</w:t>
      </w:r>
      <w:r w:rsidRPr="00872BE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B1050" w:rsidRPr="00872BEB" w:rsidRDefault="00115B05">
      <w:pPr>
        <w:spacing w:after="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72BE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B1050" w:rsidRPr="00872BEB" w:rsidRDefault="006B1050">
      <w:pPr>
        <w:spacing w:after="0" w:line="360" w:lineRule="auto"/>
        <w:ind w:left="851" w:right="900"/>
        <w:jc w:val="both"/>
        <w:rPr>
          <w:rFonts w:ascii="Palatino Linotype" w:eastAsia="Palatino Linotype" w:hAnsi="Palatino Linotype" w:cs="Palatino Linotype"/>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6B1050" w:rsidRPr="00872BEB" w:rsidRDefault="00115B05">
      <w:pPr>
        <w:spacing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12</w:t>
      </w:r>
      <w:r w:rsidRPr="00872BE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6B1050" w:rsidRPr="00872BEB" w:rsidRDefault="00115B05">
      <w:pPr>
        <w:spacing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B1050" w:rsidRPr="00872BEB" w:rsidRDefault="006B1050">
      <w:pPr>
        <w:spacing w:after="0" w:line="360" w:lineRule="auto"/>
        <w:ind w:left="851" w:right="902"/>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872BEB">
        <w:rPr>
          <w:rFonts w:ascii="Palatino Linotype" w:eastAsia="Palatino Linotype" w:hAnsi="Palatino Linotype" w:cs="Palatino Linotype"/>
          <w:i/>
          <w:sz w:val="24"/>
          <w:szCs w:val="24"/>
        </w:rPr>
        <w:t>ad hoc</w:t>
      </w:r>
      <w:r w:rsidRPr="00872BEB">
        <w:rPr>
          <w:rFonts w:ascii="Palatino Linotype" w:eastAsia="Palatino Linotype" w:hAnsi="Palatino Linotype" w:cs="Palatino Linotype"/>
          <w:sz w:val="24"/>
          <w:szCs w:val="24"/>
        </w:rPr>
        <w:t>, para satisfacer el derecho de acceso a la información pública.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Aunado a ello el artículo 24 de la Ley de la materia</w:t>
      </w:r>
      <w:r w:rsidRPr="00872BEB">
        <w:rPr>
          <w:rFonts w:ascii="Palatino Linotype" w:eastAsia="Palatino Linotype" w:hAnsi="Palatino Linotype" w:cs="Palatino Linotype"/>
          <w:sz w:val="24"/>
          <w:szCs w:val="24"/>
          <w:vertAlign w:val="superscript"/>
        </w:rPr>
        <w:footnoteReference w:id="1"/>
      </w:r>
      <w:r w:rsidRPr="00872BEB">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72BEB">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872BEB">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872BEB">
        <w:rPr>
          <w:rFonts w:ascii="Palatino Linotype" w:eastAsia="Palatino Linotype" w:hAnsi="Palatino Linotype" w:cs="Palatino Linotype"/>
        </w:rPr>
        <w:t xml:space="preserve"> </w:t>
      </w:r>
    </w:p>
    <w:p w:rsidR="006B1050" w:rsidRPr="00872BEB" w:rsidRDefault="006B1050">
      <w:pPr>
        <w:spacing w:after="0" w:line="360" w:lineRule="auto"/>
        <w:jc w:val="both"/>
        <w:rPr>
          <w:rFonts w:ascii="Palatino Linotype" w:eastAsia="Palatino Linotype" w:hAnsi="Palatino Linotype" w:cs="Palatino Linotype"/>
        </w:rPr>
      </w:pPr>
    </w:p>
    <w:p w:rsidR="006B1050" w:rsidRPr="00872BEB" w:rsidRDefault="00115B05">
      <w:pPr>
        <w:spacing w:after="0" w:line="276" w:lineRule="auto"/>
        <w:ind w:left="851" w:right="899"/>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 xml:space="preserve">Artículo 3. </w:t>
      </w:r>
      <w:r w:rsidRPr="00872BEB">
        <w:rPr>
          <w:rFonts w:ascii="Palatino Linotype" w:eastAsia="Palatino Linotype" w:hAnsi="Palatino Linotype" w:cs="Palatino Linotype"/>
          <w:i/>
        </w:rPr>
        <w:t>Para los efectos de la presente Ley se entenderá por:</w:t>
      </w:r>
    </w:p>
    <w:p w:rsidR="006B1050" w:rsidRPr="00872BEB" w:rsidRDefault="00115B05">
      <w:pPr>
        <w:spacing w:after="0" w:line="276" w:lineRule="auto"/>
        <w:ind w:left="1134" w:right="899"/>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spacing w:after="0" w:line="276" w:lineRule="auto"/>
        <w:ind w:left="1134" w:right="899"/>
        <w:jc w:val="both"/>
        <w:rPr>
          <w:rFonts w:ascii="Palatino Linotype" w:eastAsia="Palatino Linotype" w:hAnsi="Palatino Linotype" w:cs="Palatino Linotype"/>
          <w:i/>
        </w:rPr>
      </w:pPr>
      <w:r w:rsidRPr="00872BEB">
        <w:rPr>
          <w:rFonts w:ascii="Palatino Linotype" w:eastAsia="Palatino Linotype" w:hAnsi="Palatino Linotype" w:cs="Palatino Linotype"/>
          <w:b/>
          <w:i/>
        </w:rPr>
        <w:t>XI. Documento:</w:t>
      </w:r>
      <w:r w:rsidRPr="00872BEB">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72BEB">
        <w:rPr>
          <w:rFonts w:ascii="Palatino Linotype" w:eastAsia="Palatino Linotype" w:hAnsi="Palatino Linotype" w:cs="Palatino Linotype"/>
          <w:b/>
          <w:i/>
        </w:rPr>
        <w:t>…</w:t>
      </w:r>
      <w:r w:rsidRPr="00872BEB">
        <w:rPr>
          <w:rFonts w:ascii="Palatino Linotype" w:eastAsia="Palatino Linotype" w:hAnsi="Palatino Linotype" w:cs="Palatino Linotype"/>
          <w:i/>
        </w:rPr>
        <w:t>”</w:t>
      </w:r>
    </w:p>
    <w:p w:rsidR="006B1050" w:rsidRPr="00872BEB" w:rsidRDefault="006B1050">
      <w:pPr>
        <w:spacing w:after="0" w:line="360" w:lineRule="auto"/>
        <w:ind w:left="1134" w:right="899"/>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276" w:lineRule="auto"/>
        <w:ind w:left="851" w:right="902"/>
        <w:jc w:val="both"/>
        <w:rPr>
          <w:rFonts w:ascii="Palatino Linotype" w:eastAsia="Palatino Linotype" w:hAnsi="Palatino Linotype" w:cs="Palatino Linotype"/>
          <w:b/>
          <w:i/>
        </w:rPr>
      </w:pPr>
      <w:r w:rsidRPr="00872BEB">
        <w:rPr>
          <w:rFonts w:ascii="Palatino Linotype" w:eastAsia="Palatino Linotype" w:hAnsi="Palatino Linotype" w:cs="Palatino Linotype"/>
          <w:b/>
        </w:rPr>
        <w:t>“</w:t>
      </w:r>
      <w:r w:rsidRPr="00872BEB">
        <w:rPr>
          <w:rFonts w:ascii="Palatino Linotype" w:eastAsia="Palatino Linotype" w:hAnsi="Palatino Linotype" w:cs="Palatino Linotype"/>
          <w:b/>
          <w:i/>
        </w:rPr>
        <w:t>CRITERIO 0002-11</w:t>
      </w:r>
    </w:p>
    <w:p w:rsidR="006B1050" w:rsidRPr="00872BEB" w:rsidRDefault="00115B05">
      <w:pPr>
        <w:spacing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72BE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1050" w:rsidRPr="00872BEB" w:rsidRDefault="00115B05">
      <w:pPr>
        <w:spacing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En consecuencia el acceso a la información se refiere a que se cumplan cualquiera de los siguientes tres supuestos:</w:t>
      </w:r>
    </w:p>
    <w:p w:rsidR="006B1050" w:rsidRPr="00872BEB" w:rsidRDefault="00115B05">
      <w:pPr>
        <w:spacing w:after="0" w:line="276" w:lineRule="auto"/>
        <w:ind w:left="1134" w:right="902"/>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6B1050" w:rsidRPr="00872BEB" w:rsidRDefault="00115B05">
      <w:pPr>
        <w:spacing w:after="0" w:line="276" w:lineRule="auto"/>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6B1050" w:rsidRPr="00872BEB" w:rsidRDefault="00115B05">
      <w:pPr>
        <w:spacing w:after="0" w:line="276" w:lineRule="auto"/>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6B1050" w:rsidRPr="00872BEB" w:rsidRDefault="006B105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requirió al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le proporcione lo siguiente:</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before="160" w:after="0" w:line="360" w:lineRule="auto"/>
        <w:ind w:right="51"/>
        <w:jc w:val="both"/>
        <w:rPr>
          <w:rFonts w:ascii="Palatino Linotype" w:eastAsia="Palatino Linotype" w:hAnsi="Palatino Linotype" w:cs="Palatino Linotype"/>
          <w:sz w:val="24"/>
          <w:szCs w:val="24"/>
        </w:rPr>
      </w:pPr>
      <w:bookmarkStart w:id="1" w:name="_heading=h.gjdgxs" w:colFirst="0" w:colLast="0"/>
      <w:bookmarkEnd w:id="1"/>
      <w:r w:rsidRPr="00872BEB">
        <w:rPr>
          <w:rFonts w:ascii="Palatino Linotype" w:eastAsia="Palatino Linotype" w:hAnsi="Palatino Linotype" w:cs="Palatino Linotype"/>
          <w:sz w:val="24"/>
          <w:szCs w:val="24"/>
        </w:rPr>
        <w:t xml:space="preserve">Base de datos en formato abierto como </w:t>
      </w:r>
      <w:proofErr w:type="spellStart"/>
      <w:r w:rsidRPr="00872BEB">
        <w:rPr>
          <w:rFonts w:ascii="Palatino Linotype" w:eastAsia="Palatino Linotype" w:hAnsi="Palatino Linotype" w:cs="Palatino Linotype"/>
          <w:sz w:val="24"/>
          <w:szCs w:val="24"/>
        </w:rPr>
        <w:t>xlx</w:t>
      </w:r>
      <w:proofErr w:type="spellEnd"/>
      <w:r w:rsidRPr="00872BEB">
        <w:rPr>
          <w:rFonts w:ascii="Palatino Linotype" w:eastAsia="Palatino Linotype" w:hAnsi="Palatino Linotype" w:cs="Palatino Linotype"/>
          <w:sz w:val="24"/>
          <w:szCs w:val="24"/>
        </w:rPr>
        <w:t xml:space="preserve"> o </w:t>
      </w:r>
      <w:proofErr w:type="spellStart"/>
      <w:r w:rsidRPr="00872BEB">
        <w:rPr>
          <w:rFonts w:ascii="Palatino Linotype" w:eastAsia="Palatino Linotype" w:hAnsi="Palatino Linotype" w:cs="Palatino Linotype"/>
          <w:sz w:val="24"/>
          <w:szCs w:val="24"/>
        </w:rPr>
        <w:t>cvs</w:t>
      </w:r>
      <w:proofErr w:type="spellEnd"/>
      <w:r w:rsidRPr="00872BEB">
        <w:rPr>
          <w:rFonts w:ascii="Palatino Linotype" w:eastAsia="Palatino Linotype" w:hAnsi="Palatino Linotype" w:cs="Palatino Linotype"/>
          <w:sz w:val="24"/>
          <w:szCs w:val="24"/>
        </w:rPr>
        <w:t>, del periodo comprendido del 01 de enero de 2018 al 30 de mayo de 2022, con la siguiente información desglosada y particularizada: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Tipo de incidente o evento (es decir hechos presuntamente constitutivos de delito y/o falta administrativa, o situación reportada, cualquiera que esta sea, especificando si el hecho fue con o sin violencia).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Hora del incidente o evento.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Fecha (</w:t>
      </w:r>
      <w:proofErr w:type="spellStart"/>
      <w:r w:rsidRPr="00872BEB">
        <w:rPr>
          <w:rFonts w:ascii="Palatino Linotype" w:eastAsia="Palatino Linotype" w:hAnsi="Palatino Linotype" w:cs="Palatino Linotype"/>
          <w:sz w:val="24"/>
          <w:szCs w:val="24"/>
        </w:rPr>
        <w:t>dd</w:t>
      </w:r>
      <w:proofErr w:type="spellEnd"/>
      <w:r w:rsidRPr="00872BEB">
        <w:rPr>
          <w:rFonts w:ascii="Palatino Linotype" w:eastAsia="Palatino Linotype" w:hAnsi="Palatino Linotype" w:cs="Palatino Linotype"/>
          <w:sz w:val="24"/>
          <w:szCs w:val="24"/>
        </w:rPr>
        <w:t>/mm/</w:t>
      </w:r>
      <w:proofErr w:type="spellStart"/>
      <w:r w:rsidRPr="00872BEB">
        <w:rPr>
          <w:rFonts w:ascii="Palatino Linotype" w:eastAsia="Palatino Linotype" w:hAnsi="Palatino Linotype" w:cs="Palatino Linotype"/>
          <w:sz w:val="24"/>
          <w:szCs w:val="24"/>
        </w:rPr>
        <w:t>aaaa</w:t>
      </w:r>
      <w:proofErr w:type="spellEnd"/>
      <w:r w:rsidRPr="00872BEB">
        <w:rPr>
          <w:rFonts w:ascii="Palatino Linotype" w:eastAsia="Palatino Linotype" w:hAnsi="Palatino Linotype" w:cs="Palatino Linotype"/>
          <w:sz w:val="24"/>
          <w:szCs w:val="24"/>
        </w:rPr>
        <w:t>) del incidente o evento.</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 </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Lugar del incidente o evento.</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 </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Ubicación del incidente o evento.</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 </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Las coordenadas geográficas del incidente o evento, establecidas en la sección “lugar de la intervención” del informe policial homologado para 1) hechos probablemente delictivos o para 2) justicia cívica según corresponda al tipo de incidente.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La información se debe encontrar desglosada y particularizada por tipo de incidente, por lo que cada uno debe contener su hora, fecha, lugar, ubicación y coordenadas geográficas que le corresponde.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La información correspondiente al periodo del 1 de enero de 2018 a la fecha de la presente solicitud.</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ind w:right="193"/>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Por su parte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respuesta señaló que no es posible proporcionar la lista de los elementos ya que dicha lista se encuentra dentro de información clasificada como confidencial por información relacionada </w:t>
      </w:r>
      <w:proofErr w:type="gramStart"/>
      <w:r w:rsidRPr="00872BEB">
        <w:rPr>
          <w:rFonts w:ascii="Palatino Linotype" w:eastAsia="Palatino Linotype" w:hAnsi="Palatino Linotype" w:cs="Palatino Linotype"/>
          <w:sz w:val="24"/>
          <w:szCs w:val="24"/>
        </w:rPr>
        <w:t>al armamentos</w:t>
      </w:r>
      <w:proofErr w:type="gramEnd"/>
      <w:r w:rsidRPr="00872BEB">
        <w:rPr>
          <w:rFonts w:ascii="Palatino Linotype" w:eastAsia="Palatino Linotype" w:hAnsi="Palatino Linotype" w:cs="Palatino Linotype"/>
          <w:sz w:val="24"/>
          <w:szCs w:val="24"/>
        </w:rPr>
        <w:t xml:space="preserve"> y datos personales que contiene. Información que se advierte, no corresponde con lo solicitado. </w:t>
      </w:r>
    </w:p>
    <w:p w:rsidR="006B1050" w:rsidRPr="00872BEB" w:rsidRDefault="006B1050">
      <w:pPr>
        <w:spacing w:after="0" w:line="360" w:lineRule="auto"/>
        <w:ind w:right="193"/>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que la respuesta que no corresponde a lo solicitado. </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Con base en lo precedente, se determina que la información proporcionada por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su respuesta, no cumple con lo establecido por los artículos 4, 12, 24 último párrafo y 161, de la Ley de Transparencia y Acceso a la Información Pública del Estado de México y Municipios; de ahí que, los motivos de inconformidad acontecen fundados para revocar la respuesta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razón de las consideraciones de derecho que a continuación se exponen:</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numPr>
          <w:ilvl w:val="0"/>
          <w:numId w:val="10"/>
        </w:numPr>
        <w:pBdr>
          <w:top w:val="nil"/>
          <w:left w:val="nil"/>
          <w:bottom w:val="nil"/>
          <w:right w:val="nil"/>
          <w:between w:val="nil"/>
        </w:pBdr>
        <w:spacing w:before="240"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Naturaleza de la información solicitada.</w:t>
      </w:r>
    </w:p>
    <w:p w:rsidR="006B1050" w:rsidRPr="00872BEB" w:rsidRDefault="006B105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Al respecto, es oportuno traer a colación los artículos 5, fracción II, XVII, 7, fracción IX, 19, fracción I, 39, inciso b), fracción VI y XI, 118 de la Ley General del Sistema Nacional de Seguridad Pública; disposición legal que dispone lo siguiente: </w:t>
      </w:r>
    </w:p>
    <w:p w:rsidR="006B1050" w:rsidRPr="00872BEB" w:rsidRDefault="006B1050">
      <w:pPr>
        <w:tabs>
          <w:tab w:val="left" w:pos="7938"/>
        </w:tabs>
        <w:spacing w:line="276" w:lineRule="auto"/>
        <w:ind w:right="900"/>
        <w:jc w:val="both"/>
        <w:rPr>
          <w:rFonts w:ascii="Palatino Linotype" w:eastAsia="Palatino Linotype" w:hAnsi="Palatino Linotype" w:cs="Palatino Linotype"/>
          <w:b/>
          <w:i/>
        </w:rPr>
      </w:pP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5</w:t>
      </w:r>
      <w:r w:rsidRPr="00872BEB">
        <w:rPr>
          <w:rFonts w:ascii="Palatino Linotype" w:eastAsia="Palatino Linotype" w:hAnsi="Palatino Linotype" w:cs="Palatino Linotype"/>
          <w:i/>
        </w:rPr>
        <w:t>.- Para los efectos de esta Ley, se entenderá por:</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III a XVI…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6B1050" w:rsidRPr="00872BEB" w:rsidRDefault="006B1050">
      <w:pPr>
        <w:tabs>
          <w:tab w:val="left" w:pos="7938"/>
        </w:tabs>
        <w:spacing w:line="276" w:lineRule="auto"/>
        <w:ind w:left="1134" w:right="900"/>
        <w:jc w:val="both"/>
        <w:rPr>
          <w:rFonts w:ascii="Palatino Linotype" w:eastAsia="Palatino Linotype" w:hAnsi="Palatino Linotype" w:cs="Palatino Linotype"/>
          <w:i/>
        </w:rPr>
      </w:pP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7.-</w:t>
      </w:r>
      <w:r w:rsidRPr="00872BEB">
        <w:rPr>
          <w:rFonts w:ascii="Palatino Linotype" w:eastAsia="Palatino Linotype" w:hAnsi="Palatino Linotype" w:cs="Palatino Linotype"/>
          <w:i/>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VIII…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IX. Generar, compartir, intercambiar, ingresar, almacenar y proveer información, archivos y contenidos a las Bases de Datos que integran el Sistema Nacional de Información, de conformidad con lo dispuesto en la legislación en la materia. </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Tratándose de manejo de datos que provengan del Registro Nacional de Detenciones se atendrá a lo dispuesto en la Ley Nacional del Registro de Detenciones;</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 a XVI…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19.-</w:t>
      </w:r>
      <w:r w:rsidRPr="00872BEB">
        <w:rPr>
          <w:rFonts w:ascii="Palatino Linotype" w:eastAsia="Palatino Linotype" w:hAnsi="Palatino Linotype" w:cs="Palatino Linotype"/>
          <w:i/>
        </w:rPr>
        <w:t xml:space="preserve"> El Centro Nacional de Información será el responsable de regular el Sistema Nacional de Información y tendrá, entre otras, las siguientes atribuciones: </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Determinar los criterios técnicos y de homologación de las Bases de Datos que conforman el Sistema Nacional de Información;</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II a VI…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b/>
          <w:i/>
          <w:u w:val="single"/>
        </w:rPr>
      </w:pPr>
      <w:r w:rsidRPr="00872BEB">
        <w:rPr>
          <w:rFonts w:ascii="Palatino Linotype" w:eastAsia="Palatino Linotype" w:hAnsi="Palatino Linotype" w:cs="Palatino Linotype"/>
          <w:b/>
          <w:i/>
          <w:u w:val="single"/>
        </w:rPr>
        <w:t>Artículo 39.- La concurrencia de facultades entre la Federación, las entidades federativas y los Municipios, quedará distribuida conforme a lo siguiente:</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A…</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b/>
          <w:i/>
          <w:u w:val="single"/>
        </w:rPr>
      </w:pPr>
      <w:r w:rsidRPr="00872BEB">
        <w:rPr>
          <w:rFonts w:ascii="Palatino Linotype" w:eastAsia="Palatino Linotype" w:hAnsi="Palatino Linotype" w:cs="Palatino Linotype"/>
          <w:b/>
          <w:i/>
          <w:u w:val="single"/>
        </w:rPr>
        <w:t>B. Corresponde a la Federación, a las entidades federativas y a los Municipios, en el ámbito de sus respectivas competencias:</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V…</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 Designar a un responsable del control, suministro y adecuado manejo de la información a que se refiere esta Ley;</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XII a X…</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b/>
          <w:i/>
          <w:u w:val="single"/>
        </w:rPr>
      </w:pPr>
      <w:r w:rsidRPr="00872BEB">
        <w:rPr>
          <w:rFonts w:ascii="Palatino Linotype" w:eastAsia="Palatino Linotype" w:hAnsi="Palatino Linotype" w:cs="Palatino Linotype"/>
          <w:b/>
          <w:i/>
          <w:u w:val="single"/>
        </w:rPr>
        <w:t xml:space="preserve">XI. Integrar y consultar la información relativa a la operación y Desarrollo Policial para el registro y seguimiento en el Sistema Nacional de Información; </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XII a XV…</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118.-</w:t>
      </w:r>
      <w:r w:rsidRPr="00872BEB">
        <w:rPr>
          <w:rFonts w:ascii="Palatino Linotype" w:eastAsia="Palatino Linotype" w:hAnsi="Palatino Linotype" w:cs="Palatino Linotype"/>
          <w:i/>
        </w:rPr>
        <w:t xml:space="preserve"> Las Bases de Datos que integran el Sistema Nacional de Información se actualizarán permanentemente y serán de consulta obligatoria para garantizar la efectividad en las actividades de Seguridad Pública. </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El Registro Nacional de Detenciones se vinculará con las Bases de Datos a que se refiere el presente artículo, mediante el número de identificación al que hace referencia la ley de la materia.”</w:t>
      </w:r>
    </w:p>
    <w:p w:rsidR="006B1050" w:rsidRPr="00872BEB" w:rsidRDefault="00115B05">
      <w:pPr>
        <w:tabs>
          <w:tab w:val="left" w:pos="7938"/>
        </w:tabs>
        <w:spacing w:before="240" w:after="240" w:line="360" w:lineRule="auto"/>
        <w:jc w:val="center"/>
        <w:rPr>
          <w:rFonts w:ascii="Palatino Linotype" w:eastAsia="Palatino Linotype" w:hAnsi="Palatino Linotype" w:cs="Palatino Linotype"/>
          <w:b/>
        </w:rPr>
      </w:pPr>
      <w:r w:rsidRPr="00872BEB">
        <w:rPr>
          <w:rFonts w:ascii="Palatino Linotype" w:eastAsia="Palatino Linotype" w:hAnsi="Palatino Linotype" w:cs="Palatino Linotype"/>
          <w:i/>
          <w:sz w:val="24"/>
          <w:szCs w:val="24"/>
        </w:rPr>
        <w:tab/>
      </w:r>
      <w:r w:rsidRPr="00872BEB">
        <w:rPr>
          <w:rFonts w:ascii="Palatino Linotype" w:eastAsia="Palatino Linotype" w:hAnsi="Palatino Linotype" w:cs="Palatino Linotype"/>
          <w:b/>
        </w:rPr>
        <w:t>Ley de Seguridad del Estado de México</w:t>
      </w:r>
    </w:p>
    <w:p w:rsidR="006B1050" w:rsidRPr="00872BEB" w:rsidRDefault="00115B05">
      <w:pPr>
        <w:tabs>
          <w:tab w:val="left" w:pos="7938"/>
        </w:tabs>
        <w:spacing w:before="240" w:after="240" w:line="360" w:lineRule="auto"/>
        <w:jc w:val="both"/>
        <w:rPr>
          <w:rFonts w:ascii="Palatino Linotype" w:eastAsia="Palatino Linotype" w:hAnsi="Palatino Linotype" w:cs="Palatino Linotype"/>
          <w:b/>
        </w:rPr>
      </w:pPr>
      <w:r w:rsidRPr="00872BEB">
        <w:rPr>
          <w:rFonts w:ascii="Palatino Linotype" w:eastAsia="Palatino Linotype" w:hAnsi="Palatino Linotype" w:cs="Palatino Linotype"/>
          <w:b/>
        </w:rPr>
        <w:t>Decreto número 360 publicado en el Periódico Oficial “Gaceta del Gobierno” del Estado de México, el diecinueve de octubre de dos mil once.</w:t>
      </w:r>
    </w:p>
    <w:p w:rsidR="006B1050" w:rsidRPr="00872BEB" w:rsidRDefault="00115B05">
      <w:pPr>
        <w:tabs>
          <w:tab w:val="left" w:pos="7938"/>
        </w:tabs>
        <w:spacing w:before="240" w:after="240" w:line="360" w:lineRule="auto"/>
        <w:jc w:val="center"/>
        <w:rPr>
          <w:rFonts w:ascii="Palatino Linotype" w:eastAsia="Palatino Linotype" w:hAnsi="Palatino Linotype" w:cs="Palatino Linotype"/>
          <w:b/>
        </w:rPr>
      </w:pPr>
      <w:r w:rsidRPr="00872BEB">
        <w:rPr>
          <w:rFonts w:ascii="Palatino Linotype" w:eastAsia="Palatino Linotype" w:hAnsi="Palatino Linotype" w:cs="Palatino Linotype"/>
          <w:i/>
          <w:noProof/>
        </w:rPr>
        <w:drawing>
          <wp:inline distT="0" distB="0" distL="0" distR="0">
            <wp:extent cx="4964433" cy="4812167"/>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964433" cy="4812167"/>
                    </a:xfrm>
                    <a:prstGeom prst="rect">
                      <a:avLst/>
                    </a:prstGeom>
                    <a:ln/>
                  </pic:spPr>
                </pic:pic>
              </a:graphicData>
            </a:graphic>
          </wp:inline>
        </w:drawing>
      </w:r>
    </w:p>
    <w:p w:rsidR="006B1050" w:rsidRPr="00872BEB" w:rsidRDefault="00115B05">
      <w:pPr>
        <w:spacing w:after="0" w:line="360" w:lineRule="auto"/>
        <w:ind w:right="49"/>
        <w:jc w:val="both"/>
        <w:rPr>
          <w:rFonts w:ascii="Palatino Linotype" w:eastAsia="Palatino Linotype" w:hAnsi="Palatino Linotype" w:cs="Palatino Linotype"/>
          <w:i/>
          <w:sz w:val="24"/>
          <w:szCs w:val="24"/>
        </w:rPr>
      </w:pPr>
      <w:r w:rsidRPr="00872BEB">
        <w:rPr>
          <w:rFonts w:ascii="Palatino Linotype" w:eastAsia="Palatino Linotype" w:hAnsi="Palatino Linotype" w:cs="Palatino Linotype"/>
          <w:sz w:val="24"/>
          <w:szCs w:val="24"/>
        </w:rPr>
        <w:t>Por otra parte, los numerales 125, fracción VIII y 142 de la Ley Orgánica Municipal del Estado de México, señala lo siguiente:</w:t>
      </w:r>
      <w:r w:rsidRPr="00872BEB">
        <w:rPr>
          <w:rFonts w:ascii="Palatino Linotype" w:eastAsia="Palatino Linotype" w:hAnsi="Palatino Linotype" w:cs="Palatino Linotype"/>
          <w:b/>
          <w:i/>
          <w:sz w:val="24"/>
          <w:szCs w:val="24"/>
        </w:rPr>
        <w:t xml:space="preserve"> </w:t>
      </w:r>
    </w:p>
    <w:p w:rsidR="006B1050" w:rsidRPr="00872BEB" w:rsidRDefault="006B1050">
      <w:pPr>
        <w:tabs>
          <w:tab w:val="left" w:pos="7938"/>
        </w:tabs>
        <w:spacing w:line="276" w:lineRule="auto"/>
        <w:ind w:left="1134" w:right="900"/>
        <w:jc w:val="both"/>
        <w:rPr>
          <w:rFonts w:ascii="Palatino Linotype" w:eastAsia="Palatino Linotype" w:hAnsi="Palatino Linotype" w:cs="Palatino Linotype"/>
          <w:b/>
          <w:i/>
        </w:rPr>
      </w:pP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 “Artículo 125</w:t>
      </w:r>
      <w:r w:rsidRPr="00872BEB">
        <w:rPr>
          <w:rFonts w:ascii="Palatino Linotype" w:eastAsia="Palatino Linotype" w:hAnsi="Palatino Linotype" w:cs="Palatino Linotype"/>
          <w:i/>
        </w:rPr>
        <w:t>.- Los municipios tendrán a su cargo la prestación, explotación, administración y conservación de los servicios públicos municipales, considerándose enunciativa y no limitativamente, los siguientes:</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VII…</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VIII. Seguridad pública y tránsito;</w:t>
      </w: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IX a XI…</w:t>
      </w:r>
    </w:p>
    <w:p w:rsidR="006B1050" w:rsidRPr="00872BEB" w:rsidRDefault="006B1050">
      <w:pPr>
        <w:tabs>
          <w:tab w:val="left" w:pos="7938"/>
        </w:tabs>
        <w:spacing w:line="276" w:lineRule="auto"/>
        <w:ind w:left="1134" w:right="900"/>
        <w:jc w:val="both"/>
        <w:rPr>
          <w:rFonts w:ascii="Palatino Linotype" w:eastAsia="Palatino Linotype" w:hAnsi="Palatino Linotype" w:cs="Palatino Linotype"/>
          <w:i/>
        </w:rPr>
      </w:pP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142</w:t>
      </w:r>
      <w:r w:rsidRPr="00872BEB">
        <w:rPr>
          <w:rFonts w:ascii="Palatino Linotype" w:eastAsia="Palatino Linotype" w:hAnsi="Palatino Linotype" w:cs="Palatino Linotype"/>
          <w:i/>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6B1050" w:rsidRPr="00872BEB" w:rsidRDefault="006B1050">
      <w:pPr>
        <w:tabs>
          <w:tab w:val="left" w:pos="7938"/>
        </w:tabs>
        <w:spacing w:line="276" w:lineRule="auto"/>
        <w:ind w:left="1134" w:right="900"/>
        <w:jc w:val="both"/>
        <w:rPr>
          <w:rFonts w:ascii="Palatino Linotype" w:eastAsia="Palatino Linotype" w:hAnsi="Palatino Linotype" w:cs="Palatino Linotype"/>
          <w:i/>
        </w:rPr>
      </w:pPr>
    </w:p>
    <w:p w:rsidR="006B1050" w:rsidRPr="00872BEB" w:rsidRDefault="00115B05">
      <w:pPr>
        <w:tabs>
          <w:tab w:val="left" w:pos="7938"/>
        </w:tabs>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6B1050" w:rsidRPr="00872BEB" w:rsidRDefault="006B1050">
      <w:pPr>
        <w:spacing w:after="80" w:line="360" w:lineRule="auto"/>
        <w:ind w:left="567"/>
        <w:jc w:val="both"/>
        <w:rPr>
          <w:rFonts w:ascii="Palatino Linotype" w:eastAsia="Palatino Linotype" w:hAnsi="Palatino Linotype" w:cs="Palatino Linotype"/>
          <w:i/>
          <w:sz w:val="24"/>
          <w:szCs w:val="24"/>
        </w:rPr>
      </w:pPr>
    </w:p>
    <w:p w:rsidR="006B1050" w:rsidRPr="00872BEB" w:rsidRDefault="00115B05">
      <w:pPr>
        <w:spacing w:before="80" w:after="24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872BEB">
        <w:rPr>
          <w:rFonts w:ascii="Palatino Linotype" w:eastAsia="Palatino Linotype" w:hAnsi="Palatino Linotype" w:cs="Palatino Linotype"/>
          <w:b/>
          <w:sz w:val="24"/>
          <w:szCs w:val="24"/>
        </w:rPr>
        <w:t xml:space="preserve">máxime que, desde la entrada en vigor de la Ley de Seguridad del Estado de México </w:t>
      </w:r>
      <w:r w:rsidRPr="00872BEB">
        <w:rPr>
          <w:rFonts w:ascii="Palatino Linotype" w:eastAsia="Palatino Linotype" w:hAnsi="Palatino Linotype" w:cs="Palatino Linotype"/>
          <w:b/>
          <w:i/>
          <w:sz w:val="24"/>
          <w:szCs w:val="24"/>
        </w:rPr>
        <w:t xml:space="preserve">-el 20 de octubre de 2011- </w:t>
      </w:r>
      <w:r w:rsidRPr="00872BEB">
        <w:rPr>
          <w:rFonts w:ascii="Palatino Linotype" w:eastAsia="Palatino Linotype" w:hAnsi="Palatino Linotype" w:cs="Palatino Linotype"/>
          <w:b/>
          <w:sz w:val="24"/>
          <w:szCs w:val="24"/>
        </w:rPr>
        <w:t xml:space="preserve">se desprende la atribución expresa para que, el Director de Seguridad Pública Municipal, </w:t>
      </w:r>
      <w:r w:rsidRPr="00872BEB">
        <w:rPr>
          <w:rFonts w:ascii="Palatino Linotype" w:eastAsia="Palatino Linotype" w:hAnsi="Palatino Linotype" w:cs="Palatino Linotype"/>
          <w:sz w:val="24"/>
          <w:szCs w:val="24"/>
        </w:rPr>
        <w:t xml:space="preserve"> entre otras cosas, </w:t>
      </w:r>
      <w:r w:rsidRPr="00872BEB">
        <w:rPr>
          <w:rFonts w:ascii="Palatino Linotype" w:eastAsia="Palatino Linotype" w:hAnsi="Palatino Linotype" w:cs="Palatino Linotype"/>
          <w:b/>
          <w:sz w:val="24"/>
          <w:szCs w:val="24"/>
        </w:rPr>
        <w:t xml:space="preserve">genere estadística delictiva. </w:t>
      </w:r>
    </w:p>
    <w:p w:rsidR="006B1050" w:rsidRPr="00872BEB" w:rsidRDefault="00115B05">
      <w:pPr>
        <w:spacing w:before="240"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24</w:t>
      </w:r>
      <w:r w:rsidRPr="00872BEB">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XI…</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XII. Publicar y mantener actualizada la información relativa a las obligaciones generales de transparencia previstas en la presente Ley o determinadas así por el Instituto, y en general aquella que sea de interés público;</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XIII a XXV…</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92.</w:t>
      </w:r>
      <w:r w:rsidRPr="00872BEB">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XXXIII…</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XXXIV. Las estadísticas que generen en cumplimiento de sus facultades, competencias o funciones con la mayor desagregación posible</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XXXV a LII…”</w:t>
      </w:r>
    </w:p>
    <w:p w:rsidR="006B1050" w:rsidRPr="00872BEB" w:rsidRDefault="006B1050">
      <w:pPr>
        <w:spacing w:line="276" w:lineRule="auto"/>
        <w:ind w:left="1134" w:right="900"/>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De forma complementaria, resulta de nuestro particular interés el criterio 11/09 emitido por el hoy Instituto Nacional de Transparencia, Acceso a la Información y Protección de Datos Personales, que a la letra dispone lo siguiente:</w:t>
      </w:r>
    </w:p>
    <w:p w:rsidR="006B1050" w:rsidRPr="00872BEB" w:rsidRDefault="006B1050">
      <w:pPr>
        <w:spacing w:line="360" w:lineRule="auto"/>
        <w:jc w:val="both"/>
        <w:rPr>
          <w:rFonts w:ascii="Palatino Linotype" w:eastAsia="Palatino Linotype" w:hAnsi="Palatino Linotype" w:cs="Palatino Linotype"/>
        </w:rPr>
      </w:pPr>
    </w:p>
    <w:p w:rsidR="006B1050" w:rsidRPr="00872BEB" w:rsidRDefault="00115B05">
      <w:pPr>
        <w:spacing w:line="276" w:lineRule="auto"/>
        <w:ind w:left="1134" w:right="90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“LA INFORMACIÓN ESTADÍSTICA ES DE NATURALEZA PÚBLICA, INDEPENDIENTEMENTE DE LA MATERIA CON LA QUE SE ENCUENTRE VINCULADA.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Así las cosas, se atrae al estudio los Lineamientos para el Llenado, Entrega, Recepción, Registro, Resguardo y Consulta del Informe Policial Homologado del que, se inserta lo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line="276" w:lineRule="auto"/>
        <w:ind w:left="1134" w:right="90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PRIMERO. OBJETO Y ÁMBITO DE APLICACIÓN.</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El Informe Policial Homologado es el medio a través del cual </w:t>
      </w:r>
      <w:r w:rsidRPr="00872BEB">
        <w:rPr>
          <w:rFonts w:ascii="Palatino Linotype" w:eastAsia="Palatino Linotype" w:hAnsi="Palatino Linotype" w:cs="Palatino Linotype"/>
          <w:b/>
          <w:i/>
        </w:rPr>
        <w:t>los integrantes de las instituciones policiales documentan la información relacionada con las puestas a disposición de personas y/o de objetos derivados de su intervención</w:t>
      </w:r>
      <w:r w:rsidRPr="00872BEB">
        <w:rPr>
          <w:rFonts w:ascii="Palatino Linotype" w:eastAsia="Palatino Linotype" w:hAnsi="Palatino Linotype" w:cs="Palatino Linotype"/>
          <w:i/>
        </w:rPr>
        <w:t>, a las autoridades competentes.</w:t>
      </w:r>
    </w:p>
    <w:p w:rsidR="006B1050" w:rsidRPr="00872BEB" w:rsidRDefault="006B1050">
      <w:pPr>
        <w:spacing w:line="276" w:lineRule="auto"/>
        <w:ind w:left="1134" w:right="900"/>
        <w:jc w:val="both"/>
        <w:rPr>
          <w:rFonts w:ascii="Palatino Linotype" w:eastAsia="Palatino Linotype" w:hAnsi="Palatino Linotype" w:cs="Palatino Linotype"/>
          <w:i/>
        </w:rPr>
      </w:pP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El Informe Policial Homologado tiene como objeto </w:t>
      </w:r>
      <w:proofErr w:type="spellStart"/>
      <w:r w:rsidRPr="00872BEB">
        <w:rPr>
          <w:rFonts w:ascii="Palatino Linotype" w:eastAsia="Palatino Linotype" w:hAnsi="Palatino Linotype" w:cs="Palatino Linotype"/>
          <w:i/>
        </w:rPr>
        <w:t>eficientar</w:t>
      </w:r>
      <w:proofErr w:type="spellEnd"/>
      <w:r w:rsidRPr="00872BEB">
        <w:rPr>
          <w:rFonts w:ascii="Palatino Linotype" w:eastAsia="Palatino Linotype" w:hAnsi="Palatino Linotype" w:cs="Palatino Linotype"/>
          <w:i/>
        </w:rPr>
        <w:t xml:space="preserve"> las puestas a disposición, garantizar el debido proceso, y fomentar el uso de la información para acciones de inteligencia.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Los presentes Lineamientos tienen como objeto señalar los criterios respecto a lo siguiente:</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I a </w:t>
      </w:r>
      <w:proofErr w:type="gramStart"/>
      <w:r w:rsidRPr="00872BEB">
        <w:rPr>
          <w:rFonts w:ascii="Palatino Linotype" w:eastAsia="Palatino Linotype" w:hAnsi="Palatino Linotype" w:cs="Palatino Linotype"/>
          <w:i/>
        </w:rPr>
        <w:t>V …</w:t>
      </w:r>
      <w:proofErr w:type="gramEnd"/>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   Resguardo de la base de datos del IPH en el Sistema Nacional de Información en Seguridad Pública;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VII a IX…</w:t>
      </w:r>
    </w:p>
    <w:p w:rsidR="006B1050" w:rsidRPr="00872BEB" w:rsidRDefault="006B1050">
      <w:pPr>
        <w:spacing w:line="276" w:lineRule="auto"/>
        <w:ind w:left="1134" w:right="900"/>
        <w:jc w:val="both"/>
        <w:rPr>
          <w:rFonts w:ascii="Palatino Linotype" w:eastAsia="Palatino Linotype" w:hAnsi="Palatino Linotype" w:cs="Palatino Linotype"/>
          <w:i/>
        </w:rPr>
      </w:pPr>
    </w:p>
    <w:p w:rsidR="006B1050" w:rsidRPr="00872BEB" w:rsidRDefault="00115B05">
      <w:pPr>
        <w:spacing w:line="276" w:lineRule="auto"/>
        <w:ind w:left="1134" w:right="90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SEGUNDO. GLOSARIO DE TÉRMINOS.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a IX…</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X. IPH: El Informe Policial Homologado de hechos probablemente delictivos o de infracciones administrativas, mismo que puede ser en versión impresa o electrónica.</w:t>
      </w:r>
    </w:p>
    <w:p w:rsidR="006B1050" w:rsidRPr="00872BEB" w:rsidRDefault="006B1050">
      <w:pPr>
        <w:spacing w:line="276" w:lineRule="auto"/>
        <w:ind w:left="1134" w:right="900"/>
        <w:jc w:val="both"/>
        <w:rPr>
          <w:rFonts w:ascii="Palatino Linotype" w:eastAsia="Palatino Linotype" w:hAnsi="Palatino Linotype" w:cs="Palatino Linotype"/>
          <w:i/>
        </w:rPr>
      </w:pPr>
    </w:p>
    <w:p w:rsidR="006B1050" w:rsidRPr="00872BEB" w:rsidRDefault="00115B05">
      <w:pPr>
        <w:spacing w:line="276" w:lineRule="auto"/>
        <w:ind w:left="1134" w:right="90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DÉCIMO TERCERO. ENTREGA Y RECEPCIÓN DEL IPH.</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Los integrantes de las instituciones policiales de los tres órdenes de gobierno que realicen el llenado del IPH, </w:t>
      </w:r>
      <w:r w:rsidRPr="00872BEB">
        <w:rPr>
          <w:rFonts w:ascii="Palatino Linotype" w:eastAsia="Palatino Linotype" w:hAnsi="Palatino Linotype" w:cs="Palatino Linotype"/>
          <w:b/>
          <w:i/>
        </w:rPr>
        <w:t>deberán entregarlo junto con las personas detenidas y/o arrestadas y/o los objetos asegurados a la autoridad competente</w:t>
      </w:r>
      <w:r w:rsidRPr="00872BEB">
        <w:rPr>
          <w:rFonts w:ascii="Palatino Linotype" w:eastAsia="Palatino Linotype" w:hAnsi="Palatino Linotype" w:cs="Palatino Linotype"/>
          <w:i/>
        </w:rPr>
        <w:t>, según se trate de un hecho probablemente delictivo o una infracción administrativa.</w:t>
      </w:r>
    </w:p>
    <w:p w:rsidR="006B1050" w:rsidRPr="00872BEB" w:rsidRDefault="00115B05">
      <w:pPr>
        <w:spacing w:line="276" w:lineRule="auto"/>
        <w:ind w:left="1134" w:right="90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rsidR="006B1050" w:rsidRPr="00872BEB" w:rsidRDefault="006B1050">
      <w:pPr>
        <w:spacing w:before="120" w:after="120"/>
        <w:ind w:left="851" w:right="902"/>
        <w:jc w:val="both"/>
        <w:rPr>
          <w:rFonts w:ascii="Palatino Linotype" w:eastAsia="Palatino Linotype" w:hAnsi="Palatino Linotype" w:cs="Palatino Linotype"/>
          <w:b/>
          <w:i/>
        </w:rPr>
      </w:pPr>
    </w:p>
    <w:p w:rsidR="006B1050" w:rsidRPr="00872BEB" w:rsidRDefault="00115B05">
      <w:pPr>
        <w:spacing w:before="120" w:after="120"/>
        <w:ind w:left="851" w:right="902"/>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DÉCIMO CUARTO. REGISTRO DE LA INFORMACIÓN EN LA BASE DE DATOS DEL IPH.</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El registro de la información en la base de datos se llevará a cabo conforme a lo siguiente:</w:t>
      </w:r>
    </w:p>
    <w:p w:rsidR="006B1050" w:rsidRPr="00872BEB" w:rsidRDefault="00115B05">
      <w:pPr>
        <w:numPr>
          <w:ilvl w:val="0"/>
          <w:numId w:val="1"/>
        </w:numPr>
        <w:pBdr>
          <w:top w:val="nil"/>
          <w:left w:val="nil"/>
          <w:bottom w:val="nil"/>
          <w:right w:val="nil"/>
          <w:between w:val="nil"/>
        </w:pBdr>
        <w:tabs>
          <w:tab w:val="left" w:pos="1418"/>
        </w:tabs>
        <w:spacing w:before="120" w:after="120" w:line="240" w:lineRule="auto"/>
        <w:ind w:left="1134" w:right="902" w:firstLine="0"/>
        <w:jc w:val="both"/>
        <w:rPr>
          <w:rFonts w:ascii="Palatino Linotype" w:eastAsia="Palatino Linotype" w:hAnsi="Palatino Linotype" w:cs="Palatino Linotype"/>
          <w:i/>
        </w:rPr>
      </w:pPr>
      <w:r w:rsidRPr="00872BEB">
        <w:rPr>
          <w:rFonts w:ascii="Palatino Linotype" w:eastAsia="Palatino Linotype" w:hAnsi="Palatino Linotype" w:cs="Palatino Linotype"/>
          <w:b/>
          <w:i/>
        </w:rPr>
        <w:t>La captura y registro de la información suministrada a la base de datos son obligatorios y estarán a cargo de las instituciones policiales de los tres órdenes de gobierno</w:t>
      </w:r>
      <w:r w:rsidRPr="00872BEB">
        <w:rPr>
          <w:rFonts w:ascii="Palatino Linotype" w:eastAsia="Palatino Linotype" w:hAnsi="Palatino Linotype" w:cs="Palatino Linotype"/>
          <w:i/>
        </w:rPr>
        <w:t>;</w:t>
      </w:r>
    </w:p>
    <w:p w:rsidR="006B1050" w:rsidRPr="00872BEB" w:rsidRDefault="00115B05">
      <w:pPr>
        <w:tabs>
          <w:tab w:val="left" w:pos="1418"/>
        </w:tabs>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El suministro de la información se realizará con apego a los datos contenidos en el IPH;</w:t>
      </w:r>
    </w:p>
    <w:p w:rsidR="006B1050" w:rsidRPr="00872BEB" w:rsidRDefault="00115B05">
      <w:pPr>
        <w:tabs>
          <w:tab w:val="left" w:pos="1418"/>
        </w:tabs>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El registro de los datos contenidos en el IPH y su digitalización se harán de manera inmediata, sin que exceda de un término máximo de veinticuatro horas contadas a partir de la hora de recepción por parte de la autoridad competente, y</w:t>
      </w:r>
    </w:p>
    <w:p w:rsidR="006B1050" w:rsidRPr="00872BEB" w:rsidRDefault="00115B05">
      <w:pPr>
        <w:tabs>
          <w:tab w:val="left" w:pos="1418"/>
        </w:tabs>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IV. </w:t>
      </w:r>
      <w:r w:rsidRPr="00872BEB">
        <w:rPr>
          <w:rFonts w:ascii="Palatino Linotype" w:eastAsia="Palatino Linotype" w:hAnsi="Palatino Linotype" w:cs="Palatino Linotype"/>
          <w:i/>
        </w:rPr>
        <w:t>La Secretaría garantizará la operación, disponibilidad, interconexión y mantenimiento de los componentes tecnológicos que soporten la base de datos y sistemas informáticos del IPH.”</w:t>
      </w:r>
    </w:p>
    <w:p w:rsidR="006B1050" w:rsidRPr="00872BEB" w:rsidRDefault="006B1050">
      <w:pPr>
        <w:spacing w:line="276" w:lineRule="auto"/>
        <w:ind w:left="1134" w:right="900"/>
        <w:jc w:val="both"/>
        <w:rPr>
          <w:rFonts w:ascii="Palatino Linotype" w:eastAsia="Palatino Linotype" w:hAnsi="Palatino Linotype" w:cs="Palatino Linotype"/>
          <w:i/>
        </w:rPr>
      </w:pP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(Énfasis añadido)</w:t>
      </w: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872BEB">
        <w:rPr>
          <w:rFonts w:ascii="Palatino Linotype" w:eastAsia="Palatino Linotype" w:hAnsi="Palatino Linotype" w:cs="Palatino Linotype"/>
          <w:b/>
          <w:sz w:val="24"/>
          <w:szCs w:val="24"/>
        </w:rPr>
        <w:t xml:space="preserve">por lo tanto, dicho informe únicamente es entregado junto con la persona detenida o bien, con los objetos que fueron asegurados en el hecho y/o acto probablemente constitutivo de delito. </w:t>
      </w:r>
      <w:r w:rsidRPr="00872BEB">
        <w:rPr>
          <w:rFonts w:ascii="Palatino Linotype" w:eastAsia="Palatino Linotype" w:hAnsi="Palatino Linotype" w:cs="Palatino Linotype"/>
          <w:sz w:val="24"/>
          <w:szCs w:val="24"/>
        </w:rPr>
        <w:t>Es importante dejar de lado que no se están solicitando estos documentos, sino información estadística únicamente.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872BEB">
        <w:rPr>
          <w:rFonts w:ascii="Palatino Linotype" w:eastAsia="Palatino Linotype" w:hAnsi="Palatino Linotype" w:cs="Palatino Linotype"/>
          <w:b/>
          <w:sz w:val="24"/>
          <w:szCs w:val="24"/>
        </w:rPr>
        <w:t>es claro que no en todos los casos en que se conoce de una conducta delictiva y se inicia una carpeta de investigación, o se agrega un informe policial homologado</w:t>
      </w:r>
      <w:r w:rsidRPr="00872BEB">
        <w:rPr>
          <w:rFonts w:ascii="Palatino Linotype" w:eastAsia="Palatino Linotype" w:hAnsi="Palatino Linotype" w:cs="Palatino Linotype"/>
          <w:sz w:val="24"/>
          <w:szCs w:val="24"/>
        </w:rPr>
        <w:t xml:space="preserve">, pues es evidente que existen diversos tipos de delitos que se pueden configurar sin que se genere el informe en comento, tal como de manera enunciativa más no limitativa, es el caso de la </w:t>
      </w:r>
      <w:r w:rsidRPr="00872BEB">
        <w:rPr>
          <w:rFonts w:ascii="Palatino Linotype" w:eastAsia="Palatino Linotype" w:hAnsi="Palatino Linotype" w:cs="Palatino Linotype"/>
          <w:b/>
          <w:sz w:val="24"/>
          <w:szCs w:val="24"/>
        </w:rPr>
        <w:t>extorsión</w:t>
      </w:r>
      <w:r w:rsidRPr="00872BEB">
        <w:rPr>
          <w:rFonts w:ascii="Palatino Linotype" w:eastAsia="Palatino Linotype" w:hAnsi="Palatino Linotype" w:cs="Palatino Linotype"/>
          <w:sz w:val="24"/>
          <w:szCs w:val="24"/>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872BEB">
        <w:rPr>
          <w:rFonts w:ascii="Palatino Linotype" w:eastAsia="Palatino Linotype" w:hAnsi="Palatino Linotype" w:cs="Palatino Linotype"/>
          <w:b/>
          <w:sz w:val="24"/>
          <w:szCs w:val="24"/>
        </w:rPr>
        <w:t>es tema de conocimiento público, que muchas de esas llamadas provienen de centros penitenciarios establecidos en diversas Entidades Federativas,</w:t>
      </w:r>
      <w:r w:rsidRPr="00872BEB">
        <w:rPr>
          <w:rFonts w:ascii="Palatino Linotype" w:eastAsia="Palatino Linotype" w:hAnsi="Palatino Linotype" w:cs="Palatino Linotype"/>
          <w:sz w:val="24"/>
          <w:szCs w:val="24"/>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872BEB">
        <w:rPr>
          <w:rFonts w:ascii="Palatino Linotype" w:eastAsia="Palatino Linotype" w:hAnsi="Palatino Linotype" w:cs="Palatino Linotype"/>
          <w:b/>
          <w:sz w:val="24"/>
          <w:szCs w:val="24"/>
        </w:rPr>
        <w:t>es preciso reiterar que el Particular solicitó información estadística de la incidencia delictiva,</w:t>
      </w:r>
      <w:r w:rsidRPr="00872BEB">
        <w:rPr>
          <w:rFonts w:ascii="Palatino Linotype" w:eastAsia="Palatino Linotype" w:hAnsi="Palatino Linotype" w:cs="Palatino Linotype"/>
          <w:sz w:val="24"/>
          <w:szCs w:val="24"/>
        </w:rPr>
        <w:t xml:space="preserve"> lo cual, </w:t>
      </w:r>
      <w:r w:rsidRPr="00872BEB">
        <w:rPr>
          <w:rFonts w:ascii="Palatino Linotype" w:eastAsia="Palatino Linotype" w:hAnsi="Palatino Linotype" w:cs="Palatino Linotype"/>
          <w:b/>
          <w:sz w:val="24"/>
          <w:szCs w:val="24"/>
        </w:rPr>
        <w:t>corresponde únicamente al número de hechos y/o actos de los que se tuvo conocimiento</w:t>
      </w:r>
      <w:r w:rsidRPr="00872BEB">
        <w:rPr>
          <w:rFonts w:ascii="Palatino Linotype" w:eastAsia="Palatino Linotype" w:hAnsi="Palatino Linotype" w:cs="Palatino Linotype"/>
          <w:sz w:val="24"/>
          <w:szCs w:val="24"/>
        </w:rPr>
        <w:t xml:space="preserve"> y con base en ello,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no se encuentra constreñido para buscar en el expediente formado si existe o no, el informe policial homologado, esto, en virtud del artículo 12 de la Ley de Transparencia y Acceso a la Información Pública del Estado de México y Municipios, referido en páginas anteriores.</w:t>
      </w:r>
    </w:p>
    <w:p w:rsidR="006B1050" w:rsidRPr="00872BEB" w:rsidRDefault="006B1050">
      <w:pPr>
        <w:spacing w:after="0" w:line="360" w:lineRule="auto"/>
        <w:jc w:val="both"/>
        <w:rPr>
          <w:rFonts w:ascii="Palatino Linotype" w:eastAsia="Palatino Linotype" w:hAnsi="Palatino Linotype" w:cs="Palatino Linotype"/>
          <w:i/>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esta tesitura, es claro que el nivel de desagregación que solicita el Particular, confiere al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872BEB">
        <w:rPr>
          <w:rFonts w:ascii="Palatino Linotype" w:eastAsia="Palatino Linotype" w:hAnsi="Palatino Linotype" w:cs="Palatino Linotype"/>
          <w:i/>
          <w:sz w:val="24"/>
          <w:szCs w:val="24"/>
        </w:rPr>
        <w:t xml:space="preserve"> ad hoc</w:t>
      </w:r>
      <w:r w:rsidRPr="00872BEB">
        <w:rPr>
          <w:rFonts w:ascii="Palatino Linotype" w:eastAsia="Palatino Linotype" w:hAnsi="Palatino Linotype" w:cs="Palatino Linotype"/>
          <w:sz w:val="24"/>
          <w:szCs w:val="24"/>
        </w:rPr>
        <w:t xml:space="preserve"> a los intereses de este último, situación que como fue precisado, va en contra del criterio número 03/17 emitido por el Pleno del Instituto Nacional de Transparencia, Acceso a la Información y Protección de Datos Personales, citado con antelación.</w:t>
      </w:r>
    </w:p>
    <w:p w:rsidR="006B1050" w:rsidRPr="00872BEB" w:rsidRDefault="006B1050">
      <w:pPr>
        <w:spacing w:after="0" w:line="360" w:lineRule="auto"/>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Por tales circunstancias para el caso en particular, este Instituto no encuentra sustento legal que permita ordenar la entrega de la información conforme los intereses del Particular; no obstante, es procedente determinar las atribuciones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para que, de ser el caso, en aras del principio de máxima publicidad, se ordene la entrega de la información con el mayor grado de desagregación posible.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Establecido lo anterior, es de recordar que el Particular en su solicitud señaló que requería la información, con las coordenadas geográficas, establecidas en el lugar de la intervención, por lo que se trae de nueva cuenta la Ley General del Sistema Nacional de Seguridad Pública, en la cual se establece en su artículo 43 lo que debe contener el informe policial homologado como se muestra a continuación:</w:t>
      </w:r>
    </w:p>
    <w:p w:rsidR="006B1050" w:rsidRPr="00872BEB" w:rsidRDefault="00115B05">
      <w:pPr>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rPr>
        <w:t xml:space="preserve"> </w:t>
      </w:r>
    </w:p>
    <w:p w:rsidR="006B1050" w:rsidRPr="00872BEB" w:rsidRDefault="00115B05">
      <w:pPr>
        <w:spacing w:after="0"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43.-</w:t>
      </w:r>
      <w:r w:rsidRPr="00872BEB">
        <w:rPr>
          <w:rFonts w:ascii="Palatino Linotype" w:eastAsia="Palatino Linotype" w:hAnsi="Palatino Linotype" w:cs="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 El área que lo emite;</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II. El usuario capturista;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III. Los Datos Generales de registro;</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IV. Motivo, que se clasifica en;</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a) Tipo de evento, y</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b) Subtipo de evento.</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 La ubicación del evento y en su caso, los caminos;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 La descripción de hechos, que deberá detallar modo, tiempo y lugar, entre otros datos.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VII. Entrevistas realizadas, y</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VIII. En caso de detenciones: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a) Señalar los motivos de la detención;</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b) Descripción de la persona;</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c) El nombre del detenido y apodo, en su caso;</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d) Descripción de estado físico aparente;</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e) Objetos que le fueron encontrados;</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f) Autoridad a la que fue puesto a disposición, y</w:t>
      </w:r>
    </w:p>
    <w:p w:rsidR="006B1050" w:rsidRPr="00872BEB" w:rsidRDefault="00115B05">
      <w:pPr>
        <w:spacing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g) Lugar en el que fue puesto a disposición.</w:t>
      </w:r>
    </w:p>
    <w:p w:rsidR="006B1050" w:rsidRPr="00872BEB" w:rsidRDefault="00115B05">
      <w:pPr>
        <w:spacing w:after="0" w:line="276" w:lineRule="auto"/>
        <w:ind w:left="1134"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rsidR="006B1050" w:rsidRPr="00872BEB" w:rsidRDefault="006B1050">
      <w:pPr>
        <w:spacing w:after="80" w:line="360" w:lineRule="auto"/>
        <w:jc w:val="both"/>
        <w:rPr>
          <w:rFonts w:ascii="Palatino Linotype" w:eastAsia="Palatino Linotype" w:hAnsi="Palatino Linotype" w:cs="Palatino Linotype"/>
          <w:sz w:val="24"/>
          <w:szCs w:val="24"/>
        </w:rPr>
      </w:pPr>
    </w:p>
    <w:p w:rsidR="006B1050" w:rsidRPr="00872BEB" w:rsidRDefault="00115B05">
      <w:pPr>
        <w:spacing w:before="80"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Por su parte el Lineamiento Décimo primero de los Lineamientos para el Llenado, Entrega, Recepción, Registro, Resguardo y Consulta del Informe Policial Homologado, dispone lo siguiente:</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DÉCIMO PRIMERO. LLENADO DEL IPH</w:t>
      </w:r>
      <w:r w:rsidRPr="00872BEB">
        <w:rPr>
          <w:rFonts w:ascii="Palatino Linotype" w:eastAsia="Palatino Linotype" w:hAnsi="Palatino Linotype" w:cs="Palatino Linotype"/>
          <w:i/>
        </w:rPr>
        <w:t>.</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Los integrantes de las </w:t>
      </w:r>
      <w:r w:rsidRPr="00872BEB">
        <w:rPr>
          <w:rFonts w:ascii="Palatino Linotype" w:eastAsia="Palatino Linotype" w:hAnsi="Palatino Linotype" w:cs="Palatino Linotype"/>
          <w:b/>
          <w:i/>
        </w:rPr>
        <w:t>instituciones policiales de los tres órdenes de gobierno</w:t>
      </w:r>
      <w:r w:rsidRPr="00872BEB">
        <w:rPr>
          <w:rFonts w:ascii="Palatino Linotype" w:eastAsia="Palatino Linotype" w:hAnsi="Palatino Linotype" w:cs="Palatino Linotype"/>
          <w:i/>
        </w:rPr>
        <w:t xml:space="preserve"> deberán registrar en el IPH la información relacionada con las puestas a disposición de personas y/o de objetos derivados de su intervención.</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El IPH para </w:t>
      </w:r>
      <w:r w:rsidRPr="00872BEB">
        <w:rPr>
          <w:rFonts w:ascii="Palatino Linotype" w:eastAsia="Palatino Linotype" w:hAnsi="Palatino Linotype" w:cs="Palatino Linotype"/>
          <w:b/>
          <w:i/>
        </w:rPr>
        <w:t>hechos probablemente delictivos</w:t>
      </w:r>
      <w:r w:rsidRPr="00872BEB">
        <w:rPr>
          <w:rFonts w:ascii="Palatino Linotype" w:eastAsia="Palatino Linotype" w:hAnsi="Palatino Linotype" w:cs="Palatino Linotype"/>
          <w:i/>
        </w:rPr>
        <w:t xml:space="preserve"> contendrá al menos los siguientes datos:</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xml:space="preserve">     El Número de Referencia o el Número de folio asignado;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Los datos del o los integrantes de la institución policial que lo emite;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xml:space="preserve">    Los datos de la autoridad competente que lo recibe;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IV.</w:t>
      </w:r>
      <w:r w:rsidRPr="00872BEB">
        <w:rPr>
          <w:rFonts w:ascii="Palatino Linotype" w:eastAsia="Palatino Linotype" w:hAnsi="Palatino Linotype" w:cs="Palatino Linotype"/>
          <w:i/>
        </w:rPr>
        <w:t xml:space="preserve">   Los datos generales de la intervención o actuación;</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w:t>
      </w:r>
      <w:r w:rsidRPr="00872BEB">
        <w:rPr>
          <w:rFonts w:ascii="Palatino Linotype" w:eastAsia="Palatino Linotype" w:hAnsi="Palatino Linotype" w:cs="Palatino Linotype"/>
          <w:i/>
        </w:rPr>
        <w:t xml:space="preserve">    El motivo de la intervención o actuación;</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La ubicación del o los lugares de la intervención o actuación</w:t>
      </w:r>
      <w:r w:rsidRPr="00872BEB">
        <w:rPr>
          <w:rFonts w:ascii="Palatino Linotype" w:eastAsia="Palatino Linotype" w:hAnsi="Palatino Linotype" w:cs="Palatino Linotype"/>
          <w:i/>
        </w:rPr>
        <w:t>;</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VII</w:t>
      </w:r>
      <w:r w:rsidRPr="00872BEB">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VIII</w:t>
      </w:r>
      <w:r w:rsidRPr="00872BEB">
        <w:rPr>
          <w:rFonts w:ascii="Palatino Linotype" w:eastAsia="Palatino Linotype" w:hAnsi="Palatino Linotype" w:cs="Palatino Linotype"/>
          <w:i/>
        </w:rPr>
        <w:t>.  En caso de personas detenidas:</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w:t>
      </w:r>
      <w:r w:rsidRPr="00872BEB">
        <w:rPr>
          <w:rFonts w:ascii="Palatino Linotype" w:eastAsia="Palatino Linotype" w:hAnsi="Palatino Linotype" w:cs="Palatino Linotype"/>
          <w:i/>
        </w:rPr>
        <w:t xml:space="preserve"> El Número del Registro Nacional de Detenciones;</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b)</w:t>
      </w:r>
      <w:r w:rsidRPr="00872BEB">
        <w:rPr>
          <w:rFonts w:ascii="Palatino Linotype" w:eastAsia="Palatino Linotype" w:hAnsi="Palatino Linotype" w:cs="Palatino Linotype"/>
          <w:i/>
        </w:rPr>
        <w:t xml:space="preserve"> Los motivos de la detención;</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c) </w:t>
      </w:r>
      <w:r w:rsidRPr="00872BEB">
        <w:rPr>
          <w:rFonts w:ascii="Palatino Linotype" w:eastAsia="Palatino Linotype" w:hAnsi="Palatino Linotype" w:cs="Palatino Linotype"/>
          <w:i/>
        </w:rPr>
        <w:t>Los datos generales de la persona;</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d) </w:t>
      </w:r>
      <w:r w:rsidRPr="00872BEB">
        <w:rPr>
          <w:rFonts w:ascii="Palatino Linotype" w:eastAsia="Palatino Linotype" w:hAnsi="Palatino Linotype" w:cs="Palatino Linotype"/>
          <w:i/>
        </w:rPr>
        <w:t>La descripción de la persona, incluyendo su estado físico aparente;</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e) </w:t>
      </w:r>
      <w:r w:rsidRPr="00872BEB">
        <w:rPr>
          <w:rFonts w:ascii="Palatino Linotype" w:eastAsia="Palatino Linotype" w:hAnsi="Palatino Linotype" w:cs="Palatino Linotype"/>
          <w:i/>
        </w:rPr>
        <w:t>Las armas de fuego y/o los objetos que le fueron recolectados y/o asegurados, y</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f)</w:t>
      </w:r>
      <w:r w:rsidRPr="00872BEB">
        <w:rPr>
          <w:rFonts w:ascii="Palatino Linotype" w:eastAsia="Palatino Linotype" w:hAnsi="Palatino Linotype" w:cs="Palatino Linotype"/>
          <w:i/>
        </w:rPr>
        <w:t xml:space="preserve"> El lugar al que es puesta a disposición la persona;</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IX</w:t>
      </w:r>
      <w:r w:rsidRPr="00872BEB">
        <w:rPr>
          <w:rFonts w:ascii="Palatino Linotype" w:eastAsia="Palatino Linotype" w:hAnsi="Palatino Linotype" w:cs="Palatino Linotype"/>
          <w:i/>
        </w:rPr>
        <w:t>.   En caso de lesionados y/o fallecidos, un informe del uso de la fuerza en el que se describa la conducta que lo motivó y el nivel proporcional empleado de acuerdo con lo dispuesto por los artículos 10 y 11 de la Ley Nacional sobre el Uso de la Fuerza. Éste será distinto al reporte pormenorizado señalado en el artículo 32 de la misma Ley;</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w:t>
      </w:r>
      <w:r w:rsidRPr="00872BEB">
        <w:rPr>
          <w:rFonts w:ascii="Palatino Linotype" w:eastAsia="Palatino Linotype" w:hAnsi="Palatino Linotype" w:cs="Palatino Linotype"/>
          <w:i/>
        </w:rPr>
        <w:t>. En caso de inspección de vehículo, los datos generales sobre sus características;</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XI.</w:t>
      </w:r>
      <w:r w:rsidRPr="00872BEB">
        <w:rPr>
          <w:rFonts w:ascii="Palatino Linotype" w:eastAsia="Palatino Linotype" w:hAnsi="Palatino Linotype" w:cs="Palatino Linotype"/>
          <w:i/>
        </w:rPr>
        <w:t xml:space="preserve"> En caso de recolección y/o aseguramiento de armas de fuego u objetos, los datos generales sobre sus características y apariencias;</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XII. </w:t>
      </w:r>
      <w:r w:rsidRPr="00872BEB">
        <w:rPr>
          <w:rFonts w:ascii="Palatino Linotype" w:eastAsia="Palatino Linotype" w:hAnsi="Palatino Linotype" w:cs="Palatino Linotype"/>
          <w:i/>
        </w:rPr>
        <w:t>En caso de preservar el lugar de la intervención o actuación, los datos generales sobre su entrega-recepción, y</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XIII</w:t>
      </w:r>
      <w:r w:rsidRPr="00872BEB">
        <w:rPr>
          <w:rFonts w:ascii="Palatino Linotype" w:eastAsia="Palatino Linotype" w:hAnsi="Palatino Linotype" w:cs="Palatino Linotype"/>
          <w:i/>
        </w:rPr>
        <w:t>. En caso de entrevistas, los datos generales de la persona entrevistada y el relato de la misma.</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El IPH para </w:t>
      </w:r>
      <w:r w:rsidRPr="00872BEB">
        <w:rPr>
          <w:rFonts w:ascii="Palatino Linotype" w:eastAsia="Palatino Linotype" w:hAnsi="Palatino Linotype" w:cs="Palatino Linotype"/>
          <w:b/>
          <w:i/>
        </w:rPr>
        <w:t>infracciones administrativas</w:t>
      </w:r>
      <w:r w:rsidRPr="00872BEB">
        <w:rPr>
          <w:rFonts w:ascii="Palatino Linotype" w:eastAsia="Palatino Linotype" w:hAnsi="Palatino Linotype" w:cs="Palatino Linotype"/>
          <w:i/>
        </w:rPr>
        <w:t xml:space="preserve"> contendrá al menos los siguientes datos:</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xml:space="preserve"> El Número de Referencia o el Número de folio asignado;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II. </w:t>
      </w:r>
      <w:r w:rsidRPr="00872BEB">
        <w:rPr>
          <w:rFonts w:ascii="Palatino Linotype" w:eastAsia="Palatino Linotype" w:hAnsi="Palatino Linotype" w:cs="Palatino Linotype"/>
          <w:i/>
        </w:rPr>
        <w:t>Los datos del o los integrantes de la institución policial que lo emite;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III. </w:t>
      </w:r>
      <w:r w:rsidRPr="00872BEB">
        <w:rPr>
          <w:rFonts w:ascii="Palatino Linotype" w:eastAsia="Palatino Linotype" w:hAnsi="Palatino Linotype" w:cs="Palatino Linotype"/>
          <w:i/>
        </w:rPr>
        <w:t>Los datos de la autoridad competente que lo recibe;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IV. </w:t>
      </w:r>
      <w:r w:rsidRPr="00872BEB">
        <w:rPr>
          <w:rFonts w:ascii="Palatino Linotype" w:eastAsia="Palatino Linotype" w:hAnsi="Palatino Linotype" w:cs="Palatino Linotype"/>
          <w:i/>
        </w:rPr>
        <w:t>Los datos generales de la intervención o actuación;</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w:t>
      </w:r>
      <w:r w:rsidRPr="00872BEB">
        <w:rPr>
          <w:rFonts w:ascii="Palatino Linotype" w:eastAsia="Palatino Linotype" w:hAnsi="Palatino Linotype" w:cs="Palatino Linotype"/>
          <w:i/>
        </w:rPr>
        <w:t>. El motivo de la intervención o actuación;</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La ubicación del o los lugares de la intervención o actuación</w:t>
      </w:r>
      <w:r w:rsidRPr="00872BEB">
        <w:rPr>
          <w:rFonts w:ascii="Palatino Linotype" w:eastAsia="Palatino Linotype" w:hAnsi="Palatino Linotype" w:cs="Palatino Linotype"/>
          <w:i/>
        </w:rPr>
        <w:t>;</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VII</w:t>
      </w:r>
      <w:r w:rsidRPr="00872BEB">
        <w:rPr>
          <w:rFonts w:ascii="Palatino Linotype" w:eastAsia="Palatino Linotype" w:hAnsi="Palatino Linotype" w:cs="Palatino Linotype"/>
          <w:i/>
        </w:rPr>
        <w:t>. La descripción de hechos, que deberá detallar modo, tiempo y lugar, entre otros datos. Así como, justificar razonablemente el control provisional preventivo y/o los niveles de contacto;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VIII</w:t>
      </w:r>
      <w:r w:rsidRPr="00872BEB">
        <w:rPr>
          <w:rFonts w:ascii="Palatino Linotype" w:eastAsia="Palatino Linotype" w:hAnsi="Palatino Linotype" w:cs="Palatino Linotype"/>
          <w:i/>
        </w:rPr>
        <w:t>. En caso de personas arrestadas:</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w:t>
      </w:r>
      <w:r w:rsidRPr="00872BEB">
        <w:rPr>
          <w:rFonts w:ascii="Palatino Linotype" w:eastAsia="Palatino Linotype" w:hAnsi="Palatino Linotype" w:cs="Palatino Linotype"/>
          <w:i/>
        </w:rPr>
        <w:t xml:space="preserve">   El Número del Registro Nacional de Detenciones;</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b)</w:t>
      </w:r>
      <w:r w:rsidRPr="00872BEB">
        <w:rPr>
          <w:rFonts w:ascii="Palatino Linotype" w:eastAsia="Palatino Linotype" w:hAnsi="Palatino Linotype" w:cs="Palatino Linotype"/>
          <w:i/>
        </w:rPr>
        <w:t xml:space="preserve">   Los motivos de la detención;</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c)  </w:t>
      </w:r>
      <w:r w:rsidRPr="00872BEB">
        <w:rPr>
          <w:rFonts w:ascii="Palatino Linotype" w:eastAsia="Palatino Linotype" w:hAnsi="Palatino Linotype" w:cs="Palatino Linotype"/>
          <w:i/>
        </w:rPr>
        <w:t xml:space="preserve"> Los datos generales de la persona;</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d)   </w:t>
      </w:r>
      <w:r w:rsidRPr="00872BEB">
        <w:rPr>
          <w:rFonts w:ascii="Palatino Linotype" w:eastAsia="Palatino Linotype" w:hAnsi="Palatino Linotype" w:cs="Palatino Linotype"/>
          <w:i/>
        </w:rPr>
        <w:t>La descripción de la persona, incluyendo su estado físico aparente, y</w:t>
      </w:r>
    </w:p>
    <w:p w:rsidR="006B1050" w:rsidRPr="00872BEB" w:rsidRDefault="00115B05">
      <w:pPr>
        <w:spacing w:before="120" w:after="120"/>
        <w:ind w:left="1418"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e)   </w:t>
      </w:r>
      <w:r w:rsidRPr="00872BEB">
        <w:rPr>
          <w:rFonts w:ascii="Palatino Linotype" w:eastAsia="Palatino Linotype" w:hAnsi="Palatino Linotype" w:cs="Palatino Linotype"/>
          <w:i/>
        </w:rPr>
        <w:t>El lugar en el que es puesta a disposición la persona, y</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IX.</w:t>
      </w:r>
      <w:r w:rsidRPr="00872BEB">
        <w:rPr>
          <w:rFonts w:ascii="Palatino Linotype" w:eastAsia="Palatino Linotype" w:hAnsi="Palatino Linotype" w:cs="Palatino Linotype"/>
          <w:i/>
        </w:rPr>
        <w:t xml:space="preserve"> En caso de involucramiento de vehículo, los datos generales sobre sus características.</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En el llenado del IPH se anotará por completo la información del evento. En caso de no contar con algún dato, no se realice la actividad y/o no aplique su llenado, se deberá dejar constancia de ello, o testar o cancelar el espacio respectivo a fin de que no se haga un mal uso de él.</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No se exigirá la totalidad del llenado y entrega de los Anexos cuando el caso no lo amerite.”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lo anterior, no se advierte la obligación de que el informe policial homologado deba contener coordenadas geográficas, sino solamente la ubicación del evento, el cual puede ser solventado con la dirección, por lo que la información se debe proporcionar con el mayor grado de desagregación posible, ya que al nivel que solicita el Particular, confiere al Sujeto Obligado a practicar una investigación, por lo que el derecho de acceso a la información pública se satisface en aquellos casos en que se entregue el soporte documental en el que conste la información solicitada, sin necesidad de elaborar documentos </w:t>
      </w:r>
      <w:r w:rsidRPr="00872BEB">
        <w:rPr>
          <w:rFonts w:ascii="Palatino Linotype" w:eastAsia="Palatino Linotype" w:hAnsi="Palatino Linotype" w:cs="Palatino Linotype"/>
          <w:i/>
          <w:sz w:val="24"/>
          <w:szCs w:val="24"/>
        </w:rPr>
        <w:t>ad hoc</w:t>
      </w:r>
      <w:r w:rsidRPr="00872BEB">
        <w:rPr>
          <w:rFonts w:ascii="Palatino Linotype" w:eastAsia="Palatino Linotype" w:hAnsi="Palatino Linotype" w:cs="Palatino Linotype"/>
          <w:sz w:val="24"/>
          <w:szCs w:val="24"/>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previamente citado.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b/>
          <w:sz w:val="24"/>
          <w:szCs w:val="24"/>
        </w:rPr>
        <w:t>De las atribuciones del SUJETO OBLIGADO.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este tenor de conformidad con lo dispuesto en el Bando Municipal de </w:t>
      </w:r>
      <w:proofErr w:type="spellStart"/>
      <w:r w:rsidRPr="00872BEB">
        <w:rPr>
          <w:rFonts w:ascii="Palatino Linotype" w:eastAsia="Palatino Linotype" w:hAnsi="Palatino Linotype" w:cs="Palatino Linotype"/>
          <w:sz w:val="24"/>
          <w:szCs w:val="24"/>
        </w:rPr>
        <w:t>Tepetlixpa</w:t>
      </w:r>
      <w:proofErr w:type="spellEnd"/>
      <w:r w:rsidRPr="00872BEB">
        <w:rPr>
          <w:rFonts w:ascii="Palatino Linotype" w:eastAsia="Palatino Linotype" w:hAnsi="Palatino Linotype" w:cs="Palatino Linotype"/>
          <w:sz w:val="24"/>
          <w:szCs w:val="24"/>
        </w:rPr>
        <w:t xml:space="preserve">  del año 2021, 2020, 2019 y 2018  se advierte que dentro de las funciones y atribuciones con las que cuenta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materia de Seguridad Pública, se encuentra:</w:t>
      </w:r>
    </w:p>
    <w:p w:rsidR="006B1050" w:rsidRPr="00872BEB" w:rsidRDefault="006B1050">
      <w:pPr>
        <w:jc w:val="both"/>
      </w:pPr>
    </w:p>
    <w:p w:rsidR="006B1050" w:rsidRPr="00872BEB" w:rsidRDefault="00115B05">
      <w:pPr>
        <w:ind w:left="851" w:right="851"/>
        <w:jc w:val="both"/>
        <w:rPr>
          <w:rFonts w:ascii="Palatino Linotype" w:eastAsia="Palatino Linotype" w:hAnsi="Palatino Linotype" w:cs="Palatino Linotype"/>
          <w:i/>
        </w:rPr>
      </w:pPr>
      <w:r w:rsidRPr="00872BEB">
        <w:rPr>
          <w:rFonts w:ascii="Palatino Linotype" w:eastAsia="Palatino Linotype" w:hAnsi="Palatino Linotype" w:cs="Palatino Linotype"/>
          <w:i/>
        </w:rPr>
        <w:t>ARTÍCULO 57.- Son atribuciones del Ayuntamiento, en materia de seguridad pública, tránsito y bomberos, las siguientes:</w:t>
      </w:r>
    </w:p>
    <w:p w:rsidR="006B1050" w:rsidRPr="00872BEB" w:rsidRDefault="00115B05">
      <w:pPr>
        <w:ind w:left="851" w:right="851"/>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ind w:left="851" w:right="851"/>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XVI. </w:t>
      </w:r>
      <w:r w:rsidRPr="00872BEB">
        <w:rPr>
          <w:rFonts w:ascii="Palatino Linotype" w:eastAsia="Palatino Linotype" w:hAnsi="Palatino Linotype" w:cs="Palatino Linotype"/>
          <w:b/>
          <w:i/>
          <w:u w:val="single"/>
        </w:rPr>
        <w:t>Llevar registro y estadística de incidencia delictiva o faltas administrativas</w:t>
      </w:r>
      <w:r w:rsidRPr="00872BEB">
        <w:rPr>
          <w:rFonts w:ascii="Palatino Linotype" w:eastAsia="Palatino Linotype" w:hAnsi="Palatino Linotype" w:cs="Palatino Linotype"/>
          <w:i/>
        </w:rPr>
        <w:t xml:space="preserve"> y reincidencia para que en coordinación con autoridades federales, estatales y municipales se establezcan políticas o procesos de prevención y combate al delito;</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Por lo antes señalado es claro que corresponde al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llevar un registro de incidencia delictiva o faltas administrativas, que derivado de las evidencias encontradas, del año 2018 al año 2021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Finalmente, el Bando de Gobierno Municipal de </w:t>
      </w:r>
      <w:proofErr w:type="spellStart"/>
      <w:r w:rsidRPr="00872BEB">
        <w:rPr>
          <w:rFonts w:ascii="Palatino Linotype" w:eastAsia="Palatino Linotype" w:hAnsi="Palatino Linotype" w:cs="Palatino Linotype"/>
          <w:sz w:val="24"/>
          <w:szCs w:val="24"/>
        </w:rPr>
        <w:t>Tepetlixpa</w:t>
      </w:r>
      <w:proofErr w:type="spellEnd"/>
      <w:r w:rsidRPr="00872BEB">
        <w:rPr>
          <w:rFonts w:ascii="Palatino Linotype" w:eastAsia="Palatino Linotype" w:hAnsi="Palatino Linotype" w:cs="Palatino Linotype"/>
          <w:sz w:val="24"/>
          <w:szCs w:val="24"/>
        </w:rPr>
        <w:t xml:space="preserve"> 2022, establece lo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196.</w:t>
      </w:r>
      <w:r w:rsidRPr="00872BEB">
        <w:rPr>
          <w:rFonts w:ascii="Palatino Linotype" w:eastAsia="Palatino Linotype" w:hAnsi="Palatino Linotype" w:cs="Palatino Linotype"/>
          <w:i/>
        </w:rPr>
        <w:t xml:space="preserve"> El Ayuntamiento determinará la forma de organización, facultades y funcionamiento de las Oficialía Mediadora-Conciliadora, así como el de las Oficialía Calificadora. La Oficialía Mediadoras-Conciliadora tendrá la responsabilidad de mediar los conflictos vecinales, comunitarios, familiares, escolares, sociales o políticos del municipio intentando inducir a los acuerdos basados en la conciliación.</w:t>
      </w:r>
    </w:p>
    <w:p w:rsidR="006B1050" w:rsidRPr="00872BEB" w:rsidRDefault="00115B05">
      <w:pPr>
        <w:spacing w:after="0" w:line="360"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spacing w:after="0" w:line="360"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El registro de infractores deberá estar bajo su resguardo de tal manera que sea </w:t>
      </w:r>
      <w:r w:rsidRPr="00872BEB">
        <w:rPr>
          <w:rFonts w:ascii="Palatino Linotype" w:eastAsia="Palatino Linotype" w:hAnsi="Palatino Linotype" w:cs="Palatino Linotype"/>
          <w:b/>
          <w:i/>
          <w:u w:val="single"/>
        </w:rPr>
        <w:t>actualizado diariamente y se presenten informes cuantitativos</w:t>
      </w:r>
      <w:r w:rsidRPr="00872BEB">
        <w:rPr>
          <w:rFonts w:ascii="Palatino Linotype" w:eastAsia="Palatino Linotype" w:hAnsi="Palatino Linotype" w:cs="Palatino Linotype"/>
          <w:i/>
        </w:rPr>
        <w:t xml:space="preserve"> y cualitativos </w:t>
      </w:r>
      <w:r w:rsidRPr="00872BEB">
        <w:rPr>
          <w:rFonts w:ascii="Palatino Linotype" w:eastAsia="Palatino Linotype" w:hAnsi="Palatino Linotype" w:cs="Palatino Linotype"/>
          <w:b/>
          <w:i/>
        </w:rPr>
        <w:t>mensualmente</w:t>
      </w:r>
      <w:r w:rsidRPr="00872BEB">
        <w:rPr>
          <w:rFonts w:ascii="Palatino Linotype" w:eastAsia="Palatino Linotype" w:hAnsi="Palatino Linotype" w:cs="Palatino Linotype"/>
          <w:i/>
        </w:rPr>
        <w:t>; asimismo, no podrá recibir de manera directa dinero en efectivo derivado del pago de infracciones, para lo cual se habilitará un sistema de cobro para ello y siempre deberá expedirse recibo institucional.</w:t>
      </w:r>
    </w:p>
    <w:p w:rsidR="006B1050" w:rsidRPr="00872BEB" w:rsidRDefault="006B1050">
      <w:pPr>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acuerdo a lo anterior, la Oficialía Mediadora-Conciliadora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tiene dentro de sus atribuciones, mediar los conflictos vecinales, comunitarios, familiares, escolares, sociales o políticos del municipio intentando inducir a los acuerdos basados en la conciliación, circunstancias que lo obliga a llevar un registro de infractores que es actualizado diariamente a efecto de presentar informes cuantitativos y cualitativos de forma mensual.</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Bajo este línea de pensamiento resulta importante señalar que si bien es cierto, se manifestó uno de los servidores públicos habilitados competentes, en este caso el Director de Seguridad Pública y Tránsito, para dar respuesta, no menos cierto es que no se colmó el derecho de acceso a la información pública, toda vez la respuesta que otorga no corresponde o se relaciona con lo solicitado, aunado a ello no se observa que fuera turnada a la Oficialía Mediadora-Conciliadora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por lo que, su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276" w:lineRule="auto"/>
        <w:ind w:left="851" w:right="900"/>
        <w:jc w:val="both"/>
        <w:rPr>
          <w:rFonts w:ascii="Palatino Linotype" w:eastAsia="Palatino Linotype" w:hAnsi="Palatino Linotype" w:cs="Palatino Linotype"/>
          <w:i/>
          <w:sz w:val="20"/>
          <w:szCs w:val="20"/>
        </w:rPr>
      </w:pPr>
      <w:r w:rsidRPr="00872BEB">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pBdr>
          <w:top w:val="nil"/>
          <w:left w:val="nil"/>
          <w:bottom w:val="nil"/>
          <w:right w:val="nil"/>
          <w:between w:val="nil"/>
        </w:pBdr>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sz w:val="24"/>
          <w:szCs w:val="24"/>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6B1050" w:rsidRPr="00872BEB" w:rsidRDefault="006B1050">
      <w:pPr>
        <w:pBdr>
          <w:top w:val="nil"/>
          <w:left w:val="nil"/>
          <w:bottom w:val="nil"/>
          <w:right w:val="nil"/>
          <w:between w:val="nil"/>
        </w:pBdr>
        <w:spacing w:after="0" w:line="360" w:lineRule="auto"/>
        <w:jc w:val="both"/>
        <w:rPr>
          <w:rFonts w:ascii="Palatino Linotype" w:eastAsia="Palatino Linotype" w:hAnsi="Palatino Linotype" w:cs="Palatino Linotype"/>
        </w:rPr>
      </w:pPr>
    </w:p>
    <w:p w:rsidR="006B1050" w:rsidRPr="00872BEB" w:rsidRDefault="00115B05">
      <w:pPr>
        <w:pBdr>
          <w:top w:val="nil"/>
          <w:left w:val="nil"/>
          <w:bottom w:val="nil"/>
          <w:right w:val="nil"/>
          <w:between w:val="nil"/>
        </w:pBdr>
        <w:spacing w:after="0" w:line="276" w:lineRule="auto"/>
        <w:ind w:left="1134" w:right="900"/>
        <w:jc w:val="both"/>
        <w:rPr>
          <w:rFonts w:ascii="Palatino Linotype" w:eastAsia="Palatino Linotype" w:hAnsi="Palatino Linotype" w:cs="Palatino Linotype"/>
        </w:rPr>
      </w:pPr>
      <w:r w:rsidRPr="00872BEB">
        <w:rPr>
          <w:rFonts w:ascii="Palatino Linotype" w:eastAsia="Palatino Linotype" w:hAnsi="Palatino Linotype" w:cs="Palatino Linotype"/>
          <w:i/>
        </w:rPr>
        <w:t xml:space="preserve">Artículo 18. Los sujetos obligados </w:t>
      </w:r>
      <w:r w:rsidRPr="00872BEB">
        <w:rPr>
          <w:rFonts w:ascii="Palatino Linotype" w:eastAsia="Palatino Linotype" w:hAnsi="Palatino Linotype" w:cs="Palatino Linotype"/>
          <w:b/>
          <w:i/>
        </w:rPr>
        <w:t>deberán documentar todo acto que derive del ejercicio de sus facultades, competencias o funciones</w:t>
      </w:r>
      <w:r w:rsidRPr="00872BEB">
        <w:rPr>
          <w:rFonts w:ascii="Palatino Linotype" w:eastAsia="Palatino Linotype" w:hAnsi="Palatino Linotype" w:cs="Palatino Linotype"/>
          <w:i/>
        </w:rPr>
        <w:t>, considerando desde su origen la eventual publicidad y reutilización de la información que generen.</w:t>
      </w:r>
    </w:p>
    <w:p w:rsidR="006B1050" w:rsidRPr="00872BEB" w:rsidRDefault="00115B05">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sz w:val="24"/>
          <w:szCs w:val="24"/>
        </w:rPr>
        <w:t> </w:t>
      </w:r>
    </w:p>
    <w:p w:rsidR="006B1050" w:rsidRPr="00872BEB" w:rsidRDefault="00115B05">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 xml:space="preserve">De lo anterior se entiende que el ejercicio del derecho de acceso a la información pública se centra en la potestad de los particulares de tener </w:t>
      </w:r>
      <w:r w:rsidRPr="00872BEB">
        <w:rPr>
          <w:rFonts w:ascii="Palatino Linotype" w:eastAsia="Palatino Linotype" w:hAnsi="Palatino Linotype" w:cs="Palatino Linotype"/>
          <w:b/>
          <w:sz w:val="24"/>
          <w:szCs w:val="24"/>
        </w:rPr>
        <w:t>acceso a los documentos públicos que obren en los archivos de los Sujetos Obligados</w:t>
      </w:r>
      <w:r w:rsidRPr="00872BEB">
        <w:rPr>
          <w:rFonts w:ascii="Palatino Linotype" w:eastAsia="Palatino Linotype" w:hAnsi="Palatino Linotype" w:cs="Palatino Linotype"/>
          <w:sz w:val="24"/>
          <w:szCs w:val="24"/>
        </w:rPr>
        <w:t xml:space="preserve">, ya sea porque los generen en el uso de sus atribuciones, los administren o simplemente los posean.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tabs>
          <w:tab w:val="left" w:pos="142"/>
          <w:tab w:val="left" w:pos="284"/>
          <w:tab w:val="left" w:pos="426"/>
        </w:tabs>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872BEB">
        <w:rPr>
          <w:rFonts w:ascii="Palatino Linotype" w:eastAsia="Palatino Linotype" w:hAnsi="Palatino Linotype" w:cs="Palatino Linotype"/>
          <w:b/>
          <w:i/>
          <w:sz w:val="24"/>
          <w:szCs w:val="24"/>
        </w:rPr>
        <w:t>ad hoc</w:t>
      </w:r>
      <w:r w:rsidRPr="00872BEB">
        <w:rPr>
          <w:rFonts w:ascii="Palatino Linotype" w:eastAsia="Palatino Linotype" w:hAnsi="Palatino Linotype" w:cs="Palatino Linotype"/>
          <w:sz w:val="24"/>
          <w:szCs w:val="24"/>
        </w:rPr>
        <w:t>, para satisfacer el derecho de acceso a la información pública.</w:t>
      </w:r>
    </w:p>
    <w:p w:rsidR="006B1050" w:rsidRPr="00872BEB" w:rsidRDefault="006B1050">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p>
    <w:p w:rsidR="006B1050" w:rsidRPr="00872BEB" w:rsidRDefault="00115B05">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Robustece lo anterior el Criterio 09/10, emitido por el Pleno del entonces Instituto Federal de Acceso a la Información y Protección de Datos (IFAI), ahora Instituto Nacional de Transparencia, Acceso a la Información y Protección de Datos Personales (INAI), que dice:</w:t>
      </w:r>
    </w:p>
    <w:p w:rsidR="006B1050" w:rsidRPr="00872BEB" w:rsidRDefault="006B1050">
      <w:pPr>
        <w:tabs>
          <w:tab w:val="left" w:pos="142"/>
          <w:tab w:val="left" w:pos="284"/>
          <w:tab w:val="left" w:pos="426"/>
        </w:tabs>
        <w:spacing w:line="276" w:lineRule="auto"/>
        <w:ind w:left="993" w:right="900"/>
        <w:jc w:val="both"/>
        <w:rPr>
          <w:rFonts w:ascii="Palatino Linotype" w:eastAsia="Palatino Linotype" w:hAnsi="Palatino Linotype" w:cs="Palatino Linotype"/>
          <w:b/>
        </w:rPr>
      </w:pPr>
    </w:p>
    <w:p w:rsidR="006B1050" w:rsidRPr="00872BEB" w:rsidRDefault="00115B05">
      <w:pPr>
        <w:spacing w:after="0" w:line="276" w:lineRule="auto"/>
        <w:ind w:left="993"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Las dependencias y entidades no están obligadas a generar documentos ad hoc para responder una solicitud de acceso a la información.</w:t>
      </w:r>
      <w:r w:rsidRPr="00872BEB">
        <w:rPr>
          <w:rFonts w:ascii="Palatino Linotype" w:eastAsia="Palatino Linotype" w:hAnsi="Palatino Linotype" w:cs="Palatino Linotype"/>
          <w:i/>
        </w:rPr>
        <w:t xml:space="preserve"> Tomando en consideración lo establecido por el artículo 42 de la Ley Federal de Transparencia y Acceso a la Información Pública Gubernamental, que establece que </w:t>
      </w:r>
      <w:r w:rsidRPr="00872BEB">
        <w:rPr>
          <w:rFonts w:ascii="Palatino Linotype" w:eastAsia="Palatino Linotype" w:hAnsi="Palatino Linotype" w:cs="Palatino Linotype"/>
          <w:b/>
          <w:i/>
        </w:rPr>
        <w:t>las dependencias y entidades sólo estarán obligadas a entregar documentos que se encuentren en sus archivos</w:t>
      </w:r>
      <w:r w:rsidRPr="00872BEB">
        <w:rPr>
          <w:rFonts w:ascii="Palatino Linotype" w:eastAsia="Palatino Linotype" w:hAnsi="Palatino Linotype" w:cs="Palatino Linotype"/>
          <w:i/>
        </w:rPr>
        <w:t xml:space="preserve">, las dependencias y entidades </w:t>
      </w:r>
      <w:r w:rsidRPr="00872BEB">
        <w:rPr>
          <w:rFonts w:ascii="Palatino Linotype" w:eastAsia="Palatino Linotype" w:hAnsi="Palatino Linotype" w:cs="Palatino Linotype"/>
          <w:b/>
          <w:i/>
        </w:rPr>
        <w:t>no están obligadas a elaborar documentos ad hoc para atender las solicitudes de información</w:t>
      </w:r>
      <w:r w:rsidRPr="00872BEB">
        <w:rPr>
          <w:rFonts w:ascii="Palatino Linotype" w:eastAsia="Palatino Linotype" w:hAnsi="Palatino Linotype" w:cs="Palatino Linotype"/>
          <w:i/>
        </w:rPr>
        <w:t>, sino que deben garantizar el acceso a la información con la que cuentan en el formato que la misma así lo permita o se encuentre, en aras de dar satisfacción a la solicitud presentada.”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Del acuerdo de inexistencia.</w:t>
      </w:r>
    </w:p>
    <w:p w:rsidR="006B1050" w:rsidRPr="00872BEB" w:rsidRDefault="006B1050">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Debe apuntarse en este caso en particular que, de actualizarse el supuesto en el que derivado del turno de la solicitud de información a las áreas competentes no se localice el documento alguno con el que se atienda el requerimiento relativo a la incidencia delictiva,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Artículo 19.</w:t>
      </w:r>
      <w:r w:rsidRPr="00872BEB">
        <w:rPr>
          <w:rFonts w:ascii="Palatino Linotype" w:eastAsia="Palatino Linotype" w:hAnsi="Palatino Linotype" w:cs="Palatino Linotype"/>
          <w:i/>
        </w:rPr>
        <w:t xml:space="preserve"> (…)</w:t>
      </w:r>
    </w:p>
    <w:p w:rsidR="006B1050" w:rsidRPr="00872BEB" w:rsidRDefault="00115B05">
      <w:pPr>
        <w:spacing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872BEB">
        <w:rPr>
          <w:rFonts w:ascii="Palatino Linotype" w:eastAsia="Palatino Linotype" w:hAnsi="Palatino Linotype" w:cs="Palatino Linotype"/>
          <w:i/>
        </w:rPr>
        <w:t>, debidamente fundado y motivado, en el que detalle las razones del por qué no obra en sus archivos.”</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Artículo 49.</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Los Comités de Transparencia</w:t>
      </w:r>
      <w:r w:rsidRPr="00872BEB">
        <w:rPr>
          <w:rFonts w:ascii="Palatino Linotype" w:eastAsia="Palatino Linotype" w:hAnsi="Palatino Linotype" w:cs="Palatino Linotype"/>
          <w:i/>
        </w:rPr>
        <w:t xml:space="preserve"> tendrán las siguientes </w:t>
      </w:r>
      <w:r w:rsidRPr="00872BEB">
        <w:rPr>
          <w:rFonts w:ascii="Palatino Linotype" w:eastAsia="Palatino Linotype" w:hAnsi="Palatino Linotype" w:cs="Palatino Linotype"/>
          <w:b/>
          <w:i/>
        </w:rPr>
        <w:t>atribuciones</w:t>
      </w:r>
      <w:r w:rsidRPr="00872BEB">
        <w:rPr>
          <w:rFonts w:ascii="Palatino Linotype" w:eastAsia="Palatino Linotype" w:hAnsi="Palatino Linotype" w:cs="Palatino Linotype"/>
          <w:i/>
        </w:rPr>
        <w:t>:</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Confirmar, modificar o revocar las determinaciones que en materia de</w:t>
      </w:r>
      <w:r w:rsidRPr="00872BEB">
        <w:rPr>
          <w:rFonts w:ascii="Palatino Linotype" w:eastAsia="Palatino Linotype" w:hAnsi="Palatino Linotype" w:cs="Palatino Linotype"/>
          <w:i/>
        </w:rPr>
        <w:t xml:space="preserve"> ampliación del plazo de respuesta, clasificación de la información y </w:t>
      </w:r>
      <w:r w:rsidRPr="00872BEB">
        <w:rPr>
          <w:rFonts w:ascii="Palatino Linotype" w:eastAsia="Palatino Linotype" w:hAnsi="Palatino Linotype" w:cs="Palatino Linotype"/>
          <w:b/>
          <w:i/>
        </w:rPr>
        <w:t>declaración de inexistencia</w:t>
      </w:r>
      <w:r w:rsidRPr="00872BEB">
        <w:rPr>
          <w:rFonts w:ascii="Palatino Linotype" w:eastAsia="Palatino Linotype" w:hAnsi="Palatino Linotype" w:cs="Palatino Linotype"/>
          <w:i/>
        </w:rPr>
        <w:t xml:space="preserve"> o de incompetencia realicen los titulares de las áreas de los sujetos obligados;</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XIII</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Dictaminar las declaratorias de inexistencia de la información</w:t>
      </w:r>
      <w:r w:rsidRPr="00872BEB">
        <w:rPr>
          <w:rFonts w:ascii="Palatino Linotype" w:eastAsia="Palatino Linotype" w:hAnsi="Palatino Linotype" w:cs="Palatino Linotype"/>
          <w:i/>
        </w:rPr>
        <w:t xml:space="preserve"> que les remitan las unidades administrativas y resolver en consecuencia…”</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Artículo 169</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Cuando la información no se encuentre en los archivos del sujeto obligado, el Comité de Transparencia</w:t>
      </w:r>
      <w:r w:rsidRPr="00872BEB">
        <w:rPr>
          <w:rFonts w:ascii="Palatino Linotype" w:eastAsia="Palatino Linotype" w:hAnsi="Palatino Linotype" w:cs="Palatino Linotype"/>
          <w:i/>
        </w:rPr>
        <w:t xml:space="preserve">: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xml:space="preserve"> Analizará el caso y tomará las medidas necesarias para localizar la información;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Expedirá una resolución que confirme la inexistencia del documento</w:t>
      </w:r>
      <w:r w:rsidRPr="00872BEB">
        <w:rPr>
          <w:rFonts w:ascii="Palatino Linotype" w:eastAsia="Palatino Linotype" w:hAnsi="Palatino Linotype" w:cs="Palatino Linotype"/>
          <w:i/>
        </w:rPr>
        <w:t xml:space="preserve">;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IV.</w:t>
      </w:r>
      <w:r w:rsidRPr="00872BEB">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rsidR="006B1050" w:rsidRPr="00872BEB" w:rsidRDefault="00115B05">
      <w:pPr>
        <w:spacing w:before="120" w:after="12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6B1050" w:rsidRPr="00872BEB" w:rsidRDefault="00115B05">
      <w:pPr>
        <w:spacing w:before="120" w:after="0"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Artículo 170.</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La resolución del Comité de Transparencia que confirme la inexistencia de la información solicitada contendrá los elementos mínimos</w:t>
      </w:r>
      <w:r w:rsidRPr="00872BEB">
        <w:rPr>
          <w:rFonts w:ascii="Palatino Linotype" w:eastAsia="Palatino Linotype" w:hAnsi="Palatino Linotype" w:cs="Palatino Linotype"/>
          <w:i/>
        </w:rPr>
        <w:t xml:space="preserve"> </w:t>
      </w:r>
      <w:r w:rsidRPr="00872BEB">
        <w:rPr>
          <w:rFonts w:ascii="Palatino Linotype" w:eastAsia="Palatino Linotype" w:hAnsi="Palatino Linotype" w:cs="Palatino Linotype"/>
          <w:b/>
          <w:i/>
        </w:rPr>
        <w:t>que permitan al solicitante tener la certeza de que se utilizó un criterio de búsqueda exhaustivo</w:t>
      </w:r>
      <w:r w:rsidRPr="00872BEB">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rsidR="006B1050" w:rsidRPr="00872BEB" w:rsidRDefault="006B1050">
      <w:pPr>
        <w:spacing w:after="0" w:line="360" w:lineRule="auto"/>
        <w:ind w:left="851" w:right="902"/>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y comprobar la inexistencia de la información.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rPr>
      </w:pPr>
      <w:r w:rsidRPr="00872BEB">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872BEB">
        <w:rPr>
          <w:rFonts w:ascii="Palatino Linotype" w:eastAsia="Palatino Linotype" w:hAnsi="Palatino Linotype" w:cs="Palatino Linotype"/>
        </w:rPr>
        <w:t>:</w:t>
      </w:r>
    </w:p>
    <w:p w:rsidR="006B1050" w:rsidRPr="00872BEB" w:rsidRDefault="006B1050">
      <w:pPr>
        <w:spacing w:after="0" w:line="360" w:lineRule="auto"/>
        <w:jc w:val="both"/>
        <w:rPr>
          <w:rFonts w:ascii="Palatino Linotype" w:eastAsia="Palatino Linotype" w:hAnsi="Palatino Linotype" w:cs="Palatino Linotype"/>
        </w:rPr>
      </w:pPr>
    </w:p>
    <w:p w:rsidR="006B1050" w:rsidRPr="00872BEB" w:rsidRDefault="00115B05">
      <w:pPr>
        <w:spacing w:after="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INEXISTENCIA. DECLARATORIA DE LA. ALCANCES Y PROCEDIMIENTOS</w:t>
      </w:r>
      <w:r w:rsidRPr="00872BEB">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6B1050" w:rsidRPr="00872BEB" w:rsidRDefault="00115B05">
      <w:pPr>
        <w:spacing w:after="240"/>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Bajo el entendido de que dicha búsqueda exhaustiva permitirá dos determinaciones: </w:t>
      </w:r>
    </w:p>
    <w:p w:rsidR="006B1050" w:rsidRPr="00872BEB" w:rsidRDefault="00115B05">
      <w:pPr>
        <w:spacing w:before="240" w:after="240"/>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1ª)</w:t>
      </w:r>
      <w:r w:rsidRPr="00872BEB">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rsidR="006B1050" w:rsidRPr="00872BEB" w:rsidRDefault="00115B05">
      <w:pPr>
        <w:spacing w:before="240" w:after="24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2ª)</w:t>
      </w:r>
      <w:r w:rsidRPr="00872BEB">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6B1050" w:rsidRPr="00872BEB" w:rsidRDefault="00115B05">
      <w:pPr>
        <w:spacing w:before="240" w:after="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B1050" w:rsidRPr="00872BEB" w:rsidRDefault="006B1050">
      <w:pPr>
        <w:spacing w:after="0" w:line="360" w:lineRule="auto"/>
        <w:ind w:left="851" w:right="900"/>
        <w:jc w:val="both"/>
        <w:rPr>
          <w:rFonts w:ascii="Palatino Linotype" w:eastAsia="Palatino Linotype" w:hAnsi="Palatino Linotype" w:cs="Palatino Linotype"/>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872BEB">
        <w:rPr>
          <w:rFonts w:ascii="Palatino Linotype" w:eastAsia="Palatino Linotype" w:hAnsi="Palatino Linotype" w:cs="Palatino Linotype"/>
          <w:b/>
          <w:sz w:val="24"/>
          <w:szCs w:val="24"/>
        </w:rPr>
        <w:t>EL SUJETO OBLIGADO</w:t>
      </w:r>
      <w:r w:rsidRPr="00872BEB">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24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INEXISTENCIA, CONCEPTO DE, EN MATERIA DE TRANSPARENCIA</w:t>
      </w:r>
      <w:r w:rsidRPr="00872BEB">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872BEB">
        <w:rPr>
          <w:rFonts w:ascii="Palatino Linotype" w:eastAsia="Palatino Linotype" w:hAnsi="Palatino Linotype" w:cs="Palatino Linotype"/>
          <w:b/>
          <w:i/>
        </w:rPr>
        <w:t>supuestos:</w:t>
      </w:r>
      <w:r w:rsidRPr="00872BEB">
        <w:rPr>
          <w:rFonts w:ascii="Palatino Linotype" w:eastAsia="Palatino Linotype" w:hAnsi="Palatino Linotype" w:cs="Palatino Linotype"/>
          <w:i/>
        </w:rPr>
        <w:t xml:space="preserve"> </w:t>
      </w:r>
    </w:p>
    <w:p w:rsidR="006B1050" w:rsidRPr="00872BEB" w:rsidRDefault="00115B05">
      <w:pPr>
        <w:numPr>
          <w:ilvl w:val="0"/>
          <w:numId w:val="3"/>
        </w:numPr>
        <w:pBdr>
          <w:top w:val="nil"/>
          <w:left w:val="nil"/>
          <w:bottom w:val="nil"/>
          <w:right w:val="nil"/>
          <w:between w:val="nil"/>
        </w:pBdr>
        <w:tabs>
          <w:tab w:val="left" w:pos="1276"/>
        </w:tabs>
        <w:spacing w:before="240" w:after="0" w:line="276" w:lineRule="auto"/>
        <w:ind w:left="993" w:right="900" w:firstLine="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6B1050" w:rsidRPr="00872BEB" w:rsidRDefault="00115B05">
      <w:pPr>
        <w:numPr>
          <w:ilvl w:val="0"/>
          <w:numId w:val="3"/>
        </w:numPr>
        <w:pBdr>
          <w:top w:val="nil"/>
          <w:left w:val="nil"/>
          <w:bottom w:val="nil"/>
          <w:right w:val="nil"/>
          <w:between w:val="nil"/>
        </w:pBdr>
        <w:tabs>
          <w:tab w:val="left" w:pos="1276"/>
        </w:tabs>
        <w:spacing w:after="240" w:line="276" w:lineRule="auto"/>
        <w:ind w:left="993" w:right="900" w:firstLine="0"/>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w:t>
      </w:r>
      <w:proofErr w:type="gramStart"/>
      <w:r w:rsidRPr="00872BEB">
        <w:rPr>
          <w:rFonts w:ascii="Palatino Linotype" w:eastAsia="Palatino Linotype" w:hAnsi="Palatino Linotype" w:cs="Palatino Linotype"/>
          <w:b/>
          <w:i/>
        </w:rPr>
        <w:t>ninguna</w:t>
      </w:r>
      <w:proofErr w:type="gramEnd"/>
      <w:r w:rsidRPr="00872BEB">
        <w:rPr>
          <w:rFonts w:ascii="Palatino Linotype" w:eastAsia="Palatino Linotype" w:hAnsi="Palatino Linotype" w:cs="Palatino Linotype"/>
          <w:b/>
          <w:i/>
        </w:rPr>
        <w:t xml:space="preserve"> de esas acciones. </w:t>
      </w:r>
    </w:p>
    <w:p w:rsidR="006B1050" w:rsidRPr="00872BEB" w:rsidRDefault="00115B05">
      <w:pPr>
        <w:spacing w:before="240" w:after="0" w:line="276"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B1050" w:rsidRPr="00872BEB" w:rsidRDefault="006B1050">
      <w:pPr>
        <w:spacing w:after="0" w:line="360" w:lineRule="auto"/>
        <w:ind w:left="851" w:right="900"/>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de instruir una búsqueda exhaustiva a todas y cada una de las áreas administrativas de las que se compone, que permitirá:</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6B1050" w:rsidRPr="00872BEB" w:rsidRDefault="00115B05">
      <w:pPr>
        <w:spacing w:before="240"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actualizarse esta primera hipótesis, la información debe entregarse al </w:t>
      </w:r>
      <w:r w:rsidRPr="00872BEB">
        <w:rPr>
          <w:rFonts w:ascii="Palatino Linotype" w:eastAsia="Palatino Linotype" w:hAnsi="Palatino Linotype" w:cs="Palatino Linotype"/>
          <w:b/>
          <w:i/>
          <w:sz w:val="24"/>
          <w:szCs w:val="24"/>
        </w:rPr>
        <w:t xml:space="preserve">Recurrente </w:t>
      </w:r>
      <w:r w:rsidRPr="00872BEB">
        <w:rPr>
          <w:rFonts w:ascii="Palatino Linotype" w:eastAsia="Palatino Linotype" w:hAnsi="Palatino Linotype" w:cs="Palatino Linotype"/>
          <w:sz w:val="24"/>
          <w:szCs w:val="24"/>
        </w:rPr>
        <w:t>a través del o los documentos fuente.</w:t>
      </w:r>
    </w:p>
    <w:p w:rsidR="006B1050" w:rsidRPr="00872BEB" w:rsidRDefault="00115B05">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872BEB">
        <w:rPr>
          <w:rFonts w:ascii="Palatino Linotype" w:eastAsia="Palatino Linotype" w:hAnsi="Palatino Linotype" w:cs="Palatino Linotype"/>
          <w:b/>
          <w:i/>
          <w:sz w:val="24"/>
          <w:szCs w:val="24"/>
        </w:rPr>
        <w:t xml:space="preserve"> </w:t>
      </w:r>
      <w:r w:rsidRPr="00872BEB">
        <w:rPr>
          <w:rFonts w:ascii="Palatino Linotype" w:eastAsia="Palatino Linotype" w:hAnsi="Palatino Linotype" w:cs="Palatino Linotype"/>
          <w:sz w:val="24"/>
          <w:szCs w:val="24"/>
        </w:rPr>
        <w:t>y a este Pleno.</w:t>
      </w:r>
    </w:p>
    <w:p w:rsidR="006B1050" w:rsidRPr="00872BEB" w:rsidRDefault="00115B05">
      <w:pPr>
        <w:numPr>
          <w:ilvl w:val="0"/>
          <w:numId w:val="4"/>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Que se ordene siempre que sea materialmente posible, que se genere o reponga la información en caso de que ésta tuviera que existir, derivado del ejercicio de sus facultades.</w:t>
      </w:r>
    </w:p>
    <w:p w:rsidR="006B1050" w:rsidRPr="00872BEB" w:rsidRDefault="00115B05">
      <w:pPr>
        <w:spacing w:before="24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6B1050" w:rsidRPr="00872BEB" w:rsidRDefault="006B1050">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rsidR="006B1050" w:rsidRPr="00872BEB" w:rsidRDefault="00115B05">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Del formato de entrega de la información solicitada.</w:t>
      </w:r>
    </w:p>
    <w:p w:rsidR="006B1050" w:rsidRPr="00872BEB" w:rsidRDefault="006B1050">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Expuesto lo anterior, no escapa de la óptica de este Instituto que la información se requirió en formato abierto, como </w:t>
      </w:r>
      <w:proofErr w:type="spellStart"/>
      <w:r w:rsidRPr="00872BEB">
        <w:rPr>
          <w:rFonts w:ascii="Palatino Linotype" w:eastAsia="Palatino Linotype" w:hAnsi="Palatino Linotype" w:cs="Palatino Linotype"/>
          <w:sz w:val="24"/>
          <w:szCs w:val="24"/>
        </w:rPr>
        <w:t>xls</w:t>
      </w:r>
      <w:proofErr w:type="spellEnd"/>
      <w:r w:rsidRPr="00872BEB">
        <w:rPr>
          <w:rFonts w:ascii="Palatino Linotype" w:eastAsia="Palatino Linotype" w:hAnsi="Palatino Linotype" w:cs="Palatino Linotype"/>
          <w:sz w:val="24"/>
          <w:szCs w:val="24"/>
        </w:rPr>
        <w:t xml:space="preserve"> o </w:t>
      </w:r>
      <w:proofErr w:type="spellStart"/>
      <w:r w:rsidRPr="00872BEB">
        <w:rPr>
          <w:rFonts w:ascii="Palatino Linotype" w:eastAsia="Palatino Linotype" w:hAnsi="Palatino Linotype" w:cs="Palatino Linotype"/>
          <w:sz w:val="24"/>
          <w:szCs w:val="24"/>
        </w:rPr>
        <w:t>cvs</w:t>
      </w:r>
      <w:proofErr w:type="spellEnd"/>
      <w:r w:rsidRPr="00872BEB">
        <w:rPr>
          <w:rFonts w:ascii="Palatino Linotype" w:eastAsia="Palatino Linotype" w:hAnsi="Palatino Linotype" w:cs="Palatino Linotype"/>
          <w:sz w:val="24"/>
          <w:szCs w:val="24"/>
        </w:rPr>
        <w:t xml:space="preserve">., por lo que resulta importante apuntar que, en términos del artículo 3 fracción XVI de la Ley de Acceso a la Información Pública del Estado de México y Municipios, los datos abiertos son entendidos como </w:t>
      </w:r>
      <w:r w:rsidRPr="00872BEB">
        <w:rPr>
          <w:rFonts w:ascii="Palatino Linotype" w:eastAsia="Palatino Linotype" w:hAnsi="Palatino Linotype" w:cs="Palatino Linotype"/>
          <w:i/>
          <w:sz w:val="24"/>
          <w:szCs w:val="24"/>
        </w:rPr>
        <w:t xml:space="preserve">el conjunto de características técnicas y de presentación de la información que corresponden a la estructura lógica usada para almacenar datos de forma integral y </w:t>
      </w:r>
      <w:r w:rsidRPr="00872BEB">
        <w:rPr>
          <w:rFonts w:ascii="Palatino Linotype" w:eastAsia="Palatino Linotype" w:hAnsi="Palatino Linotype" w:cs="Palatino Linotype"/>
          <w:b/>
          <w:i/>
          <w:sz w:val="24"/>
          <w:szCs w:val="24"/>
        </w:rPr>
        <w:t>facilitan su procesamiento digital</w:t>
      </w:r>
      <w:r w:rsidRPr="00872BEB">
        <w:rPr>
          <w:rFonts w:ascii="Palatino Linotype" w:eastAsia="Palatino Linotype" w:hAnsi="Palatino Linotype" w:cs="Palatino Linotype"/>
          <w:i/>
          <w:sz w:val="24"/>
          <w:szCs w:val="24"/>
        </w:rPr>
        <w:t xml:space="preserve">, cuyas especificaciones están disponibles públicamente y que </w:t>
      </w:r>
      <w:r w:rsidRPr="00872BEB">
        <w:rPr>
          <w:rFonts w:ascii="Palatino Linotype" w:eastAsia="Palatino Linotype" w:hAnsi="Palatino Linotype" w:cs="Palatino Linotype"/>
          <w:b/>
          <w:i/>
          <w:sz w:val="24"/>
          <w:szCs w:val="24"/>
        </w:rPr>
        <w:t>permiten el acceso sin restricción de uso</w:t>
      </w:r>
      <w:r w:rsidRPr="00872BEB">
        <w:rPr>
          <w:rFonts w:ascii="Palatino Linotype" w:eastAsia="Palatino Linotype" w:hAnsi="Palatino Linotype" w:cs="Palatino Linotype"/>
          <w:i/>
          <w:sz w:val="24"/>
          <w:szCs w:val="24"/>
        </w:rPr>
        <w:t xml:space="preserve"> por parte de los usuarios</w:t>
      </w:r>
      <w:r w:rsidRPr="00872BEB">
        <w:rPr>
          <w:rFonts w:ascii="Palatino Linotype" w:eastAsia="Palatino Linotype" w:hAnsi="Palatino Linotype" w:cs="Palatino Linotype"/>
          <w:sz w:val="24"/>
          <w:szCs w:val="24"/>
        </w:rPr>
        <w:t>.</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ind w:right="51"/>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 el mismo tenor, el Diccionario de Transparencia y Acceso a la Información Pública del Instituto Nacional de Transparencia, Acceso a la Información y protección de Datos Personales, INAI, define el “formato abierto” como se lee a continuación:</w:t>
      </w:r>
    </w:p>
    <w:p w:rsidR="006B1050" w:rsidRPr="00872BEB" w:rsidRDefault="006B1050">
      <w:pPr>
        <w:spacing w:after="0" w:line="360" w:lineRule="auto"/>
        <w:ind w:right="51"/>
        <w:jc w:val="both"/>
        <w:rPr>
          <w:rFonts w:ascii="Palatino Linotype" w:eastAsia="Palatino Linotype" w:hAnsi="Palatino Linotype" w:cs="Palatino Linotype"/>
          <w:sz w:val="24"/>
          <w:szCs w:val="24"/>
        </w:rPr>
      </w:pPr>
    </w:p>
    <w:p w:rsidR="006B1050" w:rsidRPr="00872BEB" w:rsidRDefault="00115B05">
      <w:pPr>
        <w:spacing w:after="120"/>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b/>
          <w:i/>
        </w:rPr>
        <w:t>“Formato abierto</w:t>
      </w:r>
      <w:r w:rsidRPr="00872BEB">
        <w:rPr>
          <w:rFonts w:ascii="Palatino Linotype" w:eastAsia="Palatino Linotype" w:hAnsi="Palatino Linotype" w:cs="Palatino Linotype"/>
          <w:i/>
        </w:rPr>
        <w:t xml:space="preserve"> </w:t>
      </w:r>
    </w:p>
    <w:p w:rsidR="006B1050" w:rsidRPr="00872BEB" w:rsidRDefault="00115B05">
      <w:pPr>
        <w:spacing w:before="120" w:after="0" w:line="360" w:lineRule="auto"/>
        <w:ind w:left="851" w:right="900"/>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Cuando un sujeto obligado proporciona información pública de manera electrónica </w:t>
      </w:r>
      <w:r w:rsidRPr="00872BEB">
        <w:rPr>
          <w:rFonts w:ascii="Palatino Linotype" w:eastAsia="Palatino Linotype" w:hAnsi="Palatino Linotype" w:cs="Palatino Linotype"/>
          <w:b/>
          <w:i/>
        </w:rPr>
        <w:t>es necesario garantizar su interoperabilidad</w:t>
      </w:r>
      <w:r w:rsidRPr="00872BEB">
        <w:rPr>
          <w:rFonts w:ascii="Palatino Linotype" w:eastAsia="Palatino Linotype" w:hAnsi="Palatino Linotype" w:cs="Palatino Linotype"/>
          <w:i/>
        </w:rPr>
        <w:t xml:space="preserve">. Es decir, </w:t>
      </w:r>
      <w:r w:rsidRPr="00872BEB">
        <w:rPr>
          <w:rFonts w:ascii="Palatino Linotype" w:eastAsia="Palatino Linotype" w:hAnsi="Palatino Linotype" w:cs="Palatino Linotype"/>
          <w:b/>
          <w:i/>
        </w:rPr>
        <w:t xml:space="preserve">que esta información </w:t>
      </w:r>
      <w:r w:rsidRPr="00872BEB">
        <w:rPr>
          <w:rFonts w:ascii="Palatino Linotype" w:eastAsia="Palatino Linotype" w:hAnsi="Palatino Linotype" w:cs="Palatino Linotype"/>
          <w:b/>
          <w:i/>
          <w:u w:val="single"/>
        </w:rPr>
        <w:t>contenga datos en formatos y estándares abiertos para su reproducción y reutilización electrónica</w:t>
      </w:r>
      <w:r w:rsidRPr="00872BEB">
        <w:rPr>
          <w:rFonts w:ascii="Palatino Linotype" w:eastAsia="Palatino Linotype" w:hAnsi="Palatino Linotype" w:cs="Palatino Linotype"/>
          <w:b/>
          <w:i/>
        </w:rPr>
        <w:t>; de manera libre, sin ninguna restricción, obligación o compensación</w:t>
      </w:r>
      <w:r w:rsidRPr="00872BEB">
        <w:rPr>
          <w:rFonts w:ascii="Palatino Linotype" w:eastAsia="Palatino Linotype" w:hAnsi="Palatino Linotype" w:cs="Palatino Linotype"/>
          <w:i/>
        </w:rPr>
        <w:t xml:space="preserve"> (Media </w:t>
      </w:r>
      <w:proofErr w:type="spellStart"/>
      <w:r w:rsidRPr="00872BEB">
        <w:rPr>
          <w:rFonts w:ascii="Palatino Linotype" w:eastAsia="Palatino Linotype" w:hAnsi="Palatino Linotype" w:cs="Palatino Linotype"/>
          <w:i/>
        </w:rPr>
        <w:t>April</w:t>
      </w:r>
      <w:proofErr w:type="spellEnd"/>
      <w:r w:rsidRPr="00872BEB">
        <w:rPr>
          <w:rFonts w:ascii="Palatino Linotype" w:eastAsia="Palatino Linotype" w:hAnsi="Palatino Linotype" w:cs="Palatino Linotype"/>
          <w:i/>
        </w:rPr>
        <w:t xml:space="preserve">,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rsidR="006B1050" w:rsidRPr="00872BEB" w:rsidRDefault="006B1050">
      <w:pPr>
        <w:spacing w:after="0" w:line="360" w:lineRule="auto"/>
        <w:ind w:left="851" w:right="900"/>
        <w:jc w:val="both"/>
        <w:rPr>
          <w:rFonts w:ascii="Palatino Linotype" w:eastAsia="Palatino Linotype" w:hAnsi="Palatino Linotype" w:cs="Palatino Linotype"/>
          <w:i/>
        </w:rPr>
      </w:pPr>
    </w:p>
    <w:p w:rsidR="006B1050" w:rsidRPr="00872BEB" w:rsidRDefault="00115B05">
      <w:pPr>
        <w:spacing w:after="0" w:line="360" w:lineRule="auto"/>
        <w:ind w:right="51"/>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rsidR="006B1050" w:rsidRPr="00872BEB" w:rsidRDefault="00115B05">
      <w:pPr>
        <w:spacing w:line="276" w:lineRule="auto"/>
        <w:ind w:left="851" w:right="902"/>
        <w:jc w:val="both"/>
        <w:rPr>
          <w:rFonts w:ascii="Palatino Linotype" w:eastAsia="Palatino Linotype" w:hAnsi="Palatino Linotype" w:cs="Palatino Linotype"/>
          <w:b/>
          <w:i/>
        </w:rPr>
      </w:pPr>
      <w:r w:rsidRPr="00872BEB">
        <w:rPr>
          <w:rFonts w:ascii="Palatino Linotype" w:eastAsia="Palatino Linotype" w:hAnsi="Palatino Linotype" w:cs="Palatino Linotype"/>
          <w:b/>
          <w:i/>
        </w:rPr>
        <w:t>“...</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 Accesibles:</w:t>
      </w:r>
      <w:r w:rsidRPr="00872BEB">
        <w:rPr>
          <w:rFonts w:ascii="Palatino Linotype" w:eastAsia="Palatino Linotype" w:hAnsi="Palatino Linotype" w:cs="Palatino Linotype"/>
          <w:i/>
        </w:rPr>
        <w:t xml:space="preserve"> Los datos están disponibles para la gama más amplia de usuarios, para cualquier propósito;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b) Integrales</w:t>
      </w:r>
      <w:r w:rsidRPr="00872BEB">
        <w:rPr>
          <w:rFonts w:ascii="Palatino Linotype" w:eastAsia="Palatino Linotype" w:hAnsi="Palatino Linotype" w:cs="Palatino Linotype"/>
          <w:i/>
        </w:rPr>
        <w:t xml:space="preserve">: Contienen el tema que describen a detalle y con los metadatos necesarios;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c) Gratuitos</w:t>
      </w:r>
      <w:r w:rsidRPr="00872BEB">
        <w:rPr>
          <w:rFonts w:ascii="Palatino Linotype" w:eastAsia="Palatino Linotype" w:hAnsi="Palatino Linotype" w:cs="Palatino Linotype"/>
          <w:i/>
        </w:rPr>
        <w:t xml:space="preserve">: Se obtienen sin entregar a cambio contraprestación alguna;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d) No discriminatorios</w:t>
      </w:r>
      <w:r w:rsidRPr="00872BEB">
        <w:rPr>
          <w:rFonts w:ascii="Palatino Linotype" w:eastAsia="Palatino Linotype" w:hAnsi="Palatino Linotype" w:cs="Palatino Linotype"/>
          <w:i/>
        </w:rPr>
        <w:t xml:space="preserve">: Los datos están disponibles para cualquier persona, sin necesidad de registro;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e) Oportunos:</w:t>
      </w:r>
      <w:r w:rsidRPr="00872BEB">
        <w:rPr>
          <w:rFonts w:ascii="Palatino Linotype" w:eastAsia="Palatino Linotype" w:hAnsi="Palatino Linotype" w:cs="Palatino Linotype"/>
          <w:i/>
        </w:rPr>
        <w:t xml:space="preserve"> Son actualizados, periódicamente, conforme se generen;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f) Permanentes</w:t>
      </w:r>
      <w:r w:rsidRPr="00872BEB">
        <w:rPr>
          <w:rFonts w:ascii="Palatino Linotype" w:eastAsia="Palatino Linotype" w:hAnsi="Palatino Linotype" w:cs="Palatino Linotype"/>
          <w:i/>
        </w:rPr>
        <w:t xml:space="preserve">: Se conservan en el tiempo, para lo cual, las versiones históricas relevantes para uso público se mantendrán disponibles con identificadores adecuados al efecto;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g) Primarios:</w:t>
      </w:r>
      <w:r w:rsidRPr="00872BEB">
        <w:rPr>
          <w:rFonts w:ascii="Palatino Linotype" w:eastAsia="Palatino Linotype" w:hAnsi="Palatino Linotype" w:cs="Palatino Linotype"/>
          <w:i/>
        </w:rPr>
        <w:t xml:space="preserve"> Provienen de la fuente de origen con el máximo nivel de desagregación posible;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h) Legibles por máquinas</w:t>
      </w:r>
      <w:r w:rsidRPr="00872BEB">
        <w:rPr>
          <w:rFonts w:ascii="Palatino Linotype" w:eastAsia="Palatino Linotype" w:hAnsi="Palatino Linotype" w:cs="Palatino Linotype"/>
          <w:i/>
        </w:rPr>
        <w:t xml:space="preserve">: Deberán estar estructurados, total o parcialmente, para ser procesados e interpretados por equipos electrónicos de manera automática; </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 En formatos abiertos</w:t>
      </w:r>
      <w:r w:rsidRPr="00872BEB">
        <w:rPr>
          <w:rFonts w:ascii="Palatino Linotype" w:eastAsia="Palatino Linotype" w:hAnsi="Palatino Linotype" w:cs="Palatino Linotype"/>
          <w:i/>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6B1050" w:rsidRPr="00872BEB" w:rsidRDefault="00115B05">
      <w:pPr>
        <w:spacing w:line="276"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j) De libre uso</w:t>
      </w:r>
      <w:r w:rsidRPr="00872BEB">
        <w:rPr>
          <w:rFonts w:ascii="Palatino Linotype" w:eastAsia="Palatino Linotype" w:hAnsi="Palatino Linotype" w:cs="Palatino Linotype"/>
          <w:i/>
        </w:rPr>
        <w:t>: Citan la fuente de origen como único requerimiento para ser utilizados libremente.”</w:t>
      </w:r>
    </w:p>
    <w:p w:rsidR="006B1050" w:rsidRPr="00872BEB" w:rsidRDefault="00115B05">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lo hasta aquí expuesto, se concluye si bien la persona solicitante requirió la información en datos abiertos en formatos específicos como </w:t>
      </w:r>
      <w:proofErr w:type="spellStart"/>
      <w:r w:rsidRPr="00872BEB">
        <w:rPr>
          <w:rFonts w:ascii="Palatino Linotype" w:eastAsia="Palatino Linotype" w:hAnsi="Palatino Linotype" w:cs="Palatino Linotype"/>
          <w:sz w:val="24"/>
          <w:szCs w:val="24"/>
        </w:rPr>
        <w:t>xls</w:t>
      </w:r>
      <w:proofErr w:type="spellEnd"/>
      <w:r w:rsidRPr="00872BEB">
        <w:rPr>
          <w:rFonts w:ascii="Palatino Linotype" w:eastAsia="Palatino Linotype" w:hAnsi="Palatino Linotype" w:cs="Palatino Linotype"/>
          <w:sz w:val="24"/>
          <w:szCs w:val="24"/>
        </w:rPr>
        <w:t xml:space="preserve"> o </w:t>
      </w:r>
      <w:proofErr w:type="spellStart"/>
      <w:r w:rsidRPr="00872BEB">
        <w:rPr>
          <w:rFonts w:ascii="Palatino Linotype" w:eastAsia="Palatino Linotype" w:hAnsi="Palatino Linotype" w:cs="Palatino Linotype"/>
          <w:sz w:val="24"/>
          <w:szCs w:val="24"/>
        </w:rPr>
        <w:t>cvs</w:t>
      </w:r>
      <w:proofErr w:type="spellEnd"/>
      <w:r w:rsidRPr="00872BEB">
        <w:rPr>
          <w:rFonts w:ascii="Palatino Linotype" w:eastAsia="Palatino Linotype" w:hAnsi="Palatino Linotype" w:cs="Palatino Linotype"/>
          <w:sz w:val="24"/>
          <w:szCs w:val="24"/>
        </w:rPr>
        <w:t xml:space="preserve">; bastará que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la entregue en el formato en el que lo generó o que obre en sus archivos que permita su reutilización, derivado de los argumentos expuestos, para tener por satisfecho el Derecho de acceso a la información.</w:t>
      </w:r>
    </w:p>
    <w:p w:rsidR="006B1050" w:rsidRPr="00872BEB" w:rsidRDefault="00115B05">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b/>
          <w:sz w:val="24"/>
          <w:szCs w:val="24"/>
        </w:rPr>
        <w:t>De las coordenadas geográficas.</w:t>
      </w:r>
    </w:p>
    <w:p w:rsidR="006B1050" w:rsidRPr="00872BEB" w:rsidRDefault="006B1050">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Para el caso de contar con información relacionada con las coordenadas geográficas de los lugares donde sucedieron los hechos presuntamente delictivos o de faltas administrativa, es pertinente señalar que esta información permite localizar domicilios concretos, que pueden pertenecen a particulares, corresponde a datos personales confidenciales, conforme a los siguientes razonamientos: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Domicilio particular.</w:t>
      </w:r>
      <w:r w:rsidRPr="00872BEB">
        <w:rPr>
          <w:rFonts w:ascii="Palatino Linotype" w:eastAsia="Palatino Linotype" w:hAnsi="Palatino Linotype" w:cs="Palatino Linotype"/>
          <w:sz w:val="24"/>
          <w:szCs w:val="24"/>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b/>
          <w:sz w:val="24"/>
          <w:szCs w:val="24"/>
        </w:rPr>
      </w:pPr>
      <w:r w:rsidRPr="00872BEB">
        <w:rPr>
          <w:rFonts w:ascii="Palatino Linotype" w:eastAsia="Palatino Linotype" w:hAnsi="Palatino Linotype" w:cs="Palatino Linotype"/>
          <w:sz w:val="24"/>
          <w:szCs w:val="24"/>
        </w:rPr>
        <w:t>De la misma manera, lo establece el artículo 29 del Código Civil Federal, al precisar que el domicilio de personas físicas</w:t>
      </w:r>
      <w:r w:rsidRPr="00872BEB">
        <w:rPr>
          <w:rFonts w:ascii="Palatino Linotype" w:eastAsia="Palatino Linotype" w:hAnsi="Palatino Linotype" w:cs="Palatino Linotype"/>
          <w:b/>
          <w:sz w:val="24"/>
          <w:szCs w:val="24"/>
        </w:rPr>
        <w:t xml:space="preserve">, es el lugar donde residen habitualmente, el lugar del centro principal de sus negocios, donde residan o el lugar donde se encuentren. </w:t>
      </w:r>
      <w:r w:rsidRPr="00872BEB">
        <w:rPr>
          <w:rFonts w:ascii="Palatino Linotype" w:eastAsia="Palatino Linotype" w:hAnsi="Palatino Linotype" w:cs="Palatino Linotype"/>
          <w:sz w:val="24"/>
          <w:szCs w:val="24"/>
        </w:rPr>
        <w:t>Además, respecto al domicilio particular se presume que corresponde al lugar donde reside habitualmente</w:t>
      </w:r>
      <w:r w:rsidRPr="00872BEB">
        <w:rPr>
          <w:rFonts w:ascii="Palatino Linotype" w:eastAsia="Palatino Linotype" w:hAnsi="Palatino Linotype" w:cs="Palatino Linotype"/>
          <w:b/>
          <w:sz w:val="24"/>
          <w:szCs w:val="24"/>
        </w:rPr>
        <w:t>.</w:t>
      </w:r>
    </w:p>
    <w:p w:rsidR="006B1050" w:rsidRPr="00872BEB" w:rsidRDefault="006B1050">
      <w:pPr>
        <w:spacing w:after="0" w:line="360" w:lineRule="auto"/>
        <w:jc w:val="both"/>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Así pues, el domicilio y los elementos que puedan identificarlo deben ser considerados como información confidencial, en los términos antes expuestos, por lo que de ser el caso la información debe ser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ind w:right="49"/>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De lo hasta aquí expuesto, se concluye que los motivos de inconformidad de la parte </w:t>
      </w:r>
      <w:r w:rsidRPr="00872BEB">
        <w:rPr>
          <w:rFonts w:ascii="Palatino Linotype" w:eastAsia="Palatino Linotype" w:hAnsi="Palatino Linotype" w:cs="Palatino Linotype"/>
          <w:b/>
          <w:sz w:val="24"/>
          <w:szCs w:val="24"/>
        </w:rPr>
        <w:t xml:space="preserve">RECURRENTE </w:t>
      </w:r>
      <w:r w:rsidRPr="00872BEB">
        <w:rPr>
          <w:rFonts w:ascii="Palatino Linotype" w:eastAsia="Palatino Linotype" w:hAnsi="Palatino Linotype" w:cs="Palatino Linotype"/>
          <w:sz w:val="24"/>
          <w:szCs w:val="24"/>
        </w:rPr>
        <w:t xml:space="preserve">devienen fundados, siendo procedente </w:t>
      </w:r>
      <w:r w:rsidRPr="00872BEB">
        <w:rPr>
          <w:rFonts w:ascii="Palatino Linotype" w:eastAsia="Palatino Linotype" w:hAnsi="Palatino Linotype" w:cs="Palatino Linotype"/>
          <w:i/>
          <w:sz w:val="24"/>
          <w:szCs w:val="24"/>
        </w:rPr>
        <w:t>Revocar</w:t>
      </w:r>
      <w:r w:rsidRPr="00872BEB">
        <w:rPr>
          <w:rFonts w:ascii="Palatino Linotype" w:eastAsia="Palatino Linotype" w:hAnsi="Palatino Linotype" w:cs="Palatino Linotype"/>
          <w:sz w:val="24"/>
          <w:szCs w:val="24"/>
        </w:rPr>
        <w:t xml:space="preserve"> la respuesta proporcionada por el </w:t>
      </w:r>
      <w:r w:rsidRPr="00872BEB">
        <w:rPr>
          <w:rFonts w:ascii="Palatino Linotype" w:eastAsia="Palatino Linotype" w:hAnsi="Palatino Linotype" w:cs="Palatino Linotype"/>
          <w:b/>
          <w:sz w:val="24"/>
          <w:szCs w:val="24"/>
        </w:rPr>
        <w:t xml:space="preserve">SUJETO OBLIGADO </w:t>
      </w:r>
      <w:r w:rsidRPr="00872BEB">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rsidR="006B1050" w:rsidRPr="00872BEB" w:rsidRDefault="006B1050">
      <w:pPr>
        <w:spacing w:after="0" w:line="360" w:lineRule="auto"/>
        <w:ind w:right="49"/>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QUINTO. VERSIÓN PÚBLICA. </w:t>
      </w:r>
      <w:r w:rsidRPr="00872BEB">
        <w:rPr>
          <w:rFonts w:ascii="Palatino Linotype" w:eastAsia="Palatino Linotype" w:hAnsi="Palatino Linotype" w:cs="Palatino Linotype"/>
          <w:sz w:val="24"/>
          <w:szCs w:val="24"/>
        </w:rPr>
        <w:t>Finalmente, debe señalarse que de ser el caso en que los documentos que vayan a ser entregados por el</w:t>
      </w:r>
      <w:r w:rsidRPr="00872BEB">
        <w:rPr>
          <w:rFonts w:ascii="Palatino Linotype" w:eastAsia="Palatino Linotype" w:hAnsi="Palatino Linotype" w:cs="Palatino Linotype"/>
          <w:b/>
          <w:sz w:val="24"/>
          <w:szCs w:val="24"/>
        </w:rPr>
        <w:t xml:space="preserve"> </w:t>
      </w:r>
      <w:r w:rsidRPr="00872BEB">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872BEB">
        <w:rPr>
          <w:rFonts w:ascii="Palatino Linotype" w:eastAsia="Palatino Linotype" w:hAnsi="Palatino Linotype" w:cs="Palatino Linotype"/>
          <w:b/>
          <w:sz w:val="24"/>
          <w:szCs w:val="24"/>
        </w:rPr>
        <w:t>EL SUJETO OBLIGADO</w:t>
      </w:r>
      <w:r w:rsidRPr="00872BEB">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872BEB">
        <w:rPr>
          <w:rFonts w:ascii="Palatino Linotype" w:eastAsia="Palatino Linotype" w:hAnsi="Palatino Linotype" w:cs="Palatino Linotype"/>
          <w:sz w:val="24"/>
          <w:szCs w:val="24"/>
        </w:rPr>
        <w:t>fracción</w:t>
      </w:r>
      <w:proofErr w:type="gramEnd"/>
      <w:r w:rsidRPr="00872BEB">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r w:rsidRPr="00872BEB">
        <w:rPr>
          <w:rFonts w:ascii="Palatino Linotype" w:eastAsia="Palatino Linotype" w:hAnsi="Palatino Linotype" w:cs="Palatino Linotype"/>
          <w:b/>
          <w:i/>
        </w:rPr>
        <w:t>Artículo 3</w:t>
      </w:r>
      <w:r w:rsidRPr="00872BEB">
        <w:rPr>
          <w:rFonts w:ascii="Palatino Linotype" w:eastAsia="Palatino Linotype" w:hAnsi="Palatino Linotype" w:cs="Palatino Linotype"/>
          <w:i/>
        </w:rPr>
        <w:t>. Para los efectos de la presente Ley se entenderá por:</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IX. Datos personales</w:t>
      </w:r>
      <w:r w:rsidRPr="00872BE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XX. Información clasificada</w:t>
      </w:r>
      <w:r w:rsidRPr="00872BEB">
        <w:rPr>
          <w:rFonts w:ascii="Palatino Linotype" w:eastAsia="Palatino Linotype" w:hAnsi="Palatino Linotype" w:cs="Palatino Linotype"/>
          <w:i/>
        </w:rPr>
        <w:t>: Aquella considerada por la presente Ley como reservada o confidencial;</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 xml:space="preserve">XXI. Información confidencial: </w:t>
      </w:r>
      <w:r w:rsidRPr="00872BEB">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XLV. Versión pública:</w:t>
      </w:r>
      <w:r w:rsidRPr="00872BE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91.</w:t>
      </w:r>
      <w:r w:rsidRPr="00872BE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132.</w:t>
      </w:r>
      <w:r w:rsidRPr="00872BEB">
        <w:rPr>
          <w:rFonts w:ascii="Palatino Linotype" w:eastAsia="Palatino Linotype" w:hAnsi="Palatino Linotype" w:cs="Palatino Linotype"/>
          <w:i/>
        </w:rPr>
        <w:t xml:space="preserve"> La clasificación de la información se llevará a cabo en el momento en que: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Se reciba una solicitud de acceso a la información;</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Se determine mediante resolución de autoridad competente; 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xml:space="preserve"> Se generen versiones públicas para dar cumplimiento a las obligaciones de transparencia previstas en esta Ley.</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Artículo 143</w:t>
      </w:r>
      <w:r w:rsidRPr="00872BEB">
        <w:rPr>
          <w:rFonts w:ascii="Palatino Linotype" w:eastAsia="Palatino Linotype" w:hAnsi="Palatino Linotype" w:cs="Palatino Linotype"/>
          <w:i/>
        </w:rPr>
        <w:t>. Para los efectos de esta Ley se considera información confidencial, la clasificada como tal, de manera permanente, por su naturaleza, cuando:</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872BEB">
        <w:rPr>
          <w:rFonts w:ascii="Palatino Linotype" w:eastAsia="Palatino Linotype" w:hAnsi="Palatino Linotype" w:cs="Palatino Linotype"/>
          <w:i/>
        </w:rPr>
        <w:t>jurídico</w:t>
      </w:r>
      <w:proofErr w:type="gramEnd"/>
      <w:r w:rsidRPr="00872BEB">
        <w:rPr>
          <w:rFonts w:ascii="Palatino Linotype" w:eastAsia="Palatino Linotype" w:hAnsi="Palatino Linotype" w:cs="Palatino Linotype"/>
          <w:i/>
        </w:rPr>
        <w:t xml:space="preserve"> colectiva identificada o identificable;</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6B1050" w:rsidRPr="00872BEB" w:rsidRDefault="006B1050">
      <w:pPr>
        <w:spacing w:before="120" w:after="120"/>
        <w:ind w:left="851" w:right="902"/>
        <w:jc w:val="both"/>
        <w:rPr>
          <w:rFonts w:ascii="Palatino Linotype" w:eastAsia="Palatino Linotype" w:hAnsi="Palatino Linotype" w:cs="Palatino Linotype"/>
          <w:i/>
        </w:rPr>
      </w:pPr>
    </w:p>
    <w:p w:rsidR="006B1050" w:rsidRPr="00872BEB" w:rsidRDefault="00115B05">
      <w:pPr>
        <w:spacing w:before="120"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“Quincuagésimo sexto</w:t>
      </w:r>
      <w:r w:rsidRPr="00872BEB">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Quincuagésimo séptimo</w:t>
      </w:r>
      <w:r w:rsidRPr="00872BEB">
        <w:rPr>
          <w:rFonts w:ascii="Palatino Linotype" w:eastAsia="Palatino Linotype" w:hAnsi="Palatino Linotype" w:cs="Palatino Linotype"/>
          <w:i/>
        </w:rPr>
        <w:t xml:space="preserve">. Se considera, en principio, como información pública y no podrá omitirse de las versiones públicas la siguiente: </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w:t>
      </w:r>
      <w:r w:rsidRPr="00872BE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w:t>
      </w:r>
      <w:r w:rsidRPr="00872BEB">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6B1050" w:rsidRPr="00872BEB" w:rsidRDefault="00115B05">
      <w:pPr>
        <w:spacing w:before="120" w:after="120"/>
        <w:ind w:left="1134"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III.</w:t>
      </w:r>
      <w:r w:rsidRPr="00872BE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B1050" w:rsidRPr="00872BEB" w:rsidRDefault="00115B05">
      <w:pPr>
        <w:spacing w:before="120" w:after="120"/>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6B1050" w:rsidRPr="00872BEB" w:rsidRDefault="00115B05">
      <w:pPr>
        <w:spacing w:before="120" w:after="0" w:line="360" w:lineRule="auto"/>
        <w:ind w:left="851" w:right="902"/>
        <w:jc w:val="both"/>
        <w:rPr>
          <w:rFonts w:ascii="Palatino Linotype" w:eastAsia="Palatino Linotype" w:hAnsi="Palatino Linotype" w:cs="Palatino Linotype"/>
          <w:i/>
        </w:rPr>
      </w:pPr>
      <w:r w:rsidRPr="00872BEB">
        <w:rPr>
          <w:rFonts w:ascii="Palatino Linotype" w:eastAsia="Palatino Linotype" w:hAnsi="Palatino Linotype" w:cs="Palatino Linotype"/>
          <w:b/>
          <w:i/>
        </w:rPr>
        <w:t>Quincuagésimo octavo</w:t>
      </w:r>
      <w:r w:rsidRPr="00872BEB">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6B1050" w:rsidRPr="00872BEB" w:rsidRDefault="006B1050">
      <w:pPr>
        <w:spacing w:after="0" w:line="360" w:lineRule="auto"/>
        <w:ind w:left="851" w:right="902"/>
        <w:jc w:val="both"/>
        <w:rPr>
          <w:rFonts w:ascii="Palatino Linotype" w:eastAsia="Palatino Linotype" w:hAnsi="Palatino Linotype" w:cs="Palatino Linotype"/>
          <w:i/>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24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Layout w:type="fixed"/>
        <w:tblLook w:val="0400" w:firstRow="0" w:lastRow="0" w:firstColumn="0" w:lastColumn="0" w:noHBand="0" w:noVBand="1"/>
      </w:tblPr>
      <w:tblGrid>
        <w:gridCol w:w="993"/>
        <w:gridCol w:w="3421"/>
        <w:gridCol w:w="968"/>
        <w:gridCol w:w="3446"/>
      </w:tblGrid>
      <w:tr w:rsidR="00872BEB" w:rsidRPr="00872BEB">
        <w:tc>
          <w:tcPr>
            <w:tcW w:w="4414" w:type="dxa"/>
            <w:gridSpan w:val="2"/>
          </w:tcPr>
          <w:p w:rsidR="006B1050" w:rsidRPr="00872BEB" w:rsidRDefault="00115B05">
            <w:pPr>
              <w:jc w:val="center"/>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Parcial</w:t>
            </w:r>
          </w:p>
        </w:tc>
        <w:tc>
          <w:tcPr>
            <w:tcW w:w="4414" w:type="dxa"/>
            <w:gridSpan w:val="2"/>
          </w:tcPr>
          <w:p w:rsidR="006B1050" w:rsidRPr="00872BEB" w:rsidRDefault="00115B05">
            <w:pPr>
              <w:jc w:val="center"/>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Total</w:t>
            </w:r>
          </w:p>
        </w:tc>
      </w:tr>
      <w:tr w:rsidR="00872BEB" w:rsidRPr="00872BEB">
        <w:tc>
          <w:tcPr>
            <w:tcW w:w="993" w:type="dxa"/>
          </w:tcPr>
          <w:p w:rsidR="006B1050" w:rsidRPr="00872BEB" w:rsidRDefault="00115B05">
            <w:pPr>
              <w:jc w:val="center"/>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Concepto</w:t>
            </w:r>
          </w:p>
        </w:tc>
        <w:tc>
          <w:tcPr>
            <w:tcW w:w="3421" w:type="dxa"/>
          </w:tcPr>
          <w:p w:rsidR="006B1050" w:rsidRPr="00872BEB" w:rsidRDefault="00115B05">
            <w:pPr>
              <w:jc w:val="center"/>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Dónde</w:t>
            </w:r>
          </w:p>
        </w:tc>
        <w:tc>
          <w:tcPr>
            <w:tcW w:w="968" w:type="dxa"/>
          </w:tcPr>
          <w:p w:rsidR="006B1050" w:rsidRPr="00872BEB" w:rsidRDefault="00115B05">
            <w:pPr>
              <w:jc w:val="center"/>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Concepto</w:t>
            </w:r>
          </w:p>
        </w:tc>
        <w:tc>
          <w:tcPr>
            <w:tcW w:w="3446" w:type="dxa"/>
          </w:tcPr>
          <w:p w:rsidR="006B1050" w:rsidRPr="00872BEB" w:rsidRDefault="00115B05">
            <w:pPr>
              <w:jc w:val="center"/>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Dónde</w:t>
            </w:r>
          </w:p>
        </w:tc>
      </w:tr>
      <w:tr w:rsidR="00872BEB" w:rsidRPr="00872BEB">
        <w:tc>
          <w:tcPr>
            <w:tcW w:w="8828" w:type="dxa"/>
            <w:gridSpan w:val="4"/>
          </w:tcPr>
          <w:p w:rsidR="006B1050" w:rsidRPr="00872BEB" w:rsidRDefault="00115B05">
            <w:pPr>
              <w:jc w:val="center"/>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Sello oficial o logotipo del sujeto obligado</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Fecha de clasificación</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Fecha de clasificación</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Área</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área del cual es titular quien clasifica.</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Área</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área de la cual es el titular quien clasifica.</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Información reservada</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872BEB">
              <w:rPr>
                <w:rFonts w:ascii="Palatino Linotype" w:eastAsia="Palatino Linotype" w:hAnsi="Palatino Linotype" w:cs="Palatino Linotype"/>
                <w:sz w:val="12"/>
                <w:szCs w:val="12"/>
              </w:rPr>
              <w:t>anotarán</w:t>
            </w:r>
            <w:proofErr w:type="gramEnd"/>
            <w:r w:rsidRPr="00872BEB">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Reservado</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Leyenda de información RESERVADA.</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Fundamento legal</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Periodo de reserva</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Ampliación del periodo de reserva</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Fundamento legal</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Confidencial</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Ampliación del periodo de reserva</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Fundamento legal</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Confidencial</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Leyenda de información CONFIDENCIAL.</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del titular del área</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autógrafa de quien clasifica.</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Fundamento legal</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Fecha de desclasificación</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anotará la fecha en que se desclasifica el documento.</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Rúbrica del titular del área</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autógrafa de quien clasifica.</w:t>
            </w:r>
          </w:p>
        </w:tc>
      </w:tr>
      <w:tr w:rsidR="00872BEB" w:rsidRPr="00872BEB">
        <w:tc>
          <w:tcPr>
            <w:tcW w:w="993"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y cargo del servidor público</w:t>
            </w:r>
          </w:p>
        </w:tc>
        <w:tc>
          <w:tcPr>
            <w:tcW w:w="3421"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autógrafa de quien desclasifica.</w:t>
            </w: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Fecha de desclasificación</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Se anotará la fecha en que se desclasifica.</w:t>
            </w:r>
          </w:p>
        </w:tc>
      </w:tr>
      <w:tr w:rsidR="00872BEB" w:rsidRPr="00872BEB">
        <w:tc>
          <w:tcPr>
            <w:tcW w:w="993" w:type="dxa"/>
          </w:tcPr>
          <w:p w:rsidR="006B1050" w:rsidRPr="00872BEB" w:rsidRDefault="006B1050">
            <w:pPr>
              <w:jc w:val="both"/>
              <w:rPr>
                <w:rFonts w:ascii="Palatino Linotype" w:eastAsia="Palatino Linotype" w:hAnsi="Palatino Linotype" w:cs="Palatino Linotype"/>
                <w:sz w:val="12"/>
                <w:szCs w:val="12"/>
              </w:rPr>
            </w:pPr>
          </w:p>
        </w:tc>
        <w:tc>
          <w:tcPr>
            <w:tcW w:w="3421" w:type="dxa"/>
          </w:tcPr>
          <w:p w:rsidR="006B1050" w:rsidRPr="00872BEB" w:rsidRDefault="006B1050">
            <w:pPr>
              <w:jc w:val="both"/>
              <w:rPr>
                <w:rFonts w:ascii="Palatino Linotype" w:eastAsia="Palatino Linotype" w:hAnsi="Palatino Linotype" w:cs="Palatino Linotype"/>
                <w:sz w:val="12"/>
                <w:szCs w:val="12"/>
              </w:rPr>
            </w:pP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Partes o secciones reservadas o confidenciales</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 xml:space="preserve">En caso que una vez desclasificado el expediente, </w:t>
            </w:r>
            <w:proofErr w:type="spellStart"/>
            <w:r w:rsidRPr="00872BEB">
              <w:rPr>
                <w:rFonts w:ascii="Palatino Linotype" w:eastAsia="Palatino Linotype" w:hAnsi="Palatino Linotype" w:cs="Palatino Linotype"/>
                <w:sz w:val="12"/>
                <w:szCs w:val="12"/>
              </w:rPr>
              <w:t>subsistanpartes</w:t>
            </w:r>
            <w:proofErr w:type="spellEnd"/>
            <w:r w:rsidRPr="00872BEB">
              <w:rPr>
                <w:rFonts w:ascii="Palatino Linotype" w:eastAsia="Palatino Linotype" w:hAnsi="Palatino Linotype" w:cs="Palatino Linotype"/>
                <w:sz w:val="12"/>
                <w:szCs w:val="12"/>
              </w:rPr>
              <w:t xml:space="preserve"> o secciones del mismo reservadas o confidenciales, se señalará este hecho.</w:t>
            </w:r>
          </w:p>
        </w:tc>
      </w:tr>
      <w:tr w:rsidR="00872BEB" w:rsidRPr="00872BEB">
        <w:tc>
          <w:tcPr>
            <w:tcW w:w="993" w:type="dxa"/>
          </w:tcPr>
          <w:p w:rsidR="006B1050" w:rsidRPr="00872BEB" w:rsidRDefault="006B1050">
            <w:pPr>
              <w:jc w:val="both"/>
              <w:rPr>
                <w:rFonts w:ascii="Palatino Linotype" w:eastAsia="Palatino Linotype" w:hAnsi="Palatino Linotype" w:cs="Palatino Linotype"/>
                <w:sz w:val="12"/>
                <w:szCs w:val="12"/>
              </w:rPr>
            </w:pPr>
          </w:p>
        </w:tc>
        <w:tc>
          <w:tcPr>
            <w:tcW w:w="3421" w:type="dxa"/>
          </w:tcPr>
          <w:p w:rsidR="006B1050" w:rsidRPr="00872BEB" w:rsidRDefault="006B1050">
            <w:pPr>
              <w:jc w:val="both"/>
              <w:rPr>
                <w:rFonts w:ascii="Palatino Linotype" w:eastAsia="Palatino Linotype" w:hAnsi="Palatino Linotype" w:cs="Palatino Linotype"/>
                <w:sz w:val="12"/>
                <w:szCs w:val="12"/>
              </w:rPr>
            </w:pPr>
          </w:p>
        </w:tc>
        <w:tc>
          <w:tcPr>
            <w:tcW w:w="968" w:type="dxa"/>
          </w:tcPr>
          <w:p w:rsidR="006B1050" w:rsidRPr="00872BEB" w:rsidRDefault="00115B05">
            <w:pPr>
              <w:jc w:val="both"/>
              <w:rPr>
                <w:rFonts w:ascii="Palatino Linotype" w:eastAsia="Palatino Linotype" w:hAnsi="Palatino Linotype" w:cs="Palatino Linotype"/>
                <w:b/>
                <w:sz w:val="12"/>
                <w:szCs w:val="12"/>
              </w:rPr>
            </w:pPr>
            <w:r w:rsidRPr="00872BEB">
              <w:rPr>
                <w:rFonts w:ascii="Palatino Linotype" w:eastAsia="Palatino Linotype" w:hAnsi="Palatino Linotype" w:cs="Palatino Linotype"/>
                <w:b/>
                <w:sz w:val="12"/>
                <w:szCs w:val="12"/>
              </w:rPr>
              <w:t>Rúbrica y cargo del servidor público</w:t>
            </w:r>
          </w:p>
        </w:tc>
        <w:tc>
          <w:tcPr>
            <w:tcW w:w="3446" w:type="dxa"/>
          </w:tcPr>
          <w:p w:rsidR="006B1050" w:rsidRPr="00872BEB" w:rsidRDefault="00115B05">
            <w:pPr>
              <w:jc w:val="both"/>
              <w:rPr>
                <w:rFonts w:ascii="Palatino Linotype" w:eastAsia="Palatino Linotype" w:hAnsi="Palatino Linotype" w:cs="Palatino Linotype"/>
                <w:sz w:val="12"/>
                <w:szCs w:val="12"/>
              </w:rPr>
            </w:pPr>
            <w:r w:rsidRPr="00872BEB">
              <w:rPr>
                <w:rFonts w:ascii="Palatino Linotype" w:eastAsia="Palatino Linotype" w:hAnsi="Palatino Linotype" w:cs="Palatino Linotype"/>
                <w:sz w:val="12"/>
                <w:szCs w:val="12"/>
              </w:rPr>
              <w:t>Rúbrica autógrafa de quien desclasifica.</w:t>
            </w:r>
          </w:p>
        </w:tc>
      </w:tr>
    </w:tbl>
    <w:p w:rsidR="006B1050" w:rsidRPr="00872BEB" w:rsidRDefault="00115B05">
      <w:pPr>
        <w:spacing w:after="0" w:line="360" w:lineRule="auto"/>
        <w:ind w:right="49"/>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bookmarkStart w:id="2" w:name="_heading=h.30j0zll" w:colFirst="0" w:colLast="0"/>
      <w:bookmarkEnd w:id="2"/>
      <w:r w:rsidRPr="00872BEB">
        <w:rPr>
          <w:rFonts w:ascii="Palatino Linotype" w:eastAsia="Palatino Linotype" w:hAnsi="Palatino Linotype" w:cs="Palatino Linotype"/>
          <w:b/>
          <w:sz w:val="24"/>
          <w:szCs w:val="24"/>
        </w:rPr>
        <w:t>R E S U E L V E</w:t>
      </w:r>
    </w:p>
    <w:p w:rsidR="006B1050" w:rsidRPr="00872BEB" w:rsidRDefault="006B1050">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PRIMERO. </w:t>
      </w:r>
      <w:r w:rsidRPr="00872BEB">
        <w:rPr>
          <w:rFonts w:ascii="Palatino Linotype" w:eastAsia="Palatino Linotype" w:hAnsi="Palatino Linotype" w:cs="Palatino Linotype"/>
          <w:sz w:val="24"/>
          <w:szCs w:val="24"/>
        </w:rPr>
        <w:t xml:space="preserve">Resultan fundados los motivos de inconformidad hechos valer por el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en el Recurso de Revisión </w:t>
      </w:r>
      <w:r w:rsidRPr="00872BEB">
        <w:rPr>
          <w:rFonts w:ascii="Palatino Linotype" w:eastAsia="Palatino Linotype" w:hAnsi="Palatino Linotype" w:cs="Palatino Linotype"/>
          <w:b/>
          <w:sz w:val="24"/>
          <w:szCs w:val="24"/>
        </w:rPr>
        <w:t xml:space="preserve">12474/INFOEM/IP/RR/2022, </w:t>
      </w:r>
      <w:r w:rsidRPr="00872BEB">
        <w:rPr>
          <w:rFonts w:ascii="Palatino Linotype" w:eastAsia="Palatino Linotype" w:hAnsi="Palatino Linotype" w:cs="Palatino Linotype"/>
          <w:sz w:val="24"/>
          <w:szCs w:val="24"/>
        </w:rPr>
        <w:t xml:space="preserve">por lo que, en términos del considerando </w:t>
      </w:r>
      <w:r w:rsidRPr="00872BEB">
        <w:rPr>
          <w:rFonts w:ascii="Palatino Linotype" w:eastAsia="Palatino Linotype" w:hAnsi="Palatino Linotype" w:cs="Palatino Linotype"/>
          <w:b/>
          <w:sz w:val="24"/>
          <w:szCs w:val="24"/>
        </w:rPr>
        <w:t xml:space="preserve">Cuarto </w:t>
      </w:r>
      <w:r w:rsidRPr="00872BEB">
        <w:rPr>
          <w:rFonts w:ascii="Palatino Linotype" w:eastAsia="Palatino Linotype" w:hAnsi="Palatino Linotype" w:cs="Palatino Linotype"/>
          <w:sz w:val="24"/>
          <w:szCs w:val="24"/>
        </w:rPr>
        <w:t xml:space="preserve">de esta resolución, se </w:t>
      </w:r>
      <w:r w:rsidRPr="00872BEB">
        <w:rPr>
          <w:rFonts w:ascii="Palatino Linotype" w:eastAsia="Palatino Linotype" w:hAnsi="Palatino Linotype" w:cs="Palatino Linotype"/>
          <w:b/>
          <w:sz w:val="24"/>
          <w:szCs w:val="24"/>
        </w:rPr>
        <w:t xml:space="preserve">REVOCA </w:t>
      </w:r>
      <w:r w:rsidRPr="00872BEB">
        <w:rPr>
          <w:rFonts w:ascii="Palatino Linotype" w:eastAsia="Palatino Linotype" w:hAnsi="Palatino Linotype" w:cs="Palatino Linotype"/>
          <w:sz w:val="24"/>
          <w:szCs w:val="24"/>
        </w:rPr>
        <w:t xml:space="preserve">la respuesta emitida por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w:t>
      </w:r>
    </w:p>
    <w:p w:rsidR="006B1050" w:rsidRPr="00872BEB" w:rsidRDefault="006B1050">
      <w:pPr>
        <w:spacing w:after="0" w:line="360" w:lineRule="auto"/>
        <w:ind w:right="49"/>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872BEB">
        <w:rPr>
          <w:rFonts w:ascii="Palatino Linotype" w:eastAsia="Palatino Linotype" w:hAnsi="Palatino Linotype" w:cs="Palatino Linotype"/>
          <w:b/>
          <w:sz w:val="24"/>
          <w:szCs w:val="24"/>
        </w:rPr>
        <w:t xml:space="preserve">SEGUNDO. </w:t>
      </w:r>
      <w:r w:rsidRPr="00872BEB">
        <w:rPr>
          <w:rFonts w:ascii="Palatino Linotype" w:eastAsia="Palatino Linotype" w:hAnsi="Palatino Linotype" w:cs="Palatino Linotype"/>
          <w:sz w:val="24"/>
          <w:szCs w:val="24"/>
        </w:rPr>
        <w:t>Se</w:t>
      </w:r>
      <w:r w:rsidRPr="00872BEB">
        <w:rPr>
          <w:rFonts w:ascii="Palatino Linotype" w:eastAsia="Palatino Linotype" w:hAnsi="Palatino Linotype" w:cs="Palatino Linotype"/>
          <w:b/>
          <w:sz w:val="24"/>
          <w:szCs w:val="24"/>
        </w:rPr>
        <w:t xml:space="preserve"> ORDENA </w:t>
      </w:r>
      <w:r w:rsidRPr="00872BEB">
        <w:rPr>
          <w:rFonts w:ascii="Palatino Linotype" w:eastAsia="Palatino Linotype" w:hAnsi="Palatino Linotype" w:cs="Palatino Linotype"/>
          <w:sz w:val="24"/>
          <w:szCs w:val="24"/>
        </w:rPr>
        <w:t xml:space="preserve">al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en términos de los Considerandos </w:t>
      </w:r>
      <w:r w:rsidRPr="00872BEB">
        <w:rPr>
          <w:rFonts w:ascii="Palatino Linotype" w:eastAsia="Palatino Linotype" w:hAnsi="Palatino Linotype" w:cs="Palatino Linotype"/>
          <w:b/>
          <w:sz w:val="24"/>
          <w:szCs w:val="24"/>
        </w:rPr>
        <w:t xml:space="preserve">Cuarto </w:t>
      </w:r>
      <w:r w:rsidRPr="00872BEB">
        <w:rPr>
          <w:rFonts w:ascii="Palatino Linotype" w:eastAsia="Palatino Linotype" w:hAnsi="Palatino Linotype" w:cs="Palatino Linotype"/>
          <w:sz w:val="24"/>
          <w:szCs w:val="24"/>
        </w:rPr>
        <w:t xml:space="preserve">y </w:t>
      </w:r>
      <w:r w:rsidRPr="00872BEB">
        <w:rPr>
          <w:rFonts w:ascii="Palatino Linotype" w:eastAsia="Palatino Linotype" w:hAnsi="Palatino Linotype" w:cs="Palatino Linotype"/>
          <w:b/>
          <w:sz w:val="24"/>
          <w:szCs w:val="24"/>
        </w:rPr>
        <w:t xml:space="preserve">Quinto </w:t>
      </w:r>
      <w:r w:rsidRPr="00872BEB">
        <w:rPr>
          <w:rFonts w:ascii="Palatino Linotype" w:eastAsia="Palatino Linotype" w:hAnsi="Palatino Linotype" w:cs="Palatino Linotype"/>
          <w:sz w:val="24"/>
          <w:szCs w:val="24"/>
        </w:rPr>
        <w:t xml:space="preserve">de esta resolución, previa búsqueda exhaustiva y razonable, haga entrega, vía </w:t>
      </w:r>
      <w:r w:rsidRPr="00872BEB">
        <w:rPr>
          <w:rFonts w:ascii="Palatino Linotype" w:eastAsia="Palatino Linotype" w:hAnsi="Palatino Linotype" w:cs="Palatino Linotype"/>
          <w:b/>
          <w:sz w:val="24"/>
          <w:szCs w:val="24"/>
        </w:rPr>
        <w:t xml:space="preserve">SAIMEX </w:t>
      </w:r>
      <w:r w:rsidRPr="00872BEB">
        <w:rPr>
          <w:rFonts w:ascii="Palatino Linotype" w:eastAsia="Palatino Linotype" w:hAnsi="Palatino Linotype" w:cs="Palatino Linotype"/>
          <w:sz w:val="24"/>
          <w:szCs w:val="24"/>
        </w:rPr>
        <w:t xml:space="preserve">y </w:t>
      </w:r>
      <w:r w:rsidRPr="00872BEB">
        <w:rPr>
          <w:rFonts w:ascii="Palatino Linotype" w:eastAsia="Palatino Linotype" w:hAnsi="Palatino Linotype" w:cs="Palatino Linotype"/>
          <w:b/>
          <w:sz w:val="24"/>
          <w:szCs w:val="24"/>
        </w:rPr>
        <w:t>correo electrónico</w:t>
      </w:r>
      <w:r w:rsidRPr="00872BEB">
        <w:rPr>
          <w:rFonts w:ascii="Palatino Linotype" w:eastAsia="Palatino Linotype" w:hAnsi="Palatino Linotype" w:cs="Palatino Linotype"/>
          <w:sz w:val="24"/>
          <w:szCs w:val="24"/>
        </w:rPr>
        <w:t xml:space="preserve">, en formato abierto </w:t>
      </w:r>
      <w:proofErr w:type="spellStart"/>
      <w:r w:rsidRPr="00872BEB">
        <w:rPr>
          <w:rFonts w:ascii="Palatino Linotype" w:eastAsia="Palatino Linotype" w:hAnsi="Palatino Linotype" w:cs="Palatino Linotype"/>
          <w:sz w:val="24"/>
          <w:szCs w:val="24"/>
        </w:rPr>
        <w:t>xls</w:t>
      </w:r>
      <w:proofErr w:type="spellEnd"/>
      <w:r w:rsidRPr="00872BEB">
        <w:rPr>
          <w:rFonts w:ascii="Palatino Linotype" w:eastAsia="Palatino Linotype" w:hAnsi="Palatino Linotype" w:cs="Palatino Linotype"/>
          <w:sz w:val="24"/>
          <w:szCs w:val="24"/>
        </w:rPr>
        <w:t xml:space="preserve">, </w:t>
      </w:r>
      <w:proofErr w:type="spellStart"/>
      <w:r w:rsidRPr="00872BEB">
        <w:rPr>
          <w:rFonts w:ascii="Palatino Linotype" w:eastAsia="Palatino Linotype" w:hAnsi="Palatino Linotype" w:cs="Palatino Linotype"/>
          <w:sz w:val="24"/>
          <w:szCs w:val="24"/>
        </w:rPr>
        <w:t>cvs</w:t>
      </w:r>
      <w:proofErr w:type="spellEnd"/>
      <w:r w:rsidRPr="00872BEB">
        <w:rPr>
          <w:rFonts w:ascii="Palatino Linotype" w:eastAsia="Palatino Linotype" w:hAnsi="Palatino Linotype" w:cs="Palatino Linotype"/>
          <w:sz w:val="24"/>
          <w:szCs w:val="24"/>
        </w:rPr>
        <w:t xml:space="preserve"> o aquel en el que haya sido generada, en versión pública de ser necesario, el soporte documental en el que conste lo siguiente:</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1. La estadística de faltas administrativas, al mayor grado de desagregación posible, del uno de enero de dos mil dieciocho al  treinta de mayo de dos mil veintidós.</w:t>
      </w:r>
    </w:p>
    <w:p w:rsidR="006B1050" w:rsidRPr="00872BEB" w:rsidRDefault="00115B05">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sz w:val="24"/>
          <w:szCs w:val="24"/>
        </w:rPr>
        <w:t>2. La estadística de incidencia delictiva al mayor grado de desagregación posible, del uno de enero de dos mil dieciocho al  treinta de mayo de dos mil veintidós.</w:t>
      </w:r>
    </w:p>
    <w:p w:rsidR="006B1050" w:rsidRPr="00872BEB" w:rsidRDefault="00115B05">
      <w:pPr>
        <w:spacing w:before="240" w:after="240"/>
        <w:ind w:left="284"/>
        <w:jc w:val="both"/>
        <w:rPr>
          <w:rFonts w:ascii="Palatino Linotype" w:eastAsia="Palatino Linotype" w:hAnsi="Palatino Linotype" w:cs="Palatino Linotype"/>
          <w:b/>
          <w:i/>
          <w:sz w:val="20"/>
          <w:szCs w:val="20"/>
        </w:rPr>
      </w:pPr>
      <w:r w:rsidRPr="00872BEB">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72BEB">
        <w:rPr>
          <w:rFonts w:ascii="Palatino Linotype" w:eastAsia="Palatino Linotype" w:hAnsi="Palatino Linotype" w:cs="Palatino Linotype"/>
          <w:b/>
          <w:i/>
          <w:sz w:val="20"/>
          <w:szCs w:val="20"/>
        </w:rPr>
        <w:t>RECURRENTE.</w:t>
      </w:r>
    </w:p>
    <w:p w:rsidR="006B1050" w:rsidRPr="00872BEB" w:rsidRDefault="00115B05">
      <w:pPr>
        <w:spacing w:before="240" w:after="240"/>
        <w:ind w:left="284" w:right="49"/>
        <w:jc w:val="both"/>
        <w:rPr>
          <w:rFonts w:ascii="Palatino Linotype" w:eastAsia="Palatino Linotype" w:hAnsi="Palatino Linotype" w:cs="Palatino Linotype"/>
          <w:i/>
          <w:sz w:val="20"/>
          <w:szCs w:val="20"/>
        </w:rPr>
      </w:pPr>
      <w:r w:rsidRPr="00872BEB">
        <w:rPr>
          <w:rFonts w:ascii="Palatino Linotype" w:eastAsia="Palatino Linotype" w:hAnsi="Palatino Linotype" w:cs="Palatino Linotype"/>
          <w:i/>
          <w:sz w:val="20"/>
          <w:szCs w:val="20"/>
        </w:rPr>
        <w:t xml:space="preserve">En el caso que derivado de la búsqueda exhaustiva y razonable, no se localice la información que se ordena, el </w:t>
      </w:r>
      <w:r w:rsidRPr="00872BEB">
        <w:rPr>
          <w:rFonts w:ascii="Palatino Linotype" w:eastAsia="Palatino Linotype" w:hAnsi="Palatino Linotype" w:cs="Palatino Linotype"/>
          <w:b/>
          <w:i/>
          <w:sz w:val="20"/>
          <w:szCs w:val="20"/>
        </w:rPr>
        <w:t>SUJETO OBLIGADO</w:t>
      </w:r>
      <w:r w:rsidRPr="00872BEB">
        <w:rPr>
          <w:rFonts w:ascii="Palatino Linotype" w:eastAsia="Palatino Linotype" w:hAnsi="Palatino Linotype" w:cs="Palatino Linotype"/>
          <w:i/>
          <w:sz w:val="20"/>
          <w:szCs w:val="20"/>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6B1050" w:rsidRPr="00872BEB" w:rsidRDefault="006B1050">
      <w:pPr>
        <w:spacing w:after="0" w:line="360" w:lineRule="auto"/>
        <w:jc w:val="both"/>
        <w:rPr>
          <w:rFonts w:ascii="Palatino Linotype" w:eastAsia="Palatino Linotype" w:hAnsi="Palatino Linotype" w:cs="Palatino Linotype"/>
          <w:i/>
          <w:sz w:val="20"/>
          <w:szCs w:val="20"/>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TERCERO. Notifíquese vía SAIMEX,</w:t>
      </w:r>
      <w:r w:rsidRPr="00872BEB">
        <w:rPr>
          <w:rFonts w:ascii="Palatino Linotype" w:eastAsia="Palatino Linotype" w:hAnsi="Palatino Linotype" w:cs="Palatino Linotype"/>
          <w:b/>
          <w:i/>
          <w:sz w:val="24"/>
          <w:szCs w:val="24"/>
        </w:rPr>
        <w:t xml:space="preserve"> </w:t>
      </w:r>
      <w:r w:rsidRPr="00872BEB">
        <w:rPr>
          <w:rFonts w:ascii="Palatino Linotype" w:eastAsia="Palatino Linotype" w:hAnsi="Palatino Linotype" w:cs="Palatino Linotype"/>
          <w:sz w:val="24"/>
          <w:szCs w:val="24"/>
        </w:rPr>
        <w:t xml:space="preserve">al Responsable de la Unidad de Transparencia del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 xml:space="preserve">CUARTO. </w:t>
      </w:r>
      <w:r w:rsidRPr="00872BEB">
        <w:rPr>
          <w:rFonts w:ascii="Palatino Linotype" w:eastAsia="Palatino Linotype" w:hAnsi="Palatino Linotype" w:cs="Palatino Linotype"/>
          <w:sz w:val="24"/>
          <w:szCs w:val="24"/>
        </w:rPr>
        <w:t xml:space="preserve">Notifíquese, vía </w:t>
      </w:r>
      <w:r w:rsidRPr="00872BEB">
        <w:rPr>
          <w:rFonts w:ascii="Palatino Linotype" w:eastAsia="Palatino Linotype" w:hAnsi="Palatino Linotype" w:cs="Palatino Linotype"/>
          <w:b/>
          <w:sz w:val="24"/>
          <w:szCs w:val="24"/>
        </w:rPr>
        <w:t>SAIMEX</w:t>
      </w:r>
      <w:r w:rsidR="000E6B44" w:rsidRPr="00872BEB">
        <w:rPr>
          <w:rFonts w:ascii="Palatino Linotype" w:eastAsia="Palatino Linotype" w:hAnsi="Palatino Linotype" w:cs="Palatino Linotype"/>
          <w:b/>
          <w:sz w:val="24"/>
          <w:szCs w:val="24"/>
        </w:rPr>
        <w:t xml:space="preserve"> </w:t>
      </w:r>
      <w:r w:rsidR="000E6B44" w:rsidRPr="00872BEB">
        <w:rPr>
          <w:rFonts w:ascii="Palatino Linotype" w:eastAsia="Palatino Linotype" w:hAnsi="Palatino Linotype" w:cs="Palatino Linotype"/>
          <w:sz w:val="24"/>
          <w:szCs w:val="24"/>
        </w:rPr>
        <w:t xml:space="preserve">y </w:t>
      </w:r>
      <w:r w:rsidR="000E6B44" w:rsidRPr="00872BEB">
        <w:rPr>
          <w:rFonts w:ascii="Palatino Linotype" w:eastAsia="Palatino Linotype" w:hAnsi="Palatino Linotype" w:cs="Palatino Linotype"/>
          <w:b/>
          <w:sz w:val="24"/>
          <w:szCs w:val="24"/>
        </w:rPr>
        <w:t>correo electrónico</w:t>
      </w:r>
      <w:r w:rsidRPr="00872BEB">
        <w:rPr>
          <w:rFonts w:ascii="Palatino Linotype" w:eastAsia="Palatino Linotype" w:hAnsi="Palatino Linotype" w:cs="Palatino Linotype"/>
          <w:sz w:val="24"/>
          <w:szCs w:val="24"/>
        </w:rPr>
        <w:t xml:space="preserve">, al </w:t>
      </w:r>
      <w:r w:rsidRPr="00872BEB">
        <w:rPr>
          <w:rFonts w:ascii="Palatino Linotype" w:eastAsia="Palatino Linotype" w:hAnsi="Palatino Linotype" w:cs="Palatino Linotype"/>
          <w:b/>
          <w:sz w:val="24"/>
          <w:szCs w:val="24"/>
        </w:rPr>
        <w:t>RECURRENTE</w:t>
      </w:r>
      <w:r w:rsidRPr="00872BE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pPr>
      <w:r w:rsidRPr="00872BEB">
        <w:rPr>
          <w:rFonts w:ascii="Palatino Linotype" w:eastAsia="Palatino Linotype" w:hAnsi="Palatino Linotype" w:cs="Palatino Linotype"/>
          <w:b/>
          <w:sz w:val="24"/>
          <w:szCs w:val="24"/>
        </w:rPr>
        <w:t>QUINTO.</w:t>
      </w:r>
      <w:r w:rsidRPr="00872BEB">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872BEB">
        <w:rPr>
          <w:rFonts w:ascii="Palatino Linotype" w:eastAsia="Palatino Linotype" w:hAnsi="Palatino Linotype" w:cs="Palatino Linotype"/>
          <w:b/>
          <w:sz w:val="24"/>
          <w:szCs w:val="24"/>
        </w:rPr>
        <w:t>SUJETO OBLIGADO</w:t>
      </w:r>
      <w:r w:rsidRPr="00872BE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6B1050" w:rsidRPr="00872BEB" w:rsidRDefault="006B1050">
      <w:pPr>
        <w:spacing w:after="0" w:line="360" w:lineRule="auto"/>
        <w:jc w:val="both"/>
        <w:rPr>
          <w:rFonts w:ascii="Palatino Linotype" w:eastAsia="Palatino Linotype" w:hAnsi="Palatino Linotype" w:cs="Palatino Linotype"/>
          <w:sz w:val="24"/>
          <w:szCs w:val="24"/>
        </w:rPr>
      </w:pPr>
    </w:p>
    <w:p w:rsidR="006B1050" w:rsidRPr="00872BEB" w:rsidRDefault="00115B05">
      <w:pPr>
        <w:spacing w:after="0" w:line="360" w:lineRule="auto"/>
        <w:jc w:val="both"/>
        <w:rPr>
          <w:rFonts w:ascii="Palatino Linotype" w:eastAsia="Palatino Linotype" w:hAnsi="Palatino Linotype" w:cs="Palatino Linotype"/>
          <w:sz w:val="24"/>
          <w:szCs w:val="24"/>
        </w:rPr>
        <w:sectPr w:rsidR="006B1050" w:rsidRPr="00872BEB">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r w:rsidRPr="00872BEB">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DEL DOS MIL VEINTIDÓS, ANTE EL SECRETARIO TÉCNICO DEL PLENO ALEXIS TAPIA RAMÍREZ.</w:t>
      </w:r>
    </w:p>
    <w:p w:rsidR="006B1050" w:rsidRPr="00872BEB" w:rsidRDefault="006B1050">
      <w:pPr>
        <w:jc w:val="both"/>
        <w:rPr>
          <w:rFonts w:ascii="Palatino Linotype" w:eastAsia="Palatino Linotype" w:hAnsi="Palatino Linotype" w:cs="Palatino Linotype"/>
          <w:sz w:val="24"/>
          <w:szCs w:val="24"/>
        </w:rPr>
      </w:pPr>
    </w:p>
    <w:sectPr w:rsidR="006B1050" w:rsidRPr="00872BEB">
      <w:headerReference w:type="default" r:id="rId21"/>
      <w:pgSz w:w="12240" w:h="15840"/>
      <w:pgMar w:top="1417" w:right="1750"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E32" w:rsidRDefault="007E6E32">
      <w:pPr>
        <w:spacing w:after="0" w:line="240" w:lineRule="auto"/>
      </w:pPr>
      <w:r>
        <w:separator/>
      </w:r>
    </w:p>
  </w:endnote>
  <w:endnote w:type="continuationSeparator" w:id="0">
    <w:p w:rsidR="007E6E32" w:rsidRDefault="007E6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50" w:rsidRDefault="00115B0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55B1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55B1F">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6B1050" w:rsidRDefault="006B1050">
    <w:pPr>
      <w:pBdr>
        <w:top w:val="nil"/>
        <w:left w:val="nil"/>
        <w:bottom w:val="nil"/>
        <w:right w:val="nil"/>
        <w:between w:val="nil"/>
      </w:pBdr>
      <w:tabs>
        <w:tab w:val="center" w:pos="4252"/>
        <w:tab w:val="right" w:pos="8504"/>
      </w:tabs>
      <w:rPr>
        <w:color w:val="000000"/>
      </w:rPr>
    </w:pPr>
  </w:p>
  <w:p w:rsidR="006B1050" w:rsidRDefault="00D536DE">
    <w:pPr>
      <w:pBdr>
        <w:top w:val="nil"/>
        <w:left w:val="nil"/>
        <w:bottom w:val="nil"/>
        <w:right w:val="nil"/>
        <w:between w:val="nil"/>
      </w:pBdr>
      <w:tabs>
        <w:tab w:val="center" w:pos="4252"/>
        <w:tab w:val="right" w:pos="8504"/>
      </w:tabs>
      <w:ind w:firstLine="708"/>
      <w:rPr>
        <w:color w:val="000000"/>
      </w:rPr>
    </w:pPr>
    <w:r>
      <w:rPr>
        <w:noProof/>
      </w:rPr>
      <w:drawing>
        <wp:anchor distT="0" distB="0" distL="0" distR="0" simplePos="0" relativeHeight="251661312" behindDoc="1" locked="0" layoutInCell="1" hidden="0" allowOverlap="1" wp14:anchorId="5335664D" wp14:editId="42A26C1E">
          <wp:simplePos x="0" y="0"/>
          <wp:positionH relativeFrom="column">
            <wp:posOffset>-1133475</wp:posOffset>
          </wp:positionH>
          <wp:positionV relativeFrom="paragraph">
            <wp:posOffset>832485</wp:posOffset>
          </wp:positionV>
          <wp:extent cx="7867650" cy="1013333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50" w:rsidRDefault="00115B0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55B1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55B1F">
      <w:rPr>
        <w:rFonts w:ascii="Arial" w:eastAsia="Arial" w:hAnsi="Arial" w:cs="Arial"/>
        <w:b/>
        <w:noProof/>
        <w:color w:val="000000"/>
        <w:sz w:val="20"/>
        <w:szCs w:val="20"/>
      </w:rPr>
      <w:t>64</w:t>
    </w:r>
    <w:r>
      <w:rPr>
        <w:rFonts w:ascii="Arial" w:eastAsia="Arial" w:hAnsi="Arial" w:cs="Arial"/>
        <w:b/>
        <w:color w:val="000000"/>
        <w:sz w:val="20"/>
        <w:szCs w:val="20"/>
      </w:rPr>
      <w:fldChar w:fldCharType="end"/>
    </w:r>
  </w:p>
  <w:p w:rsidR="006B1050" w:rsidRDefault="006B105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E32" w:rsidRDefault="007E6E32">
      <w:pPr>
        <w:spacing w:after="0" w:line="240" w:lineRule="auto"/>
      </w:pPr>
      <w:r>
        <w:separator/>
      </w:r>
    </w:p>
  </w:footnote>
  <w:footnote w:type="continuationSeparator" w:id="0">
    <w:p w:rsidR="007E6E32" w:rsidRDefault="007E6E32">
      <w:pPr>
        <w:spacing w:after="0" w:line="240" w:lineRule="auto"/>
      </w:pPr>
      <w:r>
        <w:continuationSeparator/>
      </w:r>
    </w:p>
  </w:footnote>
  <w:footnote w:id="1">
    <w:p w:rsidR="006B1050" w:rsidRDefault="00115B0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6B1050" w:rsidRDefault="00115B0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6B1050" w:rsidRDefault="00115B0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50" w:rsidRDefault="006B1050">
    <w:pPr>
      <w:widowControl w:val="0"/>
      <w:pBdr>
        <w:top w:val="nil"/>
        <w:left w:val="nil"/>
        <w:bottom w:val="nil"/>
        <w:right w:val="nil"/>
        <w:between w:val="nil"/>
      </w:pBdr>
      <w:spacing w:after="0" w:line="276" w:lineRule="auto"/>
      <w:rPr>
        <w:color w:val="000000"/>
      </w:rPr>
    </w:pPr>
  </w:p>
  <w:tbl>
    <w:tblPr>
      <w:tblStyle w:val="a1"/>
      <w:tblW w:w="10302" w:type="dxa"/>
      <w:tblInd w:w="-1281" w:type="dxa"/>
      <w:tblLayout w:type="fixed"/>
      <w:tblLook w:val="0400" w:firstRow="0" w:lastRow="0" w:firstColumn="0" w:lastColumn="0" w:noHBand="0" w:noVBand="1"/>
    </w:tblPr>
    <w:tblGrid>
      <w:gridCol w:w="5660"/>
      <w:gridCol w:w="4642"/>
    </w:tblGrid>
    <w:tr w:rsidR="006B1050">
      <w:trPr>
        <w:trHeight w:val="260"/>
      </w:trPr>
      <w:tc>
        <w:tcPr>
          <w:tcW w:w="5660" w:type="dxa"/>
        </w:tcPr>
        <w:p w:rsidR="006B1050" w:rsidRDefault="00115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6B1050" w:rsidRDefault="00115B0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12474/INFOEM/IP/RR/2022.</w:t>
          </w:r>
        </w:p>
      </w:tc>
    </w:tr>
    <w:tr w:rsidR="006B1050">
      <w:trPr>
        <w:trHeight w:val="224"/>
      </w:trPr>
      <w:tc>
        <w:tcPr>
          <w:tcW w:w="5660" w:type="dxa"/>
        </w:tcPr>
        <w:p w:rsidR="006B1050" w:rsidRDefault="00115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6B1050" w:rsidRDefault="006B105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6B1050">
      <w:trPr>
        <w:trHeight w:val="278"/>
      </w:trPr>
      <w:tc>
        <w:tcPr>
          <w:tcW w:w="5660" w:type="dxa"/>
        </w:tcPr>
        <w:p w:rsidR="006B1050" w:rsidRDefault="00115B0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6B1050" w:rsidRDefault="00115B0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Tepetlixpa</w:t>
          </w:r>
          <w:proofErr w:type="spellEnd"/>
          <w:r>
            <w:rPr>
              <w:rFonts w:ascii="Palatino Linotype" w:eastAsia="Palatino Linotype" w:hAnsi="Palatino Linotype" w:cs="Palatino Linotype"/>
              <w:sz w:val="24"/>
              <w:szCs w:val="24"/>
            </w:rPr>
            <w:t>.</w:t>
          </w:r>
        </w:p>
      </w:tc>
    </w:tr>
    <w:tr w:rsidR="006B1050">
      <w:trPr>
        <w:trHeight w:val="393"/>
      </w:trPr>
      <w:tc>
        <w:tcPr>
          <w:tcW w:w="5660" w:type="dxa"/>
        </w:tcPr>
        <w:p w:rsidR="006B1050" w:rsidRDefault="00115B0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6B1050" w:rsidRDefault="00115B0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B1050" w:rsidRDefault="00115B05">
    <w:pPr>
      <w:pBdr>
        <w:top w:val="nil"/>
        <w:left w:val="nil"/>
        <w:bottom w:val="nil"/>
        <w:right w:val="nil"/>
        <w:between w:val="nil"/>
      </w:pBdr>
      <w:tabs>
        <w:tab w:val="center" w:pos="4252"/>
        <w:tab w:val="right" w:pos="8504"/>
        <w:tab w:val="left" w:pos="2326"/>
      </w:tabs>
      <w:rPr>
        <w:color w:val="000000"/>
      </w:rPr>
    </w:pPr>
    <w:r>
      <w:rPr>
        <w:noProof/>
      </w:rPr>
      <w:drawing>
        <wp:anchor distT="0" distB="0" distL="0" distR="0" simplePos="0" relativeHeight="251658240" behindDoc="1" locked="0" layoutInCell="1" hidden="0" allowOverlap="1">
          <wp:simplePos x="0" y="0"/>
          <wp:positionH relativeFrom="column">
            <wp:posOffset>-817243</wp:posOffset>
          </wp:positionH>
          <wp:positionV relativeFrom="paragraph">
            <wp:posOffset>-1511933</wp:posOffset>
          </wp:positionV>
          <wp:extent cx="7867650" cy="10133330"/>
          <wp:effectExtent l="0" t="0" r="0" b="0"/>
          <wp:wrapNone/>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50" w:rsidRDefault="00115B05">
    <w:pPr>
      <w:pBdr>
        <w:top w:val="nil"/>
        <w:left w:val="nil"/>
        <w:bottom w:val="nil"/>
        <w:right w:val="nil"/>
        <w:between w:val="nil"/>
      </w:pBdr>
      <w:tabs>
        <w:tab w:val="center" w:pos="4252"/>
        <w:tab w:val="right" w:pos="8504"/>
      </w:tabs>
      <w:jc w:val="both"/>
      <w:rPr>
        <w:color w:val="000000"/>
      </w:rPr>
    </w:pPr>
    <w:r>
      <w:rPr>
        <w:noProof/>
      </w:rPr>
      <w:drawing>
        <wp:anchor distT="0" distB="0" distL="0" distR="0" simplePos="0" relativeHeight="251659264" behindDoc="1" locked="0" layoutInCell="1" hidden="0" allowOverlap="1">
          <wp:simplePos x="0" y="0"/>
          <wp:positionH relativeFrom="column">
            <wp:posOffset>-874393</wp:posOffset>
          </wp:positionH>
          <wp:positionV relativeFrom="paragraph">
            <wp:posOffset>-138428</wp:posOffset>
          </wp:positionV>
          <wp:extent cx="7867650" cy="10133330"/>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0"/>
      <w:tblW w:w="10302" w:type="dxa"/>
      <w:tblInd w:w="-1281" w:type="dxa"/>
      <w:tblLayout w:type="fixed"/>
      <w:tblLook w:val="0400" w:firstRow="0" w:lastRow="0" w:firstColumn="0" w:lastColumn="0" w:noHBand="0" w:noVBand="1"/>
    </w:tblPr>
    <w:tblGrid>
      <w:gridCol w:w="5660"/>
      <w:gridCol w:w="4642"/>
    </w:tblGrid>
    <w:tr w:rsidR="006B1050">
      <w:trPr>
        <w:trHeight w:val="260"/>
      </w:trPr>
      <w:tc>
        <w:tcPr>
          <w:tcW w:w="5660" w:type="dxa"/>
        </w:tcPr>
        <w:p w:rsidR="006B1050" w:rsidRDefault="00115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6B1050" w:rsidRDefault="00115B0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12474/INFOEM/IP/RR/2022.</w:t>
          </w:r>
        </w:p>
      </w:tc>
    </w:tr>
    <w:tr w:rsidR="006B1050">
      <w:trPr>
        <w:trHeight w:val="224"/>
      </w:trPr>
      <w:tc>
        <w:tcPr>
          <w:tcW w:w="5660" w:type="dxa"/>
        </w:tcPr>
        <w:p w:rsidR="006B1050" w:rsidRDefault="00115B0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6B1050" w:rsidRDefault="00555B1F" w:rsidP="00555B1F">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XXXX </w:t>
          </w:r>
          <w:proofErr w:type="spellStart"/>
          <w:r>
            <w:rPr>
              <w:rFonts w:ascii="Palatino Linotype" w:eastAsia="Palatino Linotype" w:hAnsi="Palatino Linotype" w:cs="Palatino Linotype"/>
              <w:color w:val="000000"/>
              <w:sz w:val="24"/>
              <w:szCs w:val="24"/>
            </w:rPr>
            <w:t>XXXX</w:t>
          </w:r>
          <w:proofErr w:type="spellEnd"/>
          <w:r>
            <w:rPr>
              <w:rFonts w:ascii="Palatino Linotype" w:eastAsia="Palatino Linotype" w:hAnsi="Palatino Linotype" w:cs="Palatino Linotype"/>
              <w:color w:val="000000"/>
              <w:sz w:val="24"/>
              <w:szCs w:val="24"/>
            </w:rPr>
            <w:t xml:space="preserve"> XXXXXX</w:t>
          </w:r>
        </w:p>
      </w:tc>
    </w:tr>
    <w:tr w:rsidR="006B1050">
      <w:trPr>
        <w:trHeight w:val="278"/>
      </w:trPr>
      <w:tc>
        <w:tcPr>
          <w:tcW w:w="5660" w:type="dxa"/>
        </w:tcPr>
        <w:p w:rsidR="006B1050" w:rsidRDefault="00115B0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6B1050" w:rsidRDefault="00115B0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Tepetlixpa</w:t>
          </w:r>
          <w:proofErr w:type="spellEnd"/>
          <w:r>
            <w:rPr>
              <w:rFonts w:ascii="Palatino Linotype" w:eastAsia="Palatino Linotype" w:hAnsi="Palatino Linotype" w:cs="Palatino Linotype"/>
              <w:sz w:val="24"/>
              <w:szCs w:val="24"/>
            </w:rPr>
            <w:t>.</w:t>
          </w:r>
        </w:p>
      </w:tc>
    </w:tr>
    <w:tr w:rsidR="006B1050">
      <w:trPr>
        <w:trHeight w:val="393"/>
      </w:trPr>
      <w:tc>
        <w:tcPr>
          <w:tcW w:w="5660" w:type="dxa"/>
        </w:tcPr>
        <w:p w:rsidR="006B1050" w:rsidRDefault="00115B0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6B1050" w:rsidRDefault="00115B0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B1050" w:rsidRDefault="006B1050">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302" w:type="dxa"/>
      <w:tblInd w:w="-1281" w:type="dxa"/>
      <w:tblLayout w:type="fixed"/>
      <w:tblLook w:val="0400" w:firstRow="0" w:lastRow="0" w:firstColumn="0" w:lastColumn="0" w:noHBand="0" w:noVBand="1"/>
    </w:tblPr>
    <w:tblGrid>
      <w:gridCol w:w="5660"/>
      <w:gridCol w:w="4642"/>
    </w:tblGrid>
    <w:tr w:rsidR="00D536DE" w:rsidTr="001B3135">
      <w:trPr>
        <w:trHeight w:val="260"/>
      </w:trPr>
      <w:tc>
        <w:tcPr>
          <w:tcW w:w="5660" w:type="dxa"/>
        </w:tcPr>
        <w:p w:rsidR="00D536DE" w:rsidRDefault="00D536DE" w:rsidP="00D536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D536DE" w:rsidRDefault="00D536DE" w:rsidP="00D536D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12474/INFOEM/IP/RR/2022.</w:t>
          </w:r>
        </w:p>
      </w:tc>
    </w:tr>
    <w:tr w:rsidR="00D536DE" w:rsidTr="001B3135">
      <w:trPr>
        <w:trHeight w:val="224"/>
      </w:trPr>
      <w:tc>
        <w:tcPr>
          <w:tcW w:w="5660" w:type="dxa"/>
        </w:tcPr>
        <w:p w:rsidR="00D536DE" w:rsidRDefault="00D536DE" w:rsidP="00D536D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D536DE" w:rsidRDefault="00D536DE" w:rsidP="00D536DE">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D536DE" w:rsidTr="001B3135">
      <w:trPr>
        <w:trHeight w:val="278"/>
      </w:trPr>
      <w:tc>
        <w:tcPr>
          <w:tcW w:w="5660" w:type="dxa"/>
        </w:tcPr>
        <w:p w:rsidR="00D536DE" w:rsidRDefault="00D536DE" w:rsidP="00D536D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D536DE" w:rsidRDefault="00D536DE" w:rsidP="00D536DE">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proofErr w:type="spellStart"/>
          <w:r>
            <w:rPr>
              <w:rFonts w:ascii="Palatino Linotype" w:eastAsia="Palatino Linotype" w:hAnsi="Palatino Linotype" w:cs="Palatino Linotype"/>
              <w:sz w:val="24"/>
              <w:szCs w:val="24"/>
            </w:rPr>
            <w:t>Tepetlixpa</w:t>
          </w:r>
          <w:proofErr w:type="spellEnd"/>
          <w:r>
            <w:rPr>
              <w:rFonts w:ascii="Palatino Linotype" w:eastAsia="Palatino Linotype" w:hAnsi="Palatino Linotype" w:cs="Palatino Linotype"/>
              <w:sz w:val="24"/>
              <w:szCs w:val="24"/>
            </w:rPr>
            <w:t>.</w:t>
          </w:r>
        </w:p>
      </w:tc>
    </w:tr>
    <w:tr w:rsidR="00D536DE" w:rsidTr="001B3135">
      <w:trPr>
        <w:trHeight w:val="393"/>
      </w:trPr>
      <w:tc>
        <w:tcPr>
          <w:tcW w:w="5660" w:type="dxa"/>
        </w:tcPr>
        <w:p w:rsidR="00D536DE" w:rsidRDefault="00D536DE" w:rsidP="00D536D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D536DE" w:rsidRDefault="00D536DE" w:rsidP="00D536D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B1050" w:rsidRDefault="00D536D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3360" behindDoc="1" locked="0" layoutInCell="1" hidden="0" allowOverlap="1" wp14:anchorId="225B0EDF" wp14:editId="1A56420D">
          <wp:simplePos x="0" y="0"/>
          <wp:positionH relativeFrom="column">
            <wp:posOffset>-927100</wp:posOffset>
          </wp:positionH>
          <wp:positionV relativeFrom="paragraph">
            <wp:posOffset>-1539240</wp:posOffset>
          </wp:positionV>
          <wp:extent cx="7867650" cy="10133330"/>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56C9"/>
    <w:multiLevelType w:val="multilevel"/>
    <w:tmpl w:val="339C752C"/>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F874C0"/>
    <w:multiLevelType w:val="multilevel"/>
    <w:tmpl w:val="74C8AB88"/>
    <w:lvl w:ilvl="0">
      <w:start w:val="1"/>
      <w:numFmt w:val="bullet"/>
      <w:lvlText w:val="●"/>
      <w:lvlJc w:val="left"/>
      <w:pPr>
        <w:ind w:left="786"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nsid w:val="0D911CB5"/>
    <w:multiLevelType w:val="multilevel"/>
    <w:tmpl w:val="E3CA413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267224C"/>
    <w:multiLevelType w:val="multilevel"/>
    <w:tmpl w:val="EF8695D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2667707D"/>
    <w:multiLevelType w:val="multilevel"/>
    <w:tmpl w:val="973A2A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2BB321D7"/>
    <w:multiLevelType w:val="multilevel"/>
    <w:tmpl w:val="F3E2C04A"/>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nsid w:val="2F5453A7"/>
    <w:multiLevelType w:val="multilevel"/>
    <w:tmpl w:val="096CE37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36214A5B"/>
    <w:multiLevelType w:val="multilevel"/>
    <w:tmpl w:val="9B941C9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31C5E1D"/>
    <w:multiLevelType w:val="multilevel"/>
    <w:tmpl w:val="7F94AEA2"/>
    <w:lvl w:ilvl="0">
      <w:start w:val="1"/>
      <w:numFmt w:val="bullet"/>
      <w:pStyle w:val="Listaconvietas3"/>
      <w:lvlText w:val="●"/>
      <w:lvlJc w:val="left"/>
      <w:pPr>
        <w:ind w:left="786"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nsid w:val="45E24527"/>
    <w:multiLevelType w:val="multilevel"/>
    <w:tmpl w:val="441AFC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nsid w:val="55F8528C"/>
    <w:multiLevelType w:val="multilevel"/>
    <w:tmpl w:val="002AC686"/>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10"/>
  </w:num>
  <w:num w:numId="2">
    <w:abstractNumId w:val="8"/>
  </w:num>
  <w:num w:numId="3">
    <w:abstractNumId w:val="3"/>
  </w:num>
  <w:num w:numId="4">
    <w:abstractNumId w:val="0"/>
  </w:num>
  <w:num w:numId="5">
    <w:abstractNumId w:val="9"/>
  </w:num>
  <w:num w:numId="6">
    <w:abstractNumId w:val="4"/>
  </w:num>
  <w:num w:numId="7">
    <w:abstractNumId w:val="5"/>
  </w:num>
  <w:num w:numId="8">
    <w:abstractNumId w:val="7"/>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50"/>
    <w:rsid w:val="000C677A"/>
    <w:rsid w:val="000E6B44"/>
    <w:rsid w:val="00115B05"/>
    <w:rsid w:val="001D0F4E"/>
    <w:rsid w:val="003564FB"/>
    <w:rsid w:val="00555B1F"/>
    <w:rsid w:val="006B1050"/>
    <w:rsid w:val="007E6E32"/>
    <w:rsid w:val="00872BEB"/>
    <w:rsid w:val="00947792"/>
    <w:rsid w:val="009D0756"/>
    <w:rsid w:val="00D536DE"/>
    <w:rsid w:val="00FF4A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F4B4D-1D83-4829-8CE3-C7748A90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AE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E0A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0AE0"/>
  </w:style>
  <w:style w:type="paragraph" w:styleId="Piedepgina">
    <w:name w:val="footer"/>
    <w:basedOn w:val="Normal"/>
    <w:link w:val="PiedepginaCar"/>
    <w:uiPriority w:val="99"/>
    <w:unhideWhenUsed/>
    <w:rsid w:val="008E0A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0AE0"/>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0AE0"/>
    <w:pPr>
      <w:ind w:left="720"/>
      <w:contextualSpacing/>
    </w:pPr>
  </w:style>
  <w:style w:type="character" w:styleId="Hipervnculo">
    <w:name w:val="Hyperlink"/>
    <w:basedOn w:val="Fuentedeprrafopredeter"/>
    <w:uiPriority w:val="99"/>
    <w:semiHidden/>
    <w:unhideWhenUsed/>
    <w:rsid w:val="00232C36"/>
    <w:rPr>
      <w:color w:val="0000FF"/>
      <w:u w:val="single"/>
    </w:rPr>
  </w:style>
  <w:style w:type="paragraph" w:styleId="Listaconvietas3">
    <w:name w:val="List Bullet 3"/>
    <w:basedOn w:val="Normal"/>
    <w:uiPriority w:val="99"/>
    <w:unhideWhenUsed/>
    <w:rsid w:val="00716F4E"/>
    <w:pPr>
      <w:numPr>
        <w:numId w:val="2"/>
      </w:numPr>
      <w:spacing w:after="0" w:line="240" w:lineRule="auto"/>
      <w:contextualSpacing/>
    </w:pPr>
    <w:rPr>
      <w:rFonts w:ascii="Times New Roman" w:eastAsia="Times New Roman" w:hAnsi="Times New Roman" w:cs="Times New Roman"/>
      <w:sz w:val="24"/>
      <w:szCs w:val="24"/>
      <w:lang w:val="es-ES"/>
    </w:rPr>
  </w:style>
  <w:style w:type="paragraph" w:styleId="Listaconvietas2">
    <w:name w:val="List Bullet 2"/>
    <w:basedOn w:val="Normal"/>
    <w:uiPriority w:val="99"/>
    <w:unhideWhenUsed/>
    <w:rsid w:val="000C40AC"/>
    <w:pPr>
      <w:numPr>
        <w:numId w:val="4"/>
      </w:numPr>
      <w:spacing w:after="0" w:line="240" w:lineRule="auto"/>
      <w:contextualSpacing/>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81455"/>
    <w:rPr>
      <w:rFonts w:ascii="Calibri" w:eastAsia="Calibri" w:hAnsi="Calibri" w:cs="Calibri"/>
      <w:lang w:eastAsia="es-MX"/>
    </w:rPr>
  </w:style>
  <w:style w:type="paragraph" w:styleId="Listaconvietas">
    <w:name w:val="List Bullet"/>
    <w:basedOn w:val="Normal"/>
    <w:uiPriority w:val="99"/>
    <w:unhideWhenUsed/>
    <w:rsid w:val="00181455"/>
    <w:pPr>
      <w:numPr>
        <w:numId w:val="11"/>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87149.pag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saimex.org.mx/saimex/solicitud/downloadAttach/1487135.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Vw1cCKX7G9za12inhC/Oe55b0A==">AMUW2mXDa9q68xaPNW6kGscbqDoSXDlvU1wCtcNHzH1SnwcBrP0+zq13yqGgcHb7Mtk2xsQs2Tt/AwQzM8ECbysBcLXn19t+zpnPP1v+qPX/OJVCPHz2wORPzm1jcqDTmrCW2OydZFvoHnuYwdbeYRD+MsgUKgKJaw==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12812</Words>
  <Characters>70469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2022-12-02T17:55:00Z</cp:lastPrinted>
  <dcterms:created xsi:type="dcterms:W3CDTF">2022-12-07T20:29:00Z</dcterms:created>
  <dcterms:modified xsi:type="dcterms:W3CDTF">2022-12-07T20:29:00Z</dcterms:modified>
</cp:coreProperties>
</file>