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826F72" w14:textId="77777777" w:rsidR="00C56BC1" w:rsidRDefault="00D10798">
      <w:pPr>
        <w:spacing w:before="240" w:after="240" w:line="360" w:lineRule="auto"/>
        <w:jc w:val="both"/>
        <w:rPr>
          <w:rFonts w:ascii="Palatino Linotype" w:eastAsia="Palatino Linotype" w:hAnsi="Palatino Linotype" w:cs="Palatino Linotype"/>
        </w:rPr>
      </w:pPr>
      <w:bookmarkStart w:id="0" w:name="_heading=h.tyjcwt" w:colFirst="0" w:colLast="0"/>
      <w:bookmarkStart w:id="1" w:name="_GoBack"/>
      <w:bookmarkEnd w:id="0"/>
      <w:bookmarkEnd w:id="1"/>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quince de junio de dos mil veintidós. </w:t>
      </w:r>
    </w:p>
    <w:p w14:paraId="2CFA354B" w14:textId="6BFCDDDD" w:rsidR="00C56BC1" w:rsidRDefault="00D1079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06279/INFOEM/IP/RR/2022</w:t>
      </w:r>
      <w:r>
        <w:rPr>
          <w:rFonts w:ascii="Palatino Linotype" w:eastAsia="Palatino Linotype" w:hAnsi="Palatino Linotype" w:cs="Palatino Linotype"/>
        </w:rPr>
        <w:t>, interpuesto por una persona usuaria del Sistema de Acceso a la Información Mexiquense  (SAIMEX) que no proporcionó nombre o seudónimo y 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en su calidad de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Organismo Público Descentralizado para la Prestación de </w:t>
      </w:r>
      <w:r w:rsidR="00B7656C">
        <w:rPr>
          <w:rFonts w:ascii="Palatino Linotype" w:eastAsia="Palatino Linotype" w:hAnsi="Palatino Linotype" w:cs="Palatino Linotype"/>
          <w:b/>
        </w:rPr>
        <w:t>l</w:t>
      </w:r>
      <w:r>
        <w:rPr>
          <w:rFonts w:ascii="Palatino Linotype" w:eastAsia="Palatino Linotype" w:hAnsi="Palatino Linotype" w:cs="Palatino Linotype"/>
          <w:b/>
        </w:rPr>
        <w:t xml:space="preserve">os Servicios de Agua Potable Alcantarillado y Saneamiento del Municipio de Metepec.,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15DB3FA9" w14:textId="77777777" w:rsidR="00C56BC1" w:rsidRDefault="00D10798">
      <w:pPr>
        <w:spacing w:before="240" w:after="240" w:line="360" w:lineRule="auto"/>
        <w:jc w:val="center"/>
        <w:rPr>
          <w:rFonts w:ascii="Palatino Linotype" w:eastAsia="Palatino Linotype" w:hAnsi="Palatino Linotype" w:cs="Palatino Linotype"/>
          <w:b/>
          <w:sz w:val="28"/>
          <w:szCs w:val="28"/>
        </w:rPr>
      </w:pPr>
      <w:bookmarkStart w:id="2" w:name="_heading=h.3znysh7" w:colFirst="0" w:colLast="0"/>
      <w:bookmarkEnd w:id="2"/>
      <w:r>
        <w:rPr>
          <w:rFonts w:ascii="Palatino Linotype" w:eastAsia="Palatino Linotype" w:hAnsi="Palatino Linotype" w:cs="Palatino Linotype"/>
          <w:b/>
        </w:rPr>
        <w:t>I. A N T E C E D E N T E S</w:t>
      </w:r>
    </w:p>
    <w:p w14:paraId="1725FFD4" w14:textId="77777777" w:rsidR="00C56BC1" w:rsidRDefault="00D1079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dieciséis de marzo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solicitud de acceso a la información pública registrada con el número </w:t>
      </w:r>
      <w:r>
        <w:rPr>
          <w:rFonts w:ascii="Palatino Linotype" w:eastAsia="Palatino Linotype" w:hAnsi="Palatino Linotype" w:cs="Palatino Linotype"/>
          <w:b/>
        </w:rPr>
        <w:t xml:space="preserve">00966/OASMETEPEC/IP/2022, </w:t>
      </w:r>
      <w:r>
        <w:rPr>
          <w:rFonts w:ascii="Palatino Linotype" w:eastAsia="Palatino Linotype" w:hAnsi="Palatino Linotype" w:cs="Palatino Linotype"/>
        </w:rPr>
        <w:t xml:space="preserve">mediante la cual requirió la información siguiente: </w:t>
      </w:r>
    </w:p>
    <w:p w14:paraId="27D41BCB" w14:textId="77777777" w:rsidR="00C56BC1" w:rsidRDefault="00D10798">
      <w:pPr>
        <w:spacing w:line="276" w:lineRule="auto"/>
        <w:ind w:left="851" w:right="616"/>
        <w:jc w:val="both"/>
        <w:rPr>
          <w:rFonts w:ascii="Palatino Linotype" w:eastAsia="Palatino Linotype" w:hAnsi="Palatino Linotype" w:cs="Palatino Linotype"/>
          <w:i/>
          <w:sz w:val="22"/>
          <w:szCs w:val="22"/>
        </w:rPr>
      </w:pPr>
      <w:bookmarkStart w:id="3" w:name="_heading=h.gjdgxs" w:colFirst="0" w:colLast="0"/>
      <w:bookmarkEnd w:id="3"/>
      <w:r>
        <w:rPr>
          <w:rFonts w:ascii="Palatino Linotype" w:eastAsia="Palatino Linotype" w:hAnsi="Palatino Linotype" w:cs="Palatino Linotype"/>
          <w:i/>
          <w:sz w:val="22"/>
          <w:szCs w:val="22"/>
        </w:rPr>
        <w:t xml:space="preserve">“Solicito la nómina de pagos en donde aparecen los nombres y apellidos, así como el área de adscripción y conceptos de pagos y deducciones totales hechos a todas las </w:t>
      </w:r>
      <w:r>
        <w:rPr>
          <w:rFonts w:ascii="Palatino Linotype" w:eastAsia="Palatino Linotype" w:hAnsi="Palatino Linotype" w:cs="Palatino Linotype"/>
          <w:i/>
          <w:sz w:val="22"/>
          <w:szCs w:val="22"/>
        </w:rPr>
        <w:lastRenderedPageBreak/>
        <w:t>personas servidoras públicas municipales del OPDAPAS de Metepec, correspondiente a la primera quincena del mes de marzo de 2022.”(Sic)</w:t>
      </w:r>
    </w:p>
    <w:p w14:paraId="0F3B01EE" w14:textId="77777777" w:rsidR="00C56BC1" w:rsidRDefault="00C56BC1">
      <w:pPr>
        <w:spacing w:line="276" w:lineRule="auto"/>
        <w:ind w:left="851" w:right="616"/>
        <w:jc w:val="both"/>
        <w:rPr>
          <w:rFonts w:ascii="Palatino Linotype" w:eastAsia="Palatino Linotype" w:hAnsi="Palatino Linotype" w:cs="Palatino Linotype"/>
          <w:b/>
          <w:i/>
          <w:sz w:val="22"/>
          <w:szCs w:val="22"/>
        </w:rPr>
      </w:pPr>
    </w:p>
    <w:p w14:paraId="65C5D05D" w14:textId="77777777" w:rsidR="00C56BC1" w:rsidRDefault="00D1079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señaló como modalidad de entrega a través del Sistema de Acceso a la Información Mexiquense (SAIMEX).</w:t>
      </w:r>
    </w:p>
    <w:p w14:paraId="70D775DF" w14:textId="77777777" w:rsidR="00C56BC1" w:rsidRDefault="00D10798">
      <w:pPr>
        <w:spacing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 El </w:t>
      </w:r>
      <w:r>
        <w:rPr>
          <w:rFonts w:ascii="Palatino Linotype" w:eastAsia="Palatino Linotype" w:hAnsi="Palatino Linotype" w:cs="Palatino Linotype"/>
          <w:b/>
        </w:rPr>
        <w:t>siete de abril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información en los términos siguientes:</w:t>
      </w:r>
    </w:p>
    <w:p w14:paraId="14D1D00B" w14:textId="77777777" w:rsidR="00C56BC1" w:rsidRDefault="00C56BC1">
      <w:pPr>
        <w:spacing w:line="360" w:lineRule="auto"/>
        <w:ind w:left="851" w:right="616"/>
        <w:jc w:val="both"/>
        <w:rPr>
          <w:rFonts w:ascii="Palatino Linotype" w:eastAsia="Palatino Linotype" w:hAnsi="Palatino Linotype" w:cs="Palatino Linotype"/>
          <w:i/>
          <w:sz w:val="22"/>
          <w:szCs w:val="22"/>
        </w:rPr>
      </w:pPr>
    </w:p>
    <w:p w14:paraId="5026FC5A" w14:textId="77777777" w:rsidR="00C56BC1" w:rsidRDefault="00D10798">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“Se adjunta respuesta” </w:t>
      </w:r>
      <w:r>
        <w:rPr>
          <w:rFonts w:ascii="Palatino Linotype" w:eastAsia="Palatino Linotype" w:hAnsi="Palatino Linotype" w:cs="Palatino Linotype"/>
          <w:b/>
          <w:i/>
          <w:sz w:val="22"/>
          <w:szCs w:val="22"/>
          <w:u w:val="single"/>
        </w:rPr>
        <w:t>(</w:t>
      </w:r>
      <w:r>
        <w:rPr>
          <w:rFonts w:ascii="Palatino Linotype" w:eastAsia="Palatino Linotype" w:hAnsi="Palatino Linotype" w:cs="Palatino Linotype"/>
          <w:i/>
          <w:sz w:val="22"/>
          <w:szCs w:val="22"/>
        </w:rPr>
        <w:t>Sic)</w:t>
      </w:r>
    </w:p>
    <w:p w14:paraId="02ABF80B" w14:textId="77777777" w:rsidR="00C56BC1" w:rsidRDefault="00C56BC1">
      <w:pPr>
        <w:ind w:left="851" w:right="900"/>
        <w:jc w:val="both"/>
        <w:rPr>
          <w:rFonts w:ascii="Palatino Linotype" w:eastAsia="Palatino Linotype" w:hAnsi="Palatino Linotype" w:cs="Palatino Linotype"/>
          <w:i/>
          <w:sz w:val="22"/>
          <w:szCs w:val="22"/>
        </w:rPr>
      </w:pPr>
    </w:p>
    <w:p w14:paraId="1A576E54" w14:textId="77777777" w:rsidR="00C56BC1" w:rsidRDefault="00D10798">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Pronunciamiento al que adjuntó el archivo electrónico identificado como </w:t>
      </w:r>
      <w:r>
        <w:rPr>
          <w:rFonts w:ascii="Palatino Linotype" w:eastAsia="Palatino Linotype" w:hAnsi="Palatino Linotype" w:cs="Palatino Linotype"/>
          <w:b/>
          <w:i/>
        </w:rPr>
        <w:t xml:space="preserve">“respuesta 966.pdf” </w:t>
      </w:r>
      <w:r>
        <w:rPr>
          <w:rFonts w:ascii="Palatino Linotype" w:eastAsia="Palatino Linotype" w:hAnsi="Palatino Linotype" w:cs="Palatino Linotype"/>
        </w:rPr>
        <w:t xml:space="preserve">en el que se observa el oficio número OPDAPAS/UT/585/2022 del 07 de abril de 2022, suscrito por la Titular de la Unidad de Transparencia, por medio del cual remitió la respuesta del Servidor Público Habilitado; asimismo, contiene el memorándum OPDAPAS/DP/159/2022 de fecha 04 de abril de 2022, en el que en su parte sustantiva el Jefe del Departamento de Personal informó que la información se puede consultar el Portal de Información Pública de Oficio (IPOMEX), tal como se advierte en la siguiente imagen. </w:t>
      </w:r>
    </w:p>
    <w:p w14:paraId="27304611" w14:textId="77777777" w:rsidR="00C56BC1" w:rsidRDefault="00D10798">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5033665E" wp14:editId="5EEAF9CA">
            <wp:extent cx="5591957" cy="6449327"/>
            <wp:effectExtent l="12700" t="12700" r="12700" b="12700"/>
            <wp:docPr id="2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591957" cy="6449327"/>
                    </a:xfrm>
                    <a:prstGeom prst="rect">
                      <a:avLst/>
                    </a:prstGeom>
                    <a:ln w="12700">
                      <a:solidFill>
                        <a:srgbClr val="000000"/>
                      </a:solidFill>
                      <a:prstDash val="solid"/>
                    </a:ln>
                  </pic:spPr>
                </pic:pic>
              </a:graphicData>
            </a:graphic>
          </wp:inline>
        </w:drawing>
      </w:r>
    </w:p>
    <w:p w14:paraId="01FCB17A" w14:textId="77777777" w:rsidR="00C56BC1" w:rsidRDefault="00D1079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veintiuno de abril de dos mil veintidós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inconforme con la respuesta, interpuso el recurso de revisión en el que expresó lo siguiente:</w:t>
      </w:r>
    </w:p>
    <w:p w14:paraId="56314ABE" w14:textId="77777777" w:rsidR="00C56BC1" w:rsidRDefault="00D10798">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p>
    <w:p w14:paraId="3C0D486C" w14:textId="77777777" w:rsidR="00C56BC1" w:rsidRDefault="00C56BC1">
      <w:pPr>
        <w:spacing w:line="360" w:lineRule="auto"/>
        <w:ind w:left="851" w:right="900"/>
        <w:jc w:val="both"/>
        <w:rPr>
          <w:rFonts w:ascii="Palatino Linotype" w:eastAsia="Palatino Linotype" w:hAnsi="Palatino Linotype" w:cs="Palatino Linotype"/>
          <w:i/>
          <w:sz w:val="2"/>
          <w:szCs w:val="2"/>
        </w:rPr>
      </w:pPr>
    </w:p>
    <w:p w14:paraId="64A02934" w14:textId="77777777" w:rsidR="00C56BC1" w:rsidRDefault="00D10798">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respuesta imprecisa y vaga que da el sujeto obligado a esta solicitud de información pública. "." (Sic)</w:t>
      </w:r>
    </w:p>
    <w:p w14:paraId="6F59A527" w14:textId="77777777" w:rsidR="00C56BC1" w:rsidRDefault="00C56BC1">
      <w:pPr>
        <w:spacing w:line="360" w:lineRule="auto"/>
        <w:ind w:right="616"/>
        <w:jc w:val="both"/>
        <w:rPr>
          <w:rFonts w:ascii="Palatino Linotype" w:eastAsia="Palatino Linotype" w:hAnsi="Palatino Linotype" w:cs="Palatino Linotype"/>
          <w:b/>
        </w:rPr>
      </w:pPr>
    </w:p>
    <w:p w14:paraId="5D21AD45" w14:textId="77777777" w:rsidR="00C56BC1" w:rsidRDefault="00D10798">
      <w:pPr>
        <w:spacing w:line="360" w:lineRule="auto"/>
        <w:ind w:right="616"/>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Razones o motivos de inconformidad</w:t>
      </w:r>
      <w:r>
        <w:rPr>
          <w:rFonts w:ascii="Palatino Linotype" w:eastAsia="Palatino Linotype" w:hAnsi="Palatino Linotype" w:cs="Palatino Linotype"/>
          <w:b/>
          <w:sz w:val="22"/>
          <w:szCs w:val="22"/>
        </w:rPr>
        <w:t xml:space="preserve">: </w:t>
      </w:r>
    </w:p>
    <w:p w14:paraId="700123AE" w14:textId="77777777" w:rsidR="00C56BC1" w:rsidRDefault="00D10798">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la solicitud de información, se pide "...la nómina de pagos en donde aparecen los nombres y apellidos, así como el área de adscripción y conceptos de pagos y deducciones totales hechos a todas las personas servidoras públicas municipales del OPDAPAS de Metepec, correspondiente a la primera quincena del mes de marzo de 2022". Siendo así la petición, es muy claro el periodo que se pide y el tipo de información que se solicita, pues si bienes cierto que en el documento que se emite como respuesta a la solicitud marca una liga en donde se puede consultar cosas similares, no es la respuesta que se debe otorgar a la petición pues no cumple con lo que el solicitante requiere que es: "la NOMINA DE PAGOS en donde aparecen los nombres y apellidos, así como el área de adscripción y conceptos de PAGOS Y DEDUCCIONES HECHOS a todas las personas servidoras públicas municipales del OPDAPAS de Metepec, CORRESPONDIENTE A LA PRIMERA QUINCENA DEL MES DE MARZO DE 2022". Por lo tanto pido se me entregue VIA SAIMEX la información requerida pues es una obligación del sujeto obligado de entregarla y es un derecho del solicitante, consagrado por la Constitución Federal y demás ordenamientos legales. ” (Sic)</w:t>
      </w:r>
    </w:p>
    <w:p w14:paraId="76C2AE76" w14:textId="77777777" w:rsidR="00C56BC1" w:rsidRDefault="00C56BC1">
      <w:pPr>
        <w:spacing w:line="360" w:lineRule="auto"/>
        <w:jc w:val="both"/>
        <w:rPr>
          <w:rFonts w:ascii="Palatino Linotype" w:eastAsia="Palatino Linotype" w:hAnsi="Palatino Linotype" w:cs="Palatino Linotype"/>
          <w:sz w:val="2"/>
          <w:szCs w:val="2"/>
        </w:rPr>
      </w:pPr>
    </w:p>
    <w:p w14:paraId="25ABE692" w14:textId="77777777" w:rsidR="00C56BC1" w:rsidRDefault="00C56BC1">
      <w:pPr>
        <w:spacing w:line="360" w:lineRule="auto"/>
        <w:jc w:val="both"/>
        <w:rPr>
          <w:rFonts w:ascii="Palatino Linotype" w:eastAsia="Palatino Linotype" w:hAnsi="Palatino Linotype" w:cs="Palatino Linotype"/>
          <w:sz w:val="2"/>
          <w:szCs w:val="2"/>
        </w:rPr>
      </w:pPr>
    </w:p>
    <w:p w14:paraId="4EB932B3" w14:textId="77777777" w:rsidR="00C56BC1" w:rsidRDefault="00D1079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a efecto de que analizara sobre su admisión o su desechamiento.</w:t>
      </w:r>
    </w:p>
    <w:p w14:paraId="31DAD7B1" w14:textId="77777777" w:rsidR="00C56BC1" w:rsidRDefault="00D10798">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El</w:t>
      </w:r>
      <w:r>
        <w:rPr>
          <w:rFonts w:ascii="Palatino Linotype" w:eastAsia="Palatino Linotype" w:hAnsi="Palatino Linotype" w:cs="Palatino Linotype"/>
          <w:b/>
        </w:rPr>
        <w:t xml:space="preserve"> veintiséis de abril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w:t>
      </w:r>
    </w:p>
    <w:p w14:paraId="339172E6" w14:textId="77777777" w:rsidR="00C56BC1" w:rsidRDefault="00D10798">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no rindió informe justificado para manifestar lo que a su derecho asistiera y conviniera, por su parte el </w:t>
      </w:r>
      <w:r>
        <w:rPr>
          <w:rFonts w:ascii="Palatino Linotype" w:eastAsia="Palatino Linotype" w:hAnsi="Palatino Linotype" w:cs="Palatino Linotype"/>
          <w:b/>
        </w:rPr>
        <w:t>RECURRENTE no</w:t>
      </w:r>
      <w:r>
        <w:rPr>
          <w:rFonts w:ascii="Palatino Linotype" w:eastAsia="Palatino Linotype" w:hAnsi="Palatino Linotype" w:cs="Palatino Linotype"/>
        </w:rPr>
        <w:t xml:space="preserve"> realizó manifestaciones, formuló alegatos u ofreció algún medio de prueba, tal como se observa en la imagen que se inserta.</w:t>
      </w:r>
    </w:p>
    <w:p w14:paraId="6DF1B3F9" w14:textId="77777777" w:rsidR="00C56BC1" w:rsidRDefault="00D10798">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777DABD2" wp14:editId="2B3597A5">
            <wp:extent cx="5612130" cy="1997710"/>
            <wp:effectExtent l="0" t="0" r="0" b="0"/>
            <wp:docPr id="2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612130" cy="1997710"/>
                    </a:xfrm>
                    <a:prstGeom prst="rect">
                      <a:avLst/>
                    </a:prstGeom>
                    <a:ln/>
                  </pic:spPr>
                </pic:pic>
              </a:graphicData>
            </a:graphic>
          </wp:inline>
        </w:drawing>
      </w:r>
    </w:p>
    <w:p w14:paraId="6C92502A" w14:textId="77777777" w:rsidR="00C56BC1" w:rsidRDefault="00D10798">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Pr>
          <w:rFonts w:ascii="Palatino Linotype" w:eastAsia="Palatino Linotype" w:hAnsi="Palatino Linotype" w:cs="Palatino Linotype"/>
          <w:b/>
        </w:rPr>
        <w:t>diecisiete de mayo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41A4D13" w14:textId="77777777" w:rsidR="00C56BC1" w:rsidRDefault="00D10798">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Ampliación del plazo para emitir resolución. </w:t>
      </w:r>
      <w:r>
        <w:rPr>
          <w:rFonts w:ascii="Palatino Linotype" w:eastAsia="Palatino Linotype" w:hAnsi="Palatino Linotype" w:cs="Palatino Linotype"/>
        </w:rPr>
        <w:t xml:space="preserve">El </w:t>
      </w:r>
      <w:r>
        <w:rPr>
          <w:rFonts w:ascii="Palatino Linotype" w:eastAsia="Palatino Linotype" w:hAnsi="Palatino Linotype" w:cs="Palatino Linotype"/>
          <w:b/>
        </w:rPr>
        <w:t>ocho de junio de dos mil veintidós</w:t>
      </w:r>
      <w:r>
        <w:rPr>
          <w:rFonts w:ascii="Palatino Linotype" w:eastAsia="Palatino Linotype" w:hAnsi="Palatino Linotype" w:cs="Palatino Linotype"/>
        </w:rPr>
        <w:t>,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w:t>
      </w:r>
    </w:p>
    <w:p w14:paraId="400BA872" w14:textId="77777777" w:rsidR="00C56BC1" w:rsidRDefault="00D10798">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Pr>
          <w:rFonts w:ascii="Palatino Linotype" w:eastAsia="Palatino Linotype" w:hAnsi="Palatino Linotype" w:cs="Palatino Linotype"/>
          <w:b/>
        </w:rPr>
        <w:t xml:space="preserve"> </w:t>
      </w:r>
    </w:p>
    <w:p w14:paraId="1A49EF63" w14:textId="77777777" w:rsidR="00C56BC1" w:rsidRDefault="00D10798">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II. C O N S I D E R A N D O</w:t>
      </w:r>
    </w:p>
    <w:p w14:paraId="217177DE" w14:textId="77777777" w:rsidR="00C56BC1" w:rsidRDefault="00D1079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9103D64" w14:textId="77777777" w:rsidR="00C56BC1" w:rsidRDefault="00D10798">
      <w:pPr>
        <w:spacing w:before="240" w:after="240" w:line="360" w:lineRule="auto"/>
        <w:jc w:val="both"/>
        <w:rPr>
          <w:rFonts w:ascii="Palatino Linotype" w:eastAsia="Palatino Linotype" w:hAnsi="Palatino Linotype" w:cs="Palatino Linotype"/>
        </w:rPr>
      </w:pPr>
      <w:bookmarkStart w:id="4" w:name="_heading=h.1fob9te" w:colFirst="0" w:colLast="0"/>
      <w:bookmarkEnd w:id="4"/>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F0FF295" w14:textId="77777777" w:rsidR="00C56BC1" w:rsidRDefault="00D1079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Pr>
          <w:rFonts w:ascii="Palatino Linotype" w:eastAsia="Palatino Linotype" w:hAnsi="Palatino Linotype" w:cs="Palatino Linotype"/>
        </w:rPr>
        <w:lastRenderedPageBreak/>
        <w:t xml:space="preserve">respondió a la solicitud de información el </w:t>
      </w:r>
      <w:r>
        <w:rPr>
          <w:rFonts w:ascii="Palatino Linotype" w:eastAsia="Palatino Linotype" w:hAnsi="Palatino Linotype" w:cs="Palatino Linotype"/>
          <w:b/>
        </w:rPr>
        <w:t xml:space="preserve">siete de abril de dos mil veintidós, </w:t>
      </w:r>
      <w:r>
        <w:rPr>
          <w:rFonts w:ascii="Palatino Linotype" w:eastAsia="Palatino Linotype" w:hAnsi="Palatino Linotype" w:cs="Palatino Linotype"/>
        </w:rPr>
        <w:t xml:space="preserve">mientras que el recurso de revisión se interpuso el </w:t>
      </w:r>
      <w:r>
        <w:rPr>
          <w:rFonts w:ascii="Palatino Linotype" w:eastAsia="Palatino Linotype" w:hAnsi="Palatino Linotype" w:cs="Palatino Linotype"/>
          <w:b/>
        </w:rPr>
        <w:t>veintiuno de abril de dos mil veintidós</w:t>
      </w:r>
      <w:r>
        <w:rPr>
          <w:rFonts w:ascii="Palatino Linotype" w:eastAsia="Palatino Linotype" w:hAnsi="Palatino Linotype" w:cs="Palatino Linotype"/>
        </w:rPr>
        <w:t>, esto es, al sexto día hábil siguiente de aquel en que tuvo conocimiento de la respuesta; evidenciándose que la interposición del recurso se encuentra dentro de los márgenes temporales previstos en el citado precepto legal.</w:t>
      </w:r>
    </w:p>
    <w:p w14:paraId="41D9FC05" w14:textId="77777777" w:rsidR="00C56BC1" w:rsidRDefault="00D10798">
      <w:pPr>
        <w:shd w:val="clear" w:color="auto" w:fill="FFFFFF"/>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rPr>
        <w:t>Es de suma importancia mencionar que, si bien la</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no proporcionó nombre completo </w:t>
      </w:r>
      <w:r>
        <w:rPr>
          <w:rFonts w:ascii="Palatino Linotype" w:eastAsia="Palatino Linotype" w:hAnsi="Palatino Linotype" w:cs="Palatino Linotype"/>
          <w:color w:val="2222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2A62701" w14:textId="77777777" w:rsidR="00C56BC1" w:rsidRDefault="00D10798">
      <w:pPr>
        <w:shd w:val="clear" w:color="auto" w:fill="FFFFFF"/>
        <w:spacing w:before="120" w:after="120" w:line="276" w:lineRule="auto"/>
        <w:ind w:left="851" w:right="902"/>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b/>
          <w:i/>
          <w:color w:val="222222"/>
          <w:sz w:val="22"/>
          <w:szCs w:val="22"/>
        </w:rPr>
        <w:t>Las solicitudes anónimas</w:t>
      </w:r>
      <w:r>
        <w:rPr>
          <w:rFonts w:ascii="Palatino Linotype" w:eastAsia="Palatino Linotype" w:hAnsi="Palatino Linotype" w:cs="Palatino Linotype"/>
          <w:i/>
          <w:color w:val="222222"/>
          <w:sz w:val="22"/>
          <w:szCs w:val="22"/>
        </w:rPr>
        <w:t>, con nombre incompleto o seudónimo </w:t>
      </w:r>
      <w:r>
        <w:rPr>
          <w:rFonts w:ascii="Palatino Linotype" w:eastAsia="Palatino Linotype" w:hAnsi="Palatino Linotype" w:cs="Palatino Linotype"/>
          <w:b/>
          <w:i/>
          <w:color w:val="222222"/>
          <w:sz w:val="22"/>
          <w:szCs w:val="22"/>
        </w:rPr>
        <w:t>serán procedentes para su trámite por parte del sujeto obligado ante quien se presente</w:t>
      </w:r>
      <w:r>
        <w:rPr>
          <w:rFonts w:ascii="Palatino Linotype" w:eastAsia="Palatino Linotype" w:hAnsi="Palatino Linotype" w:cs="Palatino Linotype"/>
          <w:i/>
          <w:color w:val="222222"/>
          <w:sz w:val="22"/>
          <w:szCs w:val="22"/>
        </w:rPr>
        <w:t>. No podrá requerirse información adicional con motivo del nombre proporcionado por el solicitante."</w:t>
      </w:r>
    </w:p>
    <w:p w14:paraId="1B332D61" w14:textId="77777777" w:rsidR="00C56BC1" w:rsidRDefault="00D10798">
      <w:pPr>
        <w:spacing w:line="360" w:lineRule="auto"/>
        <w:ind w:right="-150"/>
        <w:jc w:val="both"/>
        <w:rPr>
          <w:rFonts w:ascii="Palatino Linotype" w:eastAsia="Palatino Linotype" w:hAnsi="Palatino Linotype" w:cs="Palatino Linotype"/>
          <w:b/>
        </w:rPr>
      </w:pPr>
      <w:r>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fueron presentados mediante el formato visible en el</w:t>
      </w:r>
      <w:r>
        <w:rPr>
          <w:rFonts w:ascii="Palatino Linotype" w:eastAsia="Palatino Linotype" w:hAnsi="Palatino Linotype" w:cs="Palatino Linotype"/>
          <w:b/>
        </w:rPr>
        <w:t xml:space="preserve"> SAIMEX. </w:t>
      </w:r>
    </w:p>
    <w:p w14:paraId="156097D1" w14:textId="77777777" w:rsidR="00C56BC1" w:rsidRDefault="00D1079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Finalmente, se advierte que resulta procedente la interposición del recurso, según lo manifestado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fracción VI del ordenamiento legal citado, que a la letra dice: </w:t>
      </w:r>
    </w:p>
    <w:p w14:paraId="35ACDB88" w14:textId="77777777" w:rsidR="00C56BC1" w:rsidRDefault="00D10798">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36EC97F" w14:textId="77777777" w:rsidR="00C56BC1" w:rsidRDefault="00D10798">
      <w:pPr>
        <w:tabs>
          <w:tab w:val="left" w:pos="7088"/>
        </w:tabs>
        <w:spacing w:before="120" w:after="120"/>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14:paraId="0C34E5DB" w14:textId="77777777" w:rsidR="00C56BC1" w:rsidRDefault="00D10798">
      <w:pPr>
        <w:tabs>
          <w:tab w:val="left" w:pos="7088"/>
        </w:tabs>
        <w:spacing w:before="120" w:after="120"/>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 xml:space="preserve">La entrega de información que no corresponde con lo solicitado; y; </w:t>
      </w:r>
    </w:p>
    <w:p w14:paraId="6462B86E" w14:textId="77777777" w:rsidR="00C56BC1" w:rsidRDefault="00D10798">
      <w:pPr>
        <w:tabs>
          <w:tab w:val="left" w:pos="7088"/>
        </w:tabs>
        <w:spacing w:before="120" w:after="120"/>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14:paraId="3A4A44CE" w14:textId="77777777" w:rsidR="00C56BC1" w:rsidRDefault="00C56BC1">
      <w:pPr>
        <w:tabs>
          <w:tab w:val="left" w:pos="7088"/>
        </w:tabs>
        <w:spacing w:before="120" w:after="120"/>
        <w:ind w:left="993" w:right="616"/>
        <w:jc w:val="both"/>
        <w:rPr>
          <w:rFonts w:ascii="Palatino Linotype" w:eastAsia="Palatino Linotype" w:hAnsi="Palatino Linotype" w:cs="Palatino Linotype"/>
          <w:i/>
          <w:sz w:val="22"/>
          <w:szCs w:val="22"/>
        </w:rPr>
      </w:pPr>
    </w:p>
    <w:p w14:paraId="4E3E5B71" w14:textId="77777777" w:rsidR="00C56BC1" w:rsidRDefault="00D1079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4946D844" w14:textId="77777777" w:rsidR="00C56BC1" w:rsidRDefault="00D1079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Estudio del asunto. </w:t>
      </w:r>
      <w:r>
        <w:rPr>
          <w:rFonts w:ascii="Palatino Linotype" w:eastAsia="Palatino Linotype" w:hAnsi="Palatino Linotype" w:cs="Palatino Linotype"/>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w:t>
      </w:r>
      <w:r>
        <w:rPr>
          <w:rFonts w:ascii="Palatino Linotype" w:eastAsia="Palatino Linotype" w:hAnsi="Palatino Linotype" w:cs="Palatino Linotype"/>
        </w:rPr>
        <w:lastRenderedPageBreak/>
        <w:t>arábigos 1 párrafos primero, segundo y tercero y 6 apartado A fracciones I, II, III, IV, V, VI y VII que a la letra señalan:</w:t>
      </w:r>
    </w:p>
    <w:p w14:paraId="3DE376DB" w14:textId="77777777" w:rsidR="00C56BC1" w:rsidRDefault="00D10798">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5A537457" w14:textId="77777777" w:rsidR="00C56BC1" w:rsidRDefault="00D10798">
      <w:pPr>
        <w:tabs>
          <w:tab w:val="left" w:pos="709"/>
        </w:tabs>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EA32411" w14:textId="77777777" w:rsidR="00C56BC1" w:rsidRDefault="00D10798">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3AB80AE" w14:textId="77777777" w:rsidR="00C56BC1" w:rsidRDefault="00D10798">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574919D" w14:textId="77777777" w:rsidR="00C56BC1" w:rsidRDefault="00D10798">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24031E49" w14:textId="77777777" w:rsidR="00C56BC1" w:rsidRDefault="00D10798">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6AD9FBA" w14:textId="77777777" w:rsidR="00C56BC1" w:rsidRDefault="00D1079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6DD567CD" w14:textId="77777777" w:rsidR="00C56BC1" w:rsidRDefault="00D1079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2EFC1D62" w14:textId="77777777" w:rsidR="00C56BC1" w:rsidRDefault="00D1079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w:t>
      </w:r>
      <w:r>
        <w:rPr>
          <w:rFonts w:ascii="Palatino Linotype" w:eastAsia="Palatino Linotype" w:hAnsi="Palatino Linotype" w:cs="Palatino Linotype"/>
          <w:i/>
          <w:sz w:val="22"/>
          <w:szCs w:val="22"/>
        </w:rPr>
        <w:lastRenderedPageBreak/>
        <w:t>obligados deberán documentar todo acto que derive del ejercicio de sus facultades, competencias o funciones, la ley determinará los supuestos específicos bajo los cuales procederá la declaración de inexistencia de la información.</w:t>
      </w:r>
    </w:p>
    <w:p w14:paraId="19000076" w14:textId="77777777" w:rsidR="00C56BC1" w:rsidRDefault="00D1079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301E69C3" w14:textId="77777777" w:rsidR="00C56BC1" w:rsidRDefault="00D10798">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19CC2ED7" w14:textId="77777777" w:rsidR="00C56BC1" w:rsidRDefault="00D1079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492DAF25" w14:textId="77777777" w:rsidR="00C56BC1" w:rsidRDefault="00D1079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78A4EB64" w14:textId="77777777" w:rsidR="00C56BC1" w:rsidRDefault="00D1079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69E74A12" w14:textId="77777777" w:rsidR="00C56BC1" w:rsidRDefault="00D1079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6911805C" w14:textId="77777777" w:rsidR="00C56BC1" w:rsidRDefault="00C56BC1">
      <w:pPr>
        <w:ind w:left="851" w:right="851"/>
        <w:jc w:val="both"/>
        <w:rPr>
          <w:rFonts w:ascii="Palatino Linotype" w:eastAsia="Palatino Linotype" w:hAnsi="Palatino Linotype" w:cs="Palatino Linotype"/>
          <w:i/>
          <w:sz w:val="22"/>
          <w:szCs w:val="22"/>
        </w:rPr>
      </w:pPr>
    </w:p>
    <w:p w14:paraId="5F7631DF" w14:textId="77777777" w:rsidR="00C56BC1" w:rsidRDefault="00D1079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46419CB" w14:textId="77777777" w:rsidR="00C56BC1" w:rsidRDefault="00D1079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1F3E5C29" w14:textId="77777777" w:rsidR="00C56BC1" w:rsidRDefault="00D1079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6625B73" w14:textId="77777777" w:rsidR="00C56BC1" w:rsidRDefault="00D1079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765B1A59" w14:textId="77777777" w:rsidR="00C56BC1" w:rsidRDefault="00D1079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200EC4CA" w14:textId="77777777" w:rsidR="00C56BC1" w:rsidRDefault="00C56BC1">
      <w:pPr>
        <w:ind w:right="851"/>
        <w:jc w:val="both"/>
        <w:rPr>
          <w:rFonts w:ascii="Palatino Linotype" w:eastAsia="Palatino Linotype" w:hAnsi="Palatino Linotype" w:cs="Palatino Linotype"/>
          <w:i/>
          <w:sz w:val="22"/>
          <w:szCs w:val="22"/>
        </w:rPr>
      </w:pPr>
    </w:p>
    <w:p w14:paraId="71A047FB" w14:textId="77777777" w:rsidR="00C56BC1" w:rsidRDefault="00D10798">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w:t>
      </w:r>
      <w:r>
        <w:rPr>
          <w:rFonts w:ascii="Palatino Linotype" w:eastAsia="Palatino Linotype" w:hAnsi="Palatino Linotype" w:cs="Palatino Linotype"/>
        </w:rPr>
        <w:lastRenderedPageBreak/>
        <w:t>que reciba y ejerza recursos públicos, siendo pública toda la información que posean con las excepciones enmarcadas, para lo cual queda demostrado que el presente sujeto obligado debe cumplir con dichos dispositivos legales.</w:t>
      </w:r>
    </w:p>
    <w:p w14:paraId="2CF656C7" w14:textId="77777777" w:rsidR="00C56BC1" w:rsidRDefault="00D10798">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En primer lugar</w:t>
      </w:r>
      <w:r>
        <w:rPr>
          <w:rFonts w:ascii="Palatino Linotype" w:eastAsia="Palatino Linotype" w:hAnsi="Palatino Linotype" w:cs="Palatino Linotype"/>
        </w:rPr>
        <w:t xml:space="preserve">, 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 xml:space="preserve">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w:t>
      </w:r>
      <w:r>
        <w:rPr>
          <w:rFonts w:ascii="Palatino Linotype" w:eastAsia="Palatino Linotype" w:hAnsi="Palatino Linotype" w:cs="Palatino Linotype"/>
        </w:rPr>
        <w:t>transcribe</w:t>
      </w:r>
      <w:r>
        <w:rPr>
          <w:rFonts w:ascii="Palatino Linotype" w:eastAsia="Palatino Linotype" w:hAnsi="Palatino Linotype" w:cs="Palatino Linotype"/>
          <w:color w:val="000000"/>
        </w:rPr>
        <w:t xml:space="preserve"> para un mejor entendimiento:</w:t>
      </w:r>
    </w:p>
    <w:p w14:paraId="016BEE08" w14:textId="77777777" w:rsidR="00C56BC1" w:rsidRDefault="00D10798">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497654D" w14:textId="77777777" w:rsidR="00C56BC1" w:rsidRDefault="00D10798">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F15FDE2" w14:textId="77777777" w:rsidR="00C56BC1" w:rsidRDefault="00D10798">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14:paraId="69B9B44F" w14:textId="77777777" w:rsidR="00C56BC1" w:rsidRDefault="00C56BC1">
      <w:pPr>
        <w:ind w:left="709" w:right="760"/>
        <w:jc w:val="both"/>
        <w:rPr>
          <w:rFonts w:ascii="Palatino Linotype" w:eastAsia="Palatino Linotype" w:hAnsi="Palatino Linotype" w:cs="Palatino Linotype"/>
          <w:i/>
        </w:rPr>
      </w:pPr>
    </w:p>
    <w:p w14:paraId="14471DC2" w14:textId="77777777" w:rsidR="00C56BC1" w:rsidRDefault="00D1079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074D53E7" w14:textId="77777777" w:rsidR="00C56BC1" w:rsidRDefault="00D10798">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C986FC7" w14:textId="77777777" w:rsidR="00C56BC1" w:rsidRDefault="00D10798">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3F04FB3C" w14:textId="77777777" w:rsidR="00C56BC1" w:rsidRDefault="00C56BC1">
      <w:pPr>
        <w:spacing w:line="360" w:lineRule="auto"/>
        <w:ind w:right="-93"/>
        <w:jc w:val="both"/>
        <w:rPr>
          <w:rFonts w:ascii="Palatino Linotype" w:eastAsia="Palatino Linotype" w:hAnsi="Palatino Linotype" w:cs="Palatino Linotype"/>
          <w:color w:val="000000"/>
        </w:rPr>
      </w:pPr>
    </w:p>
    <w:p w14:paraId="3D2713C0" w14:textId="77777777" w:rsidR="00C56BC1" w:rsidRDefault="00D10798">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xml:space="preserve">, administren o posean en el ejercicio de sus atribuciones; por consiguiente, la información pública se encuentra a disposición de cualquier persona, lo que implica </w:t>
      </w:r>
      <w:r>
        <w:rPr>
          <w:rFonts w:ascii="Palatino Linotype" w:eastAsia="Palatino Linotype" w:hAnsi="Palatino Linotype" w:cs="Palatino Linotype"/>
          <w:color w:val="000000"/>
        </w:rPr>
        <w:lastRenderedPageBreak/>
        <w:t>que es deber de los Sujetos Obligados, garantizar el Derecho de Acceso a la Información Pública, lo que no sucedió en el presente caso.</w:t>
      </w:r>
    </w:p>
    <w:p w14:paraId="1F2D7642" w14:textId="77777777" w:rsidR="00C56BC1" w:rsidRDefault="00C56BC1">
      <w:pPr>
        <w:spacing w:line="360" w:lineRule="auto"/>
        <w:jc w:val="both"/>
        <w:rPr>
          <w:rFonts w:ascii="Palatino Linotype" w:eastAsia="Palatino Linotype" w:hAnsi="Palatino Linotype" w:cs="Palatino Linotype"/>
          <w:color w:val="000000"/>
        </w:rPr>
      </w:pPr>
    </w:p>
    <w:p w14:paraId="2E1E7CB9" w14:textId="77777777" w:rsidR="00C56BC1" w:rsidRDefault="00D10798">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2A38844" w14:textId="77777777" w:rsidR="00C56BC1" w:rsidRDefault="00C56BC1">
      <w:pPr>
        <w:spacing w:line="360" w:lineRule="auto"/>
        <w:ind w:right="49"/>
        <w:jc w:val="both"/>
        <w:rPr>
          <w:rFonts w:ascii="Palatino Linotype" w:eastAsia="Palatino Linotype" w:hAnsi="Palatino Linotype" w:cs="Palatino Linotype"/>
        </w:rPr>
      </w:pPr>
    </w:p>
    <w:p w14:paraId="36AF8859" w14:textId="77777777" w:rsidR="00C56BC1" w:rsidRDefault="00D1079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conviene mencionar que la Ley de Transparencia vigente en el Estado de México refiere: </w:t>
      </w:r>
    </w:p>
    <w:p w14:paraId="070E8A8A" w14:textId="77777777" w:rsidR="00C56BC1" w:rsidRDefault="00C56BC1">
      <w:pPr>
        <w:spacing w:line="360" w:lineRule="auto"/>
        <w:jc w:val="both"/>
        <w:rPr>
          <w:rFonts w:ascii="Palatino Linotype" w:eastAsia="Palatino Linotype" w:hAnsi="Palatino Linotype" w:cs="Palatino Linotype"/>
        </w:rPr>
      </w:pPr>
    </w:p>
    <w:p w14:paraId="53E57931" w14:textId="77777777" w:rsidR="00C56BC1" w:rsidRDefault="00D1079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sz w:val="22"/>
          <w:szCs w:val="22"/>
        </w:rPr>
        <w:t xml:space="preserve"> y reutilización de la información que generen.</w:t>
      </w:r>
    </w:p>
    <w:p w14:paraId="25673B52" w14:textId="77777777" w:rsidR="00C56BC1" w:rsidRDefault="00C56BC1">
      <w:pPr>
        <w:ind w:left="851" w:right="851"/>
        <w:jc w:val="both"/>
        <w:rPr>
          <w:rFonts w:ascii="Palatino Linotype" w:eastAsia="Palatino Linotype" w:hAnsi="Palatino Linotype" w:cs="Palatino Linotype"/>
          <w:b/>
          <w:i/>
          <w:sz w:val="22"/>
          <w:szCs w:val="22"/>
        </w:rPr>
      </w:pPr>
    </w:p>
    <w:p w14:paraId="045B8F8F" w14:textId="77777777" w:rsidR="00C56BC1" w:rsidRDefault="00D1079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 </w:t>
      </w:r>
      <w:r>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sz w:val="22"/>
          <w:szCs w:val="22"/>
        </w:rPr>
        <w:t>.</w:t>
      </w:r>
    </w:p>
    <w:p w14:paraId="479F2176" w14:textId="77777777" w:rsidR="00C56BC1" w:rsidRDefault="00C56BC1">
      <w:pPr>
        <w:ind w:left="851" w:right="851"/>
        <w:jc w:val="both"/>
        <w:rPr>
          <w:rFonts w:ascii="Palatino Linotype" w:eastAsia="Palatino Linotype" w:hAnsi="Palatino Linotype" w:cs="Palatino Linotype"/>
          <w:i/>
          <w:sz w:val="22"/>
          <w:szCs w:val="22"/>
        </w:rPr>
      </w:pPr>
    </w:p>
    <w:p w14:paraId="3ED394C4" w14:textId="77777777" w:rsidR="00C56BC1" w:rsidRDefault="00D1079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55FF086E" w14:textId="77777777" w:rsidR="00C56BC1" w:rsidRDefault="00C56BC1">
      <w:pPr>
        <w:ind w:left="851" w:right="851"/>
        <w:jc w:val="both"/>
        <w:rPr>
          <w:rFonts w:ascii="Palatino Linotype" w:eastAsia="Palatino Linotype" w:hAnsi="Palatino Linotype" w:cs="Palatino Linotype"/>
          <w:i/>
          <w:sz w:val="22"/>
          <w:szCs w:val="22"/>
        </w:rPr>
      </w:pPr>
    </w:p>
    <w:p w14:paraId="33F34D03" w14:textId="77777777" w:rsidR="00C56BC1" w:rsidRDefault="00D1079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7DE38E5" w14:textId="77777777" w:rsidR="00C56BC1" w:rsidRDefault="00C56BC1">
      <w:pPr>
        <w:ind w:left="851" w:right="851"/>
        <w:jc w:val="both"/>
        <w:rPr>
          <w:rFonts w:ascii="Palatino Linotype" w:eastAsia="Palatino Linotype" w:hAnsi="Palatino Linotype" w:cs="Palatino Linotype"/>
          <w:i/>
          <w:sz w:val="22"/>
          <w:szCs w:val="22"/>
        </w:rPr>
      </w:pPr>
    </w:p>
    <w:p w14:paraId="433963A3" w14:textId="77777777" w:rsidR="00C56BC1" w:rsidRDefault="00D1079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0BB031C5" w14:textId="77777777" w:rsidR="00C56BC1" w:rsidRDefault="00C56BC1">
      <w:pPr>
        <w:spacing w:line="360" w:lineRule="auto"/>
        <w:jc w:val="both"/>
        <w:rPr>
          <w:rFonts w:ascii="Palatino Linotype" w:eastAsia="Palatino Linotype" w:hAnsi="Palatino Linotype" w:cs="Palatino Linotype"/>
        </w:rPr>
      </w:pPr>
    </w:p>
    <w:p w14:paraId="017205F9" w14:textId="77777777" w:rsidR="00C56BC1" w:rsidRDefault="00D1079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0E5BC5CD" w14:textId="77777777" w:rsidR="00C56BC1" w:rsidRDefault="00C56BC1">
      <w:pPr>
        <w:spacing w:line="360" w:lineRule="auto"/>
        <w:jc w:val="both"/>
        <w:rPr>
          <w:rFonts w:ascii="Palatino Linotype" w:eastAsia="Palatino Linotype" w:hAnsi="Palatino Linotype" w:cs="Palatino Linotype"/>
        </w:rPr>
      </w:pPr>
    </w:p>
    <w:p w14:paraId="71C0009E" w14:textId="77777777" w:rsidR="00C56BC1" w:rsidRDefault="00D1079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w:t>
      </w:r>
      <w:r>
        <w:rPr>
          <w:rFonts w:ascii="Palatino Linotype" w:eastAsia="Palatino Linotype" w:hAnsi="Palatino Linotype" w:cs="Palatino Linotype"/>
        </w:rPr>
        <w:lastRenderedPageBreak/>
        <w:t xml:space="preserve">podrán estar en cualquier medio, sea escrito, impreso, sonoro, visual, electrónico, informático u holográfico de conformidad con el artículo 3, fracción XI de la Ley de la materia, el cual señala lo siguiente: </w:t>
      </w:r>
    </w:p>
    <w:p w14:paraId="6DE4AD1C" w14:textId="77777777" w:rsidR="00C56BC1" w:rsidRDefault="00C56BC1">
      <w:pPr>
        <w:ind w:left="851" w:right="899"/>
        <w:jc w:val="both"/>
        <w:rPr>
          <w:rFonts w:ascii="Palatino Linotype" w:eastAsia="Palatino Linotype" w:hAnsi="Palatino Linotype" w:cs="Palatino Linotype"/>
          <w:i/>
          <w:sz w:val="22"/>
          <w:szCs w:val="22"/>
        </w:rPr>
      </w:pPr>
    </w:p>
    <w:p w14:paraId="78D20F91" w14:textId="77777777" w:rsidR="00C56BC1" w:rsidRDefault="00D10798">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2DAC2C62" w14:textId="77777777" w:rsidR="00C56BC1" w:rsidRDefault="00D10798">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12F6512" w14:textId="77777777" w:rsidR="00C56BC1" w:rsidRDefault="00D10798">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2454997" w14:textId="77777777" w:rsidR="00C56BC1" w:rsidRDefault="00C56BC1">
      <w:pPr>
        <w:ind w:left="851" w:right="899"/>
        <w:jc w:val="both"/>
        <w:rPr>
          <w:rFonts w:ascii="Palatino Linotype" w:eastAsia="Palatino Linotype" w:hAnsi="Palatino Linotype" w:cs="Palatino Linotype"/>
          <w:sz w:val="22"/>
          <w:szCs w:val="22"/>
        </w:rPr>
      </w:pPr>
    </w:p>
    <w:p w14:paraId="47250ED4" w14:textId="77777777" w:rsidR="00C56BC1" w:rsidRDefault="00D1079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3B6C736" w14:textId="77777777" w:rsidR="00C56BC1" w:rsidRDefault="00C56BC1">
      <w:pPr>
        <w:ind w:left="851" w:right="899"/>
        <w:jc w:val="both"/>
        <w:rPr>
          <w:rFonts w:ascii="Palatino Linotype" w:eastAsia="Palatino Linotype" w:hAnsi="Palatino Linotype" w:cs="Palatino Linotype"/>
        </w:rPr>
      </w:pPr>
    </w:p>
    <w:p w14:paraId="4605478C" w14:textId="77777777" w:rsidR="00C56BC1" w:rsidRDefault="00D10798">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5396931C" w14:textId="77777777" w:rsidR="00C56BC1" w:rsidRDefault="00D10798">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2967D6D" w14:textId="77777777" w:rsidR="00C56BC1" w:rsidRDefault="00D10798">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14:paraId="725699C8" w14:textId="77777777" w:rsidR="00C56BC1" w:rsidRDefault="00D10798">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F569007" w14:textId="77777777" w:rsidR="00C56BC1" w:rsidRDefault="00D10798">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36E05ED8" w14:textId="77777777" w:rsidR="00C56BC1" w:rsidRDefault="00D10798">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58A35983" w14:textId="77777777" w:rsidR="00C56BC1" w:rsidRDefault="00D1079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xml:space="preserve">, como pudiera tratarse de </w:t>
      </w:r>
      <w:r>
        <w:rPr>
          <w:rFonts w:ascii="Palatino Linotype" w:eastAsia="Palatino Linotype" w:hAnsi="Palatino Linotype" w:cs="Palatino Linotype"/>
        </w:rPr>
        <w:lastRenderedPageBreak/>
        <w:t>aquella relacionada con las obligaciones de transparencia señaladas en los artículos 92 y 100 de la Ley de la Materia.</w:t>
      </w:r>
    </w:p>
    <w:p w14:paraId="0DADD6A7" w14:textId="77777777" w:rsidR="00C56BC1" w:rsidRDefault="00D1079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ese contexto, es conveniente reiterar que el entonces solicitante requirió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la nómina de pagos del personal adscrito al Organismo Público Descentralizado para la Prestación de Los Servicios de Agua Potable Alcantarillado y Saneamiento del Municipio de Metepec (OPDAPAS), correspondiente a la primera quincena del mes de marzo de dos mil veintidós, en la que se observe área de adscripción, conceptos de pago y deducciones totales. </w:t>
      </w:r>
    </w:p>
    <w:p w14:paraId="611072E6" w14:textId="77777777" w:rsidR="00C56BC1" w:rsidRDefault="00D1079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En su respuesta, el Jefe del Departamento de Personal</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hizo del conocimiento del solicitante el sitio electrónico </w:t>
      </w:r>
      <w:hyperlink r:id="rId10">
        <w:r>
          <w:rPr>
            <w:rFonts w:ascii="Palatino Linotype" w:eastAsia="Palatino Linotype" w:hAnsi="Palatino Linotype" w:cs="Palatino Linotype"/>
            <w:color w:val="0000FF"/>
            <w:u w:val="single"/>
          </w:rPr>
          <w:t>https://www.ipomex.org.mx/ipo3/lgt/indice/OASMETEPEC.web</w:t>
        </w:r>
      </w:hyperlink>
      <w:r>
        <w:rPr>
          <w:rFonts w:ascii="Palatino Linotype" w:eastAsia="Palatino Linotype" w:hAnsi="Palatino Linotype" w:cs="Palatino Linotype"/>
        </w:rPr>
        <w:t xml:space="preserve">; fracción VIII A, en el que podría consultar la información requerida. </w:t>
      </w:r>
    </w:p>
    <w:p w14:paraId="4F14BE2A" w14:textId="77777777" w:rsidR="00C56BC1" w:rsidRDefault="00D1079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que el entonces solicitante conoció la respuesta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interpuso el recurso de revisión de mérito, en el que argumentó como razones o motivos de inconformidad que si bien en la liga proporcionada se pueden consultar cosas similares; sin embargo, no es la información solicitada.</w:t>
      </w:r>
    </w:p>
    <w:p w14:paraId="69D03E93" w14:textId="77777777" w:rsidR="00C56BC1" w:rsidRDefault="00D1079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este contexto, para garantizar el ejercicio del derecho de acceso a la información pública, la Ley de Transparencia de la Entidad establece que los procedimientos para atender y satisfacer ese derecho, deben ser sencillos, expeditos, oportunos y </w:t>
      </w:r>
      <w:r>
        <w:rPr>
          <w:rFonts w:ascii="Palatino Linotype" w:eastAsia="Palatino Linotype" w:hAnsi="Palatino Linotype" w:cs="Palatino Linotype"/>
        </w:rPr>
        <w:lastRenderedPageBreak/>
        <w:t xml:space="preserve">gratuitos; y en este sentido,  en los casos en que la información ya que encuentre disponible en medios electrónicos en internet,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está facultado para informar al solicitante sobre la fuente, el lugar y la forma de acceso a la información solicitada; pronunciamiento que debe realizarse dentro de los cinco días hábiles posteriores a la presentación de la solicitud; tal como lo dispone el artículo 161 de la Ley de Transparencia y Acceso a la Información Pública del Estado de México y Municipios, que es del contenido literal siguiente. </w:t>
      </w:r>
    </w:p>
    <w:p w14:paraId="74FD8E20" w14:textId="77777777" w:rsidR="00C56BC1" w:rsidRDefault="00C56BC1">
      <w:pPr>
        <w:spacing w:line="360" w:lineRule="auto"/>
        <w:jc w:val="both"/>
        <w:rPr>
          <w:rFonts w:ascii="Palatino Linotype" w:eastAsia="Palatino Linotype" w:hAnsi="Palatino Linotype" w:cs="Palatino Linotype"/>
        </w:rPr>
      </w:pPr>
    </w:p>
    <w:p w14:paraId="3E426413" w14:textId="77777777" w:rsidR="00C56BC1" w:rsidRDefault="00D10798">
      <w:pPr>
        <w:widowControl w:val="0"/>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“Artículo 161.</w:t>
      </w:r>
      <w:r>
        <w:rPr>
          <w:rFonts w:ascii="Palatino Linotype" w:eastAsia="Palatino Linotype" w:hAnsi="Palatino Linotype" w:cs="Palatino Linotype"/>
          <w:i/>
        </w:rPr>
        <w:t xml:space="preserve"> Cuando la información requerida por el solicitante ya esté disponible al público en medios impresos, tales como libros, compendios, trípticos, registros públicos, </w:t>
      </w:r>
      <w:r>
        <w:rPr>
          <w:rFonts w:ascii="Palatino Linotype" w:eastAsia="Palatino Linotype" w:hAnsi="Palatino Linotype" w:cs="Palatino Linotype"/>
          <w:b/>
          <w:i/>
        </w:rPr>
        <w:t>en formatos electrónicos disponibles en Internet o</w:t>
      </w:r>
      <w:r>
        <w:rPr>
          <w:rFonts w:ascii="Palatino Linotype" w:eastAsia="Palatino Linotype" w:hAnsi="Palatino Linotype" w:cs="Palatino Linotype"/>
          <w:i/>
        </w:rPr>
        <w:t xml:space="preserve"> en cualquier otro medio, </w:t>
      </w:r>
      <w:r>
        <w:rPr>
          <w:rFonts w:ascii="Palatino Linotype" w:eastAsia="Palatino Linotype" w:hAnsi="Palatino Linotype" w:cs="Palatino Linotype"/>
          <w:b/>
          <w:i/>
        </w:rPr>
        <w:t>se le hará saber por el medio requerido por el solicitante</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fuente, el lugar y la forma en</w:t>
      </w:r>
      <w:r>
        <w:rPr>
          <w:rFonts w:ascii="Palatino Linotype" w:eastAsia="Palatino Linotype" w:hAnsi="Palatino Linotype" w:cs="Palatino Linotype"/>
          <w:i/>
        </w:rPr>
        <w:t xml:space="preserve"> que puede consultar, reproducir o adquirir dicha información en un</w:t>
      </w:r>
      <w:r>
        <w:rPr>
          <w:rFonts w:ascii="Palatino Linotype" w:eastAsia="Palatino Linotype" w:hAnsi="Palatino Linotype" w:cs="Palatino Linotype"/>
          <w:b/>
          <w:i/>
        </w:rPr>
        <w:t xml:space="preserve"> </w:t>
      </w:r>
      <w:r>
        <w:rPr>
          <w:rFonts w:ascii="Palatino Linotype" w:eastAsia="Palatino Linotype" w:hAnsi="Palatino Linotype" w:cs="Palatino Linotype"/>
          <w:i/>
        </w:rPr>
        <w:t xml:space="preserve">plazo no mayor a cinco días hábiles. </w:t>
      </w:r>
      <w:r>
        <w:rPr>
          <w:rFonts w:ascii="Palatino Linotype" w:eastAsia="Palatino Linotype" w:hAnsi="Palatino Linotype" w:cs="Palatino Linotype"/>
          <w:b/>
          <w:i/>
        </w:rPr>
        <w:t>La fuente deberá ser precisa y concreta y no debe implicar que el solicitante realice una búsqueda en toda la información</w:t>
      </w:r>
      <w:r>
        <w:rPr>
          <w:rFonts w:ascii="Palatino Linotype" w:eastAsia="Palatino Linotype" w:hAnsi="Palatino Linotype" w:cs="Palatino Linotype"/>
          <w:i/>
        </w:rPr>
        <w:t xml:space="preserve"> que se encuentre disponible”</w:t>
      </w:r>
      <w:r>
        <w:rPr>
          <w:rFonts w:ascii="Palatino Linotype" w:eastAsia="Palatino Linotype" w:hAnsi="Palatino Linotype" w:cs="Palatino Linotype"/>
        </w:rPr>
        <w:t>.</w:t>
      </w:r>
    </w:p>
    <w:p w14:paraId="14060FE3" w14:textId="77777777" w:rsidR="00C56BC1" w:rsidRDefault="00C56BC1">
      <w:pPr>
        <w:jc w:val="both"/>
        <w:rPr>
          <w:rFonts w:ascii="Palatino Linotype" w:eastAsia="Palatino Linotype" w:hAnsi="Palatino Linotype" w:cs="Palatino Linotype"/>
        </w:rPr>
      </w:pPr>
    </w:p>
    <w:p w14:paraId="479C28EB" w14:textId="77777777" w:rsidR="00C56BC1" w:rsidRDefault="00D1079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en el asunto que nos ocupa analizar, la liga electrónica </w:t>
      </w:r>
      <w:hyperlink r:id="rId11">
        <w:r>
          <w:rPr>
            <w:rFonts w:ascii="Palatino Linotype" w:eastAsia="Palatino Linotype" w:hAnsi="Palatino Linotype" w:cs="Palatino Linotype"/>
            <w:color w:val="0000FF"/>
            <w:u w:val="single"/>
          </w:rPr>
          <w:t>https://www.ipomex.org.mx/ipo3/lgt/indice/OASMETEPEC.web</w:t>
        </w:r>
      </w:hyperlink>
      <w:r>
        <w:rPr>
          <w:rFonts w:ascii="Palatino Linotype" w:eastAsia="Palatino Linotype" w:hAnsi="Palatino Linotype" w:cs="Palatino Linotype"/>
        </w:rPr>
        <w:t xml:space="preserve"> proporcionada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dirige a la página que se muestra en la siguiente imagen. </w:t>
      </w:r>
    </w:p>
    <w:p w14:paraId="4CDA94B7" w14:textId="77777777" w:rsidR="00C56BC1" w:rsidRDefault="00D1079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42074E43" wp14:editId="2D523875">
            <wp:extent cx="5612130" cy="6257925"/>
            <wp:effectExtent l="9525" t="9525" r="9525" b="9525"/>
            <wp:docPr id="2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612130" cy="6257925"/>
                    </a:xfrm>
                    <a:prstGeom prst="rect">
                      <a:avLst/>
                    </a:prstGeom>
                    <a:ln w="9525">
                      <a:solidFill>
                        <a:srgbClr val="000000"/>
                      </a:solidFill>
                      <a:prstDash val="solid"/>
                    </a:ln>
                  </pic:spPr>
                </pic:pic>
              </a:graphicData>
            </a:graphic>
          </wp:inline>
        </w:drawing>
      </w:r>
      <w:r>
        <w:rPr>
          <w:noProof/>
          <w:lang w:val="es-MX"/>
        </w:rPr>
        <mc:AlternateContent>
          <mc:Choice Requires="wpg">
            <w:drawing>
              <wp:anchor distT="0" distB="0" distL="114300" distR="114300" simplePos="0" relativeHeight="251658240" behindDoc="0" locked="0" layoutInCell="1" hidden="0" allowOverlap="1" wp14:anchorId="464CAB5B" wp14:editId="0656AD82">
                <wp:simplePos x="0" y="0"/>
                <wp:positionH relativeFrom="column">
                  <wp:posOffset>2705100</wp:posOffset>
                </wp:positionH>
                <wp:positionV relativeFrom="paragraph">
                  <wp:posOffset>5346700</wp:posOffset>
                </wp:positionV>
                <wp:extent cx="1066800" cy="523875"/>
                <wp:effectExtent l="0" t="0" r="0" b="0"/>
                <wp:wrapNone/>
                <wp:docPr id="262" name="Rectángulo 262"/>
                <wp:cNvGraphicFramePr/>
                <a:graphic xmlns:a="http://schemas.openxmlformats.org/drawingml/2006/main">
                  <a:graphicData uri="http://schemas.microsoft.com/office/word/2010/wordprocessingShape">
                    <wps:wsp>
                      <wps:cNvSpPr/>
                      <wps:spPr>
                        <a:xfrm>
                          <a:off x="4817363" y="3522825"/>
                          <a:ext cx="1057275" cy="514350"/>
                        </a:xfrm>
                        <a:prstGeom prst="rect">
                          <a:avLst/>
                        </a:prstGeom>
                        <a:noFill/>
                        <a:ln w="9525" cap="flat" cmpd="sng">
                          <a:solidFill>
                            <a:srgbClr val="FF0000"/>
                          </a:solidFill>
                          <a:prstDash val="solid"/>
                          <a:round/>
                          <a:headEnd type="none" w="sm" len="sm"/>
                          <a:tailEnd type="none" w="sm" len="sm"/>
                        </a:ln>
                      </wps:spPr>
                      <wps:txbx>
                        <w:txbxContent>
                          <w:p w14:paraId="65C7C086" w14:textId="77777777" w:rsidR="00C56BC1" w:rsidRDefault="00C56BC1">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2705100</wp:posOffset>
                </wp:positionH>
                <wp:positionV relativeFrom="paragraph">
                  <wp:posOffset>5346700</wp:posOffset>
                </wp:positionV>
                <wp:extent cx="1066800" cy="523875"/>
                <wp:effectExtent b="0" l="0" r="0" t="0"/>
                <wp:wrapNone/>
                <wp:docPr id="262"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1066800" cy="523875"/>
                        </a:xfrm>
                        <a:prstGeom prst="rect"/>
                        <a:ln/>
                      </pic:spPr>
                    </pic:pic>
                  </a:graphicData>
                </a:graphic>
              </wp:anchor>
            </w:drawing>
          </mc:Fallback>
        </mc:AlternateContent>
      </w:r>
    </w:p>
    <w:p w14:paraId="7888060C" w14:textId="77777777" w:rsidR="00C56BC1" w:rsidRDefault="00D1079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así que, atendiendo las indicaciones referidas en la respuesta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advierte que si bien es cierto, que la información que puede consultarse en la fracción VIII A se refiere a la remuneraciones del personal adscrito al OPDAPAS, no corresponde a la información requerida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ya que de conformidad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los cuales son de observancia obligatoria para los Sujetos Obligados del país en sus diferentes ámbitos (federal, estatal y municipal) y en los que se establecen los formatos que se usarán para publicar la información con la finalidad de asegurar que la misma sea veraz, confiable, oportuna, congruente, integral, actualizada, accesible, comprensible y verificable. </w:t>
      </w:r>
    </w:p>
    <w:p w14:paraId="155CE4D6" w14:textId="77777777" w:rsidR="00C56BC1" w:rsidRDefault="00D1079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contexto, en la fracción VIII relacionada con la remuneración de los servidores públicos, se deben registrar los siguientes datos: </w:t>
      </w:r>
    </w:p>
    <w:p w14:paraId="27C39D91" w14:textId="77777777" w:rsidR="00C56BC1" w:rsidRDefault="00D1079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464B19D6" wp14:editId="4A2AF6C4">
            <wp:extent cx="5612130" cy="7228205"/>
            <wp:effectExtent l="12700" t="12700" r="12700" b="12700"/>
            <wp:docPr id="27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612130" cy="7228205"/>
                    </a:xfrm>
                    <a:prstGeom prst="rect">
                      <a:avLst/>
                    </a:prstGeom>
                    <a:ln w="12700">
                      <a:solidFill>
                        <a:srgbClr val="000000"/>
                      </a:solidFill>
                      <a:prstDash val="solid"/>
                    </a:ln>
                  </pic:spPr>
                </pic:pic>
              </a:graphicData>
            </a:graphic>
          </wp:inline>
        </w:drawing>
      </w:r>
      <w:r>
        <w:rPr>
          <w:noProof/>
          <w:lang w:val="es-MX"/>
        </w:rPr>
        <mc:AlternateContent>
          <mc:Choice Requires="wpg">
            <w:drawing>
              <wp:anchor distT="0" distB="0" distL="114300" distR="114300" simplePos="0" relativeHeight="251659264" behindDoc="0" locked="0" layoutInCell="1" hidden="0" allowOverlap="1" wp14:anchorId="6D4996BD" wp14:editId="3B28D330">
                <wp:simplePos x="0" y="0"/>
                <wp:positionH relativeFrom="column">
                  <wp:posOffset>495300</wp:posOffset>
                </wp:positionH>
                <wp:positionV relativeFrom="paragraph">
                  <wp:posOffset>4330700</wp:posOffset>
                </wp:positionV>
                <wp:extent cx="1885950" cy="400050"/>
                <wp:effectExtent l="0" t="0" r="0" b="0"/>
                <wp:wrapNone/>
                <wp:docPr id="264" name="Rectángulo 264"/>
                <wp:cNvGraphicFramePr/>
                <a:graphic xmlns:a="http://schemas.openxmlformats.org/drawingml/2006/main">
                  <a:graphicData uri="http://schemas.microsoft.com/office/word/2010/wordprocessingShape">
                    <wps:wsp>
                      <wps:cNvSpPr/>
                      <wps:spPr>
                        <a:xfrm>
                          <a:off x="4417313" y="3594263"/>
                          <a:ext cx="1857375" cy="371475"/>
                        </a:xfrm>
                        <a:prstGeom prst="rect">
                          <a:avLst/>
                        </a:prstGeom>
                        <a:noFill/>
                        <a:ln w="28575" cap="flat" cmpd="sng">
                          <a:solidFill>
                            <a:srgbClr val="FF0000"/>
                          </a:solidFill>
                          <a:prstDash val="solid"/>
                          <a:round/>
                          <a:headEnd type="none" w="sm" len="sm"/>
                          <a:tailEnd type="none" w="sm" len="sm"/>
                        </a:ln>
                      </wps:spPr>
                      <wps:txbx>
                        <w:txbxContent>
                          <w:p w14:paraId="7D8224A8" w14:textId="77777777" w:rsidR="00C56BC1" w:rsidRDefault="00C56BC1">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495300</wp:posOffset>
                </wp:positionH>
                <wp:positionV relativeFrom="paragraph">
                  <wp:posOffset>4330700</wp:posOffset>
                </wp:positionV>
                <wp:extent cx="1885950" cy="400050"/>
                <wp:effectExtent b="0" l="0" r="0" t="0"/>
                <wp:wrapNone/>
                <wp:docPr id="264" name="image15.png"/>
                <a:graphic>
                  <a:graphicData uri="http://schemas.openxmlformats.org/drawingml/2006/picture">
                    <pic:pic>
                      <pic:nvPicPr>
                        <pic:cNvPr id="0" name="image15.png"/>
                        <pic:cNvPicPr preferRelativeResize="0"/>
                      </pic:nvPicPr>
                      <pic:blipFill>
                        <a:blip r:embed="rId15"/>
                        <a:srcRect/>
                        <a:stretch>
                          <a:fillRect/>
                        </a:stretch>
                      </pic:blipFill>
                      <pic:spPr>
                        <a:xfrm>
                          <a:off x="0" y="0"/>
                          <a:ext cx="1885950" cy="400050"/>
                        </a:xfrm>
                        <a:prstGeom prst="rect"/>
                        <a:ln/>
                      </pic:spPr>
                    </pic:pic>
                  </a:graphicData>
                </a:graphic>
              </wp:anchor>
            </w:drawing>
          </mc:Fallback>
        </mc:AlternateContent>
      </w:r>
    </w:p>
    <w:p w14:paraId="16808384" w14:textId="77777777" w:rsidR="00C56BC1" w:rsidRDefault="00D1079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283A9C19" wp14:editId="6B8345BE">
            <wp:extent cx="5600700" cy="2487930"/>
            <wp:effectExtent l="0" t="0" r="0" b="0"/>
            <wp:docPr id="27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r="2410"/>
                    <a:stretch>
                      <a:fillRect/>
                    </a:stretch>
                  </pic:blipFill>
                  <pic:spPr>
                    <a:xfrm>
                      <a:off x="0" y="0"/>
                      <a:ext cx="5600700" cy="2487930"/>
                    </a:xfrm>
                    <a:prstGeom prst="rect">
                      <a:avLst/>
                    </a:prstGeom>
                    <a:ln/>
                  </pic:spPr>
                </pic:pic>
              </a:graphicData>
            </a:graphic>
          </wp:inline>
        </w:drawing>
      </w:r>
    </w:p>
    <w:p w14:paraId="5B422F80" w14:textId="77777777" w:rsidR="00C56BC1" w:rsidRDefault="00D1079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entendido de las imágenes insertas se advierte que si bien de los registros en el Portal de Información Pública de Oficio se puede obtener el nombre, área de adscripción y el monto de la remuneración mensual bruta y neta, también lo es que tales registros se actualizan de manera trimestral, aunado a que en los mismos no se puede advertir el desglose de las percepciones y deducciones correspondientes a una quincena determinada y por lo tanto no se puede obtener el total neto pagado a  los servidores públicos en la primer quincena de marzo de dos mil veintidós. </w:t>
      </w:r>
    </w:p>
    <w:p w14:paraId="15252575" w14:textId="77777777" w:rsidR="00C56BC1" w:rsidRDefault="00D10798">
      <w:pPr>
        <w:tabs>
          <w:tab w:val="right" w:pos="8505"/>
        </w:tabs>
        <w:spacing w:after="240" w:line="360" w:lineRule="auto"/>
        <w:jc w:val="both"/>
      </w:pPr>
      <w:r>
        <w:rPr>
          <w:rFonts w:ascii="Palatino Linotype" w:eastAsia="Palatino Linotype" w:hAnsi="Palatino Linotype" w:cs="Palatino Linotype"/>
        </w:rPr>
        <w:t xml:space="preserve">Bajo este tenor, es menester señalar que la Ley de Fiscalización Superior del Estado de México, toda vez que señala que los municipios que conforman el Estado de México, entre ellos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t xml:space="preserve"> </w:t>
      </w:r>
      <w:r>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14:paraId="4D1AB8D1" w14:textId="77777777" w:rsidR="00C56BC1" w:rsidRDefault="00D10798">
      <w:pPr>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“Artículo 4. </w:t>
      </w:r>
      <w:r>
        <w:rPr>
          <w:rFonts w:ascii="Palatino Linotype" w:eastAsia="Palatino Linotype" w:hAnsi="Palatino Linotype" w:cs="Palatino Linotype"/>
          <w:i/>
          <w:sz w:val="22"/>
          <w:szCs w:val="22"/>
        </w:rPr>
        <w:t>Son sujetos de fiscalización:</w:t>
      </w:r>
    </w:p>
    <w:p w14:paraId="1531166D" w14:textId="77777777" w:rsidR="00C56BC1" w:rsidRDefault="00D10798">
      <w:pPr>
        <w:ind w:left="851" w:right="851"/>
        <w:jc w:val="both"/>
        <w:rPr>
          <w:i/>
          <w:sz w:val="22"/>
          <w:szCs w:val="22"/>
        </w:rPr>
      </w:pPr>
      <w:r>
        <w:rPr>
          <w:rFonts w:ascii="Palatino Linotype" w:eastAsia="Palatino Linotype" w:hAnsi="Palatino Linotype" w:cs="Palatino Linotype"/>
          <w:i/>
          <w:sz w:val="22"/>
          <w:szCs w:val="22"/>
        </w:rPr>
        <w:t>…</w:t>
      </w:r>
    </w:p>
    <w:p w14:paraId="173607AD" w14:textId="77777777" w:rsidR="00C56BC1" w:rsidRDefault="00D10798">
      <w:pPr>
        <w:numPr>
          <w:ilvl w:val="0"/>
          <w:numId w:val="1"/>
        </w:numPr>
        <w:spacing w:before="240" w:after="160"/>
        <w:ind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municipios del Estado de México…” (Sic)</w:t>
      </w:r>
    </w:p>
    <w:p w14:paraId="0ED1348B" w14:textId="77777777" w:rsidR="00C56BC1" w:rsidRDefault="00C56BC1">
      <w:pPr>
        <w:spacing w:before="240"/>
        <w:ind w:left="851" w:right="851"/>
        <w:jc w:val="both"/>
        <w:rPr>
          <w:b/>
          <w:sz w:val="22"/>
          <w:szCs w:val="22"/>
        </w:rPr>
      </w:pPr>
    </w:p>
    <w:p w14:paraId="0AD970EC" w14:textId="77777777" w:rsidR="00C56BC1" w:rsidRDefault="00D10798">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2022, como así se advierte a continuación:</w:t>
      </w:r>
    </w:p>
    <w:p w14:paraId="52CDB898" w14:textId="77777777" w:rsidR="00C56BC1" w:rsidRDefault="00C56BC1">
      <w:pPr>
        <w:spacing w:line="360" w:lineRule="auto"/>
        <w:ind w:right="49"/>
        <w:jc w:val="both"/>
        <w:rPr>
          <w:rFonts w:ascii="Palatino Linotype" w:eastAsia="Palatino Linotype" w:hAnsi="Palatino Linotype" w:cs="Palatino Linotype"/>
        </w:rPr>
      </w:pPr>
    </w:p>
    <w:p w14:paraId="392F752A" w14:textId="77777777" w:rsidR="00C56BC1" w:rsidRDefault="00D10798">
      <w:pPr>
        <w:ind w:left="851" w:right="851"/>
        <w:jc w:val="both"/>
        <w:rPr>
          <w:i/>
          <w:sz w:val="22"/>
          <w:szCs w:val="22"/>
        </w:rPr>
      </w:pPr>
      <w:r>
        <w:rPr>
          <w:rFonts w:ascii="Palatino Linotype" w:eastAsia="Palatino Linotype" w:hAnsi="Palatino Linotype" w:cs="Palatino Linotype"/>
          <w:b/>
          <w:i/>
          <w:sz w:val="22"/>
          <w:szCs w:val="22"/>
        </w:rPr>
        <w:t xml:space="preserve">“Artículo 8. </w:t>
      </w:r>
      <w:r>
        <w:rPr>
          <w:rFonts w:ascii="Palatino Linotype" w:eastAsia="Palatino Linotype" w:hAnsi="Palatino Linotype" w:cs="Palatino Linotype"/>
          <w:i/>
          <w:sz w:val="22"/>
          <w:szCs w:val="22"/>
        </w:rPr>
        <w:t>El Órgano Superior tendrá las siguientes atribuciones:</w:t>
      </w:r>
    </w:p>
    <w:p w14:paraId="6CAE8CD8" w14:textId="77777777" w:rsidR="00C56BC1" w:rsidRDefault="00D1079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F5E2A55" w14:textId="77777777" w:rsidR="00C56BC1" w:rsidRDefault="00D10798">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XI. Establecer los lineamientos</w:t>
      </w:r>
      <w:r>
        <w:rPr>
          <w:rFonts w:ascii="Palatino Linotype" w:eastAsia="Palatino Linotype" w:hAnsi="Palatino Linotype" w:cs="Palatino Linotype"/>
          <w:i/>
          <w:sz w:val="22"/>
          <w:szCs w:val="22"/>
        </w:rPr>
        <w:t xml:space="preserve">, criterios, procedimientos, métodos y sistemas </w:t>
      </w:r>
      <w:r>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 (</w:t>
      </w:r>
      <w:r>
        <w:rPr>
          <w:rFonts w:ascii="Palatino Linotype" w:eastAsia="Palatino Linotype" w:hAnsi="Palatino Linotype" w:cs="Palatino Linotype"/>
          <w:i/>
          <w:sz w:val="22"/>
          <w:szCs w:val="22"/>
        </w:rPr>
        <w:t>Sic)</w:t>
      </w:r>
    </w:p>
    <w:p w14:paraId="5A8B066C" w14:textId="77777777" w:rsidR="00C56BC1" w:rsidRDefault="00C56BC1">
      <w:pPr>
        <w:ind w:left="851" w:right="851"/>
        <w:jc w:val="both"/>
        <w:rPr>
          <w:rFonts w:ascii="Palatino Linotype" w:eastAsia="Palatino Linotype" w:hAnsi="Palatino Linotype" w:cs="Palatino Linotype"/>
          <w:b/>
          <w:i/>
        </w:rPr>
      </w:pPr>
    </w:p>
    <w:p w14:paraId="22824DB4" w14:textId="77777777" w:rsidR="00C56BC1" w:rsidRDefault="00C56BC1">
      <w:pPr>
        <w:ind w:left="851" w:right="851"/>
        <w:jc w:val="both"/>
        <w:rPr>
          <w:rFonts w:ascii="Palatino Linotype" w:eastAsia="Palatino Linotype" w:hAnsi="Palatino Linotype" w:cs="Palatino Linotype"/>
          <w:b/>
          <w:i/>
        </w:rPr>
      </w:pPr>
    </w:p>
    <w:p w14:paraId="7BEBBE84" w14:textId="77777777" w:rsidR="00C56BC1" w:rsidRDefault="00D1079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Dentro de los cuales ubicamos en su módulo cuatro la información de la nómina, como se advierte en las siguientes imágenes sustraídas de dichas políticas:</w:t>
      </w:r>
    </w:p>
    <w:p w14:paraId="1DF8BCC6" w14:textId="77777777" w:rsidR="00C56BC1" w:rsidRDefault="00D10798">
      <w:pPr>
        <w:spacing w:line="360" w:lineRule="auto"/>
        <w:jc w:val="both"/>
      </w:pPr>
      <w:r>
        <w:rPr>
          <w:noProof/>
          <w:lang w:val="es-MX"/>
        </w:rPr>
        <w:lastRenderedPageBreak/>
        <w:drawing>
          <wp:inline distT="0" distB="0" distL="0" distR="0" wp14:anchorId="261781FC" wp14:editId="6EE2730A">
            <wp:extent cx="5433102" cy="5930313"/>
            <wp:effectExtent l="9525" t="9525" r="9525" b="9525"/>
            <wp:docPr id="27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l="35982" t="17911" r="21361" b="2999"/>
                    <a:stretch>
                      <a:fillRect/>
                    </a:stretch>
                  </pic:blipFill>
                  <pic:spPr>
                    <a:xfrm>
                      <a:off x="0" y="0"/>
                      <a:ext cx="5433102" cy="5930313"/>
                    </a:xfrm>
                    <a:prstGeom prst="rect">
                      <a:avLst/>
                    </a:prstGeom>
                    <a:ln w="9525">
                      <a:solidFill>
                        <a:srgbClr val="000000"/>
                      </a:solidFill>
                      <a:prstDash val="solid"/>
                    </a:ln>
                  </pic:spPr>
                </pic:pic>
              </a:graphicData>
            </a:graphic>
          </wp:inline>
        </w:drawing>
      </w:r>
    </w:p>
    <w:p w14:paraId="6A6EC448" w14:textId="77777777" w:rsidR="00C56BC1" w:rsidRDefault="00D10798">
      <w:pPr>
        <w:spacing w:line="360" w:lineRule="auto"/>
        <w:jc w:val="both"/>
      </w:pPr>
      <w:r>
        <w:rPr>
          <w:noProof/>
          <w:lang w:val="es-MX"/>
        </w:rPr>
        <w:lastRenderedPageBreak/>
        <w:drawing>
          <wp:inline distT="0" distB="0" distL="0" distR="0" wp14:anchorId="00644651" wp14:editId="21EA3252">
            <wp:extent cx="5527688" cy="3462490"/>
            <wp:effectExtent l="9525" t="9525" r="9525" b="9525"/>
            <wp:docPr id="27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l="32361" t="20325" r="3937" b="4205"/>
                    <a:stretch>
                      <a:fillRect/>
                    </a:stretch>
                  </pic:blipFill>
                  <pic:spPr>
                    <a:xfrm>
                      <a:off x="0" y="0"/>
                      <a:ext cx="5527688" cy="3462490"/>
                    </a:xfrm>
                    <a:prstGeom prst="rect">
                      <a:avLst/>
                    </a:prstGeom>
                    <a:ln w="9525">
                      <a:solidFill>
                        <a:srgbClr val="000000"/>
                      </a:solidFill>
                      <a:prstDash val="solid"/>
                    </a:ln>
                  </pic:spPr>
                </pic:pic>
              </a:graphicData>
            </a:graphic>
          </wp:inline>
        </w:drawing>
      </w:r>
    </w:p>
    <w:p w14:paraId="366CDB85" w14:textId="77777777" w:rsidR="00C56BC1" w:rsidRDefault="00D10798">
      <w:pPr>
        <w:spacing w:line="360" w:lineRule="auto"/>
        <w:jc w:val="both"/>
      </w:pPr>
      <w:r>
        <w:rPr>
          <w:noProof/>
          <w:lang w:val="es-MX"/>
        </w:rPr>
        <w:lastRenderedPageBreak/>
        <w:drawing>
          <wp:inline distT="0" distB="0" distL="0" distR="0" wp14:anchorId="309943AA" wp14:editId="02C5AAC0">
            <wp:extent cx="5441950" cy="3568700"/>
            <wp:effectExtent l="12700" t="12700" r="12700" b="12700"/>
            <wp:docPr id="27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l="23986" t="26966" r="3143" b="13258"/>
                    <a:stretch>
                      <a:fillRect/>
                    </a:stretch>
                  </pic:blipFill>
                  <pic:spPr>
                    <a:xfrm>
                      <a:off x="0" y="0"/>
                      <a:ext cx="5441950" cy="3568700"/>
                    </a:xfrm>
                    <a:prstGeom prst="rect">
                      <a:avLst/>
                    </a:prstGeom>
                    <a:ln w="12700">
                      <a:solidFill>
                        <a:srgbClr val="000000"/>
                      </a:solidFill>
                      <a:prstDash val="solid"/>
                    </a:ln>
                  </pic:spPr>
                </pic:pic>
              </a:graphicData>
            </a:graphic>
          </wp:inline>
        </w:drawing>
      </w:r>
      <w:r>
        <w:rPr>
          <w:noProof/>
          <w:lang w:val="es-MX"/>
        </w:rPr>
        <mc:AlternateContent>
          <mc:Choice Requires="wpg">
            <w:drawing>
              <wp:anchor distT="0" distB="0" distL="114300" distR="114300" simplePos="0" relativeHeight="251660288" behindDoc="0" locked="0" layoutInCell="1" hidden="0" allowOverlap="1" wp14:anchorId="743440FE" wp14:editId="13AE47CA">
                <wp:simplePos x="0" y="0"/>
                <wp:positionH relativeFrom="column">
                  <wp:posOffset>-63499</wp:posOffset>
                </wp:positionH>
                <wp:positionV relativeFrom="paragraph">
                  <wp:posOffset>1600200</wp:posOffset>
                </wp:positionV>
                <wp:extent cx="2581275" cy="552450"/>
                <wp:effectExtent l="0" t="0" r="0" b="0"/>
                <wp:wrapNone/>
                <wp:docPr id="263" name="Rectángulo 263"/>
                <wp:cNvGraphicFramePr/>
                <a:graphic xmlns:a="http://schemas.openxmlformats.org/drawingml/2006/main">
                  <a:graphicData uri="http://schemas.microsoft.com/office/word/2010/wordprocessingShape">
                    <wps:wsp>
                      <wps:cNvSpPr/>
                      <wps:spPr>
                        <a:xfrm>
                          <a:off x="4064888" y="3513300"/>
                          <a:ext cx="2562225" cy="533400"/>
                        </a:xfrm>
                        <a:prstGeom prst="rect">
                          <a:avLst/>
                        </a:prstGeom>
                        <a:noFill/>
                        <a:ln w="19050" cap="flat" cmpd="sng">
                          <a:solidFill>
                            <a:srgbClr val="FF0000"/>
                          </a:solidFill>
                          <a:prstDash val="solid"/>
                          <a:miter lim="800000"/>
                          <a:headEnd type="none" w="sm" len="sm"/>
                          <a:tailEnd type="none" w="sm" len="sm"/>
                        </a:ln>
                      </wps:spPr>
                      <wps:txbx>
                        <w:txbxContent>
                          <w:p w14:paraId="1C0E8772" w14:textId="77777777" w:rsidR="00C56BC1" w:rsidRDefault="00C56BC1">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-63499</wp:posOffset>
                </wp:positionH>
                <wp:positionV relativeFrom="paragraph">
                  <wp:posOffset>1600200</wp:posOffset>
                </wp:positionV>
                <wp:extent cx="2581275" cy="552450"/>
                <wp:effectExtent b="0" l="0" r="0" t="0"/>
                <wp:wrapNone/>
                <wp:docPr id="263" name="image6.png"/>
                <a:graphic>
                  <a:graphicData uri="http://schemas.openxmlformats.org/drawingml/2006/picture">
                    <pic:pic>
                      <pic:nvPicPr>
                        <pic:cNvPr id="0" name="image6.png"/>
                        <pic:cNvPicPr preferRelativeResize="0"/>
                      </pic:nvPicPr>
                      <pic:blipFill>
                        <a:blip r:embed="rId20"/>
                        <a:srcRect/>
                        <a:stretch>
                          <a:fillRect/>
                        </a:stretch>
                      </pic:blipFill>
                      <pic:spPr>
                        <a:xfrm>
                          <a:off x="0" y="0"/>
                          <a:ext cx="2581275" cy="552450"/>
                        </a:xfrm>
                        <a:prstGeom prst="rect"/>
                        <a:ln/>
                      </pic:spPr>
                    </pic:pic>
                  </a:graphicData>
                </a:graphic>
              </wp:anchor>
            </w:drawing>
          </mc:Fallback>
        </mc:AlternateContent>
      </w:r>
    </w:p>
    <w:p w14:paraId="092E3D3C" w14:textId="77777777" w:rsidR="00C56BC1" w:rsidRDefault="00C56BC1">
      <w:pPr>
        <w:spacing w:line="360" w:lineRule="auto"/>
        <w:jc w:val="both"/>
      </w:pPr>
    </w:p>
    <w:p w14:paraId="4DEFD7F3" w14:textId="77777777" w:rsidR="00C56BC1" w:rsidRDefault="00D10798">
      <w:pPr>
        <w:spacing w:line="360" w:lineRule="auto"/>
        <w:jc w:val="both"/>
      </w:pPr>
      <w:r>
        <w:rPr>
          <w:noProof/>
          <w:lang w:val="es-MX"/>
        </w:rPr>
        <w:drawing>
          <wp:inline distT="0" distB="0" distL="0" distR="0" wp14:anchorId="2004D000" wp14:editId="73AC4BA4">
            <wp:extent cx="5441950" cy="2295525"/>
            <wp:effectExtent l="19050" t="19050" r="19050" b="19050"/>
            <wp:docPr id="27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5441950" cy="2295525"/>
                    </a:xfrm>
                    <a:prstGeom prst="rect">
                      <a:avLst/>
                    </a:prstGeom>
                    <a:ln w="19050">
                      <a:solidFill>
                        <a:srgbClr val="000000"/>
                      </a:solidFill>
                      <a:prstDash val="solid"/>
                    </a:ln>
                  </pic:spPr>
                </pic:pic>
              </a:graphicData>
            </a:graphic>
          </wp:inline>
        </w:drawing>
      </w:r>
    </w:p>
    <w:p w14:paraId="053C651D" w14:textId="77777777" w:rsidR="00C56BC1" w:rsidRDefault="00C56BC1">
      <w:pPr>
        <w:spacing w:line="360" w:lineRule="auto"/>
        <w:jc w:val="both"/>
      </w:pPr>
    </w:p>
    <w:p w14:paraId="78FFC939" w14:textId="77777777" w:rsidR="00C56BC1" w:rsidRDefault="00D10798">
      <w:pPr>
        <w:spacing w:line="360" w:lineRule="auto"/>
        <w:jc w:val="both"/>
      </w:pPr>
      <w:r>
        <w:rPr>
          <w:noProof/>
          <w:lang w:val="es-MX"/>
        </w:rPr>
        <w:lastRenderedPageBreak/>
        <w:drawing>
          <wp:inline distT="0" distB="0" distL="0" distR="0" wp14:anchorId="33DEC2E6" wp14:editId="03E7AFD3">
            <wp:extent cx="5612130" cy="5153025"/>
            <wp:effectExtent l="12700" t="12700" r="12700" b="12700"/>
            <wp:docPr id="27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612130" cy="5153025"/>
                    </a:xfrm>
                    <a:prstGeom prst="rect">
                      <a:avLst/>
                    </a:prstGeom>
                    <a:ln w="12700">
                      <a:solidFill>
                        <a:srgbClr val="000000"/>
                      </a:solidFill>
                      <a:prstDash val="solid"/>
                    </a:ln>
                  </pic:spPr>
                </pic:pic>
              </a:graphicData>
            </a:graphic>
          </wp:inline>
        </w:drawing>
      </w:r>
    </w:p>
    <w:p w14:paraId="07D778AF" w14:textId="77777777" w:rsidR="00C56BC1" w:rsidRDefault="00D1079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6A50E2F4" wp14:editId="3C1F9869">
            <wp:extent cx="5658643" cy="6649382"/>
            <wp:effectExtent l="12700" t="12700" r="12700" b="12700"/>
            <wp:docPr id="27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5658643" cy="6649382"/>
                    </a:xfrm>
                    <a:prstGeom prst="rect">
                      <a:avLst/>
                    </a:prstGeom>
                    <a:ln w="12700">
                      <a:solidFill>
                        <a:srgbClr val="000000"/>
                      </a:solidFill>
                      <a:prstDash val="solid"/>
                    </a:ln>
                  </pic:spPr>
                </pic:pic>
              </a:graphicData>
            </a:graphic>
          </wp:inline>
        </w:drawing>
      </w:r>
      <w:r>
        <w:rPr>
          <w:noProof/>
          <w:lang w:val="es-MX"/>
        </w:rPr>
        <mc:AlternateContent>
          <mc:Choice Requires="wpg">
            <w:drawing>
              <wp:anchor distT="0" distB="0" distL="114300" distR="114300" simplePos="0" relativeHeight="251661312" behindDoc="0" locked="0" layoutInCell="1" hidden="0" allowOverlap="1" wp14:anchorId="2326D1F5" wp14:editId="2351675E">
                <wp:simplePos x="0" y="0"/>
                <wp:positionH relativeFrom="column">
                  <wp:posOffset>101601</wp:posOffset>
                </wp:positionH>
                <wp:positionV relativeFrom="paragraph">
                  <wp:posOffset>2540000</wp:posOffset>
                </wp:positionV>
                <wp:extent cx="5486400" cy="2466975"/>
                <wp:effectExtent l="0" t="0" r="0" b="0"/>
                <wp:wrapNone/>
                <wp:docPr id="265" name="Rectángulo 265"/>
                <wp:cNvGraphicFramePr/>
                <a:graphic xmlns:a="http://schemas.openxmlformats.org/drawingml/2006/main">
                  <a:graphicData uri="http://schemas.microsoft.com/office/word/2010/wordprocessingShape">
                    <wps:wsp>
                      <wps:cNvSpPr/>
                      <wps:spPr>
                        <a:xfrm>
                          <a:off x="2612325" y="2556038"/>
                          <a:ext cx="5467350" cy="2447925"/>
                        </a:xfrm>
                        <a:prstGeom prst="rect">
                          <a:avLst/>
                        </a:prstGeom>
                        <a:noFill/>
                        <a:ln w="19050" cap="flat" cmpd="sng">
                          <a:solidFill>
                            <a:srgbClr val="FF0000"/>
                          </a:solidFill>
                          <a:prstDash val="solid"/>
                          <a:round/>
                          <a:headEnd type="none" w="sm" len="sm"/>
                          <a:tailEnd type="none" w="sm" len="sm"/>
                        </a:ln>
                      </wps:spPr>
                      <wps:txbx>
                        <w:txbxContent>
                          <w:p w14:paraId="5DB7A17C" w14:textId="77777777" w:rsidR="00C56BC1" w:rsidRDefault="00C56BC1">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101601</wp:posOffset>
                </wp:positionH>
                <wp:positionV relativeFrom="paragraph">
                  <wp:posOffset>2540000</wp:posOffset>
                </wp:positionV>
                <wp:extent cx="5486400" cy="2466975"/>
                <wp:effectExtent b="0" l="0" r="0" t="0"/>
                <wp:wrapNone/>
                <wp:docPr id="265" name="image16.png"/>
                <a:graphic>
                  <a:graphicData uri="http://schemas.openxmlformats.org/drawingml/2006/picture">
                    <pic:pic>
                      <pic:nvPicPr>
                        <pic:cNvPr id="0" name="image16.png"/>
                        <pic:cNvPicPr preferRelativeResize="0"/>
                      </pic:nvPicPr>
                      <pic:blipFill>
                        <a:blip r:embed="rId24"/>
                        <a:srcRect/>
                        <a:stretch>
                          <a:fillRect/>
                        </a:stretch>
                      </pic:blipFill>
                      <pic:spPr>
                        <a:xfrm>
                          <a:off x="0" y="0"/>
                          <a:ext cx="5486400" cy="2466975"/>
                        </a:xfrm>
                        <a:prstGeom prst="rect"/>
                        <a:ln/>
                      </pic:spPr>
                    </pic:pic>
                  </a:graphicData>
                </a:graphic>
              </wp:anchor>
            </w:drawing>
          </mc:Fallback>
        </mc:AlternateContent>
      </w:r>
    </w:p>
    <w:p w14:paraId="703D977B" w14:textId="77777777" w:rsidR="00C56BC1" w:rsidRDefault="00D1079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observancia a las imágenes anteriores, se acredita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la conciliación de nómina correspondiente a la primera quincena del mes de marzo de dos mil veintidós y en los que se puede advertir el nombre de los servidores públicos, área de adscripción, desglose de percepciones, deducciones; así como, el total bruto y neto percibido. </w:t>
      </w:r>
    </w:p>
    <w:p w14:paraId="05E93596" w14:textId="77777777" w:rsidR="00C56BC1" w:rsidRDefault="00C56BC1">
      <w:pPr>
        <w:spacing w:line="360" w:lineRule="auto"/>
        <w:jc w:val="both"/>
        <w:rPr>
          <w:rFonts w:ascii="Palatino Linotype" w:eastAsia="Palatino Linotype" w:hAnsi="Palatino Linotype" w:cs="Palatino Linotype"/>
        </w:rPr>
      </w:pPr>
    </w:p>
    <w:p w14:paraId="5EB95E2F" w14:textId="77777777" w:rsidR="00C56BC1" w:rsidRDefault="00D1079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entendido, una vez que se ha precisado que el requerimiento del particular no se colma con los registros publicados en la fracción VIII A del Portal de Información Pública de Oficio (IPOMEX), el Pleno de este Instituto determina dable ordenar la entrega de la nómina correspondiente la primera quincena del mes de marzo de dos mil veintidós del personal adscrito al Organismo Público Descentralizado para la Prestación de Los Servicios de Agua Potable Alcantarillado y Saneamiento del Municipio de Metepec; documento que deberá entregar en versión pública, en términos del considerando siguiente. </w:t>
      </w:r>
    </w:p>
    <w:p w14:paraId="085F0EBD" w14:textId="77777777" w:rsidR="00C56BC1" w:rsidRDefault="00C56BC1">
      <w:pPr>
        <w:spacing w:line="360" w:lineRule="auto"/>
        <w:jc w:val="both"/>
        <w:rPr>
          <w:rFonts w:ascii="Palatino Linotype" w:eastAsia="Palatino Linotype" w:hAnsi="Palatino Linotype" w:cs="Palatino Linotype"/>
          <w:b/>
        </w:rPr>
      </w:pPr>
    </w:p>
    <w:p w14:paraId="41C51E16" w14:textId="77777777" w:rsidR="00C56BC1" w:rsidRDefault="00D1079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Cómo fue debidamente apuntado, el Sujeto Obligado debe satisfacer la solicitud de acceso a la información; sin embargo, en caso de que la misma contenga  datos personales, deberá clasificarlos, observando las formalidades siguientes:</w:t>
      </w:r>
    </w:p>
    <w:p w14:paraId="421FF906" w14:textId="77777777" w:rsidR="00C56BC1" w:rsidRDefault="00D10798">
      <w:pPr>
        <w:shd w:val="clear" w:color="auto" w:fill="FFFFFF"/>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5FA13C83" w14:textId="77777777" w:rsidR="00C56BC1" w:rsidRDefault="00D10798">
      <w:pPr>
        <w:shd w:val="clear" w:color="auto" w:fill="FFFFFF"/>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479B458E" w14:textId="77777777" w:rsidR="00C56BC1" w:rsidRDefault="00D10798">
      <w:pPr>
        <w:shd w:val="clear" w:color="auto" w:fill="FFFFFF"/>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Al respecto, los artículos 3 fracciones IX, XX, XXI, XXXII y XLV; 6, 49 fracción VIII, 91, 137, 143 Fracción I, de la Ley de Transparencia y Acceso a la Información Pública del Estado de México y Municipios vigente establecen:</w:t>
      </w:r>
    </w:p>
    <w:p w14:paraId="2AC83BDE" w14:textId="77777777" w:rsidR="00C56BC1" w:rsidRDefault="00D10798">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“Artículo 3. Para los efectos de la presente Ley se entenderá por:</w:t>
      </w:r>
    </w:p>
    <w:p w14:paraId="5EAD80F9" w14:textId="77777777" w:rsidR="00C56BC1" w:rsidRDefault="00D10798">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p>
    <w:p w14:paraId="4139BBAE" w14:textId="77777777" w:rsidR="00C56BC1" w:rsidRDefault="00D10798">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5EE1D947" w14:textId="77777777" w:rsidR="00C56BC1" w:rsidRDefault="00D10798">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959552F" w14:textId="77777777" w:rsidR="00C56BC1" w:rsidRDefault="00D10798">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14:paraId="13259E21" w14:textId="77777777" w:rsidR="00C56BC1" w:rsidRDefault="00D10798">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530185B" w14:textId="77777777" w:rsidR="00C56BC1" w:rsidRDefault="00D10798">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1230FA9" w14:textId="77777777" w:rsidR="00C56BC1" w:rsidRDefault="00D10798">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XXXII. Protección de Datos Personales:</w:t>
      </w:r>
      <w:r>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791C8D80" w14:textId="77777777" w:rsidR="00C56BC1" w:rsidRDefault="00D10798">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76D4FCD" w14:textId="77777777" w:rsidR="00C56BC1" w:rsidRDefault="00D10798">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179B3F52" w14:textId="77777777" w:rsidR="00C56BC1" w:rsidRDefault="00D10798">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Artículo 6.</w:t>
      </w:r>
      <w:r>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9D8EA15" w14:textId="77777777" w:rsidR="00C56BC1" w:rsidRDefault="00D10798">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Los Comités de Transparencia tendrán las siguientes atribuciones:</w:t>
      </w:r>
    </w:p>
    <w:p w14:paraId="5198F16F" w14:textId="77777777" w:rsidR="00C56BC1" w:rsidRDefault="00D10798">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37305F0" w14:textId="77777777" w:rsidR="00C56BC1" w:rsidRDefault="00D10798">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Aprobar, modificar o revocar la clasificación de la información;</w:t>
      </w:r>
    </w:p>
    <w:p w14:paraId="1EB7C77E" w14:textId="77777777" w:rsidR="00C56BC1" w:rsidRDefault="00D10798">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B6CF7A1" w14:textId="77777777" w:rsidR="00C56BC1" w:rsidRDefault="00D10798">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6E64A092" w14:textId="77777777" w:rsidR="00C56BC1" w:rsidRDefault="00D10798">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570ED03" w14:textId="77777777" w:rsidR="00C56BC1" w:rsidRDefault="00D10798">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8415C2F" w14:textId="77777777" w:rsidR="00C56BC1" w:rsidRDefault="00C56BC1">
      <w:pPr>
        <w:shd w:val="clear" w:color="auto" w:fill="FFFFFF"/>
        <w:ind w:left="851" w:right="851"/>
        <w:jc w:val="both"/>
        <w:rPr>
          <w:rFonts w:ascii="Palatino Linotype" w:eastAsia="Palatino Linotype" w:hAnsi="Palatino Linotype" w:cs="Palatino Linotype"/>
          <w:b/>
          <w:i/>
          <w:sz w:val="22"/>
          <w:szCs w:val="22"/>
        </w:rPr>
      </w:pPr>
    </w:p>
    <w:p w14:paraId="7E7A7DF1" w14:textId="77777777" w:rsidR="00C56BC1" w:rsidRDefault="00D10798">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C3E84F5" w14:textId="77777777" w:rsidR="00C56BC1" w:rsidRDefault="00D10798">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457F6EF7" w14:textId="77777777" w:rsidR="00C56BC1" w:rsidRDefault="00C56BC1">
      <w:pPr>
        <w:shd w:val="clear" w:color="auto" w:fill="FFFFFF"/>
        <w:ind w:left="851" w:right="851"/>
        <w:jc w:val="both"/>
        <w:rPr>
          <w:rFonts w:ascii="Palatino Linotype" w:eastAsia="Palatino Linotype" w:hAnsi="Palatino Linotype" w:cs="Palatino Linotype"/>
          <w:sz w:val="22"/>
          <w:szCs w:val="22"/>
        </w:rPr>
      </w:pPr>
    </w:p>
    <w:p w14:paraId="44D0C9E7" w14:textId="77777777" w:rsidR="00C56BC1" w:rsidRDefault="00D10798">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w:t>
      </w:r>
      <w:r>
        <w:rPr>
          <w:rFonts w:ascii="Palatino Linotype" w:eastAsia="Palatino Linotype" w:hAnsi="Palatino Linotype" w:cs="Palatino Linotype"/>
        </w:rPr>
        <w:lastRenderedPageBreak/>
        <w:t>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18DE8A66" w14:textId="77777777" w:rsidR="00C56BC1" w:rsidRDefault="00D10798">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C70189D" w14:textId="77777777" w:rsidR="00C56BC1" w:rsidRDefault="00D10798">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w:t>
      </w:r>
      <w:r>
        <w:rPr>
          <w:rFonts w:ascii="Palatino Linotype" w:eastAsia="Palatino Linotype" w:hAnsi="Palatino Linotype" w:cs="Palatino Linotype"/>
        </w:rPr>
        <w:lastRenderedPageBreak/>
        <w:t>términos de lo que disponen los artículos 49 fracción VIII, 53, fracción X y 59, fracción V, de la Ley en consulta, cuyo sentido literal es el siguiente:</w:t>
      </w:r>
    </w:p>
    <w:p w14:paraId="636D034B" w14:textId="77777777" w:rsidR="00C56BC1" w:rsidRDefault="00D1079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14:paraId="6824404A" w14:textId="77777777" w:rsidR="00C56BC1" w:rsidRDefault="00C56BC1">
      <w:pPr>
        <w:ind w:left="851" w:right="851"/>
        <w:jc w:val="both"/>
        <w:rPr>
          <w:rFonts w:ascii="Palatino Linotype" w:eastAsia="Palatino Linotype" w:hAnsi="Palatino Linotype" w:cs="Palatino Linotype"/>
          <w:i/>
          <w:sz w:val="22"/>
          <w:szCs w:val="22"/>
        </w:rPr>
      </w:pPr>
    </w:p>
    <w:p w14:paraId="51C3543D" w14:textId="77777777" w:rsidR="00C56BC1" w:rsidRDefault="00D1079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14:paraId="4D837D94" w14:textId="77777777" w:rsidR="00C56BC1" w:rsidRDefault="00C56BC1">
      <w:pPr>
        <w:ind w:left="851" w:right="851"/>
        <w:jc w:val="both"/>
        <w:rPr>
          <w:rFonts w:ascii="Palatino Linotype" w:eastAsia="Palatino Linotype" w:hAnsi="Palatino Linotype" w:cs="Palatino Linotype"/>
          <w:b/>
          <w:i/>
          <w:sz w:val="22"/>
          <w:szCs w:val="22"/>
        </w:rPr>
      </w:pPr>
    </w:p>
    <w:p w14:paraId="4875734D" w14:textId="77777777" w:rsidR="00C56BC1" w:rsidRDefault="00D1079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14:paraId="5CD53753" w14:textId="77777777" w:rsidR="00C56BC1" w:rsidRDefault="00C56BC1">
      <w:pPr>
        <w:ind w:left="851" w:right="851"/>
        <w:jc w:val="both"/>
        <w:rPr>
          <w:rFonts w:ascii="Palatino Linotype" w:eastAsia="Palatino Linotype" w:hAnsi="Palatino Linotype" w:cs="Palatino Linotype"/>
          <w:i/>
          <w:sz w:val="22"/>
          <w:szCs w:val="22"/>
        </w:rPr>
      </w:pPr>
    </w:p>
    <w:p w14:paraId="7AB849A2" w14:textId="77777777" w:rsidR="00C56BC1" w:rsidRDefault="00D1079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14:paraId="0AEDCDEE" w14:textId="77777777" w:rsidR="00C56BC1" w:rsidRDefault="00C56BC1">
      <w:pPr>
        <w:ind w:left="851" w:right="851"/>
        <w:jc w:val="both"/>
        <w:rPr>
          <w:rFonts w:ascii="Palatino Linotype" w:eastAsia="Palatino Linotype" w:hAnsi="Palatino Linotype" w:cs="Palatino Linotype"/>
          <w:i/>
          <w:sz w:val="22"/>
          <w:szCs w:val="22"/>
        </w:rPr>
      </w:pPr>
    </w:p>
    <w:p w14:paraId="6001E386" w14:textId="77777777" w:rsidR="00C56BC1" w:rsidRDefault="00D1079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14:paraId="43827122" w14:textId="77777777" w:rsidR="00C56BC1" w:rsidRDefault="00C56BC1">
      <w:pPr>
        <w:ind w:left="851" w:right="851"/>
        <w:jc w:val="both"/>
        <w:rPr>
          <w:rFonts w:ascii="Palatino Linotype" w:eastAsia="Palatino Linotype" w:hAnsi="Palatino Linotype" w:cs="Palatino Linotype"/>
          <w:b/>
          <w:i/>
          <w:sz w:val="22"/>
          <w:szCs w:val="22"/>
        </w:rPr>
      </w:pPr>
    </w:p>
    <w:p w14:paraId="7E3AFCF0" w14:textId="77777777" w:rsidR="00C56BC1" w:rsidRDefault="00D1079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w:t>
      </w:r>
    </w:p>
    <w:p w14:paraId="3806905A" w14:textId="77777777" w:rsidR="00C56BC1" w:rsidRDefault="00C56BC1">
      <w:pPr>
        <w:ind w:left="851" w:right="851"/>
        <w:jc w:val="both"/>
        <w:rPr>
          <w:rFonts w:ascii="Palatino Linotype" w:eastAsia="Palatino Linotype" w:hAnsi="Palatino Linotype" w:cs="Palatino Linotype"/>
          <w:i/>
          <w:sz w:val="22"/>
          <w:szCs w:val="22"/>
        </w:rPr>
      </w:pPr>
    </w:p>
    <w:p w14:paraId="6EDCAEA0" w14:textId="77777777" w:rsidR="00C56BC1" w:rsidRDefault="00D1079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w:t>
      </w:r>
      <w:r>
        <w:rPr>
          <w:rFonts w:ascii="Palatino Linotype" w:eastAsia="Palatino Linotype" w:hAnsi="Palatino Linotype" w:cs="Palatino Linotype"/>
        </w:rPr>
        <w:lastRenderedPageBreak/>
        <w:t>de clasificación de la información y finalmente sea éste último quien apruebe, modifique o revoque la clasificación de la información solicitada.</w:t>
      </w:r>
    </w:p>
    <w:p w14:paraId="2324197A" w14:textId="77777777" w:rsidR="00C56BC1" w:rsidRDefault="00D1079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cuyo contenido es de la literalidad siguiente:</w:t>
      </w:r>
    </w:p>
    <w:p w14:paraId="3AF21FC8" w14:textId="77777777" w:rsidR="00C56BC1" w:rsidRDefault="00D10798">
      <w:pPr>
        <w:spacing w:before="240"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75BA19EA" w14:textId="77777777" w:rsidR="00C56BC1" w:rsidRDefault="00D1079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14:paraId="7F81132D" w14:textId="77777777" w:rsidR="00C56BC1" w:rsidRDefault="00D1079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El artículo 143, fracción I, de la Ley de Transparencia y Acceso a la Información Pública del Estado de México y Municipios, establece que deberá </w:t>
      </w:r>
      <w:r>
        <w:rPr>
          <w:rFonts w:ascii="Palatino Linotype" w:eastAsia="Palatino Linotype" w:hAnsi="Palatino Linotype" w:cs="Palatino Linotype"/>
        </w:rPr>
        <w:t>omitirse, eliminarse o suprimirse la</w:t>
      </w:r>
      <w:r>
        <w:rPr>
          <w:rFonts w:ascii="Palatino Linotype" w:eastAsia="Palatino Linotype" w:hAnsi="Palatino Linotype" w:cs="Palatino Linotype"/>
          <w:color w:val="000000"/>
        </w:rPr>
        <w:t xml:space="preserve"> información </w:t>
      </w:r>
      <w:r>
        <w:rPr>
          <w:rFonts w:ascii="Palatino Linotype" w:eastAsia="Palatino Linotype" w:hAnsi="Palatino Linotype" w:cs="Palatino Linotype"/>
          <w:b/>
          <w:color w:val="000000"/>
        </w:rPr>
        <w:t>confidencial</w:t>
      </w:r>
      <w:r>
        <w:rPr>
          <w:rFonts w:ascii="Palatino Linotype" w:eastAsia="Palatino Linotype" w:hAnsi="Palatino Linotype" w:cs="Palatino Linotype"/>
        </w:rPr>
        <w:t xml:space="preserve">. </w:t>
      </w:r>
    </w:p>
    <w:p w14:paraId="15C99837" w14:textId="77777777" w:rsidR="00C56BC1" w:rsidRDefault="00D1079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ese sentido, sólo podrán ser testados los datos que actualicen las hipótesis normativas previstas en dicho precepto legal y deberá procederse a su clasificación mediante las formalidades de Ley; es decir,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71E13AFD" w14:textId="77777777" w:rsidR="00C56BC1" w:rsidRDefault="00D1079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respecto de los documentos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ha de entregar en </w:t>
      </w:r>
      <w:r>
        <w:rPr>
          <w:rFonts w:ascii="Palatino Linotype" w:eastAsia="Palatino Linotype" w:hAnsi="Palatino Linotype" w:cs="Palatino Linotype"/>
          <w:b/>
        </w:rPr>
        <w:t>versión pública</w:t>
      </w:r>
      <w:r>
        <w:rPr>
          <w:rFonts w:ascii="Palatino Linotype" w:eastAsia="Palatino Linotype" w:hAnsi="Palatino Linotype" w:cs="Palatino Linotype"/>
        </w:rPr>
        <w:t xml:space="preserve">, se deberá omitir, eliminar o suprimir la información personal de los servidores públicos, como Registro Federal de Contribuyentes (RFC), Clave única de Registro de Población (CURP), clave del Instituto de Seguridad Social del Estado de México y Municipios (ISSEMyM), </w:t>
      </w:r>
      <w:r>
        <w:rPr>
          <w:rFonts w:ascii="Palatino Linotype" w:eastAsia="Palatino Linotype" w:hAnsi="Palatino Linotype" w:cs="Palatino Linotype"/>
          <w:b/>
        </w:rPr>
        <w:t>los descuentos que se realicen por pensión alimenticia o deducciones estrictamente personales o de cualquier índole siempre que, no se encuentren relacionados con los impuestos o las cuotas por seguridad social</w:t>
      </w:r>
      <w:r>
        <w:rPr>
          <w:rFonts w:ascii="Palatino Linotype" w:eastAsia="Palatino Linotype" w:hAnsi="Palatino Linotype" w:cs="Palatino Linotype"/>
        </w:rPr>
        <w:t>, número de cuenta o cualquier otro dato que ponga en riesgo la vida, seguridad y salud de dichas personas.</w:t>
      </w:r>
    </w:p>
    <w:p w14:paraId="68A0E0E9" w14:textId="77777777" w:rsidR="00C56BC1" w:rsidRDefault="00D1079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7EE14526" w14:textId="77777777" w:rsidR="00C56BC1" w:rsidRDefault="00D10798">
      <w:pPr>
        <w:spacing w:before="280" w:after="28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rPr>
        <w:t xml:space="preserve">Al respecto, </w:t>
      </w:r>
      <w:r>
        <w:rPr>
          <w:rFonts w:ascii="Palatino Linotype" w:eastAsia="Palatino Linotype" w:hAnsi="Palatino Linotype" w:cs="Palatino Linotype"/>
          <w:color w:val="000000"/>
        </w:rPr>
        <w:t>es aplicable el Criterio 19/17 de la Segunda Época, emitido por el INAI, que dice:</w:t>
      </w:r>
      <w:r>
        <w:rPr>
          <w:rFonts w:ascii="Palatino Linotype" w:eastAsia="Palatino Linotype" w:hAnsi="Palatino Linotype" w:cs="Palatino Linotype"/>
          <w:b/>
          <w:color w:val="000000"/>
        </w:rPr>
        <w:t xml:space="preserve"> </w:t>
      </w:r>
    </w:p>
    <w:p w14:paraId="2326C256" w14:textId="77777777" w:rsidR="00C56BC1" w:rsidRDefault="00D10798">
      <w:pPr>
        <w:tabs>
          <w:tab w:val="left" w:pos="7655"/>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Registro Federal de Contribuyentes (RFC) de personas físicas. El RFC es una clave</w:t>
      </w:r>
      <w:r>
        <w:rPr>
          <w:rFonts w:ascii="Palatino Linotype" w:eastAsia="Palatino Linotype" w:hAnsi="Palatino Linotype" w:cs="Palatino Linotype"/>
          <w:i/>
          <w:sz w:val="22"/>
          <w:szCs w:val="22"/>
        </w:rPr>
        <w:t xml:space="preserve"> de carácter fiscal, única e irrepetible, </w:t>
      </w:r>
      <w:r>
        <w:rPr>
          <w:rFonts w:ascii="Palatino Linotype" w:eastAsia="Palatino Linotype" w:hAnsi="Palatino Linotype" w:cs="Palatino Linotype"/>
          <w:b/>
          <w:i/>
          <w:sz w:val="22"/>
          <w:szCs w:val="22"/>
        </w:rPr>
        <w:t>que permite identificar al titular, su edad y fecha de nacimiento</w:t>
      </w:r>
      <w:r>
        <w:rPr>
          <w:rFonts w:ascii="Palatino Linotype" w:eastAsia="Palatino Linotype" w:hAnsi="Palatino Linotype" w:cs="Palatino Linotype"/>
          <w:i/>
          <w:sz w:val="22"/>
          <w:szCs w:val="22"/>
        </w:rPr>
        <w:t xml:space="preserve">, por lo que </w:t>
      </w:r>
      <w:r>
        <w:rPr>
          <w:rFonts w:ascii="Palatino Linotype" w:eastAsia="Palatino Linotype" w:hAnsi="Palatino Linotype" w:cs="Palatino Linotype"/>
          <w:b/>
          <w:i/>
          <w:sz w:val="22"/>
          <w:szCs w:val="22"/>
        </w:rPr>
        <w:t>es un dato personal de carácter confidencial</w:t>
      </w:r>
      <w:r>
        <w:rPr>
          <w:rFonts w:ascii="Palatino Linotype" w:eastAsia="Palatino Linotype" w:hAnsi="Palatino Linotype" w:cs="Palatino Linotype"/>
          <w:i/>
          <w:sz w:val="22"/>
          <w:szCs w:val="22"/>
        </w:rPr>
        <w:t>.</w:t>
      </w:r>
    </w:p>
    <w:p w14:paraId="20FA16B7" w14:textId="77777777" w:rsidR="00C56BC1" w:rsidRDefault="00D10798">
      <w:pPr>
        <w:tabs>
          <w:tab w:val="left" w:pos="7655"/>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Resoluciones:</w:t>
      </w:r>
    </w:p>
    <w:p w14:paraId="35462A2C" w14:textId="77777777" w:rsidR="00C56BC1" w:rsidRDefault="00D10798">
      <w:pPr>
        <w:tabs>
          <w:tab w:val="left" w:pos="7655"/>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RRA 0189/17. Morena. 08 de febrero de 2017. Por unanimidad. Comisionado Ponente Joel Salas Suárez.</w:t>
      </w:r>
    </w:p>
    <w:p w14:paraId="5FCC9C98" w14:textId="77777777" w:rsidR="00C56BC1" w:rsidRDefault="00D10798">
      <w:pPr>
        <w:tabs>
          <w:tab w:val="left" w:pos="7655"/>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RRA 0677/17. Universidad Nacional Autónoma de México. 08 de marzo de 2017. Por unanimidad. Comisionado Ponente Rosendoevgueni Monterrey Chepov. </w:t>
      </w:r>
    </w:p>
    <w:p w14:paraId="47A05F6A" w14:textId="77777777" w:rsidR="00C56BC1" w:rsidRDefault="00D10798">
      <w:pPr>
        <w:tabs>
          <w:tab w:val="left" w:pos="7655"/>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RRA 1564/17. Tribunal Electoral del Poder Judicial de la Federación. 26 de abril de 2017. Por unanimidad. Comisionado Ponente Oscar Mauricio Guerra Ford.” (Sic)</w:t>
      </w:r>
    </w:p>
    <w:p w14:paraId="6E794A6F" w14:textId="77777777" w:rsidR="00C56BC1" w:rsidRDefault="00D10798">
      <w:pPr>
        <w:tabs>
          <w:tab w:val="left" w:pos="7655"/>
        </w:tabs>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3E2977DD" w14:textId="77777777" w:rsidR="00C56BC1" w:rsidRDefault="00D1079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 anterior, se desprende que el RFC se vincula al nombre de su titular, lo que permite identificar la edad de la persona y fecha de nacimiento, en consecuencia determinar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14:paraId="57E836B8" w14:textId="77777777" w:rsidR="00C56BC1" w:rsidRDefault="00D1079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 CURP</w:t>
      </w:r>
      <w:r>
        <w:rPr>
          <w:rFonts w:ascii="Palatino Linotype" w:eastAsia="Palatino Linotype" w:hAnsi="Palatino Linotype" w:cs="Palatino Linotype"/>
          <w:b/>
        </w:rPr>
        <w:t xml:space="preserve">, </w:t>
      </w:r>
      <w:r>
        <w:rPr>
          <w:rFonts w:ascii="Palatino Linotype" w:eastAsia="Palatino Linotype" w:hAnsi="Palatino Linotype" w:cs="Palatino Linotype"/>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02881E18" w14:textId="77777777" w:rsidR="00C56BC1" w:rsidRDefault="00D1079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tiene sustento en los artículos 86 y 91 de la Ley General de Población, la cual señala lo siguiente:</w:t>
      </w:r>
    </w:p>
    <w:p w14:paraId="3AF72BC0" w14:textId="77777777" w:rsidR="00C56BC1" w:rsidRDefault="00D10798">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86. </w:t>
      </w:r>
      <w:r>
        <w:rPr>
          <w:rFonts w:ascii="Palatino Linotype" w:eastAsia="Palatino Linotype" w:hAnsi="Palatino Linotype" w:cs="Palatino Linotype"/>
          <w:i/>
          <w:sz w:val="22"/>
          <w:szCs w:val="22"/>
        </w:rPr>
        <w:t>El Registro Nacional de Población tiene como finalidad registrar a cada una de las personas que integran la población del país, con los datos que permitan certificar y acreditar fehacientemente su identidad.</w:t>
      </w:r>
    </w:p>
    <w:p w14:paraId="375644F6" w14:textId="77777777" w:rsidR="00C56BC1" w:rsidRDefault="00D10798">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 Al incorporar a una persona en el Registro Nacional de Población</w:t>
      </w:r>
      <w:r>
        <w:rPr>
          <w:rFonts w:ascii="Palatino Linotype" w:eastAsia="Palatino Linotype" w:hAnsi="Palatino Linotype" w:cs="Palatino Linotype"/>
          <w:i/>
          <w:sz w:val="22"/>
          <w:szCs w:val="22"/>
        </w:rPr>
        <w:t xml:space="preserve">, se le asignará una clave </w:t>
      </w:r>
      <w:r>
        <w:rPr>
          <w:rFonts w:ascii="Palatino Linotype" w:eastAsia="Palatino Linotype" w:hAnsi="Palatino Linotype" w:cs="Palatino Linotype"/>
          <w:b/>
          <w:i/>
          <w:sz w:val="22"/>
          <w:szCs w:val="22"/>
        </w:rPr>
        <w:t>que se denominará Clave Única de Registro de Población</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Esta servirá para</w:t>
      </w:r>
      <w:r>
        <w:rPr>
          <w:rFonts w:ascii="Palatino Linotype" w:eastAsia="Palatino Linotype" w:hAnsi="Palatino Linotype" w:cs="Palatino Linotype"/>
          <w:i/>
          <w:sz w:val="22"/>
          <w:szCs w:val="22"/>
        </w:rPr>
        <w:t xml:space="preserve"> registrarla e </w:t>
      </w:r>
      <w:r>
        <w:rPr>
          <w:rFonts w:ascii="Palatino Linotype" w:eastAsia="Palatino Linotype" w:hAnsi="Palatino Linotype" w:cs="Palatino Linotype"/>
          <w:b/>
          <w:i/>
          <w:sz w:val="22"/>
          <w:szCs w:val="22"/>
        </w:rPr>
        <w:t>identificarla en forma individual</w:t>
      </w:r>
      <w:r>
        <w:rPr>
          <w:rFonts w:ascii="Palatino Linotype" w:eastAsia="Palatino Linotype" w:hAnsi="Palatino Linotype" w:cs="Palatino Linotype"/>
          <w:i/>
          <w:sz w:val="22"/>
          <w:szCs w:val="22"/>
        </w:rPr>
        <w:t xml:space="preserve">.” </w:t>
      </w:r>
    </w:p>
    <w:p w14:paraId="03A0648B" w14:textId="77777777" w:rsidR="00C56BC1" w:rsidRDefault="00D10798">
      <w:pPr>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3B3DCD70" w14:textId="77777777" w:rsidR="00C56BC1" w:rsidRDefault="00D1079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14:paraId="4CFF0A38" w14:textId="77777777" w:rsidR="00C56BC1" w:rsidRDefault="00D1079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el INAI, a través del Criterio 18/17 de la Segunda Época, señala literalmente lo siguiente:</w:t>
      </w:r>
    </w:p>
    <w:p w14:paraId="6F37D996" w14:textId="77777777" w:rsidR="00C56BC1" w:rsidRDefault="00D10798">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Clave Única de Registro de Población (CURP).</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Clave Única de Registro de Población se integra por datos personales que sólo conciernen al particular titular</w:t>
      </w:r>
      <w:r>
        <w:rPr>
          <w:rFonts w:ascii="Palatino Linotype" w:eastAsia="Palatino Linotype" w:hAnsi="Palatino Linotype" w:cs="Palatino Linotype"/>
          <w:i/>
          <w:sz w:val="22"/>
          <w:szCs w:val="22"/>
        </w:rPr>
        <w:t xml:space="preserve"> de la misma, </w:t>
      </w:r>
      <w:r>
        <w:rPr>
          <w:rFonts w:ascii="Palatino Linotype" w:eastAsia="Palatino Linotype" w:hAnsi="Palatino Linotype" w:cs="Palatino Linotype"/>
          <w:b/>
          <w:i/>
          <w:sz w:val="22"/>
          <w:szCs w:val="22"/>
        </w:rPr>
        <w:t>como lo son su nombre, apellidos, fecha de nacimiento, lugar de nacimiento y sexo</w:t>
      </w:r>
      <w:r>
        <w:rPr>
          <w:rFonts w:ascii="Palatino Linotype" w:eastAsia="Palatino Linotype" w:hAnsi="Palatino Linotype" w:cs="Palatino Linotype"/>
          <w:i/>
          <w:sz w:val="22"/>
          <w:szCs w:val="22"/>
        </w:rPr>
        <w:t xml:space="preserve">. Dichos datos, constituyen información que distingue plenamente a una persona física del resto de los habitantes del país, </w:t>
      </w:r>
      <w:r>
        <w:rPr>
          <w:rFonts w:ascii="Palatino Linotype" w:eastAsia="Palatino Linotype" w:hAnsi="Palatino Linotype" w:cs="Palatino Linotype"/>
          <w:b/>
          <w:i/>
          <w:sz w:val="22"/>
          <w:szCs w:val="22"/>
        </w:rPr>
        <w:t>por lo que la CURP está considerada como información confidencial</w:t>
      </w:r>
      <w:r>
        <w:rPr>
          <w:rFonts w:ascii="Palatino Linotype" w:eastAsia="Palatino Linotype" w:hAnsi="Palatino Linotype" w:cs="Palatino Linotype"/>
          <w:i/>
          <w:sz w:val="22"/>
          <w:szCs w:val="22"/>
        </w:rPr>
        <w:t xml:space="preserve">. </w:t>
      </w:r>
    </w:p>
    <w:p w14:paraId="4CA34820" w14:textId="77777777" w:rsidR="00C56BC1" w:rsidRDefault="00D10798">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Resoluciones:</w:t>
      </w:r>
    </w:p>
    <w:p w14:paraId="2F12DE8D" w14:textId="77777777" w:rsidR="00C56BC1" w:rsidRDefault="00D10798">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RRA 3995/16. Secretaría de la Defensa Nacional. 1 de febrero de 2017. Por unanimidad. Comisionado Ponente Rosendoevgueni Monterrey Chepov.</w:t>
      </w:r>
    </w:p>
    <w:p w14:paraId="01F0826C" w14:textId="77777777" w:rsidR="00C56BC1" w:rsidRDefault="00D10798">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RRA 0937/17. Senado de la República. 15 de marzo de 2017. Por unanimidad. Comisionada Ponente Ximena Puente de la Mora. </w:t>
      </w:r>
    </w:p>
    <w:p w14:paraId="02C80962" w14:textId="77777777" w:rsidR="00C56BC1" w:rsidRDefault="00D10798">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RRA 0478/17. Secretaría de Relaciones Exteriores. 26 de abril de 2017. Por unanimidad. Comisionada Ponente Areli Cano Guadiana.” (Sic)</w:t>
      </w:r>
    </w:p>
    <w:p w14:paraId="4F1CA528" w14:textId="77777777" w:rsidR="00C56BC1" w:rsidRDefault="00D10798">
      <w:pPr>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18F8D4FB" w14:textId="77777777" w:rsidR="00C56BC1" w:rsidRDefault="00D1079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 anterior, se desprende que la CURP se encuentra vinculada al nombre y apellidos de la persona, lo que permite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D0F7122" w14:textId="77777777" w:rsidR="00C56BC1" w:rsidRDefault="00D1079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 Clave de cualquier tipo de seguridad social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7473F7EB" w14:textId="77777777" w:rsidR="00C56BC1" w:rsidRDefault="00D1079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w:t>
      </w:r>
      <w:r>
        <w:rPr>
          <w:rFonts w:ascii="Palatino Linotype" w:eastAsia="Palatino Linotype" w:hAnsi="Palatino Linotype" w:cs="Palatino Linotype"/>
          <w:b/>
        </w:rPr>
        <w:t>de carácter personal</w:t>
      </w:r>
      <w:r>
        <w:rPr>
          <w:rFonts w:ascii="Palatino Linotype" w:eastAsia="Palatino Linotype" w:hAnsi="Palatino Linotype" w:cs="Palatino Linotype"/>
        </w:rPr>
        <w:t xml:space="preserve">, estos no deben tener relación con la prestación del servicio; es decir, son confidenciales los préstamos o </w:t>
      </w:r>
      <w:r>
        <w:rPr>
          <w:rFonts w:ascii="Palatino Linotype" w:eastAsia="Palatino Linotype" w:hAnsi="Palatino Linotype" w:cs="Palatino Linotype"/>
        </w:rPr>
        <w:lastRenderedPageBreak/>
        <w:t>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1FFAF905" w14:textId="77777777" w:rsidR="00C56BC1" w:rsidRDefault="00D1079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el artículo 84 de la Ley del Trabajo de los Servidores Públicos del Estado y Municipios, señala:</w:t>
      </w:r>
    </w:p>
    <w:p w14:paraId="7A2FF806" w14:textId="77777777" w:rsidR="00C56BC1" w:rsidRDefault="00D10798">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14:paraId="1D4AFBC3" w14:textId="77777777" w:rsidR="00C56BC1" w:rsidRDefault="00D10798">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Gravámenes fiscales relacionados con el sueldo;</w:t>
      </w:r>
    </w:p>
    <w:p w14:paraId="60A92BCC" w14:textId="77777777" w:rsidR="00C56BC1" w:rsidRDefault="00D10798">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 Deudas contraídas con las instituciones públicas o dependencias</w:t>
      </w:r>
      <w:r>
        <w:rPr>
          <w:rFonts w:ascii="Palatino Linotype" w:eastAsia="Palatino Linotype" w:hAnsi="Palatino Linotype" w:cs="Palatino Linotype"/>
          <w:i/>
          <w:sz w:val="22"/>
          <w:szCs w:val="22"/>
        </w:rPr>
        <w:t xml:space="preserve"> por concepto de anticipos de sueldo, pagos hechos con exceso, errores o pérdidas debidamente comprobados;</w:t>
      </w:r>
    </w:p>
    <w:p w14:paraId="550227A5" w14:textId="77777777" w:rsidR="00C56BC1" w:rsidRDefault="00D10798">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 Cuotas sindicales</w:t>
      </w:r>
      <w:r>
        <w:rPr>
          <w:rFonts w:ascii="Palatino Linotype" w:eastAsia="Palatino Linotype" w:hAnsi="Palatino Linotype" w:cs="Palatino Linotype"/>
          <w:i/>
          <w:sz w:val="22"/>
          <w:szCs w:val="22"/>
        </w:rPr>
        <w:t>;</w:t>
      </w:r>
    </w:p>
    <w:p w14:paraId="4EB7CC6B" w14:textId="77777777" w:rsidR="00C56BC1" w:rsidRDefault="00D10798">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7C29F8CA" w14:textId="77777777" w:rsidR="00C56BC1" w:rsidRDefault="00D10798">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713A4801" w14:textId="77777777" w:rsidR="00C56BC1" w:rsidRDefault="00D10798">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 Obligaciones a cargo del servidor público con las que haya consentido</w:t>
      </w:r>
      <w:r>
        <w:rPr>
          <w:rFonts w:ascii="Palatino Linotype" w:eastAsia="Palatino Linotype" w:hAnsi="Palatino Linotype" w:cs="Palatino Linotype"/>
          <w:i/>
          <w:sz w:val="22"/>
          <w:szCs w:val="22"/>
        </w:rPr>
        <w:t>, derivadas de la adquisición o del uso de habitaciones consideradas como de interés social;</w:t>
      </w:r>
    </w:p>
    <w:p w14:paraId="63E93A7C" w14:textId="77777777" w:rsidR="00C56BC1" w:rsidRDefault="00D10798">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Faltas de puntualidad o de asistencia injustificadas;</w:t>
      </w:r>
    </w:p>
    <w:p w14:paraId="05758516" w14:textId="77777777" w:rsidR="00C56BC1" w:rsidRDefault="00D10798">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Pensiones alimenticias ordenadas por la autoridad judicial;</w:t>
      </w:r>
      <w:r>
        <w:rPr>
          <w:rFonts w:ascii="Palatino Linotype" w:eastAsia="Palatino Linotype" w:hAnsi="Palatino Linotype" w:cs="Palatino Linotype"/>
          <w:i/>
          <w:sz w:val="22"/>
          <w:szCs w:val="22"/>
        </w:rPr>
        <w:t xml:space="preserve"> o</w:t>
      </w:r>
    </w:p>
    <w:p w14:paraId="087F4EE6" w14:textId="77777777" w:rsidR="00C56BC1" w:rsidRDefault="00D10798">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IX. Cualquier otro convenido con instituciones de servicios y aceptado por el servidor público.</w:t>
      </w:r>
    </w:p>
    <w:p w14:paraId="17027FFC" w14:textId="77777777" w:rsidR="00C56BC1" w:rsidRDefault="00D10798">
      <w:pPr>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w:t>
      </w:r>
      <w:r>
        <w:rPr>
          <w:rFonts w:ascii="Palatino Linotype" w:eastAsia="Palatino Linotype" w:hAnsi="Palatino Linotype" w:cs="Palatino Linotype"/>
          <w:i/>
          <w:sz w:val="22"/>
          <w:szCs w:val="22"/>
        </w:rPr>
        <w:lastRenderedPageBreak/>
        <w:t xml:space="preserve">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55F4A363" w14:textId="77777777" w:rsidR="00C56BC1" w:rsidRDefault="00D10798">
      <w:pPr>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252CF9B0" w14:textId="77777777" w:rsidR="00C56BC1" w:rsidRDefault="00D1079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lo anterior, la ley establece claramente cuáles son esos descuentos o gravámenes que directamente se relacionan con las obligaciones adquiridas como servidores públicos y aquéllos que </w:t>
      </w:r>
      <w:r>
        <w:rPr>
          <w:rFonts w:ascii="Palatino Linotype" w:eastAsia="Palatino Linotype" w:hAnsi="Palatino Linotype" w:cs="Palatino Linotype"/>
          <w:b/>
        </w:rPr>
        <w:t>únicamente inciden en su vida privada</w:t>
      </w:r>
      <w:r>
        <w:rPr>
          <w:rFonts w:ascii="Palatino Linotype" w:eastAsia="Palatino Linotype" w:hAnsi="Palatino Linotype" w:cs="Palatino Linotype"/>
        </w:rPr>
        <w:t>. De este modo, descuentos por pensiones alimenticias o créditos adquiridos con instituciones privadas o públicas pero que fueron contraídas en forma individual, son información que debe clasificarse como confidencial.</w:t>
      </w:r>
    </w:p>
    <w:p w14:paraId="49739DEB" w14:textId="77777777" w:rsidR="00C56BC1" w:rsidRDefault="00D1079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es importante insistir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w:t>
      </w:r>
      <w:r>
        <w:rPr>
          <w:rFonts w:ascii="Palatino Linotype" w:eastAsia="Palatino Linotype" w:hAnsi="Palatino Linotype" w:cs="Palatino Linotype"/>
        </w:rPr>
        <w:lastRenderedPageBreak/>
        <w:t>de ello se estaría violentando desde un inicio el derecho de acceso a la información del solicitante.</w:t>
      </w:r>
    </w:p>
    <w:p w14:paraId="737E170F" w14:textId="77777777" w:rsidR="00C56BC1" w:rsidRDefault="00D10798">
      <w:pPr>
        <w:tabs>
          <w:tab w:val="left" w:pos="7938"/>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que pudiera poner en riesgo la seguridad jurídica y física del titular de dicha información. </w:t>
      </w:r>
    </w:p>
    <w:p w14:paraId="4747A0B8" w14:textId="77777777" w:rsidR="00C56BC1" w:rsidRDefault="00C56BC1">
      <w:pPr>
        <w:tabs>
          <w:tab w:val="left" w:pos="7938"/>
        </w:tabs>
        <w:spacing w:line="360" w:lineRule="auto"/>
        <w:jc w:val="both"/>
        <w:rPr>
          <w:rFonts w:ascii="Palatino Linotype" w:eastAsia="Palatino Linotype" w:hAnsi="Palatino Linotype" w:cs="Palatino Linotype"/>
        </w:rPr>
      </w:pPr>
    </w:p>
    <w:p w14:paraId="21ED9FDE" w14:textId="77777777" w:rsidR="00C56BC1" w:rsidRDefault="00D1079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en mérito de lo expuesto en líneas anteriores, resultan fundadas las razones o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dentro del recurso de revisión </w:t>
      </w:r>
      <w:r>
        <w:rPr>
          <w:rFonts w:ascii="Palatino Linotype" w:eastAsia="Palatino Linotype" w:hAnsi="Palatino Linotype" w:cs="Palatino Linotype"/>
          <w:b/>
        </w:rPr>
        <w:t>06279/INFOEM/IP/RR/2022</w:t>
      </w:r>
      <w:r>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Pr>
          <w:rFonts w:ascii="Palatino Linotype" w:eastAsia="Palatino Linotype" w:hAnsi="Palatino Linotype" w:cs="Palatino Linotype"/>
          <w:b/>
        </w:rPr>
        <w:t>REVOCA</w:t>
      </w:r>
      <w:r>
        <w:rPr>
          <w:rFonts w:ascii="Palatino Linotype" w:eastAsia="Palatino Linotype" w:hAnsi="Palatino Linotype" w:cs="Palatino Linotype"/>
        </w:rPr>
        <w:t xml:space="preserve"> la respuesta a la solicitud de información número </w:t>
      </w:r>
      <w:r>
        <w:rPr>
          <w:rFonts w:ascii="Palatino Linotype" w:eastAsia="Palatino Linotype" w:hAnsi="Palatino Linotype" w:cs="Palatino Linotype"/>
          <w:b/>
        </w:rPr>
        <w:t>00966/OASMETEPEC/IP/2022</w:t>
      </w:r>
      <w:r>
        <w:rPr>
          <w:rFonts w:ascii="Palatino Linotype" w:eastAsia="Palatino Linotype" w:hAnsi="Palatino Linotype" w:cs="Palatino Linotype"/>
        </w:rPr>
        <w:t>.</w:t>
      </w:r>
    </w:p>
    <w:p w14:paraId="341AC624" w14:textId="77777777" w:rsidR="00C56BC1" w:rsidRDefault="00D1079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0230194A" w14:textId="77777777" w:rsidR="00C56BC1" w:rsidRDefault="00D10798">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R E S U E L V E:</w:t>
      </w:r>
    </w:p>
    <w:p w14:paraId="0A46E6EE" w14:textId="77777777" w:rsidR="00C56BC1" w:rsidRDefault="00D10798">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fundados los motivos de inconformidad hechos valer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 xml:space="preserve">06279/INFOEM/IP/RR/2022, </w:t>
      </w:r>
      <w:r>
        <w:rPr>
          <w:rFonts w:ascii="Palatino Linotype" w:eastAsia="Palatino Linotype" w:hAnsi="Palatino Linotype" w:cs="Palatino Linotype"/>
        </w:rPr>
        <w:t>por lo que, en términos del Considerando Cuarto de la presente resolución, se</w:t>
      </w:r>
      <w:r>
        <w:rPr>
          <w:rFonts w:ascii="Palatino Linotype" w:eastAsia="Palatino Linotype" w:hAnsi="Palatino Linotype" w:cs="Palatino Linotype"/>
          <w:b/>
        </w:rPr>
        <w:t xml:space="preserve"> REVOCA </w:t>
      </w:r>
      <w:r>
        <w:rPr>
          <w:rFonts w:ascii="Palatino Linotype" w:eastAsia="Palatino Linotype" w:hAnsi="Palatino Linotype" w:cs="Palatino Linotype"/>
        </w:rPr>
        <w:t>la respuesta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SUJETO OBLIGADO.</w:t>
      </w:r>
    </w:p>
    <w:p w14:paraId="5D15F108" w14:textId="77777777" w:rsidR="00C56BC1" w:rsidRDefault="00D10798">
      <w:pPr>
        <w:spacing w:before="240" w:after="36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Ordena al </w:t>
      </w:r>
      <w:r>
        <w:rPr>
          <w:rFonts w:ascii="Palatino Linotype" w:eastAsia="Palatino Linotype" w:hAnsi="Palatino Linotype" w:cs="Palatino Linotype"/>
          <w:b/>
        </w:rPr>
        <w:t>SUJETO OBLIGADO</w:t>
      </w:r>
      <w:r>
        <w:rPr>
          <w:rFonts w:ascii="Palatino Linotype" w:eastAsia="Palatino Linotype" w:hAnsi="Palatino Linotype" w:cs="Palatino Linotype"/>
        </w:rPr>
        <w:t>, en términos de los Considerandos Cuarto y Quinto de esta resolución, haga entrega vía Sistema de Acceso a la Información Mexiquense (SAIMEX), en versión pública, la siguiente información:</w:t>
      </w:r>
    </w:p>
    <w:p w14:paraId="2DCCB60F" w14:textId="77777777" w:rsidR="00C56BC1" w:rsidRDefault="00D10798">
      <w:pPr>
        <w:numPr>
          <w:ilvl w:val="0"/>
          <w:numId w:val="2"/>
        </w:numPr>
        <w:pBdr>
          <w:top w:val="nil"/>
          <w:left w:val="nil"/>
          <w:bottom w:val="nil"/>
          <w:right w:val="nil"/>
          <w:between w:val="nil"/>
        </w:pBdr>
        <w:spacing w:line="360" w:lineRule="auto"/>
        <w:ind w:left="851" w:right="49" w:hanging="491"/>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Nómina del personal adscrito al </w:t>
      </w:r>
      <w:r>
        <w:rPr>
          <w:rFonts w:ascii="Palatino Linotype" w:eastAsia="Palatino Linotype" w:hAnsi="Palatino Linotype" w:cs="Palatino Linotype"/>
          <w:b/>
          <w:i/>
        </w:rPr>
        <w:t>Organismo Público Descentralizado para la Prestación de Los Servicios de Agua Potable Alcantarillado y Saneamiento del Municipio de Metepec</w:t>
      </w:r>
      <w:r>
        <w:rPr>
          <w:rFonts w:ascii="Palatino Linotype" w:eastAsia="Palatino Linotype" w:hAnsi="Palatino Linotype" w:cs="Palatino Linotype"/>
          <w:b/>
          <w:i/>
          <w:color w:val="000000"/>
        </w:rPr>
        <w:t xml:space="preserve">, correspondiente a la primera quincena de marzo de dos mil dos. </w:t>
      </w:r>
    </w:p>
    <w:p w14:paraId="2171392A" w14:textId="77777777" w:rsidR="00C56BC1" w:rsidRDefault="00C56BC1">
      <w:pPr>
        <w:pBdr>
          <w:top w:val="nil"/>
          <w:left w:val="nil"/>
          <w:bottom w:val="nil"/>
          <w:right w:val="nil"/>
          <w:between w:val="nil"/>
        </w:pBdr>
        <w:spacing w:line="360" w:lineRule="auto"/>
        <w:ind w:left="851" w:right="49"/>
        <w:jc w:val="both"/>
        <w:rPr>
          <w:rFonts w:ascii="Palatino Linotype" w:eastAsia="Palatino Linotype" w:hAnsi="Palatino Linotype" w:cs="Palatino Linotype"/>
          <w:b/>
          <w:i/>
          <w:color w:val="000000"/>
        </w:rPr>
      </w:pPr>
    </w:p>
    <w:p w14:paraId="0FAAC053" w14:textId="77777777" w:rsidR="00C56BC1" w:rsidRDefault="00D10798">
      <w:pPr>
        <w:pBdr>
          <w:top w:val="nil"/>
          <w:left w:val="nil"/>
          <w:bottom w:val="nil"/>
          <w:right w:val="nil"/>
          <w:between w:val="nil"/>
        </w:pBdr>
        <w:spacing w:after="120"/>
        <w:ind w:left="851" w:right="4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Deberá emitir el Acuerdo del Comité de Transparencia de conformidad con lo dispuesto en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24A0EF3E" w14:textId="77777777" w:rsidR="00C56BC1" w:rsidRDefault="00C56BC1">
      <w:pPr>
        <w:pBdr>
          <w:top w:val="nil"/>
          <w:left w:val="nil"/>
          <w:bottom w:val="nil"/>
          <w:right w:val="nil"/>
          <w:between w:val="nil"/>
        </w:pBdr>
        <w:spacing w:after="120"/>
        <w:ind w:left="851" w:right="49"/>
        <w:jc w:val="both"/>
        <w:rPr>
          <w:rFonts w:ascii="Palatino Linotype" w:eastAsia="Palatino Linotype" w:hAnsi="Palatino Linotype" w:cs="Palatino Linotype"/>
          <w:i/>
          <w:color w:val="000000"/>
        </w:rPr>
      </w:pPr>
    </w:p>
    <w:p w14:paraId="4D06F51D" w14:textId="77777777" w:rsidR="00C56BC1" w:rsidRDefault="00C56BC1">
      <w:pPr>
        <w:pBdr>
          <w:top w:val="nil"/>
          <w:left w:val="nil"/>
          <w:bottom w:val="nil"/>
          <w:right w:val="nil"/>
          <w:between w:val="nil"/>
        </w:pBdr>
        <w:spacing w:after="120"/>
        <w:ind w:left="851" w:right="49"/>
        <w:jc w:val="both"/>
        <w:rPr>
          <w:rFonts w:ascii="Palatino Linotype" w:eastAsia="Palatino Linotype" w:hAnsi="Palatino Linotype" w:cs="Palatino Linotype"/>
          <w:i/>
          <w:color w:val="000000"/>
        </w:rPr>
      </w:pPr>
    </w:p>
    <w:p w14:paraId="1EF64057" w14:textId="77777777" w:rsidR="00C56BC1" w:rsidRDefault="00C56BC1">
      <w:pPr>
        <w:spacing w:before="120" w:after="120"/>
        <w:ind w:right="49"/>
        <w:jc w:val="both"/>
        <w:rPr>
          <w:rFonts w:ascii="Palatino Linotype" w:eastAsia="Palatino Linotype" w:hAnsi="Palatino Linotype" w:cs="Palatino Linotype"/>
          <w:color w:val="FF0000"/>
        </w:rPr>
      </w:pPr>
    </w:p>
    <w:p w14:paraId="680F052C" w14:textId="77777777" w:rsidR="00C56BC1" w:rsidRDefault="00D10798">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TERCERO. Notifíquese, vía SAIMEX </w:t>
      </w:r>
      <w:r>
        <w:rPr>
          <w:rFonts w:ascii="Palatino Linotype" w:eastAsia="Palatino Linotype" w:hAnsi="Palatino Linotype" w:cs="Palatino Linotype"/>
        </w:rPr>
        <w:t>al Responsable de la Unidad de Transparencia del Sujeto Obligado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Pr>
          <w:rFonts w:ascii="Palatino Linotype" w:eastAsia="Palatino Linotype" w:hAnsi="Palatino Linotype" w:cs="Palatino Linotype"/>
          <w:b/>
        </w:rPr>
        <w:t>.</w:t>
      </w:r>
    </w:p>
    <w:p w14:paraId="23465256" w14:textId="77777777" w:rsidR="00C56BC1" w:rsidRDefault="00D1079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BD16F8D" w14:textId="77777777" w:rsidR="00C56BC1" w:rsidRDefault="00D1079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b/>
          <w:sz w:val="28"/>
          <w:szCs w:val="28"/>
        </w:rPr>
        <w:t>.</w:t>
      </w:r>
      <w:r>
        <w:rPr>
          <w:rFonts w:ascii="Palatino Linotype" w:eastAsia="Palatino Linotype" w:hAnsi="Palatino Linotype" w:cs="Palatino Linotype"/>
          <w:b/>
        </w:rPr>
        <w:t xml:space="preserve">  Notifíquese </w:t>
      </w:r>
      <w:r>
        <w:rPr>
          <w:rFonts w:ascii="Palatino Linotype" w:eastAsia="Palatino Linotype" w:hAnsi="Palatino Linotype" w:cs="Palatino Linotype"/>
        </w:rPr>
        <w:t xml:space="preserve">a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vía SAIMEX,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CB16AEA" w14:textId="77777777" w:rsidR="00C56BC1" w:rsidRDefault="00D10798">
      <w:pPr>
        <w:spacing w:before="240" w:after="240" w:line="360" w:lineRule="auto"/>
        <w:jc w:val="both"/>
        <w:rPr>
          <w:rFonts w:ascii="Palatino Linotype" w:eastAsia="Palatino Linotype" w:hAnsi="Palatino Linotype" w:cs="Palatino Linotype"/>
          <w:sz w:val="20"/>
          <w:szCs w:val="20"/>
        </w:rPr>
      </w:pPr>
      <w:bookmarkStart w:id="5" w:name="_heading=h.2et92p0" w:colFirst="0" w:colLast="0"/>
      <w:bookmarkEnd w:id="5"/>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Pr>
          <w:rFonts w:ascii="Palatino Linotype" w:eastAsia="Palatino Linotype" w:hAnsi="Palatino Linotype" w:cs="Palatino Linotype"/>
        </w:rPr>
        <w:lastRenderedPageBreak/>
        <w:t>VILCHIS; MARÍA DEL ROSARIO MEJÍA AYALA, SHARON CRISTINA MORALES MARTÍNEZ; LUIS GUSTAVO PARRA NORIEGA Y GUADALUPE RAMÍREZ PEÑA; EN LA VIGÉSIMA SEGUNDA SESIÓN ORDINARIA CELEBRADA EL QUINCE DE JUNIO DE DOS MIL VEINTIDÓS, ANTE EL SECRETARIO TÉCNICO DEL PLENO, ALEXIS TAPIA RAMÍREZ.</w:t>
      </w:r>
    </w:p>
    <w:p w14:paraId="0D5F3BB3" w14:textId="2EA81C80" w:rsidR="00C56BC1" w:rsidRDefault="00B7656C">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lang w:val="es-MX"/>
        </w:rPr>
        <mc:AlternateContent>
          <mc:Choice Requires="wps">
            <w:drawing>
              <wp:anchor distT="0" distB="0" distL="114300" distR="114300" simplePos="0" relativeHeight="251662336" behindDoc="0" locked="0" layoutInCell="1" allowOverlap="1" wp14:anchorId="025A305F" wp14:editId="598DEC77">
                <wp:simplePos x="0" y="0"/>
                <wp:positionH relativeFrom="column">
                  <wp:posOffset>204134</wp:posOffset>
                </wp:positionH>
                <wp:positionV relativeFrom="paragraph">
                  <wp:posOffset>234586</wp:posOffset>
                </wp:positionV>
                <wp:extent cx="5311739" cy="4551452"/>
                <wp:effectExtent l="38100" t="19050" r="60960" b="97155"/>
                <wp:wrapNone/>
                <wp:docPr id="1" name="Conector recto 1"/>
                <wp:cNvGraphicFramePr/>
                <a:graphic xmlns:a="http://schemas.openxmlformats.org/drawingml/2006/main">
                  <a:graphicData uri="http://schemas.microsoft.com/office/word/2010/wordprocessingShape">
                    <wps:wsp>
                      <wps:cNvCnPr/>
                      <wps:spPr>
                        <a:xfrm>
                          <a:off x="0" y="0"/>
                          <a:ext cx="5311739" cy="455145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0CF3C8" id="Conector recto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6.05pt,18.45pt" to="434.3pt,3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" strokecolor="#4f81bd [3204]" strokeweight="2pt">
                <v:shadow on="t" color="black" opacity="24903f" origin=",.5" offset="0,.55556mm"/>
              </v:line>
            </w:pict>
          </mc:Fallback>
        </mc:AlternateContent>
      </w:r>
    </w:p>
    <w:p w14:paraId="1981E758" w14:textId="77777777" w:rsidR="00C56BC1" w:rsidRDefault="00C56BC1">
      <w:pPr>
        <w:spacing w:before="240" w:after="240"/>
        <w:jc w:val="both"/>
        <w:rPr>
          <w:rFonts w:ascii="Palatino Linotype" w:eastAsia="Palatino Linotype" w:hAnsi="Palatino Linotype" w:cs="Palatino Linotype"/>
          <w:sz w:val="20"/>
          <w:szCs w:val="20"/>
        </w:rPr>
      </w:pPr>
    </w:p>
    <w:p w14:paraId="2794DFFB" w14:textId="77777777" w:rsidR="00C56BC1" w:rsidRDefault="00C56BC1">
      <w:pPr>
        <w:spacing w:before="240" w:after="240"/>
        <w:jc w:val="both"/>
        <w:rPr>
          <w:rFonts w:ascii="Palatino Linotype" w:eastAsia="Palatino Linotype" w:hAnsi="Palatino Linotype" w:cs="Palatino Linotype"/>
          <w:sz w:val="20"/>
          <w:szCs w:val="20"/>
        </w:rPr>
      </w:pPr>
    </w:p>
    <w:p w14:paraId="15615ED4" w14:textId="77777777" w:rsidR="00C56BC1" w:rsidRDefault="00C56BC1">
      <w:pPr>
        <w:spacing w:before="240" w:after="240"/>
        <w:jc w:val="both"/>
        <w:rPr>
          <w:rFonts w:ascii="Palatino Linotype" w:eastAsia="Palatino Linotype" w:hAnsi="Palatino Linotype" w:cs="Palatino Linotype"/>
          <w:sz w:val="20"/>
          <w:szCs w:val="20"/>
        </w:rPr>
      </w:pPr>
    </w:p>
    <w:p w14:paraId="537F98CC" w14:textId="77777777" w:rsidR="00C56BC1" w:rsidRDefault="00C56BC1">
      <w:pPr>
        <w:spacing w:before="240" w:after="240"/>
        <w:jc w:val="both"/>
        <w:rPr>
          <w:rFonts w:ascii="Palatino Linotype" w:eastAsia="Palatino Linotype" w:hAnsi="Palatino Linotype" w:cs="Palatino Linotype"/>
          <w:sz w:val="20"/>
          <w:szCs w:val="20"/>
        </w:rPr>
      </w:pPr>
    </w:p>
    <w:p w14:paraId="6115A346" w14:textId="77777777" w:rsidR="00C56BC1" w:rsidRDefault="00C56BC1">
      <w:pPr>
        <w:spacing w:before="240" w:after="240"/>
        <w:jc w:val="both"/>
        <w:rPr>
          <w:rFonts w:ascii="Palatino Linotype" w:eastAsia="Palatino Linotype" w:hAnsi="Palatino Linotype" w:cs="Palatino Linotype"/>
          <w:sz w:val="20"/>
          <w:szCs w:val="20"/>
        </w:rPr>
      </w:pPr>
    </w:p>
    <w:p w14:paraId="1625941E" w14:textId="77777777" w:rsidR="00C56BC1" w:rsidRDefault="00C56BC1">
      <w:pPr>
        <w:spacing w:before="240" w:after="240"/>
        <w:jc w:val="both"/>
        <w:rPr>
          <w:rFonts w:ascii="Palatino Linotype" w:eastAsia="Palatino Linotype" w:hAnsi="Palatino Linotype" w:cs="Palatino Linotype"/>
          <w:sz w:val="20"/>
          <w:szCs w:val="20"/>
        </w:rPr>
      </w:pPr>
    </w:p>
    <w:p w14:paraId="3AAFF4A7" w14:textId="77777777" w:rsidR="00C56BC1" w:rsidRDefault="00C56BC1">
      <w:pPr>
        <w:spacing w:before="240" w:after="240"/>
        <w:jc w:val="both"/>
        <w:rPr>
          <w:rFonts w:ascii="Palatino Linotype" w:eastAsia="Palatino Linotype" w:hAnsi="Palatino Linotype" w:cs="Palatino Linotype"/>
          <w:sz w:val="20"/>
          <w:szCs w:val="20"/>
        </w:rPr>
      </w:pPr>
    </w:p>
    <w:p w14:paraId="0B497586" w14:textId="77777777" w:rsidR="00C56BC1" w:rsidRDefault="00C56BC1">
      <w:pPr>
        <w:spacing w:before="240" w:after="240"/>
        <w:jc w:val="both"/>
        <w:rPr>
          <w:rFonts w:ascii="Palatino Linotype" w:eastAsia="Palatino Linotype" w:hAnsi="Palatino Linotype" w:cs="Palatino Linotype"/>
          <w:sz w:val="20"/>
          <w:szCs w:val="20"/>
        </w:rPr>
      </w:pPr>
    </w:p>
    <w:p w14:paraId="1C2E5AC4" w14:textId="77777777" w:rsidR="00C56BC1" w:rsidRDefault="00C56BC1">
      <w:pPr>
        <w:spacing w:before="240" w:after="240"/>
        <w:jc w:val="both"/>
        <w:rPr>
          <w:rFonts w:ascii="Palatino Linotype" w:eastAsia="Palatino Linotype" w:hAnsi="Palatino Linotype" w:cs="Palatino Linotype"/>
          <w:sz w:val="20"/>
          <w:szCs w:val="20"/>
        </w:rPr>
      </w:pPr>
    </w:p>
    <w:p w14:paraId="395CD6D0" w14:textId="77777777" w:rsidR="00C56BC1" w:rsidRDefault="00C56BC1">
      <w:pPr>
        <w:spacing w:before="240" w:after="240"/>
        <w:jc w:val="both"/>
        <w:rPr>
          <w:rFonts w:ascii="Palatino Linotype" w:eastAsia="Palatino Linotype" w:hAnsi="Palatino Linotype" w:cs="Palatino Linotype"/>
          <w:sz w:val="20"/>
          <w:szCs w:val="20"/>
        </w:rPr>
      </w:pPr>
    </w:p>
    <w:p w14:paraId="39A9B996" w14:textId="77777777" w:rsidR="00C56BC1" w:rsidRDefault="00C56BC1">
      <w:pPr>
        <w:spacing w:before="240" w:after="240"/>
        <w:jc w:val="both"/>
        <w:rPr>
          <w:rFonts w:ascii="Palatino Linotype" w:eastAsia="Palatino Linotype" w:hAnsi="Palatino Linotype" w:cs="Palatino Linotype"/>
          <w:sz w:val="20"/>
          <w:szCs w:val="20"/>
        </w:rPr>
      </w:pPr>
    </w:p>
    <w:p w14:paraId="3F418908" w14:textId="77777777" w:rsidR="00C56BC1" w:rsidRDefault="00C56BC1">
      <w:pPr>
        <w:spacing w:before="240" w:after="240"/>
        <w:jc w:val="both"/>
        <w:rPr>
          <w:rFonts w:ascii="Palatino Linotype" w:eastAsia="Palatino Linotype" w:hAnsi="Palatino Linotype" w:cs="Palatino Linotype"/>
          <w:sz w:val="20"/>
          <w:szCs w:val="20"/>
        </w:rPr>
      </w:pPr>
    </w:p>
    <w:p w14:paraId="5032D411" w14:textId="77777777" w:rsidR="00C56BC1" w:rsidRDefault="00C56BC1">
      <w:pPr>
        <w:spacing w:before="240" w:after="240"/>
        <w:jc w:val="both"/>
        <w:rPr>
          <w:rFonts w:ascii="Palatino Linotype" w:eastAsia="Palatino Linotype" w:hAnsi="Palatino Linotype" w:cs="Palatino Linotype"/>
          <w:sz w:val="20"/>
          <w:szCs w:val="20"/>
        </w:rPr>
      </w:pPr>
    </w:p>
    <w:p w14:paraId="48FE7A0D" w14:textId="77777777" w:rsidR="00C56BC1" w:rsidRDefault="00C56BC1">
      <w:pPr>
        <w:spacing w:before="240" w:after="240"/>
        <w:jc w:val="both"/>
        <w:rPr>
          <w:rFonts w:ascii="Palatino Linotype" w:eastAsia="Palatino Linotype" w:hAnsi="Palatino Linotype" w:cs="Palatino Linotype"/>
          <w:sz w:val="20"/>
          <w:szCs w:val="20"/>
        </w:rPr>
      </w:pPr>
    </w:p>
    <w:p w14:paraId="659D1172" w14:textId="77777777" w:rsidR="00C56BC1" w:rsidRDefault="00C56BC1">
      <w:pPr>
        <w:spacing w:before="240" w:after="240"/>
        <w:jc w:val="both"/>
        <w:rPr>
          <w:rFonts w:ascii="Palatino Linotype" w:eastAsia="Palatino Linotype" w:hAnsi="Palatino Linotype" w:cs="Palatino Linotype"/>
          <w:sz w:val="20"/>
          <w:szCs w:val="20"/>
        </w:rPr>
      </w:pPr>
    </w:p>
    <w:p w14:paraId="55B3429E" w14:textId="77777777" w:rsidR="00C56BC1" w:rsidRDefault="00C56BC1">
      <w:pPr>
        <w:spacing w:before="240" w:after="240"/>
        <w:jc w:val="both"/>
        <w:rPr>
          <w:rFonts w:ascii="Palatino Linotype" w:eastAsia="Palatino Linotype" w:hAnsi="Palatino Linotype" w:cs="Palatino Linotype"/>
          <w:sz w:val="20"/>
          <w:szCs w:val="20"/>
        </w:rPr>
      </w:pPr>
    </w:p>
    <w:p w14:paraId="590F7912" w14:textId="77777777" w:rsidR="00C56BC1" w:rsidRDefault="00C56BC1">
      <w:pPr>
        <w:spacing w:before="240" w:after="240"/>
        <w:jc w:val="both"/>
        <w:rPr>
          <w:rFonts w:ascii="Palatino Linotype" w:eastAsia="Palatino Linotype" w:hAnsi="Palatino Linotype" w:cs="Palatino Linotype"/>
          <w:sz w:val="20"/>
          <w:szCs w:val="20"/>
        </w:rPr>
      </w:pPr>
    </w:p>
    <w:p w14:paraId="41A480EE" w14:textId="77777777" w:rsidR="00C56BC1" w:rsidRDefault="00C56BC1">
      <w:pPr>
        <w:spacing w:before="240" w:after="240"/>
        <w:jc w:val="both"/>
        <w:rPr>
          <w:rFonts w:ascii="Palatino Linotype" w:eastAsia="Palatino Linotype" w:hAnsi="Palatino Linotype" w:cs="Palatino Linotype"/>
          <w:sz w:val="20"/>
          <w:szCs w:val="20"/>
        </w:rPr>
      </w:pPr>
    </w:p>
    <w:p w14:paraId="5EF2F8AF" w14:textId="77777777" w:rsidR="00C56BC1" w:rsidRDefault="00C56BC1">
      <w:pPr>
        <w:spacing w:before="240" w:after="240"/>
        <w:jc w:val="both"/>
        <w:rPr>
          <w:rFonts w:ascii="Palatino Linotype" w:eastAsia="Palatino Linotype" w:hAnsi="Palatino Linotype" w:cs="Palatino Linotype"/>
          <w:sz w:val="20"/>
          <w:szCs w:val="20"/>
        </w:rPr>
      </w:pPr>
    </w:p>
    <w:p w14:paraId="2A3B43B1" w14:textId="77777777" w:rsidR="00C56BC1" w:rsidRDefault="00C56BC1">
      <w:pPr>
        <w:spacing w:before="240" w:after="240"/>
        <w:jc w:val="both"/>
        <w:rPr>
          <w:rFonts w:ascii="Palatino Linotype" w:eastAsia="Palatino Linotype" w:hAnsi="Palatino Linotype" w:cs="Palatino Linotype"/>
          <w:sz w:val="20"/>
          <w:szCs w:val="20"/>
        </w:rPr>
      </w:pPr>
    </w:p>
    <w:p w14:paraId="3EA0A947" w14:textId="77777777" w:rsidR="00C56BC1" w:rsidRDefault="00C56BC1">
      <w:pPr>
        <w:spacing w:before="240" w:after="240"/>
        <w:jc w:val="both"/>
        <w:rPr>
          <w:rFonts w:ascii="Palatino Linotype" w:eastAsia="Palatino Linotype" w:hAnsi="Palatino Linotype" w:cs="Palatino Linotype"/>
          <w:sz w:val="20"/>
          <w:szCs w:val="20"/>
        </w:rPr>
      </w:pPr>
    </w:p>
    <w:p w14:paraId="348AE9AD" w14:textId="77777777" w:rsidR="00C56BC1" w:rsidRDefault="00C56BC1">
      <w:pPr>
        <w:spacing w:before="240" w:after="240"/>
        <w:jc w:val="both"/>
        <w:rPr>
          <w:rFonts w:ascii="Palatino Linotype" w:eastAsia="Palatino Linotype" w:hAnsi="Palatino Linotype" w:cs="Palatino Linotype"/>
          <w:sz w:val="20"/>
          <w:szCs w:val="20"/>
        </w:rPr>
      </w:pPr>
    </w:p>
    <w:sectPr w:rsidR="00C56BC1">
      <w:headerReference w:type="default" r:id="rId25"/>
      <w:footerReference w:type="default" r:id="rId26"/>
      <w:headerReference w:type="first" r:id="rId27"/>
      <w:footerReference w:type="first" r:id="rId2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450B58" w14:textId="77777777" w:rsidR="00231618" w:rsidRDefault="00231618">
      <w:r>
        <w:separator/>
      </w:r>
    </w:p>
  </w:endnote>
  <w:endnote w:type="continuationSeparator" w:id="0">
    <w:p w14:paraId="6554E103" w14:textId="77777777" w:rsidR="00231618" w:rsidRDefault="00231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5A588" w14:textId="77777777" w:rsidR="00C56BC1" w:rsidRDefault="00D1079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5259B">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5259B">
      <w:rPr>
        <w:rFonts w:ascii="Palatino Linotype" w:eastAsia="Palatino Linotype" w:hAnsi="Palatino Linotype" w:cs="Palatino Linotype"/>
        <w:b/>
        <w:noProof/>
        <w:color w:val="000000"/>
        <w:sz w:val="20"/>
        <w:szCs w:val="20"/>
      </w:rPr>
      <w:t>47</w:t>
    </w:r>
    <w:r>
      <w:rPr>
        <w:rFonts w:ascii="Palatino Linotype" w:eastAsia="Palatino Linotype" w:hAnsi="Palatino Linotype" w:cs="Palatino Linotype"/>
        <w:b/>
        <w:color w:val="000000"/>
        <w:sz w:val="20"/>
        <w:szCs w:val="20"/>
      </w:rPr>
      <w:fldChar w:fldCharType="end"/>
    </w:r>
  </w:p>
  <w:p w14:paraId="19CC152C" w14:textId="77777777" w:rsidR="00C56BC1" w:rsidRDefault="00C56BC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FF6EF" w14:textId="77777777" w:rsidR="00C56BC1" w:rsidRDefault="00D1079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A255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A2559">
      <w:rPr>
        <w:rFonts w:ascii="Palatino Linotype" w:eastAsia="Palatino Linotype" w:hAnsi="Palatino Linotype" w:cs="Palatino Linotype"/>
        <w:b/>
        <w:noProof/>
        <w:color w:val="000000"/>
        <w:sz w:val="20"/>
        <w:szCs w:val="20"/>
      </w:rPr>
      <w:t>47</w:t>
    </w:r>
    <w:r>
      <w:rPr>
        <w:rFonts w:ascii="Palatino Linotype" w:eastAsia="Palatino Linotype" w:hAnsi="Palatino Linotype" w:cs="Palatino Linotype"/>
        <w:b/>
        <w:color w:val="000000"/>
        <w:sz w:val="20"/>
        <w:szCs w:val="20"/>
      </w:rPr>
      <w:fldChar w:fldCharType="end"/>
    </w:r>
  </w:p>
  <w:p w14:paraId="0D4116AE" w14:textId="77777777" w:rsidR="00C56BC1" w:rsidRDefault="00C56BC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0A4A3D" w14:textId="77777777" w:rsidR="00231618" w:rsidRDefault="00231618">
      <w:r>
        <w:separator/>
      </w:r>
    </w:p>
  </w:footnote>
  <w:footnote w:type="continuationSeparator" w:id="0">
    <w:p w14:paraId="13C81074" w14:textId="77777777" w:rsidR="00231618" w:rsidRDefault="00231618">
      <w:r>
        <w:continuationSeparator/>
      </w:r>
    </w:p>
  </w:footnote>
  <w:footnote w:id="1">
    <w:p w14:paraId="41F27DC1" w14:textId="77777777" w:rsidR="00C56BC1" w:rsidRDefault="00D10798">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ECF23F1" w14:textId="77777777" w:rsidR="00C56BC1" w:rsidRDefault="00D1079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BD26A" w14:textId="77777777" w:rsidR="00C56BC1" w:rsidRDefault="00D10798">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C13CCD6" wp14:editId="4EA6197D">
          <wp:simplePos x="0" y="0"/>
          <wp:positionH relativeFrom="column">
            <wp:posOffset>-1080127</wp:posOffset>
          </wp:positionH>
          <wp:positionV relativeFrom="paragraph">
            <wp:posOffset>-396394</wp:posOffset>
          </wp:positionV>
          <wp:extent cx="7809865" cy="10165715"/>
          <wp:effectExtent l="0" t="0" r="0" b="0"/>
          <wp:wrapNone/>
          <wp:docPr id="2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5953" w:type="dxa"/>
      <w:tblInd w:w="3261" w:type="dxa"/>
      <w:tblLayout w:type="fixed"/>
      <w:tblLook w:val="0400" w:firstRow="0" w:lastRow="0" w:firstColumn="0" w:lastColumn="0" w:noHBand="0" w:noVBand="1"/>
    </w:tblPr>
    <w:tblGrid>
      <w:gridCol w:w="2489"/>
      <w:gridCol w:w="3464"/>
    </w:tblGrid>
    <w:tr w:rsidR="00C56BC1" w14:paraId="032A484B" w14:textId="77777777">
      <w:tc>
        <w:tcPr>
          <w:tcW w:w="2489" w:type="dxa"/>
          <w:shd w:val="clear" w:color="auto" w:fill="auto"/>
        </w:tcPr>
        <w:p w14:paraId="66E3F2CA" w14:textId="77777777" w:rsidR="00C56BC1" w:rsidRDefault="00D10798">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51E617C2" w14:textId="77777777" w:rsidR="00C56BC1" w:rsidRDefault="00D10798">
          <w:pPr>
            <w:ind w:right="175"/>
            <w:jc w:val="both"/>
            <w:rPr>
              <w:rFonts w:ascii="Palatino Linotype" w:eastAsia="Palatino Linotype" w:hAnsi="Palatino Linotype" w:cs="Palatino Linotype"/>
              <w:b/>
            </w:rPr>
          </w:pPr>
          <w:r>
            <w:rPr>
              <w:rFonts w:ascii="Palatino Linotype" w:eastAsia="Palatino Linotype" w:hAnsi="Palatino Linotype" w:cs="Palatino Linotype"/>
              <w:b/>
            </w:rPr>
            <w:t>06279/INFOEM/IP/RR/2022</w:t>
          </w:r>
        </w:p>
      </w:tc>
    </w:tr>
    <w:tr w:rsidR="00C56BC1" w14:paraId="2C5B11D0" w14:textId="77777777">
      <w:trPr>
        <w:trHeight w:val="228"/>
      </w:trPr>
      <w:tc>
        <w:tcPr>
          <w:tcW w:w="2489" w:type="dxa"/>
          <w:shd w:val="clear" w:color="auto" w:fill="auto"/>
          <w:vAlign w:val="center"/>
        </w:tcPr>
        <w:p w14:paraId="08241E6C" w14:textId="77777777" w:rsidR="00C56BC1" w:rsidRDefault="00D10798">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6CAFB90D" w14:textId="77777777" w:rsidR="00C56BC1" w:rsidRDefault="00D10798">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Organismo Público Descentralizado para la Prestación de Los Servicios de Agua Potable Alcantarillado y Saneamiento del Municipio de Metepec</w:t>
          </w:r>
        </w:p>
      </w:tc>
    </w:tr>
    <w:tr w:rsidR="00C56BC1" w14:paraId="0555A177" w14:textId="77777777">
      <w:trPr>
        <w:trHeight w:val="311"/>
      </w:trPr>
      <w:tc>
        <w:tcPr>
          <w:tcW w:w="2489" w:type="dxa"/>
          <w:shd w:val="clear" w:color="auto" w:fill="auto"/>
          <w:vAlign w:val="center"/>
        </w:tcPr>
        <w:p w14:paraId="3CC72B0F" w14:textId="77777777" w:rsidR="00C56BC1" w:rsidRDefault="00D10798">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3FCBB7C4" w14:textId="77777777" w:rsidR="00C56BC1" w:rsidRDefault="00D10798">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411FFBBE" w14:textId="77777777" w:rsidR="00C56BC1" w:rsidRDefault="00D10798">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9DF4F" w14:textId="77777777" w:rsidR="00C56BC1" w:rsidRDefault="00D1079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552CB20A" wp14:editId="2EB71D79">
          <wp:simplePos x="0" y="0"/>
          <wp:positionH relativeFrom="column">
            <wp:posOffset>-943605</wp:posOffset>
          </wp:positionH>
          <wp:positionV relativeFrom="paragraph">
            <wp:posOffset>-360675</wp:posOffset>
          </wp:positionV>
          <wp:extent cx="7809865" cy="10165715"/>
          <wp:effectExtent l="0" t="0" r="0" b="0"/>
          <wp:wrapNone/>
          <wp:docPr id="2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9"/>
      <w:tblW w:w="6095" w:type="dxa"/>
      <w:tblInd w:w="3261" w:type="dxa"/>
      <w:tblLayout w:type="fixed"/>
      <w:tblLook w:val="0400" w:firstRow="0" w:lastRow="0" w:firstColumn="0" w:lastColumn="0" w:noHBand="0" w:noVBand="1"/>
    </w:tblPr>
    <w:tblGrid>
      <w:gridCol w:w="2551"/>
      <w:gridCol w:w="3544"/>
    </w:tblGrid>
    <w:tr w:rsidR="00C56BC1" w14:paraId="198AF66E" w14:textId="77777777">
      <w:tc>
        <w:tcPr>
          <w:tcW w:w="2551" w:type="dxa"/>
          <w:shd w:val="clear" w:color="auto" w:fill="auto"/>
          <w:vAlign w:val="center"/>
        </w:tcPr>
        <w:p w14:paraId="0C48CED1" w14:textId="77777777" w:rsidR="00C56BC1" w:rsidRDefault="00D10798">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44" w:type="dxa"/>
          <w:shd w:val="clear" w:color="auto" w:fill="auto"/>
          <w:vAlign w:val="center"/>
        </w:tcPr>
        <w:p w14:paraId="6032D7BA" w14:textId="77777777" w:rsidR="00C56BC1" w:rsidRDefault="00D10798">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06279/INFOEM/IP/RR/2022</w:t>
          </w:r>
        </w:p>
      </w:tc>
    </w:tr>
    <w:tr w:rsidR="00C56BC1" w14:paraId="23B6A5B6" w14:textId="77777777">
      <w:trPr>
        <w:trHeight w:val="130"/>
      </w:trPr>
      <w:tc>
        <w:tcPr>
          <w:tcW w:w="2551" w:type="dxa"/>
          <w:shd w:val="clear" w:color="auto" w:fill="auto"/>
          <w:vAlign w:val="center"/>
        </w:tcPr>
        <w:p w14:paraId="031C971B" w14:textId="77777777" w:rsidR="00C56BC1" w:rsidRDefault="00D10798">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544" w:type="dxa"/>
          <w:shd w:val="clear" w:color="auto" w:fill="auto"/>
          <w:vAlign w:val="center"/>
        </w:tcPr>
        <w:p w14:paraId="7ADDA2AC" w14:textId="77777777" w:rsidR="00C56BC1" w:rsidRDefault="00C56BC1">
          <w:pPr>
            <w:jc w:val="both"/>
            <w:rPr>
              <w:rFonts w:ascii="Palatino Linotype" w:eastAsia="Palatino Linotype" w:hAnsi="Palatino Linotype" w:cs="Palatino Linotype"/>
              <w:b/>
            </w:rPr>
          </w:pPr>
        </w:p>
      </w:tc>
    </w:tr>
    <w:tr w:rsidR="00C56BC1" w14:paraId="710842F2" w14:textId="77777777">
      <w:trPr>
        <w:trHeight w:val="228"/>
      </w:trPr>
      <w:tc>
        <w:tcPr>
          <w:tcW w:w="2551" w:type="dxa"/>
          <w:shd w:val="clear" w:color="auto" w:fill="auto"/>
          <w:vAlign w:val="center"/>
        </w:tcPr>
        <w:p w14:paraId="31000006" w14:textId="77777777" w:rsidR="00C56BC1" w:rsidRDefault="00D10798">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44" w:type="dxa"/>
          <w:shd w:val="clear" w:color="auto" w:fill="auto"/>
          <w:vAlign w:val="center"/>
        </w:tcPr>
        <w:p w14:paraId="680DB5E7" w14:textId="72340D66" w:rsidR="00C56BC1" w:rsidRDefault="00D10798">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 xml:space="preserve">Organismo Público Descentralizado para la Prestación de </w:t>
          </w:r>
          <w:r w:rsidR="00B7656C">
            <w:rPr>
              <w:rFonts w:ascii="Palatino Linotype" w:eastAsia="Palatino Linotype" w:hAnsi="Palatino Linotype" w:cs="Palatino Linotype"/>
              <w:b/>
            </w:rPr>
            <w:t>l</w:t>
          </w:r>
          <w:r>
            <w:rPr>
              <w:rFonts w:ascii="Palatino Linotype" w:eastAsia="Palatino Linotype" w:hAnsi="Palatino Linotype" w:cs="Palatino Linotype"/>
              <w:b/>
            </w:rPr>
            <w:t>os Servicios de Agua Potable Alcantarillado y Saneamiento del Municipio de Metepec</w:t>
          </w:r>
        </w:p>
      </w:tc>
    </w:tr>
    <w:tr w:rsidR="00C56BC1" w14:paraId="182442B6" w14:textId="77777777">
      <w:tc>
        <w:tcPr>
          <w:tcW w:w="2551" w:type="dxa"/>
          <w:shd w:val="clear" w:color="auto" w:fill="auto"/>
          <w:vAlign w:val="center"/>
        </w:tcPr>
        <w:p w14:paraId="64FD2A8F" w14:textId="77777777" w:rsidR="00C56BC1" w:rsidRDefault="00D10798">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44" w:type="dxa"/>
          <w:shd w:val="clear" w:color="auto" w:fill="auto"/>
          <w:vAlign w:val="center"/>
        </w:tcPr>
        <w:p w14:paraId="5F569879" w14:textId="77777777" w:rsidR="00C56BC1" w:rsidRDefault="00D10798">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421FF10C" w14:textId="77777777" w:rsidR="00C56BC1" w:rsidRDefault="00C56BC1">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E758C"/>
    <w:multiLevelType w:val="multilevel"/>
    <w:tmpl w:val="918C45E4"/>
    <w:lvl w:ilvl="0">
      <w:start w:val="1"/>
      <w:numFmt w:val="lowerLetter"/>
      <w:pStyle w:val="Listaconvietas3"/>
      <w:lvlText w:val="%1)"/>
      <w:lvlJc w:val="left"/>
      <w:pPr>
        <w:ind w:left="720" w:hanging="360"/>
      </w:pPr>
      <w:rPr>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895864"/>
    <w:multiLevelType w:val="multilevel"/>
    <w:tmpl w:val="59FCB598"/>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5BDC6062"/>
    <w:multiLevelType w:val="multilevel"/>
    <w:tmpl w:val="D11A49D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BC1"/>
    <w:rsid w:val="0005259B"/>
    <w:rsid w:val="001E4460"/>
    <w:rsid w:val="00231618"/>
    <w:rsid w:val="002A0E3E"/>
    <w:rsid w:val="002D184D"/>
    <w:rsid w:val="0048512A"/>
    <w:rsid w:val="007A2559"/>
    <w:rsid w:val="00B7656C"/>
    <w:rsid w:val="00C56BC1"/>
    <w:rsid w:val="00D107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49BAE"/>
  <w15:docId w15:val="{3F2F537E-5552-49AE-8E72-32AC1A2BE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12">
    <w:name w:val="12"/>
    <w:basedOn w:val="TableNormal10"/>
    <w:rPr>
      <w:sz w:val="22"/>
      <w:szCs w:val="22"/>
    </w:rPr>
    <w:tblPr>
      <w:tblStyleRowBandSize w:val="1"/>
      <w:tblStyleColBandSize w:val="1"/>
      <w:tblCellMar>
        <w:left w:w="108" w:type="dxa"/>
        <w:right w:w="108" w:type="dxa"/>
      </w:tblCellMar>
    </w:tblPr>
  </w:style>
  <w:style w:type="table" w:customStyle="1" w:styleId="11">
    <w:name w:val="11"/>
    <w:basedOn w:val="TableNormal10"/>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table" w:customStyle="1" w:styleId="8">
    <w:name w:val="8"/>
    <w:basedOn w:val="TableNormal10"/>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rPr>
      <w:sz w:val="22"/>
      <w:szCs w:val="22"/>
    </w:rPr>
    <w:tblPr>
      <w:tblStyleRowBandSize w:val="1"/>
      <w:tblStyleColBandSize w:val="1"/>
      <w:tblCellMar>
        <w:left w:w="115" w:type="dxa"/>
        <w:right w:w="115" w:type="dxa"/>
      </w:tblCellMar>
    </w:tblPr>
  </w:style>
  <w:style w:type="table" w:customStyle="1" w:styleId="6">
    <w:name w:val="6"/>
    <w:basedOn w:val="TableNormal10"/>
    <w:rPr>
      <w:sz w:val="22"/>
      <w:szCs w:val="22"/>
    </w:rPr>
    <w:tblPr>
      <w:tblStyleRowBandSize w:val="1"/>
      <w:tblStyleColBandSize w:val="1"/>
      <w:tblCellMar>
        <w:left w:w="115" w:type="dxa"/>
        <w:right w:w="115" w:type="dxa"/>
      </w:tblCellMar>
    </w:tblPr>
  </w:style>
  <w:style w:type="table" w:customStyle="1" w:styleId="5">
    <w:name w:val="5"/>
    <w:basedOn w:val="TableNormal20"/>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20"/>
    <w:rPr>
      <w:sz w:val="22"/>
      <w:szCs w:val="22"/>
    </w:rPr>
    <w:tblPr>
      <w:tblStyleRowBandSize w:val="1"/>
      <w:tblStyleColBandSize w:val="1"/>
      <w:tblCellMar>
        <w:left w:w="115" w:type="dxa"/>
        <w:right w:w="115" w:type="dxa"/>
      </w:tblCellMar>
    </w:tblPr>
  </w:style>
  <w:style w:type="table" w:customStyle="1" w:styleId="3">
    <w:name w:val="3"/>
    <w:basedOn w:val="TableNormal20"/>
    <w:rPr>
      <w:sz w:val="22"/>
      <w:szCs w:val="22"/>
    </w:rPr>
    <w:tblPr>
      <w:tblStyleRowBandSize w:val="1"/>
      <w:tblStyleColBandSize w:val="1"/>
      <w:tblCellMar>
        <w:left w:w="115" w:type="dxa"/>
        <w:right w:w="115" w:type="dxa"/>
      </w:tblCellMar>
    </w:tblPr>
  </w:style>
  <w:style w:type="table" w:customStyle="1" w:styleId="2">
    <w:name w:val="2"/>
    <w:basedOn w:val="TableNormal30"/>
    <w:rPr>
      <w:sz w:val="22"/>
      <w:szCs w:val="22"/>
    </w:rPr>
    <w:tblPr>
      <w:tblStyleRowBandSize w:val="1"/>
      <w:tblStyleColBandSize w:val="1"/>
      <w:tblCellMar>
        <w:left w:w="115" w:type="dxa"/>
        <w:right w:w="115" w:type="dxa"/>
      </w:tblCellMar>
    </w:tblPr>
  </w:style>
  <w:style w:type="table" w:customStyle="1" w:styleId="1">
    <w:name w:val="1"/>
    <w:basedOn w:val="TableNormal30"/>
    <w:rPr>
      <w:sz w:val="22"/>
      <w:szCs w:val="22"/>
    </w:rPr>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1F195A"/>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70" w:type="dxa"/>
        <w:right w:w="70" w:type="dxa"/>
      </w:tblCellMar>
    </w:tblPr>
  </w:style>
  <w:style w:type="table" w:customStyle="1" w:styleId="a2">
    <w:basedOn w:val="TableNormal3"/>
    <w:rPr>
      <w:sz w:val="22"/>
      <w:szCs w:val="22"/>
    </w:rPr>
    <w:tblPr>
      <w:tblStyleRowBandSize w:val="1"/>
      <w:tblStyleColBandSize w:val="1"/>
      <w:tblCellMar>
        <w:left w:w="115" w:type="dxa"/>
        <w:right w:w="115" w:type="dxa"/>
      </w:tblCellMar>
    </w:tblPr>
  </w:style>
  <w:style w:type="table" w:customStyle="1" w:styleId="a3">
    <w:basedOn w:val="TableNormal3"/>
    <w:rPr>
      <w:sz w:val="22"/>
      <w:szCs w:val="22"/>
    </w:rPr>
    <w:tblPr>
      <w:tblStyleRowBandSize w:val="1"/>
      <w:tblStyleColBandSize w:val="1"/>
      <w:tblCellMar>
        <w:left w:w="115" w:type="dxa"/>
        <w:right w:w="115" w:type="dxa"/>
      </w:tblCellMar>
    </w:tblPr>
  </w:style>
  <w:style w:type="table" w:customStyle="1" w:styleId="a4">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5">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8">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9">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a">
    <w:basedOn w:val="TableNormal0"/>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OASMETEPEC.web" TargetMode="Externa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15.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hyperlink" Target="https://www.ipomex.org.mx/ipo3/lgt/indice/OASMETEPEC.web"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Knym14F0Vut4AAGH38YGYgngAA==">AMUW2mViC3KuuCZNBrvENWkgJPFUjlESZmBFp2kNiTfD4dMnVCsWeNA8iyyB7BfbxEph4HKCtL3JUV0WUlZibsj9ClCexKfgDTDGxLGumO4RzWoPxB0JeRXxX3gS54x4SmXhrdSvtMwwYY2CBGrbuQUajIt2U6bdIlqN/iYztuMXVZQ+4Eio0hI=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8311</Words>
  <Characters>45713</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2022-06-16T20:20:00Z</cp:lastPrinted>
  <dcterms:created xsi:type="dcterms:W3CDTF">2022-06-27T17:11:00Z</dcterms:created>
  <dcterms:modified xsi:type="dcterms:W3CDTF">2022-06-27T17:11:00Z</dcterms:modified>
</cp:coreProperties>
</file>