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8E9DF4" w14:textId="77777777" w:rsidR="00EF7352" w:rsidRDefault="00C00404">
      <w:pPr>
        <w:spacing w:before="240" w:after="240" w:line="360" w:lineRule="auto"/>
        <w:jc w:val="both"/>
        <w:rPr>
          <w:rFonts w:ascii="Palatino Linotype" w:eastAsia="Palatino Linotype" w:hAnsi="Palatino Linotype" w:cs="Palatino Linotype"/>
        </w:rPr>
      </w:pPr>
      <w:bookmarkStart w:id="0" w:name="_heading=h.gjdgxs" w:colFirst="0" w:colLast="0"/>
      <w:bookmarkEnd w:id="0"/>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b/>
        </w:rPr>
        <w:t>veint</w:t>
      </w:r>
      <w:r w:rsidR="00106CE9">
        <w:rPr>
          <w:rFonts w:ascii="Palatino Linotype" w:eastAsia="Palatino Linotype" w:hAnsi="Palatino Linotype" w:cs="Palatino Linotype"/>
          <w:b/>
        </w:rPr>
        <w:t>isiet</w:t>
      </w:r>
      <w:r>
        <w:rPr>
          <w:rFonts w:ascii="Palatino Linotype" w:eastAsia="Palatino Linotype" w:hAnsi="Palatino Linotype" w:cs="Palatino Linotype"/>
          <w:b/>
        </w:rPr>
        <w:t>e de abril del dos mil veintidós</w:t>
      </w:r>
      <w:r>
        <w:rPr>
          <w:rFonts w:ascii="Palatino Linotype" w:eastAsia="Palatino Linotype" w:hAnsi="Palatino Linotype" w:cs="Palatino Linotype"/>
        </w:rPr>
        <w:t>.</w:t>
      </w:r>
    </w:p>
    <w:p w14:paraId="094E85EA" w14:textId="21902A7A" w:rsidR="00EF7352" w:rsidRDefault="00C00404">
      <w:pPr>
        <w:spacing w:before="240" w:after="240" w:line="360" w:lineRule="auto"/>
        <w:jc w:val="both"/>
        <w:rPr>
          <w:rFonts w:ascii="Palatino Linotype" w:eastAsia="Palatino Linotype" w:hAnsi="Palatino Linotype" w:cs="Palatino Linotype"/>
        </w:rPr>
      </w:pPr>
      <w:bookmarkStart w:id="1" w:name="_heading=h.30j0zll" w:colFirst="0" w:colLast="0"/>
      <w:bookmarkEnd w:id="1"/>
      <w:r>
        <w:rPr>
          <w:rFonts w:ascii="Palatino Linotype" w:eastAsia="Palatino Linotype" w:hAnsi="Palatino Linotype" w:cs="Palatino Linotype"/>
          <w:b/>
        </w:rPr>
        <w:t xml:space="preserve">Visto </w:t>
      </w:r>
      <w:r>
        <w:rPr>
          <w:rFonts w:ascii="Palatino Linotype" w:eastAsia="Palatino Linotype" w:hAnsi="Palatino Linotype" w:cs="Palatino Linotype"/>
        </w:rPr>
        <w:t xml:space="preserve">el expediente relativo al recurso de revisión </w:t>
      </w:r>
      <w:r w:rsidR="00106CE9">
        <w:rPr>
          <w:rFonts w:ascii="Palatino Linotype" w:eastAsia="Palatino Linotype" w:hAnsi="Palatino Linotype" w:cs="Palatino Linotype"/>
          <w:b/>
        </w:rPr>
        <w:t>0325</w:t>
      </w:r>
      <w:r>
        <w:rPr>
          <w:rFonts w:ascii="Palatino Linotype" w:eastAsia="Palatino Linotype" w:hAnsi="Palatino Linotype" w:cs="Palatino Linotype"/>
          <w:b/>
        </w:rPr>
        <w:t>9/INFOEM/IP/RR/2022</w:t>
      </w:r>
      <w:r>
        <w:rPr>
          <w:rFonts w:ascii="Palatino Linotype" w:eastAsia="Palatino Linotype" w:hAnsi="Palatino Linotype" w:cs="Palatino Linotype"/>
        </w:rPr>
        <w:t xml:space="preserve">, interpuesto por </w:t>
      </w:r>
      <w:r w:rsidR="0070341A" w:rsidRPr="0070341A">
        <w:rPr>
          <w:rFonts w:ascii="Palatino Linotype" w:eastAsia="Palatino Linotype" w:hAnsi="Palatino Linotype" w:cs="Palatino Linotype"/>
          <w:b/>
        </w:rPr>
        <w:t>XXXXXX XXXX XXXXXXX</w:t>
      </w:r>
      <w:r>
        <w:rPr>
          <w:rFonts w:ascii="Palatino Linotype" w:eastAsia="Palatino Linotype" w:hAnsi="Palatino Linotype" w:cs="Palatino Linotype"/>
          <w:b/>
        </w:rPr>
        <w:t>,</w:t>
      </w:r>
      <w:r w:rsidR="00106CE9">
        <w:rPr>
          <w:rFonts w:ascii="Palatino Linotype" w:eastAsia="Palatino Linotype" w:hAnsi="Palatino Linotype" w:cs="Palatino Linotype"/>
        </w:rPr>
        <w:t xml:space="preserve"> en lo sucesivo </w:t>
      </w:r>
      <w:r w:rsidR="00106CE9" w:rsidRPr="00106CE9">
        <w:rPr>
          <w:rFonts w:ascii="Palatino Linotype" w:eastAsia="Palatino Linotype" w:hAnsi="Palatino Linotype" w:cs="Palatino Linotype"/>
          <w:b/>
        </w:rPr>
        <w:t>la</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falta de respuesta a la solicitud de información con número de folio </w:t>
      </w:r>
      <w:r w:rsidR="00106CE9" w:rsidRPr="00106CE9">
        <w:rPr>
          <w:rFonts w:ascii="Palatino Linotype" w:eastAsia="Palatino Linotype" w:hAnsi="Palatino Linotype" w:cs="Palatino Linotype"/>
          <w:b/>
          <w:bCs/>
        </w:rPr>
        <w:t>00022/ACOLMAN/IP/2022</w:t>
      </w:r>
      <w:r>
        <w:rPr>
          <w:rFonts w:ascii="Palatino Linotype" w:eastAsia="Palatino Linotype" w:hAnsi="Palatino Linotype" w:cs="Palatino Linotype"/>
          <w:b/>
        </w:rPr>
        <w:t>,</w:t>
      </w:r>
      <w:r>
        <w:rPr>
          <w:rFonts w:ascii="Palatino Linotype" w:eastAsia="Palatino Linotype" w:hAnsi="Palatino Linotype" w:cs="Palatino Linotype"/>
        </w:rPr>
        <w:t xml:space="preserve"> por parte de </w:t>
      </w:r>
      <w:r w:rsidR="00106CE9">
        <w:rPr>
          <w:rFonts w:ascii="Palatino Linotype" w:eastAsia="Palatino Linotype" w:hAnsi="Palatino Linotype" w:cs="Palatino Linotype"/>
          <w:b/>
        </w:rPr>
        <w:t>Ayuntamiento de Acolman</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 siguiente. </w:t>
      </w:r>
    </w:p>
    <w:p w14:paraId="2474278B" w14:textId="77777777" w:rsidR="00EF7352" w:rsidRDefault="00C00404">
      <w:pPr>
        <w:numPr>
          <w:ilvl w:val="0"/>
          <w:numId w:val="3"/>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14:paraId="171DC88E" w14:textId="77777777" w:rsidR="00EF7352" w:rsidRDefault="00C0040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1. Solicitud de acceso a la información. </w:t>
      </w:r>
      <w:r>
        <w:rPr>
          <w:rFonts w:ascii="Palatino Linotype" w:eastAsia="Palatino Linotype" w:hAnsi="Palatino Linotype" w:cs="Palatino Linotype"/>
        </w:rPr>
        <w:t xml:space="preserve">Con fecha </w:t>
      </w:r>
      <w:r w:rsidR="00106CE9">
        <w:rPr>
          <w:rFonts w:ascii="Palatino Linotype" w:eastAsia="Palatino Linotype" w:hAnsi="Palatino Linotype" w:cs="Palatino Linotype"/>
          <w:b/>
        </w:rPr>
        <w:t>cuatro de febr</w:t>
      </w:r>
      <w:r>
        <w:rPr>
          <w:rFonts w:ascii="Palatino Linotype" w:eastAsia="Palatino Linotype" w:hAnsi="Palatino Linotype" w:cs="Palatino Linotype"/>
          <w:b/>
        </w:rPr>
        <w:t>ero de dos mil veintidós</w:t>
      </w:r>
      <w:r w:rsidR="00106CE9">
        <w:rPr>
          <w:rFonts w:ascii="Palatino Linotype" w:eastAsia="Palatino Linotype" w:hAnsi="Palatino Linotype" w:cs="Palatino Linotype"/>
        </w:rPr>
        <w:t xml:space="preserve">, </w:t>
      </w:r>
      <w:r w:rsidR="00106CE9" w:rsidRPr="00106CE9">
        <w:rPr>
          <w:rFonts w:ascii="Palatino Linotype" w:eastAsia="Palatino Linotype" w:hAnsi="Palatino Linotype" w:cs="Palatino Linotype"/>
          <w:b/>
        </w:rPr>
        <w:t>la</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14:paraId="6CA3A6E1" w14:textId="77777777" w:rsidR="00EF7352" w:rsidRDefault="00C00404">
      <w:pPr>
        <w:pBdr>
          <w:top w:val="nil"/>
          <w:left w:val="nil"/>
          <w:bottom w:val="nil"/>
          <w:right w:val="nil"/>
          <w:between w:val="nil"/>
        </w:pBdr>
        <w:spacing w:before="240"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106CE9" w:rsidRPr="00106CE9">
        <w:rPr>
          <w:rFonts w:ascii="Palatino Linotype" w:eastAsia="Palatino Linotype" w:hAnsi="Palatino Linotype" w:cs="Palatino Linotype"/>
          <w:i/>
          <w:color w:val="000000"/>
          <w:sz w:val="22"/>
          <w:szCs w:val="22"/>
        </w:rPr>
        <w:t>SOLICITO INFORMACIÓN ARCHIVISTICA MUNICIPAL, MISMA QUE SE DETALLA EN EL ARCHIVO ADJUNTO, CON RESPUESTA EN MI CORREO ELECTRÓNICO EN COPIAS SIMPLES.</w:t>
      </w:r>
      <w:r>
        <w:rPr>
          <w:rFonts w:ascii="Palatino Linotype" w:eastAsia="Palatino Linotype" w:hAnsi="Palatino Linotype" w:cs="Palatino Linotype"/>
          <w:i/>
          <w:color w:val="000000"/>
          <w:sz w:val="22"/>
          <w:szCs w:val="22"/>
        </w:rPr>
        <w:t>” (Sic)</w:t>
      </w:r>
    </w:p>
    <w:p w14:paraId="5D4607E3" w14:textId="77777777" w:rsidR="00EF7352" w:rsidRDefault="00C0040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a través del SAIMEX.</w:t>
      </w:r>
    </w:p>
    <w:p w14:paraId="62A97CEF" w14:textId="77777777" w:rsidR="00106CE9" w:rsidRDefault="00106CE9" w:rsidP="00106CE9">
      <w:pPr>
        <w:spacing w:before="240" w:after="240" w:line="360" w:lineRule="auto"/>
        <w:ind w:left="567" w:right="900"/>
        <w:jc w:val="both"/>
        <w:rPr>
          <w:rFonts w:ascii="Palatino Linotype" w:eastAsia="Palatino Linotype" w:hAnsi="Palatino Linotype" w:cs="Palatino Linotype"/>
        </w:rPr>
      </w:pPr>
      <w:r w:rsidRPr="00106CE9">
        <w:rPr>
          <w:rFonts w:ascii="Palatino Linotype" w:eastAsia="Palatino Linotype" w:hAnsi="Palatino Linotype" w:cs="Palatino Linotype"/>
          <w:b/>
        </w:rPr>
        <w:t xml:space="preserve">Archivos adjuntos: </w:t>
      </w:r>
      <w:r>
        <w:rPr>
          <w:rFonts w:ascii="Palatino Linotype" w:eastAsia="Palatino Linotype" w:hAnsi="Palatino Linotype" w:cs="Palatino Linotype"/>
        </w:rPr>
        <w:t xml:space="preserve">La solicitante adjuntó el documento electrónico denominado </w:t>
      </w:r>
      <w:r w:rsidRPr="00106CE9">
        <w:rPr>
          <w:rFonts w:ascii="Palatino Linotype" w:eastAsia="Palatino Linotype" w:hAnsi="Palatino Linotype" w:cs="Palatino Linotype"/>
          <w:b/>
          <w:i/>
        </w:rPr>
        <w:t>“SOL.INF.ARCH..pdf”</w:t>
      </w:r>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el cual consta en un cuestionario de diecisiete fojas, se inserta la primera foja de manera ilustrativa: </w:t>
      </w:r>
    </w:p>
    <w:p w14:paraId="1B2AC521" w14:textId="77777777" w:rsidR="00106CE9" w:rsidRPr="00106CE9" w:rsidRDefault="00106CE9" w:rsidP="00106CE9">
      <w:pPr>
        <w:spacing w:before="240" w:after="24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14:anchorId="3B9CFA0C" wp14:editId="10317607">
            <wp:extent cx="5295900" cy="6858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5900" cy="6858000"/>
                    </a:xfrm>
                    <a:prstGeom prst="rect">
                      <a:avLst/>
                    </a:prstGeom>
                    <a:noFill/>
                    <a:ln>
                      <a:noFill/>
                    </a:ln>
                  </pic:spPr>
                </pic:pic>
              </a:graphicData>
            </a:graphic>
          </wp:inline>
        </w:drawing>
      </w:r>
    </w:p>
    <w:p w14:paraId="52D93078" w14:textId="77777777" w:rsidR="00EF7352" w:rsidRDefault="00C00404">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2. Respuesta. </w:t>
      </w:r>
      <w:r>
        <w:rPr>
          <w:rFonts w:ascii="Palatino Linotype" w:eastAsia="Palatino Linotype" w:hAnsi="Palatino Linotype" w:cs="Palatino Linotype"/>
        </w:rPr>
        <w:t xml:space="preserve">De las constancias que obran en SAIMEX, se observa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emitió respuesta a la solicitud de información formulada por la parte </w:t>
      </w:r>
      <w:r>
        <w:rPr>
          <w:rFonts w:ascii="Palatino Linotype" w:eastAsia="Palatino Linotype" w:hAnsi="Palatino Linotype" w:cs="Palatino Linotype"/>
          <w:b/>
        </w:rPr>
        <w:t>Recurrente.</w:t>
      </w:r>
    </w:p>
    <w:p w14:paraId="71254F3F" w14:textId="4EB58ECB" w:rsidR="00EF7352" w:rsidRDefault="0070341A">
      <w:pPr>
        <w:spacing w:before="240" w:after="240" w:line="360" w:lineRule="auto"/>
        <w:jc w:val="both"/>
        <w:rPr>
          <w:rFonts w:ascii="Palatino Linotype" w:eastAsia="Palatino Linotype" w:hAnsi="Palatino Linotype" w:cs="Palatino Linotype"/>
          <w:b/>
        </w:rPr>
      </w:pPr>
      <w:r>
        <w:object w:dxaOrig="9720" w:dyaOrig="450" w14:anchorId="399148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20.25pt" o:ole="">
            <v:imagedata r:id="rId9" o:title=""/>
          </v:shape>
          <o:OLEObject Type="Embed" ProgID="Paint.Picture.1" ShapeID="_x0000_i1025" DrawAspect="Content" ObjectID="_1713619091" r:id="rId10"/>
        </w:object>
      </w:r>
    </w:p>
    <w:p w14:paraId="3F5E140E" w14:textId="77777777" w:rsidR="00EF7352" w:rsidRDefault="00C0040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la parte solicitante con la falta de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interpuso recurso de revisión a través de SAIMEX en fecha </w:t>
      </w:r>
      <w:r w:rsidR="00106CE9">
        <w:rPr>
          <w:rFonts w:ascii="Palatino Linotype" w:eastAsia="Palatino Linotype" w:hAnsi="Palatino Linotype" w:cs="Palatino Linotype"/>
          <w:b/>
        </w:rPr>
        <w:t>tres de marz</w:t>
      </w:r>
      <w:r>
        <w:rPr>
          <w:rFonts w:ascii="Palatino Linotype" w:eastAsia="Palatino Linotype" w:hAnsi="Palatino Linotype" w:cs="Palatino Linotype"/>
          <w:b/>
        </w:rPr>
        <w:t>o de dos mil veintidós</w:t>
      </w:r>
      <w:r>
        <w:rPr>
          <w:rFonts w:ascii="Palatino Linotype" w:eastAsia="Palatino Linotype" w:hAnsi="Palatino Linotype" w:cs="Palatino Linotype"/>
        </w:rPr>
        <w:t>, expresando lo siguiente:</w:t>
      </w:r>
    </w:p>
    <w:p w14:paraId="173433C8" w14:textId="77777777" w:rsidR="00EF7352" w:rsidRDefault="00C00404">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14:paraId="48B33933" w14:textId="77777777" w:rsidR="00EF7352" w:rsidRDefault="00C00404">
      <w:pPr>
        <w:pBdr>
          <w:top w:val="nil"/>
          <w:left w:val="nil"/>
          <w:bottom w:val="nil"/>
          <w:right w:val="nil"/>
          <w:between w:val="nil"/>
        </w:pBdr>
        <w:spacing w:before="240"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106CE9" w:rsidRPr="00106CE9">
        <w:rPr>
          <w:rFonts w:ascii="Palatino Linotype" w:eastAsia="Palatino Linotype" w:hAnsi="Palatino Linotype" w:cs="Palatino Linotype"/>
          <w:i/>
          <w:color w:val="000000"/>
          <w:sz w:val="22"/>
          <w:szCs w:val="22"/>
        </w:rPr>
        <w:t>CON FUNDAMENTO EN LOS ARTÍCULOS 142 Y 143 FRACCIÓN VI DE LA LEY GENERAL DE TRANSPARENCIA Y ACCESO A LA INFORMACIÓN PÚBLICA; ARTÍCULOS 178 Y 179 FRACCIONES VII DE LA LEY DE TRANSPARENCIA Y ACCESO A LA INFORMACIÓN PÚBLICA DEL ESTADO DE MÉXICO Y MUNICIPIOS ASÍ COMO EL ARTÍCULO 121 FRACCIÓN I DE LA LEY GENERAL DE ARCHIVOS, ME PERMITO INTERPONER RECURSO DE REVISIÓN POR LA FALTA DE RESPUESTA A UNA SOLICITUD DE ACCESO A LA INFORMACIÓN, POR PARTE DEL AYUNTAMIENTO DE ACOLMAN.</w:t>
      </w:r>
      <w:r>
        <w:rPr>
          <w:rFonts w:ascii="Palatino Linotype" w:eastAsia="Palatino Linotype" w:hAnsi="Palatino Linotype" w:cs="Palatino Linotype"/>
          <w:i/>
          <w:color w:val="000000"/>
          <w:sz w:val="22"/>
          <w:szCs w:val="22"/>
        </w:rPr>
        <w:t>” (Sic)</w:t>
      </w:r>
    </w:p>
    <w:p w14:paraId="1EA6468D" w14:textId="77777777" w:rsidR="00EF7352" w:rsidRDefault="00C00404">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14:paraId="6BED4DB6" w14:textId="77777777" w:rsidR="00EF7352" w:rsidRDefault="00C00404">
      <w:pPr>
        <w:pBdr>
          <w:top w:val="nil"/>
          <w:left w:val="nil"/>
          <w:bottom w:val="nil"/>
          <w:right w:val="nil"/>
          <w:between w:val="nil"/>
        </w:pBdr>
        <w:spacing w:before="240"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106CE9" w:rsidRPr="00106CE9">
        <w:rPr>
          <w:rFonts w:ascii="Palatino Linotype" w:eastAsia="Palatino Linotype" w:hAnsi="Palatino Linotype" w:cs="Palatino Linotype"/>
          <w:i/>
          <w:color w:val="000000"/>
          <w:sz w:val="22"/>
          <w:szCs w:val="22"/>
        </w:rPr>
        <w:t>LA FALTA DE RESPUESTA A UNA SOLICITUD DE ACCESO A LA INFORMACIÓN POR PARTE DEL AYUNTAMIENTO DE ACOLMAN. (SE ANEXAN 2 ARCHIVOS)</w:t>
      </w:r>
      <w:r>
        <w:rPr>
          <w:rFonts w:ascii="Palatino Linotype" w:eastAsia="Palatino Linotype" w:hAnsi="Palatino Linotype" w:cs="Palatino Linotype"/>
          <w:i/>
          <w:color w:val="000000"/>
          <w:sz w:val="22"/>
          <w:szCs w:val="22"/>
        </w:rPr>
        <w:t>” (Sic)</w:t>
      </w:r>
    </w:p>
    <w:p w14:paraId="09CB2BB1" w14:textId="77777777" w:rsidR="00106CE9" w:rsidRDefault="00106CE9">
      <w:pPr>
        <w:pBdr>
          <w:top w:val="nil"/>
          <w:left w:val="nil"/>
          <w:bottom w:val="nil"/>
          <w:right w:val="nil"/>
          <w:between w:val="nil"/>
        </w:pBdr>
        <w:spacing w:before="240" w:after="240"/>
        <w:ind w:left="567" w:right="900"/>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Archivos adjuntos: </w:t>
      </w:r>
    </w:p>
    <w:p w14:paraId="5257E06B" w14:textId="77777777" w:rsidR="00106CE9" w:rsidRPr="00106CE9" w:rsidRDefault="00106CE9" w:rsidP="00106CE9">
      <w:pPr>
        <w:pStyle w:val="Prrafodelista"/>
        <w:numPr>
          <w:ilvl w:val="0"/>
          <w:numId w:val="5"/>
        </w:numPr>
        <w:pBdr>
          <w:top w:val="nil"/>
          <w:left w:val="nil"/>
          <w:bottom w:val="nil"/>
          <w:right w:val="nil"/>
          <w:between w:val="nil"/>
        </w:pBdr>
        <w:spacing w:before="240" w:after="240" w:line="360" w:lineRule="auto"/>
        <w:ind w:left="1281" w:right="902" w:hanging="357"/>
        <w:jc w:val="both"/>
        <w:rPr>
          <w:rFonts w:ascii="Palatino Linotype" w:eastAsia="Palatino Linotype" w:hAnsi="Palatino Linotype" w:cs="Palatino Linotype"/>
          <w:b/>
          <w:i/>
          <w:color w:val="000000"/>
          <w:sz w:val="24"/>
        </w:rPr>
      </w:pPr>
      <w:r w:rsidRPr="00106CE9">
        <w:rPr>
          <w:rFonts w:ascii="Palatino Linotype" w:eastAsia="Palatino Linotype" w:hAnsi="Palatino Linotype" w:cs="Palatino Linotype"/>
          <w:b/>
          <w:i/>
          <w:color w:val="000000"/>
          <w:sz w:val="24"/>
        </w:rPr>
        <w:t xml:space="preserve">“SOL.INF.ARCH..pdf”: </w:t>
      </w:r>
      <w:r w:rsidRPr="00106CE9">
        <w:rPr>
          <w:rFonts w:ascii="Palatino Linotype" w:eastAsia="Palatino Linotype" w:hAnsi="Palatino Linotype" w:cs="Palatino Linotype"/>
          <w:color w:val="000000"/>
          <w:sz w:val="24"/>
          <w:lang w:val="es-ES"/>
        </w:rPr>
        <w:t>Consiste en el cuestionario de diecisiete fojas, remitido en la presentación de la solicitud inicial, se inserta la primera foja de manera ilustrativa:</w:t>
      </w:r>
      <w:r w:rsidRPr="00106CE9">
        <w:rPr>
          <w:rFonts w:ascii="Palatino Linotype" w:eastAsia="Palatino Linotype" w:hAnsi="Palatino Linotype" w:cs="Palatino Linotype"/>
          <w:b/>
          <w:i/>
          <w:color w:val="000000"/>
          <w:sz w:val="24"/>
          <w:lang w:val="es-ES"/>
        </w:rPr>
        <w:t xml:space="preserve"> </w:t>
      </w:r>
    </w:p>
    <w:p w14:paraId="10494EC7" w14:textId="77777777" w:rsidR="00106CE9" w:rsidRPr="00106CE9" w:rsidRDefault="00106CE9" w:rsidP="00106CE9">
      <w:pPr>
        <w:pStyle w:val="Prrafodelista"/>
        <w:pBdr>
          <w:top w:val="nil"/>
          <w:left w:val="nil"/>
          <w:bottom w:val="nil"/>
          <w:right w:val="nil"/>
          <w:between w:val="nil"/>
        </w:pBdr>
        <w:spacing w:before="240" w:after="240" w:line="360" w:lineRule="auto"/>
        <w:ind w:left="1281" w:right="902"/>
        <w:jc w:val="both"/>
        <w:rPr>
          <w:rFonts w:ascii="Palatino Linotype" w:eastAsia="Palatino Linotype" w:hAnsi="Palatino Linotype" w:cs="Palatino Linotype"/>
          <w:b/>
          <w:i/>
          <w:color w:val="000000"/>
          <w:sz w:val="24"/>
        </w:rPr>
      </w:pPr>
      <w:r>
        <w:rPr>
          <w:rFonts w:ascii="Palatino Linotype" w:eastAsia="Palatino Linotype" w:hAnsi="Palatino Linotype" w:cs="Palatino Linotype"/>
          <w:b/>
          <w:i/>
          <w:noProof/>
          <w:color w:val="000000"/>
          <w:sz w:val="24"/>
          <w:lang w:eastAsia="es-MX"/>
        </w:rPr>
        <w:lastRenderedPageBreak/>
        <w:drawing>
          <wp:inline distT="0" distB="0" distL="0" distR="0" wp14:anchorId="637056B7" wp14:editId="67BB8FA2">
            <wp:extent cx="4671937" cy="60483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4553" cy="6051762"/>
                    </a:xfrm>
                    <a:prstGeom prst="rect">
                      <a:avLst/>
                    </a:prstGeom>
                    <a:noFill/>
                  </pic:spPr>
                </pic:pic>
              </a:graphicData>
            </a:graphic>
          </wp:inline>
        </w:drawing>
      </w:r>
    </w:p>
    <w:p w14:paraId="675FDCF7" w14:textId="77777777" w:rsidR="00106CE9" w:rsidRPr="00106CE9" w:rsidRDefault="00106CE9" w:rsidP="00106CE9">
      <w:pPr>
        <w:pStyle w:val="Prrafodelista"/>
        <w:numPr>
          <w:ilvl w:val="0"/>
          <w:numId w:val="5"/>
        </w:numPr>
        <w:pBdr>
          <w:top w:val="nil"/>
          <w:left w:val="nil"/>
          <w:bottom w:val="nil"/>
          <w:right w:val="nil"/>
          <w:between w:val="nil"/>
        </w:pBdr>
        <w:spacing w:before="240" w:after="240" w:line="360" w:lineRule="auto"/>
        <w:ind w:left="567" w:right="902" w:hanging="283"/>
        <w:jc w:val="both"/>
        <w:rPr>
          <w:rFonts w:ascii="Palatino Linotype" w:eastAsia="Palatino Linotype" w:hAnsi="Palatino Linotype" w:cs="Palatino Linotype"/>
          <w:b/>
          <w:i/>
          <w:color w:val="000000"/>
        </w:rPr>
      </w:pPr>
      <w:r w:rsidRPr="00106CE9">
        <w:rPr>
          <w:rFonts w:ascii="Palatino Linotype" w:eastAsia="Palatino Linotype" w:hAnsi="Palatino Linotype" w:cs="Palatino Linotype"/>
          <w:b/>
          <w:i/>
          <w:color w:val="000000"/>
        </w:rPr>
        <w:t xml:space="preserve">“ACOLMAN_RR_00022-ACOLMAN-IP-2022.pdf”: </w:t>
      </w:r>
      <w:r>
        <w:rPr>
          <w:rFonts w:ascii="Palatino Linotype" w:eastAsia="Palatino Linotype" w:hAnsi="Palatino Linotype" w:cs="Palatino Linotype"/>
          <w:color w:val="000000"/>
        </w:rPr>
        <w:t xml:space="preserve">Documento electrónico de dos fojas en el que se advierten manifestaciones de </w:t>
      </w:r>
      <w:r w:rsidRPr="00106CE9">
        <w:rPr>
          <w:rFonts w:ascii="Palatino Linotype" w:eastAsia="Palatino Linotype" w:hAnsi="Palatino Linotype" w:cs="Palatino Linotype"/>
          <w:b/>
          <w:color w:val="000000"/>
        </w:rPr>
        <w:t xml:space="preserve">la Recurrente. </w:t>
      </w:r>
    </w:p>
    <w:p w14:paraId="63ACE42B" w14:textId="230F279C" w:rsidR="00106CE9" w:rsidRPr="00106CE9" w:rsidRDefault="0070341A" w:rsidP="00106CE9">
      <w:pPr>
        <w:pStyle w:val="Prrafodelista"/>
        <w:pBdr>
          <w:top w:val="nil"/>
          <w:left w:val="nil"/>
          <w:bottom w:val="nil"/>
          <w:right w:val="nil"/>
          <w:between w:val="nil"/>
        </w:pBdr>
        <w:spacing w:before="240" w:after="240" w:line="360" w:lineRule="auto"/>
        <w:ind w:left="567" w:right="902"/>
        <w:jc w:val="center"/>
        <w:rPr>
          <w:rFonts w:ascii="Palatino Linotype" w:eastAsia="Palatino Linotype" w:hAnsi="Palatino Linotype" w:cs="Palatino Linotype"/>
          <w:b/>
          <w:i/>
          <w:color w:val="000000"/>
        </w:rPr>
      </w:pPr>
      <w:r>
        <w:object w:dxaOrig="8760" w:dyaOrig="9450" w14:anchorId="475BAD2B">
          <v:shape id="_x0000_i1027" type="#_x0000_t75" style="width:438pt;height:472.5pt" o:ole="">
            <v:imagedata r:id="rId12" o:title=""/>
          </v:shape>
          <o:OLEObject Type="Embed" ProgID="Paint.Picture.1" ShapeID="_x0000_i1027" DrawAspect="Content" ObjectID="_1713619092" r:id="rId13"/>
        </w:object>
      </w:r>
      <w:bookmarkStart w:id="2" w:name="_GoBack"/>
      <w:bookmarkEnd w:id="2"/>
    </w:p>
    <w:p w14:paraId="7ABA29CC" w14:textId="77777777" w:rsidR="00EF7352" w:rsidRDefault="00C00404">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Transparencia y Acceso a la Información Pública, el recurso de revisión número </w:t>
      </w:r>
      <w:r w:rsidR="004553CB">
        <w:rPr>
          <w:rFonts w:ascii="Palatino Linotype" w:eastAsia="Palatino Linotype" w:hAnsi="Palatino Linotype" w:cs="Palatino Linotype"/>
          <w:b/>
        </w:rPr>
        <w:t>0325</w:t>
      </w:r>
      <w:r>
        <w:rPr>
          <w:rFonts w:ascii="Palatino Linotype" w:eastAsia="Palatino Linotype" w:hAnsi="Palatino Linotype" w:cs="Palatino Linotype"/>
          <w:b/>
        </w:rPr>
        <w:t>9/INFOEM/IP/RR/2022</w:t>
      </w:r>
      <w:r>
        <w:rPr>
          <w:rFonts w:ascii="Palatino Linotype" w:eastAsia="Palatino Linotype" w:hAnsi="Palatino Linotype" w:cs="Palatino Linotype"/>
        </w:rPr>
        <w:t xml:space="preserve"> fue turnado a la </w:t>
      </w:r>
      <w:r>
        <w:rPr>
          <w:rFonts w:ascii="Palatino Linotype" w:eastAsia="Palatino Linotype" w:hAnsi="Palatino Linotype" w:cs="Palatino Linotype"/>
          <w:b/>
        </w:rPr>
        <w:t>Comisionada Ponente</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Guadalupe </w:t>
      </w:r>
      <w:r>
        <w:rPr>
          <w:rFonts w:ascii="Palatino Linotype" w:eastAsia="Palatino Linotype" w:hAnsi="Palatino Linotype" w:cs="Palatino Linotype"/>
          <w:b/>
        </w:rPr>
        <w:lastRenderedPageBreak/>
        <w:t>Ramírez Peña</w:t>
      </w:r>
      <w:r>
        <w:rPr>
          <w:rFonts w:ascii="Palatino Linotype" w:eastAsia="Palatino Linotype" w:hAnsi="Palatino Linotype" w:cs="Palatino Linotype"/>
        </w:rPr>
        <w:t>; a efecto de presentar al Pleno el proyecto de resolución correspondiente.</w:t>
      </w:r>
    </w:p>
    <w:p w14:paraId="52E271B1" w14:textId="77777777" w:rsidR="00EF7352" w:rsidRDefault="00C0040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Admisión. </w:t>
      </w:r>
      <w:r>
        <w:rPr>
          <w:rFonts w:ascii="Palatino Linotype" w:eastAsia="Palatino Linotype" w:hAnsi="Palatino Linotype" w:cs="Palatino Linotype"/>
        </w:rPr>
        <w:t xml:space="preserve">En fecha </w:t>
      </w:r>
      <w:r w:rsidR="004553CB">
        <w:rPr>
          <w:rFonts w:ascii="Palatino Linotype" w:eastAsia="Palatino Linotype" w:hAnsi="Palatino Linotype" w:cs="Palatino Linotype"/>
          <w:b/>
        </w:rPr>
        <w:t>ocho</w:t>
      </w:r>
      <w:r>
        <w:rPr>
          <w:rFonts w:ascii="Palatino Linotype" w:eastAsia="Palatino Linotype" w:hAnsi="Palatino Linotype" w:cs="Palatino Linotype"/>
          <w:b/>
        </w:rPr>
        <w:t xml:space="preserve"> de marzo de dos mil veintidós</w:t>
      </w:r>
      <w:r>
        <w:rPr>
          <w:rFonts w:ascii="Palatino Linotype" w:eastAsia="Palatino Linotype" w:hAnsi="Palatino Linotype" w:cs="Palatino Linotype"/>
        </w:rPr>
        <w:t>, en términos de lo dispuesto en el artículo 185 fracciones I, II y IV de la Ley de Transparencia y Acceso a la Información Pública del Estado de México y Municipios, se admitió a trámite el recurso de revisión al rubro indicado.</w:t>
      </w:r>
    </w:p>
    <w:p w14:paraId="5430736F" w14:textId="77777777" w:rsidR="00EF7352" w:rsidRDefault="00C0040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6. Manifestaciones. </w:t>
      </w:r>
      <w:r>
        <w:rPr>
          <w:rFonts w:ascii="Palatino Linotype" w:eastAsia="Palatino Linotype" w:hAnsi="Palatino Linotype" w:cs="Palatino Linotype"/>
        </w:rPr>
        <w:t xml:space="preserve">De las constancias que obran en el expediente electrónico del SAIMEX se desprende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rindió su informe justificado, del mismo modo el ahora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omitió realizar manifestaciones, como se observa a continuación:</w:t>
      </w:r>
    </w:p>
    <w:p w14:paraId="61C944E3" w14:textId="77777777" w:rsidR="00EF7352" w:rsidRDefault="004553C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0" distB="0" distL="0" distR="0" wp14:anchorId="35D02FD2" wp14:editId="0EC75C5D">
            <wp:extent cx="5610225" cy="13239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1323975"/>
                    </a:xfrm>
                    <a:prstGeom prst="rect">
                      <a:avLst/>
                    </a:prstGeom>
                    <a:noFill/>
                    <a:ln>
                      <a:noFill/>
                    </a:ln>
                  </pic:spPr>
                </pic:pic>
              </a:graphicData>
            </a:graphic>
          </wp:inline>
        </w:drawing>
      </w:r>
    </w:p>
    <w:p w14:paraId="016490F6" w14:textId="77777777" w:rsidR="00EF7352" w:rsidRDefault="00C0040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7. Cierre de Instrucción. </w:t>
      </w:r>
      <w:r>
        <w:rPr>
          <w:rFonts w:ascii="Palatino Linotype" w:eastAsia="Palatino Linotype" w:hAnsi="Palatino Linotype" w:cs="Palatino Linotype"/>
        </w:rPr>
        <w:t xml:space="preserve">En fecha </w:t>
      </w:r>
      <w:r w:rsidR="004553CB">
        <w:rPr>
          <w:rFonts w:ascii="Palatino Linotype" w:eastAsia="Palatino Linotype" w:hAnsi="Palatino Linotype" w:cs="Palatino Linotype"/>
          <w:b/>
        </w:rPr>
        <w:t>diecinueve de abril</w:t>
      </w:r>
      <w:r>
        <w:rPr>
          <w:rFonts w:ascii="Palatino Linotype" w:eastAsia="Palatino Linotype" w:hAnsi="Palatino Linotype" w:cs="Palatino Linotype"/>
          <w:b/>
        </w:rPr>
        <w:t xml:space="preserve"> de dos mil veintidós</w:t>
      </w:r>
      <w:r>
        <w:rPr>
          <w:rFonts w:ascii="Palatino Linotype" w:eastAsia="Palatino Linotype" w:hAnsi="Palatino Linotype" w:cs="Palatino Linotype"/>
        </w:rPr>
        <w:t xml:space="preserve">, con fundamento en lo establecido en los artículos 185, fracción VI de la Ley de Transparencia y Acceso a la Información Pública del Estado de México y Municipios y 30, fracción IV del Reglamento Interior del Instituto de Transparencia, Acceso a la Información Pública y Protección de Datos Personales del Estado de México y Municipios, al no existir trámite pendiente por realizar y haber sido sustanciado el </w:t>
      </w:r>
      <w:r>
        <w:rPr>
          <w:rFonts w:ascii="Palatino Linotype" w:eastAsia="Palatino Linotype" w:hAnsi="Palatino Linotype" w:cs="Palatino Linotype"/>
        </w:rPr>
        <w:lastRenderedPageBreak/>
        <w:t>medio de impugnación se acordó el cierre de instrucción y se procede a formular la resolución que en derecho corresponda.</w:t>
      </w:r>
    </w:p>
    <w:p w14:paraId="0A19CE57" w14:textId="77777777" w:rsidR="00EF7352" w:rsidRDefault="00C00404">
      <w:pPr>
        <w:numPr>
          <w:ilvl w:val="0"/>
          <w:numId w:val="3"/>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 O N S I D E R A N D O S:</w:t>
      </w:r>
    </w:p>
    <w:p w14:paraId="1B0D9016" w14:textId="77777777" w:rsidR="00EF7352" w:rsidRDefault="00C0040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w:t>
      </w:r>
      <w:r>
        <w:rPr>
          <w:rFonts w:ascii="Palatino Linotype" w:eastAsia="Palatino Linotype" w:hAnsi="Palatino Linotype" w:cs="Palatino Linotype"/>
          <w:b/>
        </w:rPr>
        <w:t>Recurrente</w:t>
      </w:r>
      <w:r>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725D6EF9" w14:textId="77777777" w:rsidR="00EF7352" w:rsidRDefault="00C0040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Oportunidad y Procedibilidad. </w:t>
      </w:r>
      <w:r>
        <w:rPr>
          <w:rFonts w:ascii="Palatino Linotype" w:eastAsia="Palatino Linotype" w:hAnsi="Palatino Linotype" w:cs="Palatino Linotype"/>
        </w:rPr>
        <w:t>Es de precisar que la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Ley de Transparencia y Acceso a la Información Pública del Estado de México y Municipios, describe el mecanismo de procedencia de los recursos de revisión, como se dispone en los artículos 163 y 166, del tenor literal siguiente: </w:t>
      </w:r>
    </w:p>
    <w:p w14:paraId="057739E3" w14:textId="77777777" w:rsidR="00EF7352" w:rsidRDefault="00C00404">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163. </w:t>
      </w:r>
      <w:r>
        <w:rPr>
          <w:rFonts w:ascii="Palatino Linotype" w:eastAsia="Palatino Linotype" w:hAnsi="Palatino Linotype" w:cs="Palatino Linotype"/>
          <w:i/>
          <w:sz w:val="22"/>
          <w:szCs w:val="22"/>
        </w:rPr>
        <w:t xml:space="preserve">La Unidad de Transparencia deberá notificar la respuesta a la solicitud al interesado en el menor tiempo posible, que no podrá exceder de quince días hábiles, contados a partir del día siguiente a la presentación de aquélla. </w:t>
      </w:r>
    </w:p>
    <w:p w14:paraId="49F4793B" w14:textId="77777777" w:rsidR="00EF7352" w:rsidRDefault="00C00404">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t>…</w:t>
      </w:r>
    </w:p>
    <w:p w14:paraId="42DB9603" w14:textId="77777777" w:rsidR="00EF7352" w:rsidRDefault="00C00404">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sz w:val="22"/>
          <w:szCs w:val="22"/>
        </w:rPr>
        <w:t>Artículo 166.</w:t>
      </w:r>
      <w:r>
        <w:rPr>
          <w:rFonts w:ascii="Palatino Linotype" w:eastAsia="Palatino Linotype" w:hAnsi="Palatino Linotype" w:cs="Palatino Linotype"/>
          <w:i/>
          <w:sz w:val="22"/>
          <w:szCs w:val="22"/>
        </w:rPr>
        <w:t xml:space="preserve"> […]</w:t>
      </w:r>
    </w:p>
    <w:p w14:paraId="7D16D929" w14:textId="77777777" w:rsidR="00EF7352" w:rsidRDefault="00C00404">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lastRenderedPageBreak/>
        <w:t xml:space="preserve">Cuando el sujeto obligado no entregue la respuesta a la solicitud dentro del plazo previsto en la Ley, la solicitud se entenderá negada y el solicitante podrá interponer el recurso de revisión previsto en este ordenamiento.” </w:t>
      </w:r>
    </w:p>
    <w:p w14:paraId="7096058F" w14:textId="77777777" w:rsidR="00EF7352" w:rsidRDefault="00C0040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presentar el recurso de revisión.</w:t>
      </w:r>
    </w:p>
    <w:p w14:paraId="46602EF8" w14:textId="77777777" w:rsidR="00EF7352" w:rsidRDefault="00C0040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Derivado de lo anterior, se constituye lo que en la doctrina se conoce como negativa ficta, figura jurídica cuya esencia consiste en atribuir un efecto negativo al silencio de la autoridad administrativa frente a las instancias y solicitudes que hagan los particulares.</w:t>
      </w:r>
    </w:p>
    <w:p w14:paraId="72F6A8D9" w14:textId="77777777" w:rsidR="00EF7352" w:rsidRDefault="00C00404">
      <w:pPr>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t>Por su parte, el artículo 178 del citado ordenamiento, establece:</w:t>
      </w:r>
    </w:p>
    <w:p w14:paraId="7BB874FB" w14:textId="77777777" w:rsidR="00EF7352" w:rsidRDefault="00C00404">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178. </w:t>
      </w:r>
      <w:r>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Pr>
          <w:rFonts w:ascii="Palatino Linotype" w:eastAsia="Palatino Linotype" w:hAnsi="Palatino Linotype" w:cs="Palatino Linotype"/>
          <w:b/>
          <w:i/>
          <w:sz w:val="22"/>
          <w:szCs w:val="22"/>
        </w:rPr>
        <w:t>.”</w:t>
      </w:r>
    </w:p>
    <w:p w14:paraId="6E6CAD9A" w14:textId="77777777" w:rsidR="00EF7352" w:rsidRDefault="00C0040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advierte que el recurso de revisión se ha de interponer dentro del plazo de quince días hábiles, a partir de la fecha en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da respuesta a la solicitud de información; sin embargo, tratándose de negativa ficta no existe resolución que se haga del conocimiento del particular a partir de la cual </w:t>
      </w:r>
      <w:r>
        <w:rPr>
          <w:rFonts w:ascii="Palatino Linotype" w:eastAsia="Palatino Linotype" w:hAnsi="Palatino Linotype" w:cs="Palatino Linotype"/>
        </w:rPr>
        <w:lastRenderedPageBreak/>
        <w:t>pueda computarse dicho plazo, por lo que se concluye que la interposición del recurso de revisión puede ser en cualquier momento.</w:t>
      </w:r>
    </w:p>
    <w:p w14:paraId="5A4CE6DA" w14:textId="77777777" w:rsidR="00EF7352" w:rsidRDefault="00C0040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La negativa ficta constituye una presunción legal, en el entendido de que donde no hubo respuesta por parte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existe por lo tanto,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14:paraId="5341276A" w14:textId="77777777" w:rsidR="00EF7352" w:rsidRDefault="00C0040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Sujeto Obligado de dar respuesta, por lo que este Órgano Garante del derecho de acceso a la información y en aras de privilegiar el principio de máxima publicidad deberá dar entrada al estudio del fondo del recurso interpuesto en dichos casos y no optar por el desechamiento del mismo.</w:t>
      </w:r>
    </w:p>
    <w:p w14:paraId="0591EEC5" w14:textId="77777777" w:rsidR="00EF7352" w:rsidRDefault="00C00404">
      <w:pPr>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Por lo tanto, con la finalidad de no reducir ni limitar el derecho de acceso a la información y concederle una protección más eficaz al solicitante para impugnar el silencio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éste tiene la posibilidad de impugnar dicha omisión </w:t>
      </w:r>
      <w:r>
        <w:rPr>
          <w:rFonts w:ascii="Palatino Linotype" w:eastAsia="Palatino Linotype" w:hAnsi="Palatino Linotype" w:cs="Palatino Linotype"/>
        </w:rPr>
        <w:lastRenderedPageBreak/>
        <w:t>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14:paraId="4A81A633" w14:textId="77777777" w:rsidR="00EF7352" w:rsidRDefault="00C00404">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sz w:val="22"/>
          <w:szCs w:val="22"/>
        </w:rPr>
        <w:t>“CRITERIO 0001-15. NEGATIVA FICTA. PLAZO PARA INTERPONER EL RECURSO DE REVISIÓN TRATÁNDOSE DE</w:t>
      </w:r>
      <w:r>
        <w:rPr>
          <w:rFonts w:ascii="Palatino Linotype" w:eastAsia="Palatino Linotype" w:hAnsi="Palatino Linotype" w:cs="Palatino Linotype"/>
          <w:i/>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Pr>
          <w:rFonts w:ascii="Palatino Linotype" w:eastAsia="Palatino Linotype" w:hAnsi="Palatino Linotype" w:cs="Palatino Linotype"/>
          <w:i/>
        </w:rPr>
        <w:t xml:space="preserve"> </w:t>
      </w:r>
    </w:p>
    <w:p w14:paraId="6AD1D9ED" w14:textId="77777777" w:rsidR="00EF7352" w:rsidRDefault="00C0040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0FA24C6A" w14:textId="77777777" w:rsidR="00EF7352" w:rsidRDefault="00C0040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 efecto de sustentar lo anterior, es de suma importancia mencionar que si bien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no proporcionó nombre </w:t>
      </w:r>
      <w:r>
        <w:rPr>
          <w:rFonts w:ascii="Palatino Linotype" w:eastAsia="Palatino Linotype" w:hAnsi="Palatino Linotype" w:cs="Palatino Linotype"/>
        </w:rPr>
        <w:t>como se advierte en el detalle de seguimiento del SAIMEX, sin embargo, el no proporcionar un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05A46F6" w14:textId="77777777" w:rsidR="00EF7352" w:rsidRDefault="00C00404">
      <w:pPr>
        <w:spacing w:before="120" w:after="120"/>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Las solicitudes anónimas</w:t>
      </w:r>
      <w:r>
        <w:rPr>
          <w:rFonts w:ascii="Palatino Linotype" w:eastAsia="Palatino Linotype" w:hAnsi="Palatino Linotype" w:cs="Palatino Linotype"/>
          <w:i/>
          <w:sz w:val="22"/>
          <w:szCs w:val="22"/>
        </w:rPr>
        <w:t xml:space="preserve">, con nombre incompleto o seudónimo </w:t>
      </w:r>
      <w:r>
        <w:rPr>
          <w:rFonts w:ascii="Palatino Linotype" w:eastAsia="Palatino Linotype" w:hAnsi="Palatino Linotype" w:cs="Palatino Linotype"/>
          <w:b/>
          <w:i/>
          <w:sz w:val="22"/>
          <w:szCs w:val="22"/>
        </w:rPr>
        <w:t>serán procedentes para su trámite por parte del sujeto obligado ante quien se presente</w:t>
      </w:r>
      <w:r>
        <w:rPr>
          <w:rFonts w:ascii="Palatino Linotype" w:eastAsia="Palatino Linotype" w:hAnsi="Palatino Linotype" w:cs="Palatino Linotype"/>
          <w:i/>
          <w:sz w:val="22"/>
          <w:szCs w:val="22"/>
        </w:rPr>
        <w:t>. No podrá requerirse información adicional con motivo del nombre proporcionado por el solicitante."</w:t>
      </w:r>
    </w:p>
    <w:p w14:paraId="02613E03" w14:textId="77777777" w:rsidR="00EF7352" w:rsidRDefault="00C0040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Pr>
          <w:rFonts w:ascii="Palatino Linotype" w:eastAsia="Palatino Linotype" w:hAnsi="Palatino Linotype" w:cs="Palatino Linotype"/>
          <w:b/>
        </w:rPr>
        <w:t>Recurrente</w:t>
      </w:r>
      <w:r>
        <w:rPr>
          <w:rFonts w:ascii="Palatino Linotype" w:eastAsia="Palatino Linotype" w:hAnsi="Palatino Linotype" w:cs="Palatino Linotype"/>
        </w:rPr>
        <w:t>, por lo que, en el presente caso, al haber sido presentado el recurso de revisión vía SAIMEX, dicho requisito resulta innecesario.</w:t>
      </w:r>
    </w:p>
    <w:p w14:paraId="6794A91E" w14:textId="77777777" w:rsidR="00EF7352" w:rsidRDefault="00C0040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antes de entrar al estudio de la presente resolución es preciso determinar si resulta procedente la interposición del recurso de revisión, toda vez que se actualizan la hipótesis prevista en el artículo 179, fracción VII de la ley de la materia, que a la letra dice:</w:t>
      </w:r>
    </w:p>
    <w:p w14:paraId="4D28CE4C" w14:textId="77777777" w:rsidR="00EF7352" w:rsidRDefault="00C00404">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179. </w:t>
      </w:r>
      <w:r>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317F27C1" w14:textId="77777777" w:rsidR="00EF7352" w:rsidRDefault="00C00404">
      <w:pPr>
        <w:ind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p>
    <w:p w14:paraId="7624F166" w14:textId="77777777" w:rsidR="00EF7352" w:rsidRDefault="00C00404">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falta de respuesta a una solicitud de acceso a la información;</w:t>
      </w:r>
    </w:p>
    <w:p w14:paraId="024DD18A" w14:textId="77777777" w:rsidR="00EF7352" w:rsidRDefault="00C00404">
      <w:pPr>
        <w:ind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                 …</w:t>
      </w:r>
      <w:r>
        <w:rPr>
          <w:rFonts w:ascii="Palatino Linotype" w:eastAsia="Palatino Linotype" w:hAnsi="Palatino Linotype" w:cs="Palatino Linotype"/>
          <w:i/>
          <w:sz w:val="22"/>
          <w:szCs w:val="22"/>
        </w:rPr>
        <w:t>”</w:t>
      </w:r>
    </w:p>
    <w:p w14:paraId="7E6C5BCB" w14:textId="77777777" w:rsidR="00EF7352" w:rsidRDefault="00C0040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precepto legal citado, establece como supuesto de procedencia del recurso de revisión, en aquellos casos en que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estime negado el acceso a la información por la falta de respuesta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este asunto se actualiza la hipótesis jurídica citada, en atención a que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combate falta de trámite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y expresa motivos de inconformidad en contra de dicha circunstancia.</w:t>
      </w:r>
    </w:p>
    <w:p w14:paraId="1E0A7196" w14:textId="77777777" w:rsidR="00EF7352" w:rsidRDefault="00C00404">
      <w:pPr>
        <w:tabs>
          <w:tab w:val="left" w:pos="8647"/>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las constancias que integran el expediente electrónico se advierte que el tema sobre el que este Instituto se pronunciará será: verificar si son procedentes los agravios hechos valer por el </w:t>
      </w:r>
      <w:r>
        <w:rPr>
          <w:rFonts w:ascii="Palatino Linotype" w:eastAsia="Palatino Linotype" w:hAnsi="Palatino Linotype" w:cs="Palatino Linotype"/>
          <w:b/>
        </w:rPr>
        <w:t>Recurrente</w:t>
      </w:r>
      <w:r>
        <w:rPr>
          <w:rFonts w:ascii="Palatino Linotype" w:eastAsia="Palatino Linotype" w:hAnsi="Palatino Linotype" w:cs="Palatino Linotype"/>
        </w:rPr>
        <w:t>, a fin de determinar si se violenta en perjuicio de éste, el derecho de acceso a la información previsto en la Constitución Política de los Estados Unidos Mexicanos y en la Constitución Política del Estado Libre y Soberano de México.</w:t>
      </w:r>
    </w:p>
    <w:p w14:paraId="11B45532" w14:textId="77777777" w:rsidR="00EF7352" w:rsidRDefault="00C00404">
      <w:pPr>
        <w:tabs>
          <w:tab w:val="left" w:pos="8647"/>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 xml:space="preserve">Una vez determinada la vía sobre la que versará el presente recurso, y previa revisión del expediente del recurso de revisión materia de la presente resolución, se advierte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no dio respuesta a la solicitud de información planteada por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lo que se traduce como la configuración de la </w:t>
      </w:r>
      <w:r>
        <w:rPr>
          <w:rFonts w:ascii="Palatino Linotype" w:eastAsia="Palatino Linotype" w:hAnsi="Palatino Linotype" w:cs="Palatino Linotype"/>
          <w:b/>
        </w:rPr>
        <w:t>Negativa Ficta</w:t>
      </w:r>
      <w:r>
        <w:rPr>
          <w:rFonts w:ascii="Palatino Linotype" w:eastAsia="Palatino Linotype" w:hAnsi="Palatino Linotype" w:cs="Palatino Linotype"/>
        </w:rPr>
        <w:t xml:space="preserve">, situación que demuestra la existencia del acto impugnado y procedencia del motivo de inconformidad, que en términos generales consistente en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emitió respuesta a la solicitud </w:t>
      </w:r>
      <w:r>
        <w:rPr>
          <w:rFonts w:ascii="Palatino Linotype" w:eastAsia="Palatino Linotype" w:hAnsi="Palatino Linotype" w:cs="Palatino Linotype"/>
          <w:b/>
        </w:rPr>
        <w:t> </w:t>
      </w:r>
      <w:r w:rsidR="004553CB" w:rsidRPr="004553CB">
        <w:rPr>
          <w:rFonts w:ascii="Palatino Linotype" w:eastAsia="Palatino Linotype" w:hAnsi="Palatino Linotype" w:cs="Palatino Linotype"/>
          <w:b/>
          <w:bCs/>
        </w:rPr>
        <w:t>00022/ACOLMAN/IP/2022</w:t>
      </w:r>
      <w:r>
        <w:rPr>
          <w:rFonts w:ascii="Palatino Linotype" w:eastAsia="Palatino Linotype" w:hAnsi="Palatino Linotype" w:cs="Palatino Linotype"/>
          <w:b/>
        </w:rPr>
        <w:t>,</w:t>
      </w:r>
      <w:r>
        <w:rPr>
          <w:rFonts w:ascii="Palatino Linotype" w:eastAsia="Palatino Linotype" w:hAnsi="Palatino Linotype" w:cs="Palatino Linotype"/>
        </w:rPr>
        <w:t xml:space="preserve"> dentro del plazo legal previsto para ello.</w:t>
      </w:r>
    </w:p>
    <w:p w14:paraId="4E352080" w14:textId="77777777" w:rsidR="00EF7352" w:rsidRDefault="00C0040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Previo a exponer los argumentos que justifiquen la afirmación que antecede, es necesario precisar que, del análisis realizado a la solicitud formulada por la parte </w:t>
      </w:r>
      <w:r>
        <w:rPr>
          <w:rFonts w:ascii="Palatino Linotype" w:eastAsia="Palatino Linotype" w:hAnsi="Palatino Linotype" w:cs="Palatino Linotype"/>
          <w:b/>
        </w:rPr>
        <w:t>Recurrente</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se advierte que requirió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le proporcionara, lo siguiente:</w:t>
      </w:r>
    </w:p>
    <w:p w14:paraId="672CB753" w14:textId="77777777" w:rsidR="004553CB" w:rsidRPr="004553CB" w:rsidRDefault="004553CB" w:rsidP="004553CB">
      <w:pPr>
        <w:spacing w:before="240" w:after="240" w:line="360" w:lineRule="auto"/>
        <w:ind w:left="567" w:right="900"/>
        <w:jc w:val="both"/>
        <w:rPr>
          <w:rFonts w:ascii="Palatino Linotype" w:eastAsia="Palatino Linotype" w:hAnsi="Palatino Linotype" w:cs="Palatino Linotype"/>
          <w:i/>
          <w:color w:val="000000"/>
          <w:sz w:val="22"/>
          <w:szCs w:val="22"/>
        </w:rPr>
      </w:pPr>
      <w:r w:rsidRPr="004553CB">
        <w:rPr>
          <w:rFonts w:ascii="Palatino Linotype" w:eastAsia="Palatino Linotype" w:hAnsi="Palatino Linotype" w:cs="Palatino Linotype"/>
          <w:i/>
          <w:color w:val="000000"/>
          <w:sz w:val="22"/>
          <w:szCs w:val="22"/>
        </w:rPr>
        <w:t>“SOLICITO INFORMACIÓN ARCHIVISTICA MUNICIPAL, MISMA QUE SE DETALLA EN EL ARCHIVO ADJUNTO, CON RESPUESTA EN MI CORREO ELECTRÓNICO EN COPIAS SIMPLES.” (Sic)</w:t>
      </w:r>
    </w:p>
    <w:p w14:paraId="3981C96A" w14:textId="77777777" w:rsidR="004553CB" w:rsidRPr="004553CB" w:rsidRDefault="004553CB" w:rsidP="004553CB">
      <w:pPr>
        <w:spacing w:before="240" w:after="240" w:line="360" w:lineRule="auto"/>
        <w:jc w:val="both"/>
        <w:rPr>
          <w:rFonts w:ascii="Palatino Linotype" w:eastAsia="Palatino Linotype" w:hAnsi="Palatino Linotype" w:cs="Palatino Linotype"/>
          <w:color w:val="000000"/>
          <w:szCs w:val="22"/>
        </w:rPr>
      </w:pPr>
      <w:r w:rsidRPr="004553CB">
        <w:rPr>
          <w:rFonts w:ascii="Palatino Linotype" w:eastAsia="Palatino Linotype" w:hAnsi="Palatino Linotype" w:cs="Palatino Linotype"/>
          <w:color w:val="000000"/>
          <w:szCs w:val="22"/>
        </w:rPr>
        <w:t xml:space="preserve">Adjuntando para tal efecto, el documento electrónico denominado </w:t>
      </w:r>
      <w:r w:rsidRPr="004553CB">
        <w:rPr>
          <w:rFonts w:ascii="Palatino Linotype" w:eastAsia="Palatino Linotype" w:hAnsi="Palatino Linotype" w:cs="Palatino Linotype"/>
          <w:b/>
          <w:i/>
          <w:color w:val="000000"/>
          <w:szCs w:val="22"/>
        </w:rPr>
        <w:t>“SOL.INF.ARCH..pdf”.</w:t>
      </w:r>
      <w:r w:rsidRPr="004553CB">
        <w:rPr>
          <w:rFonts w:ascii="Palatino Linotype" w:eastAsia="Palatino Linotype" w:hAnsi="Palatino Linotype" w:cs="Palatino Linotype"/>
          <w:color w:val="000000"/>
          <w:szCs w:val="22"/>
        </w:rPr>
        <w:t xml:space="preserve"> </w:t>
      </w:r>
    </w:p>
    <w:p w14:paraId="4318AE51" w14:textId="77777777" w:rsidR="00EF7352" w:rsidRDefault="00C00404" w:rsidP="004553C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Precisado lo anterior,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24E425DB" w14:textId="77777777" w:rsidR="00EF7352" w:rsidRDefault="00C00404">
      <w:pP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w:t>
      </w:r>
      <w:r>
        <w:rPr>
          <w:rFonts w:ascii="Palatino Linotype" w:eastAsia="Palatino Linotype" w:hAnsi="Palatino Linotype" w:cs="Palatino Linotype"/>
        </w:rPr>
        <w:lastRenderedPageBreak/>
        <w:t>y como lo prevén los arábigos 1 párrafos primero, segundo y tercero y 6 apartado A fracciones I, II, III, IV, V, VI y VII que a la letra señalan:</w:t>
      </w:r>
    </w:p>
    <w:p w14:paraId="5F8D0086" w14:textId="77777777" w:rsidR="00EF7352" w:rsidRDefault="00EF7352">
      <w:pPr>
        <w:tabs>
          <w:tab w:val="left" w:pos="709"/>
        </w:tabs>
        <w:ind w:left="851" w:right="850"/>
        <w:jc w:val="both"/>
        <w:rPr>
          <w:rFonts w:ascii="Palatino Linotype" w:eastAsia="Palatino Linotype" w:hAnsi="Palatino Linotype" w:cs="Palatino Linotype"/>
        </w:rPr>
      </w:pPr>
    </w:p>
    <w:p w14:paraId="3F59F6D6" w14:textId="77777777" w:rsidR="00EF7352" w:rsidRDefault="00C00404">
      <w:pPr>
        <w:tabs>
          <w:tab w:val="left" w:pos="709"/>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795F47A1" w14:textId="77777777" w:rsidR="00EF7352" w:rsidRDefault="00C00404">
      <w:pPr>
        <w:tabs>
          <w:tab w:val="left" w:pos="709"/>
        </w:tabs>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574BEE2A" w14:textId="77777777" w:rsidR="00EF7352" w:rsidRDefault="00C00404">
      <w:pPr>
        <w:tabs>
          <w:tab w:val="left" w:pos="709"/>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16FC92B5" w14:textId="77777777" w:rsidR="00EF7352" w:rsidRDefault="00C00404">
      <w:pPr>
        <w:tabs>
          <w:tab w:val="left" w:pos="709"/>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294EE3C" w14:textId="77777777" w:rsidR="00EF7352" w:rsidRDefault="00C00404">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14:paraId="568474BF" w14:textId="77777777" w:rsidR="00EF7352" w:rsidRDefault="00C00404">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27FB474" w14:textId="77777777" w:rsidR="00EF7352" w:rsidRDefault="00C00404">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14:paraId="683AA3A6" w14:textId="77777777" w:rsidR="00EF7352" w:rsidRDefault="00C00404">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2CA50B85" w14:textId="77777777" w:rsidR="00EF7352" w:rsidRDefault="00C00404">
      <w:pPr>
        <w:ind w:left="113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w:t>
      </w:r>
      <w:r>
        <w:rPr>
          <w:rFonts w:ascii="Palatino Linotype" w:eastAsia="Palatino Linotype" w:hAnsi="Palatino Linotype" w:cs="Palatino Linotype"/>
          <w:i/>
          <w:sz w:val="22"/>
          <w:szCs w:val="22"/>
        </w:rPr>
        <w:lastRenderedPageBreak/>
        <w:t>supuestos específicos bajo los cuales procederá la declaración de inexistencia de la información.</w:t>
      </w:r>
    </w:p>
    <w:p w14:paraId="52B7BC97" w14:textId="77777777" w:rsidR="00EF7352" w:rsidRDefault="00C00404">
      <w:pPr>
        <w:ind w:left="113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6DCACD70" w14:textId="77777777" w:rsidR="00EF7352" w:rsidRDefault="00C00404">
      <w:pPr>
        <w:ind w:left="1134"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183820B3" w14:textId="77777777" w:rsidR="00EF7352" w:rsidRDefault="00C00404">
      <w:pPr>
        <w:ind w:left="113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3C4B32CB" w14:textId="77777777" w:rsidR="00EF7352" w:rsidRDefault="00C00404">
      <w:pPr>
        <w:ind w:left="113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14:paraId="2BE85F54" w14:textId="77777777" w:rsidR="00EF7352" w:rsidRDefault="00C00404">
      <w:pPr>
        <w:ind w:left="113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0C9DDB3B" w14:textId="77777777" w:rsidR="00EF7352" w:rsidRDefault="00C00404">
      <w:pPr>
        <w:ind w:left="113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1EF02560" w14:textId="77777777" w:rsidR="00EF7352" w:rsidRDefault="00EF7352">
      <w:pPr>
        <w:ind w:left="1134" w:right="851"/>
        <w:jc w:val="both"/>
        <w:rPr>
          <w:rFonts w:ascii="Palatino Linotype" w:eastAsia="Palatino Linotype" w:hAnsi="Palatino Linotype" w:cs="Palatino Linotype"/>
          <w:i/>
          <w:sz w:val="22"/>
          <w:szCs w:val="22"/>
        </w:rPr>
      </w:pPr>
    </w:p>
    <w:p w14:paraId="7DD69D87" w14:textId="77777777" w:rsidR="00EF7352" w:rsidRDefault="00C00404">
      <w:pPr>
        <w:ind w:left="113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D663317" w14:textId="77777777" w:rsidR="00EF7352" w:rsidRDefault="00C00404">
      <w:pPr>
        <w:ind w:left="113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44C2B453" w14:textId="77777777" w:rsidR="00EF7352" w:rsidRDefault="00C00404">
      <w:pPr>
        <w:ind w:left="113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7C8CAC1D" w14:textId="77777777" w:rsidR="00EF7352" w:rsidRDefault="00C00404">
      <w:pPr>
        <w:ind w:left="113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3BB3DE2E" w14:textId="77777777" w:rsidR="00EF7352" w:rsidRDefault="00C00404">
      <w:pPr>
        <w:ind w:left="1134"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w:t>
      </w:r>
    </w:p>
    <w:p w14:paraId="7E5F581C" w14:textId="77777777" w:rsidR="00EF7352" w:rsidRDefault="00C00404">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de la interpretación sistémica de los numerales inmersos en el instrumento legal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14:paraId="2AC41C5D" w14:textId="77777777" w:rsidR="00EF7352" w:rsidRDefault="00C00404">
      <w:pPr>
        <w:spacing w:before="280" w:after="280" w:line="360" w:lineRule="auto"/>
        <w:jc w:val="both"/>
        <w:rPr>
          <w:rFonts w:ascii="Palatino Linotype" w:eastAsia="Palatino Linotype" w:hAnsi="Palatino Linotype" w:cs="Palatino Linotype"/>
          <w:sz w:val="28"/>
          <w:szCs w:val="28"/>
        </w:rPr>
      </w:pPr>
      <w:r>
        <w:rPr>
          <w:rFonts w:ascii="Palatino Linotype" w:eastAsia="Palatino Linotype" w:hAnsi="Palatino Linotype" w:cs="Palatino Linotype"/>
        </w:rPr>
        <w:lastRenderedPageBreak/>
        <w:t>En ese orden de ideas, la Ley de Transparencia y Acceso a la Información Pública del Estado de México y Municipios, prevé en su artículo 23, lo siguiente:</w:t>
      </w:r>
    </w:p>
    <w:p w14:paraId="4080EEBB" w14:textId="77777777" w:rsidR="00EF7352" w:rsidRDefault="00C00404">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23.</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Son</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sujetos</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obligados</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a</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transparentar</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y</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permitir</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el</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acceso</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a</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su</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información</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y</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proteger</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los</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datos</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personales</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que</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obren</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en</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su</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poder</w:t>
      </w:r>
      <w:r>
        <w:rPr>
          <w:rFonts w:ascii="Palatino Linotype" w:eastAsia="Palatino Linotype" w:hAnsi="Palatino Linotype" w:cs="Palatino Linotype"/>
          <w:i/>
          <w:sz w:val="22"/>
          <w:szCs w:val="22"/>
        </w:rPr>
        <w:t>:</w:t>
      </w:r>
    </w:p>
    <w:p w14:paraId="2D5358B2" w14:textId="77777777" w:rsidR="00EF7352" w:rsidRDefault="00C00404">
      <w:pPr>
        <w:ind w:left="1134"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I.</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Poder</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Ejecutivo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Estado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México,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las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dependencias,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organismos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auxiliares,</w:t>
      </w:r>
      <w:r>
        <w:rPr>
          <w:rFonts w:ascii="Palatino Linotype" w:eastAsia="Palatino Linotype" w:hAnsi="Palatino Linotype" w:cs="Palatino Linotype"/>
          <w:b/>
          <w:i/>
        </w:rPr>
        <w:t xml:space="preserve"> </w:t>
      </w:r>
      <w:r>
        <w:rPr>
          <w:rFonts w:ascii="Palatino Linotype" w:eastAsia="Palatino Linotype" w:hAnsi="Palatino Linotype" w:cs="Palatino Linotype"/>
          <w:i/>
          <w:sz w:val="22"/>
          <w:szCs w:val="22"/>
        </w:rPr>
        <w:t>órganos,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entidades,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fideicomisos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y</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fondos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públicos,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así</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como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Procuraduría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General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Justicia;</w:t>
      </w:r>
    </w:p>
    <w:p w14:paraId="717E798E" w14:textId="77777777" w:rsidR="00EF7352" w:rsidRDefault="00C00404">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Poder</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Legislativo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Estado,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organismos,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órganos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y</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entidades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Legislatura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y</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sus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dependencias;</w:t>
      </w:r>
    </w:p>
    <w:p w14:paraId="1C0A3513" w14:textId="77777777" w:rsidR="00EF7352" w:rsidRDefault="00C00404">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Poder</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Judicial,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sus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organismos,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órganos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y</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entidades,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así</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como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Consejo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Judicatura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Estado;</w:t>
      </w:r>
    </w:p>
    <w:p w14:paraId="4EA2D060" w14:textId="77777777" w:rsidR="00EF7352" w:rsidRDefault="00C00404">
      <w:pPr>
        <w:ind w:left="1134"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Los</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ayuntamientos</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y</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las</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dependencias,</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organismos,</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órganos</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y</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entidades</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de</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la</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administración</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municipal;</w:t>
      </w:r>
    </w:p>
    <w:p w14:paraId="5720CEBC" w14:textId="77777777" w:rsidR="00EF7352" w:rsidRDefault="00C00404">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órganos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autónomos;</w:t>
      </w:r>
    </w:p>
    <w:p w14:paraId="20A7F6AA" w14:textId="77777777" w:rsidR="00EF7352" w:rsidRDefault="00C00404">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tribunales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administrativos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y</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autoridades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jurisdiccionales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materia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laboral;</w:t>
      </w:r>
    </w:p>
    <w:p w14:paraId="66AE8E9A" w14:textId="77777777" w:rsidR="00EF7352" w:rsidRDefault="00C00404">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partidos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políticos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y</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agrupaciones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políticas,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términos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las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disposiciones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aplicables;</w:t>
      </w:r>
    </w:p>
    <w:p w14:paraId="51A1A8A6" w14:textId="77777777" w:rsidR="00EF7352" w:rsidRDefault="00C00404">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VIII.</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fideicomisos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y</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fondos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públicos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que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cuenten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con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financiamiento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público,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parcial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total,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con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participación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entidades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gobierno;</w:t>
      </w:r>
    </w:p>
    <w:p w14:paraId="41CFC810" w14:textId="77777777" w:rsidR="00EF7352" w:rsidRDefault="00C00404">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IX.</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sindicatos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que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reciban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y/o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ejerzan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recursos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públicos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ámbito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estatal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y</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municipal;</w:t>
      </w:r>
    </w:p>
    <w:p w14:paraId="5B3AECE5" w14:textId="77777777" w:rsidR="00EF7352" w:rsidRDefault="00C00404">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Cualquier</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persona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física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jurídico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colectiva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que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reciba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y</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ejerza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recursos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públicos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ámbito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estatal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municipal;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y</w:t>
      </w:r>
    </w:p>
    <w:p w14:paraId="7E9EFA49" w14:textId="77777777" w:rsidR="00EF7352" w:rsidRDefault="00C00404">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Cualquier</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otra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autoridad,</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entidad,</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órgano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u</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organismo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poderes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estatal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municipal,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que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reciba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recursos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públicos.</w:t>
      </w:r>
    </w:p>
    <w:p w14:paraId="33F4AE58" w14:textId="77777777" w:rsidR="00EF7352" w:rsidRDefault="00C00404">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sujetos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obligados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deberán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hacer</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pública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toda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aquella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información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relativa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montos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y</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las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personas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a</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quienes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entreguen,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por</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cualquier</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motivo,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recursos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públicos,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así</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como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informes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que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dichas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personas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les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entreguen</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sobre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el</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uso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y</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destino</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de</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dichos</w:t>
      </w:r>
      <w:r>
        <w:rPr>
          <w:rFonts w:ascii="Palatino Linotype" w:eastAsia="Palatino Linotype" w:hAnsi="Palatino Linotype" w:cs="Palatino Linotype"/>
          <w:i/>
        </w:rPr>
        <w:t xml:space="preserve"> </w:t>
      </w:r>
      <w:r>
        <w:rPr>
          <w:rFonts w:ascii="Palatino Linotype" w:eastAsia="Palatino Linotype" w:hAnsi="Palatino Linotype" w:cs="Palatino Linotype"/>
          <w:i/>
          <w:sz w:val="22"/>
          <w:szCs w:val="22"/>
        </w:rPr>
        <w:t>recursos.</w:t>
      </w:r>
    </w:p>
    <w:p w14:paraId="4CD12821" w14:textId="77777777" w:rsidR="00EF7352" w:rsidRDefault="00C00404">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servidores</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públicos</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deberán</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transparentar</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sus</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acciones,</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así</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como</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garantizar</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y</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respetar</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el</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derecho</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de</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acceso</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a</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la</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información</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pública</w:t>
      </w:r>
      <w:r>
        <w:rPr>
          <w:rFonts w:ascii="Palatino Linotype" w:eastAsia="Palatino Linotype" w:hAnsi="Palatino Linotype" w:cs="Palatino Linotype"/>
          <w:i/>
          <w:sz w:val="22"/>
          <w:szCs w:val="22"/>
        </w:rPr>
        <w:t>.”</w:t>
      </w:r>
    </w:p>
    <w:p w14:paraId="0EFD62BE" w14:textId="77777777" w:rsidR="00EF7352" w:rsidRDefault="00C00404">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así que, conforme a los preceptos legales citados, se desprende que el derecho de acceso a la información pública es un derecho individual que puede ser ejercido ante </w:t>
      </w:r>
      <w:r>
        <w:rPr>
          <w:rFonts w:ascii="Palatino Linotype" w:eastAsia="Palatino Linotype" w:hAnsi="Palatino Linotype" w:cs="Palatino Linotype"/>
        </w:rPr>
        <w:lastRenderedPageBreak/>
        <w:t xml:space="preserve">cualquier autoridad, entidad, órgano u organismo, tanto federales, como estatales, de la Ciudad de México o Municipales, con el fin de que los particulares conozcan toda aquella información que es considerada como pública. </w:t>
      </w:r>
    </w:p>
    <w:p w14:paraId="29C1C3F4" w14:textId="77777777" w:rsidR="00EF7352" w:rsidRDefault="00C00404">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09873293" w14:textId="77777777" w:rsidR="00EF7352" w:rsidRDefault="00C00404">
      <w:pPr>
        <w:widowControl w:val="0"/>
        <w:tabs>
          <w:tab w:val="left" w:pos="1276"/>
        </w:tabs>
        <w:spacing w:before="24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Pública del Estado de México y Municipios.</w:t>
      </w:r>
    </w:p>
    <w:p w14:paraId="22ABD718" w14:textId="77777777" w:rsidR="00EF7352" w:rsidRDefault="00C00404">
      <w:pPr>
        <w:widowControl w:val="0"/>
        <w:tabs>
          <w:tab w:val="left" w:pos="1276"/>
        </w:tabs>
        <w:spacing w:before="24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35677535" w14:textId="77777777" w:rsidR="00EF7352" w:rsidRDefault="00C00404">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el diverso artículo 54 de la Ley de Transparencia y Acceso a la Información Pública del Estado de México y Municipios establece que cuando </w:t>
      </w:r>
      <w:r>
        <w:rPr>
          <w:rFonts w:ascii="Palatino Linotype" w:eastAsia="Palatino Linotype" w:hAnsi="Palatino Linotype" w:cs="Palatino Linotype"/>
        </w:rPr>
        <w:lastRenderedPageBreak/>
        <w:t>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5D0842A7" w14:textId="77777777" w:rsidR="00EF7352" w:rsidRDefault="00C00404">
      <w:pPr>
        <w:widowControl w:val="0"/>
        <w:tabs>
          <w:tab w:val="left" w:pos="1276"/>
        </w:tabs>
        <w:spacing w:before="24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20F1D6B0" w14:textId="77777777" w:rsidR="00EF7352" w:rsidRDefault="00C00404">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Situación que en la especie no aconteció. Sirve de sustento a lo anterior, el precepto legal en cita:</w:t>
      </w:r>
    </w:p>
    <w:p w14:paraId="78C5E57E" w14:textId="77777777" w:rsidR="00EF7352" w:rsidRDefault="00C00404">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163. La Unidad de Transparencia deberá notificar la respuesta a la solicitud al interesado en el menor tiempo posible, que no podrá exceder de quince días hábiles</w:t>
      </w:r>
      <w:r>
        <w:rPr>
          <w:rFonts w:ascii="Palatino Linotype" w:eastAsia="Palatino Linotype" w:hAnsi="Palatino Linotype" w:cs="Palatino Linotype"/>
          <w:i/>
          <w:sz w:val="22"/>
          <w:szCs w:val="22"/>
        </w:rPr>
        <w:t xml:space="preserve">, contados a partir del día siguiente a la presentación de aquélla. </w:t>
      </w:r>
    </w:p>
    <w:p w14:paraId="5B01FE85" w14:textId="77777777" w:rsidR="00EF7352" w:rsidRDefault="00C00404">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w:t>
      </w:r>
      <w:r>
        <w:rPr>
          <w:rFonts w:ascii="Palatino Linotype" w:eastAsia="Palatino Linotype" w:hAnsi="Palatino Linotype" w:cs="Palatino Linotype"/>
          <w:i/>
          <w:sz w:val="22"/>
          <w:szCs w:val="22"/>
        </w:rPr>
        <w:lastRenderedPageBreak/>
        <w:t>de su vencimiento. No podrán invocarse como causales de ampliación del plazo motivos que supongan negligencia o descuido del sujeto obligado en el desahogo de la solicitud.”</w:t>
      </w:r>
    </w:p>
    <w:p w14:paraId="768E15F2" w14:textId="77777777" w:rsidR="00EF7352" w:rsidRDefault="00C00404">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mérito de lo expuesto, es claro que en este caso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incumplió la normativa en la materia, puesto que no dio trámite ni respuesta a la solicitud de acceso a la información, limitando el derecho de acceso a la información, accionado por el particular.</w:t>
      </w:r>
    </w:p>
    <w:p w14:paraId="43ECD8C1" w14:textId="77777777" w:rsidR="00EF7352" w:rsidRDefault="00C00404">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Consecuentemente, este Instituto estima toral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Por ello, esta Autoridad como Órgano Garante del derecho de acceso a la información estima que lo procedente es ordenar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dé trámite y respuesta a la solicitud del particular.</w:t>
      </w:r>
    </w:p>
    <w:p w14:paraId="7044370E" w14:textId="77777777" w:rsidR="00EF7352" w:rsidRDefault="00C00404">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w:t>
      </w:r>
      <w:r>
        <w:rPr>
          <w:rFonts w:ascii="Palatino Linotype" w:eastAsia="Palatino Linotype" w:hAnsi="Palatino Linotype" w:cs="Palatino Linotype"/>
        </w:rPr>
        <w:lastRenderedPageBreak/>
        <w:t>por lo que, en caso de no atender de manera positiva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el requerimiento de información deberá manifestarse al respecto.</w:t>
      </w:r>
    </w:p>
    <w:p w14:paraId="04011737" w14:textId="77777777" w:rsidR="00EF7352" w:rsidRDefault="00C00404">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Ahora bien, en atención al sentido en que se resuelve el presente medio de impugnación, este Órgano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38E447A9" w14:textId="77777777" w:rsidR="00EF7352" w:rsidRDefault="00C00404">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91. </w:t>
      </w:r>
      <w:r>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289DFE74" w14:textId="77777777" w:rsidR="00EF7352" w:rsidRDefault="00C0040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w:t>
      </w:r>
      <w:r>
        <w:rPr>
          <w:rFonts w:ascii="Palatino Linotype" w:eastAsia="Palatino Linotype" w:hAnsi="Palatino Linotype" w:cs="Palatino Linotype"/>
          <w:sz w:val="18"/>
          <w:szCs w:val="18"/>
        </w:rPr>
        <w:t xml:space="preserve">. </w:t>
      </w:r>
    </w:p>
    <w:p w14:paraId="50377CBC" w14:textId="77777777" w:rsidR="00EF7352" w:rsidRDefault="00C0040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manera que, la Ley de Transparencia y Acceso a la Información Pública del Estado de México y Municipios, en sus artículos 140 y 143 prevé los siguientes supuestos para clasificar la información como reservada o confidencial:</w:t>
      </w:r>
    </w:p>
    <w:p w14:paraId="7BB914E8" w14:textId="77777777" w:rsidR="00EF7352" w:rsidRDefault="00C00404">
      <w:pP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140. </w:t>
      </w:r>
      <w:r>
        <w:rPr>
          <w:rFonts w:ascii="Palatino Linotype" w:eastAsia="Palatino Linotype" w:hAnsi="Palatino Linotype" w:cs="Palatino Linotype"/>
          <w:i/>
          <w:sz w:val="22"/>
          <w:szCs w:val="22"/>
        </w:rPr>
        <w:t>El acceso a la información pública será restringido excepcionalmente, cuando por razones de interés público, ésta sea clasificada como reservada, conforme a los criterios siguientes:</w:t>
      </w:r>
    </w:p>
    <w:p w14:paraId="0663F59B" w14:textId="77777777" w:rsidR="00EF7352" w:rsidRDefault="00C00404">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i/>
          <w:sz w:val="22"/>
          <w:szCs w:val="22"/>
        </w:rPr>
        <w:t>Comprometa la seguridad pública y cuente con un propósito genuino y un efecto demostrable;</w:t>
      </w:r>
    </w:p>
    <w:p w14:paraId="43D1EF62" w14:textId="77777777" w:rsidR="00EF7352" w:rsidRDefault="00C00404">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 </w:t>
      </w:r>
      <w:r>
        <w:rPr>
          <w:rFonts w:ascii="Palatino Linotype" w:eastAsia="Palatino Linotype" w:hAnsi="Palatino Linotype" w:cs="Palatino Linotype"/>
          <w:i/>
          <w:sz w:val="22"/>
          <w:szCs w:val="22"/>
        </w:rPr>
        <w:t>Pueda menoscabar la conducción de las negociaciones y relaciones internacionales;</w:t>
      </w:r>
    </w:p>
    <w:p w14:paraId="67D965A8" w14:textId="77777777" w:rsidR="00EF7352" w:rsidRDefault="00C00404">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i/>
          <w:sz w:val="22"/>
          <w:szCs w:val="22"/>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1A1DBCD1" w14:textId="77777777" w:rsidR="00EF7352" w:rsidRDefault="00C00404">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Ponga en riesgo la vida, la seguridad o la salud de una persona física;</w:t>
      </w:r>
    </w:p>
    <w:p w14:paraId="01E16F27" w14:textId="77777777" w:rsidR="00EF7352" w:rsidRDefault="00C00404">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Aquella cuya divulgación obstruya o pueda causar un serio perjuicio a:</w:t>
      </w:r>
    </w:p>
    <w:p w14:paraId="4071DABF" w14:textId="77777777" w:rsidR="00EF7352" w:rsidRDefault="00C00404">
      <w:pPr>
        <w:spacing w:before="120" w:after="120"/>
        <w:ind w:left="1418"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1. </w:t>
      </w:r>
      <w:r>
        <w:rPr>
          <w:rFonts w:ascii="Palatino Linotype" w:eastAsia="Palatino Linotype" w:hAnsi="Palatino Linotype" w:cs="Palatino Linotype"/>
          <w:i/>
          <w:sz w:val="22"/>
          <w:szCs w:val="22"/>
        </w:rPr>
        <w:t xml:space="preserve">Las actividades de fiscalización, verificación, inspección, comprobación y auditoría sobre el cumplimiento de las Leyes; o </w:t>
      </w:r>
    </w:p>
    <w:p w14:paraId="6AE1B857" w14:textId="77777777" w:rsidR="00EF7352" w:rsidRDefault="00C00404">
      <w:pPr>
        <w:spacing w:before="120" w:after="120"/>
        <w:ind w:left="1418"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2. </w:t>
      </w:r>
      <w:r>
        <w:rPr>
          <w:rFonts w:ascii="Palatino Linotype" w:eastAsia="Palatino Linotype" w:hAnsi="Palatino Linotype" w:cs="Palatino Linotype"/>
          <w:i/>
          <w:sz w:val="22"/>
          <w:szCs w:val="22"/>
        </w:rPr>
        <w:t>La recaudación de las contribuciones.</w:t>
      </w:r>
    </w:p>
    <w:p w14:paraId="7069C21C" w14:textId="77777777" w:rsidR="00EF7352" w:rsidRDefault="00C00404">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2448AA94" w14:textId="77777777" w:rsidR="00EF7352" w:rsidRDefault="00C00404">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que contengan las opiniones, recomendaciones o puntos de vista que formen parte del proceso deliberativo de los servidores públicos, hasta en tanto sea adoptada la decisión definitiva, la cual deberá estar documentada;</w:t>
      </w:r>
    </w:p>
    <w:p w14:paraId="12C4B3BB" w14:textId="77777777" w:rsidR="00EF7352" w:rsidRDefault="00C00404">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VIII</w:t>
      </w:r>
      <w:r>
        <w:rPr>
          <w:rFonts w:ascii="Palatino Linotype" w:eastAsia="Palatino Linotype" w:hAnsi="Palatino Linotype" w:cs="Palatino Linotype"/>
          <w:i/>
          <w:sz w:val="22"/>
          <w:szCs w:val="22"/>
        </w:rPr>
        <w:t>. Vulnere la conducción de los expedientes judiciales o de los procedimientos administrativos seguidos en forma de juicio, en tanto no hayan quedado firmes</w:t>
      </w:r>
      <w:r>
        <w:rPr>
          <w:rFonts w:ascii="Palatino Linotype" w:eastAsia="Palatino Linotype" w:hAnsi="Palatino Linotype" w:cs="Palatino Linotype"/>
          <w:b/>
          <w:i/>
          <w:sz w:val="22"/>
          <w:szCs w:val="22"/>
        </w:rPr>
        <w:t>;</w:t>
      </w:r>
    </w:p>
    <w:p w14:paraId="1F2FB6BF" w14:textId="77777777" w:rsidR="00EF7352" w:rsidRDefault="00C00404">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IX. </w:t>
      </w:r>
      <w:r>
        <w:rPr>
          <w:rFonts w:ascii="Palatino Linotype" w:eastAsia="Palatino Linotype" w:hAnsi="Palatino Linotype" w:cs="Palatino Linotype"/>
          <w:i/>
          <w:sz w:val="22"/>
          <w:szCs w:val="22"/>
        </w:rPr>
        <w:t>Se encuentre contenida dentro de las investigaciones de hechos que la Ley señale como delitos y se tramiten ante el Ministerio Público;</w:t>
      </w:r>
    </w:p>
    <w:p w14:paraId="04827E81" w14:textId="77777777" w:rsidR="00EF7352" w:rsidRDefault="00C00404">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X. </w:t>
      </w:r>
      <w:r>
        <w:rPr>
          <w:rFonts w:ascii="Palatino Linotype" w:eastAsia="Palatino Linotype" w:hAnsi="Palatino Linotype" w:cs="Palatino Linotype"/>
          <w:i/>
          <w:sz w:val="22"/>
          <w:szCs w:val="22"/>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1D3BC86C" w14:textId="77777777" w:rsidR="00EF7352" w:rsidRDefault="00C00404">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19849B7F" w14:textId="77777777" w:rsidR="00EF7352" w:rsidRDefault="00C00404">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XI. </w:t>
      </w:r>
      <w:r>
        <w:rPr>
          <w:rFonts w:ascii="Palatino Linotype" w:eastAsia="Palatino Linotype" w:hAnsi="Palatino Linotype" w:cs="Palatino Linotype"/>
          <w:i/>
          <w:sz w:val="22"/>
          <w:szCs w:val="22"/>
        </w:rPr>
        <w:t>Las que por disposición expresa de una ley tengan tal carácter, siempre que sean acordes con las bases, principios y disposiciones establecidos en esta Ley y no la contravengan; así como las previstas en tratados internacionales.</w:t>
      </w:r>
    </w:p>
    <w:p w14:paraId="0F4E1CD3" w14:textId="77777777" w:rsidR="00EF7352" w:rsidRDefault="00C00404">
      <w:pP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2B47B48" w14:textId="77777777" w:rsidR="00EF7352" w:rsidRDefault="00C00404">
      <w:pP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143. </w:t>
      </w:r>
      <w:r>
        <w:rPr>
          <w:rFonts w:ascii="Palatino Linotype" w:eastAsia="Palatino Linotype" w:hAnsi="Palatino Linotype" w:cs="Palatino Linotype"/>
          <w:i/>
          <w:sz w:val="22"/>
          <w:szCs w:val="22"/>
        </w:rPr>
        <w:t>Para los efectos de esta Ley se considera información confidencial, la clasificada como tal, de manera permanente, por su naturaleza, cuando:</w:t>
      </w:r>
    </w:p>
    <w:p w14:paraId="20EA4E94" w14:textId="77777777" w:rsidR="00EF7352" w:rsidRDefault="00C00404">
      <w:pPr>
        <w:spacing w:before="120" w:after="12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i/>
          <w:sz w:val="22"/>
          <w:szCs w:val="22"/>
        </w:rPr>
        <w:t>Se refiera a la información privada y los datos personales concernientes a una persona física o jurídico colectiva identificada o identificable;</w:t>
      </w:r>
    </w:p>
    <w:p w14:paraId="57D539F0" w14:textId="77777777" w:rsidR="00EF7352" w:rsidRDefault="00C00404">
      <w:pPr>
        <w:spacing w:before="120" w:after="12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 </w:t>
      </w:r>
      <w:r>
        <w:rPr>
          <w:rFonts w:ascii="Palatino Linotype" w:eastAsia="Palatino Linotype" w:hAnsi="Palatino Linotype" w:cs="Palatino Linotype"/>
          <w:i/>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2A1C928B" w14:textId="77777777" w:rsidR="00EF7352" w:rsidRDefault="00C00404">
      <w:pPr>
        <w:spacing w:before="120" w:after="12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i/>
          <w:sz w:val="22"/>
          <w:szCs w:val="22"/>
        </w:rPr>
        <w:t>La que presenten los particulares a los sujetos obligados, de conformidad con lo dispuesto por las leyes o los tratados internacionales.</w:t>
      </w:r>
    </w:p>
    <w:p w14:paraId="252E969F" w14:textId="77777777" w:rsidR="00EF7352" w:rsidRDefault="00C00404">
      <w:pPr>
        <w:spacing w:before="120" w:after="12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0755071D" w14:textId="77777777" w:rsidR="00EF7352" w:rsidRDefault="00C00404">
      <w:pPr>
        <w:spacing w:before="120" w:after="120"/>
        <w:ind w:left="567" w:right="900"/>
        <w:jc w:val="both"/>
        <w:rPr>
          <w:rFonts w:ascii="Palatino Linotype" w:eastAsia="Palatino Linotype" w:hAnsi="Palatino Linotype" w:cs="Palatino Linotype"/>
        </w:rPr>
      </w:pPr>
      <w:r>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63FEA399" w14:textId="77777777" w:rsidR="00EF7352" w:rsidRDefault="00C00404">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3AD70A09" w14:textId="77777777" w:rsidR="00EF7352" w:rsidRDefault="00C00404">
      <w:pPr>
        <w:numPr>
          <w:ilvl w:val="0"/>
          <w:numId w:val="4"/>
        </w:numPr>
        <w:tabs>
          <w:tab w:val="left" w:pos="851"/>
        </w:tabs>
        <w:spacing w:before="280" w:line="360" w:lineRule="auto"/>
        <w:ind w:left="567" w:firstLine="0"/>
        <w:jc w:val="both"/>
        <w:rPr>
          <w:rFonts w:ascii="Palatino Linotype" w:eastAsia="Palatino Linotype" w:hAnsi="Palatino Linotype" w:cs="Palatino Linotype"/>
        </w:rPr>
      </w:pPr>
      <w:r>
        <w:rPr>
          <w:rFonts w:ascii="Palatino Linotype" w:eastAsia="Palatino Linotype" w:hAnsi="Palatino Linotype" w:cs="Palatino Linotype"/>
        </w:rPr>
        <w:t>Se reciba una solicitud de acceso a la información;</w:t>
      </w:r>
    </w:p>
    <w:p w14:paraId="66A8D2DC" w14:textId="77777777" w:rsidR="00EF7352" w:rsidRDefault="00C00404">
      <w:pPr>
        <w:numPr>
          <w:ilvl w:val="0"/>
          <w:numId w:val="4"/>
        </w:numPr>
        <w:tabs>
          <w:tab w:val="left" w:pos="851"/>
        </w:tabs>
        <w:spacing w:line="360" w:lineRule="auto"/>
        <w:ind w:left="567" w:firstLine="0"/>
        <w:jc w:val="both"/>
        <w:rPr>
          <w:rFonts w:ascii="Palatino Linotype" w:eastAsia="Palatino Linotype" w:hAnsi="Palatino Linotype" w:cs="Palatino Linotype"/>
        </w:rPr>
      </w:pPr>
      <w:r>
        <w:rPr>
          <w:rFonts w:ascii="Palatino Linotype" w:eastAsia="Palatino Linotype" w:hAnsi="Palatino Linotype" w:cs="Palatino Linotype"/>
        </w:rPr>
        <w:t>Se determine mediante resolución de autoridad competente; y/o</w:t>
      </w:r>
    </w:p>
    <w:p w14:paraId="75AE28B8" w14:textId="77777777" w:rsidR="00EF7352" w:rsidRDefault="00C00404">
      <w:pPr>
        <w:numPr>
          <w:ilvl w:val="0"/>
          <w:numId w:val="4"/>
        </w:numPr>
        <w:tabs>
          <w:tab w:val="left" w:pos="851"/>
        </w:tabs>
        <w:spacing w:after="280" w:line="360" w:lineRule="auto"/>
        <w:ind w:left="567" w:firstLine="0"/>
        <w:jc w:val="both"/>
        <w:rPr>
          <w:rFonts w:ascii="Palatino Linotype" w:eastAsia="Palatino Linotype" w:hAnsi="Palatino Linotype" w:cs="Palatino Linotype"/>
        </w:rPr>
      </w:pPr>
      <w:r>
        <w:rPr>
          <w:rFonts w:ascii="Palatino Linotype" w:eastAsia="Palatino Linotype" w:hAnsi="Palatino Linotype" w:cs="Palatino Linotype"/>
        </w:rPr>
        <w:t>Se generen versiones públicas para dar cumplimiento a las obligaciones de transparencia previstas en la Ley.</w:t>
      </w:r>
    </w:p>
    <w:p w14:paraId="355D2324" w14:textId="77777777" w:rsidR="00EF7352" w:rsidRDefault="00C00404">
      <w:pPr>
        <w:spacing w:before="280" w:after="28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es de precisar que la clasificación de la información no se da por el simple mandato de la Ley, sino que es necesario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 como se desprende de los artículos 59 fracción V</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53 fracción X</w:t>
      </w:r>
      <w:r>
        <w:rPr>
          <w:rFonts w:ascii="Palatino Linotype" w:eastAsia="Palatino Linotype" w:hAnsi="Palatino Linotype" w:cs="Palatino Linotype"/>
          <w:vertAlign w:val="superscript"/>
        </w:rPr>
        <w:footnoteReference w:id="3"/>
      </w:r>
      <w:r>
        <w:rPr>
          <w:rFonts w:ascii="Palatino Linotype" w:eastAsia="Palatino Linotype" w:hAnsi="Palatino Linotype" w:cs="Palatino Linotype"/>
        </w:rPr>
        <w:t xml:space="preserve">, </w:t>
      </w:r>
      <w:r>
        <w:rPr>
          <w:rFonts w:ascii="Palatino Linotype" w:eastAsia="Palatino Linotype" w:hAnsi="Palatino Linotype" w:cs="Palatino Linotype"/>
        </w:rPr>
        <w:lastRenderedPageBreak/>
        <w:t>y 49 fracciones II y VIII</w:t>
      </w:r>
      <w:r>
        <w:rPr>
          <w:rFonts w:ascii="Palatino Linotype" w:eastAsia="Palatino Linotype" w:hAnsi="Palatino Linotype" w:cs="Palatino Linotype"/>
          <w:vertAlign w:val="superscript"/>
        </w:rPr>
        <w:footnoteReference w:id="4"/>
      </w:r>
      <w:r>
        <w:rPr>
          <w:rFonts w:ascii="Palatino Linotype" w:eastAsia="Palatino Linotype" w:hAnsi="Palatino Linotype" w:cs="Palatino Linotype"/>
        </w:rPr>
        <w:t xml:space="preserve"> de la Ley de Transparencia y Acceso a la Información Pública del Estado de México y Municipios.</w:t>
      </w:r>
    </w:p>
    <w:p w14:paraId="5119DF23" w14:textId="77777777" w:rsidR="00EF7352" w:rsidRDefault="00C00404">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Bajo tales consideraciones, este Órgano Garante no omite señalar que, si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advierte que la información solicitada contienen </w:t>
      </w:r>
      <w:r>
        <w:rPr>
          <w:rFonts w:ascii="Palatino Linotype" w:eastAsia="Palatino Linotype" w:hAnsi="Palatino Linotype" w:cs="Palatino Linotype"/>
          <w:b/>
        </w:rPr>
        <w:t>datos personales</w:t>
      </w:r>
      <w:r>
        <w:rPr>
          <w:rFonts w:ascii="Palatino Linotype" w:eastAsia="Palatino Linotype" w:hAnsi="Palatino Linotype" w:cs="Palatino Linotype"/>
        </w:rPr>
        <w:t xml:space="preserve"> que sean susceptibles de ser </w:t>
      </w:r>
      <w:r>
        <w:rPr>
          <w:rFonts w:ascii="Palatino Linotype" w:eastAsia="Palatino Linotype" w:hAnsi="Palatino Linotype" w:cs="Palatino Linotype"/>
          <w:b/>
        </w:rPr>
        <w:t xml:space="preserve">clasificados como confidenciales, </w:t>
      </w:r>
      <w:r>
        <w:rPr>
          <w:rFonts w:ascii="Palatino Linotype" w:eastAsia="Palatino Linotype" w:hAnsi="Palatino Linotype" w:cs="Palatino Linotype"/>
        </w:rPr>
        <w:t>o, si por otro lado</w:t>
      </w:r>
      <w:r>
        <w:rPr>
          <w:rFonts w:ascii="Palatino Linotype" w:eastAsia="Palatino Linotype" w:hAnsi="Palatino Linotype" w:cs="Palatino Linotype"/>
          <w:b/>
        </w:rPr>
        <w:t>, por su propia y especial naturaleza,</w:t>
      </w:r>
      <w:r>
        <w:rPr>
          <w:rFonts w:ascii="Palatino Linotype" w:eastAsia="Palatino Linotype" w:hAnsi="Palatino Linotype" w:cs="Palatino Linotype"/>
        </w:rPr>
        <w:t xml:space="preserve"> encuadra en alguno de los </w:t>
      </w:r>
      <w:r>
        <w:rPr>
          <w:rFonts w:ascii="Palatino Linotype" w:eastAsia="Palatino Linotype" w:hAnsi="Palatino Linotype" w:cs="Palatino Linotype"/>
          <w:b/>
        </w:rPr>
        <w:t>supuestos de reserva o de confidencialidad en su totalidad</w:t>
      </w:r>
      <w:r>
        <w:rPr>
          <w:rFonts w:ascii="Palatino Linotype" w:eastAsia="Palatino Linotype" w:hAnsi="Palatino Linotype" w:cs="Palatino Linotype"/>
        </w:rPr>
        <w:t>, deberá emitir, un</w:t>
      </w:r>
      <w:r>
        <w:rPr>
          <w:rFonts w:ascii="Palatino Linotype" w:eastAsia="Palatino Linotype" w:hAnsi="Palatino Linotype" w:cs="Palatino Linotype"/>
          <w:b/>
        </w:rPr>
        <w:t xml:space="preserve"> Acuerdo de Clasificación </w:t>
      </w:r>
      <w:r>
        <w:rPr>
          <w:rFonts w:ascii="Palatino Linotype" w:eastAsia="Palatino Linotype" w:hAnsi="Palatino Linotype" w:cs="Palatino Linotype"/>
        </w:rPr>
        <w:t>debidamente fundado y motivado que</w:t>
      </w:r>
      <w:r>
        <w:rPr>
          <w:rFonts w:ascii="Palatino Linotype" w:eastAsia="Palatino Linotype" w:hAnsi="Palatino Linotype" w:cs="Palatino Linotype"/>
          <w:b/>
        </w:rPr>
        <w:t xml:space="preserve"> sustente la clasificación parcial, a través de la versión pública que emita,</w:t>
      </w:r>
      <w:r>
        <w:rPr>
          <w:rFonts w:ascii="Palatino Linotype" w:eastAsia="Palatino Linotype" w:hAnsi="Palatino Linotype" w:cs="Palatino Linotype"/>
        </w:rPr>
        <w:t xml:space="preserve"> o bien, la restricción total del derecho de acceso a la información.  </w:t>
      </w:r>
    </w:p>
    <w:p w14:paraId="6892315B" w14:textId="77777777" w:rsidR="00EF7352" w:rsidRDefault="00C00404">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Respecto de la clasificación parcial, a través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w:t>
      </w:r>
      <w:r>
        <w:rPr>
          <w:rFonts w:ascii="Palatino Linotype" w:eastAsia="Palatino Linotype" w:hAnsi="Palatino Linotype" w:cs="Palatino Linotype"/>
        </w:rPr>
        <w:lastRenderedPageBreak/>
        <w:t>de conformidad con el artículo 4, fracción XII de la Ley de Protección de Datos Personales en Posesión de Sujetos Obligados del Estado de México y Municipios.</w:t>
      </w:r>
    </w:p>
    <w:p w14:paraId="4B7C62A0" w14:textId="77777777" w:rsidR="00EF7352" w:rsidRDefault="00C00404">
      <w:pPr>
        <w:spacing w:before="280" w:after="28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 la reserva y ampliación del plazo de reserva de la información, para motivar la clasificación se deberán de señalar las razones, motivos o circunstancias especiales que llevaron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concluir que, el caso particular se ajusta al supuesto previsto por la norma legal invocada como fundamento; siendo que, además, en todo momento, se debe aplicar una prueba de daño, entendida ésta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14:paraId="7DE0638C" w14:textId="77777777" w:rsidR="00EF7352" w:rsidRDefault="00C00404">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Local, para lo cual, los Sujetos Obligados deberán considerar que: </w:t>
      </w:r>
    </w:p>
    <w:p w14:paraId="2457E061" w14:textId="77777777" w:rsidR="00EF7352" w:rsidRDefault="00C00404">
      <w:pPr>
        <w:numPr>
          <w:ilvl w:val="0"/>
          <w:numId w:val="1"/>
        </w:numPr>
        <w:tabs>
          <w:tab w:val="left" w:pos="851"/>
        </w:tabs>
        <w:spacing w:before="280" w:line="360" w:lineRule="auto"/>
        <w:ind w:left="567" w:right="900" w:firstLine="1"/>
        <w:jc w:val="both"/>
        <w:rPr>
          <w:rFonts w:ascii="Palatino Linotype" w:eastAsia="Palatino Linotype" w:hAnsi="Palatino Linotype" w:cs="Palatino Linotype"/>
        </w:rPr>
      </w:pPr>
      <w:r>
        <w:rPr>
          <w:rFonts w:ascii="Palatino Linotype" w:eastAsia="Palatino Linotype" w:hAnsi="Palatino Linotype" w:cs="Palatino Linotype"/>
        </w:rPr>
        <w:t xml:space="preserve">La divulgación de la información representa un </w:t>
      </w:r>
      <w:r>
        <w:rPr>
          <w:rFonts w:ascii="Palatino Linotype" w:eastAsia="Palatino Linotype" w:hAnsi="Palatino Linotype" w:cs="Palatino Linotype"/>
          <w:b/>
        </w:rPr>
        <w:t>riesgo real, demostrable e identificable del perjuicio significativo al interés público o a la seguridad pública</w:t>
      </w:r>
      <w:r>
        <w:rPr>
          <w:rFonts w:ascii="Palatino Linotype" w:eastAsia="Palatino Linotype" w:hAnsi="Palatino Linotype" w:cs="Palatino Linotype"/>
        </w:rPr>
        <w:t>;</w:t>
      </w:r>
    </w:p>
    <w:p w14:paraId="5A47C014" w14:textId="77777777" w:rsidR="00EF7352" w:rsidRDefault="00C00404">
      <w:pPr>
        <w:numPr>
          <w:ilvl w:val="0"/>
          <w:numId w:val="1"/>
        </w:numPr>
        <w:tabs>
          <w:tab w:val="left" w:pos="851"/>
        </w:tabs>
        <w:spacing w:line="360" w:lineRule="auto"/>
        <w:ind w:left="567" w:right="900" w:firstLine="1"/>
        <w:jc w:val="both"/>
        <w:rPr>
          <w:rFonts w:ascii="Palatino Linotype" w:eastAsia="Palatino Linotype" w:hAnsi="Palatino Linotype" w:cs="Palatino Linotype"/>
        </w:rPr>
      </w:pPr>
      <w:r>
        <w:rPr>
          <w:rFonts w:ascii="Palatino Linotype" w:eastAsia="Palatino Linotype" w:hAnsi="Palatino Linotype" w:cs="Palatino Linotype"/>
        </w:rPr>
        <w:t>El riesgo de perjuicio que supondría la divulgación supera el interés público general de que se difunda; y,</w:t>
      </w:r>
    </w:p>
    <w:p w14:paraId="0DA0AD1D" w14:textId="77777777" w:rsidR="00EF7352" w:rsidRDefault="00C00404">
      <w:pPr>
        <w:numPr>
          <w:ilvl w:val="0"/>
          <w:numId w:val="1"/>
        </w:numPr>
        <w:tabs>
          <w:tab w:val="left" w:pos="851"/>
        </w:tabs>
        <w:spacing w:after="280" w:line="360" w:lineRule="auto"/>
        <w:ind w:left="567" w:right="900" w:firstLine="1"/>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La limitación se adecua al principio de proporcionalidad y representa el medio menos restrictivo disponible para evitar el perjuicio. </w:t>
      </w:r>
    </w:p>
    <w:p w14:paraId="681DEFF3" w14:textId="77777777" w:rsidR="00EF7352" w:rsidRDefault="00C00404">
      <w:pPr>
        <w:widowControl w:val="0"/>
        <w:pBdr>
          <w:top w:val="nil"/>
          <w:left w:val="nil"/>
          <w:bottom w:val="nil"/>
          <w:right w:val="nil"/>
          <w:between w:val="nil"/>
        </w:pBdr>
        <w:tabs>
          <w:tab w:val="left" w:pos="1276"/>
          <w:tab w:val="left" w:pos="1701"/>
          <w:tab w:val="left" w:pos="1843"/>
        </w:tabs>
        <w:spacing w:before="280" w:after="28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Atento a lo anterior, es necesario hacer hincapié que en el caso de que existan causas presentes que impiden la publicidad de la información durante cierto periodo de tiempo, las razones objetivas por las que la apertura de la información generaría una afectación, deben aplicar de manera restrictiva y limitada las hipótesis de clasificación y no hacerlas valer de manera general.</w:t>
      </w:r>
    </w:p>
    <w:p w14:paraId="5F8B22E1" w14:textId="77777777" w:rsidR="00EF7352" w:rsidRDefault="00C00404">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pertinente aclarar que, la información que se clasifica bajo la premisa de reservada, </w:t>
      </w:r>
      <w:r>
        <w:rPr>
          <w:rFonts w:ascii="Palatino Linotype" w:eastAsia="Palatino Linotype" w:hAnsi="Palatino Linotype" w:cs="Palatino Linotype"/>
          <w:b/>
        </w:rPr>
        <w:t>no pierde el carácter de pública</w:t>
      </w:r>
      <w:r>
        <w:rPr>
          <w:rFonts w:ascii="Palatino Linotype" w:eastAsia="Palatino Linotype" w:hAnsi="Palatino Linotype" w:cs="Palatino Linotype"/>
        </w:rPr>
        <w:t xml:space="preserve">, sino que </w:t>
      </w:r>
      <w:r>
        <w:rPr>
          <w:rFonts w:ascii="Palatino Linotype" w:eastAsia="Palatino Linotype" w:hAnsi="Palatino Linotype" w:cs="Palatino Linotype"/>
          <w:b/>
        </w:rPr>
        <w:t>se reserva temporalmente</w:t>
      </w:r>
      <w:r>
        <w:rPr>
          <w:rFonts w:ascii="Palatino Linotype" w:eastAsia="Palatino Linotype" w:hAnsi="Palatino Linotype" w:cs="Palatino Linotype"/>
        </w:rPr>
        <w:t xml:space="preserve"> </w:t>
      </w:r>
      <w:r>
        <w:rPr>
          <w:rFonts w:ascii="Palatino Linotype" w:eastAsia="Palatino Linotype" w:hAnsi="Palatino Linotype" w:cs="Palatino Linotype"/>
          <w:b/>
        </w:rPr>
        <w:t>del conocimiento público</w:t>
      </w:r>
      <w:r>
        <w:rPr>
          <w:rFonts w:ascii="Palatino Linotype" w:eastAsia="Palatino Linotype" w:hAnsi="Palatino Linotype" w:cs="Palatino Linotype"/>
        </w:rPr>
        <w:t xml:space="preserve">, es decir, que, </w:t>
      </w:r>
      <w:r>
        <w:rPr>
          <w:rFonts w:ascii="Palatino Linotype" w:eastAsia="Palatino Linotype" w:hAnsi="Palatino Linotype" w:cs="Palatino Linotype"/>
          <w:b/>
        </w:rPr>
        <w:t>por un tiempo determinado</w:t>
      </w:r>
      <w:r>
        <w:rPr>
          <w:rFonts w:ascii="Palatino Linotype" w:eastAsia="Palatino Linotype" w:hAnsi="Palatino Linotype" w:cs="Palatino Linotype"/>
        </w:rPr>
        <w:t>, se conservará y custodiará la información de manera especial, y una vez transcurrido el plazo de reserva, el documento podrá divulgarse.</w:t>
      </w:r>
    </w:p>
    <w:p w14:paraId="77C5F743" w14:textId="77777777" w:rsidR="00EF7352" w:rsidRDefault="00C00404">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2,006,299. I.1o.A.E.3 K (10a.), que literalmente señala:</w:t>
      </w:r>
    </w:p>
    <w:p w14:paraId="00ABCA44" w14:textId="77777777" w:rsidR="00EF7352" w:rsidRDefault="00C00404">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INFORMACIÓN RESERVADA. APLICACIÓN DE LA "PRUEBA DE DAÑO E INTERÉS PÚBLICO" PARA DETERMINAR LO ADECUADO </w:t>
      </w:r>
      <w:r>
        <w:rPr>
          <w:rFonts w:ascii="Palatino Linotype" w:eastAsia="Palatino Linotype" w:hAnsi="Palatino Linotype" w:cs="Palatino Linotype"/>
          <w:b/>
          <w:i/>
          <w:sz w:val="22"/>
          <w:szCs w:val="22"/>
        </w:rPr>
        <w:lastRenderedPageBreak/>
        <w:t>DE LA APORTADA CON ESA CLASIFICACIÓN EN EL JUICIO DE AMPARO POR LA AUTORIDAD RESPONSABLE, A EFECTO DE HACER VIABLE LA DEFENSA EFECTIVA DEL QUEJOSO.</w:t>
      </w:r>
      <w:r>
        <w:rPr>
          <w:rFonts w:ascii="Palatino Linotype" w:eastAsia="Palatino Linotype" w:hAnsi="Palatino Linotype" w:cs="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pública para la parte interesada.”</w:t>
      </w:r>
    </w:p>
    <w:p w14:paraId="597B4F2B" w14:textId="77777777" w:rsidR="00EF7352" w:rsidRDefault="00C00404">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14:paraId="6A9914DD" w14:textId="77777777" w:rsidR="00EF7352" w:rsidRDefault="00C00404">
      <w:pPr>
        <w:spacing w:before="280" w:after="28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lastRenderedPageBreak/>
        <w:t>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Pr>
          <w:rFonts w:ascii="Palatino Linotype" w:eastAsia="Palatino Linotype" w:hAnsi="Palatino Linotype" w:cs="Palatino Linotype"/>
          <w:vertAlign w:val="superscript"/>
        </w:rPr>
        <w:footnoteReference w:id="5"/>
      </w:r>
      <w:r>
        <w:rPr>
          <w:rFonts w:ascii="Palatino Linotype" w:eastAsia="Palatino Linotype" w:hAnsi="Palatino Linotype" w:cs="Palatino Linotype"/>
        </w:rPr>
        <w:t>,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0DC24B57" w14:textId="77777777" w:rsidR="00EF7352" w:rsidRDefault="00C00404">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otro lado, estima prudente señalar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que, en caso de que la información solicitada, debiera obrar en sus archivos y no cuente con ella, deberá entregar el Acuerdo del Comité de Transparencia, en donde conste la declaratoria de inexistencia de la misma.</w:t>
      </w:r>
    </w:p>
    <w:p w14:paraId="71D0EF0A" w14:textId="77777777" w:rsidR="00EF7352" w:rsidRDefault="00C00404">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importante resaltar que los artículos 18 y 19 de la Ley de Transparencia y Acceso a la Información Pública del Estado de México y Municipios establecen que los sujetos obligados deben documentar todo acto que derive del ejercicio de sus </w:t>
      </w:r>
      <w:r>
        <w:rPr>
          <w:rFonts w:ascii="Palatino Linotype" w:eastAsia="Palatino Linotype" w:hAnsi="Palatino Linotype" w:cs="Palatino Linotype"/>
        </w:rPr>
        <w:lastRenderedPageBreak/>
        <w:t>facultades, competencias o funciones y que se presume que la información debe existir si se refiere a dichas facultades, competencias y/o funciones.</w:t>
      </w:r>
    </w:p>
    <w:p w14:paraId="776F59CD" w14:textId="77777777" w:rsidR="00EF7352" w:rsidRDefault="00C00404">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05D50164" w14:textId="77777777" w:rsidR="00EF7352" w:rsidRDefault="00C00404">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Resulta aplicable el criterio de interpretación en el orden administrativo número 0008-19 emitido por Acuerdo del Pleno del Instituto de Transparencia y Acceso a la Información Pública del Estado de México y Municipios, que a la letra dice:</w:t>
      </w:r>
    </w:p>
    <w:p w14:paraId="57A30CCE" w14:textId="77777777" w:rsidR="00EF7352" w:rsidRDefault="00C00404">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“INEXISTENCIA DE LA INFORMACIÓN. SUPUESTOS PARA EMITIR LA RESOLUCIÓN DE LA. </w:t>
      </w:r>
      <w:r>
        <w:rPr>
          <w:rFonts w:ascii="Palatino Linotype" w:eastAsia="Palatino Linotype" w:hAnsi="Palatino Linotype" w:cs="Palatino Linotype"/>
          <w:i/>
          <w:sz w:val="22"/>
          <w:szCs w:val="22"/>
        </w:rPr>
        <w:t xml:space="preserve">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w:t>
      </w:r>
      <w:r>
        <w:rPr>
          <w:rFonts w:ascii="Palatino Linotype" w:eastAsia="Palatino Linotype" w:hAnsi="Palatino Linotype" w:cs="Palatino Linotype"/>
          <w:i/>
          <w:sz w:val="22"/>
          <w:szCs w:val="22"/>
        </w:rPr>
        <w:lastRenderedPageBreak/>
        <w:t>información, acto jurídico que genera certeza jurídica al particular de que se realizó un criterio de búsqueda exhaustivo y razonable con la debida justificación de la falta de información y en su caso, las consecuencias de ello.”</w:t>
      </w:r>
    </w:p>
    <w:p w14:paraId="252F0C82" w14:textId="77777777" w:rsidR="00EF7352" w:rsidRDefault="00C00404">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mérito de todo lo expuesto, ante lo </w:t>
      </w:r>
      <w:r>
        <w:rPr>
          <w:rFonts w:ascii="Palatino Linotype" w:eastAsia="Palatino Linotype" w:hAnsi="Palatino Linotype" w:cs="Palatino Linotype"/>
          <w:b/>
        </w:rPr>
        <w:t>fundado</w:t>
      </w:r>
      <w:r>
        <w:rPr>
          <w:rFonts w:ascii="Palatino Linotype" w:eastAsia="Palatino Linotype" w:hAnsi="Palatino Linotype" w:cs="Palatino Linotype"/>
        </w:rPr>
        <w:t xml:space="preserve"> de las razones o motivos de inconformidad hechos valer por </w:t>
      </w:r>
      <w:r w:rsidRPr="00A77BA1">
        <w:rPr>
          <w:rFonts w:ascii="Palatino Linotype" w:eastAsia="Palatino Linotype" w:hAnsi="Palatino Linotype" w:cs="Palatino Linotype"/>
          <w:b/>
        </w:rPr>
        <w:t>la</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este Instituto estima que lo dable es </w:t>
      </w:r>
      <w:r>
        <w:rPr>
          <w:rFonts w:ascii="Palatino Linotype" w:eastAsia="Palatino Linotype" w:hAnsi="Palatino Linotype" w:cs="Palatino Linotype"/>
          <w:b/>
        </w:rPr>
        <w:t>Ordenar</w:t>
      </w:r>
      <w:r>
        <w:rPr>
          <w:rFonts w:ascii="Palatino Linotype" w:eastAsia="Palatino Linotype" w:hAnsi="Palatino Linotype" w:cs="Palatino Linotype"/>
        </w:rPr>
        <w:t xml:space="preserve">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dé respuesta a la solicitud de acceso a la información, atendiendo lo señalado en el presente Considerando.</w:t>
      </w:r>
    </w:p>
    <w:p w14:paraId="18FFB09E" w14:textId="77777777" w:rsidR="00EF7352" w:rsidRDefault="00C00404">
      <w:pPr>
        <w:spacing w:before="280" w:after="28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es de señalar que, como ya se mencionó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omitió proporcionar la respuesta a su solicitud de acceso a la información pública, en el término contemplado en el ya citado artículo 163 de la Ley de la materia, razón por la que </w:t>
      </w:r>
      <w:r>
        <w:rPr>
          <w:rFonts w:ascii="Palatino Linotype" w:eastAsia="Palatino Linotype" w:hAnsi="Palatino Linotype" w:cs="Palatino Linotype"/>
          <w:b/>
        </w:rPr>
        <w:t>se ordena dar vista al Titular de la Contraloría Interna y Órgano de Control y Vigilancia de este Instituto</w:t>
      </w:r>
      <w:r>
        <w:rPr>
          <w:rFonts w:ascii="Palatino Linotype" w:eastAsia="Palatino Linotype" w:hAnsi="Palatino Linotype" w:cs="Palatino Linotype"/>
        </w:rPr>
        <w:t>,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14:paraId="24276BA0" w14:textId="77777777" w:rsidR="00EF7352" w:rsidRDefault="00C00404">
      <w:pPr>
        <w:spacing w:before="240" w:after="240" w:line="360" w:lineRule="auto"/>
        <w:jc w:val="both"/>
        <w:rPr>
          <w:rFonts w:ascii="Palatino Linotype" w:eastAsia="Palatino Linotype" w:hAnsi="Palatino Linotype" w:cs="Palatino Linotype"/>
        </w:rPr>
      </w:pPr>
      <w:bookmarkStart w:id="3" w:name="_heading=h.1fob9te" w:colFirst="0" w:colLast="0"/>
      <w:bookmarkEnd w:id="3"/>
      <w:r>
        <w:rPr>
          <w:rFonts w:ascii="Palatino Linotype" w:eastAsia="Palatino Linotype" w:hAnsi="Palatino Linotype" w:cs="Palatino Linotype"/>
        </w:rPr>
        <w:t>Así, con fundamento en lo prescrito en los</w:t>
      </w:r>
      <w:r>
        <w:t xml:space="preserve"> </w:t>
      </w:r>
      <w:r>
        <w:rPr>
          <w:rFonts w:ascii="Palatino Linotype" w:eastAsia="Palatino Linotype" w:hAnsi="Palatino Linotype" w:cs="Palatino Linotype"/>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1758A4E1" w14:textId="77777777" w:rsidR="00EF7352" w:rsidRDefault="00C00404">
      <w:pPr>
        <w:numPr>
          <w:ilvl w:val="0"/>
          <w:numId w:val="3"/>
        </w:numPr>
        <w:pBdr>
          <w:top w:val="nil"/>
          <w:left w:val="nil"/>
          <w:bottom w:val="nil"/>
          <w:right w:val="nil"/>
          <w:between w:val="nil"/>
        </w:pBdr>
        <w:spacing w:before="280" w:after="28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14:paraId="3EBA17B7" w14:textId="77777777" w:rsidR="00EF7352" w:rsidRDefault="00C00404">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Primero. </w:t>
      </w:r>
      <w:r>
        <w:rPr>
          <w:rFonts w:ascii="Palatino Linotype" w:eastAsia="Palatino Linotype" w:hAnsi="Palatino Linotype" w:cs="Palatino Linotype"/>
        </w:rPr>
        <w:t xml:space="preserve">Resultan </w:t>
      </w:r>
      <w:r>
        <w:rPr>
          <w:rFonts w:ascii="Palatino Linotype" w:eastAsia="Palatino Linotype" w:hAnsi="Palatino Linotype" w:cs="Palatino Linotype"/>
          <w:b/>
        </w:rPr>
        <w:t>fundados</w:t>
      </w:r>
      <w:r>
        <w:rPr>
          <w:rFonts w:ascii="Palatino Linotype" w:eastAsia="Palatino Linotype" w:hAnsi="Palatino Linotype" w:cs="Palatino Linotype"/>
        </w:rPr>
        <w:t xml:space="preserve"> </w:t>
      </w:r>
      <w:r w:rsidR="00A77BA1">
        <w:rPr>
          <w:rFonts w:ascii="Palatino Linotype" w:eastAsia="Palatino Linotype" w:hAnsi="Palatino Linotype" w:cs="Palatino Linotype"/>
        </w:rPr>
        <w:t xml:space="preserve">los motivos de inconformidad de </w:t>
      </w:r>
      <w:r w:rsidR="00A77BA1" w:rsidRPr="00A77BA1">
        <w:rPr>
          <w:rFonts w:ascii="Palatino Linotype" w:eastAsia="Palatino Linotype" w:hAnsi="Palatino Linotype" w:cs="Palatino Linotype"/>
          <w:b/>
        </w:rPr>
        <w:t>la</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términos del Considerando </w:t>
      </w:r>
      <w:r>
        <w:rPr>
          <w:rFonts w:ascii="Palatino Linotype" w:eastAsia="Palatino Linotype" w:hAnsi="Palatino Linotype" w:cs="Palatino Linotype"/>
          <w:b/>
        </w:rPr>
        <w:t>Cuarto</w:t>
      </w:r>
      <w:r>
        <w:rPr>
          <w:rFonts w:ascii="Palatino Linotype" w:eastAsia="Palatino Linotype" w:hAnsi="Palatino Linotype" w:cs="Palatino Linotype"/>
        </w:rPr>
        <w:t xml:space="preserve"> de la presente resolución.</w:t>
      </w:r>
    </w:p>
    <w:p w14:paraId="042CA85E" w14:textId="77777777" w:rsidR="00EF7352" w:rsidRDefault="00C0040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w:t>
      </w:r>
      <w:r>
        <w:rPr>
          <w:rFonts w:ascii="Palatino Linotype" w:eastAsia="Palatino Linotype" w:hAnsi="Palatino Linotype" w:cs="Palatino Linotype"/>
        </w:rPr>
        <w:t xml:space="preserve"> 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dé trámite a la solicitud de acceso a la información pública </w:t>
      </w:r>
      <w:r>
        <w:rPr>
          <w:rFonts w:ascii="Palatino Linotype" w:eastAsia="Palatino Linotype" w:hAnsi="Palatino Linotype" w:cs="Palatino Linotype"/>
          <w:b/>
        </w:rPr>
        <w:t xml:space="preserve"> </w:t>
      </w:r>
      <w:r w:rsidR="00A77BA1" w:rsidRPr="00A77BA1">
        <w:rPr>
          <w:rFonts w:ascii="Palatino Linotype" w:eastAsia="Palatino Linotype" w:hAnsi="Palatino Linotype" w:cs="Palatino Linotype"/>
          <w:b/>
          <w:bCs/>
        </w:rPr>
        <w:t>00022/ACOLMAN/IP/2022</w:t>
      </w:r>
      <w:r>
        <w:rPr>
          <w:rFonts w:ascii="Palatino Linotype" w:eastAsia="Palatino Linotype" w:hAnsi="Palatino Linotype" w:cs="Palatino Linotype"/>
          <w:b/>
        </w:rPr>
        <w:t xml:space="preserve">, </w:t>
      </w:r>
      <w:r>
        <w:rPr>
          <w:rFonts w:ascii="Palatino Linotype" w:eastAsia="Palatino Linotype" w:hAnsi="Palatino Linotype" w:cs="Palatino Linotype"/>
        </w:rPr>
        <w:t>que dio origen al recurso de revisión,</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vía </w:t>
      </w:r>
      <w:r>
        <w:rPr>
          <w:rFonts w:ascii="Palatino Linotype" w:eastAsia="Palatino Linotype" w:hAnsi="Palatino Linotype" w:cs="Palatino Linotype"/>
          <w:b/>
        </w:rPr>
        <w:t xml:space="preserve">Sistema de Acceso a la Información Mexiquense, SAIMEX, </w:t>
      </w:r>
      <w:r>
        <w:rPr>
          <w:rFonts w:ascii="Palatino Linotype" w:eastAsia="Palatino Linotype" w:hAnsi="Palatino Linotype" w:cs="Palatino Linotype"/>
        </w:rPr>
        <w:t>en términos del Considerando</w:t>
      </w:r>
      <w:r>
        <w:rPr>
          <w:rFonts w:ascii="Palatino Linotype" w:eastAsia="Palatino Linotype" w:hAnsi="Palatino Linotype" w:cs="Palatino Linotype"/>
          <w:b/>
        </w:rPr>
        <w:t xml:space="preserve"> Cuarto</w:t>
      </w:r>
      <w:r>
        <w:rPr>
          <w:rFonts w:ascii="Palatino Linotype" w:eastAsia="Palatino Linotype" w:hAnsi="Palatino Linotype" w:cs="Palatino Linotype"/>
        </w:rPr>
        <w:t xml:space="preserve"> de esta resolución y emita respuesta, debiendo observar las excepciones contenidas en la Ley de Transparencia y Acceso a la Información Pública del Estado de México y Municipios.</w:t>
      </w:r>
    </w:p>
    <w:p w14:paraId="4043CC4E" w14:textId="77777777" w:rsidR="00EF7352" w:rsidRDefault="00C00404">
      <w:pPr>
        <w:spacing w:before="240" w:after="240" w:line="360" w:lineRule="auto"/>
        <w:jc w:val="both"/>
        <w:rPr>
          <w:rFonts w:ascii="Palatino Linotype" w:eastAsia="Palatino Linotype" w:hAnsi="Palatino Linotype" w:cs="Palatino Linotype"/>
        </w:rPr>
      </w:pPr>
      <w:bookmarkStart w:id="4" w:name="_heading=h.3znysh7" w:colFirst="0" w:colLast="0"/>
      <w:bookmarkEnd w:id="4"/>
      <w:r>
        <w:rPr>
          <w:rFonts w:ascii="Palatino Linotype" w:eastAsia="Palatino Linotype" w:hAnsi="Palatino Linotype" w:cs="Palatino Linotype"/>
          <w:b/>
        </w:rPr>
        <w:t xml:space="preserve">Tercero. Notifíquese, </w:t>
      </w:r>
      <w:r>
        <w:rPr>
          <w:rFonts w:ascii="Palatino Linotype" w:eastAsia="Palatino Linotype" w:hAnsi="Palatino Linotype" w:cs="Palatino Linotype"/>
        </w:rPr>
        <w:t xml:space="preserve">vía </w:t>
      </w:r>
      <w:r>
        <w:rPr>
          <w:rFonts w:ascii="Palatino Linotype" w:eastAsia="Palatino Linotype" w:hAnsi="Palatino Linotype" w:cs="Palatino Linotype"/>
          <w:b/>
        </w:rPr>
        <w:t>SAIMEX</w:t>
      </w:r>
      <w:r>
        <w:rPr>
          <w:rFonts w:ascii="Palatino Linotype" w:eastAsia="Palatino Linotype" w:hAnsi="Palatino Linotype" w:cs="Palatino Linotype"/>
        </w:rPr>
        <w:t xml:space="preserve">, al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0401A1FC" w14:textId="77777777" w:rsidR="00EF7352" w:rsidRDefault="00C0040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Notifíquese, </w:t>
      </w:r>
      <w:r>
        <w:rPr>
          <w:rFonts w:ascii="Palatino Linotype" w:eastAsia="Palatino Linotype" w:hAnsi="Palatino Linotype" w:cs="Palatino Linotype"/>
        </w:rPr>
        <w:t xml:space="preserve">vía </w:t>
      </w:r>
      <w:r>
        <w:rPr>
          <w:rFonts w:ascii="Palatino Linotype" w:eastAsia="Palatino Linotype" w:hAnsi="Palatino Linotype" w:cs="Palatino Linotype"/>
          <w:b/>
        </w:rPr>
        <w:t>SAIMEX,</w:t>
      </w:r>
      <w:r>
        <w:rPr>
          <w:rFonts w:ascii="Palatino Linotype" w:eastAsia="Palatino Linotype" w:hAnsi="Palatino Linotype" w:cs="Palatino Linotype"/>
        </w:rPr>
        <w:t xml:space="preserve"> a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4DAFE543" w14:textId="77777777" w:rsidR="00EF7352" w:rsidRDefault="00C00404">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Quinto. Notifíquese, </w:t>
      </w:r>
      <w:r>
        <w:rPr>
          <w:rFonts w:ascii="Palatino Linotype" w:eastAsia="Palatino Linotype" w:hAnsi="Palatino Linotype" w:cs="Palatino Linotype"/>
        </w:rPr>
        <w:t xml:space="preserve">a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que la respuesta que dé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derivada de la presente resolución es susceptible de ser impugnada nuevamente, mediante recurso de revisión, ante el Instituto, en términos del artículo </w:t>
      </w:r>
      <w:r>
        <w:rPr>
          <w:rFonts w:ascii="Palatino Linotype" w:eastAsia="Palatino Linotype" w:hAnsi="Palatino Linotype" w:cs="Palatino Linotype"/>
        </w:rPr>
        <w:lastRenderedPageBreak/>
        <w:t>179, último párrafo de la Ley de Transparencia y Acceso a la Información Pública del Estado de México y Municipios.</w:t>
      </w:r>
    </w:p>
    <w:p w14:paraId="6FFB1553" w14:textId="77777777" w:rsidR="00EF7352" w:rsidRDefault="00C00404">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Sexto. Gírese </w:t>
      </w:r>
      <w:r>
        <w:rPr>
          <w:rFonts w:ascii="Palatino Linotype" w:eastAsia="Palatino Linotype" w:hAnsi="Palatino Linotype" w:cs="Palatino Linotype"/>
        </w:rPr>
        <w:t xml:space="preserve">oficio al Contralor Interno y Órgano de Control y Vigilancia de este Instituto para hacer de su conocimiento la presente resolución, a fin de que en ejercicio de sus atribuciones y de conformidad con el artículo 190, de la Ley de Transparencia y Acceso a la Información Pública del Estado de México y Municipios, determine lo conducente, en términos de lo señalado en el </w:t>
      </w:r>
      <w:r>
        <w:rPr>
          <w:rFonts w:ascii="Palatino Linotype" w:eastAsia="Palatino Linotype" w:hAnsi="Palatino Linotype" w:cs="Palatino Linotype"/>
          <w:b/>
        </w:rPr>
        <w:t xml:space="preserve">Considerando Cuarto </w:t>
      </w:r>
      <w:r>
        <w:rPr>
          <w:rFonts w:ascii="Palatino Linotype" w:eastAsia="Palatino Linotype" w:hAnsi="Palatino Linotype" w:cs="Palatino Linotype"/>
        </w:rPr>
        <w:t>de la presente resolución.</w:t>
      </w:r>
      <w:r>
        <w:rPr>
          <w:rFonts w:ascii="Palatino Linotype" w:eastAsia="Palatino Linotype" w:hAnsi="Palatino Linotype" w:cs="Palatino Linotype"/>
          <w:b/>
        </w:rPr>
        <w:t xml:space="preserve"> </w:t>
      </w:r>
    </w:p>
    <w:p w14:paraId="0E6E1721" w14:textId="77777777" w:rsidR="00EF7352" w:rsidRDefault="00C00404">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Séptimo. </w:t>
      </w:r>
      <w:r>
        <w:rPr>
          <w:rFonts w:ascii="Palatino Linotype" w:eastAsia="Palatino Linotype" w:hAnsi="Palatino Linotype" w:cs="Palatino Linotype"/>
        </w:rPr>
        <w:t>Con fundamento en el artículo 198 de la Ley de la Ley de Transparencia y Acceso a la Información Pública del Estado de México y Municipios, se apercibe al Sujeto Obligado que, en caso de negarse a cumplir la presente resolución o hacerlo de manera parcial se actuará de conformidad con lo previsto en los artículos 213, 214, 216 y 217 de dicha Ley.</w:t>
      </w:r>
      <w:r>
        <w:rPr>
          <w:rFonts w:ascii="Palatino Linotype" w:eastAsia="Palatino Linotype" w:hAnsi="Palatino Linotype" w:cs="Palatino Linotype"/>
          <w:b/>
        </w:rPr>
        <w:t xml:space="preserve">  </w:t>
      </w:r>
    </w:p>
    <w:p w14:paraId="3079F7C6" w14:textId="77777777" w:rsidR="00EF7352" w:rsidRDefault="00C00404">
      <w:pPr>
        <w:spacing w:line="360" w:lineRule="auto"/>
        <w:ind w:right="49"/>
        <w:jc w:val="both"/>
        <w:rPr>
          <w:rFonts w:ascii="Palatino Linotype" w:eastAsia="Palatino Linotype" w:hAnsi="Palatino Linotype" w:cs="Palatino Linotype"/>
        </w:rPr>
        <w:sectPr w:rsidR="00EF7352">
          <w:headerReference w:type="default" r:id="rId15"/>
          <w:footerReference w:type="default" r:id="rId16"/>
          <w:headerReference w:type="first" r:id="rId17"/>
          <w:footerReference w:type="first" r:id="rId18"/>
          <w:pgSz w:w="12240" w:h="15840"/>
          <w:pgMar w:top="1985" w:right="1701" w:bottom="1701" w:left="1701" w:header="709" w:footer="709" w:gutter="0"/>
          <w:pgNumType w:start="1"/>
          <w:cols w:space="720"/>
          <w:titlePg/>
        </w:sectPr>
      </w:pPr>
      <w:bookmarkStart w:id="5" w:name="_heading=h.2et92p0" w:colFirst="0" w:colLast="0"/>
      <w:bookmarkEnd w:id="5"/>
      <w:r>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w:t>
      </w:r>
      <w:r w:rsidR="00CF2101">
        <w:rPr>
          <w:rFonts w:ascii="Palatino Linotype" w:eastAsia="Palatino Linotype" w:hAnsi="Palatino Linotype" w:cs="Palatino Linotype"/>
        </w:rPr>
        <w:t>EÑA; EN LA DÉCIMO QUIN</w:t>
      </w:r>
      <w:r>
        <w:rPr>
          <w:rFonts w:ascii="Palatino Linotype" w:eastAsia="Palatino Linotype" w:hAnsi="Palatino Linotype" w:cs="Palatino Linotype"/>
        </w:rPr>
        <w:t>TA  SESIÓN ORDINARIA CELEBRADA EL VEINT</w:t>
      </w:r>
      <w:r w:rsidR="004C365F">
        <w:rPr>
          <w:rFonts w:ascii="Palatino Linotype" w:eastAsia="Palatino Linotype" w:hAnsi="Palatino Linotype" w:cs="Palatino Linotype"/>
        </w:rPr>
        <w:t>ISIET</w:t>
      </w:r>
      <w:r>
        <w:rPr>
          <w:rFonts w:ascii="Palatino Linotype" w:eastAsia="Palatino Linotype" w:hAnsi="Palatino Linotype" w:cs="Palatino Linotype"/>
        </w:rPr>
        <w:t>E DE ABRIL DE DOS MIL VEINTIDÓS, ANTE EL SECRETARIO TÉCNICO DEL PLENO ALEXIS TAPIA RAMÍREZ.</w:t>
      </w:r>
    </w:p>
    <w:p w14:paraId="522335E7" w14:textId="77777777" w:rsidR="00EF7352" w:rsidRDefault="00EF7352">
      <w:pPr>
        <w:tabs>
          <w:tab w:val="left" w:pos="709"/>
        </w:tabs>
        <w:spacing w:before="240" w:after="240" w:line="360" w:lineRule="auto"/>
        <w:jc w:val="both"/>
        <w:rPr>
          <w:rFonts w:ascii="Palatino Linotype" w:eastAsia="Palatino Linotype" w:hAnsi="Palatino Linotype" w:cs="Palatino Linotype"/>
        </w:rPr>
      </w:pPr>
    </w:p>
    <w:p w14:paraId="2BD7C9FE" w14:textId="77777777" w:rsidR="00EF7352" w:rsidRDefault="00EF7352"/>
    <w:p w14:paraId="106CDE68" w14:textId="77777777" w:rsidR="00EF7352" w:rsidRDefault="00EF7352"/>
    <w:sectPr w:rsidR="00EF7352">
      <w:headerReference w:type="first" r:id="rId19"/>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83F554" w14:textId="77777777" w:rsidR="007A3BE0" w:rsidRDefault="007A3BE0">
      <w:r>
        <w:separator/>
      </w:r>
    </w:p>
  </w:endnote>
  <w:endnote w:type="continuationSeparator" w:id="0">
    <w:p w14:paraId="091B65BE" w14:textId="77777777" w:rsidR="007A3BE0" w:rsidRDefault="007A3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E7C7C5" w14:textId="77777777" w:rsidR="00EF7352" w:rsidRDefault="00C00404">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0341A">
      <w:rPr>
        <w:rFonts w:ascii="Arial" w:eastAsia="Arial" w:hAnsi="Arial" w:cs="Arial"/>
        <w:b/>
        <w:noProof/>
        <w:color w:val="000000"/>
        <w:sz w:val="20"/>
        <w:szCs w:val="20"/>
      </w:rPr>
      <w:t>6</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0341A">
      <w:rPr>
        <w:rFonts w:ascii="Arial" w:eastAsia="Arial" w:hAnsi="Arial" w:cs="Arial"/>
        <w:b/>
        <w:noProof/>
        <w:color w:val="000000"/>
        <w:sz w:val="20"/>
        <w:szCs w:val="20"/>
      </w:rPr>
      <w:t>33</w:t>
    </w:r>
    <w:r>
      <w:rPr>
        <w:rFonts w:ascii="Arial" w:eastAsia="Arial" w:hAnsi="Arial" w:cs="Arial"/>
        <w:b/>
        <w:color w:val="000000"/>
        <w:sz w:val="20"/>
        <w:szCs w:val="20"/>
      </w:rPr>
      <w:fldChar w:fldCharType="end"/>
    </w:r>
  </w:p>
  <w:p w14:paraId="3FE7BD5D" w14:textId="77777777" w:rsidR="00EF7352" w:rsidRDefault="00EF7352">
    <w:pPr>
      <w:pBdr>
        <w:top w:val="nil"/>
        <w:left w:val="nil"/>
        <w:bottom w:val="nil"/>
        <w:right w:val="nil"/>
        <w:between w:val="nil"/>
      </w:pBdr>
      <w:tabs>
        <w:tab w:val="center" w:pos="4252"/>
        <w:tab w:val="right" w:pos="8504"/>
      </w:tabs>
      <w:rPr>
        <w:color w:val="000000"/>
      </w:rPr>
    </w:pPr>
  </w:p>
  <w:p w14:paraId="385868BC" w14:textId="77777777" w:rsidR="00EF7352" w:rsidRDefault="00EF7352">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6206DB" w14:textId="77777777" w:rsidR="00EF7352" w:rsidRDefault="00C00404">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0341A">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0341A">
      <w:rPr>
        <w:rFonts w:ascii="Arial" w:eastAsia="Arial" w:hAnsi="Arial" w:cs="Arial"/>
        <w:b/>
        <w:noProof/>
        <w:color w:val="000000"/>
        <w:sz w:val="20"/>
        <w:szCs w:val="20"/>
      </w:rPr>
      <w:t>33</w:t>
    </w:r>
    <w:r>
      <w:rPr>
        <w:rFonts w:ascii="Arial" w:eastAsia="Arial" w:hAnsi="Arial" w:cs="Arial"/>
        <w:b/>
        <w:color w:val="000000"/>
        <w:sz w:val="20"/>
        <w:szCs w:val="20"/>
      </w:rPr>
      <w:fldChar w:fldCharType="end"/>
    </w:r>
  </w:p>
  <w:p w14:paraId="33ADA6AD" w14:textId="77777777" w:rsidR="00EF7352" w:rsidRDefault="00EF7352">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08D53D" w14:textId="77777777" w:rsidR="007A3BE0" w:rsidRDefault="007A3BE0">
      <w:r>
        <w:separator/>
      </w:r>
    </w:p>
  </w:footnote>
  <w:footnote w:type="continuationSeparator" w:id="0">
    <w:p w14:paraId="5A33D419" w14:textId="77777777" w:rsidR="007A3BE0" w:rsidRDefault="007A3BE0">
      <w:r>
        <w:continuationSeparator/>
      </w:r>
    </w:p>
  </w:footnote>
  <w:footnote w:id="1">
    <w:p w14:paraId="430CE98B" w14:textId="77777777" w:rsidR="00EF7352" w:rsidRDefault="00C0040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Al encontrarse en algún supuesto restrictivo, previsto en la normatividad aplicable.</w:t>
      </w:r>
    </w:p>
  </w:footnote>
  <w:footnote w:id="2">
    <w:p w14:paraId="6168610C" w14:textId="77777777" w:rsidR="00EF7352" w:rsidRDefault="00C0040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59. Los servidores públicos habilitados tendrán las funciones siguientes:</w:t>
      </w:r>
    </w:p>
    <w:p w14:paraId="7C5FE43E" w14:textId="77777777" w:rsidR="00EF7352" w:rsidRDefault="00C00404">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 Integrar y presentar al responsable de la Unidad de Transparencia la propuesta de clasificación de información, la cual tendrá los fundamentos y argumentos en que se basa dicha propuesta;</w:t>
      </w:r>
    </w:p>
  </w:footnote>
  <w:footnote w:id="3">
    <w:p w14:paraId="05C42B64" w14:textId="77777777" w:rsidR="00EF7352" w:rsidRDefault="00C0040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51C16163" w14:textId="77777777" w:rsidR="00EF7352" w:rsidRDefault="00C00404">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 Presentar ante el Comité, el proyecto de clasificación de información;</w:t>
      </w:r>
    </w:p>
  </w:footnote>
  <w:footnote w:id="4">
    <w:p w14:paraId="02C1E670" w14:textId="77777777" w:rsidR="00EF7352" w:rsidRDefault="00C0040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63B21780" w14:textId="77777777" w:rsidR="00EF7352" w:rsidRDefault="00C00404">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423C67EA" w14:textId="77777777" w:rsidR="00EF7352" w:rsidRDefault="00C00404">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Aprobar, modificar o revocar la clasificación de la información;</w:t>
      </w:r>
    </w:p>
  </w:footnote>
  <w:footnote w:id="5">
    <w:p w14:paraId="226B4165" w14:textId="77777777" w:rsidR="00EF7352" w:rsidRDefault="00C0040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61650" w14:textId="77777777" w:rsidR="00EF7352" w:rsidRDefault="00C00404">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761ABE6B" wp14:editId="7B07F7B1">
          <wp:simplePos x="0" y="0"/>
          <wp:positionH relativeFrom="column">
            <wp:posOffset>-1080133</wp:posOffset>
          </wp:positionH>
          <wp:positionV relativeFrom="paragraph">
            <wp:posOffset>-450847</wp:posOffset>
          </wp:positionV>
          <wp:extent cx="7635163" cy="9944100"/>
          <wp:effectExtent l="0" t="0" r="0" b="0"/>
          <wp:wrapNone/>
          <wp:docPr id="1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4"/>
      <w:tblW w:w="5528" w:type="dxa"/>
      <w:tblInd w:w="3261" w:type="dxa"/>
      <w:tblLayout w:type="fixed"/>
      <w:tblLook w:val="0400" w:firstRow="0" w:lastRow="0" w:firstColumn="0" w:lastColumn="0" w:noHBand="0" w:noVBand="1"/>
    </w:tblPr>
    <w:tblGrid>
      <w:gridCol w:w="2552"/>
      <w:gridCol w:w="2976"/>
    </w:tblGrid>
    <w:tr w:rsidR="00EF7352" w14:paraId="5B0EFBD0" w14:textId="77777777">
      <w:tc>
        <w:tcPr>
          <w:tcW w:w="2552" w:type="dxa"/>
          <w:vAlign w:val="center"/>
        </w:tcPr>
        <w:p w14:paraId="08C2E8FC" w14:textId="77777777" w:rsidR="00EF7352" w:rsidRDefault="00C0040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6" w:type="dxa"/>
          <w:vAlign w:val="center"/>
        </w:tcPr>
        <w:p w14:paraId="3870D102" w14:textId="77777777" w:rsidR="00EF7352" w:rsidRDefault="00106CE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0325</w:t>
          </w:r>
          <w:r w:rsidR="00C00404">
            <w:rPr>
              <w:rFonts w:ascii="Palatino Linotype" w:eastAsia="Palatino Linotype" w:hAnsi="Palatino Linotype" w:cs="Palatino Linotype"/>
              <w:b/>
              <w:sz w:val="22"/>
              <w:szCs w:val="22"/>
            </w:rPr>
            <w:t xml:space="preserve">9/INFOEM/IP/RR/2022 </w:t>
          </w:r>
        </w:p>
      </w:tc>
    </w:tr>
    <w:tr w:rsidR="00EF7352" w14:paraId="3BC59528" w14:textId="77777777">
      <w:trPr>
        <w:trHeight w:val="228"/>
      </w:trPr>
      <w:tc>
        <w:tcPr>
          <w:tcW w:w="2552" w:type="dxa"/>
          <w:vAlign w:val="center"/>
        </w:tcPr>
        <w:p w14:paraId="68DF3C57" w14:textId="77777777" w:rsidR="00EF7352" w:rsidRDefault="00C0040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6" w:type="dxa"/>
          <w:vAlign w:val="center"/>
        </w:tcPr>
        <w:p w14:paraId="571AD761" w14:textId="77777777" w:rsidR="00EF7352" w:rsidRDefault="00106CE9">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Acolman</w:t>
          </w:r>
        </w:p>
      </w:tc>
    </w:tr>
    <w:tr w:rsidR="00EF7352" w14:paraId="1DD4D072" w14:textId="77777777">
      <w:tc>
        <w:tcPr>
          <w:tcW w:w="2552" w:type="dxa"/>
          <w:vAlign w:val="center"/>
        </w:tcPr>
        <w:p w14:paraId="25F7EF1B" w14:textId="77777777" w:rsidR="00EF7352" w:rsidRDefault="00C0040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6" w:type="dxa"/>
          <w:vAlign w:val="center"/>
        </w:tcPr>
        <w:p w14:paraId="339CB4E7" w14:textId="77777777" w:rsidR="00EF7352" w:rsidRDefault="00C00404">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84D66AE" w14:textId="77777777" w:rsidR="00EF7352" w:rsidRDefault="00C00404">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F812EF" w14:textId="77777777" w:rsidR="00EF7352" w:rsidRDefault="00C00404">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eastAsia="es-MX"/>
      </w:rPr>
      <w:drawing>
        <wp:anchor distT="0" distB="0" distL="0" distR="0" simplePos="0" relativeHeight="251659264" behindDoc="1" locked="0" layoutInCell="1" hidden="0" allowOverlap="1" wp14:anchorId="7BB645FF" wp14:editId="1AA83BDA">
          <wp:simplePos x="0" y="0"/>
          <wp:positionH relativeFrom="column">
            <wp:posOffset>-1013457</wp:posOffset>
          </wp:positionH>
          <wp:positionV relativeFrom="paragraph">
            <wp:posOffset>-372107</wp:posOffset>
          </wp:positionV>
          <wp:extent cx="7635600" cy="9943200"/>
          <wp:effectExtent l="0" t="0" r="0" b="0"/>
          <wp:wrapNone/>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3"/>
      <w:tblW w:w="6238" w:type="dxa"/>
      <w:tblInd w:w="3119" w:type="dxa"/>
      <w:tblLayout w:type="fixed"/>
      <w:tblLook w:val="0400" w:firstRow="0" w:lastRow="0" w:firstColumn="0" w:lastColumn="0" w:noHBand="0" w:noVBand="1"/>
    </w:tblPr>
    <w:tblGrid>
      <w:gridCol w:w="2551"/>
      <w:gridCol w:w="3687"/>
    </w:tblGrid>
    <w:tr w:rsidR="00EF7352" w14:paraId="2F71137B" w14:textId="77777777">
      <w:tc>
        <w:tcPr>
          <w:tcW w:w="2551" w:type="dxa"/>
          <w:vAlign w:val="center"/>
        </w:tcPr>
        <w:p w14:paraId="4FFB1DF6" w14:textId="77777777" w:rsidR="00EF7352" w:rsidRDefault="00C0040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6FB9369D" w14:textId="77777777" w:rsidR="00EF7352" w:rsidRDefault="00106CE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0325</w:t>
          </w:r>
          <w:r w:rsidR="00C00404">
            <w:rPr>
              <w:rFonts w:ascii="Palatino Linotype" w:eastAsia="Palatino Linotype" w:hAnsi="Palatino Linotype" w:cs="Palatino Linotype"/>
              <w:b/>
              <w:sz w:val="22"/>
              <w:szCs w:val="22"/>
            </w:rPr>
            <w:t>9/INFOEM/IP/RR/2022</w:t>
          </w:r>
        </w:p>
      </w:tc>
    </w:tr>
    <w:tr w:rsidR="00EF7352" w14:paraId="04A83185" w14:textId="77777777">
      <w:tc>
        <w:tcPr>
          <w:tcW w:w="2551" w:type="dxa"/>
          <w:vAlign w:val="center"/>
        </w:tcPr>
        <w:p w14:paraId="200525A2" w14:textId="77777777" w:rsidR="00EF7352" w:rsidRDefault="00C00404">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14:paraId="00818A6D" w14:textId="5C5FB490" w:rsidR="00EF7352" w:rsidRDefault="0070341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 XXXXXXX</w:t>
          </w:r>
        </w:p>
      </w:tc>
    </w:tr>
    <w:tr w:rsidR="00EF7352" w14:paraId="5121EA97" w14:textId="77777777">
      <w:trPr>
        <w:trHeight w:val="228"/>
      </w:trPr>
      <w:tc>
        <w:tcPr>
          <w:tcW w:w="2551" w:type="dxa"/>
          <w:vAlign w:val="center"/>
        </w:tcPr>
        <w:p w14:paraId="43807E74" w14:textId="77777777" w:rsidR="00EF7352" w:rsidRDefault="00C0040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338003E3" w14:textId="77777777" w:rsidR="00EF7352" w:rsidRDefault="00106CE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Acolman</w:t>
          </w:r>
        </w:p>
      </w:tc>
    </w:tr>
    <w:tr w:rsidR="00EF7352" w14:paraId="73252920" w14:textId="77777777">
      <w:tc>
        <w:tcPr>
          <w:tcW w:w="2551" w:type="dxa"/>
          <w:vAlign w:val="center"/>
        </w:tcPr>
        <w:p w14:paraId="1D317581" w14:textId="77777777" w:rsidR="00EF7352" w:rsidRDefault="00C0040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0D7596C1" w14:textId="77777777" w:rsidR="00EF7352" w:rsidRDefault="00C00404">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3A7A79C" w14:textId="77777777" w:rsidR="00EF7352" w:rsidRDefault="00EF7352">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AA04D" w14:textId="77777777" w:rsidR="00EF7352" w:rsidRDefault="00C00404">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19549C81" w14:textId="77777777" w:rsidR="00EF7352" w:rsidRDefault="00EF7352">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8F1D5F"/>
    <w:multiLevelType w:val="multilevel"/>
    <w:tmpl w:val="0BEC9F5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2833A18"/>
    <w:multiLevelType w:val="multilevel"/>
    <w:tmpl w:val="D41CC0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7B43D2E"/>
    <w:multiLevelType w:val="multilevel"/>
    <w:tmpl w:val="8EA6F4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4D394E91"/>
    <w:multiLevelType w:val="hybridMultilevel"/>
    <w:tmpl w:val="BBDA152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nsid w:val="77E6044B"/>
    <w:multiLevelType w:val="multilevel"/>
    <w:tmpl w:val="B0F2C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352"/>
    <w:rsid w:val="00106CE9"/>
    <w:rsid w:val="00107DDE"/>
    <w:rsid w:val="001C4FE9"/>
    <w:rsid w:val="003C628E"/>
    <w:rsid w:val="004553CB"/>
    <w:rsid w:val="004C365F"/>
    <w:rsid w:val="0070341A"/>
    <w:rsid w:val="007A3BE0"/>
    <w:rsid w:val="00A77BA1"/>
    <w:rsid w:val="00A84A23"/>
    <w:rsid w:val="00A93D39"/>
    <w:rsid w:val="00AA6E03"/>
    <w:rsid w:val="00C00404"/>
    <w:rsid w:val="00C0589C"/>
    <w:rsid w:val="00CF2101"/>
    <w:rsid w:val="00EF73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0E97C"/>
  <w15:docId w15:val="{8E1047EC-ABAB-46AE-8D40-CE8392754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1A48"/>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7Hk1uveX6aFbyeC4hlHeDbgzngw==">AMUW2mUB6X+mCM83BktFFxWpQuk8JBAjQ9Pnv3tvDsP/SPsxLumg5QMc3G31Y+ywQejSWNbevNcOI/B5PDlSkONKvhyilgfhwTYkdGTZmeRavhkKNWn3Vnjcrxd4p67dspVx1K1A3airduyyWC+NCjRYTpQRJmyn1YLhqoRKljJCPuDgBzaOE4Gt9F8dlSYsuAaSvEHwNSuC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7555</Words>
  <Characters>41557</Characters>
  <Application>Microsoft Office Word</Application>
  <DocSecurity>0</DocSecurity>
  <Lines>346</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cp:lastModifiedBy>
  <cp:revision>2</cp:revision>
  <cp:lastPrinted>2022-05-01T04:44:00Z</cp:lastPrinted>
  <dcterms:created xsi:type="dcterms:W3CDTF">2022-05-09T21:31:00Z</dcterms:created>
  <dcterms:modified xsi:type="dcterms:W3CDTF">2022-05-09T21:31:00Z</dcterms:modified>
</cp:coreProperties>
</file>