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473" w:rsidRDefault="002847E1">
      <w:pPr>
        <w:spacing w:before="240" w:after="240"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ocho de junio del dos mil veintidós.</w:t>
      </w:r>
    </w:p>
    <w:p w:rsidR="00222473" w:rsidRDefault="002847E1">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t xml:space="preserve">VISTO </w:t>
      </w:r>
      <w:r>
        <w:rPr>
          <w:rFonts w:ascii="Palatino Linotype" w:eastAsia="Palatino Linotype" w:hAnsi="Palatino Linotype" w:cs="Palatino Linotype"/>
        </w:rPr>
        <w:t xml:space="preserve">el expediente relativo al recurso de revisión </w:t>
      </w:r>
      <w:r>
        <w:rPr>
          <w:rFonts w:ascii="Palatino Linotype" w:eastAsia="Palatino Linotype" w:hAnsi="Palatino Linotype" w:cs="Palatino Linotype"/>
          <w:b/>
        </w:rPr>
        <w:t>02769/INFOEM/IP/RR/2022</w:t>
      </w:r>
      <w:r>
        <w:rPr>
          <w:rFonts w:ascii="Palatino Linotype" w:eastAsia="Palatino Linotype" w:hAnsi="Palatino Linotype" w:cs="Palatino Linotype"/>
        </w:rPr>
        <w:t xml:space="preserve">, interpuesto por </w:t>
      </w:r>
      <w:proofErr w:type="spellStart"/>
      <w:r w:rsidR="00E64009" w:rsidRPr="00E64009">
        <w:rPr>
          <w:rFonts w:ascii="Palatino Linotype" w:eastAsia="Palatino Linotype" w:hAnsi="Palatino Linotype" w:cs="Palatino Linotype"/>
          <w:b/>
        </w:rPr>
        <w:t>Xxxxx</w:t>
      </w:r>
      <w:proofErr w:type="spellEnd"/>
      <w:r w:rsidR="00E64009" w:rsidRPr="00E64009">
        <w:rPr>
          <w:rFonts w:ascii="Palatino Linotype" w:eastAsia="Palatino Linotype" w:hAnsi="Palatino Linotype" w:cs="Palatino Linotype"/>
          <w:b/>
        </w:rPr>
        <w:t xml:space="preserve"> </w:t>
      </w:r>
      <w:proofErr w:type="spellStart"/>
      <w:r w:rsidR="00E64009" w:rsidRPr="00E64009">
        <w:rPr>
          <w:rFonts w:ascii="Palatino Linotype" w:eastAsia="Palatino Linotype" w:hAnsi="Palatino Linotype" w:cs="Palatino Linotype"/>
          <w:b/>
        </w:rPr>
        <w:t>Xxxxxxxx</w:t>
      </w:r>
      <w:proofErr w:type="spellEnd"/>
      <w:r w:rsidR="00E64009" w:rsidRPr="00E64009">
        <w:rPr>
          <w:rFonts w:ascii="Palatino Linotype" w:eastAsia="Palatino Linotype" w:hAnsi="Palatino Linotype" w:cs="Palatino Linotype"/>
          <w:b/>
        </w:rPr>
        <w:t xml:space="preserve"> </w:t>
      </w:r>
      <w:proofErr w:type="spellStart"/>
      <w:r w:rsidR="00E64009" w:rsidRPr="00E64009">
        <w:rPr>
          <w:rFonts w:ascii="Palatino Linotype" w:eastAsia="Palatino Linotype" w:hAnsi="Palatino Linotype" w:cs="Palatino Linotype"/>
          <w:b/>
        </w:rPr>
        <w:t>Xxxxxxxxxx</w:t>
      </w:r>
      <w:proofErr w:type="spellEnd"/>
      <w:r w:rsidR="00E64009" w:rsidRPr="00E64009">
        <w:rPr>
          <w:rFonts w:ascii="Palatino Linotype" w:eastAsia="Palatino Linotype" w:hAnsi="Palatino Linotype" w:cs="Palatino Linotype"/>
          <w:b/>
        </w:rPr>
        <w:t xml:space="preserve"> </w:t>
      </w:r>
      <w:proofErr w:type="spellStart"/>
      <w:r w:rsidR="00E64009" w:rsidRPr="00E64009">
        <w:rPr>
          <w:rFonts w:ascii="Palatino Linotype" w:eastAsia="Palatino Linotype" w:hAnsi="Palatino Linotype" w:cs="Palatino Linotype"/>
          <w:b/>
        </w:rPr>
        <w:t>Xxxxx</w:t>
      </w:r>
      <w:proofErr w:type="spellEnd"/>
      <w:r w:rsidRPr="00E64009">
        <w:rPr>
          <w:rFonts w:ascii="Palatino Linotype" w:eastAsia="Palatino Linotype" w:hAnsi="Palatino Linotype" w:cs="Palatino Linotype"/>
          <w:b/>
        </w:rPr>
        <w:t>,</w:t>
      </w:r>
      <w:r>
        <w:rPr>
          <w:rFonts w:ascii="Palatino Linotype" w:eastAsia="Palatino Linotype" w:hAnsi="Palatino Linotype" w:cs="Palatino Linotype"/>
        </w:rPr>
        <w:t xml:space="preserve"> en lo sucesivo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falta de respuesta a la solicitud de información con número de folio </w:t>
      </w:r>
      <w:r>
        <w:rPr>
          <w:rFonts w:ascii="Palatino Linotype" w:eastAsia="Palatino Linotype" w:hAnsi="Palatino Linotype" w:cs="Palatino Linotype"/>
          <w:b/>
        </w:rPr>
        <w:t>00030/NAUCALPA/IP/2022,</w:t>
      </w:r>
      <w:r>
        <w:rPr>
          <w:rFonts w:ascii="Palatino Linotype" w:eastAsia="Palatino Linotype" w:hAnsi="Palatino Linotype" w:cs="Palatino Linotype"/>
        </w:rPr>
        <w:t xml:space="preserve"> por parte del </w:t>
      </w:r>
      <w:r>
        <w:rPr>
          <w:rFonts w:ascii="Palatino Linotype" w:eastAsia="Palatino Linotype" w:hAnsi="Palatino Linotype" w:cs="Palatino Linotype"/>
          <w:b/>
        </w:rPr>
        <w:t>Ayuntamiento de Naucalpan de Juárez</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 siguiente. </w:t>
      </w:r>
    </w:p>
    <w:p w:rsidR="00222473" w:rsidRDefault="002847E1">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once de enero de dos mil veintidós</w:t>
      </w:r>
      <w:r>
        <w:rPr>
          <w:rFonts w:ascii="Palatino Linotype" w:eastAsia="Palatino Linotype" w:hAnsi="Palatino Linotype" w:cs="Palatino Linotype"/>
        </w:rPr>
        <w:t xml:space="preserve">,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222473" w:rsidRDefault="002847E1">
      <w:pPr>
        <w:pBdr>
          <w:top w:val="nil"/>
          <w:left w:val="nil"/>
          <w:bottom w:val="nil"/>
          <w:right w:val="nil"/>
          <w:between w:val="nil"/>
        </w:pBd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“Solicito: 1.- copia del contrato o contratos relacionados a la adquisición de seis grúas, un </w:t>
      </w:r>
      <w:proofErr w:type="spellStart"/>
      <w:r>
        <w:rPr>
          <w:rFonts w:ascii="Palatino Linotype" w:eastAsia="Palatino Linotype" w:hAnsi="Palatino Linotype" w:cs="Palatino Linotype"/>
          <w:i/>
          <w:sz w:val="22"/>
          <w:szCs w:val="22"/>
        </w:rPr>
        <w:t>tractocamión</w:t>
      </w:r>
      <w:proofErr w:type="spellEnd"/>
      <w:r>
        <w:rPr>
          <w:rFonts w:ascii="Palatino Linotype" w:eastAsia="Palatino Linotype" w:hAnsi="Palatino Linotype" w:cs="Palatino Linotype"/>
          <w:i/>
          <w:sz w:val="22"/>
          <w:szCs w:val="22"/>
        </w:rPr>
        <w:t xml:space="preserve">, nueve patrullas pick up y dos camionetas de reacción para el Grupo de Operaciones Especiales (GOE). 2.- Comprobante de pago o pagos relacionados a la adquisición de seis grúas, un </w:t>
      </w:r>
      <w:proofErr w:type="spellStart"/>
      <w:r>
        <w:rPr>
          <w:rFonts w:ascii="Palatino Linotype" w:eastAsia="Palatino Linotype" w:hAnsi="Palatino Linotype" w:cs="Palatino Linotype"/>
          <w:i/>
          <w:sz w:val="22"/>
          <w:szCs w:val="22"/>
        </w:rPr>
        <w:t>tractocamión</w:t>
      </w:r>
      <w:proofErr w:type="spellEnd"/>
      <w:r>
        <w:rPr>
          <w:rFonts w:ascii="Palatino Linotype" w:eastAsia="Palatino Linotype" w:hAnsi="Palatino Linotype" w:cs="Palatino Linotype"/>
          <w:i/>
          <w:sz w:val="22"/>
          <w:szCs w:val="22"/>
        </w:rPr>
        <w:t xml:space="preserve">, nueve </w:t>
      </w:r>
      <w:proofErr w:type="gramStart"/>
      <w:r>
        <w:rPr>
          <w:rFonts w:ascii="Palatino Linotype" w:eastAsia="Palatino Linotype" w:hAnsi="Palatino Linotype" w:cs="Palatino Linotype"/>
          <w:i/>
          <w:sz w:val="22"/>
          <w:szCs w:val="22"/>
        </w:rPr>
        <w:t>patrullas</w:t>
      </w:r>
      <w:proofErr w:type="gramEnd"/>
      <w:r>
        <w:rPr>
          <w:rFonts w:ascii="Palatino Linotype" w:eastAsia="Palatino Linotype" w:hAnsi="Palatino Linotype" w:cs="Palatino Linotype"/>
          <w:i/>
          <w:sz w:val="22"/>
          <w:szCs w:val="22"/>
        </w:rPr>
        <w:t xml:space="preserve"> pick up y dos camionetas de reacción para el Grupo de Operaciones Especiales (GOE). 3.- Nombre del proveedor o proveedores de los vehículos. Cabe mencionar que el 1 de marzo de 2021, la alcaldesa de este municipio dio a conocer dichas adquisiciones.” (Sic)</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a través del SAIMEX.</w:t>
      </w:r>
    </w:p>
    <w:p w:rsidR="00222473" w:rsidRDefault="002847E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De las constancias que obran en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emitió respuesta a la solicitud de información formulada por la </w:t>
      </w:r>
      <w:r>
        <w:rPr>
          <w:rFonts w:ascii="Palatino Linotype" w:eastAsia="Palatino Linotype" w:hAnsi="Palatino Linotype" w:cs="Palatino Linotype"/>
          <w:b/>
        </w:rPr>
        <w:t>RECURRENTE.</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la solicitante con la falta de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recurso de revisión a través de SAIMEX en fecha </w:t>
      </w:r>
      <w:r>
        <w:rPr>
          <w:rFonts w:ascii="Palatino Linotype" w:eastAsia="Palatino Linotype" w:hAnsi="Palatino Linotype" w:cs="Palatino Linotype"/>
          <w:b/>
        </w:rPr>
        <w:t>tres de marzo de dos mil veintidós</w:t>
      </w:r>
      <w:r>
        <w:rPr>
          <w:rFonts w:ascii="Palatino Linotype" w:eastAsia="Palatino Linotype" w:hAnsi="Palatino Linotype" w:cs="Palatino Linotype"/>
        </w:rPr>
        <w:t>, expresando lo siguiente:</w:t>
      </w:r>
    </w:p>
    <w:p w:rsidR="00222473" w:rsidRDefault="002847E1">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222473" w:rsidRDefault="002847E1">
      <w:pPr>
        <w:pBdr>
          <w:top w:val="nil"/>
          <w:left w:val="nil"/>
          <w:bottom w:val="nil"/>
          <w:right w:val="nil"/>
          <w:between w:val="nil"/>
        </w:pBd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atiende.” (Sic)</w:t>
      </w:r>
    </w:p>
    <w:p w:rsidR="00222473" w:rsidRDefault="002847E1">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222473" w:rsidRDefault="002847E1">
      <w:pPr>
        <w:pBdr>
          <w:top w:val="nil"/>
          <w:left w:val="nil"/>
          <w:bottom w:val="nil"/>
          <w:right w:val="nil"/>
          <w:between w:val="nil"/>
        </w:pBd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atiende.” (Sic)</w:t>
      </w:r>
    </w:p>
    <w:p w:rsidR="00222473" w:rsidRDefault="002847E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Transparencia y Acceso a la Información Pública, el recurso de revisión número </w:t>
      </w:r>
      <w:r>
        <w:rPr>
          <w:rFonts w:ascii="Palatino Linotype" w:eastAsia="Palatino Linotype" w:hAnsi="Palatino Linotype" w:cs="Palatino Linotype"/>
          <w:b/>
        </w:rPr>
        <w:t>02769/INFOEM/IP/RR/2022</w:t>
      </w:r>
      <w:r>
        <w:rPr>
          <w:rFonts w:ascii="Palatino Linotype" w:eastAsia="Palatino Linotype" w:hAnsi="Palatino Linotype" w:cs="Palatino Linotype"/>
        </w:rPr>
        <w:t xml:space="preserve"> fue turnado a la Comisionada Ponente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a efecto de presentar al Pleno el proyecto de resolución correspondiente.</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ocho de marzo de dos mil veintidós</w:t>
      </w:r>
      <w:r>
        <w:rPr>
          <w:rFonts w:ascii="Palatino Linotype" w:eastAsia="Palatino Linotype" w:hAnsi="Palatino Linotype" w:cs="Palatino Linotype"/>
        </w:rPr>
        <w:t>, en términos de lo dispuesto en el artículo 185 fracciones I, II y IV de la Ley de Transparencia y Acceso a la Información Pública del Estado de México y Municipios, se admitió a trámite el recurso de revisión al rubro indicado.</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6. Manifestaciones. </w:t>
      </w:r>
      <w:r>
        <w:rPr>
          <w:rFonts w:ascii="Palatino Linotype" w:eastAsia="Palatino Linotype" w:hAnsi="Palatino Linotype" w:cs="Palatino Linotype"/>
        </w:rPr>
        <w:t xml:space="preserve">El </w:t>
      </w:r>
      <w:r>
        <w:rPr>
          <w:rFonts w:ascii="Palatino Linotype" w:eastAsia="Palatino Linotype" w:hAnsi="Palatino Linotype" w:cs="Palatino Linotype"/>
          <w:b/>
        </w:rPr>
        <w:t>catorce, dieciséis y veintiocho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en informe justificado con los archivos electrónicos que a continuación se describen:</w:t>
      </w:r>
    </w:p>
    <w:p w:rsidR="00222473" w:rsidRDefault="002847E1">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DGA-SRM-M-0022-2022.pdf. </w:t>
      </w:r>
      <w:r>
        <w:rPr>
          <w:rFonts w:ascii="Palatino Linotype" w:eastAsia="Palatino Linotype" w:hAnsi="Palatino Linotype" w:cs="Palatino Linotype"/>
          <w:color w:val="000000"/>
          <w:sz w:val="22"/>
          <w:szCs w:val="22"/>
        </w:rPr>
        <w:t>Oficio  de la Dirección General de Administración número DGA/SRM/m/002272022 de fecha diez de marzo del año dos mil veintidós, en el que hace referencia a contratos y comprobantes de pago.</w:t>
      </w:r>
    </w:p>
    <w:p w:rsidR="00222473" w:rsidRDefault="002847E1">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EMYA-68-2021.pdf.</w:t>
      </w:r>
      <w:r>
        <w:rPr>
          <w:rFonts w:ascii="Palatino Linotype" w:eastAsia="Palatino Linotype" w:hAnsi="Palatino Linotype" w:cs="Palatino Linotype"/>
          <w:color w:val="000000"/>
          <w:sz w:val="22"/>
          <w:szCs w:val="22"/>
        </w:rPr>
        <w:t xml:space="preserve"> Oficio de información de la Tesorería Municipal número EMYA/68/2021, de fecha quince de marzo de dos mil veintidós, en el que refirió que no se encuentra información relacionada a la petición.</w:t>
      </w:r>
    </w:p>
    <w:p w:rsidR="00222473" w:rsidRDefault="002847E1">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MNJ-SA-DRM-FORTASEG-CTAB-LPN-017-2020-1.pdf. </w:t>
      </w:r>
      <w:r>
        <w:rPr>
          <w:rFonts w:ascii="Palatino Linotype" w:eastAsia="Palatino Linotype" w:hAnsi="Palatino Linotype" w:cs="Palatino Linotype"/>
          <w:color w:val="000000"/>
          <w:sz w:val="22"/>
          <w:szCs w:val="22"/>
        </w:rPr>
        <w:t>Contrato de adquisición de bienes consistente en siete fojas, de fecha treinta de diciembre del año dos mil veinte.</w:t>
      </w:r>
    </w:p>
    <w:p w:rsidR="00222473" w:rsidRDefault="002847E1">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MNJ-SA-DRM-FORTASEG-CTAB-IR-003-2020.pdf. </w:t>
      </w:r>
      <w:r>
        <w:rPr>
          <w:rFonts w:ascii="Palatino Linotype" w:eastAsia="Palatino Linotype" w:hAnsi="Palatino Linotype" w:cs="Palatino Linotype"/>
          <w:color w:val="000000"/>
          <w:sz w:val="22"/>
          <w:szCs w:val="22"/>
        </w:rPr>
        <w:t>Contrato de adquisición de bienes consistente en siete fojas, de fecha treinta  y uno de agosto de del año dos mil veinte.</w:t>
      </w:r>
    </w:p>
    <w:p w:rsidR="00222473" w:rsidRDefault="002847E1">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MNJ-SA-DRM-CTAB-LPN-001-2020.pdf. </w:t>
      </w:r>
      <w:r>
        <w:rPr>
          <w:rFonts w:ascii="Palatino Linotype" w:eastAsia="Palatino Linotype" w:hAnsi="Palatino Linotype" w:cs="Palatino Linotype"/>
          <w:color w:val="000000"/>
          <w:sz w:val="22"/>
          <w:szCs w:val="22"/>
        </w:rPr>
        <w:t>Contrato de adquisición de bienes consistente en siete fojas, de fecha veinticinco de agosto de del año dos mil veinte.</w:t>
      </w:r>
    </w:p>
    <w:p w:rsidR="00222473" w:rsidRDefault="002847E1">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DGSCYTM-SJ-ETAIP-00033-2022.pdf. </w:t>
      </w:r>
      <w:r>
        <w:rPr>
          <w:rFonts w:ascii="Palatino Linotype" w:eastAsia="Palatino Linotype" w:hAnsi="Palatino Linotype" w:cs="Palatino Linotype"/>
          <w:color w:val="000000"/>
          <w:sz w:val="22"/>
          <w:szCs w:val="22"/>
        </w:rPr>
        <w:t>Oficio de la Dirección General de Seguridad Ciudadana y Tránsito Municipal, número DGSCYTM/SJ/ETAIP/00033/2022 de fecha veintinueve de marzo de dos mil veintidós, en el que señala que se tome en consideración la información enviada.</w:t>
      </w:r>
    </w:p>
    <w:p w:rsidR="00222473" w:rsidRDefault="002847E1">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lastRenderedPageBreak/>
        <w:t xml:space="preserve">RR-02769-2022.pdf. </w:t>
      </w:r>
      <w:r>
        <w:rPr>
          <w:rFonts w:ascii="Palatino Linotype" w:eastAsia="Palatino Linotype" w:hAnsi="Palatino Linotype" w:cs="Palatino Linotype"/>
          <w:color w:val="000000"/>
          <w:sz w:val="22"/>
          <w:szCs w:val="22"/>
        </w:rPr>
        <w:t xml:space="preserve">Listado de los elementos de la Dirección General de Seguridad  Ciudadana y </w:t>
      </w:r>
      <w:proofErr w:type="spellStart"/>
      <w:r>
        <w:rPr>
          <w:rFonts w:ascii="Palatino Linotype" w:eastAsia="Palatino Linotype" w:hAnsi="Palatino Linotype" w:cs="Palatino Linotype"/>
          <w:color w:val="000000"/>
          <w:sz w:val="22"/>
          <w:szCs w:val="22"/>
        </w:rPr>
        <w:t>Transito</w:t>
      </w:r>
      <w:proofErr w:type="spellEnd"/>
      <w:r>
        <w:rPr>
          <w:rFonts w:ascii="Palatino Linotype" w:eastAsia="Palatino Linotype" w:hAnsi="Palatino Linotype" w:cs="Palatino Linotype"/>
          <w:color w:val="000000"/>
          <w:sz w:val="22"/>
          <w:szCs w:val="22"/>
        </w:rPr>
        <w:t xml:space="preserve"> Municipal.</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Documentos que el veintinueve de abril de dos mil veintidós fueron notificados a 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para su conocimiento, con excepción de los archivos electrónicos identificados como: </w:t>
      </w:r>
      <w:r>
        <w:rPr>
          <w:rFonts w:ascii="Palatino Linotype" w:eastAsia="Palatino Linotype" w:hAnsi="Palatino Linotype" w:cs="Palatino Linotype"/>
          <w:b/>
          <w:i/>
        </w:rPr>
        <w:t xml:space="preserve">DGSCYTM-SJ-ETAIP-00033-2022.pdf y RR-02769-2022.pdf, </w:t>
      </w:r>
      <w:r>
        <w:rPr>
          <w:rFonts w:ascii="Palatino Linotype" w:eastAsia="Palatino Linotype" w:hAnsi="Palatino Linotype" w:cs="Palatino Linotype"/>
        </w:rPr>
        <w:t xml:space="preserve">relacionados con una solicitud y un recurso de revisión distintos al que en el presente se resuelve. </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no realizó manifestaciones, no formuló alegatos ni ofreció ningún medio de prueba. </w:t>
      </w:r>
    </w:p>
    <w:p w:rsidR="00222473" w:rsidRDefault="002847E1">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Ampliación del plazo para emitir resolución. </w:t>
      </w:r>
      <w:r>
        <w:rPr>
          <w:rFonts w:ascii="Palatino Linotype" w:eastAsia="Palatino Linotype" w:hAnsi="Palatino Linotype" w:cs="Palatino Linotype"/>
        </w:rPr>
        <w:t xml:space="preserve">El </w:t>
      </w:r>
      <w:r>
        <w:rPr>
          <w:rFonts w:ascii="Palatino Linotype" w:eastAsia="Palatino Linotype" w:hAnsi="Palatino Linotype" w:cs="Palatino Linotype"/>
          <w:b/>
        </w:rPr>
        <w:t>trece de mayo de dos mil veintidós</w:t>
      </w:r>
      <w:r>
        <w:rPr>
          <w:rFonts w:ascii="Palatino Linotype" w:eastAsia="Palatino Linotype" w:hAnsi="Palatino Linotype" w:cs="Palatino Linotype"/>
        </w:rPr>
        <w:t>,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trece de mayo de dos mil veintidós</w:t>
      </w:r>
      <w:r>
        <w:rPr>
          <w:rFonts w:ascii="Palatino Linotype" w:eastAsia="Palatino Linotype" w:hAnsi="Palatino Linotype" w:cs="Palatino Linotype"/>
        </w:rPr>
        <w:t>, con fundamento en lo establecido en los artículos 185, fracción VI de la 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 el medio de impugnación se acordó el cierre de instrucción y se procede a formular la resolución que en derecho corresponda.</w:t>
      </w:r>
    </w:p>
    <w:p w:rsidR="00222473" w:rsidRDefault="00222473">
      <w:pPr>
        <w:spacing w:before="240" w:after="240" w:line="360" w:lineRule="auto"/>
        <w:jc w:val="both"/>
        <w:rPr>
          <w:rFonts w:ascii="Palatino Linotype" w:eastAsia="Palatino Linotype" w:hAnsi="Palatino Linotype" w:cs="Palatino Linotype"/>
        </w:rPr>
      </w:pPr>
    </w:p>
    <w:p w:rsidR="00222473" w:rsidRDefault="002847E1">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w:t>
      </w:r>
      <w:r>
        <w:rPr>
          <w:rFonts w:ascii="Palatino Linotype" w:eastAsia="Palatino Linotype" w:hAnsi="Palatino Linotype" w:cs="Palatino Linotype"/>
          <w:b/>
        </w:rPr>
        <w:t>RECURRENTE</w:t>
      </w:r>
      <w:r>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w:t>
      </w:r>
      <w:r>
        <w:rPr>
          <w:rFonts w:ascii="Palatino Linotype" w:eastAsia="Palatino Linotype" w:hAnsi="Palatino Linotype" w:cs="Palatino Linotype"/>
        </w:rPr>
        <w:t>Es de precisar que la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Ley de Transparencia y Acceso a la Información Pública del Estado de México y Municipios, describe el mecanismo de procedencia de los recursos de revisión, como se dispone en los artículos 163 y 166, del tenor literal siguiente: </w:t>
      </w:r>
    </w:p>
    <w:p w:rsidR="00222473" w:rsidRDefault="002847E1">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163. </w:t>
      </w:r>
      <w:r>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rsidR="00222473" w:rsidRDefault="002847E1">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w:t>
      </w:r>
    </w:p>
    <w:p w:rsidR="00222473" w:rsidRDefault="002847E1">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sz w:val="22"/>
          <w:szCs w:val="22"/>
        </w:rPr>
        <w:t>Artículo 166.</w:t>
      </w:r>
      <w:r>
        <w:rPr>
          <w:rFonts w:ascii="Palatino Linotype" w:eastAsia="Palatino Linotype" w:hAnsi="Palatino Linotype" w:cs="Palatino Linotype"/>
          <w:i/>
          <w:sz w:val="22"/>
          <w:szCs w:val="22"/>
        </w:rPr>
        <w:t xml:space="preserve"> […]</w:t>
      </w:r>
    </w:p>
    <w:p w:rsidR="00222473" w:rsidRDefault="002847E1">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 xml:space="preserve">Cuando el sujeto obligado no entregue la respuesta a la solicitud dentro del plazo previsto en la Ley, la solicitud se entenderá negada y el solicitante podrá interponer el recurso de revisión previsto en este ordenamiento.” </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rsidR="00222473" w:rsidRDefault="002847E1">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Por su parte, el artículo 178 del citado ordenamiento, establece:</w:t>
      </w:r>
    </w:p>
    <w:p w:rsidR="00222473" w:rsidRDefault="002847E1">
      <w:pPr>
        <w:ind w:left="851" w:right="851"/>
        <w:jc w:val="both"/>
        <w:rPr>
          <w:rFonts w:ascii="Palatino Linotype" w:eastAsia="Palatino Linotype" w:hAnsi="Palatino Linotype" w:cs="Palatino Linotype"/>
          <w:i/>
        </w:rPr>
      </w:pPr>
      <w:bookmarkStart w:id="2" w:name="_heading=h.tyjcwt" w:colFirst="0" w:colLast="0"/>
      <w:bookmarkEnd w:id="2"/>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178. </w:t>
      </w:r>
      <w:r>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Pr>
          <w:rFonts w:ascii="Palatino Linotype" w:eastAsia="Palatino Linotype" w:hAnsi="Palatino Linotype" w:cs="Palatino Linotype"/>
          <w:b/>
          <w:i/>
          <w:sz w:val="22"/>
          <w:szCs w:val="22"/>
        </w:rPr>
        <w:t>.”</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advierte que el recurso de revisión se ha de interponer dentro del plazo de quince días hábiles, a partir de la fecha en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da respuesta a la solicitud de información; sin embargo, tratándose de negativa ficta no existe resolución que se haga del conocimiento del particular a partir de la cual pueda computarse dicho plazo, por lo que se concluye que la interposición del recurso de revisión puede ser en cualquier momento.</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La negativa ficta constituye una presunción legal, en el entendido de que donde no hubo respuesta por parte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de máxima publicidad deberá dar entrada al estudio del fondo del recurso interpuesto en dichos casos y no optar por el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 xml:space="preserve"> del mismo.</w:t>
      </w:r>
    </w:p>
    <w:p w:rsidR="00222473" w:rsidRDefault="002847E1">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Por lo tanto, con la finalidad de no reducir ni limitar el derecho de acceso a la información y concederle una protección más eficaz al solicitante para impugnar el silencio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w:t>
      </w:r>
      <w:r>
        <w:rPr>
          <w:rFonts w:ascii="Palatino Linotype" w:eastAsia="Palatino Linotype" w:hAnsi="Palatino Linotype" w:cs="Palatino Linotype"/>
        </w:rPr>
        <w:lastRenderedPageBreak/>
        <w:t>Pública y Protección de Datos Personales del Estado de México y Municipios y publicado en el Periódico Oficial del Estado de México “Gaceta del Gobierno”, el veintitrés de abril de dos mil quince, que establece:</w:t>
      </w:r>
    </w:p>
    <w:p w:rsidR="00222473" w:rsidRDefault="002847E1">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sz w:val="22"/>
          <w:szCs w:val="22"/>
        </w:rPr>
        <w:t>“CRITERIO 0001-15. NEGATIVA FICTA. PLAZO PARA INTERPONER EL RECURSO DE REVISIÓN TRATÁNDOSE DE</w:t>
      </w:r>
      <w:r>
        <w:rPr>
          <w:rFonts w:ascii="Palatino Linotype" w:eastAsia="Palatino Linotype" w:hAnsi="Palatino Linotype" w:cs="Palatino Linotype"/>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Pr>
          <w:rFonts w:ascii="Palatino Linotype" w:eastAsia="Palatino Linotype" w:hAnsi="Palatino Linotype" w:cs="Palatino Linotype"/>
          <w:i/>
        </w:rPr>
        <w:t xml:space="preserve"> </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mismo tiempo, por cuanto hace a la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antes de entrar al estudio de la presente resolución es preciso determinar si resulta procedente la interposición del recurso de revisión, toda vez </w:t>
      </w:r>
      <w:r>
        <w:rPr>
          <w:rFonts w:ascii="Palatino Linotype" w:eastAsia="Palatino Linotype" w:hAnsi="Palatino Linotype" w:cs="Palatino Linotype"/>
        </w:rPr>
        <w:lastRenderedPageBreak/>
        <w:t>que se actualizan la hipótesis prevista en el artículo 179, fracción VII de la ley de la materia, que a la letra dice:</w:t>
      </w:r>
    </w:p>
    <w:p w:rsidR="00222473" w:rsidRDefault="002847E1">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222473" w:rsidRDefault="002847E1">
      <w:pPr>
        <w:ind w:left="1134"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222473" w:rsidRDefault="002847E1">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falta de respuesta a una solicitud de acceso a la información;</w:t>
      </w:r>
    </w:p>
    <w:p w:rsidR="00222473" w:rsidRDefault="002847E1">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precepto legal citado, establece como supuesto de procedencia del recurso de revisión, en aquellos casos en que 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estime negado el acceso a la información por la falta de respuesta; en este asunto se actualiza la hipótesis jurídica citada, en atención a que la particular combate la omisión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expresa motivos de inconformidad en contra de esa circunstancia.</w:t>
      </w:r>
    </w:p>
    <w:p w:rsidR="00222473" w:rsidRDefault="002847E1">
      <w:pPr>
        <w:tabs>
          <w:tab w:val="left" w:pos="8647"/>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Este Organismo Garante procede del análisis de los agravios hechos valer por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 fin de determinar si se violenta en perjuicio de éste, el derecho de acceso a la información previsto en la Constitución Política de los Estados Unidos Mexicanos y en la Constitución Política del Estado Libre y Soberano de México. </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Una vez determinada la vía sobre la que versará el presente recurso, y previa revisión del expediente del recurso de revisión materia de la presente resolución, se advierte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no dio respuesta a la solicitud de información planteada por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lo que se traduce como la configuración de la Negativa Ficta, situación que demuestra la existencia del acto impugnado y procedencia del motivo de inconformidad, que en términos generales </w:t>
      </w:r>
      <w:r>
        <w:rPr>
          <w:rFonts w:ascii="Palatino Linotype" w:eastAsia="Palatino Linotype" w:hAnsi="Palatino Linotype" w:cs="Palatino Linotype"/>
        </w:rPr>
        <w:lastRenderedPageBreak/>
        <w:t xml:space="preserve">consistente en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emitió respuesta a la solicitud dentro del plazo legal previsto para ello;  sin embargo, es importante referir que haciendo uso de su derecho y con el objeto de resarcir la afectación al derecho de acceso a la información pública del particular, a través del informe justificado remitió las documentales previamente descritas. </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una vez precisado lo anterior, se procede al análisis del presente recurso, así como al contenido íntegro de las actuaciones que obran en el expediente electrónico, para así estar en posibilidad este Organismo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222473" w:rsidRDefault="002847E1">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222473" w:rsidRDefault="00222473">
      <w:pPr>
        <w:tabs>
          <w:tab w:val="left" w:pos="709"/>
        </w:tabs>
        <w:ind w:left="851" w:right="850"/>
        <w:jc w:val="both"/>
        <w:rPr>
          <w:rFonts w:ascii="Palatino Linotype" w:eastAsia="Palatino Linotype" w:hAnsi="Palatino Linotype" w:cs="Palatino Linotype"/>
        </w:rPr>
      </w:pPr>
    </w:p>
    <w:p w:rsidR="00222473" w:rsidRDefault="002847E1">
      <w:pPr>
        <w:tabs>
          <w:tab w:val="left" w:pos="709"/>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xml:space="preserve">, así </w:t>
      </w:r>
      <w:r>
        <w:rPr>
          <w:rFonts w:ascii="Palatino Linotype" w:eastAsia="Palatino Linotype" w:hAnsi="Palatino Linotype" w:cs="Palatino Linotype"/>
          <w:i/>
          <w:sz w:val="22"/>
          <w:szCs w:val="22"/>
        </w:rPr>
        <w:lastRenderedPageBreak/>
        <w:t>como de las garantías para su protección, cuyo ejercicio no podrá restringirse ni suspenderse, salvo en los casos y bajo las condiciones que esta Constitución establece.</w:t>
      </w:r>
    </w:p>
    <w:p w:rsidR="00222473" w:rsidRDefault="002847E1">
      <w:pPr>
        <w:tabs>
          <w:tab w:val="left" w:pos="709"/>
        </w:tabs>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222473" w:rsidRDefault="002847E1">
      <w:pPr>
        <w:tabs>
          <w:tab w:val="left" w:pos="709"/>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222473" w:rsidRDefault="002847E1">
      <w:pPr>
        <w:tabs>
          <w:tab w:val="left" w:pos="709"/>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22473" w:rsidRDefault="002847E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rsidR="00222473" w:rsidRDefault="002847E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22473" w:rsidRDefault="002847E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rsidR="00222473" w:rsidRDefault="002847E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222473" w:rsidRDefault="002847E1">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22473" w:rsidRDefault="002847E1">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222473" w:rsidRDefault="002847E1">
      <w:pPr>
        <w:ind w:left="1134"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222473" w:rsidRDefault="002847E1">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222473" w:rsidRDefault="002847E1">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rsidR="00222473" w:rsidRDefault="002847E1">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222473" w:rsidRDefault="002847E1">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222473" w:rsidRDefault="00222473">
      <w:pPr>
        <w:ind w:left="1134" w:right="851"/>
        <w:jc w:val="both"/>
        <w:rPr>
          <w:rFonts w:ascii="Palatino Linotype" w:eastAsia="Palatino Linotype" w:hAnsi="Palatino Linotype" w:cs="Palatino Linotype"/>
          <w:i/>
          <w:sz w:val="22"/>
          <w:szCs w:val="22"/>
        </w:rPr>
      </w:pPr>
    </w:p>
    <w:p w:rsidR="00222473" w:rsidRDefault="002847E1">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222473" w:rsidRDefault="002847E1">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222473" w:rsidRDefault="002847E1">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222473" w:rsidRDefault="002847E1">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222473" w:rsidRDefault="002847E1">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w:t>
      </w:r>
    </w:p>
    <w:p w:rsidR="00E64009" w:rsidRDefault="00E64009">
      <w:pPr>
        <w:tabs>
          <w:tab w:val="left" w:pos="709"/>
        </w:tabs>
        <w:spacing w:before="240" w:after="240" w:line="360" w:lineRule="auto"/>
        <w:jc w:val="both"/>
        <w:rPr>
          <w:rFonts w:ascii="Palatino Linotype" w:eastAsia="Palatino Linotype" w:hAnsi="Palatino Linotype" w:cs="Palatino Linotype"/>
        </w:rPr>
      </w:pPr>
    </w:p>
    <w:p w:rsidR="00222473" w:rsidRDefault="002847E1">
      <w:pPr>
        <w:tabs>
          <w:tab w:val="left" w:pos="709"/>
        </w:tabs>
        <w:spacing w:before="240" w:after="240" w:line="360" w:lineRule="auto"/>
        <w:jc w:val="both"/>
        <w:rPr>
          <w:rFonts w:ascii="Palatino Linotype" w:eastAsia="Palatino Linotype" w:hAnsi="Palatino Linotype" w:cs="Palatino Linotype"/>
        </w:rPr>
      </w:pPr>
      <w:bookmarkStart w:id="3" w:name="_GoBack"/>
      <w:bookmarkEnd w:id="3"/>
      <w:r>
        <w:rPr>
          <w:rFonts w:ascii="Palatino Linotype" w:eastAsia="Palatino Linotype" w:hAnsi="Palatino Linotype" w:cs="Palatino Linotype"/>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rsidR="00222473" w:rsidRDefault="002847E1">
      <w:pPr>
        <w:spacing w:before="280" w:after="280" w:line="360" w:lineRule="auto"/>
        <w:jc w:val="both"/>
        <w:rPr>
          <w:rFonts w:ascii="Palatino Linotype" w:eastAsia="Palatino Linotype" w:hAnsi="Palatino Linotype" w:cs="Palatino Linotype"/>
          <w:sz w:val="28"/>
          <w:szCs w:val="28"/>
        </w:rPr>
      </w:pPr>
      <w:r>
        <w:rPr>
          <w:rFonts w:ascii="Palatino Linotype" w:eastAsia="Palatino Linotype" w:hAnsi="Palatino Linotype" w:cs="Palatino Linotype"/>
        </w:rPr>
        <w:t>En ese orden de ideas, la Ley de Transparencia y Acceso a la Información Pública del Estado de México y Municipios, prevé en su artículo 23, lo siguiente:</w:t>
      </w:r>
    </w:p>
    <w:p w:rsidR="00222473" w:rsidRDefault="002847E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23.</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Son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sujetos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obligados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transparentar</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y</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permitir</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el</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acceso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su</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información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y</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proteger</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los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datos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personales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que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obren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en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su</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poder</w:t>
      </w:r>
      <w:r>
        <w:rPr>
          <w:rFonts w:ascii="Palatino Linotype" w:eastAsia="Palatino Linotype" w:hAnsi="Palatino Linotype" w:cs="Palatino Linotype"/>
          <w:i/>
          <w:sz w:val="22"/>
          <w:szCs w:val="22"/>
        </w:rPr>
        <w:t>:</w:t>
      </w:r>
    </w:p>
    <w:p w:rsidR="00222473" w:rsidRDefault="002847E1">
      <w:pPr>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I.</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Poder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Ejecutivo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Estado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México,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dependencias,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organismos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auxiliares,</w:t>
      </w:r>
      <w:r>
        <w:rPr>
          <w:rFonts w:ascii="Palatino Linotype" w:eastAsia="Palatino Linotype" w:hAnsi="Palatino Linotype" w:cs="Palatino Linotype"/>
          <w:b/>
          <w:i/>
        </w:rPr>
        <w:t xml:space="preserve"> </w:t>
      </w:r>
      <w:r>
        <w:rPr>
          <w:rFonts w:ascii="Palatino Linotype" w:eastAsia="Palatino Linotype" w:hAnsi="Palatino Linotype" w:cs="Palatino Linotype"/>
          <w:i/>
          <w:sz w:val="22"/>
          <w:szCs w:val="22"/>
        </w:rPr>
        <w:t>órganos,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entidades,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fideicomisos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fondos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públicos,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así</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como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Procuraduría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General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Justicia;</w:t>
      </w:r>
    </w:p>
    <w:p w:rsidR="00222473" w:rsidRDefault="002847E1">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Poder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Legislativo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Estado,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organismos,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órganos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entidades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Legislatura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sus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dependencias;</w:t>
      </w:r>
    </w:p>
    <w:p w:rsidR="00222473" w:rsidRDefault="002847E1">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Poder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Judicial,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sus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organismos,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órganos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entidades,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así</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como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Consejo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Judicatura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Estado;</w:t>
      </w:r>
    </w:p>
    <w:p w:rsidR="00222473" w:rsidRDefault="002847E1">
      <w:pPr>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Los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ayuntamientos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y</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las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dependencias,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organismos,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órganos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y</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entidades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la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administración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municipal;</w:t>
      </w:r>
    </w:p>
    <w:p w:rsidR="00222473" w:rsidRDefault="002847E1">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órganos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autónomos;</w:t>
      </w:r>
    </w:p>
    <w:p w:rsidR="00222473" w:rsidRDefault="002847E1">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tribunales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administrativos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autoridades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jurisdiccionales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materia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laboral;</w:t>
      </w:r>
    </w:p>
    <w:p w:rsidR="00222473" w:rsidRDefault="002847E1">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partidos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políticos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agrupaciones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políticas,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términos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disposiciones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aplicables;</w:t>
      </w:r>
    </w:p>
    <w:p w:rsidR="00222473" w:rsidRDefault="002847E1">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fideicomisos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fondos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públicos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que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cuenten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financiamiento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público,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parcial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total,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participación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entidades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gobierno;</w:t>
      </w:r>
    </w:p>
    <w:p w:rsidR="00222473" w:rsidRDefault="002847E1">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IX.</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sindicatos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que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reciban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ejerzan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recursos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públicos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ámbito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estatal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municipal;</w:t>
      </w:r>
    </w:p>
    <w:p w:rsidR="00222473" w:rsidRDefault="002847E1">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Cualquier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persona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física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jurídico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colectiva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que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reciba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ejerza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recursos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públicos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ámbito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estatal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municipal;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p>
    <w:p w:rsidR="00222473" w:rsidRDefault="002847E1">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Cualquier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otra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autoridad,</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entidad,</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órgano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u</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organismo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poderes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estatal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municipal,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que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reciba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recursos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públicos.</w:t>
      </w:r>
    </w:p>
    <w:p w:rsidR="00222473" w:rsidRDefault="002847E1">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sujetos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obligados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deberán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hacer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pública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toda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aquella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información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relativa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montos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personas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quienes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entreguen,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cualquier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motivo,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recursos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públicos,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así</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como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informes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que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dichas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personas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entreguen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sobre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uso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destino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dichos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recursos.</w:t>
      </w:r>
    </w:p>
    <w:p w:rsidR="00222473" w:rsidRDefault="002847E1">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servidores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públicos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deberán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transparentar</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sus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acciones,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así</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como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garantizar</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y</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respetar</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el</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derecho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acceso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la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información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pública</w:t>
      </w:r>
      <w:r>
        <w:rPr>
          <w:rFonts w:ascii="Palatino Linotype" w:eastAsia="Palatino Linotype" w:hAnsi="Palatino Linotype" w:cs="Palatino Linotype"/>
          <w:i/>
          <w:sz w:val="22"/>
          <w:szCs w:val="22"/>
        </w:rPr>
        <w:t>.”</w:t>
      </w:r>
    </w:p>
    <w:p w:rsidR="00222473" w:rsidRDefault="00222473">
      <w:pPr>
        <w:ind w:left="1134" w:right="902"/>
        <w:jc w:val="both"/>
        <w:rPr>
          <w:rFonts w:ascii="Palatino Linotype" w:eastAsia="Palatino Linotype" w:hAnsi="Palatino Linotype" w:cs="Palatino Linotype"/>
          <w:i/>
          <w:sz w:val="22"/>
          <w:szCs w:val="22"/>
        </w:rPr>
      </w:pPr>
    </w:p>
    <w:p w:rsidR="00222473" w:rsidRDefault="002847E1">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es conveniente analizar si los documentos enviados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informe justificado cumplió  con los requisitos y procedimientos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 xml:space="preserve">artículo 4, dice que toda la información generada, obtenida, </w:t>
      </w:r>
      <w:r>
        <w:rPr>
          <w:rFonts w:ascii="Palatino Linotype" w:eastAsia="Palatino Linotype" w:hAnsi="Palatino Linotype" w:cs="Palatino Linotype"/>
          <w:color w:val="000000"/>
        </w:rPr>
        <w:lastRenderedPageBreak/>
        <w:t xml:space="preserve">adquirida, transformada, administrada o en posesión de los Sujetos Obligados es pública y accesible de manera permanente a cualquier persona, privilegiando el principio de máxima publicidad, como así lo establece dicha determinación, que a continuación se </w:t>
      </w:r>
      <w:r>
        <w:rPr>
          <w:rFonts w:ascii="Palatino Linotype" w:eastAsia="Palatino Linotype" w:hAnsi="Palatino Linotype" w:cs="Palatino Linotype"/>
        </w:rPr>
        <w:t>transcribe</w:t>
      </w:r>
      <w:r>
        <w:rPr>
          <w:rFonts w:ascii="Palatino Linotype" w:eastAsia="Palatino Linotype" w:hAnsi="Palatino Linotype" w:cs="Palatino Linotype"/>
          <w:color w:val="000000"/>
        </w:rPr>
        <w:t xml:space="preserve"> para un mejor entendimiento:</w:t>
      </w:r>
    </w:p>
    <w:p w:rsidR="00222473" w:rsidRDefault="002847E1">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222473" w:rsidRDefault="002847E1">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222473" w:rsidRDefault="002847E1">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222473" w:rsidRDefault="00222473">
      <w:pPr>
        <w:ind w:left="709" w:right="760"/>
        <w:jc w:val="both"/>
        <w:rPr>
          <w:rFonts w:ascii="Palatino Linotype" w:eastAsia="Palatino Linotype" w:hAnsi="Palatino Linotype" w:cs="Palatino Linotype"/>
          <w:i/>
        </w:rPr>
      </w:pP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222473" w:rsidRDefault="002847E1">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222473" w:rsidRDefault="002847E1">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222473" w:rsidRDefault="00222473">
      <w:pPr>
        <w:spacing w:line="360" w:lineRule="auto"/>
        <w:ind w:right="-93"/>
        <w:jc w:val="both"/>
        <w:rPr>
          <w:rFonts w:ascii="Palatino Linotype" w:eastAsia="Palatino Linotype" w:hAnsi="Palatino Linotype" w:cs="Palatino Linotype"/>
          <w:color w:val="000000"/>
        </w:rPr>
      </w:pPr>
    </w:p>
    <w:p w:rsidR="00222473" w:rsidRDefault="002847E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222473" w:rsidRDefault="00222473">
      <w:pPr>
        <w:spacing w:line="360" w:lineRule="auto"/>
        <w:jc w:val="both"/>
        <w:rPr>
          <w:rFonts w:ascii="Palatino Linotype" w:eastAsia="Palatino Linotype" w:hAnsi="Palatino Linotype" w:cs="Palatino Linotype"/>
          <w:color w:val="000000"/>
        </w:rPr>
      </w:pPr>
    </w:p>
    <w:p w:rsidR="00222473" w:rsidRDefault="002847E1">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222473" w:rsidRDefault="00222473">
      <w:pPr>
        <w:spacing w:line="360" w:lineRule="auto"/>
        <w:ind w:right="49"/>
        <w:jc w:val="both"/>
        <w:rPr>
          <w:rFonts w:ascii="Palatino Linotype" w:eastAsia="Palatino Linotype" w:hAnsi="Palatino Linotype" w:cs="Palatino Linotype"/>
        </w:rPr>
      </w:pPr>
    </w:p>
    <w:p w:rsidR="00222473" w:rsidRDefault="002847E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conviene mencionar que la Ley de Transparencia vigente en el Estado de México refiere: </w:t>
      </w:r>
    </w:p>
    <w:p w:rsidR="00222473" w:rsidRDefault="00222473">
      <w:pPr>
        <w:spacing w:line="360" w:lineRule="auto"/>
        <w:jc w:val="both"/>
        <w:rPr>
          <w:rFonts w:ascii="Palatino Linotype" w:eastAsia="Palatino Linotype" w:hAnsi="Palatino Linotype" w:cs="Palatino Linotype"/>
        </w:rPr>
      </w:pPr>
    </w:p>
    <w:p w:rsidR="00222473" w:rsidRDefault="002847E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sz w:val="22"/>
          <w:szCs w:val="22"/>
        </w:rPr>
        <w:t xml:space="preserve"> y reutilización de la información que generen.</w:t>
      </w:r>
    </w:p>
    <w:p w:rsidR="00222473" w:rsidRDefault="00222473">
      <w:pPr>
        <w:ind w:left="851" w:right="851"/>
        <w:jc w:val="both"/>
        <w:rPr>
          <w:rFonts w:ascii="Palatino Linotype" w:eastAsia="Palatino Linotype" w:hAnsi="Palatino Linotype" w:cs="Palatino Linotype"/>
          <w:b/>
          <w:i/>
          <w:sz w:val="22"/>
          <w:szCs w:val="22"/>
        </w:rPr>
      </w:pPr>
    </w:p>
    <w:p w:rsidR="00222473" w:rsidRDefault="002847E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 </w:t>
      </w:r>
      <w:r>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sz w:val="22"/>
          <w:szCs w:val="22"/>
        </w:rPr>
        <w:t>.</w:t>
      </w:r>
    </w:p>
    <w:p w:rsidR="00222473" w:rsidRDefault="00222473">
      <w:pPr>
        <w:ind w:left="851" w:right="851"/>
        <w:jc w:val="both"/>
        <w:rPr>
          <w:rFonts w:ascii="Palatino Linotype" w:eastAsia="Palatino Linotype" w:hAnsi="Palatino Linotype" w:cs="Palatino Linotype"/>
          <w:i/>
          <w:sz w:val="22"/>
          <w:szCs w:val="22"/>
        </w:rPr>
      </w:pPr>
    </w:p>
    <w:p w:rsidR="00222473" w:rsidRDefault="002847E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rsidR="00222473" w:rsidRDefault="00222473">
      <w:pPr>
        <w:ind w:left="851" w:right="851"/>
        <w:jc w:val="both"/>
        <w:rPr>
          <w:rFonts w:ascii="Palatino Linotype" w:eastAsia="Palatino Linotype" w:hAnsi="Palatino Linotype" w:cs="Palatino Linotype"/>
          <w:i/>
          <w:sz w:val="22"/>
          <w:szCs w:val="22"/>
        </w:rPr>
      </w:pPr>
    </w:p>
    <w:p w:rsidR="00222473" w:rsidRDefault="002847E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222473" w:rsidRDefault="00222473">
      <w:pPr>
        <w:ind w:left="851" w:right="851"/>
        <w:jc w:val="both"/>
        <w:rPr>
          <w:rFonts w:ascii="Palatino Linotype" w:eastAsia="Palatino Linotype" w:hAnsi="Palatino Linotype" w:cs="Palatino Linotype"/>
          <w:i/>
          <w:sz w:val="22"/>
          <w:szCs w:val="22"/>
        </w:rPr>
      </w:pPr>
    </w:p>
    <w:p w:rsidR="00222473" w:rsidRDefault="002847E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222473" w:rsidRDefault="00222473">
      <w:pPr>
        <w:spacing w:line="360" w:lineRule="auto"/>
        <w:jc w:val="both"/>
        <w:rPr>
          <w:rFonts w:ascii="Palatino Linotype" w:eastAsia="Palatino Linotype" w:hAnsi="Palatino Linotype" w:cs="Palatino Linotype"/>
        </w:rPr>
      </w:pPr>
    </w:p>
    <w:p w:rsidR="00222473" w:rsidRDefault="002847E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222473" w:rsidRDefault="00222473">
      <w:pPr>
        <w:spacing w:line="360" w:lineRule="auto"/>
        <w:jc w:val="both"/>
        <w:rPr>
          <w:rFonts w:ascii="Palatino Linotype" w:eastAsia="Palatino Linotype" w:hAnsi="Palatino Linotype" w:cs="Palatino Linotype"/>
        </w:rPr>
      </w:pPr>
    </w:p>
    <w:p w:rsidR="00222473" w:rsidRDefault="002847E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222473" w:rsidRDefault="00222473">
      <w:pPr>
        <w:ind w:left="851" w:right="899"/>
        <w:jc w:val="both"/>
        <w:rPr>
          <w:rFonts w:ascii="Palatino Linotype" w:eastAsia="Palatino Linotype" w:hAnsi="Palatino Linotype" w:cs="Palatino Linotype"/>
          <w:i/>
          <w:sz w:val="22"/>
          <w:szCs w:val="22"/>
        </w:rPr>
      </w:pPr>
    </w:p>
    <w:p w:rsidR="00222473" w:rsidRDefault="002847E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222473" w:rsidRDefault="002847E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22473" w:rsidRDefault="002847E1">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222473" w:rsidRDefault="00222473">
      <w:pPr>
        <w:ind w:left="851" w:right="899"/>
        <w:jc w:val="both"/>
        <w:rPr>
          <w:rFonts w:ascii="Palatino Linotype" w:eastAsia="Palatino Linotype" w:hAnsi="Palatino Linotype" w:cs="Palatino Linotype"/>
          <w:sz w:val="22"/>
          <w:szCs w:val="22"/>
        </w:rPr>
      </w:pPr>
    </w:p>
    <w:p w:rsidR="00222473" w:rsidRDefault="002847E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222473" w:rsidRDefault="00222473">
      <w:pPr>
        <w:ind w:left="851" w:right="899"/>
        <w:jc w:val="both"/>
        <w:rPr>
          <w:rFonts w:ascii="Palatino Linotype" w:eastAsia="Palatino Linotype" w:hAnsi="Palatino Linotype" w:cs="Palatino Linotype"/>
        </w:rPr>
      </w:pPr>
    </w:p>
    <w:p w:rsidR="00222473" w:rsidRDefault="002847E1">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222473" w:rsidRDefault="002847E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w:t>
      </w:r>
      <w:r>
        <w:rPr>
          <w:rFonts w:ascii="Palatino Linotype" w:eastAsia="Palatino Linotype" w:hAnsi="Palatino Linotype" w:cs="Palatino Linotype"/>
          <w:i/>
          <w:sz w:val="22"/>
          <w:szCs w:val="22"/>
        </w:rPr>
        <w:lastRenderedPageBreak/>
        <w:t>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22473" w:rsidRDefault="002847E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222473" w:rsidRDefault="002847E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222473" w:rsidRDefault="002847E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rsidR="00222473" w:rsidRDefault="002847E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rsidR="00222473" w:rsidRDefault="002847E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xml:space="preserve">, como pudiera tratarse de </w:t>
      </w:r>
      <w:r>
        <w:rPr>
          <w:rFonts w:ascii="Palatino Linotype" w:eastAsia="Palatino Linotype" w:hAnsi="Palatino Linotype" w:cs="Palatino Linotype"/>
        </w:rPr>
        <w:lastRenderedPageBreak/>
        <w:t>aquella relacionada con las obligaciones de transparencia señaladas en los artículos 92 y 100 de la Ley de la Materia.</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este contexto, es necesario precisar que, del análisis realizado a la solicitud formulada por la </w:t>
      </w:r>
      <w:r>
        <w:rPr>
          <w:rFonts w:ascii="Palatino Linotype" w:eastAsia="Palatino Linotype" w:hAnsi="Palatino Linotype" w:cs="Palatino Linotype"/>
          <w:b/>
        </w:rPr>
        <w:t>RECURRENTE</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 advierte que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le proporcionara la siguiente información: </w:t>
      </w:r>
    </w:p>
    <w:p w:rsidR="00222473" w:rsidRDefault="002847E1">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u w:val="single"/>
        </w:rPr>
      </w:pPr>
      <w:r>
        <w:rPr>
          <w:rFonts w:ascii="Palatino Linotype" w:eastAsia="Palatino Linotype" w:hAnsi="Palatino Linotype" w:cs="Palatino Linotype"/>
          <w:color w:val="000000"/>
          <w:sz w:val="22"/>
          <w:szCs w:val="22"/>
          <w:u w:val="single"/>
        </w:rPr>
        <w:t xml:space="preserve">De la adquisición de seis grúas, un tracto camión, nueve patrullas pick up y dos camionetas de reacción para el Grupo de Operaciones Especiales (GOE): </w:t>
      </w:r>
    </w:p>
    <w:p w:rsidR="00222473" w:rsidRDefault="002847E1">
      <w:pPr>
        <w:numPr>
          <w:ilvl w:val="0"/>
          <w:numId w:val="5"/>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Contrato o contrato;</w:t>
      </w:r>
    </w:p>
    <w:p w:rsidR="00222473" w:rsidRDefault="002847E1">
      <w:pPr>
        <w:numPr>
          <w:ilvl w:val="0"/>
          <w:numId w:val="5"/>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Comprobante de pago o pagos; y, </w:t>
      </w:r>
    </w:p>
    <w:p w:rsidR="00222473" w:rsidRDefault="002847E1">
      <w:pPr>
        <w:numPr>
          <w:ilvl w:val="0"/>
          <w:numId w:val="5"/>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Nombre del proveedor o proveedores. </w:t>
      </w:r>
    </w:p>
    <w:p w:rsidR="00222473" w:rsidRDefault="002847E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se procede al análisis de cada uno de los planteamientos formulados por 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así como, los archivos enviados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informe justificado; para determinar si con los documentos entregados se colmó el derecho de acceso a la información pública del particular y; de no ser así, analizar la naturaleza jurídica de la información solicitada y en el caso de ser procedente ordenar la entrega de la misma. </w:t>
      </w:r>
    </w:p>
    <w:p w:rsidR="00222473" w:rsidRDefault="002847E1">
      <w:pPr>
        <w:numPr>
          <w:ilvl w:val="0"/>
          <w:numId w:val="1"/>
        </w:numPr>
        <w:pBdr>
          <w:top w:val="nil"/>
          <w:left w:val="nil"/>
          <w:bottom w:val="nil"/>
          <w:right w:val="nil"/>
          <w:between w:val="nil"/>
        </w:pBdr>
        <w:spacing w:before="280" w:after="280"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Del contrato (s) y nombre del proveedor (s) </w:t>
      </w:r>
    </w:p>
    <w:p w:rsidR="00222473" w:rsidRDefault="002847E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Directora General de Administración mediante oficio número DGA/SRM/M/022/2022 de fecha 10 de marzo de 2022 dirigido al Encargado de Despacho de la Unidad de Transparencia y Acceso a la Información remitió copia </w:t>
      </w:r>
      <w:r>
        <w:rPr>
          <w:rFonts w:ascii="Palatino Linotype" w:eastAsia="Palatino Linotype" w:hAnsi="Palatino Linotype" w:cs="Palatino Linotype"/>
        </w:rPr>
        <w:lastRenderedPageBreak/>
        <w:t xml:space="preserve">de los contratos relacionados con la adquisición de 3 grúas de tijera, 3 grúas de plataforma, del tracto camión con grúa; así como de las 9 camionetas pick up equipadas para patrulla; tal como se aprecia en la siguiente imagen. </w:t>
      </w:r>
    </w:p>
    <w:p w:rsidR="00222473" w:rsidRDefault="002847E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es-MX"/>
        </w:rPr>
        <w:drawing>
          <wp:inline distT="0" distB="0" distL="0" distR="0">
            <wp:extent cx="5612130" cy="5556885"/>
            <wp:effectExtent l="12700" t="12700" r="12700" b="12700"/>
            <wp:docPr id="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612130" cy="5556885"/>
                    </a:xfrm>
                    <a:prstGeom prst="rect">
                      <a:avLst/>
                    </a:prstGeom>
                    <a:ln w="12700">
                      <a:solidFill>
                        <a:srgbClr val="000000"/>
                      </a:solidFill>
                      <a:prstDash val="solid"/>
                    </a:ln>
                  </pic:spPr>
                </pic:pic>
              </a:graphicData>
            </a:graphic>
          </wp:inline>
        </w:drawing>
      </w:r>
      <w:r>
        <w:rPr>
          <w:rFonts w:ascii="Palatino Linotype" w:eastAsia="Palatino Linotype" w:hAnsi="Palatino Linotype" w:cs="Palatino Linotype"/>
        </w:rPr>
        <w:t xml:space="preserve"> </w:t>
      </w:r>
      <w:r>
        <w:rPr>
          <w:noProof/>
          <w:lang w:eastAsia="es-MX"/>
        </w:rPr>
        <mc:AlternateContent>
          <mc:Choice Requires="wpg">
            <w:drawing>
              <wp:anchor distT="0" distB="0" distL="114300" distR="114300" simplePos="0" relativeHeight="251658240" behindDoc="0" locked="0" layoutInCell="1" hidden="0" allowOverlap="1">
                <wp:simplePos x="0" y="0"/>
                <wp:positionH relativeFrom="column">
                  <wp:posOffset>406400</wp:posOffset>
                </wp:positionH>
                <wp:positionV relativeFrom="paragraph">
                  <wp:posOffset>4203700</wp:posOffset>
                </wp:positionV>
                <wp:extent cx="5029200" cy="1375410"/>
                <wp:effectExtent l="0" t="0" r="0" b="0"/>
                <wp:wrapNone/>
                <wp:docPr id="60" name="Rectángulo 60"/>
                <wp:cNvGraphicFramePr/>
                <a:graphic xmlns:a="http://schemas.openxmlformats.org/drawingml/2006/main">
                  <a:graphicData uri="http://schemas.microsoft.com/office/word/2010/wordprocessingShape">
                    <wps:wsp>
                      <wps:cNvSpPr/>
                      <wps:spPr>
                        <a:xfrm>
                          <a:off x="2859975" y="3120870"/>
                          <a:ext cx="4972050" cy="1318260"/>
                        </a:xfrm>
                        <a:prstGeom prst="rect">
                          <a:avLst/>
                        </a:prstGeom>
                        <a:noFill/>
                        <a:ln w="28575" cap="flat" cmpd="sng">
                          <a:solidFill>
                            <a:srgbClr val="FF0000"/>
                          </a:solidFill>
                          <a:prstDash val="solid"/>
                          <a:miter lim="800000"/>
                          <a:headEnd type="none" w="sm" len="sm"/>
                          <a:tailEnd type="none" w="sm" len="sm"/>
                        </a:ln>
                      </wps:spPr>
                      <wps:txbx>
                        <w:txbxContent>
                          <w:p w:rsidR="00222473" w:rsidRDefault="0022247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406400</wp:posOffset>
                </wp:positionH>
                <wp:positionV relativeFrom="paragraph">
                  <wp:posOffset>4203700</wp:posOffset>
                </wp:positionV>
                <wp:extent cx="5029200" cy="1375410"/>
                <wp:effectExtent b="0" l="0" r="0" t="0"/>
                <wp:wrapNone/>
                <wp:docPr id="60" name="image21.png"/>
                <a:graphic>
                  <a:graphicData uri="http://schemas.openxmlformats.org/drawingml/2006/picture">
                    <pic:pic>
                      <pic:nvPicPr>
                        <pic:cNvPr id="0" name="image21.png"/>
                        <pic:cNvPicPr preferRelativeResize="0"/>
                      </pic:nvPicPr>
                      <pic:blipFill>
                        <a:blip r:embed="rId9"/>
                        <a:srcRect/>
                        <a:stretch>
                          <a:fillRect/>
                        </a:stretch>
                      </pic:blipFill>
                      <pic:spPr>
                        <a:xfrm>
                          <a:off x="0" y="0"/>
                          <a:ext cx="5029200" cy="1375410"/>
                        </a:xfrm>
                        <a:prstGeom prst="rect"/>
                        <a:ln/>
                      </pic:spPr>
                    </pic:pic>
                  </a:graphicData>
                </a:graphic>
              </wp:anchor>
            </w:drawing>
          </mc:Fallback>
        </mc:AlternateContent>
      </w:r>
    </w:p>
    <w:p w:rsidR="00222473" w:rsidRDefault="00222473">
      <w:pPr>
        <w:spacing w:before="280" w:after="280" w:line="360" w:lineRule="auto"/>
        <w:jc w:val="both"/>
        <w:rPr>
          <w:rFonts w:ascii="Palatino Linotype" w:eastAsia="Palatino Linotype" w:hAnsi="Palatino Linotype" w:cs="Palatino Linotype"/>
        </w:rPr>
      </w:pPr>
    </w:p>
    <w:p w:rsidR="00222473" w:rsidRDefault="002847E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este orden de ideas, el archivo electrónico “</w:t>
      </w:r>
      <w:r>
        <w:rPr>
          <w:rFonts w:ascii="Palatino Linotype" w:eastAsia="Palatino Linotype" w:hAnsi="Palatino Linotype" w:cs="Palatino Linotype"/>
          <w:b/>
          <w:i/>
        </w:rPr>
        <w:t xml:space="preserve">MNJ-SA-DRM-CTAB--LPN-001-2020.pdf” </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contiene el contrato de adquisición de bienes número MNJ-SA-DRM-CTAB--LPN-001-2020, que se llevó a cabo entre </w:t>
      </w:r>
      <w:r>
        <w:rPr>
          <w:rFonts w:ascii="Palatino Linotype" w:eastAsia="Palatino Linotype" w:hAnsi="Palatino Linotype" w:cs="Palatino Linotype"/>
          <w:u w:val="single"/>
        </w:rPr>
        <w:t>“LDR SOLUTIONS”, S.A. DE C.V.”</w:t>
      </w:r>
      <w:r>
        <w:rPr>
          <w:rFonts w:ascii="Palatino Linotype" w:eastAsia="Palatino Linotype" w:hAnsi="Palatino Linotype" w:cs="Palatino Linotype"/>
        </w:rPr>
        <w:t xml:space="preserve"> y el Municipio de Naucalpan de Juárez por medio del cual el proveedor se obligó a entregar las grúas respecto a las partidas 1, 2 y 3 derivado del procedimiento de Licitación Pública Nacional identificada con la nomenclatura MNJ-SA-LPN-005-2020 tal como se aprecia en las siguientes imágenes.  </w:t>
      </w:r>
    </w:p>
    <w:p w:rsidR="00222473" w:rsidRDefault="002847E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es-MX"/>
        </w:rPr>
        <w:drawing>
          <wp:inline distT="0" distB="0" distL="0" distR="0">
            <wp:extent cx="5612130" cy="3362325"/>
            <wp:effectExtent l="12700" t="12700" r="12700" b="12700"/>
            <wp:docPr id="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612130" cy="3362325"/>
                    </a:xfrm>
                    <a:prstGeom prst="rect">
                      <a:avLst/>
                    </a:prstGeom>
                    <a:ln w="12700">
                      <a:solidFill>
                        <a:srgbClr val="000000"/>
                      </a:solidFill>
                      <a:prstDash val="solid"/>
                    </a:ln>
                  </pic:spPr>
                </pic:pic>
              </a:graphicData>
            </a:graphic>
          </wp:inline>
        </w:drawing>
      </w:r>
      <w:r>
        <w:rPr>
          <w:noProof/>
          <w:lang w:eastAsia="es-MX"/>
        </w:rPr>
        <mc:AlternateContent>
          <mc:Choice Requires="wpg">
            <w:drawing>
              <wp:anchor distT="0" distB="0" distL="114300" distR="114300" simplePos="0" relativeHeight="251659264" behindDoc="0" locked="0" layoutInCell="1" hidden="0" allowOverlap="1">
                <wp:simplePos x="0" y="0"/>
                <wp:positionH relativeFrom="column">
                  <wp:posOffset>2641600</wp:posOffset>
                </wp:positionH>
                <wp:positionV relativeFrom="paragraph">
                  <wp:posOffset>2832100</wp:posOffset>
                </wp:positionV>
                <wp:extent cx="1466850" cy="76200"/>
                <wp:effectExtent l="0" t="0" r="0" b="0"/>
                <wp:wrapNone/>
                <wp:docPr id="53" name="Conector recto de flecha 53"/>
                <wp:cNvGraphicFramePr/>
                <a:graphic xmlns:a="http://schemas.openxmlformats.org/drawingml/2006/main">
                  <a:graphicData uri="http://schemas.microsoft.com/office/word/2010/wordprocessingShape">
                    <wps:wsp>
                      <wps:cNvCnPr/>
                      <wps:spPr>
                        <a:xfrm>
                          <a:off x="4641150" y="3770475"/>
                          <a:ext cx="1409700" cy="19050"/>
                        </a:xfrm>
                        <a:prstGeom prst="straightConnector1">
                          <a:avLst/>
                        </a:prstGeom>
                        <a:noFill/>
                        <a:ln w="28575" cap="flat" cmpd="sng">
                          <a:solidFill>
                            <a:srgbClr val="FF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2641600</wp:posOffset>
                </wp:positionH>
                <wp:positionV relativeFrom="paragraph">
                  <wp:posOffset>2832100</wp:posOffset>
                </wp:positionV>
                <wp:extent cx="1466850" cy="76200"/>
                <wp:effectExtent b="0" l="0" r="0" t="0"/>
                <wp:wrapNone/>
                <wp:docPr id="53"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1466850" cy="76200"/>
                        </a:xfrm>
                        <a:prstGeom prst="rect"/>
                        <a:ln/>
                      </pic:spPr>
                    </pic:pic>
                  </a:graphicData>
                </a:graphic>
              </wp:anchor>
            </w:drawing>
          </mc:Fallback>
        </mc:AlternateContent>
      </w:r>
    </w:p>
    <w:p w:rsidR="00222473" w:rsidRDefault="002847E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es-MX"/>
        </w:rPr>
        <w:lastRenderedPageBreak/>
        <w:drawing>
          <wp:inline distT="0" distB="0" distL="0" distR="0">
            <wp:extent cx="5612130" cy="4343400"/>
            <wp:effectExtent l="19050" t="19050" r="19050" b="19050"/>
            <wp:docPr id="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612130" cy="4343400"/>
                    </a:xfrm>
                    <a:prstGeom prst="rect">
                      <a:avLst/>
                    </a:prstGeom>
                    <a:ln w="19050">
                      <a:solidFill>
                        <a:srgbClr val="000000"/>
                      </a:solidFill>
                      <a:prstDash val="solid"/>
                    </a:ln>
                  </pic:spPr>
                </pic:pic>
              </a:graphicData>
            </a:graphic>
          </wp:inline>
        </w:drawing>
      </w:r>
      <w:r>
        <w:rPr>
          <w:noProof/>
          <w:lang w:eastAsia="es-MX"/>
        </w:rPr>
        <mc:AlternateContent>
          <mc:Choice Requires="wpg">
            <w:drawing>
              <wp:anchor distT="0" distB="0" distL="114300" distR="114300" simplePos="0" relativeHeight="251660288" behindDoc="0" locked="0" layoutInCell="1" hidden="0" allowOverlap="1">
                <wp:simplePos x="0" y="0"/>
                <wp:positionH relativeFrom="column">
                  <wp:posOffset>12701</wp:posOffset>
                </wp:positionH>
                <wp:positionV relativeFrom="paragraph">
                  <wp:posOffset>279400</wp:posOffset>
                </wp:positionV>
                <wp:extent cx="5549900" cy="768350"/>
                <wp:effectExtent l="0" t="0" r="0" b="0"/>
                <wp:wrapNone/>
                <wp:docPr id="62" name="Rectángulo 62"/>
                <wp:cNvGraphicFramePr/>
                <a:graphic xmlns:a="http://schemas.openxmlformats.org/drawingml/2006/main">
                  <a:graphicData uri="http://schemas.microsoft.com/office/word/2010/wordprocessingShape">
                    <wps:wsp>
                      <wps:cNvSpPr/>
                      <wps:spPr>
                        <a:xfrm>
                          <a:off x="2583750" y="3408525"/>
                          <a:ext cx="5524500" cy="742950"/>
                        </a:xfrm>
                        <a:prstGeom prst="rect">
                          <a:avLst/>
                        </a:prstGeom>
                        <a:noFill/>
                        <a:ln w="12700" cap="flat" cmpd="sng">
                          <a:solidFill>
                            <a:srgbClr val="FF0000"/>
                          </a:solidFill>
                          <a:prstDash val="solid"/>
                          <a:miter lim="800000"/>
                          <a:headEnd type="none" w="sm" len="sm"/>
                          <a:tailEnd type="none" w="sm" len="sm"/>
                        </a:ln>
                      </wps:spPr>
                      <wps:txbx>
                        <w:txbxContent>
                          <w:p w:rsidR="00222473" w:rsidRDefault="0022247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12701</wp:posOffset>
                </wp:positionH>
                <wp:positionV relativeFrom="paragraph">
                  <wp:posOffset>279400</wp:posOffset>
                </wp:positionV>
                <wp:extent cx="5549900" cy="768350"/>
                <wp:effectExtent b="0" l="0" r="0" t="0"/>
                <wp:wrapNone/>
                <wp:docPr id="62" name="image23.png"/>
                <a:graphic>
                  <a:graphicData uri="http://schemas.openxmlformats.org/drawingml/2006/picture">
                    <pic:pic>
                      <pic:nvPicPr>
                        <pic:cNvPr id="0" name="image23.png"/>
                        <pic:cNvPicPr preferRelativeResize="0"/>
                      </pic:nvPicPr>
                      <pic:blipFill>
                        <a:blip r:embed="rId13"/>
                        <a:srcRect/>
                        <a:stretch>
                          <a:fillRect/>
                        </a:stretch>
                      </pic:blipFill>
                      <pic:spPr>
                        <a:xfrm>
                          <a:off x="0" y="0"/>
                          <a:ext cx="5549900" cy="768350"/>
                        </a:xfrm>
                        <a:prstGeom prst="rect"/>
                        <a:ln/>
                      </pic:spPr>
                    </pic:pic>
                  </a:graphicData>
                </a:graphic>
              </wp:anchor>
            </w:drawing>
          </mc:Fallback>
        </mc:AlternateContent>
      </w:r>
    </w:p>
    <w:p w:rsidR="00222473" w:rsidRDefault="002847E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Del mismo modo, el archivo identificado como “</w:t>
      </w:r>
      <w:r>
        <w:rPr>
          <w:rFonts w:ascii="Palatino Linotype" w:eastAsia="Palatino Linotype" w:hAnsi="Palatino Linotype" w:cs="Palatino Linotype"/>
          <w:b/>
          <w:i/>
        </w:rPr>
        <w:t xml:space="preserve">MNJ-SA-DRM-FORTASEG-CTAB-LPN-017-2020-1.pdf” </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contiene el contrato de adquisición de bienes celebrado entre el Municipio de Naucalpan de Juárez y “AUTOMOVILISTA ANDARADE”, S.A DE C.V. de fecha treinta de diciembre de 2020, por medio del cual el proveedor en la cláusula primera del instrumento se obliga a suministrar al Municipio camionetas pick up doble cabina, equipadas para patrulla, tal como se advierte en la siguiente captura. </w:t>
      </w:r>
    </w:p>
    <w:p w:rsidR="00222473" w:rsidRDefault="002847E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es-MX"/>
        </w:rPr>
        <w:lastRenderedPageBreak/>
        <w:drawing>
          <wp:inline distT="0" distB="0" distL="0" distR="0">
            <wp:extent cx="5612130" cy="2291715"/>
            <wp:effectExtent l="12700" t="12700" r="12700" b="12700"/>
            <wp:docPr id="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612130" cy="2291715"/>
                    </a:xfrm>
                    <a:prstGeom prst="rect">
                      <a:avLst/>
                    </a:prstGeom>
                    <a:ln w="12700">
                      <a:solidFill>
                        <a:srgbClr val="000000"/>
                      </a:solidFill>
                      <a:prstDash val="solid"/>
                    </a:ln>
                  </pic:spPr>
                </pic:pic>
              </a:graphicData>
            </a:graphic>
          </wp:inline>
        </w:drawing>
      </w:r>
      <w:r>
        <w:rPr>
          <w:noProof/>
          <w:lang w:eastAsia="es-MX"/>
        </w:rPr>
        <mc:AlternateContent>
          <mc:Choice Requires="wps">
            <w:drawing>
              <wp:anchor distT="0" distB="0" distL="114300" distR="114300" simplePos="0" relativeHeight="251661312" behindDoc="0" locked="0" layoutInCell="1" hidden="0" allowOverlap="1">
                <wp:simplePos x="0" y="0"/>
                <wp:positionH relativeFrom="column">
                  <wp:posOffset>228600</wp:posOffset>
                </wp:positionH>
                <wp:positionV relativeFrom="paragraph">
                  <wp:posOffset>1854200</wp:posOffset>
                </wp:positionV>
                <wp:extent cx="9525" cy="19050"/>
                <wp:effectExtent l="0" t="0" r="0" b="0"/>
                <wp:wrapNone/>
                <wp:docPr id="61" name="Conector recto de flecha 61"/>
                <wp:cNvGraphicFramePr/>
                <a:graphic xmlns:a="http://schemas.openxmlformats.org/drawingml/2006/main">
                  <a:graphicData uri="http://schemas.microsoft.com/office/word/2010/wordprocessingShape">
                    <wps:wsp>
                      <wps:cNvCnPr/>
                      <wps:spPr>
                        <a:xfrm>
                          <a:off x="4317300" y="3775238"/>
                          <a:ext cx="2057400" cy="9525"/>
                        </a:xfrm>
                        <a:prstGeom prst="straightConnector1">
                          <a:avLst/>
                        </a:prstGeom>
                        <a:noFill/>
                        <a:ln w="19050" cap="flat" cmpd="sng">
                          <a:solidFill>
                            <a:srgbClr val="FF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228600</wp:posOffset>
                </wp:positionH>
                <wp:positionV relativeFrom="paragraph">
                  <wp:posOffset>1854200</wp:posOffset>
                </wp:positionV>
                <wp:extent cx="9525" cy="19050"/>
                <wp:effectExtent b="0" l="0" r="0" t="0"/>
                <wp:wrapNone/>
                <wp:docPr id="61" name="image22.png"/>
                <a:graphic>
                  <a:graphicData uri="http://schemas.openxmlformats.org/drawingml/2006/picture">
                    <pic:pic>
                      <pic:nvPicPr>
                        <pic:cNvPr id="0" name="image22.png"/>
                        <pic:cNvPicPr preferRelativeResize="0"/>
                      </pic:nvPicPr>
                      <pic:blipFill>
                        <a:blip r:embed="rId15"/>
                        <a:srcRect/>
                        <a:stretch>
                          <a:fillRect/>
                        </a:stretch>
                      </pic:blipFill>
                      <pic:spPr>
                        <a:xfrm>
                          <a:off x="0" y="0"/>
                          <a:ext cx="9525" cy="19050"/>
                        </a:xfrm>
                        <a:prstGeom prst="rect"/>
                        <a:ln/>
                      </pic:spPr>
                    </pic:pic>
                  </a:graphicData>
                </a:graphic>
              </wp:anchor>
            </w:drawing>
          </mc:Fallback>
        </mc:AlternateContent>
      </w:r>
    </w:p>
    <w:p w:rsidR="00222473" w:rsidRDefault="002847E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es-MX"/>
        </w:rPr>
        <w:drawing>
          <wp:inline distT="0" distB="0" distL="0" distR="0">
            <wp:extent cx="5612130" cy="2495550"/>
            <wp:effectExtent l="0" t="0" r="0" b="0"/>
            <wp:docPr id="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612130" cy="2495550"/>
                    </a:xfrm>
                    <a:prstGeom prst="rect">
                      <a:avLst/>
                    </a:prstGeom>
                    <a:ln/>
                  </pic:spPr>
                </pic:pic>
              </a:graphicData>
            </a:graphic>
          </wp:inline>
        </w:drawing>
      </w:r>
      <w:r>
        <w:rPr>
          <w:noProof/>
          <w:lang w:eastAsia="es-MX"/>
        </w:rPr>
        <mc:AlternateContent>
          <mc:Choice Requires="wpg">
            <w:drawing>
              <wp:anchor distT="0" distB="0" distL="114300" distR="114300" simplePos="0" relativeHeight="251662336" behindDoc="0" locked="0" layoutInCell="1" hidden="0" allowOverlap="1">
                <wp:simplePos x="0" y="0"/>
                <wp:positionH relativeFrom="column">
                  <wp:posOffset>38101</wp:posOffset>
                </wp:positionH>
                <wp:positionV relativeFrom="paragraph">
                  <wp:posOffset>330200</wp:posOffset>
                </wp:positionV>
                <wp:extent cx="5505450" cy="847725"/>
                <wp:effectExtent l="0" t="0" r="0" b="0"/>
                <wp:wrapNone/>
                <wp:docPr id="56" name="Rectángulo 56"/>
                <wp:cNvGraphicFramePr/>
                <a:graphic xmlns:a="http://schemas.openxmlformats.org/drawingml/2006/main">
                  <a:graphicData uri="http://schemas.microsoft.com/office/word/2010/wordprocessingShape">
                    <wps:wsp>
                      <wps:cNvSpPr/>
                      <wps:spPr>
                        <a:xfrm>
                          <a:off x="2621850" y="3384713"/>
                          <a:ext cx="5448300" cy="790575"/>
                        </a:xfrm>
                        <a:prstGeom prst="rect">
                          <a:avLst/>
                        </a:prstGeom>
                        <a:noFill/>
                        <a:ln w="28575" cap="flat" cmpd="sng">
                          <a:solidFill>
                            <a:srgbClr val="FF0000"/>
                          </a:solidFill>
                          <a:prstDash val="solid"/>
                          <a:miter lim="800000"/>
                          <a:headEnd type="none" w="sm" len="sm"/>
                          <a:tailEnd type="none" w="sm" len="sm"/>
                        </a:ln>
                      </wps:spPr>
                      <wps:txbx>
                        <w:txbxContent>
                          <w:p w:rsidR="00222473" w:rsidRDefault="0022247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38101</wp:posOffset>
                </wp:positionH>
                <wp:positionV relativeFrom="paragraph">
                  <wp:posOffset>330200</wp:posOffset>
                </wp:positionV>
                <wp:extent cx="5505450" cy="847725"/>
                <wp:effectExtent b="0" l="0" r="0" t="0"/>
                <wp:wrapNone/>
                <wp:docPr id="56" name="image17.png"/>
                <a:graphic>
                  <a:graphicData uri="http://schemas.openxmlformats.org/drawingml/2006/picture">
                    <pic:pic>
                      <pic:nvPicPr>
                        <pic:cNvPr id="0" name="image17.png"/>
                        <pic:cNvPicPr preferRelativeResize="0"/>
                      </pic:nvPicPr>
                      <pic:blipFill>
                        <a:blip r:embed="rId17"/>
                        <a:srcRect/>
                        <a:stretch>
                          <a:fillRect/>
                        </a:stretch>
                      </pic:blipFill>
                      <pic:spPr>
                        <a:xfrm>
                          <a:off x="0" y="0"/>
                          <a:ext cx="5505450" cy="847725"/>
                        </a:xfrm>
                        <a:prstGeom prst="rect"/>
                        <a:ln/>
                      </pic:spPr>
                    </pic:pic>
                  </a:graphicData>
                </a:graphic>
              </wp:anchor>
            </w:drawing>
          </mc:Fallback>
        </mc:AlternateContent>
      </w:r>
    </w:p>
    <w:p w:rsidR="00222473" w:rsidRDefault="002847E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en el archivo denominado “</w:t>
      </w:r>
      <w:r>
        <w:rPr>
          <w:rFonts w:ascii="Palatino Linotype" w:eastAsia="Palatino Linotype" w:hAnsi="Palatino Linotype" w:cs="Palatino Linotype"/>
          <w:b/>
          <w:i/>
        </w:rPr>
        <w:t xml:space="preserve">MNJ-SA-DRM-FORTASEG-CTAB-IR-003-2020.pdf” </w:t>
      </w:r>
      <w:r>
        <w:rPr>
          <w:rFonts w:ascii="Palatino Linotype" w:eastAsia="Palatino Linotype" w:hAnsi="Palatino Linotype" w:cs="Palatino Linotype"/>
        </w:rPr>
        <w:t xml:space="preserve">se advierte el contrato de adquisición de bienes número MNJ-SA-DRM-FORTASEG-CTAB-IR-003-2020 celebrado entre </w:t>
      </w:r>
      <w:r>
        <w:rPr>
          <w:rFonts w:ascii="Palatino Linotype" w:eastAsia="Palatino Linotype" w:hAnsi="Palatino Linotype" w:cs="Palatino Linotype"/>
          <w:u w:val="single"/>
        </w:rPr>
        <w:t>DISTRIBUCIONES Y PROYECTOS, S.A. DE C.V</w:t>
      </w:r>
      <w:r>
        <w:rPr>
          <w:rFonts w:ascii="Palatino Linotype" w:eastAsia="Palatino Linotype" w:hAnsi="Palatino Linotype" w:cs="Palatino Linotype"/>
        </w:rPr>
        <w:t xml:space="preserve">. y el Municipio de Naucalpan de Juárez, de fecha 31 de agosto de 2020, por medio del cual se contrató la adquisición de dos camionetas pick up, doble </w:t>
      </w:r>
      <w:r>
        <w:rPr>
          <w:rFonts w:ascii="Palatino Linotype" w:eastAsia="Palatino Linotype" w:hAnsi="Palatino Linotype" w:cs="Palatino Linotype"/>
        </w:rPr>
        <w:lastRenderedPageBreak/>
        <w:t xml:space="preserve">cabina, equipadas como patrullas de reacción, de acuerdo a lo establecido en la cláusula primera del instrumento, tal como se observa a continuación. </w:t>
      </w:r>
    </w:p>
    <w:p w:rsidR="00222473" w:rsidRDefault="00222473">
      <w:pPr>
        <w:spacing w:before="280" w:after="280" w:line="360" w:lineRule="auto"/>
        <w:jc w:val="both"/>
        <w:rPr>
          <w:rFonts w:ascii="Palatino Linotype" w:eastAsia="Palatino Linotype" w:hAnsi="Palatino Linotype" w:cs="Palatino Linotype"/>
        </w:rPr>
      </w:pPr>
    </w:p>
    <w:p w:rsidR="00222473" w:rsidRDefault="002847E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es-MX"/>
        </w:rPr>
        <w:drawing>
          <wp:inline distT="0" distB="0" distL="0" distR="0">
            <wp:extent cx="5612130" cy="3162300"/>
            <wp:effectExtent l="19050" t="19050" r="19050" b="19050"/>
            <wp:docPr id="7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612130" cy="3162300"/>
                    </a:xfrm>
                    <a:prstGeom prst="rect">
                      <a:avLst/>
                    </a:prstGeom>
                    <a:ln w="19050">
                      <a:solidFill>
                        <a:srgbClr val="000000"/>
                      </a:solidFill>
                      <a:prstDash val="solid"/>
                    </a:ln>
                  </pic:spPr>
                </pic:pic>
              </a:graphicData>
            </a:graphic>
          </wp:inline>
        </w:drawing>
      </w:r>
      <w:r>
        <w:rPr>
          <w:noProof/>
          <w:lang w:eastAsia="es-MX"/>
        </w:rPr>
        <mc:AlternateContent>
          <mc:Choice Requires="wps">
            <w:drawing>
              <wp:anchor distT="0" distB="0" distL="114300" distR="114300" simplePos="0" relativeHeight="251663360" behindDoc="0" locked="0" layoutInCell="1" hidden="0" allowOverlap="1">
                <wp:simplePos x="0" y="0"/>
                <wp:positionH relativeFrom="column">
                  <wp:posOffset>4102100</wp:posOffset>
                </wp:positionH>
                <wp:positionV relativeFrom="paragraph">
                  <wp:posOffset>2463800</wp:posOffset>
                </wp:positionV>
                <wp:extent cx="0" cy="28575"/>
                <wp:effectExtent l="0" t="0" r="0" b="0"/>
                <wp:wrapNone/>
                <wp:docPr id="58" name="Conector recto de flecha 58"/>
                <wp:cNvGraphicFramePr/>
                <a:graphic xmlns:a="http://schemas.openxmlformats.org/drawingml/2006/main">
                  <a:graphicData uri="http://schemas.microsoft.com/office/word/2010/wordprocessingShape">
                    <wps:wsp>
                      <wps:cNvCnPr/>
                      <wps:spPr>
                        <a:xfrm>
                          <a:off x="4884038" y="3780000"/>
                          <a:ext cx="923925" cy="0"/>
                        </a:xfrm>
                        <a:prstGeom prst="straightConnector1">
                          <a:avLst/>
                        </a:prstGeom>
                        <a:noFill/>
                        <a:ln w="28575" cap="flat" cmpd="sng">
                          <a:solidFill>
                            <a:srgbClr val="FF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4102100</wp:posOffset>
                </wp:positionH>
                <wp:positionV relativeFrom="paragraph">
                  <wp:posOffset>2463800</wp:posOffset>
                </wp:positionV>
                <wp:extent cx="0" cy="28575"/>
                <wp:effectExtent b="0" l="0" r="0" t="0"/>
                <wp:wrapNone/>
                <wp:docPr id="58" name="image19.png"/>
                <a:graphic>
                  <a:graphicData uri="http://schemas.openxmlformats.org/drawingml/2006/picture">
                    <pic:pic>
                      <pic:nvPicPr>
                        <pic:cNvPr id="0" name="image19.png"/>
                        <pic:cNvPicPr preferRelativeResize="0"/>
                      </pic:nvPicPr>
                      <pic:blipFill>
                        <a:blip r:embed="rId19"/>
                        <a:srcRect/>
                        <a:stretch>
                          <a:fillRect/>
                        </a:stretch>
                      </pic:blipFill>
                      <pic:spPr>
                        <a:xfrm>
                          <a:off x="0" y="0"/>
                          <a:ext cx="0" cy="28575"/>
                        </a:xfrm>
                        <a:prstGeom prst="rect"/>
                        <a:ln/>
                      </pic:spPr>
                    </pic:pic>
                  </a:graphicData>
                </a:graphic>
              </wp:anchor>
            </w:drawing>
          </mc:Fallback>
        </mc:AlternateContent>
      </w:r>
      <w:r>
        <w:rPr>
          <w:noProof/>
          <w:lang w:eastAsia="es-MX"/>
        </w:rPr>
        <mc:AlternateContent>
          <mc:Choice Requires="wps">
            <w:drawing>
              <wp:anchor distT="0" distB="0" distL="114300" distR="114300" simplePos="0" relativeHeight="251664384" behindDoc="0" locked="0" layoutInCell="1" hidden="0" allowOverlap="1">
                <wp:simplePos x="0" y="0"/>
                <wp:positionH relativeFrom="column">
                  <wp:posOffset>520700</wp:posOffset>
                </wp:positionH>
                <wp:positionV relativeFrom="paragraph">
                  <wp:posOffset>2578100</wp:posOffset>
                </wp:positionV>
                <wp:extent cx="9525" cy="28575"/>
                <wp:effectExtent l="0" t="0" r="0" b="0"/>
                <wp:wrapNone/>
                <wp:docPr id="54" name="Conector recto de flecha 54"/>
                <wp:cNvGraphicFramePr/>
                <a:graphic xmlns:a="http://schemas.openxmlformats.org/drawingml/2006/main">
                  <a:graphicData uri="http://schemas.microsoft.com/office/word/2010/wordprocessingShape">
                    <wps:wsp>
                      <wps:cNvCnPr/>
                      <wps:spPr>
                        <a:xfrm>
                          <a:off x="4788788" y="3775238"/>
                          <a:ext cx="1114425" cy="9525"/>
                        </a:xfrm>
                        <a:prstGeom prst="straightConnector1">
                          <a:avLst/>
                        </a:prstGeom>
                        <a:noFill/>
                        <a:ln w="28575" cap="flat" cmpd="sng">
                          <a:solidFill>
                            <a:srgbClr val="FF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520700</wp:posOffset>
                </wp:positionH>
                <wp:positionV relativeFrom="paragraph">
                  <wp:posOffset>2578100</wp:posOffset>
                </wp:positionV>
                <wp:extent cx="9525" cy="28575"/>
                <wp:effectExtent b="0" l="0" r="0" t="0"/>
                <wp:wrapNone/>
                <wp:docPr id="54" name="image15.png"/>
                <a:graphic>
                  <a:graphicData uri="http://schemas.openxmlformats.org/drawingml/2006/picture">
                    <pic:pic>
                      <pic:nvPicPr>
                        <pic:cNvPr id="0" name="image15.png"/>
                        <pic:cNvPicPr preferRelativeResize="0"/>
                      </pic:nvPicPr>
                      <pic:blipFill>
                        <a:blip r:embed="rId20"/>
                        <a:srcRect/>
                        <a:stretch>
                          <a:fillRect/>
                        </a:stretch>
                      </pic:blipFill>
                      <pic:spPr>
                        <a:xfrm>
                          <a:off x="0" y="0"/>
                          <a:ext cx="9525" cy="28575"/>
                        </a:xfrm>
                        <a:prstGeom prst="rect"/>
                        <a:ln/>
                      </pic:spPr>
                    </pic:pic>
                  </a:graphicData>
                </a:graphic>
              </wp:anchor>
            </w:drawing>
          </mc:Fallback>
        </mc:AlternateContent>
      </w:r>
    </w:p>
    <w:p w:rsidR="00222473" w:rsidRDefault="002847E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es-MX"/>
        </w:rPr>
        <w:lastRenderedPageBreak/>
        <w:drawing>
          <wp:inline distT="0" distB="0" distL="0" distR="0">
            <wp:extent cx="5612130" cy="2733675"/>
            <wp:effectExtent l="19050" t="19050" r="19050" b="19050"/>
            <wp:docPr id="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612130" cy="2733675"/>
                    </a:xfrm>
                    <a:prstGeom prst="rect">
                      <a:avLst/>
                    </a:prstGeom>
                    <a:ln w="19050">
                      <a:solidFill>
                        <a:srgbClr val="000000"/>
                      </a:solidFill>
                      <a:prstDash val="solid"/>
                    </a:ln>
                  </pic:spPr>
                </pic:pic>
              </a:graphicData>
            </a:graphic>
          </wp:inline>
        </w:drawing>
      </w:r>
      <w:r>
        <w:rPr>
          <w:noProof/>
          <w:lang w:eastAsia="es-MX"/>
        </w:rPr>
        <mc:AlternateContent>
          <mc:Choice Requires="wpg">
            <w:drawing>
              <wp:anchor distT="0" distB="0" distL="114300" distR="114300" simplePos="0" relativeHeight="251665408" behindDoc="0" locked="0" layoutInCell="1" hidden="0" allowOverlap="1">
                <wp:simplePos x="0" y="0"/>
                <wp:positionH relativeFrom="column">
                  <wp:posOffset>-25399</wp:posOffset>
                </wp:positionH>
                <wp:positionV relativeFrom="paragraph">
                  <wp:posOffset>292100</wp:posOffset>
                </wp:positionV>
                <wp:extent cx="5610225" cy="1038225"/>
                <wp:effectExtent l="0" t="0" r="0" b="0"/>
                <wp:wrapNone/>
                <wp:docPr id="63" name="Rectángulo 63"/>
                <wp:cNvGraphicFramePr/>
                <a:graphic xmlns:a="http://schemas.openxmlformats.org/drawingml/2006/main">
                  <a:graphicData uri="http://schemas.microsoft.com/office/word/2010/wordprocessingShape">
                    <wps:wsp>
                      <wps:cNvSpPr/>
                      <wps:spPr>
                        <a:xfrm>
                          <a:off x="2569463" y="3289463"/>
                          <a:ext cx="5553075" cy="981075"/>
                        </a:xfrm>
                        <a:prstGeom prst="rect">
                          <a:avLst/>
                        </a:prstGeom>
                        <a:noFill/>
                        <a:ln w="28575" cap="flat" cmpd="sng">
                          <a:solidFill>
                            <a:srgbClr val="FF0000"/>
                          </a:solidFill>
                          <a:prstDash val="solid"/>
                          <a:miter lim="800000"/>
                          <a:headEnd type="none" w="sm" len="sm"/>
                          <a:tailEnd type="none" w="sm" len="sm"/>
                        </a:ln>
                      </wps:spPr>
                      <wps:txbx>
                        <w:txbxContent>
                          <w:p w:rsidR="00222473" w:rsidRDefault="0022247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292100</wp:posOffset>
                </wp:positionV>
                <wp:extent cx="5610225" cy="1038225"/>
                <wp:effectExtent b="0" l="0" r="0" t="0"/>
                <wp:wrapNone/>
                <wp:docPr id="63" name="image24.png"/>
                <a:graphic>
                  <a:graphicData uri="http://schemas.openxmlformats.org/drawingml/2006/picture">
                    <pic:pic>
                      <pic:nvPicPr>
                        <pic:cNvPr id="0" name="image24.png"/>
                        <pic:cNvPicPr preferRelativeResize="0"/>
                      </pic:nvPicPr>
                      <pic:blipFill>
                        <a:blip r:embed="rId22"/>
                        <a:srcRect/>
                        <a:stretch>
                          <a:fillRect/>
                        </a:stretch>
                      </pic:blipFill>
                      <pic:spPr>
                        <a:xfrm>
                          <a:off x="0" y="0"/>
                          <a:ext cx="5610225" cy="1038225"/>
                        </a:xfrm>
                        <a:prstGeom prst="rect"/>
                        <a:ln/>
                      </pic:spPr>
                    </pic:pic>
                  </a:graphicData>
                </a:graphic>
              </wp:anchor>
            </w:drawing>
          </mc:Fallback>
        </mc:AlternateContent>
      </w:r>
    </w:p>
    <w:p w:rsidR="00222473" w:rsidRDefault="002847E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tenor, del pronunciamiento y los documentos enviados por la Servidora Pública Habilitada, Directora General de Administración, se tiene que fueron atendidos los requerimientos formulados por 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referentes a los contratos y nombre de los proveedores, relacionados con la adquisición de</w:t>
      </w:r>
      <w:r>
        <w:rPr>
          <w:rFonts w:ascii="Palatino Linotype" w:eastAsia="Palatino Linotype" w:hAnsi="Palatino Linotype" w:cs="Palatino Linotype"/>
          <w:color w:val="000000"/>
          <w:u w:val="single"/>
        </w:rPr>
        <w:t xml:space="preserve"> </w:t>
      </w:r>
      <w:r>
        <w:rPr>
          <w:rFonts w:ascii="Palatino Linotype" w:eastAsia="Palatino Linotype" w:hAnsi="Palatino Linotype" w:cs="Palatino Linotype"/>
          <w:color w:val="000000"/>
        </w:rPr>
        <w:t>seis grúas, un tracto camión, nueve patrullas pick up y dos camionetas de reacción para el Grupo de Operaciones Especiales (GOE)</w:t>
      </w:r>
      <w:r>
        <w:rPr>
          <w:rFonts w:ascii="Palatino Linotype" w:eastAsia="Palatino Linotype" w:hAnsi="Palatino Linotype" w:cs="Palatino Linotype"/>
        </w:rPr>
        <w:t xml:space="preserve">  que en este caso, al haberse realizado los contratos con personas jurídico colectivas, en los contratos enviados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observa la denominación o razón social de los proveedores. </w:t>
      </w:r>
    </w:p>
    <w:p w:rsidR="00222473" w:rsidRDefault="002847E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w:t>
      </w:r>
      <w:r>
        <w:rPr>
          <w:rFonts w:ascii="Palatino Linotype" w:eastAsia="Palatino Linotype" w:hAnsi="Palatino Linotype" w:cs="Palatino Linotype"/>
        </w:rPr>
        <w:t>i</w:t>
      </w:r>
      <w:r>
        <w:rPr>
          <w:rFonts w:ascii="Palatino Linotype" w:eastAsia="Palatino Linotype" w:hAnsi="Palatino Linotype" w:cs="Palatino Linotype"/>
          <w:color w:val="000000"/>
        </w:rPr>
        <w:t xml:space="preserve">mismo, es necesario señalar que éste </w:t>
      </w:r>
      <w:r>
        <w:rPr>
          <w:rFonts w:ascii="Palatino Linotype" w:eastAsia="Palatino Linotype" w:hAnsi="Palatino Linotype" w:cs="Palatino Linotype"/>
        </w:rPr>
        <w:t>Organismo</w:t>
      </w:r>
      <w:r>
        <w:rPr>
          <w:rFonts w:ascii="Palatino Linotype" w:eastAsia="Palatino Linotype" w:hAnsi="Palatino Linotype" w:cs="Palatino Linotype"/>
          <w:color w:val="000000"/>
        </w:rPr>
        <w:t xml:space="preserve">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w:t>
      </w:r>
      <w:r>
        <w:rPr>
          <w:rFonts w:ascii="Palatino Linotype" w:eastAsia="Palatino Linotype" w:hAnsi="Palatino Linotype" w:cs="Palatino Linotype"/>
          <w:color w:val="000000"/>
        </w:rPr>
        <w:lastRenderedPageBreak/>
        <w:t>carácter oficial y se presume veraz, tan es así que la misma queda registrada en el Sistema de Acceso a la Información Mexiquense (SAIMEX).</w:t>
      </w:r>
    </w:p>
    <w:p w:rsidR="00222473" w:rsidRDefault="002847E1">
      <w:pPr>
        <w:pBdr>
          <w:top w:val="nil"/>
          <w:left w:val="nil"/>
          <w:bottom w:val="nil"/>
          <w:right w:val="nil"/>
          <w:between w:val="nil"/>
        </w:pBdr>
        <w:spacing w:before="240" w:after="360"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Sirviendo de apoyo a lo anterior por analogía, el criterio 31-10 emitido por el ahora Instituto Nacional de Transparencia, Acceso a la Información y Protección de Datos Personales, que a la letra dice:</w:t>
      </w:r>
    </w:p>
    <w:p w:rsidR="00222473" w:rsidRDefault="002847E1">
      <w:pPr>
        <w:spacing w:before="240" w:after="36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222473" w:rsidRDefault="002847E1">
      <w:pPr>
        <w:numPr>
          <w:ilvl w:val="0"/>
          <w:numId w:val="1"/>
        </w:numPr>
        <w:pBdr>
          <w:top w:val="nil"/>
          <w:left w:val="nil"/>
          <w:bottom w:val="nil"/>
          <w:right w:val="nil"/>
          <w:between w:val="nil"/>
        </w:pBdr>
        <w:spacing w:before="240" w:after="360" w:line="360" w:lineRule="auto"/>
        <w:ind w:right="616"/>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De los comprobantes de pago</w:t>
      </w:r>
    </w:p>
    <w:p w:rsidR="00222473" w:rsidRDefault="002847E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al requerimiento formulado en la solicitud de información relativo a: “</w:t>
      </w:r>
      <w:r>
        <w:rPr>
          <w:rFonts w:ascii="Palatino Linotype" w:eastAsia="Palatino Linotype" w:hAnsi="Palatino Linotype" w:cs="Palatino Linotype"/>
          <w:i/>
        </w:rPr>
        <w:t xml:space="preserve">2.- </w:t>
      </w:r>
      <w:r>
        <w:rPr>
          <w:rFonts w:ascii="Palatino Linotype" w:eastAsia="Palatino Linotype" w:hAnsi="Palatino Linotype" w:cs="Palatino Linotype"/>
          <w:b/>
          <w:i/>
        </w:rPr>
        <w:t xml:space="preserve">Comprobante de pago o pagos relacionados a la adquisición de seis grúas, un </w:t>
      </w:r>
      <w:proofErr w:type="spellStart"/>
      <w:r>
        <w:rPr>
          <w:rFonts w:ascii="Palatino Linotype" w:eastAsia="Palatino Linotype" w:hAnsi="Palatino Linotype" w:cs="Palatino Linotype"/>
          <w:b/>
          <w:i/>
        </w:rPr>
        <w:t>tractocamión</w:t>
      </w:r>
      <w:proofErr w:type="spellEnd"/>
      <w:r>
        <w:rPr>
          <w:rFonts w:ascii="Palatino Linotype" w:eastAsia="Palatino Linotype" w:hAnsi="Palatino Linotype" w:cs="Palatino Linotype"/>
          <w:b/>
          <w:i/>
        </w:rPr>
        <w:t>, nueve patrullas pick up y dos camionetas de reacción para el Grupo de Operaciones Especiales (GOE</w:t>
      </w:r>
      <w:r>
        <w:rPr>
          <w:rFonts w:ascii="Palatino Linotype" w:eastAsia="Palatino Linotype" w:hAnsi="Palatino Linotype" w:cs="Palatino Linotype"/>
          <w:i/>
        </w:rPr>
        <w:t xml:space="preserve">)”, </w:t>
      </w:r>
      <w:r>
        <w:rPr>
          <w:rFonts w:ascii="Palatino Linotype" w:eastAsia="Palatino Linotype" w:hAnsi="Palatino Linotype" w:cs="Palatino Linotype"/>
        </w:rPr>
        <w:t>el archivo electrónico identificado como “</w:t>
      </w:r>
      <w:r>
        <w:rPr>
          <w:rFonts w:ascii="Palatino Linotype" w:eastAsia="Palatino Linotype" w:hAnsi="Palatino Linotype" w:cs="Palatino Linotype"/>
          <w:b/>
          <w:i/>
        </w:rPr>
        <w:t>EMYA-68-2021 (2).</w:t>
      </w:r>
      <w:proofErr w:type="spellStart"/>
      <w:r>
        <w:rPr>
          <w:rFonts w:ascii="Palatino Linotype" w:eastAsia="Palatino Linotype" w:hAnsi="Palatino Linotype" w:cs="Palatino Linotype"/>
          <w:b/>
          <w:i/>
        </w:rPr>
        <w:t>pdf</w:t>
      </w:r>
      <w:proofErr w:type="spellEnd"/>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contiene el oficio número EMYA/68/2021 del 15 de marzo de 2022, suscrito y signado por el enlace de Tesorería para la Unidad de </w:t>
      </w:r>
      <w:r>
        <w:rPr>
          <w:rFonts w:ascii="Palatino Linotype" w:eastAsia="Palatino Linotype" w:hAnsi="Palatino Linotype" w:cs="Palatino Linotype"/>
        </w:rPr>
        <w:lastRenderedPageBreak/>
        <w:t xml:space="preserve">Transparencia y Acceso a la Información, por medio del cual informó que realizó una búsqueda exhaustiva y minuciosa y no se encuentra información alguna relacionada a la petición; asimismo refirió, que la información es inherente a la Dirección General de Administración. </w:t>
      </w:r>
    </w:p>
    <w:p w:rsidR="00222473" w:rsidRDefault="00222473">
      <w:pPr>
        <w:spacing w:line="360" w:lineRule="auto"/>
        <w:jc w:val="both"/>
        <w:rPr>
          <w:rFonts w:ascii="Palatino Linotype" w:eastAsia="Palatino Linotype" w:hAnsi="Palatino Linotype" w:cs="Palatino Linotype"/>
          <w:b/>
        </w:rPr>
      </w:pPr>
    </w:p>
    <w:p w:rsidR="00222473" w:rsidRDefault="002847E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sobre este rubro, la Directora General de Administración mediante oficio número DGA/SRM/M/022/2022 de fecha 10 de marzo de 2022 dirigido al Encargado de Despacho de la Unidad de Transparencia y Acceso a la Información dio a conocer el número y fecha de los oficios, por medio de los cuales se remitió a  la  Tesorería Municipal la documentación para el trámite de los pagos correspondientes, tal como se aprecia en la imagen siguiente: </w:t>
      </w:r>
    </w:p>
    <w:p w:rsidR="00222473" w:rsidRDefault="00222473">
      <w:pPr>
        <w:spacing w:line="360" w:lineRule="auto"/>
        <w:jc w:val="both"/>
        <w:rPr>
          <w:rFonts w:ascii="Palatino Linotype" w:eastAsia="Palatino Linotype" w:hAnsi="Palatino Linotype" w:cs="Palatino Linotype"/>
        </w:rPr>
      </w:pPr>
    </w:p>
    <w:p w:rsidR="00222473" w:rsidRDefault="002847E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es-MX"/>
        </w:rPr>
        <w:lastRenderedPageBreak/>
        <w:drawing>
          <wp:inline distT="0" distB="0" distL="0" distR="0">
            <wp:extent cx="5612130" cy="6848475"/>
            <wp:effectExtent l="19050" t="19050" r="19050" b="19050"/>
            <wp:docPr id="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5612130" cy="6848475"/>
                    </a:xfrm>
                    <a:prstGeom prst="rect">
                      <a:avLst/>
                    </a:prstGeom>
                    <a:ln w="19050">
                      <a:solidFill>
                        <a:srgbClr val="000000"/>
                      </a:solidFill>
                      <a:prstDash val="solid"/>
                    </a:ln>
                  </pic:spPr>
                </pic:pic>
              </a:graphicData>
            </a:graphic>
          </wp:inline>
        </w:drawing>
      </w:r>
      <w:r>
        <w:rPr>
          <w:noProof/>
          <w:lang w:eastAsia="es-MX"/>
        </w:rPr>
        <mc:AlternateContent>
          <mc:Choice Requires="wpg">
            <w:drawing>
              <wp:anchor distT="0" distB="0" distL="114300" distR="114300" simplePos="0" relativeHeight="251666432" behindDoc="0" locked="0" layoutInCell="1" hidden="0" allowOverlap="1">
                <wp:simplePos x="0" y="0"/>
                <wp:positionH relativeFrom="column">
                  <wp:posOffset>279400</wp:posOffset>
                </wp:positionH>
                <wp:positionV relativeFrom="paragraph">
                  <wp:posOffset>5321300</wp:posOffset>
                </wp:positionV>
                <wp:extent cx="5226050" cy="1444625"/>
                <wp:effectExtent l="0" t="0" r="0" b="0"/>
                <wp:wrapNone/>
                <wp:docPr id="59" name="Rectángulo 59"/>
                <wp:cNvGraphicFramePr/>
                <a:graphic xmlns:a="http://schemas.openxmlformats.org/drawingml/2006/main">
                  <a:graphicData uri="http://schemas.microsoft.com/office/word/2010/wordprocessingShape">
                    <wps:wsp>
                      <wps:cNvSpPr/>
                      <wps:spPr>
                        <a:xfrm>
                          <a:off x="2745675" y="3070388"/>
                          <a:ext cx="5200650" cy="1419225"/>
                        </a:xfrm>
                        <a:prstGeom prst="rect">
                          <a:avLst/>
                        </a:prstGeom>
                        <a:noFill/>
                        <a:ln w="12700" cap="flat" cmpd="sng">
                          <a:solidFill>
                            <a:srgbClr val="FF0000"/>
                          </a:solidFill>
                          <a:prstDash val="solid"/>
                          <a:miter lim="800000"/>
                          <a:headEnd type="none" w="sm" len="sm"/>
                          <a:tailEnd type="none" w="sm" len="sm"/>
                        </a:ln>
                      </wps:spPr>
                      <wps:txbx>
                        <w:txbxContent>
                          <w:p w:rsidR="00222473" w:rsidRDefault="0022247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279400</wp:posOffset>
                </wp:positionH>
                <wp:positionV relativeFrom="paragraph">
                  <wp:posOffset>5321300</wp:posOffset>
                </wp:positionV>
                <wp:extent cx="5226050" cy="1444625"/>
                <wp:effectExtent b="0" l="0" r="0" t="0"/>
                <wp:wrapNone/>
                <wp:docPr id="59" name="image20.png"/>
                <a:graphic>
                  <a:graphicData uri="http://schemas.openxmlformats.org/drawingml/2006/picture">
                    <pic:pic>
                      <pic:nvPicPr>
                        <pic:cNvPr id="0" name="image20.png"/>
                        <pic:cNvPicPr preferRelativeResize="0"/>
                      </pic:nvPicPr>
                      <pic:blipFill>
                        <a:blip r:embed="rId24"/>
                        <a:srcRect/>
                        <a:stretch>
                          <a:fillRect/>
                        </a:stretch>
                      </pic:blipFill>
                      <pic:spPr>
                        <a:xfrm>
                          <a:off x="0" y="0"/>
                          <a:ext cx="5226050" cy="1444625"/>
                        </a:xfrm>
                        <a:prstGeom prst="rect"/>
                        <a:ln/>
                      </pic:spPr>
                    </pic:pic>
                  </a:graphicData>
                </a:graphic>
              </wp:anchor>
            </w:drawing>
          </mc:Fallback>
        </mc:AlternateContent>
      </w:r>
    </w:p>
    <w:p w:rsidR="00222473" w:rsidRDefault="002847E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es-MX"/>
        </w:rPr>
        <w:lastRenderedPageBreak/>
        <w:drawing>
          <wp:inline distT="0" distB="0" distL="0" distR="0">
            <wp:extent cx="5612130" cy="4232910"/>
            <wp:effectExtent l="19050" t="19050" r="19050" b="19050"/>
            <wp:docPr id="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612130" cy="4232910"/>
                    </a:xfrm>
                    <a:prstGeom prst="rect">
                      <a:avLst/>
                    </a:prstGeom>
                    <a:ln w="19050">
                      <a:solidFill>
                        <a:srgbClr val="000000"/>
                      </a:solidFill>
                      <a:prstDash val="solid"/>
                    </a:ln>
                  </pic:spPr>
                </pic:pic>
              </a:graphicData>
            </a:graphic>
          </wp:inline>
        </w:drawing>
      </w:r>
    </w:p>
    <w:p w:rsidR="00222473" w:rsidRDefault="002847E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es importante referir que en los contratos enviados en informe justificado, relacionados con la adquisición de bienes muebles referidos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se encuentra establecida, la forma de pago y la cantidad a pagar  dentro de los veinte días naturales posteriores a la entrega del expediente de pago a la </w:t>
      </w:r>
      <w:r>
        <w:rPr>
          <w:rFonts w:ascii="Palatino Linotype" w:eastAsia="Palatino Linotype" w:hAnsi="Palatino Linotype" w:cs="Palatino Linotype"/>
          <w:b/>
          <w:u w:val="single"/>
        </w:rPr>
        <w:t>Tesorería Municipal</w:t>
      </w:r>
      <w:r>
        <w:rPr>
          <w:rFonts w:ascii="Palatino Linotype" w:eastAsia="Palatino Linotype" w:hAnsi="Palatino Linotype" w:cs="Palatino Linotype"/>
        </w:rPr>
        <w:t xml:space="preserve"> por la Dirección de Recursos Materiales, previa entrega de los bienes objeto de los contratos, y a partir de la recepción de la factura correspondiente, tal se observa en las siguientes capturas de pantalla.  </w:t>
      </w:r>
    </w:p>
    <w:p w:rsidR="00222473" w:rsidRDefault="002847E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es-MX"/>
        </w:rPr>
        <w:lastRenderedPageBreak/>
        <w:drawing>
          <wp:inline distT="0" distB="0" distL="0" distR="0">
            <wp:extent cx="5612130" cy="6153150"/>
            <wp:effectExtent l="19050" t="19050" r="19050" b="19050"/>
            <wp:docPr id="7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5612130" cy="6153150"/>
                    </a:xfrm>
                    <a:prstGeom prst="rect">
                      <a:avLst/>
                    </a:prstGeom>
                    <a:ln w="19050">
                      <a:solidFill>
                        <a:srgbClr val="000000"/>
                      </a:solidFill>
                      <a:prstDash val="solid"/>
                    </a:ln>
                  </pic:spPr>
                </pic:pic>
              </a:graphicData>
            </a:graphic>
          </wp:inline>
        </w:drawing>
      </w:r>
      <w:r>
        <w:rPr>
          <w:noProof/>
          <w:lang w:eastAsia="es-MX"/>
        </w:rPr>
        <mc:AlternateContent>
          <mc:Choice Requires="wpg">
            <w:drawing>
              <wp:anchor distT="0" distB="0" distL="114300" distR="114300" simplePos="0" relativeHeight="251667456" behindDoc="0" locked="0" layoutInCell="1" hidden="0" allowOverlap="1">
                <wp:simplePos x="0" y="0"/>
                <wp:positionH relativeFrom="column">
                  <wp:posOffset>38101</wp:posOffset>
                </wp:positionH>
                <wp:positionV relativeFrom="paragraph">
                  <wp:posOffset>4508500</wp:posOffset>
                </wp:positionV>
                <wp:extent cx="5562600" cy="1552575"/>
                <wp:effectExtent l="0" t="0" r="0" b="0"/>
                <wp:wrapNone/>
                <wp:docPr id="64" name="Rectángulo 64"/>
                <wp:cNvGraphicFramePr/>
                <a:graphic xmlns:a="http://schemas.openxmlformats.org/drawingml/2006/main">
                  <a:graphicData uri="http://schemas.microsoft.com/office/word/2010/wordprocessingShape">
                    <wps:wsp>
                      <wps:cNvSpPr/>
                      <wps:spPr>
                        <a:xfrm>
                          <a:off x="2593275" y="3032288"/>
                          <a:ext cx="5505450" cy="1495425"/>
                        </a:xfrm>
                        <a:prstGeom prst="rect">
                          <a:avLst/>
                        </a:prstGeom>
                        <a:noFill/>
                        <a:ln w="28575" cap="flat" cmpd="sng">
                          <a:solidFill>
                            <a:srgbClr val="FF0000"/>
                          </a:solidFill>
                          <a:prstDash val="solid"/>
                          <a:miter lim="800000"/>
                          <a:headEnd type="none" w="sm" len="sm"/>
                          <a:tailEnd type="none" w="sm" len="sm"/>
                        </a:ln>
                      </wps:spPr>
                      <wps:txbx>
                        <w:txbxContent>
                          <w:p w:rsidR="00222473" w:rsidRDefault="0022247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38101</wp:posOffset>
                </wp:positionH>
                <wp:positionV relativeFrom="paragraph">
                  <wp:posOffset>4508500</wp:posOffset>
                </wp:positionV>
                <wp:extent cx="5562600" cy="1552575"/>
                <wp:effectExtent b="0" l="0" r="0" t="0"/>
                <wp:wrapNone/>
                <wp:docPr id="64" name="image25.png"/>
                <a:graphic>
                  <a:graphicData uri="http://schemas.openxmlformats.org/drawingml/2006/picture">
                    <pic:pic>
                      <pic:nvPicPr>
                        <pic:cNvPr id="0" name="image25.png"/>
                        <pic:cNvPicPr preferRelativeResize="0"/>
                      </pic:nvPicPr>
                      <pic:blipFill>
                        <a:blip r:embed="rId27"/>
                        <a:srcRect/>
                        <a:stretch>
                          <a:fillRect/>
                        </a:stretch>
                      </pic:blipFill>
                      <pic:spPr>
                        <a:xfrm>
                          <a:off x="0" y="0"/>
                          <a:ext cx="5562600" cy="1552575"/>
                        </a:xfrm>
                        <a:prstGeom prst="rect"/>
                        <a:ln/>
                      </pic:spPr>
                    </pic:pic>
                  </a:graphicData>
                </a:graphic>
              </wp:anchor>
            </w:drawing>
          </mc:Fallback>
        </mc:AlternateContent>
      </w:r>
    </w:p>
    <w:p w:rsidR="00222473" w:rsidRDefault="002847E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es-MX"/>
        </w:rPr>
        <w:lastRenderedPageBreak/>
        <w:drawing>
          <wp:inline distT="0" distB="0" distL="0" distR="0">
            <wp:extent cx="5612130" cy="3310255"/>
            <wp:effectExtent l="19050" t="19050" r="19050" b="19050"/>
            <wp:docPr id="7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5612130" cy="3310255"/>
                    </a:xfrm>
                    <a:prstGeom prst="rect">
                      <a:avLst/>
                    </a:prstGeom>
                    <a:ln w="19050">
                      <a:solidFill>
                        <a:srgbClr val="000000"/>
                      </a:solidFill>
                      <a:prstDash val="solid"/>
                    </a:ln>
                  </pic:spPr>
                </pic:pic>
              </a:graphicData>
            </a:graphic>
          </wp:inline>
        </w:drawing>
      </w:r>
      <w:r>
        <w:rPr>
          <w:noProof/>
          <w:lang w:eastAsia="es-MX"/>
        </w:rPr>
        <mc:AlternateContent>
          <mc:Choice Requires="wpg">
            <w:drawing>
              <wp:anchor distT="0" distB="0" distL="114300" distR="114300" simplePos="0" relativeHeight="251668480" behindDoc="0" locked="0" layoutInCell="1" hidden="0" allowOverlap="1">
                <wp:simplePos x="0" y="0"/>
                <wp:positionH relativeFrom="column">
                  <wp:posOffset>25401</wp:posOffset>
                </wp:positionH>
                <wp:positionV relativeFrom="paragraph">
                  <wp:posOffset>1892300</wp:posOffset>
                </wp:positionV>
                <wp:extent cx="5610225" cy="1428750"/>
                <wp:effectExtent l="0" t="0" r="0" b="0"/>
                <wp:wrapNone/>
                <wp:docPr id="57" name="Rectángulo 57"/>
                <wp:cNvGraphicFramePr/>
                <a:graphic xmlns:a="http://schemas.openxmlformats.org/drawingml/2006/main">
                  <a:graphicData uri="http://schemas.microsoft.com/office/word/2010/wordprocessingShape">
                    <wps:wsp>
                      <wps:cNvSpPr/>
                      <wps:spPr>
                        <a:xfrm>
                          <a:off x="2559938" y="3084675"/>
                          <a:ext cx="5572125" cy="1390650"/>
                        </a:xfrm>
                        <a:prstGeom prst="rect">
                          <a:avLst/>
                        </a:prstGeom>
                        <a:noFill/>
                        <a:ln w="19050" cap="flat" cmpd="sng">
                          <a:solidFill>
                            <a:srgbClr val="FF0000"/>
                          </a:solidFill>
                          <a:prstDash val="solid"/>
                          <a:miter lim="800000"/>
                          <a:headEnd type="none" w="sm" len="sm"/>
                          <a:tailEnd type="none" w="sm" len="sm"/>
                        </a:ln>
                      </wps:spPr>
                      <wps:txbx>
                        <w:txbxContent>
                          <w:p w:rsidR="00222473" w:rsidRDefault="0022247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25401</wp:posOffset>
                </wp:positionH>
                <wp:positionV relativeFrom="paragraph">
                  <wp:posOffset>1892300</wp:posOffset>
                </wp:positionV>
                <wp:extent cx="5610225" cy="1428750"/>
                <wp:effectExtent b="0" l="0" r="0" t="0"/>
                <wp:wrapNone/>
                <wp:docPr id="57" name="image18.png"/>
                <a:graphic>
                  <a:graphicData uri="http://schemas.openxmlformats.org/drawingml/2006/picture">
                    <pic:pic>
                      <pic:nvPicPr>
                        <pic:cNvPr id="0" name="image18.png"/>
                        <pic:cNvPicPr preferRelativeResize="0"/>
                      </pic:nvPicPr>
                      <pic:blipFill>
                        <a:blip r:embed="rId29"/>
                        <a:srcRect/>
                        <a:stretch>
                          <a:fillRect/>
                        </a:stretch>
                      </pic:blipFill>
                      <pic:spPr>
                        <a:xfrm>
                          <a:off x="0" y="0"/>
                          <a:ext cx="5610225" cy="1428750"/>
                        </a:xfrm>
                        <a:prstGeom prst="rect"/>
                        <a:ln/>
                      </pic:spPr>
                    </pic:pic>
                  </a:graphicData>
                </a:graphic>
              </wp:anchor>
            </w:drawing>
          </mc:Fallback>
        </mc:AlternateContent>
      </w:r>
    </w:p>
    <w:p w:rsidR="00222473" w:rsidRDefault="00222473">
      <w:pPr>
        <w:spacing w:before="280" w:after="280" w:line="360" w:lineRule="auto"/>
        <w:jc w:val="both"/>
        <w:rPr>
          <w:rFonts w:ascii="Palatino Linotype" w:eastAsia="Palatino Linotype" w:hAnsi="Palatino Linotype" w:cs="Palatino Linotype"/>
        </w:rPr>
      </w:pPr>
    </w:p>
    <w:p w:rsidR="00222473" w:rsidRDefault="002847E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es-MX"/>
        </w:rPr>
        <w:lastRenderedPageBreak/>
        <w:drawing>
          <wp:inline distT="0" distB="0" distL="0" distR="0">
            <wp:extent cx="5798177" cy="3381942"/>
            <wp:effectExtent l="12700" t="12700" r="12700" b="12700"/>
            <wp:docPr id="7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5798177" cy="3381942"/>
                    </a:xfrm>
                    <a:prstGeom prst="rect">
                      <a:avLst/>
                    </a:prstGeom>
                    <a:ln w="12700">
                      <a:solidFill>
                        <a:srgbClr val="000000"/>
                      </a:solidFill>
                      <a:prstDash val="solid"/>
                    </a:ln>
                  </pic:spPr>
                </pic:pic>
              </a:graphicData>
            </a:graphic>
          </wp:inline>
        </w:drawing>
      </w:r>
      <w:r>
        <w:rPr>
          <w:noProof/>
          <w:lang w:eastAsia="es-MX"/>
        </w:rPr>
        <mc:AlternateContent>
          <mc:Choice Requires="wpg">
            <w:drawing>
              <wp:anchor distT="0" distB="0" distL="114300" distR="114300" simplePos="0" relativeHeight="251669504" behindDoc="0" locked="0" layoutInCell="1" hidden="0" allowOverlap="1">
                <wp:simplePos x="0" y="0"/>
                <wp:positionH relativeFrom="column">
                  <wp:posOffset>50801</wp:posOffset>
                </wp:positionH>
                <wp:positionV relativeFrom="paragraph">
                  <wp:posOffset>1968500</wp:posOffset>
                </wp:positionV>
                <wp:extent cx="5743575" cy="1400175"/>
                <wp:effectExtent l="0" t="0" r="0" b="0"/>
                <wp:wrapNone/>
                <wp:docPr id="55" name="Rectángulo 55"/>
                <wp:cNvGraphicFramePr/>
                <a:graphic xmlns:a="http://schemas.openxmlformats.org/drawingml/2006/main">
                  <a:graphicData uri="http://schemas.microsoft.com/office/word/2010/wordprocessingShape">
                    <wps:wsp>
                      <wps:cNvSpPr/>
                      <wps:spPr>
                        <a:xfrm>
                          <a:off x="2493263" y="3098963"/>
                          <a:ext cx="5705475" cy="1362075"/>
                        </a:xfrm>
                        <a:prstGeom prst="rect">
                          <a:avLst/>
                        </a:prstGeom>
                        <a:noFill/>
                        <a:ln w="19050" cap="flat" cmpd="sng">
                          <a:solidFill>
                            <a:srgbClr val="FF0000"/>
                          </a:solidFill>
                          <a:prstDash val="solid"/>
                          <a:miter lim="800000"/>
                          <a:headEnd type="none" w="sm" len="sm"/>
                          <a:tailEnd type="none" w="sm" len="sm"/>
                        </a:ln>
                      </wps:spPr>
                      <wps:txbx>
                        <w:txbxContent>
                          <w:p w:rsidR="00222473" w:rsidRDefault="0022247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50801</wp:posOffset>
                </wp:positionH>
                <wp:positionV relativeFrom="paragraph">
                  <wp:posOffset>1968500</wp:posOffset>
                </wp:positionV>
                <wp:extent cx="5743575" cy="1400175"/>
                <wp:effectExtent b="0" l="0" r="0" t="0"/>
                <wp:wrapNone/>
                <wp:docPr id="55" name="image16.png"/>
                <a:graphic>
                  <a:graphicData uri="http://schemas.openxmlformats.org/drawingml/2006/picture">
                    <pic:pic>
                      <pic:nvPicPr>
                        <pic:cNvPr id="0" name="image16.png"/>
                        <pic:cNvPicPr preferRelativeResize="0"/>
                      </pic:nvPicPr>
                      <pic:blipFill>
                        <a:blip r:embed="rId31"/>
                        <a:srcRect/>
                        <a:stretch>
                          <a:fillRect/>
                        </a:stretch>
                      </pic:blipFill>
                      <pic:spPr>
                        <a:xfrm>
                          <a:off x="0" y="0"/>
                          <a:ext cx="5743575" cy="1400175"/>
                        </a:xfrm>
                        <a:prstGeom prst="rect"/>
                        <a:ln/>
                      </pic:spPr>
                    </pic:pic>
                  </a:graphicData>
                </a:graphic>
              </wp:anchor>
            </w:drawing>
          </mc:Fallback>
        </mc:AlternateContent>
      </w:r>
    </w:p>
    <w:p w:rsidR="00222473" w:rsidRDefault="002847E1">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rPr>
        <w:t>Atento a lo anterior, cabe precisar que se obvia el análisis de la competencia por parte del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dado que éste ha </w:t>
      </w:r>
      <w:r>
        <w:rPr>
          <w:rFonts w:ascii="Palatino Linotype" w:eastAsia="Palatino Linotype" w:hAnsi="Palatino Linotype" w:cs="Palatino Linotype"/>
          <w:color w:val="000000"/>
        </w:rPr>
        <w:t>asumido</w:t>
      </w:r>
      <w:r>
        <w:rPr>
          <w:rFonts w:ascii="Palatino Linotype" w:eastAsia="Palatino Linotype" w:hAnsi="Palatino Linotype" w:cs="Palatino Linotype"/>
        </w:rPr>
        <w:t xml:space="preserve"> la misma, en razón de que de los argumentos y documentales vertidas en informe justificado,  se advierte que genera, administra y posee la información solicitada,  ya que </w:t>
      </w:r>
      <w:r>
        <w:rPr>
          <w:rFonts w:ascii="Palatino Linotype" w:eastAsia="Palatino Linotype" w:hAnsi="Palatino Linotype" w:cs="Palatino Linotype"/>
          <w:color w:val="000000"/>
        </w:rPr>
        <w:t xml:space="preserve">remitió los contratos de adquisición de los bienes muebles referidos por </w:t>
      </w:r>
      <w:r>
        <w:rPr>
          <w:rFonts w:ascii="Palatino Linotype" w:eastAsia="Palatino Linotype" w:hAnsi="Palatino Linotype" w:cs="Palatino Linotype"/>
        </w:rPr>
        <w:t xml:space="preserve">la </w:t>
      </w:r>
      <w:r>
        <w:rPr>
          <w:rFonts w:ascii="Palatino Linotype" w:eastAsia="Palatino Linotype" w:hAnsi="Palatino Linotype" w:cs="Palatino Linotype"/>
          <w:b/>
          <w:color w:val="000000"/>
        </w:rPr>
        <w:t xml:space="preserve">RECURRENTE. </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Ahora bien, la Tesorería Municipal manifestó que no localizó la información y que es atribución de la Dirección General de Administración, es necesario referir que </w:t>
      </w:r>
      <w:r>
        <w:rPr>
          <w:rFonts w:ascii="Palatino Linotype" w:eastAsia="Palatino Linotype" w:hAnsi="Palatino Linotype" w:cs="Palatino Linotype"/>
        </w:rPr>
        <w:t xml:space="preserve">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w:t>
      </w:r>
      <w:r>
        <w:rPr>
          <w:rFonts w:ascii="Palatino Linotype" w:eastAsia="Palatino Linotype" w:hAnsi="Palatino Linotype" w:cs="Palatino Linotype"/>
        </w:rPr>
        <w:lastRenderedPageBreak/>
        <w:t>señala que los recursos económicos del Estado, de los Municipios, así como de los Organismos Autónomos, se administrarán con eficiencia, eficacia y honradez, para cumplir con los objetivos y programas a los que estén destinados.</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Aunado a ello, los artículos 342, 343, 344 y 345 del Código Financiero del Estado de México y Municipios disponen el sistema y las políticas que deben seguirse para llevar el registro contable y presupuestal de las operaciones financieras, en los siguientes términos:</w:t>
      </w:r>
    </w:p>
    <w:p w:rsidR="00222473" w:rsidRDefault="002847E1">
      <w:pPr>
        <w:spacing w:before="120" w:after="120" w:line="276" w:lineRule="auto"/>
        <w:ind w:left="860" w:right="8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342.-</w:t>
      </w:r>
      <w:r>
        <w:rPr>
          <w:rFonts w:ascii="Palatino Linotype" w:eastAsia="Palatino Linotype" w:hAnsi="Palatino Linotype" w:cs="Palatino Linotype"/>
          <w:i/>
          <w:sz w:val="22"/>
          <w:szCs w:val="22"/>
        </w:rPr>
        <w:t xml:space="preserve"> - El registro contable del efecto patrimonial y presupuestal de las operaciones financieras, se realizará conforme al sistema y a las disposiciones que se aprueben en materia de planeación, programación, </w:t>
      </w:r>
      <w:proofErr w:type="spellStart"/>
      <w:r>
        <w:rPr>
          <w:rFonts w:ascii="Palatino Linotype" w:eastAsia="Palatino Linotype" w:hAnsi="Palatino Linotype" w:cs="Palatino Linotype"/>
          <w:i/>
          <w:sz w:val="22"/>
          <w:szCs w:val="22"/>
        </w:rPr>
        <w:t>presupuestación</w:t>
      </w:r>
      <w:proofErr w:type="spellEnd"/>
      <w:r>
        <w:rPr>
          <w:rFonts w:ascii="Palatino Linotype" w:eastAsia="Palatino Linotype" w:hAnsi="Palatino Linotype" w:cs="Palatino Linotype"/>
          <w:i/>
          <w:sz w:val="22"/>
          <w:szCs w:val="22"/>
        </w:rPr>
        <w:t>, evaluación y contabilidad gubernamental.</w:t>
      </w:r>
    </w:p>
    <w:p w:rsidR="00222473" w:rsidRDefault="002847E1">
      <w:pPr>
        <w:spacing w:before="120" w:after="120" w:line="276" w:lineRule="auto"/>
        <w:ind w:left="860" w:right="8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el caso de los municipios, el registro a que se refiere el párrafo anterior, se realizará conforme al sistema y a las disposiciones en materia de planeación, programación, </w:t>
      </w:r>
      <w:proofErr w:type="spellStart"/>
      <w:r>
        <w:rPr>
          <w:rFonts w:ascii="Palatino Linotype" w:eastAsia="Palatino Linotype" w:hAnsi="Palatino Linotype" w:cs="Palatino Linotype"/>
          <w:i/>
          <w:sz w:val="22"/>
          <w:szCs w:val="22"/>
        </w:rPr>
        <w:t>presupuestación</w:t>
      </w:r>
      <w:proofErr w:type="spellEnd"/>
      <w:r>
        <w:rPr>
          <w:rFonts w:ascii="Palatino Linotype" w:eastAsia="Palatino Linotype" w:hAnsi="Palatino Linotype" w:cs="Palatino Linotype"/>
          <w:i/>
          <w:sz w:val="22"/>
          <w:szCs w:val="22"/>
        </w:rPr>
        <w:t>, evaluación y contabilidad gubernamental, que se aprueben en el marco del Sistema de Coordinación Hacendaria del Estado de México.</w:t>
      </w:r>
    </w:p>
    <w:p w:rsidR="00222473" w:rsidRDefault="002847E1">
      <w:pPr>
        <w:spacing w:before="120" w:after="120" w:line="276" w:lineRule="auto"/>
        <w:ind w:left="860" w:right="8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343.-</w:t>
      </w:r>
      <w:r>
        <w:rPr>
          <w:rFonts w:ascii="Palatino Linotype" w:eastAsia="Palatino Linotype" w:hAnsi="Palatino Linotype" w:cs="Palatino Linotype"/>
          <w:i/>
          <w:sz w:val="22"/>
          <w:szCs w:val="22"/>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rsidR="00222473" w:rsidRDefault="002847E1">
      <w:pPr>
        <w:spacing w:before="120" w:after="120" w:line="276" w:lineRule="auto"/>
        <w:ind w:left="860" w:right="8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sistema de contabilidad sobre base acumulativa total, se sustentará en las normas emitidas por el Consejo Nacional de Armonización Contable.</w:t>
      </w:r>
    </w:p>
    <w:p w:rsidR="00222473" w:rsidRDefault="002847E1">
      <w:pPr>
        <w:spacing w:before="120" w:after="120" w:line="276" w:lineRule="auto"/>
        <w:ind w:left="860" w:right="8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344.- Los Entes Públicos, a través de cualquiera de sus unidades administrativas, de acuerdo con su naturaleza jurídica y según corresponda, </w:t>
      </w:r>
      <w:r>
        <w:rPr>
          <w:rFonts w:ascii="Palatino Linotype" w:eastAsia="Palatino Linotype" w:hAnsi="Palatino Linotype" w:cs="Palatino Linotype"/>
          <w:b/>
          <w:i/>
          <w:sz w:val="22"/>
          <w:szCs w:val="22"/>
          <w:u w:val="single"/>
        </w:rPr>
        <w:t xml:space="preserve">registrarán contablemente el efecto patrimonial y presupuestal de las operaciones financieras que realicen, en el momento </w:t>
      </w:r>
      <w:r>
        <w:rPr>
          <w:rFonts w:ascii="Palatino Linotype" w:eastAsia="Palatino Linotype" w:hAnsi="Palatino Linotype" w:cs="Palatino Linotype"/>
          <w:b/>
          <w:i/>
          <w:sz w:val="22"/>
          <w:szCs w:val="22"/>
          <w:u w:val="single"/>
        </w:rPr>
        <w:lastRenderedPageBreak/>
        <w:t>en que ocurran, con base en el sistema y políticas de registro establecidas, en el caso de los Municipios, se hará por la Tesorería</w:t>
      </w:r>
      <w:r>
        <w:rPr>
          <w:rFonts w:ascii="Palatino Linotype" w:eastAsia="Palatino Linotype" w:hAnsi="Palatino Linotype" w:cs="Palatino Linotype"/>
          <w:b/>
          <w:i/>
          <w:sz w:val="22"/>
          <w:szCs w:val="22"/>
        </w:rPr>
        <w:t>.</w:t>
      </w:r>
    </w:p>
    <w:p w:rsidR="00222473" w:rsidRDefault="002847E1">
      <w:pPr>
        <w:spacing w:before="120" w:after="120" w:line="276" w:lineRule="auto"/>
        <w:ind w:left="860" w:right="8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Pr>
          <w:rFonts w:ascii="Palatino Linotype" w:eastAsia="Palatino Linotype" w:hAnsi="Palatino Linotype" w:cs="Palatino Linotype"/>
          <w:i/>
          <w:sz w:val="22"/>
          <w:szCs w:val="22"/>
        </w:rPr>
        <w:t>según corresponda, así como de los órganos internos de control, por un término de cinco años, contados a partir del ejercicio presupuestal siguiente al que corresponda,</w:t>
      </w:r>
      <w:r>
        <w:rPr>
          <w:rFonts w:ascii="Palatino Linotype" w:eastAsia="Palatino Linotype" w:hAnsi="Palatino Linotype" w:cs="Palatino Linotype"/>
          <w:b/>
          <w:i/>
          <w:sz w:val="22"/>
          <w:szCs w:val="22"/>
        </w:rPr>
        <w:t xml:space="preserve"> en el caso de los Municipios, dicha obligación corresponderá a la Tesorería.</w:t>
      </w:r>
    </w:p>
    <w:p w:rsidR="00222473" w:rsidRDefault="002847E1">
      <w:pPr>
        <w:spacing w:before="120" w:after="120" w:line="276" w:lineRule="auto"/>
        <w:ind w:left="860" w:right="86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Tratándose de documentos de carácter histórico, se estará a lo dispuesto por la legislación de la materia.</w:t>
      </w:r>
      <w:r>
        <w:rPr>
          <w:rFonts w:ascii="Palatino Linotype" w:eastAsia="Palatino Linotype" w:hAnsi="Palatino Linotype" w:cs="Palatino Linotype"/>
          <w:i/>
          <w:sz w:val="22"/>
          <w:szCs w:val="22"/>
        </w:rPr>
        <w:br/>
        <w:t>…</w:t>
      </w:r>
    </w:p>
    <w:p w:rsidR="00222473" w:rsidRDefault="002847E1">
      <w:pPr>
        <w:spacing w:before="120" w:after="120" w:line="276" w:lineRule="auto"/>
        <w:ind w:left="860" w:right="8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345.-</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registro contable.</w:t>
      </w:r>
    </w:p>
    <w:p w:rsidR="00222473" w:rsidRDefault="002847E1">
      <w:pPr>
        <w:spacing w:before="120" w:after="120" w:line="276" w:lineRule="auto"/>
        <w:ind w:left="860" w:right="8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w:t>
      </w:r>
    </w:p>
    <w:p w:rsidR="00222473" w:rsidRDefault="002847E1">
      <w:pPr>
        <w:spacing w:before="120" w:after="120" w:line="276" w:lineRule="auto"/>
        <w:ind w:left="860" w:right="86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El plazo señalado en este artículo empezará a contar a partir de la publicación en el Periódico Oficial, del decreto correspondiente</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“(Sic)</w:t>
      </w:r>
    </w:p>
    <w:p w:rsidR="00222473" w:rsidRDefault="002847E1">
      <w:pPr>
        <w:spacing w:before="120" w:after="120" w:line="276" w:lineRule="auto"/>
        <w:ind w:left="860" w:right="8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w:t>
      </w:r>
      <w:proofErr w:type="spellStart"/>
      <w:r>
        <w:rPr>
          <w:rFonts w:ascii="Palatino Linotype" w:eastAsia="Palatino Linotype" w:hAnsi="Palatino Linotype" w:cs="Palatino Linotype"/>
        </w:rPr>
        <w:t>presupuestación</w:t>
      </w:r>
      <w:proofErr w:type="spellEnd"/>
      <w:r>
        <w:rPr>
          <w:rFonts w:ascii="Palatino Linotype" w:eastAsia="Palatino Linotype" w:hAnsi="Palatino Linotype" w:cs="Palatino Linotype"/>
        </w:rPr>
        <w:t>, evaluación y contabilidad gubernamental.</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w:t>
      </w:r>
      <w:proofErr w:type="spellStart"/>
      <w:r>
        <w:rPr>
          <w:rFonts w:ascii="Palatino Linotype" w:eastAsia="Palatino Linotype" w:hAnsi="Palatino Linotype" w:cs="Palatino Linotype"/>
        </w:rPr>
        <w:t>Presupuestación</w:t>
      </w:r>
      <w:proofErr w:type="spellEnd"/>
      <w:r>
        <w:rPr>
          <w:rFonts w:ascii="Palatino Linotype" w:eastAsia="Palatino Linotype" w:hAnsi="Palatino Linotype" w:cs="Palatino Linotype"/>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rsidR="00222473" w:rsidRDefault="002847E1">
      <w:pPr>
        <w:spacing w:before="120" w:after="120" w:line="360" w:lineRule="auto"/>
        <w:ind w:firstLine="700"/>
        <w:jc w:val="both"/>
        <w:rPr>
          <w:rFonts w:ascii="Palatino Linotype" w:eastAsia="Palatino Linotype" w:hAnsi="Palatino Linotype" w:cs="Palatino Linotype"/>
          <w:b/>
          <w:i/>
        </w:rPr>
      </w:pPr>
      <w:r>
        <w:rPr>
          <w:rFonts w:ascii="Palatino Linotype" w:eastAsia="Palatino Linotype" w:hAnsi="Palatino Linotype" w:cs="Palatino Linotype"/>
          <w:b/>
          <w:i/>
        </w:rPr>
        <w:t>“REGISTRO CONTABLE</w:t>
      </w:r>
    </w:p>
    <w:p w:rsidR="00222473" w:rsidRDefault="002847E1">
      <w:pPr>
        <w:spacing w:before="120" w:after="120" w:line="276" w:lineRule="auto"/>
        <w:ind w:left="860"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Asiento que se realiza en los libros de contabilidad de las actividades relacionadas con el ingreso y egresos de un ente económico.” (Sic)</w:t>
      </w:r>
    </w:p>
    <w:p w:rsidR="00222473" w:rsidRDefault="002847E1">
      <w:pPr>
        <w:spacing w:before="120" w:after="120" w:line="360" w:lineRule="auto"/>
        <w:ind w:right="900" w:firstLine="7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“REGISTRO PRESUPUESTARIO</w:t>
      </w:r>
    </w:p>
    <w:p w:rsidR="00222473" w:rsidRDefault="002847E1">
      <w:pPr>
        <w:spacing w:before="120" w:after="120" w:line="276" w:lineRule="auto"/>
        <w:ind w:left="700"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 (Sic)</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otra parte, se establece que el sistema de contabilidad sobre base acumulativa total se sustentará en los principios de contabilidad gubernamental.</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Correlativo a lo anterior, es preciso referir una definición de </w:t>
      </w:r>
      <w:r>
        <w:rPr>
          <w:rFonts w:ascii="Palatino Linotype" w:eastAsia="Palatino Linotype" w:hAnsi="Palatino Linotype" w:cs="Palatino Linotype"/>
          <w:i/>
        </w:rPr>
        <w:t>póliza contable</w:t>
      </w:r>
      <w:r>
        <w:rPr>
          <w:rFonts w:ascii="Palatino Linotype" w:eastAsia="Palatino Linotype" w:hAnsi="Palatino Linotype" w:cs="Palatino Linotype"/>
        </w:rPr>
        <w:t>, la cual, primeramente, no está definida en el Código Financiero del Estado de México y Municipios; no obstante, el ya mencionado Glosario la definen como:</w:t>
      </w:r>
    </w:p>
    <w:p w:rsidR="00222473" w:rsidRDefault="002847E1">
      <w:pPr>
        <w:spacing w:before="120" w:after="120" w:line="276" w:lineRule="auto"/>
        <w:ind w:left="860"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PÓLIZA CONTABLE</w:t>
      </w:r>
    </w:p>
    <w:p w:rsidR="00222473" w:rsidRDefault="002847E1">
      <w:pPr>
        <w:spacing w:before="120" w:after="120" w:line="276" w:lineRule="auto"/>
        <w:ind w:left="860"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Documento en el cual se asientan en forma individual todas y cada una de las operaciones desarrolladas por una institución, así como la información necesaria para la identificación de dichas operaciones.” (</w:t>
      </w:r>
      <w:proofErr w:type="gramStart"/>
      <w:r>
        <w:rPr>
          <w:rFonts w:ascii="Palatino Linotype" w:eastAsia="Palatino Linotype" w:hAnsi="Palatino Linotype" w:cs="Palatino Linotype"/>
          <w:i/>
          <w:sz w:val="22"/>
          <w:szCs w:val="22"/>
        </w:rPr>
        <w:t>sic</w:t>
      </w:r>
      <w:proofErr w:type="gramEnd"/>
      <w:r>
        <w:rPr>
          <w:rFonts w:ascii="Palatino Linotype" w:eastAsia="Palatino Linotype" w:hAnsi="Palatino Linotype" w:cs="Palatino Linotype"/>
          <w:i/>
          <w:sz w:val="22"/>
          <w:szCs w:val="22"/>
        </w:rPr>
        <w:t>)</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se advierte que la </w:t>
      </w:r>
      <w:r>
        <w:rPr>
          <w:rFonts w:ascii="Palatino Linotype" w:eastAsia="Palatino Linotype" w:hAnsi="Palatino Linotype" w:cs="Palatino Linotype"/>
          <w:i/>
        </w:rPr>
        <w:t>póliza contable</w:t>
      </w:r>
      <w:r>
        <w:rPr>
          <w:rFonts w:ascii="Palatino Linotype" w:eastAsia="Palatino Linotype" w:hAnsi="Palatino Linotype" w:cs="Palatino Linotype"/>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existen diversos tipos de pólizas contables de acuerdo a las operaciones realizadas, dentro de las cuales, encontramos las llamadas </w:t>
      </w:r>
      <w:r>
        <w:rPr>
          <w:rFonts w:ascii="Palatino Linotype" w:eastAsia="Palatino Linotype" w:hAnsi="Palatino Linotype" w:cs="Palatino Linotype"/>
          <w:i/>
        </w:rPr>
        <w:t>pólizas de egresos</w:t>
      </w:r>
      <w:r>
        <w:rPr>
          <w:rFonts w:ascii="Palatino Linotype" w:eastAsia="Palatino Linotype" w:hAnsi="Palatino Linotype" w:cs="Palatino Linotype"/>
        </w:rPr>
        <w:t xml:space="preserve">, son aquellas en las cuales se anotan diariamente las operaciones que representan gastos, es decir, salidas de dinero para el Sujeto Obligado, las que </w:t>
      </w:r>
      <w:r>
        <w:rPr>
          <w:rFonts w:ascii="Palatino Linotype" w:eastAsia="Palatino Linotype" w:hAnsi="Palatino Linotype" w:cs="Palatino Linotype"/>
        </w:rPr>
        <w:lastRenderedPageBreak/>
        <w:t>además, deben encontrarse acompañadas de las documentales que sirven de soporte de dicho movimiento.</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todo registro contable y presupuestal deberá estar soportado con los documentos comprobatorios originales, como lo son las facturas, los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Así, se puede advertir que de la información requerida, los documentos que pueden satisfacer el requerimiento del particular serían las facturas y pólizas de cheque que se hayan pagado. </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si bien el Tesorero señaló que </w:t>
      </w:r>
      <w:r>
        <w:rPr>
          <w:rFonts w:ascii="Palatino Linotype" w:eastAsia="Palatino Linotype" w:hAnsi="Palatino Linotype" w:cs="Palatino Linotype"/>
          <w:i/>
          <w:color w:val="000000"/>
        </w:rPr>
        <w:t>“…esa información no corresponde a la Tesorería Municipal, ya que el encargado de coordinar la aprobación de ese festejo es el Cabildo Municipal…” (Sic)</w:t>
      </w:r>
      <w:r>
        <w:rPr>
          <w:rFonts w:ascii="Palatino Linotype" w:eastAsia="Palatino Linotype" w:hAnsi="Palatino Linotype" w:cs="Palatino Linotype"/>
        </w:rPr>
        <w:t xml:space="preserve">, de conformidad con los artículos 93 y 95 fracciones I, V y VI de la Ley Orgánica Municipal del Estado de México, que citan lo siguiente: </w:t>
      </w:r>
    </w:p>
    <w:p w:rsidR="00222473" w:rsidRDefault="00222473">
      <w:pPr>
        <w:spacing w:line="360" w:lineRule="auto"/>
        <w:jc w:val="both"/>
        <w:rPr>
          <w:rFonts w:ascii="Palatino Linotype" w:eastAsia="Palatino Linotype" w:hAnsi="Palatino Linotype" w:cs="Palatino Linotype"/>
          <w:sz w:val="14"/>
          <w:szCs w:val="14"/>
        </w:rPr>
      </w:pPr>
    </w:p>
    <w:p w:rsidR="00222473" w:rsidRDefault="002847E1">
      <w:pPr>
        <w:ind w:left="850"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93.-</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 tesorería municipal es el órgano encargado </w:t>
      </w:r>
      <w:r>
        <w:rPr>
          <w:rFonts w:ascii="Palatino Linotype" w:eastAsia="Palatino Linotype" w:hAnsi="Palatino Linotype" w:cs="Palatino Linotype"/>
          <w:i/>
          <w:sz w:val="22"/>
          <w:szCs w:val="22"/>
        </w:rPr>
        <w:t xml:space="preserve">de la recaudación de los ingresos municipales y responsable </w:t>
      </w:r>
      <w:r>
        <w:rPr>
          <w:rFonts w:ascii="Palatino Linotype" w:eastAsia="Palatino Linotype" w:hAnsi="Palatino Linotype" w:cs="Palatino Linotype"/>
          <w:b/>
          <w:i/>
          <w:sz w:val="22"/>
          <w:szCs w:val="22"/>
        </w:rPr>
        <w:t>de realizar las erogaciones que haga el ayuntamiento.</w:t>
      </w:r>
    </w:p>
    <w:p w:rsidR="00222473" w:rsidRDefault="00222473">
      <w:pPr>
        <w:ind w:left="850" w:right="901"/>
        <w:jc w:val="both"/>
        <w:rPr>
          <w:rFonts w:ascii="Palatino Linotype" w:eastAsia="Palatino Linotype" w:hAnsi="Palatino Linotype" w:cs="Palatino Linotype"/>
          <w:b/>
          <w:i/>
          <w:sz w:val="22"/>
          <w:szCs w:val="22"/>
        </w:rPr>
      </w:pPr>
    </w:p>
    <w:p w:rsidR="00222473" w:rsidRDefault="002847E1">
      <w:pPr>
        <w:ind w:left="850"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95.- Son atribuciones del tesorero municipal:</w:t>
      </w:r>
    </w:p>
    <w:p w:rsidR="00222473" w:rsidRDefault="00222473">
      <w:pPr>
        <w:ind w:left="850" w:right="901"/>
        <w:jc w:val="both"/>
        <w:rPr>
          <w:rFonts w:ascii="Palatino Linotype" w:eastAsia="Palatino Linotype" w:hAnsi="Palatino Linotype" w:cs="Palatino Linotype"/>
          <w:b/>
          <w:i/>
          <w:sz w:val="22"/>
          <w:szCs w:val="22"/>
        </w:rPr>
      </w:pPr>
    </w:p>
    <w:p w:rsidR="00222473" w:rsidRDefault="002847E1">
      <w:pPr>
        <w:ind w:left="850"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Administrar la hacienda pública municipal, de conformidad con las disposiciones legales aplicables;</w:t>
      </w:r>
    </w:p>
    <w:p w:rsidR="00222473" w:rsidRDefault="002847E1">
      <w:pPr>
        <w:ind w:left="720" w:right="901"/>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w:t>
      </w:r>
    </w:p>
    <w:p w:rsidR="00222473" w:rsidRDefault="002847E1">
      <w:pPr>
        <w:ind w:left="850"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V. Proporcionar oportunamente al ayuntamiento todos los datos o informes que sean necesarios para la formulación del Presupuesto de Egresos Municipales, vigilando que se ajuste a las disposiciones de esta Ley y otros ordenamientos aplicables;</w:t>
      </w:r>
    </w:p>
    <w:p w:rsidR="00222473" w:rsidRDefault="00222473">
      <w:pPr>
        <w:ind w:left="850" w:right="901"/>
        <w:jc w:val="both"/>
        <w:rPr>
          <w:rFonts w:ascii="Palatino Linotype" w:eastAsia="Palatino Linotype" w:hAnsi="Palatino Linotype" w:cs="Palatino Linotype"/>
          <w:b/>
          <w:i/>
          <w:sz w:val="22"/>
          <w:szCs w:val="22"/>
        </w:rPr>
      </w:pPr>
    </w:p>
    <w:p w:rsidR="00222473" w:rsidRDefault="002847E1">
      <w:pPr>
        <w:ind w:left="850"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 Llevar los registros contables, financieros y administrativos de los ingresos, egresos, e inventarios.</w:t>
      </w:r>
    </w:p>
    <w:p w:rsidR="00222473" w:rsidRDefault="002847E1">
      <w:pPr>
        <w:ind w:left="850"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222473" w:rsidRDefault="00222473">
      <w:pPr>
        <w:ind w:left="850" w:right="901"/>
        <w:jc w:val="both"/>
        <w:rPr>
          <w:rFonts w:ascii="Palatino Linotype" w:eastAsia="Palatino Linotype" w:hAnsi="Palatino Linotype" w:cs="Palatino Linotype"/>
          <w:i/>
          <w:sz w:val="22"/>
          <w:szCs w:val="22"/>
        </w:rPr>
      </w:pPr>
    </w:p>
    <w:p w:rsidR="00222473" w:rsidRDefault="002847E1">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222473" w:rsidRDefault="00222473">
      <w:pPr>
        <w:spacing w:line="360" w:lineRule="auto"/>
        <w:jc w:val="both"/>
        <w:rPr>
          <w:rFonts w:ascii="Palatino Linotype" w:eastAsia="Palatino Linotype" w:hAnsi="Palatino Linotype" w:cs="Palatino Linotype"/>
        </w:rPr>
      </w:pPr>
    </w:p>
    <w:p w:rsidR="00222473" w:rsidRDefault="002847E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Cabe precisar, que de las documentales remitidas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advierte que los contratos de adquisición de los bienes muebles se celebraron en el año dos mil veinte, por lo que, es posible que los pagos se hayan realizado en el año dos mil veintiuno, es así que, la </w:t>
      </w:r>
      <w:r>
        <w:rPr>
          <w:rFonts w:ascii="Palatino Linotype" w:eastAsia="Palatino Linotype" w:hAnsi="Palatino Linotype" w:cs="Palatino Linotype"/>
          <w:b/>
        </w:rPr>
        <w:t xml:space="preserve">Ley Orgánica Municipal del Estado de México, </w:t>
      </w:r>
      <w:r>
        <w:rPr>
          <w:rFonts w:ascii="Palatino Linotype" w:eastAsia="Palatino Linotype" w:hAnsi="Palatino Linotype" w:cs="Palatino Linotype"/>
        </w:rPr>
        <w:t xml:space="preserve">en sus artículos 93 y 95 establecen: </w:t>
      </w:r>
    </w:p>
    <w:p w:rsidR="00222473" w:rsidRDefault="00222473">
      <w:pPr>
        <w:spacing w:line="360" w:lineRule="auto"/>
        <w:jc w:val="both"/>
        <w:rPr>
          <w:rFonts w:ascii="Palatino Linotype" w:eastAsia="Palatino Linotype" w:hAnsi="Palatino Linotype" w:cs="Palatino Linotype"/>
        </w:rPr>
      </w:pPr>
    </w:p>
    <w:p w:rsidR="00222473" w:rsidRDefault="002847E1">
      <w:pPr>
        <w:spacing w:line="276" w:lineRule="auto"/>
        <w:ind w:left="851" w:right="616"/>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rPr>
        <w:t>“Artículo 93</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La tesorería municipal</w:t>
      </w:r>
      <w:r>
        <w:rPr>
          <w:rFonts w:ascii="Palatino Linotype" w:eastAsia="Palatino Linotype" w:hAnsi="Palatino Linotype" w:cs="Palatino Linotype"/>
          <w:i/>
          <w:sz w:val="22"/>
          <w:szCs w:val="22"/>
        </w:rPr>
        <w:t xml:space="preserve"> es el órgano encargado de la recaudación de los ingresos municipales y responsable de </w:t>
      </w:r>
      <w:r>
        <w:rPr>
          <w:rFonts w:ascii="Palatino Linotype" w:eastAsia="Palatino Linotype" w:hAnsi="Palatino Linotype" w:cs="Palatino Linotype"/>
          <w:b/>
          <w:i/>
          <w:sz w:val="22"/>
          <w:szCs w:val="22"/>
          <w:u w:val="single"/>
        </w:rPr>
        <w:t>realizar las erogaciones que haga el ayuntamiento.”</w:t>
      </w:r>
    </w:p>
    <w:p w:rsidR="00222473" w:rsidRDefault="00222473">
      <w:pPr>
        <w:spacing w:line="276" w:lineRule="auto"/>
        <w:ind w:left="851" w:right="616"/>
        <w:jc w:val="both"/>
        <w:rPr>
          <w:rFonts w:ascii="Palatino Linotype" w:eastAsia="Palatino Linotype" w:hAnsi="Palatino Linotype" w:cs="Palatino Linotype"/>
          <w:b/>
          <w:i/>
          <w:sz w:val="22"/>
          <w:szCs w:val="22"/>
          <w:u w:val="single"/>
        </w:rPr>
      </w:pPr>
    </w:p>
    <w:p w:rsidR="00222473" w:rsidRDefault="002847E1">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95.- Son atribuciones del </w:t>
      </w:r>
      <w:r>
        <w:rPr>
          <w:rFonts w:ascii="Palatino Linotype" w:eastAsia="Palatino Linotype" w:hAnsi="Palatino Linotype" w:cs="Palatino Linotype"/>
          <w:b/>
          <w:i/>
          <w:sz w:val="22"/>
          <w:szCs w:val="22"/>
        </w:rPr>
        <w:t>tesorero municipal</w:t>
      </w:r>
      <w:r>
        <w:rPr>
          <w:rFonts w:ascii="Palatino Linotype" w:eastAsia="Palatino Linotype" w:hAnsi="Palatino Linotype" w:cs="Palatino Linotype"/>
          <w:i/>
          <w:sz w:val="22"/>
          <w:szCs w:val="22"/>
        </w:rPr>
        <w:t xml:space="preserve">: </w:t>
      </w:r>
    </w:p>
    <w:p w:rsidR="00222473" w:rsidRDefault="002847E1">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w:t>
      </w:r>
      <w:r>
        <w:rPr>
          <w:rFonts w:ascii="Palatino Linotype" w:eastAsia="Palatino Linotype" w:hAnsi="Palatino Linotype" w:cs="Palatino Linotype"/>
          <w:b/>
          <w:i/>
          <w:sz w:val="22"/>
          <w:szCs w:val="22"/>
          <w:u w:val="single"/>
        </w:rPr>
        <w:t>Administrar la hacienda pública municipal</w:t>
      </w:r>
      <w:r>
        <w:rPr>
          <w:rFonts w:ascii="Palatino Linotype" w:eastAsia="Palatino Linotype" w:hAnsi="Palatino Linotype" w:cs="Palatino Linotype"/>
          <w:i/>
          <w:sz w:val="22"/>
          <w:szCs w:val="22"/>
        </w:rPr>
        <w:t>, de conformidad con las disposiciones legales aplicables;</w:t>
      </w:r>
    </w:p>
    <w:p w:rsidR="00222473" w:rsidRDefault="002847E1">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22473" w:rsidRDefault="002847E1">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w:t>
      </w:r>
      <w:r>
        <w:rPr>
          <w:rFonts w:ascii="Palatino Linotype" w:eastAsia="Palatino Linotype" w:hAnsi="Palatino Linotype" w:cs="Palatino Linotype"/>
          <w:b/>
          <w:i/>
          <w:sz w:val="22"/>
          <w:szCs w:val="22"/>
          <w:u w:val="single"/>
        </w:rPr>
        <w:t>Llevar los registros contables, financieros y administrativos de los ingresos, egresos, e inventarios</w:t>
      </w:r>
      <w:r>
        <w:rPr>
          <w:rFonts w:ascii="Palatino Linotype" w:eastAsia="Palatino Linotype" w:hAnsi="Palatino Linotype" w:cs="Palatino Linotype"/>
          <w:i/>
          <w:sz w:val="22"/>
          <w:szCs w:val="22"/>
        </w:rPr>
        <w:t>;</w:t>
      </w:r>
    </w:p>
    <w:p w:rsidR="00222473" w:rsidRDefault="00222473">
      <w:pPr>
        <w:spacing w:line="276" w:lineRule="auto"/>
        <w:ind w:left="851" w:right="616"/>
        <w:jc w:val="both"/>
        <w:rPr>
          <w:rFonts w:ascii="Palatino Linotype" w:eastAsia="Palatino Linotype" w:hAnsi="Palatino Linotype" w:cs="Palatino Linotype"/>
          <w:b/>
          <w:i/>
          <w:sz w:val="22"/>
          <w:szCs w:val="22"/>
          <w:u w:val="single"/>
        </w:rPr>
      </w:pPr>
    </w:p>
    <w:p w:rsidR="00222473" w:rsidRDefault="002847E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Por otro lado, los Lineamientos de Control Financiero y Administrativo para las Entidades Fiscalizables Municipales del Estado de México, en sus numerales 4, numeral 2 y 11 inciso d), establecen en su literalidad:</w:t>
      </w:r>
    </w:p>
    <w:p w:rsidR="00222473" w:rsidRDefault="002847E1">
      <w:pPr>
        <w:widowControl w:val="0"/>
        <w:tabs>
          <w:tab w:val="left" w:pos="822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4.</w:t>
      </w:r>
      <w:r>
        <w:rPr>
          <w:rFonts w:ascii="Palatino Linotype" w:eastAsia="Palatino Linotype" w:hAnsi="Palatino Linotype" w:cs="Palatino Linotype"/>
          <w:i/>
          <w:sz w:val="22"/>
          <w:szCs w:val="22"/>
        </w:rPr>
        <w:t xml:space="preserve"> Son sujetos de los presentes Lineamientos:</w:t>
      </w:r>
    </w:p>
    <w:p w:rsidR="00222473" w:rsidRDefault="002847E1">
      <w:pPr>
        <w:widowControl w:val="0"/>
        <w:tabs>
          <w:tab w:val="left" w:pos="8222"/>
        </w:tabs>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2. En los Organismos Operadores de Agua</w:t>
      </w:r>
      <w:r>
        <w:rPr>
          <w:rFonts w:ascii="Palatino Linotype" w:eastAsia="Palatino Linotype" w:hAnsi="Palatino Linotype" w:cs="Palatino Linotype"/>
          <w:b/>
          <w:i/>
          <w:sz w:val="22"/>
          <w:szCs w:val="22"/>
        </w:rPr>
        <w:t xml:space="preserve">: </w:t>
      </w:r>
    </w:p>
    <w:p w:rsidR="00222473" w:rsidRDefault="002847E1">
      <w:pPr>
        <w:widowControl w:val="0"/>
        <w:tabs>
          <w:tab w:val="left" w:pos="822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2.1. Director General; </w:t>
      </w:r>
    </w:p>
    <w:p w:rsidR="00222473" w:rsidRDefault="002847E1">
      <w:pPr>
        <w:widowControl w:val="0"/>
        <w:tabs>
          <w:tab w:val="left" w:pos="8222"/>
        </w:tabs>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2.2. Director de Finanzas o tesorero o sus equivalentes; </w:t>
      </w:r>
    </w:p>
    <w:p w:rsidR="00222473" w:rsidRDefault="002847E1">
      <w:pPr>
        <w:widowControl w:val="0"/>
        <w:tabs>
          <w:tab w:val="left" w:pos="822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2.3. Titular del órgano de control interno. </w:t>
      </w:r>
    </w:p>
    <w:p w:rsidR="00222473" w:rsidRDefault="00222473">
      <w:pPr>
        <w:widowControl w:val="0"/>
        <w:tabs>
          <w:tab w:val="left" w:pos="8222"/>
        </w:tabs>
        <w:ind w:left="851" w:right="851"/>
        <w:jc w:val="both"/>
        <w:rPr>
          <w:rFonts w:ascii="Palatino Linotype" w:eastAsia="Palatino Linotype" w:hAnsi="Palatino Linotype" w:cs="Palatino Linotype"/>
          <w:i/>
          <w:sz w:val="22"/>
          <w:szCs w:val="22"/>
        </w:rPr>
      </w:pPr>
    </w:p>
    <w:p w:rsidR="00222473" w:rsidRDefault="002847E1">
      <w:pPr>
        <w:widowControl w:val="0"/>
        <w:tabs>
          <w:tab w:val="left" w:pos="822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11</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servidores públicos municipales, tendrán en el ámbito de su competencia, respecto de los presentes Lineamientos, las obligaciones siguientes</w:t>
      </w:r>
      <w:r>
        <w:rPr>
          <w:rFonts w:ascii="Palatino Linotype" w:eastAsia="Palatino Linotype" w:hAnsi="Palatino Linotype" w:cs="Palatino Linotype"/>
          <w:i/>
          <w:sz w:val="22"/>
          <w:szCs w:val="22"/>
        </w:rPr>
        <w:t>:</w:t>
      </w:r>
    </w:p>
    <w:p w:rsidR="00222473" w:rsidRDefault="002847E1">
      <w:pPr>
        <w:widowControl w:val="0"/>
        <w:tabs>
          <w:tab w:val="left" w:pos="822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22473" w:rsidRDefault="002847E1">
      <w:pPr>
        <w:widowControl w:val="0"/>
        <w:tabs>
          <w:tab w:val="left" w:pos="822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w:t>
      </w:r>
      <w:r>
        <w:rPr>
          <w:rFonts w:ascii="Palatino Linotype" w:eastAsia="Palatino Linotype" w:hAnsi="Palatino Linotype" w:cs="Palatino Linotype"/>
          <w:i/>
          <w:sz w:val="22"/>
          <w:szCs w:val="22"/>
        </w:rPr>
        <w:t xml:space="preserve"> El tesorero o equivalente debe verificar </w:t>
      </w:r>
      <w:r>
        <w:rPr>
          <w:rFonts w:ascii="Palatino Linotype" w:eastAsia="Palatino Linotype" w:hAnsi="Palatino Linotype" w:cs="Palatino Linotype"/>
          <w:b/>
          <w:i/>
          <w:sz w:val="22"/>
          <w:szCs w:val="22"/>
        </w:rPr>
        <w:t xml:space="preserve">que todas las pólizas de registro contable y presupuestal, </w:t>
      </w:r>
      <w:r>
        <w:rPr>
          <w:rFonts w:ascii="Palatino Linotype" w:eastAsia="Palatino Linotype" w:hAnsi="Palatino Linotype" w:cs="Palatino Linotype"/>
          <w:i/>
          <w:sz w:val="22"/>
          <w:szCs w:val="22"/>
        </w:rPr>
        <w:t>se encuentren firmadas por quién las elaboró, revisó y autorizó</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las cuáles deben estar </w:t>
      </w:r>
      <w:r>
        <w:rPr>
          <w:rFonts w:ascii="Palatino Linotype" w:eastAsia="Palatino Linotype" w:hAnsi="Palatino Linotype" w:cs="Palatino Linotype"/>
          <w:b/>
          <w:i/>
          <w:sz w:val="22"/>
          <w:szCs w:val="22"/>
        </w:rPr>
        <w:t>soportadas con la documentación original, justificativa, comprobatoria, suficiente, competente, pertinente y relevante</w:t>
      </w:r>
      <w:r>
        <w:rPr>
          <w:rFonts w:ascii="Palatino Linotype" w:eastAsia="Palatino Linotype" w:hAnsi="Palatino Linotype" w:cs="Palatino Linotype"/>
          <w:i/>
          <w:sz w:val="22"/>
          <w:szCs w:val="22"/>
        </w:rPr>
        <w:t xml:space="preserve">, las que deberán </w:t>
      </w:r>
      <w:r>
        <w:rPr>
          <w:rFonts w:ascii="Palatino Linotype" w:eastAsia="Palatino Linotype" w:hAnsi="Palatino Linotype" w:cs="Palatino Linotype"/>
          <w:b/>
          <w:i/>
          <w:sz w:val="22"/>
          <w:szCs w:val="22"/>
          <w:u w:val="single"/>
        </w:rPr>
        <w:t>permanecer en custodia y conservación de la tesorería, por un término de cinco años contados a partir del ejercicio presupuestal siguiente</w:t>
      </w:r>
      <w:r>
        <w:rPr>
          <w:rFonts w:ascii="Palatino Linotype" w:eastAsia="Palatino Linotype" w:hAnsi="Palatino Linotype" w:cs="Palatino Linotype"/>
          <w:i/>
          <w:sz w:val="22"/>
          <w:szCs w:val="22"/>
        </w:rPr>
        <w:t xml:space="preserve"> al que corresponda; adicionalmente, todos los documentos deben contar con la leyenda de "OPERADO" para las comprobaciones de los fondos de aportaciones federales y el sello de "PAGADO" para los demás recursos.” (Sic)</w:t>
      </w:r>
    </w:p>
    <w:p w:rsidR="00222473" w:rsidRDefault="00222473">
      <w:pPr>
        <w:widowControl w:val="0"/>
        <w:tabs>
          <w:tab w:val="left" w:pos="8222"/>
        </w:tabs>
        <w:ind w:left="851" w:right="851"/>
        <w:jc w:val="both"/>
        <w:rPr>
          <w:rFonts w:ascii="Palatino Linotype" w:eastAsia="Palatino Linotype" w:hAnsi="Palatino Linotype" w:cs="Palatino Linotype"/>
          <w:i/>
          <w:sz w:val="22"/>
          <w:szCs w:val="22"/>
        </w:rPr>
      </w:pPr>
    </w:p>
    <w:p w:rsidR="00222473" w:rsidRDefault="002847E1">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De lo anterior, es importante destacar que </w:t>
      </w:r>
      <w:r>
        <w:rPr>
          <w:rFonts w:ascii="Palatino Linotype" w:eastAsia="Palatino Linotype" w:hAnsi="Palatino Linotype" w:cs="Palatino Linotype"/>
          <w:color w:val="000000"/>
        </w:rPr>
        <w:t xml:space="preserve">todo registro contable y presupuestal deberá estar soportado con los </w:t>
      </w:r>
      <w:r>
        <w:rPr>
          <w:rFonts w:ascii="Palatino Linotype" w:eastAsia="Palatino Linotype" w:hAnsi="Palatino Linotype" w:cs="Palatino Linotype"/>
          <w:b/>
          <w:color w:val="000000"/>
          <w:u w:val="single"/>
        </w:rPr>
        <w:t xml:space="preserve">documentos comprobatorios originales, </w:t>
      </w:r>
      <w:r>
        <w:rPr>
          <w:rFonts w:ascii="Palatino Linotype" w:eastAsia="Palatino Linotype" w:hAnsi="Palatino Linotype" w:cs="Palatino Linotype"/>
          <w:color w:val="000000"/>
        </w:rPr>
        <w:t>entre los cuales se encuentran las</w:t>
      </w:r>
      <w:r>
        <w:rPr>
          <w:rFonts w:ascii="Palatino Linotype" w:eastAsia="Palatino Linotype" w:hAnsi="Palatino Linotype" w:cs="Palatino Linotype"/>
          <w:b/>
          <w:color w:val="000000"/>
          <w:u w:val="single"/>
        </w:rPr>
        <w:t xml:space="preserve"> facturas</w:t>
      </w:r>
      <w:r>
        <w:rPr>
          <w:rFonts w:ascii="Palatino Linotype" w:eastAsia="Palatino Linotype" w:hAnsi="Palatino Linotype" w:cs="Palatino Linotype"/>
          <w:color w:val="000000"/>
        </w:rPr>
        <w:t>, los que deberán permanecer en custodia y conservación de la Tesorería Municipal; p</w:t>
      </w:r>
      <w:r>
        <w:rPr>
          <w:rFonts w:ascii="Palatino Linotype" w:eastAsia="Palatino Linotype" w:hAnsi="Palatino Linotype" w:cs="Palatino Linotype"/>
          <w:b/>
          <w:color w:val="000000"/>
          <w:u w:val="single"/>
        </w:rPr>
        <w:t>or un término de cinco años contados a partir del ejercicio presupuestal siguiente</w:t>
      </w:r>
      <w:r>
        <w:rPr>
          <w:rFonts w:ascii="Palatino Linotype" w:eastAsia="Palatino Linotype" w:hAnsi="Palatino Linotype" w:cs="Palatino Linotype"/>
          <w:color w:val="000000"/>
        </w:rPr>
        <w:t xml:space="preserve"> al que corresponda.</w:t>
      </w:r>
    </w:p>
    <w:p w:rsidR="00222473" w:rsidRDefault="00222473">
      <w:pPr>
        <w:spacing w:line="360" w:lineRule="auto"/>
        <w:jc w:val="both"/>
        <w:rPr>
          <w:rFonts w:ascii="Palatino Linotype" w:eastAsia="Palatino Linotype" w:hAnsi="Palatino Linotype" w:cs="Palatino Linotype"/>
        </w:rPr>
      </w:pPr>
    </w:p>
    <w:p w:rsidR="00222473" w:rsidRDefault="002847E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de las consideraciones previamente analizada, se concluye que la  </w:t>
      </w:r>
      <w:r>
        <w:rPr>
          <w:rFonts w:ascii="Palatino Linotype" w:eastAsia="Palatino Linotype" w:hAnsi="Palatino Linotype" w:cs="Palatino Linotype"/>
          <w:b/>
          <w:u w:val="single"/>
        </w:rPr>
        <w:t xml:space="preserve">Tesorería Municipal </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es el área competente que por la naturaleza de sus funciones, de contar con la documentación solicitada en este rubro; por consiguiente el Pleno de este Instituto determina dable ordenar previa búsqueda exhaustiva y razonable </w:t>
      </w:r>
      <w:r>
        <w:rPr>
          <w:rFonts w:ascii="Palatino Linotype" w:eastAsia="Palatino Linotype" w:hAnsi="Palatino Linotype" w:cs="Palatino Linotype"/>
        </w:rPr>
        <w:lastRenderedPageBreak/>
        <w:t xml:space="preserve">,la entrega,  de los comprobantes de pago relacionados con la adquisición del seis grúas, un tracto camión, nueve patrullas pick up y dos camionetas de reacción, de ser el caso en versión pública en términos del siguiente considerando. </w:t>
      </w:r>
    </w:p>
    <w:p w:rsidR="00222473" w:rsidRDefault="00222473">
      <w:pPr>
        <w:spacing w:line="360" w:lineRule="auto"/>
        <w:jc w:val="both"/>
        <w:rPr>
          <w:rFonts w:ascii="Palatino Linotype" w:eastAsia="Palatino Linotype" w:hAnsi="Palatino Linotype" w:cs="Palatino Linotype"/>
        </w:rPr>
      </w:pPr>
    </w:p>
    <w:p w:rsidR="00222473" w:rsidRDefault="002847E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cabe precisar que de los argumentos vertidos por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en informe justificado la enlace entre la Tesorería Municipal y la Unidad de Transparencia  se pronunció y manifestó que realizó una búsqueda en los archivos y no localizó la información solicitada; sin embargo, de los documentos enviado por la Dirección General de Administración se advierte que el Municipio celebró contratos para la adquisición de los bienes muebles aunado a que en los mismos se convino, la forma de pago, la cantidad y el plazo dentro del cual se debió remitir la documentación a la Tesorería Municipal para la erogación correspondiente. </w:t>
      </w:r>
    </w:p>
    <w:p w:rsidR="00222473" w:rsidRDefault="002847E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Una vez precisado lo anterior para el caso de que después de realizar y acreditar la búsqueda exhaustiva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no localice la documentación solicitada, deberá declarar a través de su Comité de Transparencia la inexistencia de los correos electrónicos, teniendo aplicación al respecto, el criterio de interpretación en el orden administrativo número 0004-11 emitido por este Instituto, cuyo contenido literal se señala enseguida:</w:t>
      </w:r>
    </w:p>
    <w:p w:rsidR="00222473" w:rsidRDefault="002847E1">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w:t>
      </w:r>
      <w:r>
        <w:rPr>
          <w:rFonts w:ascii="Palatino Linotype" w:eastAsia="Palatino Linotype" w:hAnsi="Palatino Linotype" w:cs="Palatino Linotype"/>
          <w:i/>
          <w:sz w:val="22"/>
          <w:szCs w:val="22"/>
        </w:rPr>
        <w:t>CRITERIO 0004-11</w:t>
      </w:r>
    </w:p>
    <w:p w:rsidR="00222473" w:rsidRDefault="002847E1">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INEXISTENCIA. DECLARATORIA DE LA. ALCANCES Y PROCEDIMIENTOS</w:t>
      </w:r>
      <w:r>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w:t>
      </w:r>
      <w:r>
        <w:rPr>
          <w:rFonts w:ascii="Palatino Linotype" w:eastAsia="Palatino Linotype" w:hAnsi="Palatino Linotype" w:cs="Palatino Linotype"/>
          <w:i/>
          <w:sz w:val="22"/>
          <w:szCs w:val="22"/>
        </w:rPr>
        <w:lastRenderedPageBreak/>
        <w:t>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222473" w:rsidRDefault="002847E1">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Bajo el entendido de que dicha búsqueda exhaustiva permitirá dos determinaciones:</w:t>
      </w:r>
    </w:p>
    <w:p w:rsidR="00222473" w:rsidRDefault="002847E1">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1ª) Que se localice la documentación que contenga la información solicitada y de ser así la información pueda entregarse al solicitante en la forma en que se encuentra disponible, o</w:t>
      </w:r>
    </w:p>
    <w:p w:rsidR="00222473" w:rsidRDefault="002847E1">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222473" w:rsidRDefault="002847E1">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222473" w:rsidRDefault="00222473">
      <w:pPr>
        <w:ind w:left="567" w:right="618"/>
        <w:jc w:val="both"/>
        <w:rPr>
          <w:rFonts w:ascii="Palatino Linotype" w:eastAsia="Palatino Linotype" w:hAnsi="Palatino Linotype" w:cs="Palatino Linotype"/>
          <w:i/>
          <w:sz w:val="22"/>
          <w:szCs w:val="22"/>
        </w:rPr>
      </w:pPr>
    </w:p>
    <w:p w:rsidR="00222473" w:rsidRDefault="002847E1">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Sujeto Obligado, en otras palabras la información se generó, administró o poseyó en el marco de sus atribuciones pero no la conserva por distintas razones como pudieran ser, destrucción o desaparición física, sustracción </w:t>
      </w:r>
      <w:r>
        <w:rPr>
          <w:rFonts w:ascii="Palatino Linotype" w:eastAsia="Palatino Linotype" w:hAnsi="Palatino Linotype" w:cs="Palatino Linotype"/>
        </w:rPr>
        <w:lastRenderedPageBreak/>
        <w:t>ilícita, baja documental o cualquier otra; o el segundo de los supuestos sería que el Sujeto Obligado debió de haber generado, administrado o poseído la información pero en incumplimiento a la norma no lo llevo a cabo. Tal como se lee del criterio que para mayor referencia se transcribe a continuación:</w:t>
      </w:r>
    </w:p>
    <w:p w:rsidR="00222473" w:rsidRDefault="00222473">
      <w:pPr>
        <w:spacing w:line="360" w:lineRule="auto"/>
        <w:ind w:right="49"/>
        <w:jc w:val="both"/>
        <w:rPr>
          <w:rFonts w:ascii="Palatino Linotype" w:eastAsia="Palatino Linotype" w:hAnsi="Palatino Linotype" w:cs="Palatino Linotype"/>
        </w:rPr>
      </w:pPr>
    </w:p>
    <w:p w:rsidR="00222473" w:rsidRDefault="002847E1">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“INEXISTENCIA, CONCEPTO DE, EN MATERIA DE TRANSPARENCIA.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222473" w:rsidRDefault="002847E1">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222473" w:rsidRDefault="002847E1">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En los casos en que por las atribuciones conferidas al Sujeto Obligado éste debió generar, administrar o poseer la información, pero en incumplimiento a la normatividad respectiva no llevó a cabo </w:t>
      </w:r>
      <w:proofErr w:type="gramStart"/>
      <w:r>
        <w:rPr>
          <w:rFonts w:ascii="Palatino Linotype" w:eastAsia="Palatino Linotype" w:hAnsi="Palatino Linotype" w:cs="Palatino Linotype"/>
          <w:i/>
          <w:sz w:val="22"/>
          <w:szCs w:val="22"/>
        </w:rPr>
        <w:t>ninguna</w:t>
      </w:r>
      <w:proofErr w:type="gramEnd"/>
      <w:r>
        <w:rPr>
          <w:rFonts w:ascii="Palatino Linotype" w:eastAsia="Palatino Linotype" w:hAnsi="Palatino Linotype" w:cs="Palatino Linotype"/>
          <w:i/>
          <w:sz w:val="22"/>
          <w:szCs w:val="22"/>
        </w:rPr>
        <w:t xml:space="preserve"> de esas acciones.</w:t>
      </w:r>
    </w:p>
    <w:p w:rsidR="00222473" w:rsidRDefault="002847E1">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222473" w:rsidRDefault="00222473">
      <w:pPr>
        <w:ind w:left="567" w:right="618"/>
        <w:jc w:val="both"/>
        <w:rPr>
          <w:rFonts w:ascii="Palatino Linotype" w:eastAsia="Palatino Linotype" w:hAnsi="Palatino Linotype" w:cs="Palatino Linotype"/>
          <w:i/>
        </w:rPr>
      </w:pPr>
    </w:p>
    <w:p w:rsidR="00222473" w:rsidRDefault="002847E1">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lo que al haberse estudiado que el Sujeto Obligado tiene la obligación de haber generar, resguardar y archivar el contenido de los correos electrónicos, en el caso de no localizarlos, podría ocurrir la inexistencia de la misma; el Sujeto Obligado deberá emitir la declaratoria de inexistencia correspondiente.</w:t>
      </w:r>
    </w:p>
    <w:p w:rsidR="00222473" w:rsidRDefault="00222473">
      <w:pPr>
        <w:spacing w:line="360" w:lineRule="auto"/>
        <w:ind w:right="49"/>
        <w:jc w:val="both"/>
        <w:rPr>
          <w:rFonts w:ascii="Palatino Linotype" w:eastAsia="Palatino Linotype" w:hAnsi="Palatino Linotype" w:cs="Palatino Linotype"/>
        </w:rPr>
      </w:pPr>
    </w:p>
    <w:p w:rsidR="00222473" w:rsidRDefault="002847E1">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Lo anterior, se ordena en términos de lo que señala el artículo 19, tercer párrafo, 49, fracciones II y XIII; 169 y 170 de la Ley de Transparencia y Acceso a la Información Pública del Estado de México y Municipios, que se leen como sigue:</w:t>
      </w:r>
    </w:p>
    <w:p w:rsidR="00222473" w:rsidRDefault="00222473">
      <w:pPr>
        <w:ind w:left="567" w:right="618"/>
        <w:jc w:val="both"/>
        <w:rPr>
          <w:rFonts w:ascii="Palatino Linotype" w:eastAsia="Palatino Linotype" w:hAnsi="Palatino Linotype" w:cs="Palatino Linotype"/>
          <w:i/>
        </w:rPr>
      </w:pPr>
    </w:p>
    <w:p w:rsidR="00222473" w:rsidRDefault="002847E1">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19</w:t>
      </w:r>
      <w:r>
        <w:rPr>
          <w:rFonts w:ascii="Palatino Linotype" w:eastAsia="Palatino Linotype" w:hAnsi="Palatino Linotype" w:cs="Palatino Linotype"/>
          <w:i/>
          <w:sz w:val="22"/>
          <w:szCs w:val="22"/>
        </w:rPr>
        <w:t>. (…)</w:t>
      </w:r>
    </w:p>
    <w:p w:rsidR="00222473" w:rsidRDefault="002847E1">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222473" w:rsidRDefault="002847E1">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Los Comités de Transparencia tendrán las siguientes atribuciones:</w:t>
      </w:r>
    </w:p>
    <w:p w:rsidR="00222473" w:rsidRDefault="002847E1">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rsidR="00222473" w:rsidRDefault="002847E1">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rsidR="00222473" w:rsidRDefault="002847E1">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169.</w:t>
      </w:r>
      <w:r>
        <w:rPr>
          <w:rFonts w:ascii="Palatino Linotype" w:eastAsia="Palatino Linotype" w:hAnsi="Palatino Linotype" w:cs="Palatino Linotype"/>
          <w:i/>
          <w:sz w:val="22"/>
          <w:szCs w:val="22"/>
        </w:rPr>
        <w:t xml:space="preserve"> Cuando la información no se encuentre en los archivos del sujeto obligado, el Comité de Transparencia:</w:t>
      </w:r>
    </w:p>
    <w:p w:rsidR="00222473" w:rsidRDefault="002847E1">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Analizará el caso y tomará las medidas necesarias para localizar la información;</w:t>
      </w:r>
    </w:p>
    <w:p w:rsidR="00222473" w:rsidRDefault="002847E1">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Expedirá una resolución que confirme la inexistencia del documento;</w:t>
      </w:r>
    </w:p>
    <w:p w:rsidR="00222473" w:rsidRDefault="002847E1">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222473" w:rsidRDefault="002847E1">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Notificará al órgano interno de control o equivalente del sujeto obligado quien, en su caso, deberá iniciar el procedimiento de responsabilidad administrativa que corresponda.</w:t>
      </w:r>
    </w:p>
    <w:p w:rsidR="00222473" w:rsidRDefault="002847E1">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rsidR="00222473" w:rsidRDefault="002847E1">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rsidR="00222473" w:rsidRDefault="002847E1">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170</w:t>
      </w:r>
      <w:r>
        <w:rPr>
          <w:rFonts w:ascii="Palatino Linotype" w:eastAsia="Palatino Linotype" w:hAnsi="Palatino Linotype" w:cs="Palatino Linotype"/>
          <w:i/>
          <w:sz w:val="22"/>
          <w:szCs w:val="22"/>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222473" w:rsidRDefault="00222473">
      <w:pPr>
        <w:ind w:left="567" w:right="618"/>
        <w:jc w:val="both"/>
        <w:rPr>
          <w:rFonts w:ascii="Palatino Linotype" w:eastAsia="Palatino Linotype" w:hAnsi="Palatino Linotype" w:cs="Palatino Linotype"/>
          <w:i/>
          <w:sz w:val="22"/>
          <w:szCs w:val="22"/>
        </w:rPr>
      </w:pPr>
    </w:p>
    <w:p w:rsidR="00222473" w:rsidRDefault="002847E1">
      <w:pPr>
        <w:spacing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Dicho de otro modo, en el caso de que derivado de la búsqueda exhaustiva de la información que se ordena, la misma no se localice, deberá procederse a la emisión </w:t>
      </w:r>
      <w:r>
        <w:rPr>
          <w:rFonts w:ascii="Palatino Linotype" w:eastAsia="Palatino Linotype" w:hAnsi="Palatino Linotype" w:cs="Palatino Linotype"/>
        </w:rPr>
        <w:lastRenderedPageBreak/>
        <w:t>de una resolución que confirme la inexistencia de la información, solicitada por parte del Comité de Transparencia del Sujeto Obligado,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recurrente de que aquella fue realizada así como de comprobar la inexistencia de la información.</w:t>
      </w:r>
    </w:p>
    <w:p w:rsidR="00222473" w:rsidRDefault="002847E1">
      <w:pPr>
        <w:pBdr>
          <w:top w:val="nil"/>
          <w:left w:val="nil"/>
          <w:bottom w:val="nil"/>
          <w:right w:val="nil"/>
          <w:between w:val="nil"/>
        </w:pBdr>
        <w:spacing w:before="280" w:after="280" w:line="360" w:lineRule="auto"/>
        <w:jc w:val="both"/>
        <w:rPr>
          <w:color w:val="000000"/>
        </w:rPr>
      </w:pPr>
      <w:r>
        <w:rPr>
          <w:rFonts w:ascii="Palatino Linotype" w:eastAsia="Palatino Linotype" w:hAnsi="Palatino Linotype" w:cs="Palatino Linotype"/>
          <w:b/>
          <w:color w:val="000000"/>
        </w:rPr>
        <w:t xml:space="preserve">Quinto. Versión Pública. </w:t>
      </w:r>
      <w:r>
        <w:rPr>
          <w:rFonts w:ascii="Palatino Linotype" w:eastAsia="Palatino Linotype" w:hAnsi="Palatino Linotype" w:cs="Palatino Linotype"/>
          <w:color w:val="000000"/>
        </w:rPr>
        <w:t>Finalmente, como ya se ha señalado, el </w:t>
      </w:r>
      <w:r>
        <w:rPr>
          <w:rFonts w:ascii="Palatino Linotype" w:eastAsia="Palatino Linotype" w:hAnsi="Palatino Linotype" w:cs="Palatino Linotype"/>
          <w:b/>
          <w:color w:val="000000"/>
        </w:rPr>
        <w:t>SUJETO OBLIGADO </w:t>
      </w:r>
      <w:r>
        <w:rPr>
          <w:rFonts w:ascii="Palatino Linotype" w:eastAsia="Palatino Linotype" w:hAnsi="Palatino Linotype" w:cs="Palatino Linotype"/>
          <w:color w:val="000000"/>
        </w:rPr>
        <w:t xml:space="preserve">debe satisfacer la solicitud de acceso a la información; sin embargo, por cuanto hace a la información que entregará a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para dar cumplimiento a la presente resolución, que contenga que contenga datos personales que deban ser clasificados como confidenciales y que deban ser protegidos,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hacer la elaboración de la versión pública de tales documentos a fin de satisfacer el derecho de acceso a la información pública de la parte recurrente sin menoscabo al derecho a la protección de los datos personales de terceros.</w:t>
      </w:r>
    </w:p>
    <w:p w:rsidR="00222473" w:rsidRDefault="002847E1">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Lo anterior, de conformidad a lo que señalan los artículos 3, fracciones IX, XX, XXXII, XLV; 6, 137 y 143 fracción I, de la Ley de Transparencia y Acceso a la Información Pública del Estado de México y Municipios vigente, que se leen como sigue:</w:t>
      </w:r>
    </w:p>
    <w:p w:rsidR="00222473" w:rsidRDefault="002847E1">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 “Artículo 3. Para los efectos de la presente Ley se entenderá por:</w:t>
      </w:r>
    </w:p>
    <w:p w:rsidR="00222473" w:rsidRDefault="002847E1">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lastRenderedPageBreak/>
        <w:t>IX. Datos personales:</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La información concerniente a una persona, identificada o identificable</w:t>
      </w:r>
      <w:r>
        <w:rPr>
          <w:rFonts w:ascii="Palatino Linotype" w:eastAsia="Palatino Linotype" w:hAnsi="Palatino Linotype" w:cs="Palatino Linotype"/>
          <w:i/>
          <w:color w:val="000000"/>
          <w:sz w:val="22"/>
          <w:szCs w:val="22"/>
        </w:rPr>
        <w:t xml:space="preserve"> según lo dispuesto por la Ley de Protección de Datos Personales del Estado de México;</w:t>
      </w:r>
    </w:p>
    <w:p w:rsidR="00222473" w:rsidRDefault="002847E1">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XX. Información clasificada:</w:t>
      </w:r>
      <w:r>
        <w:rPr>
          <w:rFonts w:ascii="Palatino Linotype" w:eastAsia="Palatino Linotype" w:hAnsi="Palatino Linotype" w:cs="Palatino Linotype"/>
          <w:i/>
          <w:color w:val="000000"/>
          <w:sz w:val="22"/>
          <w:szCs w:val="22"/>
        </w:rPr>
        <w:t xml:space="preserve"> Aquella considerada por la presente Ley como reservada o confidencial;</w:t>
      </w:r>
    </w:p>
    <w:p w:rsidR="00222473" w:rsidRDefault="002847E1">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XXXII. Protección de Datos Personales:</w:t>
      </w:r>
      <w:r>
        <w:rPr>
          <w:rFonts w:ascii="Palatino Linotype" w:eastAsia="Palatino Linotype" w:hAnsi="Palatino Linotype" w:cs="Palatino Linotype"/>
          <w:i/>
          <w:color w:val="000000"/>
          <w:sz w:val="22"/>
          <w:szCs w:val="22"/>
        </w:rPr>
        <w:t xml:space="preserve"> Derecho humano que tutela la privacidad de datos personales en poder de los sujetos obligados y sujetos particulares;</w:t>
      </w:r>
    </w:p>
    <w:p w:rsidR="00222473" w:rsidRDefault="002847E1">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XLV. Versión pública</w:t>
      </w:r>
      <w:r>
        <w:rPr>
          <w:rFonts w:ascii="Palatino Linotype" w:eastAsia="Palatino Linotype" w:hAnsi="Palatino Linotype" w:cs="Palatino Linotype"/>
          <w:i/>
          <w:color w:val="000000"/>
          <w:sz w:val="22"/>
          <w:szCs w:val="22"/>
        </w:rPr>
        <w:t>: Documento en el que se elimine, suprime o borra la información clasificada como reservada o confidencial para permitir su acceso.”</w:t>
      </w:r>
    </w:p>
    <w:p w:rsidR="00222473" w:rsidRDefault="00222473">
      <w:pPr>
        <w:spacing w:line="276" w:lineRule="auto"/>
      </w:pPr>
    </w:p>
    <w:p w:rsidR="00222473" w:rsidRDefault="002847E1">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“Artículo 6.</w:t>
      </w:r>
      <w:r>
        <w:rPr>
          <w:rFonts w:ascii="Palatino Linotype" w:eastAsia="Palatino Linotype" w:hAnsi="Palatino Linotype" w:cs="Palatino Linotype"/>
          <w:i/>
          <w:color w:val="000000"/>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222473" w:rsidRDefault="00222473">
      <w:pPr>
        <w:spacing w:line="276" w:lineRule="auto"/>
      </w:pPr>
    </w:p>
    <w:p w:rsidR="00222473" w:rsidRDefault="002847E1">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“Artículo 137.</w:t>
      </w:r>
      <w:r>
        <w:rPr>
          <w:rFonts w:ascii="Palatino Linotype" w:eastAsia="Palatino Linotype" w:hAnsi="Palatino Linotype" w:cs="Palatino Linotype"/>
          <w:i/>
          <w:color w:val="000000"/>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222473" w:rsidRDefault="00222473">
      <w:pPr>
        <w:spacing w:line="276" w:lineRule="auto"/>
      </w:pPr>
    </w:p>
    <w:p w:rsidR="00222473" w:rsidRDefault="002847E1">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“Artículo 143</w:t>
      </w:r>
      <w:r>
        <w:rPr>
          <w:rFonts w:ascii="Palatino Linotype" w:eastAsia="Palatino Linotype" w:hAnsi="Palatino Linotype" w:cs="Palatino Linotype"/>
          <w:i/>
          <w:color w:val="000000"/>
          <w:sz w:val="22"/>
          <w:szCs w:val="22"/>
        </w:rPr>
        <w:t>. Para los efectos de esta Ley se considera información confidencial, la clasificada como tal, de manera permanente, por su naturaleza, cuando:</w:t>
      </w:r>
    </w:p>
    <w:p w:rsidR="00222473" w:rsidRDefault="002847E1">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Se refiera a la información privada y los datos personales concernientes a una persona física o jurídico colectiva identificada o identificable</w:t>
      </w:r>
      <w:r>
        <w:rPr>
          <w:rFonts w:ascii="Palatino Linotype" w:eastAsia="Palatino Linotype" w:hAnsi="Palatino Linotype" w:cs="Palatino Linotype"/>
          <w:i/>
          <w:color w:val="000000"/>
          <w:sz w:val="22"/>
          <w:szCs w:val="22"/>
        </w:rPr>
        <w:t>…”</w:t>
      </w:r>
    </w:p>
    <w:p w:rsidR="00222473" w:rsidRDefault="002847E1">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lastRenderedPageBreak/>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con la Ley de Protección de Datos Personales en Posesión de Sujetos Obligados del Estado de México y Municipios.</w:t>
      </w:r>
    </w:p>
    <w:p w:rsidR="00222473" w:rsidRDefault="002847E1">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222473" w:rsidRDefault="002847E1">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la Clave </w:t>
      </w:r>
      <w:r>
        <w:rPr>
          <w:rFonts w:ascii="Palatino Linotype" w:eastAsia="Palatino Linotype" w:hAnsi="Palatino Linotype" w:cs="Palatino Linotype"/>
          <w:color w:val="000000"/>
        </w:rPr>
        <w:lastRenderedPageBreak/>
        <w:t>Única de Registro de Población (CURP), el número de credencial para votar, la clave de elector, los Códigos QR, el número de cuenta bancaria, que sean exclusivamente de particulares.</w:t>
      </w:r>
    </w:p>
    <w:p w:rsidR="00222473" w:rsidRDefault="002847E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Así, la </w:t>
      </w:r>
      <w:r>
        <w:rPr>
          <w:rFonts w:ascii="Palatino Linotype" w:eastAsia="Palatino Linotype" w:hAnsi="Palatino Linotype" w:cs="Palatino Linotype"/>
          <w:b/>
          <w:color w:val="000000"/>
        </w:rPr>
        <w:t xml:space="preserve">Clave Única de Registro de Población (CURP) </w:t>
      </w:r>
      <w:r>
        <w:rPr>
          <w:rFonts w:ascii="Palatino Linotype" w:eastAsia="Palatino Linotype" w:hAnsi="Palatino Linotype" w:cs="Palatino Linotype"/>
          <w:color w:val="000000"/>
        </w:rPr>
        <w:t>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222473" w:rsidRDefault="002847E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Argumento que es compartido por el Instituto Nacional de Transparencia, Acceso a la Información y Protección de Datos Personales, INAI</w:t>
      </w:r>
      <w:r>
        <w:rPr>
          <w:rFonts w:ascii="Palatino Linotype" w:eastAsia="Palatino Linotype" w:hAnsi="Palatino Linotype" w:cs="Palatino Linotype"/>
          <w:b/>
          <w:color w:val="000000"/>
        </w:rPr>
        <w:t xml:space="preserve">, conforme al </w:t>
      </w:r>
      <w:r>
        <w:rPr>
          <w:rFonts w:ascii="Palatino Linotype" w:eastAsia="Palatino Linotype" w:hAnsi="Palatino Linotype" w:cs="Palatino Linotype"/>
          <w:color w:val="000000"/>
        </w:rPr>
        <w:t>criterio 18/17, el cual refiere: </w:t>
      </w:r>
    </w:p>
    <w:p w:rsidR="00222473" w:rsidRDefault="002847E1">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b/>
          <w:i/>
          <w:color w:val="000000"/>
          <w:sz w:val="22"/>
          <w:szCs w:val="22"/>
        </w:rPr>
        <w:t xml:space="preserve">“Clave Única de Registro de Población (CURP). </w:t>
      </w:r>
      <w:r>
        <w:rPr>
          <w:rFonts w:ascii="Palatino Linotype" w:eastAsia="Palatino Linotype" w:hAnsi="Palatino Linotype" w:cs="Palatino Linotype"/>
          <w:i/>
          <w:color w:val="000000"/>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222473" w:rsidRDefault="002847E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i/>
          <w:color w:val="000000"/>
        </w:rPr>
        <w:t>número de OCR</w:t>
      </w:r>
      <w:r>
        <w:rPr>
          <w:rFonts w:ascii="Palatino Linotype" w:eastAsia="Palatino Linotype" w:hAnsi="Palatino Linotype" w:cs="Palatino Linotype"/>
          <w:color w:val="000000"/>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w:t>
      </w:r>
      <w:r>
        <w:rPr>
          <w:rFonts w:ascii="Palatino Linotype" w:eastAsia="Palatino Linotype" w:hAnsi="Palatino Linotype" w:cs="Palatino Linotype"/>
          <w:color w:val="000000"/>
        </w:rPr>
        <w:lastRenderedPageBreak/>
        <w:t xml:space="preserve">de la información </w:t>
      </w:r>
      <w:proofErr w:type="spellStart"/>
      <w:r>
        <w:rPr>
          <w:rFonts w:ascii="Palatino Linotype" w:eastAsia="Palatino Linotype" w:hAnsi="Palatino Linotype" w:cs="Palatino Linotype"/>
          <w:color w:val="000000"/>
        </w:rPr>
        <w:t>geoelectoral</w:t>
      </w:r>
      <w:proofErr w:type="spellEnd"/>
      <w:r>
        <w:rPr>
          <w:rFonts w:ascii="Palatino Linotype" w:eastAsia="Palatino Linotype" w:hAnsi="Palatino Linotype" w:cs="Palatino Linotype"/>
          <w:color w:val="000000"/>
        </w:rPr>
        <w:t xml:space="preserve"> ahí contenida, por lo que es susceptible de resguardarse.</w:t>
      </w:r>
    </w:p>
    <w:p w:rsidR="00222473" w:rsidRDefault="002847E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La </w:t>
      </w:r>
      <w:r>
        <w:rPr>
          <w:rFonts w:ascii="Palatino Linotype" w:eastAsia="Palatino Linotype" w:hAnsi="Palatino Linotype" w:cs="Palatino Linotype"/>
          <w:b/>
          <w:i/>
          <w:color w:val="000000"/>
        </w:rPr>
        <w:t>clave de elector</w:t>
      </w:r>
      <w:r>
        <w:rPr>
          <w:rFonts w:ascii="Palatino Linotype" w:eastAsia="Palatino Linotype" w:hAnsi="Palatino Linotype" w:cs="Palatino Linotype"/>
          <w:color w:val="000000"/>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Pr>
          <w:rFonts w:ascii="Palatino Linotype" w:eastAsia="Palatino Linotype" w:hAnsi="Palatino Linotype" w:cs="Palatino Linotype"/>
          <w:color w:val="000000"/>
        </w:rPr>
        <w:t>homoclave</w:t>
      </w:r>
      <w:proofErr w:type="spellEnd"/>
      <w:r>
        <w:rPr>
          <w:rFonts w:ascii="Palatino Linotype" w:eastAsia="Palatino Linotype" w:hAnsi="Palatino Linotype" w:cs="Palatino Linotype"/>
          <w:color w:val="000000"/>
        </w:rPr>
        <w:t xml:space="preserve"> que distingue a su titular de cualquier otro homónimo, por lo tanto, se trata de un dato personal que debe ser protegido.</w:t>
      </w:r>
    </w:p>
    <w:p w:rsidR="00222473" w:rsidRDefault="002847E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Los </w:t>
      </w:r>
      <w:r>
        <w:rPr>
          <w:rFonts w:ascii="Palatino Linotype" w:eastAsia="Palatino Linotype" w:hAnsi="Palatino Linotype" w:cs="Palatino Linotype"/>
          <w:b/>
          <w:color w:val="000000"/>
        </w:rPr>
        <w:t>códigos bidimensionales</w:t>
      </w:r>
      <w:r>
        <w:rPr>
          <w:rFonts w:ascii="Palatino Linotype" w:eastAsia="Palatino Linotype" w:hAnsi="Palatino Linotype" w:cs="Palatino Linotype"/>
          <w:color w:val="000000"/>
        </w:rPr>
        <w:t xml:space="preserve"> o </w:t>
      </w:r>
      <w:r>
        <w:rPr>
          <w:rFonts w:ascii="Palatino Linotype" w:eastAsia="Palatino Linotype" w:hAnsi="Palatino Linotype" w:cs="Palatino Linotype"/>
          <w:b/>
          <w:color w:val="000000"/>
        </w:rPr>
        <w:t xml:space="preserve">códigos QR, </w:t>
      </w:r>
      <w:r>
        <w:rPr>
          <w:rFonts w:ascii="Palatino Linotype" w:eastAsia="Palatino Linotype" w:hAnsi="Palatino Linotype" w:cs="Palatino Linotype"/>
          <w:color w:val="000000"/>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por lo que, si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advierte que en el presente caso se pueden obtener datos como el Registro Federal de Contribuyentes, la Clave Única del Registro de Población, entre otros que pudieran hacer identificable a una persona, deberá clasificarlo como confidencial.</w:t>
      </w:r>
    </w:p>
    <w:p w:rsidR="00222473" w:rsidRDefault="002847E1">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222473" w:rsidRDefault="002847E1">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lastRenderedPageBreak/>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rsidR="00222473" w:rsidRDefault="002847E1">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222473" w:rsidRDefault="002847E1">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Es por esta razón que se debe omitir el o los números de cuentas bancarias de particulares en las versiones públicas que de las facturas se hagan, para ser entregadas.</w:t>
      </w:r>
    </w:p>
    <w:p w:rsidR="00222473" w:rsidRDefault="002847E1">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Lo anterior, no es así tratándose de las cuentas bancarias o claves interbancarias de los Sujetos Obligados ya que su publicidad cede a la rendición de cuentas al transparentar la forma en que son administrados los recursos públicos.</w:t>
      </w:r>
    </w:p>
    <w:p w:rsidR="00222473" w:rsidRDefault="002847E1">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Lo argumentado encuentra sustento en los criterios 10/17 y 11/17 emitidos por el Instituto Nacional de Transparencia, Acceso a la Información y Protección de Datos Personales, INAI, que llevan por rubro y texto los siguientes:</w:t>
      </w:r>
    </w:p>
    <w:p w:rsidR="00222473" w:rsidRDefault="002847E1">
      <w:pPr>
        <w:pBdr>
          <w:top w:val="nil"/>
          <w:left w:val="nil"/>
          <w:bottom w:val="nil"/>
          <w:right w:val="nil"/>
          <w:between w:val="nil"/>
        </w:pBdr>
        <w:spacing w:before="240" w:after="240" w:line="276" w:lineRule="auto"/>
        <w:ind w:left="851" w:right="900"/>
        <w:jc w:val="both"/>
        <w:rPr>
          <w:color w:val="000000"/>
        </w:rPr>
      </w:pPr>
      <w:r>
        <w:rPr>
          <w:rFonts w:ascii="Palatino Linotype" w:eastAsia="Palatino Linotype" w:hAnsi="Palatino Linotype" w:cs="Palatino Linotype"/>
          <w:b/>
          <w:i/>
          <w:color w:val="000000"/>
          <w:sz w:val="22"/>
          <w:szCs w:val="22"/>
        </w:rPr>
        <w:lastRenderedPageBreak/>
        <w:t>“Cuentas bancarias y/o CLABE interbancaria de personas físicas y morales privadas.</w:t>
      </w:r>
      <w:r>
        <w:rPr>
          <w:rFonts w:ascii="Palatino Linotype" w:eastAsia="Palatino Linotype" w:hAnsi="Palatino Linotype" w:cs="Palatino Linotype"/>
          <w:i/>
          <w:color w:val="000000"/>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222473" w:rsidRDefault="002847E1">
      <w:pPr>
        <w:pBdr>
          <w:top w:val="nil"/>
          <w:left w:val="nil"/>
          <w:bottom w:val="nil"/>
          <w:right w:val="nil"/>
          <w:between w:val="nil"/>
        </w:pBdr>
        <w:spacing w:before="240" w:after="240" w:line="276" w:lineRule="auto"/>
        <w:ind w:left="851" w:right="900"/>
        <w:jc w:val="both"/>
        <w:rPr>
          <w:color w:val="000000"/>
        </w:rPr>
      </w:pPr>
      <w:r>
        <w:rPr>
          <w:rFonts w:ascii="Palatino Linotype" w:eastAsia="Palatino Linotype" w:hAnsi="Palatino Linotype" w:cs="Palatino Linotype"/>
          <w:b/>
          <w:i/>
          <w:color w:val="000000"/>
          <w:sz w:val="22"/>
          <w:szCs w:val="22"/>
        </w:rPr>
        <w:t>Cuentas bancarias y/o CLABE interbancaria de sujetos obligados que reciben y/o transfieren recursos públicos, son información pública</w:t>
      </w:r>
      <w:r>
        <w:rPr>
          <w:rFonts w:ascii="Palatino Linotype" w:eastAsia="Palatino Linotype" w:hAnsi="Palatino Linotype" w:cs="Palatino Linotype"/>
          <w:i/>
          <w:color w:val="000000"/>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222473" w:rsidRDefault="002847E1">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En esa virtud, este Pleno determina que dicha información no puede ser del dominio público, toda vez que se podría dar un uso inadecuado a la misma o cometer algún ilícito o fraude como ya ha sido expuesto. </w:t>
      </w:r>
    </w:p>
    <w:p w:rsidR="00222473" w:rsidRDefault="002847E1">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 xml:space="preserve">Por cuanto hace al </w:t>
      </w:r>
      <w:r>
        <w:rPr>
          <w:rFonts w:ascii="Palatino Linotype" w:eastAsia="Palatino Linotype" w:hAnsi="Palatino Linotype" w:cs="Palatino Linotype"/>
          <w:b/>
          <w:color w:val="000000"/>
        </w:rPr>
        <w:t xml:space="preserve">Registro Federal de Contribuyentes (RFC), </w:t>
      </w:r>
      <w:r>
        <w:rPr>
          <w:rFonts w:ascii="Palatino Linotype" w:eastAsia="Palatino Linotype" w:hAnsi="Palatino Linotype" w:cs="Palatino Linotype"/>
          <w:color w:val="000000"/>
        </w:rPr>
        <w:t>si bien este Instituto ha sostenido que el RFC y domicilio fiscal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rsidR="00222473" w:rsidRDefault="002847E1">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 xml:space="preserve">Ello se debe a que, del ejercicio de ponderación entre el derecho a la protección de datos personales con el derecho de acceso a la información pública, es de mayor </w:t>
      </w:r>
      <w:r>
        <w:rPr>
          <w:rFonts w:ascii="Palatino Linotype" w:eastAsia="Palatino Linotype" w:hAnsi="Palatino Linotype" w:cs="Palatino Linotype"/>
          <w:color w:val="000000"/>
        </w:rPr>
        <w:lastRenderedPageBreak/>
        <w:t>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rsidR="00222473" w:rsidRDefault="002847E1">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rsidR="00222473" w:rsidRDefault="002847E1">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 xml:space="preserve">Relacionado con lo anterior, el nombre de las personas físicas o los representantes legales de las personas morales, en su calidad de proveedores, contratistas o prestadores de servicios, y la firma de estos, que participaron en el proceso de adjudicación en la modalidad de licitación pública nacional,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w:t>
      </w:r>
      <w:r>
        <w:rPr>
          <w:rFonts w:ascii="Palatino Linotype" w:eastAsia="Palatino Linotype" w:hAnsi="Palatino Linotype" w:cs="Palatino Linotype"/>
          <w:color w:val="000000"/>
        </w:rPr>
        <w:lastRenderedPageBreak/>
        <w:t>de licitación no conservan el carácter de confidencial y por tanto no deben ser testados.</w:t>
      </w:r>
    </w:p>
    <w:p w:rsidR="00222473" w:rsidRDefault="002847E1">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Argumentación que guarda sustento en lo estipulado por el artículo 23 de la Ley de Transparencia y Acceso a la Información Pública del Estado de México y Municipios en su penúltimo párrafo, mismo que es del tenor literal siguiente:</w:t>
      </w:r>
    </w:p>
    <w:p w:rsidR="00222473" w:rsidRDefault="002847E1">
      <w:pPr>
        <w:pBdr>
          <w:top w:val="nil"/>
          <w:left w:val="nil"/>
          <w:bottom w:val="nil"/>
          <w:right w:val="nil"/>
          <w:between w:val="nil"/>
        </w:pBdr>
        <w:spacing w:before="240" w:after="240" w:line="276" w:lineRule="auto"/>
        <w:ind w:left="851" w:right="900"/>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23.</w:t>
      </w:r>
      <w:r>
        <w:rPr>
          <w:rFonts w:ascii="Palatino Linotype" w:eastAsia="Palatino Linotype" w:hAnsi="Palatino Linotype" w:cs="Palatino Linotype"/>
          <w:i/>
          <w:color w:val="000000"/>
          <w:sz w:val="22"/>
          <w:szCs w:val="22"/>
        </w:rPr>
        <w:t xml:space="preserve"> (…)</w:t>
      </w:r>
    </w:p>
    <w:p w:rsidR="00222473" w:rsidRDefault="002847E1">
      <w:pPr>
        <w:pBdr>
          <w:top w:val="nil"/>
          <w:left w:val="nil"/>
          <w:bottom w:val="nil"/>
          <w:right w:val="nil"/>
          <w:between w:val="nil"/>
        </w:pBdr>
        <w:spacing w:before="240" w:after="240" w:line="276" w:lineRule="auto"/>
        <w:ind w:left="851" w:right="900"/>
        <w:jc w:val="both"/>
        <w:rPr>
          <w:color w:val="000000"/>
        </w:rPr>
      </w:pPr>
      <w:r>
        <w:rPr>
          <w:rFonts w:ascii="Palatino Linotype" w:eastAsia="Palatino Linotype" w:hAnsi="Palatino Linotype" w:cs="Palatino Linotype"/>
          <w:i/>
          <w:color w:val="000000"/>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222473" w:rsidRDefault="002847E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rsidR="00222473" w:rsidRDefault="002847E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Al respecto, se destaca que la versión pública que elabore el Sujeto Obligado debe cumplir con las formalidades exigidas en la Ley, por lo que para tal efecto emitirá el Acuerdo del Comité de Transparencia en términos de la Ley de Transparencia y Acceso a la Información Pública del Estado de México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p>
    <w:p w:rsidR="00222473" w:rsidRDefault="002847E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Efectivamente, cuando se clasifica información como confidencial o reservada es importante someterlo al Comité de Transparencia, quien debe confirmar, modificar o revocar la clasificación.</w:t>
      </w:r>
    </w:p>
    <w:p w:rsidR="00222473" w:rsidRDefault="002847E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Recurrente.</w:t>
      </w:r>
    </w:p>
    <w:p w:rsidR="00222473" w:rsidRDefault="002847E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222473" w:rsidRDefault="002847E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mérito de todo lo expuesto, ante lo </w:t>
      </w:r>
      <w:r>
        <w:rPr>
          <w:rFonts w:ascii="Palatino Linotype" w:eastAsia="Palatino Linotype" w:hAnsi="Palatino Linotype" w:cs="Palatino Linotype"/>
          <w:b/>
        </w:rPr>
        <w:t>fundado</w:t>
      </w:r>
      <w:r>
        <w:rPr>
          <w:rFonts w:ascii="Palatino Linotype" w:eastAsia="Palatino Linotype" w:hAnsi="Palatino Linotype" w:cs="Palatino Linotype"/>
        </w:rPr>
        <w:t xml:space="preserve"> de las razones o motivos de inconformidad hechos valer por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este Instituto estima que lo dable es </w:t>
      </w:r>
      <w:r>
        <w:rPr>
          <w:rFonts w:ascii="Palatino Linotype" w:eastAsia="Palatino Linotype" w:hAnsi="Palatino Linotype" w:cs="Palatino Linotype"/>
          <w:b/>
        </w:rPr>
        <w:t>Ordenar</w:t>
      </w:r>
      <w:r>
        <w:rPr>
          <w:rFonts w:ascii="Palatino Linotype" w:eastAsia="Palatino Linotype" w:hAnsi="Palatino Linotype" w:cs="Palatino Linotype"/>
        </w:rPr>
        <w:t xml:space="preserve"> al </w:t>
      </w:r>
      <w:r>
        <w:rPr>
          <w:rFonts w:ascii="Palatino Linotype" w:eastAsia="Palatino Linotype" w:hAnsi="Palatino Linotype" w:cs="Palatino Linotype"/>
          <w:b/>
        </w:rPr>
        <w:t>SUJETO OBLIGADO</w:t>
      </w:r>
      <w:r>
        <w:rPr>
          <w:rFonts w:ascii="Palatino Linotype" w:eastAsia="Palatino Linotype" w:hAnsi="Palatino Linotype" w:cs="Palatino Linotype"/>
        </w:rPr>
        <w:t>, entregue previa búsqueda exhaustiva, de ser el caso, en versión pública, los comprobantes de pago relacionados con la adquisición de las seis grúas, un tracto camión, nueve patrullas pick up y las dos camionetas de reacción referidos en los contratos remitidos mediante informe justificado.</w:t>
      </w:r>
    </w:p>
    <w:p w:rsidR="00222473" w:rsidRDefault="002847E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es de señalar que, como ya se mencionó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omitió proporcionar la respuesta a su solicitud de acceso a la información pública, en el término contemplado en el ya citado artículo 163 de la Ley de la materia, razón por la que </w:t>
      </w:r>
      <w:r>
        <w:rPr>
          <w:rFonts w:ascii="Palatino Linotype" w:eastAsia="Palatino Linotype" w:hAnsi="Palatino Linotype" w:cs="Palatino Linotype"/>
          <w:b/>
        </w:rPr>
        <w:t>se ordena dar vista al Titular de la Contraloría Interna y Órgano de Control y Vigilancia de este Instituto</w:t>
      </w:r>
      <w:r>
        <w:rPr>
          <w:rFonts w:ascii="Palatino Linotype" w:eastAsia="Palatino Linotype" w:hAnsi="Palatino Linotype" w:cs="Palatino Linotype"/>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222473" w:rsidRDefault="002847E1">
      <w:pPr>
        <w:spacing w:before="240" w:after="240" w:line="360" w:lineRule="auto"/>
        <w:jc w:val="both"/>
        <w:rPr>
          <w:rFonts w:ascii="Palatino Linotype" w:eastAsia="Palatino Linotype" w:hAnsi="Palatino Linotype" w:cs="Palatino Linotype"/>
        </w:rPr>
      </w:pPr>
      <w:bookmarkStart w:id="4" w:name="_heading=h.1fob9te" w:colFirst="0" w:colLast="0"/>
      <w:bookmarkEnd w:id="4"/>
      <w:r>
        <w:rPr>
          <w:rFonts w:ascii="Palatino Linotype" w:eastAsia="Palatino Linotype" w:hAnsi="Palatino Linotype" w:cs="Palatino Linotype"/>
        </w:rPr>
        <w:t>Así, con fundamento en lo prescrito en los</w:t>
      </w:r>
      <w:r>
        <w:t xml:space="preserve"> </w:t>
      </w:r>
      <w:r>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222473" w:rsidRDefault="00222473">
      <w:pPr>
        <w:spacing w:before="240" w:after="240" w:line="360" w:lineRule="auto"/>
        <w:jc w:val="both"/>
        <w:rPr>
          <w:rFonts w:ascii="Palatino Linotype" w:eastAsia="Palatino Linotype" w:hAnsi="Palatino Linotype" w:cs="Palatino Linotype"/>
        </w:rPr>
      </w:pPr>
    </w:p>
    <w:p w:rsidR="00222473" w:rsidRDefault="00222473">
      <w:pPr>
        <w:spacing w:before="240" w:after="240" w:line="360" w:lineRule="auto"/>
        <w:jc w:val="both"/>
        <w:rPr>
          <w:rFonts w:ascii="Palatino Linotype" w:eastAsia="Palatino Linotype" w:hAnsi="Palatino Linotype" w:cs="Palatino Linotype"/>
        </w:rPr>
      </w:pPr>
    </w:p>
    <w:p w:rsidR="00222473" w:rsidRDefault="002847E1">
      <w:pPr>
        <w:pBdr>
          <w:top w:val="nil"/>
          <w:left w:val="nil"/>
          <w:bottom w:val="nil"/>
          <w:right w:val="nil"/>
          <w:between w:val="nil"/>
        </w:pBdr>
        <w:spacing w:before="280" w:after="280" w:line="360" w:lineRule="auto"/>
        <w:jc w:val="center"/>
        <w:rPr>
          <w:rFonts w:ascii="Palatino Linotype" w:eastAsia="Palatino Linotype" w:hAnsi="Palatino Linotype" w:cs="Palatino Linotype"/>
          <w:b/>
        </w:rPr>
      </w:pPr>
      <w:bookmarkStart w:id="5" w:name="_heading=h.2et92p0" w:colFirst="0" w:colLast="0"/>
      <w:bookmarkEnd w:id="5"/>
      <w:r>
        <w:rPr>
          <w:rFonts w:ascii="Palatino Linotype" w:eastAsia="Palatino Linotype" w:hAnsi="Palatino Linotype" w:cs="Palatino Linotype"/>
          <w:b/>
        </w:rPr>
        <w:lastRenderedPageBreak/>
        <w:t>III. R E S U E L V E</w:t>
      </w:r>
    </w:p>
    <w:p w:rsidR="00222473" w:rsidRDefault="002847E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fundados</w:t>
      </w:r>
      <w:r>
        <w:rPr>
          <w:rFonts w:ascii="Palatino Linotype" w:eastAsia="Palatino Linotype" w:hAnsi="Palatino Linotype" w:cs="Palatino Linotype"/>
        </w:rPr>
        <w:t xml:space="preserve"> los motivos de inconformidad hechos valer por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 xml:space="preserve">02769/INFOEM/IP/RR/2022 </w:t>
      </w:r>
      <w:r>
        <w:rPr>
          <w:rFonts w:ascii="Palatino Linotype" w:eastAsia="Palatino Linotype" w:hAnsi="Palatino Linotype" w:cs="Palatino Linotype"/>
        </w:rPr>
        <w:t xml:space="preserve">en términos del Considerando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la presente resolución.</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w:t>
      </w:r>
      <w:r>
        <w:rPr>
          <w:rFonts w:ascii="Palatino Linotype" w:eastAsia="Palatino Linotype" w:hAnsi="Palatino Linotype" w:cs="Palatino Linotype"/>
        </w:rPr>
        <w:t xml:space="preserve"> 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que en términos de los Considerando Cuarto y Quinto de la presente resolución, </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haga entrega vía </w:t>
      </w:r>
      <w:r>
        <w:rPr>
          <w:rFonts w:ascii="Palatino Linotype" w:eastAsia="Palatino Linotype" w:hAnsi="Palatino Linotype" w:cs="Palatino Linotype"/>
          <w:b/>
        </w:rPr>
        <w:t xml:space="preserve">Sistema de Acceso a la Información Mexiquense (SAIMEX), </w:t>
      </w:r>
      <w:r>
        <w:rPr>
          <w:rFonts w:ascii="Palatino Linotype" w:eastAsia="Palatino Linotype" w:hAnsi="Palatino Linotype" w:cs="Palatino Linotype"/>
        </w:rPr>
        <w:t>previa búsqueda exhaustiva y razonable,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 ser el caso en versión pública, de lo siguiente: </w:t>
      </w:r>
    </w:p>
    <w:p w:rsidR="00222473" w:rsidRDefault="002847E1">
      <w:pPr>
        <w:numPr>
          <w:ilvl w:val="0"/>
          <w:numId w:val="4"/>
        </w:numPr>
        <w:pBdr>
          <w:top w:val="nil"/>
          <w:left w:val="nil"/>
          <w:bottom w:val="nil"/>
          <w:right w:val="nil"/>
          <w:between w:val="nil"/>
        </w:pBdr>
        <w:spacing w:before="120" w:after="120"/>
        <w:ind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Los comprobantes de pago relacionados con la adquisición de las seis grúas, un tracto camión, nueve patrullas pick up y las dos camionetas de reacción</w:t>
      </w:r>
      <w:r>
        <w:rPr>
          <w:rFonts w:ascii="Palatino Linotype" w:eastAsia="Palatino Linotype" w:hAnsi="Palatino Linotype" w:cs="Palatino Linotype"/>
          <w:i/>
          <w:sz w:val="22"/>
          <w:szCs w:val="22"/>
        </w:rPr>
        <w:t xml:space="preserve"> referidos en los contratos remitidos mediante informe justificado.</w:t>
      </w:r>
    </w:p>
    <w:p w:rsidR="00222473" w:rsidRDefault="00222473">
      <w:pPr>
        <w:pBdr>
          <w:top w:val="nil"/>
          <w:left w:val="nil"/>
          <w:bottom w:val="nil"/>
          <w:right w:val="nil"/>
          <w:between w:val="nil"/>
        </w:pBdr>
        <w:spacing w:before="120" w:after="120"/>
        <w:ind w:left="1211" w:right="709"/>
        <w:jc w:val="both"/>
        <w:rPr>
          <w:rFonts w:ascii="Palatino Linotype" w:eastAsia="Palatino Linotype" w:hAnsi="Palatino Linotype" w:cs="Palatino Linotype"/>
          <w:i/>
          <w:color w:val="000000"/>
          <w:sz w:val="22"/>
          <w:szCs w:val="22"/>
        </w:rPr>
      </w:pPr>
      <w:bookmarkStart w:id="6" w:name="_heading=h.3dy6vkm" w:colFirst="0" w:colLast="0"/>
      <w:bookmarkEnd w:id="6"/>
    </w:p>
    <w:p w:rsidR="00222473" w:rsidRDefault="002847E1">
      <w:pPr>
        <w:pBdr>
          <w:top w:val="nil"/>
          <w:left w:val="nil"/>
          <w:bottom w:val="nil"/>
          <w:right w:val="nil"/>
          <w:between w:val="nil"/>
        </w:pBdr>
        <w:spacing w:before="120" w:after="120"/>
        <w:ind w:left="851"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Deberá emitir el Acuerdo del Comité de Transparencia de conformidad con lo dispuesto en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rsidR="00222473" w:rsidRDefault="00222473">
      <w:pPr>
        <w:pBdr>
          <w:top w:val="nil"/>
          <w:left w:val="nil"/>
          <w:bottom w:val="nil"/>
          <w:right w:val="nil"/>
          <w:between w:val="nil"/>
        </w:pBdr>
        <w:spacing w:before="120" w:after="120"/>
        <w:ind w:left="851" w:right="709"/>
        <w:jc w:val="both"/>
        <w:rPr>
          <w:rFonts w:ascii="Palatino Linotype" w:eastAsia="Palatino Linotype" w:hAnsi="Palatino Linotype" w:cs="Palatino Linotype"/>
          <w:i/>
          <w:color w:val="000000"/>
          <w:sz w:val="22"/>
          <w:szCs w:val="22"/>
        </w:rPr>
      </w:pPr>
    </w:p>
    <w:p w:rsidR="00222473" w:rsidRDefault="002847E1">
      <w:pPr>
        <w:pBdr>
          <w:top w:val="nil"/>
          <w:left w:val="nil"/>
          <w:bottom w:val="nil"/>
          <w:right w:val="nil"/>
          <w:between w:val="nil"/>
        </w:pBdr>
        <w:ind w:left="851"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 xml:space="preserve">En el caso que derivado de la búsqueda exhaustiva y razonable, por alguna razón no se localice en los archivos del </w:t>
      </w:r>
      <w:r>
        <w:rPr>
          <w:rFonts w:ascii="Palatino Linotype" w:eastAsia="Palatino Linotype" w:hAnsi="Palatino Linotype" w:cs="Palatino Linotype"/>
          <w:b/>
          <w:i/>
          <w:sz w:val="22"/>
          <w:szCs w:val="22"/>
        </w:rPr>
        <w:t>Sujeto Obligado</w:t>
      </w:r>
      <w:r>
        <w:rPr>
          <w:rFonts w:ascii="Palatino Linotype" w:eastAsia="Palatino Linotype" w:hAnsi="Palatino Linotype" w:cs="Palatino Linotype"/>
          <w:i/>
          <w:sz w:val="22"/>
          <w:szCs w:val="22"/>
        </w:rPr>
        <w:t>, deberá emitir el Acuerdo de Inexistencia en términos de los artículos 49, fracciones II y XIII, 169 y 170 de la Ley de Transparencia y Acceso a la Información Pública del Estado de México y Municipios, debiendo notificarlo al Recurrente al momento de dar cumplimiento a la presente resolución.</w:t>
      </w:r>
    </w:p>
    <w:p w:rsidR="00222473" w:rsidRDefault="00222473">
      <w:pPr>
        <w:spacing w:before="240" w:after="240" w:line="360" w:lineRule="auto"/>
        <w:jc w:val="both"/>
        <w:rPr>
          <w:rFonts w:ascii="Palatino Linotype" w:eastAsia="Palatino Linotype" w:hAnsi="Palatino Linotype" w:cs="Palatino Linotype"/>
        </w:rPr>
      </w:pPr>
    </w:p>
    <w:p w:rsidR="00222473" w:rsidRDefault="002847E1">
      <w:pPr>
        <w:spacing w:before="240" w:after="240" w:line="360" w:lineRule="auto"/>
        <w:jc w:val="both"/>
        <w:rPr>
          <w:rFonts w:ascii="Palatino Linotype" w:eastAsia="Palatino Linotype" w:hAnsi="Palatino Linotype" w:cs="Palatino Linotype"/>
        </w:rPr>
      </w:pPr>
      <w:bookmarkStart w:id="7" w:name="_heading=h.3znysh7" w:colFirst="0" w:colLast="0"/>
      <w:bookmarkEnd w:id="7"/>
      <w:r>
        <w:rPr>
          <w:rFonts w:ascii="Palatino Linotype" w:eastAsia="Palatino Linotype" w:hAnsi="Palatino Linotype" w:cs="Palatino Linotype"/>
          <w:b/>
        </w:rPr>
        <w:lastRenderedPageBreak/>
        <w:t xml:space="preserve">TERCERO.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222473" w:rsidRDefault="002847E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a 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222473" w:rsidRDefault="002847E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rPr>
        <w:t xml:space="preserve">a 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que la respuesta que dé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222473" w:rsidRDefault="002847E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SEXTO. Gírese </w:t>
      </w:r>
      <w:r>
        <w:rPr>
          <w:rFonts w:ascii="Palatino Linotype" w:eastAsia="Palatino Linotype" w:hAnsi="Palatino Linotype" w:cs="Palatino Linotype"/>
        </w:rPr>
        <w:t>oficio al Contralor Interno y Órgano de Control y Vigilancia de este Instituto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considerando</w:t>
      </w:r>
      <w:r>
        <w:rPr>
          <w:rFonts w:ascii="Palatino Linotype" w:eastAsia="Palatino Linotype" w:hAnsi="Palatino Linotype" w:cs="Palatino Linotype"/>
          <w:b/>
        </w:rPr>
        <w:t xml:space="preserve"> Cuarto </w:t>
      </w:r>
      <w:r>
        <w:rPr>
          <w:rFonts w:ascii="Palatino Linotype" w:eastAsia="Palatino Linotype" w:hAnsi="Palatino Linotype" w:cs="Palatino Linotype"/>
        </w:rPr>
        <w:t>de la presente resolución.</w:t>
      </w:r>
      <w:r>
        <w:rPr>
          <w:rFonts w:ascii="Palatino Linotype" w:eastAsia="Palatino Linotype" w:hAnsi="Palatino Linotype" w:cs="Palatino Linotype"/>
          <w:b/>
        </w:rPr>
        <w:t xml:space="preserve"> </w:t>
      </w:r>
    </w:p>
    <w:p w:rsidR="00222473" w:rsidRDefault="002847E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SÉPTIMO. </w:t>
      </w:r>
      <w:r>
        <w:rPr>
          <w:rFonts w:ascii="Palatino Linotype" w:eastAsia="Palatino Linotype" w:hAnsi="Palatino Linotype" w:cs="Palatino Linotype"/>
        </w:rPr>
        <w:t>Con fundamento en el artículo 198 de la Ley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r>
        <w:rPr>
          <w:rFonts w:ascii="Palatino Linotype" w:eastAsia="Palatino Linotype" w:hAnsi="Palatino Linotype" w:cs="Palatino Linotype"/>
          <w:b/>
        </w:rPr>
        <w:t xml:space="preserve">  </w:t>
      </w:r>
    </w:p>
    <w:p w:rsidR="00222473" w:rsidRDefault="002847E1">
      <w:pPr>
        <w:spacing w:line="360" w:lineRule="auto"/>
        <w:ind w:right="49"/>
        <w:jc w:val="both"/>
        <w:rPr>
          <w:rFonts w:ascii="Palatino Linotype" w:eastAsia="Palatino Linotype" w:hAnsi="Palatino Linotype" w:cs="Palatino Linotype"/>
        </w:rPr>
        <w:sectPr w:rsidR="00222473">
          <w:headerReference w:type="default" r:id="rId32"/>
          <w:footerReference w:type="default" r:id="rId33"/>
          <w:headerReference w:type="first" r:id="rId34"/>
          <w:footerReference w:type="first" r:id="rId35"/>
          <w:pgSz w:w="12240" w:h="15840"/>
          <w:pgMar w:top="1985" w:right="1701" w:bottom="1701" w:left="1701" w:header="709" w:footer="709" w:gutter="0"/>
          <w:pgNumType w:start="1"/>
          <w:cols w:space="720"/>
          <w:titlePg/>
        </w:sect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PRIMERA SESIÓN ORDINARIA CELEBRADA EL OCHO DE JUNIO DE DOS MIL VEINTIDÓS, ANTE EL SECRETARIO TÉCNICO DEL PLENO ALEXIS TAPIA RAMÍREZ.</w:t>
      </w:r>
    </w:p>
    <w:p w:rsidR="00222473" w:rsidRDefault="00222473">
      <w:pPr>
        <w:tabs>
          <w:tab w:val="left" w:pos="709"/>
        </w:tabs>
        <w:spacing w:before="240" w:after="240" w:line="360" w:lineRule="auto"/>
        <w:jc w:val="both"/>
        <w:rPr>
          <w:rFonts w:ascii="Palatino Linotype" w:eastAsia="Palatino Linotype" w:hAnsi="Palatino Linotype" w:cs="Palatino Linotype"/>
        </w:rPr>
      </w:pPr>
    </w:p>
    <w:p w:rsidR="00222473" w:rsidRDefault="00222473"/>
    <w:p w:rsidR="00222473" w:rsidRDefault="00222473"/>
    <w:sectPr w:rsidR="00222473">
      <w:headerReference w:type="first" r:id="rId36"/>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6E1" w:rsidRDefault="00D716E1">
      <w:r>
        <w:separator/>
      </w:r>
    </w:p>
  </w:endnote>
  <w:endnote w:type="continuationSeparator" w:id="0">
    <w:p w:rsidR="00D716E1" w:rsidRDefault="00D71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473" w:rsidRDefault="002847E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64009">
      <w:rPr>
        <w:rFonts w:ascii="Arial" w:eastAsia="Arial" w:hAnsi="Arial" w:cs="Arial"/>
        <w:b/>
        <w:noProof/>
        <w:color w:val="000000"/>
        <w:sz w:val="20"/>
        <w:szCs w:val="20"/>
      </w:rPr>
      <w:t>35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64009">
      <w:rPr>
        <w:rFonts w:ascii="Arial" w:eastAsia="Arial" w:hAnsi="Arial" w:cs="Arial"/>
        <w:b/>
        <w:noProof/>
        <w:color w:val="000000"/>
        <w:sz w:val="20"/>
        <w:szCs w:val="20"/>
      </w:rPr>
      <w:t>58</w:t>
    </w:r>
    <w:r>
      <w:rPr>
        <w:rFonts w:ascii="Arial" w:eastAsia="Arial" w:hAnsi="Arial" w:cs="Arial"/>
        <w:b/>
        <w:color w:val="000000"/>
        <w:sz w:val="20"/>
        <w:szCs w:val="20"/>
      </w:rPr>
      <w:fldChar w:fldCharType="end"/>
    </w:r>
  </w:p>
  <w:p w:rsidR="00222473" w:rsidRDefault="00222473">
    <w:pPr>
      <w:pBdr>
        <w:top w:val="nil"/>
        <w:left w:val="nil"/>
        <w:bottom w:val="nil"/>
        <w:right w:val="nil"/>
        <w:between w:val="nil"/>
      </w:pBdr>
      <w:tabs>
        <w:tab w:val="center" w:pos="4252"/>
        <w:tab w:val="right" w:pos="8504"/>
      </w:tabs>
      <w:rPr>
        <w:color w:val="000000"/>
      </w:rPr>
    </w:pPr>
  </w:p>
  <w:p w:rsidR="00222473" w:rsidRDefault="00222473">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473" w:rsidRDefault="002847E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64009">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64009">
      <w:rPr>
        <w:rFonts w:ascii="Arial" w:eastAsia="Arial" w:hAnsi="Arial" w:cs="Arial"/>
        <w:b/>
        <w:noProof/>
        <w:color w:val="000000"/>
        <w:sz w:val="20"/>
        <w:szCs w:val="20"/>
      </w:rPr>
      <w:t>58</w:t>
    </w:r>
    <w:r>
      <w:rPr>
        <w:rFonts w:ascii="Arial" w:eastAsia="Arial" w:hAnsi="Arial" w:cs="Arial"/>
        <w:b/>
        <w:color w:val="000000"/>
        <w:sz w:val="20"/>
        <w:szCs w:val="20"/>
      </w:rPr>
      <w:fldChar w:fldCharType="end"/>
    </w:r>
  </w:p>
  <w:p w:rsidR="00222473" w:rsidRDefault="00222473">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6E1" w:rsidRDefault="00D716E1">
      <w:r>
        <w:separator/>
      </w:r>
    </w:p>
  </w:footnote>
  <w:footnote w:type="continuationSeparator" w:id="0">
    <w:p w:rsidR="00D716E1" w:rsidRDefault="00D716E1">
      <w:r>
        <w:continuationSeparator/>
      </w:r>
    </w:p>
  </w:footnote>
  <w:footnote w:id="1">
    <w:p w:rsidR="00222473" w:rsidRDefault="002847E1">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222473" w:rsidRDefault="002847E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473" w:rsidRDefault="002847E1">
    <w:pPr>
      <w:widowControl w:val="0"/>
      <w:pBdr>
        <w:top w:val="nil"/>
        <w:left w:val="nil"/>
        <w:bottom w:val="nil"/>
        <w:right w:val="nil"/>
        <w:between w:val="nil"/>
      </w:pBdr>
      <w:spacing w:line="276" w:lineRule="auto"/>
      <w:rPr>
        <w:rFonts w:ascii="Calibri" w:eastAsia="Calibri" w:hAnsi="Calibri" w:cs="Calibri"/>
      </w:rPr>
    </w:pPr>
    <w:r>
      <w:rPr>
        <w:noProof/>
        <w:lang w:eastAsia="es-MX"/>
      </w:rPr>
      <w:drawing>
        <wp:anchor distT="0" distB="0" distL="0" distR="0" simplePos="0" relativeHeight="251658240" behindDoc="1" locked="0" layoutInCell="1" hidden="0" allowOverlap="1">
          <wp:simplePos x="0" y="0"/>
          <wp:positionH relativeFrom="column">
            <wp:posOffset>-1009645</wp:posOffset>
          </wp:positionH>
          <wp:positionV relativeFrom="paragraph">
            <wp:posOffset>-384171</wp:posOffset>
          </wp:positionV>
          <wp:extent cx="7635163" cy="9944100"/>
          <wp:effectExtent l="0" t="0" r="0" b="0"/>
          <wp:wrapNone/>
          <wp:docPr id="6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a"/>
      <w:tblW w:w="5528" w:type="dxa"/>
      <w:tblInd w:w="3261" w:type="dxa"/>
      <w:tblLayout w:type="fixed"/>
      <w:tblLook w:val="0400" w:firstRow="0" w:lastRow="0" w:firstColumn="0" w:lastColumn="0" w:noHBand="0" w:noVBand="1"/>
    </w:tblPr>
    <w:tblGrid>
      <w:gridCol w:w="2552"/>
      <w:gridCol w:w="2976"/>
    </w:tblGrid>
    <w:tr w:rsidR="00222473">
      <w:tc>
        <w:tcPr>
          <w:tcW w:w="2552" w:type="dxa"/>
          <w:vAlign w:val="center"/>
        </w:tcPr>
        <w:p w:rsidR="00222473" w:rsidRDefault="002847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6" w:type="dxa"/>
          <w:vAlign w:val="center"/>
        </w:tcPr>
        <w:p w:rsidR="00222473" w:rsidRDefault="002847E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02769/INFOEM/IP/RR/2022 </w:t>
          </w:r>
        </w:p>
      </w:tc>
    </w:tr>
    <w:tr w:rsidR="00222473">
      <w:trPr>
        <w:trHeight w:val="228"/>
      </w:trPr>
      <w:tc>
        <w:tcPr>
          <w:tcW w:w="2552" w:type="dxa"/>
          <w:vAlign w:val="center"/>
        </w:tcPr>
        <w:p w:rsidR="00222473" w:rsidRDefault="002847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6" w:type="dxa"/>
          <w:vAlign w:val="center"/>
        </w:tcPr>
        <w:p w:rsidR="00222473" w:rsidRDefault="002847E1">
          <w:pPr>
            <w:jc w:val="both"/>
            <w:rPr>
              <w:rFonts w:ascii="Palatino Linotype" w:eastAsia="Palatino Linotype" w:hAnsi="Palatino Linotype" w:cs="Palatino Linotype"/>
              <w:b/>
              <w:sz w:val="22"/>
              <w:szCs w:val="22"/>
              <w:highlight w:val="red"/>
            </w:rPr>
          </w:pPr>
          <w:r>
            <w:rPr>
              <w:rFonts w:ascii="Palatino Linotype" w:eastAsia="Palatino Linotype" w:hAnsi="Palatino Linotype" w:cs="Palatino Linotype"/>
              <w:b/>
              <w:sz w:val="22"/>
              <w:szCs w:val="22"/>
            </w:rPr>
            <w:t>Ayuntamiento de Naucalpan de Juárez</w:t>
          </w:r>
        </w:p>
      </w:tc>
    </w:tr>
    <w:tr w:rsidR="00222473">
      <w:tc>
        <w:tcPr>
          <w:tcW w:w="2552" w:type="dxa"/>
          <w:vAlign w:val="center"/>
        </w:tcPr>
        <w:p w:rsidR="00222473" w:rsidRDefault="002847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6" w:type="dxa"/>
          <w:vAlign w:val="center"/>
        </w:tcPr>
        <w:p w:rsidR="00222473" w:rsidRDefault="002847E1">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222473" w:rsidRDefault="002847E1">
    <w:pPr>
      <w:pBdr>
        <w:top w:val="nil"/>
        <w:left w:val="nil"/>
        <w:bottom w:val="nil"/>
        <w:right w:val="nil"/>
        <w:between w:val="nil"/>
      </w:pBdr>
      <w:tabs>
        <w:tab w:val="center" w:pos="4252"/>
        <w:tab w:val="right" w:pos="8504"/>
        <w:tab w:val="left" w:pos="2326"/>
      </w:tabs>
      <w:rPr>
        <w:rFonts w:ascii="Calibri" w:eastAsia="Calibri" w:hAnsi="Calibri" w:cs="Calibri"/>
      </w:rPr>
    </w:pPr>
    <w:r>
      <w:rPr>
        <w:rFonts w:ascii="Calibri" w:eastAsia="Calibri" w:hAnsi="Calibri" w:cs="Calibr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473" w:rsidRDefault="002847E1">
    <w:pPr>
      <w:pBdr>
        <w:top w:val="nil"/>
        <w:left w:val="nil"/>
        <w:bottom w:val="nil"/>
        <w:right w:val="nil"/>
        <w:between w:val="nil"/>
      </w:pBdr>
      <w:tabs>
        <w:tab w:val="center" w:pos="4252"/>
        <w:tab w:val="right" w:pos="8504"/>
      </w:tabs>
      <w:jc w:val="both"/>
      <w:rPr>
        <w:rFonts w:ascii="Calibri" w:eastAsia="Calibri" w:hAnsi="Calibri" w:cs="Calibri"/>
      </w:rPr>
    </w:pPr>
    <w:r>
      <w:rPr>
        <w:rFonts w:ascii="Calibri" w:eastAsia="Calibri" w:hAnsi="Calibri" w:cs="Calibri"/>
      </w:rPr>
      <w:t xml:space="preserve">                                  </w:t>
    </w:r>
    <w:r>
      <w:rPr>
        <w:noProof/>
        <w:lang w:eastAsia="es-MX"/>
      </w:rPr>
      <w:drawing>
        <wp:anchor distT="0" distB="0" distL="0" distR="0" simplePos="0" relativeHeight="251659264" behindDoc="1" locked="0" layoutInCell="1" hidden="0" allowOverlap="1">
          <wp:simplePos x="0" y="0"/>
          <wp:positionH relativeFrom="column">
            <wp:posOffset>-1013454</wp:posOffset>
          </wp:positionH>
          <wp:positionV relativeFrom="paragraph">
            <wp:posOffset>-372104</wp:posOffset>
          </wp:positionV>
          <wp:extent cx="7635600" cy="9943200"/>
          <wp:effectExtent l="0" t="0" r="0" b="0"/>
          <wp:wrapNone/>
          <wp:docPr id="6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222473">
      <w:tc>
        <w:tcPr>
          <w:tcW w:w="2551" w:type="dxa"/>
          <w:vAlign w:val="center"/>
        </w:tcPr>
        <w:p w:rsidR="00222473" w:rsidRDefault="002847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222473" w:rsidRDefault="002847E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02769/INFOEM/IP/RR/2022</w:t>
          </w:r>
        </w:p>
      </w:tc>
    </w:tr>
    <w:tr w:rsidR="00222473">
      <w:tc>
        <w:tcPr>
          <w:tcW w:w="2551" w:type="dxa"/>
          <w:vAlign w:val="center"/>
        </w:tcPr>
        <w:p w:rsidR="00222473" w:rsidRDefault="002847E1">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222473" w:rsidRDefault="00E64009" w:rsidP="00E64009">
          <w:pPr>
            <w:ind w:left="-45"/>
            <w:jc w:val="both"/>
            <w:rPr>
              <w:rFonts w:ascii="Palatino Linotype" w:eastAsia="Palatino Linotype" w:hAnsi="Palatino Linotype" w:cs="Palatino Linotype"/>
              <w:b/>
              <w:sz w:val="22"/>
              <w:szCs w:val="22"/>
            </w:rPr>
          </w:pPr>
          <w:proofErr w:type="spellStart"/>
          <w:r>
            <w:rPr>
              <w:rFonts w:ascii="Palatino Linotype" w:eastAsia="Palatino Linotype" w:hAnsi="Palatino Linotype" w:cs="Palatino Linotype"/>
              <w:b/>
              <w:sz w:val="22"/>
              <w:szCs w:val="22"/>
            </w:rPr>
            <w:t>Xxxxx</w:t>
          </w:r>
          <w:proofErr w:type="spellEnd"/>
          <w:r w:rsidR="002847E1">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Xxxxxxxx</w:t>
          </w:r>
          <w:proofErr w:type="spellEnd"/>
          <w:r w:rsidR="002847E1">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Xxxxxxxxxx</w:t>
          </w:r>
          <w:proofErr w:type="spellEnd"/>
          <w:r w:rsidR="002847E1">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Xxxxxxx</w:t>
          </w:r>
          <w:proofErr w:type="spellEnd"/>
        </w:p>
      </w:tc>
    </w:tr>
    <w:tr w:rsidR="00222473">
      <w:trPr>
        <w:trHeight w:val="228"/>
      </w:trPr>
      <w:tc>
        <w:tcPr>
          <w:tcW w:w="2551" w:type="dxa"/>
          <w:vAlign w:val="center"/>
        </w:tcPr>
        <w:p w:rsidR="00222473" w:rsidRDefault="002847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222473" w:rsidRDefault="002847E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Naucalpan de Juárez</w:t>
          </w:r>
        </w:p>
      </w:tc>
    </w:tr>
    <w:tr w:rsidR="00222473">
      <w:tc>
        <w:tcPr>
          <w:tcW w:w="2551" w:type="dxa"/>
          <w:vAlign w:val="center"/>
        </w:tcPr>
        <w:p w:rsidR="00222473" w:rsidRDefault="002847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222473" w:rsidRDefault="002847E1">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222473" w:rsidRDefault="00222473">
    <w:pPr>
      <w:pBdr>
        <w:top w:val="nil"/>
        <w:left w:val="nil"/>
        <w:bottom w:val="nil"/>
        <w:right w:val="nil"/>
        <w:between w:val="nil"/>
      </w:pBdr>
      <w:tabs>
        <w:tab w:val="center" w:pos="4252"/>
        <w:tab w:val="right" w:pos="8504"/>
      </w:tabs>
      <w:rPr>
        <w:rFonts w:ascii="Calibri" w:eastAsia="Calibri" w:hAnsi="Calibri" w:cs="Calibr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473" w:rsidRDefault="002847E1">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rsidR="00222473" w:rsidRDefault="00222473">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703DBF"/>
    <w:multiLevelType w:val="multilevel"/>
    <w:tmpl w:val="15DE5A1E"/>
    <w:lvl w:ilvl="0">
      <w:start w:val="1"/>
      <w:numFmt w:val="upperRoman"/>
      <w:lvlText w:val="%1."/>
      <w:lvlJc w:val="left"/>
      <w:pPr>
        <w:ind w:left="1080" w:hanging="72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3125CF"/>
    <w:multiLevelType w:val="multilevel"/>
    <w:tmpl w:val="6CBCDC2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C68079A"/>
    <w:multiLevelType w:val="multilevel"/>
    <w:tmpl w:val="A2700FE8"/>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 w15:restartNumberingAfterBreak="0">
    <w:nsid w:val="51C3672B"/>
    <w:multiLevelType w:val="multilevel"/>
    <w:tmpl w:val="31F260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BA064E1"/>
    <w:multiLevelType w:val="multilevel"/>
    <w:tmpl w:val="B9323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473"/>
    <w:rsid w:val="00027DEB"/>
    <w:rsid w:val="00222473"/>
    <w:rsid w:val="002847E1"/>
    <w:rsid w:val="007C5E7E"/>
    <w:rsid w:val="00D716E1"/>
    <w:rsid w:val="00E640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6B5E84-952F-4598-8AA2-42E42802C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A48"/>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91A48"/>
    <w:pPr>
      <w:ind w:left="708"/>
    </w:pPr>
    <w:rPr>
      <w:sz w:val="22"/>
      <w:szCs w:val="22"/>
      <w:lang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23.png"/><Relationship Id="rId18" Type="http://schemas.openxmlformats.org/officeDocument/2006/relationships/image" Target="media/image6.png"/><Relationship Id="rId26"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17.png"/><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1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4.png"/><Relationship Id="rId24" Type="http://schemas.openxmlformats.org/officeDocument/2006/relationships/image" Target="media/image20.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2.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9.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1.png"/><Relationship Id="rId14" Type="http://schemas.openxmlformats.org/officeDocument/2006/relationships/image" Target="media/image4.png"/><Relationship Id="rId22" Type="http://schemas.openxmlformats.org/officeDocument/2006/relationships/image" Target="media/image24.png"/><Relationship Id="rId27" Type="http://schemas.openxmlformats.org/officeDocument/2006/relationships/image" Target="media/image25.png"/><Relationship Id="rId30" Type="http://schemas.openxmlformats.org/officeDocument/2006/relationships/image" Target="media/image12.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T6pqZIxdaOjFfbtNywpyvWsGOA==">AMUW2mWXAf+phUwZilGyWVCbBwwDOke/7m7hBg8YA6er8kYi/VtX+2SvhTFfyhZtPPq2BB3KyJsR4lOcmiUOtFiwlrTQi0spM5jubZfGIw+sLtSeSlZhr4CqEI3uXdFtmd2/vLka0nFgeLm7zFLLG5tW6/lDdMRK62lGhDv1b3d5Npefq5CgKSVe/CGLAtwmYJi8wBBgnizxRhB6ZmzDodOZoPOdI3shoA==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58</Pages>
  <Words>12623</Words>
  <Characters>69427</Characters>
  <Application>Microsoft Office Word</Application>
  <DocSecurity>0</DocSecurity>
  <Lines>578</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cp:lastModifiedBy>
  <cp:revision>3</cp:revision>
  <dcterms:created xsi:type="dcterms:W3CDTF">2022-06-27T17:01:00Z</dcterms:created>
  <dcterms:modified xsi:type="dcterms:W3CDTF">2022-07-08T00:35:00Z</dcterms:modified>
</cp:coreProperties>
</file>