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430FCF3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41058F">
        <w:rPr>
          <w:rFonts w:ascii="Palatino Linotype" w:eastAsia="Palatino Linotype" w:hAnsi="Palatino Linotype" w:cs="Palatino Linotype"/>
          <w:color w:val="000000"/>
          <w:sz w:val="24"/>
          <w:szCs w:val="24"/>
          <w:lang w:val="es-ES_tradnl"/>
        </w:rPr>
        <w:t>quince</w:t>
      </w:r>
      <w:r w:rsidR="00D8750E">
        <w:rPr>
          <w:rFonts w:ascii="Palatino Linotype" w:eastAsia="Palatino Linotype" w:hAnsi="Palatino Linotype" w:cs="Palatino Linotype"/>
          <w:color w:val="000000"/>
          <w:sz w:val="24"/>
          <w:szCs w:val="24"/>
          <w:lang w:val="es-ES_tradnl"/>
        </w:rPr>
        <w:t xml:space="preserve"> de junio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768669DD"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4A5CD2">
        <w:rPr>
          <w:rFonts w:ascii="Palatino Linotype" w:eastAsia="Palatino Linotype" w:hAnsi="Palatino Linotype" w:cs="Palatino Linotype"/>
          <w:b/>
          <w:color w:val="000000"/>
          <w:sz w:val="24"/>
          <w:szCs w:val="24"/>
          <w:lang w:val="es-ES_tradnl"/>
        </w:rPr>
        <w:t>519</w:t>
      </w:r>
      <w:r w:rsidR="0096093D">
        <w:rPr>
          <w:rFonts w:ascii="Palatino Linotype" w:eastAsia="Palatino Linotype" w:hAnsi="Palatino Linotype" w:cs="Palatino Linotype"/>
          <w:b/>
          <w:color w:val="000000"/>
          <w:sz w:val="24"/>
          <w:szCs w:val="24"/>
          <w:lang w:val="es-ES_tradnl"/>
        </w:rPr>
        <w:t>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w:t>
      </w:r>
      <w:r w:rsidR="0096093D">
        <w:rPr>
          <w:rFonts w:ascii="Palatino Linotype" w:eastAsia="Palatino Linotype" w:hAnsi="Palatino Linotype" w:cs="Palatino Linotype"/>
          <w:color w:val="000000"/>
          <w:sz w:val="24"/>
          <w:szCs w:val="24"/>
          <w:lang w:val="es-ES_tradnl"/>
        </w:rPr>
        <w:t xml:space="preserve"> una persona de manera anónima</w:t>
      </w:r>
      <w:r w:rsidRPr="00883102">
        <w:rPr>
          <w:rFonts w:ascii="Palatino Linotype" w:eastAsia="Palatino Linotype" w:hAnsi="Palatino Linotype" w:cs="Palatino Linotype"/>
          <w:color w:val="000000"/>
          <w:sz w:val="24"/>
          <w:szCs w:val="24"/>
          <w:lang w:val="es-ES_tradnl"/>
        </w:rPr>
        <w:t xml:space="preserve">, en lo sucesivo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4A5CD2">
        <w:rPr>
          <w:rFonts w:ascii="Palatino Linotype" w:eastAsia="Palatino Linotype" w:hAnsi="Palatino Linotype" w:cs="Palatino Linotype"/>
          <w:b/>
          <w:color w:val="000000"/>
          <w:sz w:val="24"/>
          <w:szCs w:val="24"/>
          <w:lang w:val="es-ES_tradnl"/>
        </w:rPr>
        <w:t>Acolman</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5754C2FD"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4A5CD2">
        <w:rPr>
          <w:rFonts w:ascii="Palatino Linotype" w:eastAsia="Palatino Linotype" w:hAnsi="Palatino Linotype" w:cs="Palatino Linotype"/>
          <w:color w:val="000000"/>
          <w:sz w:val="24"/>
          <w:szCs w:val="24"/>
          <w:lang w:val="es-ES_tradnl"/>
        </w:rPr>
        <w:t>cuatro de marzo</w:t>
      </w:r>
      <w:r w:rsidR="00A50959"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96093D">
        <w:rPr>
          <w:rFonts w:ascii="Palatino Linotype" w:eastAsia="Palatino Linotype" w:hAnsi="Palatino Linotype" w:cs="Palatino Linotype"/>
          <w:b/>
          <w:bCs/>
          <w:color w:val="000000"/>
          <w:sz w:val="24"/>
          <w:szCs w:val="24"/>
          <w:lang w:val="es-ES_tradnl"/>
        </w:rPr>
        <w:t>00</w:t>
      </w:r>
      <w:r w:rsidR="004A5CD2">
        <w:rPr>
          <w:rFonts w:ascii="Palatino Linotype" w:eastAsia="Palatino Linotype" w:hAnsi="Palatino Linotype" w:cs="Palatino Linotype"/>
          <w:b/>
          <w:bCs/>
          <w:color w:val="000000"/>
          <w:sz w:val="24"/>
          <w:szCs w:val="24"/>
          <w:lang w:val="es-ES_tradnl"/>
        </w:rPr>
        <w:t>044/ACOLMAN</w:t>
      </w:r>
      <w:r w:rsidR="00D8750E" w:rsidRPr="00D8750E">
        <w:rPr>
          <w:rFonts w:ascii="Palatino Linotype" w:eastAsia="Palatino Linotype" w:hAnsi="Palatino Linotype" w:cs="Palatino Linotype"/>
          <w:b/>
          <w:bCs/>
          <w:color w:val="000000"/>
          <w:sz w:val="24"/>
          <w:szCs w:val="24"/>
          <w:lang w:val="es-ES_tradnl"/>
        </w:rPr>
        <w:t>/IP/2022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61C342F5"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4A5CD2" w:rsidRPr="004A5CD2">
        <w:rPr>
          <w:rFonts w:ascii="Palatino Linotype" w:eastAsia="Palatino Linotype" w:hAnsi="Palatino Linotype" w:cs="Palatino Linotype"/>
          <w:i/>
          <w:color w:val="000000"/>
          <w:lang w:val="es-ES_tradnl"/>
        </w:rPr>
        <w:t>CURRICULUM EN VERSIÓN PÚBLICA, CERTIFICACIÓN DE COMPETENCIA LABORAL, NOMBRAMIENTO Y RECIBO DE NOMINA DE LA PRIMER QUINCENA DE FEBRERO DE 2022 DEL TITULAR DE LA UNIDAD DE TRANSPARENCIA Y DEL TITULAR DE LA UNIDAD DE PLANEACIÓN O EQUIVALENTE EN EL SUJETO OBLIGADO</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74B0CD9B"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4A5CD2">
        <w:rPr>
          <w:rFonts w:ascii="Palatino Linotype" w:eastAsia="Palatino Linotype" w:hAnsi="Palatino Linotype" w:cs="Palatino Linotype"/>
          <w:color w:val="000000"/>
          <w:sz w:val="24"/>
          <w:szCs w:val="24"/>
          <w:lang w:val="es-ES_tradnl"/>
        </w:rPr>
        <w:t>veintinueve</w:t>
      </w:r>
      <w:r w:rsidR="00684491">
        <w:rPr>
          <w:rFonts w:ascii="Palatino Linotype" w:eastAsia="Palatino Linotype" w:hAnsi="Palatino Linotype" w:cs="Palatino Linotype"/>
          <w:color w:val="000000"/>
          <w:sz w:val="24"/>
          <w:szCs w:val="24"/>
          <w:lang w:val="es-ES_tradnl"/>
        </w:rPr>
        <w:t xml:space="preserve"> de ma</w:t>
      </w:r>
      <w:r w:rsidR="004A5CD2">
        <w:rPr>
          <w:rFonts w:ascii="Palatino Linotype" w:eastAsia="Palatino Linotype" w:hAnsi="Palatino Linotype" w:cs="Palatino Linotype"/>
          <w:color w:val="000000"/>
          <w:sz w:val="24"/>
          <w:szCs w:val="24"/>
          <w:lang w:val="es-ES_tradnl"/>
        </w:rPr>
        <w:t>rzo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BB2B23">
        <w:rPr>
          <w:rFonts w:ascii="Palatino Linotype" w:eastAsia="Palatino Linotype" w:hAnsi="Palatino Linotype" w:cs="Palatino Linotype"/>
          <w:b/>
          <w:color w:val="000000"/>
          <w:sz w:val="24"/>
          <w:szCs w:val="24"/>
          <w:lang w:val="es-ES_tradnl"/>
        </w:rPr>
        <w:t>519</w:t>
      </w:r>
      <w:r w:rsidR="00D8750E">
        <w:rPr>
          <w:rFonts w:ascii="Palatino Linotype" w:eastAsia="Palatino Linotype" w:hAnsi="Palatino Linotype" w:cs="Palatino Linotype"/>
          <w:b/>
          <w:color w:val="000000"/>
          <w:sz w:val="24"/>
          <w:szCs w:val="24"/>
          <w:lang w:val="es-ES_tradnl"/>
        </w:rPr>
        <w:t>5</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678C458A" w:rsidR="00BE7F8D" w:rsidRPr="00883102" w:rsidRDefault="00BE7F8D" w:rsidP="0068449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BB2B23" w:rsidRPr="00BB2B23">
        <w:rPr>
          <w:rFonts w:ascii="Palatino Linotype" w:eastAsia="Palatino Linotype" w:hAnsi="Palatino Linotype" w:cs="Palatino Linotype"/>
          <w:i/>
          <w:color w:val="000000"/>
          <w:lang w:val="es-ES_tradnl"/>
        </w:rPr>
        <w:t>LA NEGATIVA DE LA RESPUESTA</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42FC51CB"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BB2B23" w:rsidRPr="00BB2B23">
        <w:rPr>
          <w:rFonts w:ascii="Palatino Linotype" w:eastAsia="Palatino Linotype" w:hAnsi="Palatino Linotype" w:cs="Palatino Linotype"/>
          <w:i/>
          <w:color w:val="000000"/>
          <w:lang w:val="es-ES_tradnl"/>
        </w:rPr>
        <w:t>LA NEGATIVA DE RESPUESTA</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7405D298"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w:t>
      </w:r>
      <w:r w:rsidR="001426A5" w:rsidRPr="00883102">
        <w:rPr>
          <w:rFonts w:ascii="Palatino Linotype" w:eastAsia="Palatino Linotype" w:hAnsi="Palatino Linotype" w:cs="Palatino Linotype"/>
          <w:color w:val="000000"/>
          <w:sz w:val="24"/>
          <w:szCs w:val="24"/>
          <w:lang w:val="es-ES_tradnl"/>
        </w:rPr>
        <w:lastRenderedPageBreak/>
        <w:t xml:space="preserve">para su revisión y análisis sobre la admisión o desechamiento; por lo </w:t>
      </w:r>
      <w:r w:rsidR="0096093D">
        <w:rPr>
          <w:rFonts w:ascii="Palatino Linotype" w:eastAsia="Palatino Linotype" w:hAnsi="Palatino Linotype" w:cs="Palatino Linotype"/>
          <w:color w:val="000000"/>
          <w:sz w:val="24"/>
          <w:szCs w:val="24"/>
          <w:lang w:val="es-ES_tradnl"/>
        </w:rPr>
        <w:t xml:space="preserve">que en fecha </w:t>
      </w:r>
      <w:r w:rsidR="00BB2B23">
        <w:rPr>
          <w:rFonts w:ascii="Palatino Linotype" w:eastAsia="Palatino Linotype" w:hAnsi="Palatino Linotype" w:cs="Palatino Linotype"/>
          <w:color w:val="000000"/>
          <w:sz w:val="24"/>
          <w:szCs w:val="24"/>
          <w:lang w:val="es-ES_tradnl"/>
        </w:rPr>
        <w:t>treinta y uno de marzo</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0F452E25" w:rsidR="00DE351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transcurrido el término legal, se decretó el cierre de instrucción en fecha </w:t>
      </w:r>
      <w:r w:rsidR="00BB2B23">
        <w:rPr>
          <w:rFonts w:ascii="Palatino Linotype" w:eastAsia="Palatino Linotype" w:hAnsi="Palatino Linotype" w:cs="Palatino Linotype"/>
          <w:color w:val="000000"/>
          <w:sz w:val="24"/>
          <w:szCs w:val="24"/>
          <w:lang w:val="es-ES_tradnl"/>
        </w:rPr>
        <w:t>seis</w:t>
      </w:r>
      <w:r w:rsidR="00684491">
        <w:rPr>
          <w:rFonts w:ascii="Palatino Linotype" w:eastAsia="Palatino Linotype" w:hAnsi="Palatino Linotype" w:cs="Palatino Linotype"/>
          <w:color w:val="000000"/>
          <w:sz w:val="24"/>
          <w:szCs w:val="24"/>
          <w:lang w:val="es-ES_tradnl"/>
        </w:rPr>
        <w:t xml:space="preserve"> de mayo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5ED0824A" w14:textId="002344CD" w:rsidR="00BB2B23" w:rsidRDefault="00BB2B2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F1FD7A5" w14:textId="36F29F6D" w:rsidR="00BB2B23" w:rsidRPr="00BB2B23" w:rsidRDefault="00BB2B23" w:rsidP="00BB2B2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lang w:val="es-ES_tradnl"/>
        </w:rPr>
      </w:pPr>
      <w:r>
        <w:rPr>
          <w:rFonts w:ascii="Palatino Linotype" w:eastAsia="Palatino Linotype" w:hAnsi="Palatino Linotype" w:cs="Palatino Linotype"/>
          <w:b/>
          <w:bCs/>
          <w:color w:val="000000"/>
          <w:sz w:val="26"/>
          <w:szCs w:val="26"/>
          <w:lang w:val="es-ES_tradnl"/>
        </w:rPr>
        <w:t>SÉPTIMO</w:t>
      </w:r>
      <w:r w:rsidRPr="00BB2B23">
        <w:rPr>
          <w:rFonts w:ascii="Palatino Linotype" w:eastAsia="Palatino Linotype" w:hAnsi="Palatino Linotype" w:cs="Palatino Linotype"/>
          <w:b/>
          <w:bCs/>
          <w:color w:val="000000"/>
          <w:sz w:val="26"/>
          <w:szCs w:val="26"/>
          <w:lang w:val="es-ES_tradnl"/>
        </w:rPr>
        <w:t>. De la ampliación del término para resolver.</w:t>
      </w:r>
    </w:p>
    <w:p w14:paraId="64131FDF" w14:textId="653742A6" w:rsidR="00BB2B23" w:rsidRPr="00883102" w:rsidRDefault="00BB2B23" w:rsidP="00BB2B2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B2B23">
        <w:rPr>
          <w:rFonts w:ascii="Palatino Linotype" w:eastAsia="Palatino Linotype" w:hAnsi="Palatino Linotype" w:cs="Palatino Linotype"/>
          <w:color w:val="000000"/>
          <w:sz w:val="24"/>
          <w:szCs w:val="24"/>
          <w:lang w:val="es-ES_tradnl"/>
        </w:rPr>
        <w:t xml:space="preserve">En fecha </w:t>
      </w:r>
      <w:r>
        <w:rPr>
          <w:rFonts w:ascii="Palatino Linotype" w:eastAsia="Palatino Linotype" w:hAnsi="Palatino Linotype" w:cs="Palatino Linotype"/>
          <w:color w:val="000000"/>
          <w:sz w:val="24"/>
          <w:szCs w:val="24"/>
          <w:lang w:val="es-ES_tradnl"/>
        </w:rPr>
        <w:t>veinte</w:t>
      </w:r>
      <w:r w:rsidRPr="00BB2B23">
        <w:rPr>
          <w:rFonts w:ascii="Palatino Linotype" w:eastAsia="Palatino Linotype" w:hAnsi="Palatino Linotype" w:cs="Palatino Linotype"/>
          <w:color w:val="000000"/>
          <w:sz w:val="24"/>
          <w:szCs w:val="24"/>
          <w:lang w:val="es-ES_tradnl"/>
        </w:rPr>
        <w:t xml:space="preserve"> de mayo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lastRenderedPageBreak/>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883102">
        <w:rPr>
          <w:rFonts w:ascii="Palatino Linotype" w:eastAsia="Palatino Linotype" w:hAnsi="Palatino Linotype" w:cs="Palatino Linotype"/>
          <w:color w:val="000000"/>
          <w:sz w:val="24"/>
          <w:szCs w:val="24"/>
          <w:lang w:val="es-ES_tradnl"/>
        </w:rPr>
        <w:lastRenderedPageBreak/>
        <w:t>derecho de acceso a la información pública y garantizando el principio rector de máxima publicidad.</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CBE91" w14:textId="77777777" w:rsidR="0096093D" w:rsidRPr="00740DA2" w:rsidRDefault="0096093D" w:rsidP="0096093D">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19A7A109"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ED9A05F"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0DEA4F0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0E5A1D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47DC19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777AE3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25636C5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23F2E5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7CE10A41"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6053533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77ACBC6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38C47736"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641E2AA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7457594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5608E85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2EC6FD1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22E85C3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47272D75" w14:textId="77777777" w:rsidR="0096093D" w:rsidRPr="00650D3F" w:rsidRDefault="0096093D" w:rsidP="0096093D">
      <w:pPr>
        <w:spacing w:after="0" w:line="360" w:lineRule="auto"/>
        <w:contextualSpacing/>
        <w:jc w:val="both"/>
        <w:rPr>
          <w:rFonts w:ascii="Palatino Linotype" w:eastAsia="Palatino Linotype" w:hAnsi="Palatino Linotype" w:cs="Palatino Linotype"/>
          <w:b/>
          <w:i/>
          <w:sz w:val="24"/>
          <w:szCs w:val="24"/>
        </w:rPr>
      </w:pPr>
    </w:p>
    <w:p w14:paraId="4507BC2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4CA8F38"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79E529C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6780168C"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37EDEAA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D50C551"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5EAE7F6D"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75B71F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3A308DEA" w14:textId="77777777" w:rsidR="0096093D" w:rsidRPr="00740DA2" w:rsidRDefault="0096093D" w:rsidP="0096093D">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73C11AC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22D3D2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C8FDA8F"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25C06E2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624F8019"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w:t>
      </w:r>
    </w:p>
    <w:p w14:paraId="1EF2316D"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C5EDD1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6E559C6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655E8A83" w14:textId="77777777" w:rsidR="0096093D" w:rsidRPr="00740DA2" w:rsidRDefault="0096093D" w:rsidP="0096093D">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76F4B51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D4ADC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E1B13D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FD4FE90"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936C3E2"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505B2A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76A4A78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BC030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38CC9EF9"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1CFB8D3A"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965AA9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4DFF07"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673D94C5"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081329E"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7FA43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6CB1956" w14:textId="77777777" w:rsidR="0096093D" w:rsidRPr="00650D3F" w:rsidRDefault="0096093D" w:rsidP="0096093D">
      <w:pPr>
        <w:spacing w:after="0" w:line="360" w:lineRule="auto"/>
        <w:ind w:left="567" w:right="567"/>
        <w:contextualSpacing/>
        <w:jc w:val="both"/>
        <w:rPr>
          <w:rFonts w:ascii="Palatino Linotype" w:eastAsia="Palatino Linotype" w:hAnsi="Palatino Linotype" w:cs="Palatino Linotype"/>
          <w:sz w:val="24"/>
          <w:szCs w:val="24"/>
        </w:rPr>
      </w:pPr>
    </w:p>
    <w:p w14:paraId="2897C5CB" w14:textId="77777777" w:rsidR="0096093D" w:rsidRPr="00650D3F" w:rsidRDefault="0096093D" w:rsidP="0096093D">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18BD682" w14:textId="77777777" w:rsidR="0096093D" w:rsidRPr="00650D3F" w:rsidRDefault="0096093D" w:rsidP="0096093D">
      <w:pPr>
        <w:spacing w:after="0" w:line="240" w:lineRule="auto"/>
        <w:ind w:left="567" w:right="567"/>
        <w:contextualSpacing/>
        <w:jc w:val="both"/>
        <w:rPr>
          <w:rFonts w:ascii="Palatino Linotype" w:eastAsia="Palatino Linotype" w:hAnsi="Palatino Linotype" w:cs="Palatino Linotype"/>
          <w:sz w:val="24"/>
          <w:szCs w:val="24"/>
        </w:rPr>
      </w:pPr>
    </w:p>
    <w:p w14:paraId="4CB12A4B"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B05CC2"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5FE34C53"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DF401CB"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p>
    <w:p w14:paraId="04F582F8" w14:textId="77777777" w:rsidR="0096093D" w:rsidRPr="00740DA2" w:rsidRDefault="0096093D" w:rsidP="0096093D">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9AE1CBD" w14:textId="77777777" w:rsidR="0096093D" w:rsidRPr="00650D3F" w:rsidRDefault="0096093D" w:rsidP="0096093D">
      <w:pPr>
        <w:spacing w:after="0" w:line="360" w:lineRule="auto"/>
        <w:ind w:left="567" w:right="567"/>
        <w:contextualSpacing/>
        <w:jc w:val="both"/>
        <w:rPr>
          <w:rFonts w:ascii="Palatino Linotype" w:eastAsia="Palatino Linotype" w:hAnsi="Palatino Linotype" w:cs="Palatino Linotype"/>
          <w:sz w:val="24"/>
          <w:szCs w:val="24"/>
        </w:rPr>
      </w:pPr>
    </w:p>
    <w:p w14:paraId="079164CB"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650D3F">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6FD462F6" w14:textId="77777777" w:rsidR="0096093D" w:rsidRPr="00650D3F" w:rsidRDefault="0096093D" w:rsidP="0096093D">
      <w:pPr>
        <w:spacing w:after="0" w:line="360" w:lineRule="auto"/>
        <w:contextualSpacing/>
        <w:jc w:val="both"/>
        <w:rPr>
          <w:rFonts w:ascii="Palatino Linotype" w:eastAsia="Palatino Linotype" w:hAnsi="Palatino Linotype" w:cs="Palatino Linotype"/>
          <w:sz w:val="24"/>
          <w:szCs w:val="24"/>
        </w:rPr>
      </w:pPr>
    </w:p>
    <w:p w14:paraId="1164626F" w14:textId="41E55F71" w:rsidR="0096093D" w:rsidRDefault="0096093D"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5320EEFA" w14:textId="77777777" w:rsidR="0096093D"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12B22A0E" w:rsidR="00DE3512"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14DAF1C4"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79A586" w14:textId="77777777" w:rsidR="00BB2B23" w:rsidRDefault="00BB2B2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2FD78EAA" w:rsidR="00DE3512" w:rsidRPr="00883102"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QUINTO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A1BF87" w14:textId="286ACA13" w:rsidR="00684491" w:rsidRPr="00684491" w:rsidRDefault="00285EA0"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w:t>
      </w:r>
      <w:r w:rsidR="009C6D0B">
        <w:rPr>
          <w:rFonts w:ascii="Palatino Linotype" w:eastAsia="Palatino Linotype" w:hAnsi="Palatino Linotype" w:cs="Palatino Linotype"/>
          <w:color w:val="000000"/>
          <w:sz w:val="24"/>
          <w:szCs w:val="24"/>
          <w:lang w:val="es-ES_tradnl"/>
        </w:rPr>
        <w:t xml:space="preserve"> que se le hiciera entrega de los currículos, certificados de competencia laboral, nombramientos y recibos de nómina de la primera quincena de febrero de dos mil veintidós correspondientes a los titulares de la Unidad de Transparencia y de la Unidad de Planeación, o áreas equivalentes.</w:t>
      </w:r>
    </w:p>
    <w:p w14:paraId="37130B35" w14:textId="77777777" w:rsidR="00684491" w:rsidRPr="00883102" w:rsidRDefault="006844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243C54D7"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96093D">
        <w:rPr>
          <w:rFonts w:ascii="Palatino Linotype" w:eastAsia="Palatino Linotype" w:hAnsi="Palatino Linotype" w:cs="Palatino Linotype"/>
          <w:color w:val="000000"/>
          <w:sz w:val="24"/>
          <w:szCs w:val="24"/>
        </w:rPr>
        <w:t>el particular</w:t>
      </w:r>
      <w:r>
        <w:rPr>
          <w:rFonts w:ascii="Palatino Linotype" w:eastAsia="Palatino Linotype" w:hAnsi="Palatino Linotype" w:cs="Palatino Linotype"/>
          <w:color w:val="000000"/>
          <w:sz w:val="24"/>
          <w:szCs w:val="24"/>
        </w:rPr>
        <w:t xml:space="preserve"> interpuso su medio de impugnación señalando como acto impugnado </w:t>
      </w:r>
      <w:r w:rsidR="0096093D">
        <w:rPr>
          <w:rFonts w:ascii="Palatino Linotype" w:eastAsia="Palatino Linotype" w:hAnsi="Palatino Linotype" w:cs="Palatino Linotype"/>
          <w:color w:val="000000"/>
          <w:sz w:val="24"/>
          <w:szCs w:val="24"/>
        </w:rPr>
        <w:t xml:space="preserve">y razones o motivos </w:t>
      </w:r>
      <w:r w:rsidR="0041058F">
        <w:rPr>
          <w:rFonts w:ascii="Palatino Linotype" w:eastAsia="Palatino Linotype" w:hAnsi="Palatino Linotype" w:cs="Palatino Linotype"/>
          <w:color w:val="000000"/>
          <w:sz w:val="24"/>
          <w:szCs w:val="24"/>
        </w:rPr>
        <w:t xml:space="preserve">de inconformidad </w:t>
      </w:r>
      <w:r w:rsidR="009C6D0B">
        <w:rPr>
          <w:rFonts w:ascii="Palatino Linotype" w:eastAsia="Palatino Linotype" w:hAnsi="Palatino Linotype" w:cs="Palatino Linotype"/>
          <w:color w:val="000000"/>
          <w:sz w:val="24"/>
          <w:szCs w:val="24"/>
        </w:rPr>
        <w:t>la negativa de la respuesta.</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w:t>
      </w:r>
      <w:r w:rsidRPr="00883102">
        <w:rPr>
          <w:rFonts w:ascii="Palatino Linotype" w:eastAsia="Palatino Linotype" w:hAnsi="Palatino Linotype" w:cs="Palatino Linotype"/>
          <w:color w:val="000000"/>
          <w:sz w:val="24"/>
          <w:szCs w:val="24"/>
          <w:lang w:val="es-ES_tradnl"/>
        </w:rPr>
        <w:lastRenderedPageBreak/>
        <w:t xml:space="preserve">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VIII. La Federación contará con un organismo autónomo, especializado, imparcial, colegiado, con personalidad jurídica y patrimonio propio, con plena autonomía técnica, de </w:t>
      </w:r>
      <w:r w:rsidRPr="00883102">
        <w:rPr>
          <w:rFonts w:ascii="Palatino Linotype" w:eastAsiaTheme="minorHAnsi" w:hAnsi="Palatino Linotype" w:cstheme="minorBidi"/>
          <w:i/>
          <w:lang w:val="es-ES_tradnl" w:eastAsia="en-US"/>
        </w:rPr>
        <w:lastRenderedPageBreak/>
        <w:t>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w:t>
      </w:r>
      <w:r w:rsidR="00E6674B" w:rsidRPr="00883102">
        <w:rPr>
          <w:rFonts w:ascii="Palatino Linotype" w:eastAsia="Arial Unicode MS" w:hAnsi="Palatino Linotype" w:cstheme="minorBidi"/>
          <w:sz w:val="24"/>
          <w:szCs w:val="24"/>
          <w:lang w:val="es-ES_tradnl" w:eastAsia="en-US"/>
        </w:rPr>
        <w:lastRenderedPageBreak/>
        <w:t xml:space="preserve">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mérito de lo expuesto, es claro que en este caso en particular la Unidad de Transparencia incumplió la normativa en la materia, puesto, aunque se realizaron los </w:t>
      </w:r>
      <w:r w:rsidRPr="00883102">
        <w:rPr>
          <w:rFonts w:ascii="Palatino Linotype" w:eastAsiaTheme="minorHAnsi" w:hAnsi="Palatino Linotype" w:cstheme="minorBidi"/>
          <w:sz w:val="24"/>
          <w:szCs w:val="24"/>
          <w:lang w:val="es-ES_tradnl" w:eastAsia="en-US"/>
        </w:rPr>
        <w:lastRenderedPageBreak/>
        <w:t>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lastRenderedPageBreak/>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w:t>
      </w:r>
      <w:r w:rsidRPr="00883102">
        <w:rPr>
          <w:rFonts w:ascii="Palatino Linotype" w:eastAsiaTheme="minorHAnsi" w:hAnsi="Palatino Linotype" w:cs="Arial"/>
          <w:sz w:val="24"/>
          <w:szCs w:val="24"/>
          <w:lang w:val="es-ES_tradnl" w:eastAsia="en-US"/>
        </w:rPr>
        <w:lastRenderedPageBreak/>
        <w:t>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83102">
        <w:rPr>
          <w:rFonts w:ascii="Palatino Linotype" w:hAnsi="Palatino Linotype" w:cs="Arial"/>
          <w:sz w:val="24"/>
          <w:szCs w:val="24"/>
          <w:lang w:val="es-ES_tradnl" w:eastAsia="en-US"/>
        </w:rPr>
        <w:lastRenderedPageBreak/>
        <w:t>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w:t>
      </w:r>
      <w:r w:rsidRPr="00883102">
        <w:rPr>
          <w:rFonts w:ascii="Palatino Linotype" w:eastAsiaTheme="minorHAnsi" w:hAnsi="Palatino Linotype" w:cstheme="minorBidi"/>
          <w:sz w:val="24"/>
          <w:szCs w:val="24"/>
          <w:lang w:val="es-ES_tradnl" w:eastAsia="en-US"/>
        </w:rPr>
        <w:lastRenderedPageBreak/>
        <w:t>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w:t>
      </w:r>
      <w:r w:rsidRPr="00883102">
        <w:rPr>
          <w:rFonts w:ascii="Palatino Linotype" w:eastAsiaTheme="minorHAnsi" w:hAnsi="Palatino Linotype" w:cstheme="minorBidi"/>
          <w:sz w:val="24"/>
          <w:szCs w:val="24"/>
          <w:lang w:val="es-ES_tradnl" w:eastAsia="en-US"/>
        </w:rPr>
        <w:lastRenderedPageBreak/>
        <w:t xml:space="preserve">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xml:space="preserve">, cuando un documento contenga </w:t>
      </w:r>
      <w:r w:rsidRPr="00783B44">
        <w:rPr>
          <w:rFonts w:ascii="Palatino Linotype" w:eastAsia="Palatino Linotype" w:hAnsi="Palatino Linotype" w:cs="Palatino Linotype"/>
          <w:b/>
          <w:bCs/>
          <w:i/>
          <w:iCs/>
          <w:color w:val="000000"/>
          <w:u w:val="single"/>
        </w:rPr>
        <w:lastRenderedPageBreak/>
        <w:t>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w:t>
      </w:r>
      <w:r w:rsidRPr="00783B44">
        <w:rPr>
          <w:rFonts w:ascii="Palatino Linotype" w:eastAsia="Palatino Linotype" w:hAnsi="Palatino Linotype" w:cs="Palatino Linotype"/>
          <w:i/>
          <w:iCs/>
          <w:color w:val="000000"/>
        </w:rPr>
        <w:lastRenderedPageBreak/>
        <w:t>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w:t>
      </w:r>
      <w:r w:rsidRPr="00883102">
        <w:rPr>
          <w:rFonts w:ascii="Palatino Linotype" w:eastAsiaTheme="minorHAnsi" w:hAnsi="Palatino Linotype" w:cstheme="minorBidi"/>
          <w:bCs/>
          <w:i/>
          <w:iCs/>
          <w:lang w:val="es-ES_tradnl" w:eastAsia="en-US"/>
        </w:rPr>
        <w:lastRenderedPageBreak/>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w:t>
      </w:r>
      <w:r w:rsidRPr="00883102">
        <w:rPr>
          <w:rFonts w:ascii="Palatino Linotype" w:eastAsiaTheme="minorHAnsi" w:hAnsi="Palatino Linotype" w:cs="Arial"/>
          <w:sz w:val="24"/>
          <w:szCs w:val="24"/>
          <w:lang w:val="es-ES_tradnl" w:eastAsia="en-US"/>
        </w:rPr>
        <w:lastRenderedPageBreak/>
        <w:t>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1E6EE2DC"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41058F">
        <w:rPr>
          <w:rFonts w:ascii="Palatino Linotype" w:eastAsiaTheme="minorHAnsi" w:hAnsi="Palatino Linotype" w:cstheme="minorHAnsi"/>
          <w:b/>
          <w:sz w:val="24"/>
          <w:szCs w:val="24"/>
          <w:lang w:val="es-ES_tradnl" w:eastAsia="en-US"/>
        </w:rPr>
        <w:t>QUIN</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20DE253F"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41058F">
        <w:rPr>
          <w:rFonts w:ascii="Palatino Linotype" w:eastAsia="Palatino Linotype" w:hAnsi="Palatino Linotype" w:cs="Palatino Linotype"/>
          <w:b/>
          <w:bCs/>
          <w:color w:val="000000"/>
          <w:sz w:val="24"/>
          <w:szCs w:val="24"/>
        </w:rPr>
        <w:t>00</w:t>
      </w:r>
      <w:r w:rsidR="009C6D0B">
        <w:rPr>
          <w:rFonts w:ascii="Palatino Linotype" w:eastAsia="Palatino Linotype" w:hAnsi="Palatino Linotype" w:cs="Palatino Linotype"/>
          <w:b/>
          <w:bCs/>
          <w:color w:val="000000"/>
          <w:sz w:val="24"/>
          <w:szCs w:val="24"/>
        </w:rPr>
        <w:t>044/ACOLMAN</w:t>
      </w:r>
      <w:r w:rsidR="00683B9C" w:rsidRPr="00683B9C">
        <w:rPr>
          <w:rFonts w:ascii="Palatino Linotype" w:eastAsia="Palatino Linotype" w:hAnsi="Palatino Linotype" w:cs="Palatino Linotype"/>
          <w:b/>
          <w:bCs/>
          <w:color w:val="000000"/>
          <w:sz w:val="24"/>
          <w:szCs w:val="24"/>
        </w:rPr>
        <w: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41058F">
        <w:rPr>
          <w:rFonts w:ascii="Palatino Linotype" w:eastAsiaTheme="minorHAnsi" w:hAnsi="Palatino Linotype" w:cstheme="minorBidi"/>
          <w:b/>
          <w:bCs/>
          <w:color w:val="222222"/>
          <w:sz w:val="24"/>
          <w:szCs w:val="24"/>
          <w:lang w:val="es-ES_tradnl"/>
        </w:rPr>
        <w:t>QUIN</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9E4A1A7"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883102">
        <w:rPr>
          <w:rFonts w:ascii="Palatino Linotype" w:eastAsia="MS Mincho" w:hAnsi="Palatino Linotype" w:cstheme="minorHAnsi"/>
          <w:sz w:val="24"/>
          <w:szCs w:val="24"/>
          <w:lang w:val="es-ES_tradnl" w:eastAsia="en-US"/>
        </w:rPr>
        <w:lastRenderedPageBreak/>
        <w:t xml:space="preserve">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9C6D0B">
        <w:rPr>
          <w:rFonts w:ascii="Palatino Linotype" w:eastAsia="MS Mincho" w:hAnsi="Palatino Linotype" w:cstheme="minorHAnsi"/>
          <w:b/>
          <w:sz w:val="24"/>
          <w:szCs w:val="24"/>
          <w:lang w:val="es-ES_tradnl" w:eastAsia="en-US"/>
        </w:rPr>
        <w:t>QUIN</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3314A8F9" w:rsidR="008E7C9A" w:rsidRDefault="00663A37" w:rsidP="009C6D0B">
      <w:pPr>
        <w:pBdr>
          <w:top w:val="nil"/>
          <w:left w:val="nil"/>
          <w:bottom w:val="nil"/>
          <w:right w:val="nil"/>
          <w:between w:val="nil"/>
        </w:pBdr>
        <w:spacing w:line="276" w:lineRule="auto"/>
        <w:contextualSpacing/>
        <w:jc w:val="both"/>
        <w:rPr>
          <w:rFonts w:ascii="Palatino Linotype" w:eastAsia="Palatino Linotype" w:hAnsi="Palatino Linotype" w:cs="Palatino Linotype"/>
          <w:color w:val="000000"/>
          <w:sz w:val="24"/>
          <w:szCs w:val="24"/>
          <w:lang w:val="es-ES_tradnl"/>
        </w:rPr>
      </w:pPr>
      <w:bookmarkStart w:id="0" w:name="_heading=h.gjdgxs" w:colFirst="0" w:colLast="0"/>
      <w:bookmarkEnd w:id="0"/>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41058F">
        <w:rPr>
          <w:rFonts w:ascii="Palatino Linotype" w:eastAsia="Palatino Linotype" w:hAnsi="Palatino Linotype" w:cs="Palatino Linotype"/>
          <w:color w:val="000000"/>
          <w:sz w:val="24"/>
          <w:szCs w:val="24"/>
          <w:lang w:val="es-ES_tradnl"/>
        </w:rPr>
        <w:t xml:space="preserve">VIGÉSIMA SEGUNDA </w:t>
      </w:r>
      <w:r w:rsidRPr="00883102">
        <w:rPr>
          <w:rFonts w:ascii="Palatino Linotype" w:eastAsia="Palatino Linotype" w:hAnsi="Palatino Linotype" w:cs="Palatino Linotype"/>
          <w:color w:val="000000"/>
          <w:sz w:val="24"/>
          <w:szCs w:val="24"/>
          <w:lang w:val="es-ES_tradnl"/>
        </w:rPr>
        <w:t>SESIÓN ORDINARIA CELEBRADA EL</w:t>
      </w:r>
      <w:r w:rsidR="0041058F">
        <w:rPr>
          <w:rFonts w:ascii="Palatino Linotype" w:eastAsia="Palatino Linotype" w:hAnsi="Palatino Linotype" w:cs="Palatino Linotype"/>
          <w:color w:val="000000"/>
          <w:sz w:val="24"/>
          <w:szCs w:val="24"/>
          <w:lang w:val="es-ES_tradnl"/>
        </w:rPr>
        <w:t xml:space="preserve"> QUINCE DE JUNIO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p>
    <w:p w14:paraId="3AA327F5" w14:textId="1136EA13" w:rsidR="00A22A54" w:rsidRPr="00A22A54" w:rsidRDefault="00A22A54" w:rsidP="009C6D0B">
      <w:pPr>
        <w:pBdr>
          <w:top w:val="nil"/>
          <w:left w:val="nil"/>
          <w:bottom w:val="nil"/>
          <w:right w:val="nil"/>
          <w:between w:val="nil"/>
        </w:pBdr>
        <w:spacing w:line="276" w:lineRule="auto"/>
        <w:contextualSpacing/>
        <w:jc w:val="both"/>
        <w:rPr>
          <w:rFonts w:ascii="Palatino Linotype" w:eastAsia="Palatino Linotype" w:hAnsi="Palatino Linotype" w:cs="Palatino Linotype"/>
          <w:color w:val="000000"/>
          <w:sz w:val="18"/>
          <w:szCs w:val="18"/>
          <w:lang w:val="es-ES_tradnl"/>
        </w:rPr>
      </w:pPr>
      <w:r w:rsidRPr="00A22A54">
        <w:rPr>
          <w:rFonts w:ascii="Palatino Linotype" w:eastAsia="Palatino Linotype" w:hAnsi="Palatino Linotype" w:cs="Palatino Linotype"/>
          <w:color w:val="000000"/>
          <w:sz w:val="18"/>
          <w:szCs w:val="18"/>
          <w:lang w:val="es-ES_tradnl"/>
        </w:rPr>
        <w:t>-------------------------------------------------------------------------------------------------------------------------------------------------------</w:t>
      </w:r>
      <w:r>
        <w:rPr>
          <w:rFonts w:ascii="Palatino Linotype" w:eastAsia="Palatino Linotype" w:hAnsi="Palatino Linotype" w:cs="Palatino Linotype"/>
          <w:color w:val="000000"/>
          <w:sz w:val="18"/>
          <w:szCs w:val="18"/>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403C" w14:textId="77777777" w:rsidR="0096037B" w:rsidRDefault="0096037B" w:rsidP="00F2498E">
      <w:pPr>
        <w:spacing w:after="0" w:line="240" w:lineRule="auto"/>
      </w:pPr>
      <w:r>
        <w:separator/>
      </w:r>
    </w:p>
  </w:endnote>
  <w:endnote w:type="continuationSeparator" w:id="0">
    <w:p w14:paraId="0D493446" w14:textId="77777777" w:rsidR="0096037B" w:rsidRDefault="0096037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1058F">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6CBD" w14:textId="77777777" w:rsidR="0096037B" w:rsidRDefault="0096037B" w:rsidP="00F2498E">
      <w:pPr>
        <w:spacing w:after="0" w:line="240" w:lineRule="auto"/>
      </w:pPr>
      <w:r>
        <w:separator/>
      </w:r>
    </w:p>
  </w:footnote>
  <w:footnote w:type="continuationSeparator" w:id="0">
    <w:p w14:paraId="51FD82DA" w14:textId="77777777" w:rsidR="0096037B" w:rsidRDefault="0096037B"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w:t>
      </w:r>
      <w:r w:rsidRPr="00891FE0">
        <w:rPr>
          <w:rFonts w:ascii="Palatino Linotype" w:hAnsi="Palatino Linotype"/>
          <w:sz w:val="18"/>
          <w:szCs w:val="18"/>
        </w:rPr>
        <w:t xml:space="preserve">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w:t>
      </w:r>
      <w:r w:rsidRPr="00891FE0">
        <w:rPr>
          <w:rFonts w:ascii="Palatino Linotype" w:hAnsi="Palatino Linotype"/>
          <w:sz w:val="18"/>
          <w:szCs w:val="18"/>
        </w:rPr>
        <w:t xml:space="preserve">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96037B">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F2B88BA"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4A5CD2">
            <w:rPr>
              <w:rFonts w:ascii="Palatino Linotype" w:hAnsi="Palatino Linotype" w:cs="Arial"/>
              <w:b/>
              <w:bCs/>
              <w:sz w:val="24"/>
              <w:szCs w:val="24"/>
            </w:rPr>
            <w:t>519</w:t>
          </w:r>
          <w:r w:rsidR="009E16DC">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4BB2F95"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4A5CD2">
            <w:rPr>
              <w:rFonts w:ascii="Palatino Linotype" w:hAnsi="Palatino Linotype" w:cs="Arial"/>
              <w:sz w:val="24"/>
              <w:szCs w:val="24"/>
            </w:rPr>
            <w:t>Acolman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4EF9386" w:rsidR="00A27FD0" w:rsidRPr="004A5CD2" w:rsidRDefault="0096037B">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A5C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6A87BCF"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4A5CD2">
            <w:rPr>
              <w:rFonts w:ascii="Palatino Linotype" w:hAnsi="Palatino Linotype" w:cs="Arial"/>
              <w:b/>
              <w:bCs/>
              <w:sz w:val="24"/>
              <w:szCs w:val="24"/>
            </w:rPr>
            <w:t>519</w:t>
          </w:r>
          <w:r w:rsidR="00901053">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2A863F1" w:rsidR="00A27FD0" w:rsidRPr="00C50FCD" w:rsidRDefault="00A27FD0" w:rsidP="00C50FCD">
          <w:pPr>
            <w:pStyle w:val="Prrafodelista"/>
            <w:spacing w:after="120"/>
            <w:ind w:left="720" w:right="68"/>
            <w:jc w:val="right"/>
            <w:rPr>
              <w:rFonts w:ascii="Palatino Linotype" w:hAnsi="Palatino Linotype" w:cs="Arial"/>
            </w:rPr>
          </w:pP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127F8DA"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4A5CD2">
            <w:rPr>
              <w:rFonts w:ascii="Palatino Linotype" w:hAnsi="Palatino Linotype" w:cs="Arial"/>
              <w:sz w:val="24"/>
              <w:szCs w:val="24"/>
            </w:rPr>
            <w:t>Acolman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7AC9A3E4" w:rsidR="00A27FD0" w:rsidRPr="004A5CD2" w:rsidRDefault="0096037B">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9pt;margin-top:-142.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A5CD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9621549">
    <w:abstractNumId w:val="5"/>
  </w:num>
  <w:num w:numId="2" w16cid:durableId="2019381670">
    <w:abstractNumId w:val="1"/>
  </w:num>
  <w:num w:numId="3" w16cid:durableId="1167864400">
    <w:abstractNumId w:val="6"/>
  </w:num>
  <w:num w:numId="4" w16cid:durableId="1935816449">
    <w:abstractNumId w:val="3"/>
  </w:num>
  <w:num w:numId="5" w16cid:durableId="1025599356">
    <w:abstractNumId w:val="4"/>
  </w:num>
  <w:num w:numId="6" w16cid:durableId="657197777">
    <w:abstractNumId w:val="0"/>
  </w:num>
  <w:num w:numId="7" w16cid:durableId="5697762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5CD2"/>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7B"/>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C6D0B"/>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2A54"/>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2B23"/>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0C51-4192-4790-BD3B-F070F7E9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9522</Words>
  <Characters>52377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2019-06-13T15:30:00Z</cp:lastPrinted>
  <dcterms:created xsi:type="dcterms:W3CDTF">2022-06-08T15:19:00Z</dcterms:created>
  <dcterms:modified xsi:type="dcterms:W3CDTF">2022-06-08T15:19:00Z</dcterms:modified>
</cp:coreProperties>
</file>