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cuatro de mayo del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 </w:t>
      </w:r>
      <w:r w:rsidDel="00000000" w:rsidR="00000000" w:rsidRPr="00000000">
        <w:rPr>
          <w:rFonts w:ascii="Palatino Linotype" w:cs="Palatino Linotype" w:eastAsia="Palatino Linotype" w:hAnsi="Palatino Linotype"/>
          <w:rtl w:val="0"/>
        </w:rPr>
        <w:t xml:space="preserve">el expediente relativo al recurso de revisión </w:t>
      </w:r>
      <w:r w:rsidDel="00000000" w:rsidR="00000000" w:rsidRPr="00000000">
        <w:rPr>
          <w:rFonts w:ascii="Palatino Linotype" w:cs="Palatino Linotype" w:eastAsia="Palatino Linotype" w:hAnsi="Palatino Linotype"/>
          <w:b w:val="1"/>
          <w:rtl w:val="0"/>
        </w:rPr>
        <w:t xml:space="preserve">01544/INFOEM/IP/RR/2022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 XXXXXXX XXXXXXX,</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falta de respuesta a la solicitud de información con número de folio </w:t>
      </w:r>
      <w:r w:rsidDel="00000000" w:rsidR="00000000" w:rsidRPr="00000000">
        <w:rPr>
          <w:rFonts w:ascii="Palatino Linotype" w:cs="Palatino Linotype" w:eastAsia="Palatino Linotype" w:hAnsi="Palatino Linotype"/>
          <w:b w:val="1"/>
          <w:rtl w:val="0"/>
        </w:rPr>
        <w:t xml:space="preserve">00021/TEXCALYA/IP/2022,</w:t>
      </w:r>
      <w:r w:rsidDel="00000000" w:rsidR="00000000" w:rsidRPr="00000000">
        <w:rPr>
          <w:rFonts w:ascii="Palatino Linotype" w:cs="Palatino Linotype" w:eastAsia="Palatino Linotype" w:hAnsi="Palatino Linotype"/>
          <w:rtl w:val="0"/>
        </w:rPr>
        <w:t xml:space="preserve"> por parte de </w:t>
      </w:r>
      <w:r w:rsidDel="00000000" w:rsidR="00000000" w:rsidRPr="00000000">
        <w:rPr>
          <w:rFonts w:ascii="Palatino Linotype" w:cs="Palatino Linotype" w:eastAsia="Palatino Linotype" w:hAnsi="Palatino Linotype"/>
          <w:b w:val="1"/>
          <w:rtl w:val="0"/>
        </w:rPr>
        <w:t xml:space="preserve">Ayuntamiento de Texcalyacac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1077"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treinta y uno de enero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Plataforma Nacional de Transparencia, vinculada al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Sujeto Obligado, la solicitud de acceso a la información pública, a la que se le asignó el número de folio </w:t>
      </w:r>
      <w:r w:rsidDel="00000000" w:rsidR="00000000" w:rsidRPr="00000000">
        <w:rPr>
          <w:rFonts w:ascii="Palatino Linotype" w:cs="Palatino Linotype" w:eastAsia="Palatino Linotype" w:hAnsi="Palatino Linotype"/>
          <w:b w:val="1"/>
          <w:rtl w:val="0"/>
        </w:rPr>
        <w:t xml:space="preserve">00021/TEXCALYA/IP/2022</w:t>
      </w:r>
      <w:r w:rsidDel="00000000" w:rsidR="00000000" w:rsidRPr="00000000">
        <w:rPr>
          <w:rFonts w:ascii="Palatino Linotype" w:cs="Palatino Linotype" w:eastAsia="Palatino Linotype" w:hAnsi="Palatino Linotype"/>
          <w:rtl w:val="0"/>
        </w:rPr>
        <w:t xml:space="preserve">, requiriendo lo siguiente:</w:t>
      </w:r>
    </w:p>
    <w:p w:rsidR="00000000" w:rsidDel="00000000" w:rsidP="00000000" w:rsidRDefault="00000000" w:rsidRPr="00000000" w14:paraId="00000005">
      <w:pPr>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06">
      <w:pP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Toda vez que la solicitud se presentó a través de la Plataforma Nacional de Transparencia, se entiende que la información se requiere a través del SAIMEX, correo electrónico y por cualquier otro medio electrónico (USB, SD o CD).</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Pr>
        <w:drawing>
          <wp:inline distB="0" distT="0" distL="0" distR="0">
            <wp:extent cx="5612130" cy="599440"/>
            <wp:effectExtent b="0" l="0" r="0" t="0"/>
            <wp:docPr id="1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12130" cy="59944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De las constancias que obran en SAIMEX, se observa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emitió respuesta a la solicitud de información formulada por la parte </w:t>
      </w:r>
      <w:r w:rsidDel="00000000" w:rsidR="00000000" w:rsidRPr="00000000">
        <w:rPr>
          <w:rFonts w:ascii="Palatino Linotype" w:cs="Palatino Linotype" w:eastAsia="Palatino Linotype" w:hAnsi="Palatino Linotype"/>
          <w:b w:val="1"/>
          <w:rtl w:val="0"/>
        </w:rPr>
        <w:t xml:space="preserve">Recurrente.</w:t>
      </w:r>
    </w:p>
    <w:p w:rsidR="00000000" w:rsidDel="00000000" w:rsidP="00000000" w:rsidRDefault="00000000" w:rsidRPr="00000000" w14:paraId="0000000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la parte solicitante con la falta de respuesta del Sujeto Obligado, interpuso recurso de revisión a través de SAIMEX en fecha </w:t>
      </w:r>
      <w:r w:rsidDel="00000000" w:rsidR="00000000" w:rsidRPr="00000000">
        <w:rPr>
          <w:rFonts w:ascii="Palatino Linotype" w:cs="Palatino Linotype" w:eastAsia="Palatino Linotype" w:hAnsi="Palatino Linotype"/>
          <w:b w:val="1"/>
          <w:rtl w:val="0"/>
        </w:rPr>
        <w:t xml:space="preserve">veintitrés de febrero de dos mil veintidós</w:t>
      </w:r>
      <w:r w:rsidDel="00000000" w:rsidR="00000000" w:rsidRPr="00000000">
        <w:rPr>
          <w:rFonts w:ascii="Palatino Linotype" w:cs="Palatino Linotype" w:eastAsia="Palatino Linotype" w:hAnsi="Palatino Linotype"/>
          <w:rtl w:val="0"/>
        </w:rPr>
        <w:t xml:space="preserve">, expresando lo siguiente:</w:t>
      </w:r>
    </w:p>
    <w:p w:rsidR="00000000" w:rsidDel="00000000" w:rsidP="00000000" w:rsidRDefault="00000000" w:rsidRPr="00000000" w14:paraId="0000000B">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“Su total omisión a mi solicitud de información</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(Sic)</w:t>
      </w:r>
    </w:p>
    <w:p w:rsidR="00000000" w:rsidDel="00000000" w:rsidP="00000000" w:rsidRDefault="00000000" w:rsidRPr="00000000" w14:paraId="0000000D">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851" w:right="90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“Por medio de la presente hoy 23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Texcalyacac, ya que su omisión de respuesta que no me entrego oficios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Texcalyacac,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vista Horizontal y vertical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si aplica es darme las constancias y opiniones de cumplimiento al día de esas Recaudadoras estatales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para eficientar y mejorar sus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Polo Alvarez.” (Sic)}</w:t>
      </w:r>
    </w:p>
    <w:p w:rsidR="00000000" w:rsidDel="00000000" w:rsidP="00000000" w:rsidRDefault="00000000" w:rsidRPr="00000000" w14:paraId="0000000F">
      <w:pPr>
        <w:spacing w:after="240" w:before="240" w:lineRule="auto"/>
        <w:jc w:val="both"/>
        <w:rPr/>
      </w:pPr>
      <w:r w:rsidDel="00000000" w:rsidR="00000000" w:rsidRPr="00000000">
        <w:rPr>
          <w:rFonts w:ascii="Palatino Linotype" w:cs="Palatino Linotype" w:eastAsia="Palatino Linotype" w:hAnsi="Palatino Linotype"/>
          <w:color w:val="000000"/>
          <w:rtl w:val="0"/>
        </w:rPr>
        <w:t xml:space="preserve">La parte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adjuntó los archivos:</w:t>
      </w:r>
      <w:r w:rsidDel="00000000" w:rsidR="00000000" w:rsidRPr="00000000">
        <w:rPr>
          <w:rtl w:val="0"/>
        </w:rPr>
      </w:r>
    </w:p>
    <w:p w:rsidR="00000000" w:rsidDel="00000000" w:rsidP="00000000" w:rsidRDefault="00000000" w:rsidRPr="00000000" w14:paraId="00000010">
      <w:pPr>
        <w:spacing w:after="240" w:before="240" w:lineRule="auto"/>
        <w:jc w:val="both"/>
        <w:rPr/>
      </w:pPr>
      <w:r w:rsidDel="00000000" w:rsidR="00000000" w:rsidRPr="00000000">
        <w:rPr>
          <w:rFonts w:ascii="Palatino Linotype" w:cs="Palatino Linotype" w:eastAsia="Palatino Linotype" w:hAnsi="Palatino Linotype"/>
          <w:i w:val="1"/>
          <w:color w:val="000000"/>
          <w:rtl w:val="0"/>
        </w:rPr>
        <w:t xml:space="preserve">- “G-13-01-02-2019-01 ejemplo detalle diferencias sueldos y salarios, diferencias mensuales.pdf”, </w:t>
      </w:r>
      <w:r w:rsidDel="00000000" w:rsidR="00000000" w:rsidRPr="00000000">
        <w:rPr>
          <w:rFonts w:ascii="Palatino Linotype" w:cs="Palatino Linotype" w:eastAsia="Palatino Linotype" w:hAnsi="Palatino Linotype"/>
          <w:color w:val="000000"/>
          <w:rtl w:val="0"/>
        </w:rPr>
        <w:t xml:space="preserve"> que contiene lo siguiente:</w:t>
      </w:r>
      <w:r w:rsidDel="00000000" w:rsidR="00000000" w:rsidRPr="00000000">
        <w:rPr>
          <w:rtl w:val="0"/>
        </w:rPr>
      </w:r>
    </w:p>
    <w:p w:rsidR="00000000" w:rsidDel="00000000" w:rsidP="00000000" w:rsidRDefault="00000000" w:rsidRPr="00000000" w14:paraId="00000011">
      <w:pPr>
        <w:spacing w:after="240" w:before="240" w:lineRule="auto"/>
        <w:jc w:val="both"/>
        <w:rPr/>
      </w:pPr>
      <w:r w:rsidDel="00000000" w:rsidR="00000000" w:rsidRPr="00000000">
        <w:rPr>
          <w:rFonts w:ascii="Palatino Linotype" w:cs="Palatino Linotype" w:eastAsia="Palatino Linotype" w:hAnsi="Palatino Linotype"/>
          <w:color w:val="000000"/>
        </w:rPr>
        <w:drawing>
          <wp:inline distB="0" distT="0" distL="0" distR="0">
            <wp:extent cx="5494655" cy="2075180"/>
            <wp:effectExtent b="0" l="0" r="0" t="0"/>
            <wp:docPr descr="https://lh6.googleusercontent.com/_itIXhhdl4dJtW-m1Xiw5jtkc5px7Lx2YiE0KR6D5EKs1zSh1Vv9WhqYlfTCijL1uqFeXsDQ2yQZ_8dQhRHZuqGPwg_xvM2fn-NpVLY8s3pBrFC_ub5jl4D0ixwJkQB6yoQaD4Mv" id="15" name="image3.png"/>
            <a:graphic>
              <a:graphicData uri="http://schemas.openxmlformats.org/drawingml/2006/picture">
                <pic:pic>
                  <pic:nvPicPr>
                    <pic:cNvPr descr="https://lh6.googleusercontent.com/_itIXhhdl4dJtW-m1Xiw5jtkc5px7Lx2YiE0KR6D5EKs1zSh1Vv9WhqYlfTCijL1uqFeXsDQ2yQZ_8dQhRHZuqGPwg_xvM2fn-NpVLY8s3pBrFC_ub5jl4D0ixwJkQB6yoQaD4Mv" id="0" name="image3.png"/>
                    <pic:cNvPicPr preferRelativeResize="0"/>
                  </pic:nvPicPr>
                  <pic:blipFill>
                    <a:blip r:embed="rId9"/>
                    <a:srcRect b="0" l="0" r="0" t="0"/>
                    <a:stretch>
                      <a:fillRect/>
                    </a:stretch>
                  </pic:blipFill>
                  <pic:spPr>
                    <a:xfrm>
                      <a:off x="0" y="0"/>
                      <a:ext cx="5494655" cy="2075180"/>
                    </a:xfrm>
                    <a:prstGeom prst="rect"/>
                    <a:ln/>
                  </pic:spPr>
                </pic:pic>
              </a:graphicData>
            </a:graphic>
          </wp:inline>
        </w:drawing>
      </w:r>
      <w:r w:rsidDel="00000000" w:rsidR="00000000" w:rsidRPr="00000000">
        <w:rPr>
          <w:rtl w:val="0"/>
        </w:rPr>
      </w:r>
    </w:p>
    <w:tbl>
      <w:tblPr>
        <w:tblStyle w:val="Table1"/>
        <w:tblW w:w="8838.0" w:type="dxa"/>
        <w:jc w:val="left"/>
        <w:tblInd w:w="0.0" w:type="dxa"/>
        <w:tblLayout w:type="fixed"/>
        <w:tblLook w:val="0400"/>
      </w:tblPr>
      <w:tblGrid>
        <w:gridCol w:w="4419"/>
        <w:gridCol w:w="4419"/>
        <w:tblGridChange w:id="0">
          <w:tblGrid>
            <w:gridCol w:w="4419"/>
            <w:gridCol w:w="4419"/>
          </w:tblGrid>
        </w:tblGridChange>
      </w:tblGrid>
      <w:tr>
        <w:trPr>
          <w:cantSplit w:val="0"/>
          <w:tblHeader w:val="0"/>
        </w:trPr>
        <w:tc>
          <w:tcPr>
            <w:tcMar>
              <w:top w:w="0.0" w:type="dxa"/>
              <w:left w:w="115.0" w:type="dxa"/>
              <w:bottom w:w="0.0" w:type="dxa"/>
              <w:right w:w="115.0" w:type="dxa"/>
            </w:tcMar>
          </w:tcPr>
          <w:p w:rsidR="00000000" w:rsidDel="00000000" w:rsidP="00000000" w:rsidRDefault="00000000" w:rsidRPr="00000000" w14:paraId="00000012">
            <w:pPr>
              <w:spacing w:after="240" w:before="240" w:lineRule="auto"/>
              <w:jc w:val="both"/>
              <w:rPr/>
            </w:pPr>
            <w:r w:rsidDel="00000000" w:rsidR="00000000" w:rsidRPr="00000000">
              <w:rPr>
                <w:rFonts w:ascii="Palatino Linotype" w:cs="Palatino Linotype" w:eastAsia="Palatino Linotype" w:hAnsi="Palatino Linotype"/>
                <w:color w:val="000000"/>
              </w:rPr>
              <w:drawing>
                <wp:inline distB="0" distT="0" distL="0" distR="0">
                  <wp:extent cx="2695575" cy="1884680"/>
                  <wp:effectExtent b="0" l="0" r="0" t="0"/>
                  <wp:docPr descr="https://lh4.googleusercontent.com/Lh5wF17vj9aPz0X7esZiW6ec87Wd3YCl0xTw3iW0guxtxsUQa4hRkNgba3oohhEBCWifP23eUF-ie_maBVdjIWoocSE6VlckdAJ7MtDnsReMr5Sgpq9xMRMAFVgIqHUF1Lvxphd_" id="14" name="image7.png"/>
                  <a:graphic>
                    <a:graphicData uri="http://schemas.openxmlformats.org/drawingml/2006/picture">
                      <pic:pic>
                        <pic:nvPicPr>
                          <pic:cNvPr descr="https://lh4.googleusercontent.com/Lh5wF17vj9aPz0X7esZiW6ec87Wd3YCl0xTw3iW0guxtxsUQa4hRkNgba3oohhEBCWifP23eUF-ie_maBVdjIWoocSE6VlckdAJ7MtDnsReMr5Sgpq9xMRMAFVgIqHUF1Lvxphd_" id="0" name="image7.png"/>
                          <pic:cNvPicPr preferRelativeResize="0"/>
                        </pic:nvPicPr>
                        <pic:blipFill>
                          <a:blip r:embed="rId10"/>
                          <a:srcRect b="0" l="0" r="0" t="0"/>
                          <a:stretch>
                            <a:fillRect/>
                          </a:stretch>
                        </pic:blipFill>
                        <pic:spPr>
                          <a:xfrm>
                            <a:off x="0" y="0"/>
                            <a:ext cx="2695575" cy="1884680"/>
                          </a:xfrm>
                          <a:prstGeom prst="rect"/>
                          <a:ln/>
                        </pic:spPr>
                      </pic:pic>
                    </a:graphicData>
                  </a:graphic>
                </wp:inline>
              </w:drawing>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13">
            <w:pPr>
              <w:spacing w:after="240" w:before="240" w:lineRule="auto"/>
              <w:jc w:val="both"/>
              <w:rPr/>
            </w:pPr>
            <w:r w:rsidDel="00000000" w:rsidR="00000000" w:rsidRPr="00000000">
              <w:rPr>
                <w:color w:val="000000"/>
              </w:rPr>
              <w:drawing>
                <wp:inline distB="0" distT="0" distL="0" distR="0">
                  <wp:extent cx="2703195" cy="1717675"/>
                  <wp:effectExtent b="0" l="0" r="0" t="0"/>
                  <wp:docPr descr="https://lh3.googleusercontent.com/8y2tjBylR1LQYv23nJXUOL2oS0YVef0yLg7tbKlj_h5QiEY4Iw9rowZz5j1SvdGKQw7wwt5rA45HuVkhDVc2XpndVbUdSCgTS1cAZB7janraTaHN1hRBXmzFv5KyCNp-AWZ5AQin" id="17" name="image6.png"/>
                  <a:graphic>
                    <a:graphicData uri="http://schemas.openxmlformats.org/drawingml/2006/picture">
                      <pic:pic>
                        <pic:nvPicPr>
                          <pic:cNvPr descr="https://lh3.googleusercontent.com/8y2tjBylR1LQYv23nJXUOL2oS0YVef0yLg7tbKlj_h5QiEY4Iw9rowZz5j1SvdGKQw7wwt5rA45HuVkhDVc2XpndVbUdSCgTS1cAZB7janraTaHN1hRBXmzFv5KyCNp-AWZ5AQin" id="0" name="image6.png"/>
                          <pic:cNvPicPr preferRelativeResize="0"/>
                        </pic:nvPicPr>
                        <pic:blipFill>
                          <a:blip r:embed="rId11"/>
                          <a:srcRect b="0" l="0" r="0" t="0"/>
                          <a:stretch>
                            <a:fillRect/>
                          </a:stretch>
                        </pic:blipFill>
                        <pic:spPr>
                          <a:xfrm>
                            <a:off x="0" y="0"/>
                            <a:ext cx="2703195" cy="17176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4">
      <w:pPr>
        <w:spacing w:after="240" w:before="240" w:lineRule="auto"/>
        <w:jc w:val="both"/>
        <w:rPr/>
      </w:pPr>
      <w:r w:rsidDel="00000000" w:rsidR="00000000" w:rsidRPr="00000000">
        <w:rPr>
          <w:rFonts w:ascii="Palatino Linotype" w:cs="Palatino Linotype" w:eastAsia="Palatino Linotype" w:hAnsi="Palatino Linotype"/>
          <w:i w:val="1"/>
          <w:color w:val="000000"/>
          <w:rtl w:val="0"/>
        </w:rPr>
        <w:t xml:space="preserve">- “G-35-03-03-2018-01 ejemplo presentación detalle mensual.pdf”,</w:t>
      </w:r>
      <w:r w:rsidDel="00000000" w:rsidR="00000000" w:rsidRPr="00000000">
        <w:rPr>
          <w:rFonts w:ascii="Palatino Linotype" w:cs="Palatino Linotype" w:eastAsia="Palatino Linotype" w:hAnsi="Palatino Linotype"/>
          <w:color w:val="000000"/>
          <w:rtl w:val="0"/>
        </w:rPr>
        <w:t xml:space="preserve"> que contiene lo siguiente:</w:t>
      </w:r>
      <w:r w:rsidDel="00000000" w:rsidR="00000000" w:rsidRPr="00000000">
        <w:rPr>
          <w:rtl w:val="0"/>
        </w:rPr>
      </w:r>
    </w:p>
    <w:tbl>
      <w:tblPr>
        <w:tblStyle w:val="Table2"/>
        <w:tblW w:w="8838.0" w:type="dxa"/>
        <w:jc w:val="left"/>
        <w:tblInd w:w="0.0" w:type="dxa"/>
        <w:tblLayout w:type="fixed"/>
        <w:tblLook w:val="0400"/>
      </w:tblPr>
      <w:tblGrid>
        <w:gridCol w:w="4419"/>
        <w:gridCol w:w="4419"/>
        <w:tblGridChange w:id="0">
          <w:tblGrid>
            <w:gridCol w:w="4419"/>
            <w:gridCol w:w="4419"/>
          </w:tblGrid>
        </w:tblGridChange>
      </w:tblGrid>
      <w:tr>
        <w:trPr>
          <w:cantSplit w:val="0"/>
          <w:tblHeader w:val="0"/>
        </w:trPr>
        <w:tc>
          <w:tcPr>
            <w:tcMar>
              <w:top w:w="0.0" w:type="dxa"/>
              <w:left w:w="115.0" w:type="dxa"/>
              <w:bottom w:w="0.0" w:type="dxa"/>
              <w:right w:w="115.0" w:type="dxa"/>
            </w:tcMar>
          </w:tcPr>
          <w:p w:rsidR="00000000" w:rsidDel="00000000" w:rsidP="00000000" w:rsidRDefault="00000000" w:rsidRPr="00000000" w14:paraId="00000015">
            <w:pPr>
              <w:spacing w:after="240" w:before="240" w:lineRule="auto"/>
              <w:jc w:val="both"/>
              <w:rPr/>
            </w:pPr>
            <w:r w:rsidDel="00000000" w:rsidR="00000000" w:rsidRPr="00000000">
              <w:rPr>
                <w:color w:val="000000"/>
              </w:rPr>
              <w:drawing>
                <wp:inline distB="0" distT="0" distL="0" distR="0">
                  <wp:extent cx="2695575" cy="1717675"/>
                  <wp:effectExtent b="0" l="0" r="0" t="0"/>
                  <wp:docPr descr="https://lh4.googleusercontent.com/9YYTv8vq39XOFRQqax9KO2_FWaeCDfA1GXKur95pOsRU8b3xE-E4m-bv4yeCgFh6sH8eEoe6gyAXCBhkjsXl1A0ZfevXLBBifN3D_186fb6w_y4M5IvUFTON6yejH9-uvcUk0uYP" id="16" name="image2.png"/>
                  <a:graphic>
                    <a:graphicData uri="http://schemas.openxmlformats.org/drawingml/2006/picture">
                      <pic:pic>
                        <pic:nvPicPr>
                          <pic:cNvPr descr="https://lh4.googleusercontent.com/9YYTv8vq39XOFRQqax9KO2_FWaeCDfA1GXKur95pOsRU8b3xE-E4m-bv4yeCgFh6sH8eEoe6gyAXCBhkjsXl1A0ZfevXLBBifN3D_186fb6w_y4M5IvUFTON6yejH9-uvcUk0uYP" id="0" name="image2.png"/>
                          <pic:cNvPicPr preferRelativeResize="0"/>
                        </pic:nvPicPr>
                        <pic:blipFill>
                          <a:blip r:embed="rId12"/>
                          <a:srcRect b="0" l="0" r="0" t="0"/>
                          <a:stretch>
                            <a:fillRect/>
                          </a:stretch>
                        </pic:blipFill>
                        <pic:spPr>
                          <a:xfrm>
                            <a:off x="0" y="0"/>
                            <a:ext cx="2695575" cy="1717675"/>
                          </a:xfrm>
                          <a:prstGeom prst="rect"/>
                          <a:ln/>
                        </pic:spPr>
                      </pic:pic>
                    </a:graphicData>
                  </a:graphic>
                </wp:inline>
              </w:drawing>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16">
            <w:pPr>
              <w:spacing w:after="240" w:before="240" w:lineRule="auto"/>
              <w:jc w:val="both"/>
              <w:rPr/>
            </w:pPr>
            <w:r w:rsidDel="00000000" w:rsidR="00000000" w:rsidRPr="00000000">
              <w:rPr>
                <w:color w:val="000000"/>
              </w:rPr>
              <w:drawing>
                <wp:inline distB="0" distT="0" distL="0" distR="0">
                  <wp:extent cx="2695575" cy="1717675"/>
                  <wp:effectExtent b="0" l="0" r="0" t="0"/>
                  <wp:docPr descr="https://lh4.googleusercontent.com/seJMmArdQRMGQNF70aI8B3wi6alTmAqhmeXG6n9AJ1sIcE2_yLYfYkjKgElRDPDonfV4oxqFt-vwQJesLBqdpDAydbutISqO6Q7LU2VZTIQd11fCmRTGhoFlflgUf8YC5rIdwewK" id="19" name="image8.png"/>
                  <a:graphic>
                    <a:graphicData uri="http://schemas.openxmlformats.org/drawingml/2006/picture">
                      <pic:pic>
                        <pic:nvPicPr>
                          <pic:cNvPr descr="https://lh4.googleusercontent.com/seJMmArdQRMGQNF70aI8B3wi6alTmAqhmeXG6n9AJ1sIcE2_yLYfYkjKgElRDPDonfV4oxqFt-vwQJesLBqdpDAydbutISqO6Q7LU2VZTIQd11fCmRTGhoFlflgUf8YC5rIdwewK" id="0" name="image8.png"/>
                          <pic:cNvPicPr preferRelativeResize="0"/>
                        </pic:nvPicPr>
                        <pic:blipFill>
                          <a:blip r:embed="rId13"/>
                          <a:srcRect b="0" l="0" r="0" t="0"/>
                          <a:stretch>
                            <a:fillRect/>
                          </a:stretch>
                        </pic:blipFill>
                        <pic:spPr>
                          <a:xfrm>
                            <a:off x="0" y="0"/>
                            <a:ext cx="2695575" cy="17176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7">
      <w:pPr>
        <w:spacing w:after="240" w:before="240" w:lineRule="auto"/>
        <w:jc w:val="both"/>
        <w:rPr/>
      </w:pPr>
      <w:r w:rsidDel="00000000" w:rsidR="00000000" w:rsidRPr="00000000">
        <w:rPr>
          <w:rFonts w:ascii="Palatino Linotype" w:cs="Palatino Linotype" w:eastAsia="Palatino Linotype" w:hAnsi="Palatino Linotype"/>
          <w:i w:val="1"/>
          <w:color w:val="000000"/>
          <w:rtl w:val="0"/>
        </w:rPr>
        <w:t xml:space="preserve">- “G-13-03-01-2019-01 ejemplo vista anual acumulado o global.pdf”, </w:t>
      </w:r>
      <w:r w:rsidDel="00000000" w:rsidR="00000000" w:rsidRPr="00000000">
        <w:rPr>
          <w:rFonts w:ascii="Palatino Linotype" w:cs="Palatino Linotype" w:eastAsia="Palatino Linotype" w:hAnsi="Palatino Linotype"/>
          <w:color w:val="000000"/>
          <w:rtl w:val="0"/>
        </w:rPr>
        <w:t xml:space="preserve">que contiene lo siguiente:</w:t>
      </w:r>
      <w:r w:rsidDel="00000000" w:rsidR="00000000" w:rsidRPr="00000000">
        <w:rPr>
          <w:rtl w:val="0"/>
        </w:rPr>
      </w:r>
    </w:p>
    <w:tbl>
      <w:tblPr>
        <w:tblStyle w:val="Table3"/>
        <w:tblW w:w="8838.0" w:type="dxa"/>
        <w:jc w:val="left"/>
        <w:tblInd w:w="0.0" w:type="dxa"/>
        <w:tblLayout w:type="fixed"/>
        <w:tblLook w:val="0400"/>
      </w:tblPr>
      <w:tblGrid>
        <w:gridCol w:w="4419"/>
        <w:gridCol w:w="4419"/>
        <w:tblGridChange w:id="0">
          <w:tblGrid>
            <w:gridCol w:w="4419"/>
            <w:gridCol w:w="4419"/>
          </w:tblGrid>
        </w:tblGridChange>
      </w:tblGrid>
      <w:tr>
        <w:trPr>
          <w:cantSplit w:val="0"/>
          <w:tblHeader w:val="0"/>
        </w:trPr>
        <w:tc>
          <w:tcPr>
            <w:tcMar>
              <w:top w:w="0.0" w:type="dxa"/>
              <w:left w:w="115.0" w:type="dxa"/>
              <w:bottom w:w="0.0" w:type="dxa"/>
              <w:right w:w="115.0" w:type="dxa"/>
            </w:tcMar>
          </w:tcPr>
          <w:p w:rsidR="00000000" w:rsidDel="00000000" w:rsidP="00000000" w:rsidRDefault="00000000" w:rsidRPr="00000000" w14:paraId="00000018">
            <w:pPr>
              <w:spacing w:after="240" w:before="240" w:lineRule="auto"/>
              <w:jc w:val="both"/>
              <w:rPr/>
            </w:pPr>
            <w:r w:rsidDel="00000000" w:rsidR="00000000" w:rsidRPr="00000000">
              <w:rPr>
                <w:rFonts w:ascii="Palatino Linotype" w:cs="Palatino Linotype" w:eastAsia="Palatino Linotype" w:hAnsi="Palatino Linotype"/>
                <w:i w:val="1"/>
                <w:color w:val="000000"/>
              </w:rPr>
              <w:drawing>
                <wp:inline distB="0" distT="0" distL="0" distR="0">
                  <wp:extent cx="2695575" cy="1240155"/>
                  <wp:effectExtent b="0" l="0" r="0" t="0"/>
                  <wp:docPr descr="https://lh5.googleusercontent.com/3GyYToFi1hFEZXE8504sG5AXIxu-mMPgBFJXhwZGhiWcGdaBIEaK-SxuMQv6hAqsTmcOTC_Ez_T8TpnTk68ERxrq6A3CI1Y7c666FMhsXop9rlfvdNWcGayKViV5pkXFbhNQH5aM" id="18" name="image10.png"/>
                  <a:graphic>
                    <a:graphicData uri="http://schemas.openxmlformats.org/drawingml/2006/picture">
                      <pic:pic>
                        <pic:nvPicPr>
                          <pic:cNvPr descr="https://lh5.googleusercontent.com/3GyYToFi1hFEZXE8504sG5AXIxu-mMPgBFJXhwZGhiWcGdaBIEaK-SxuMQv6hAqsTmcOTC_Ez_T8TpnTk68ERxrq6A3CI1Y7c666FMhsXop9rlfvdNWcGayKViV5pkXFbhNQH5aM" id="0" name="image10.png"/>
                          <pic:cNvPicPr preferRelativeResize="0"/>
                        </pic:nvPicPr>
                        <pic:blipFill>
                          <a:blip r:embed="rId14"/>
                          <a:srcRect b="0" l="0" r="0" t="0"/>
                          <a:stretch>
                            <a:fillRect/>
                          </a:stretch>
                        </pic:blipFill>
                        <pic:spPr>
                          <a:xfrm>
                            <a:off x="0" y="0"/>
                            <a:ext cx="2695575" cy="1240155"/>
                          </a:xfrm>
                          <a:prstGeom prst="rect"/>
                          <a:ln/>
                        </pic:spPr>
                      </pic:pic>
                    </a:graphicData>
                  </a:graphic>
                </wp:inline>
              </w:drawing>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0019">
            <w:pPr>
              <w:spacing w:after="240" w:before="240" w:lineRule="auto"/>
              <w:jc w:val="both"/>
              <w:rPr/>
            </w:pPr>
            <w:r w:rsidDel="00000000" w:rsidR="00000000" w:rsidRPr="00000000">
              <w:rPr>
                <w:rFonts w:ascii="Palatino Linotype" w:cs="Palatino Linotype" w:eastAsia="Palatino Linotype" w:hAnsi="Palatino Linotype"/>
                <w:i w:val="1"/>
                <w:color w:val="000000"/>
              </w:rPr>
              <w:drawing>
                <wp:inline distB="0" distT="0" distL="0" distR="0">
                  <wp:extent cx="2695575" cy="3188335"/>
                  <wp:effectExtent b="0" l="0" r="0" t="0"/>
                  <wp:docPr descr="https://lh4.googleusercontent.com/LUDt4dYZnVLBt4-sbOW2ibCTBjKTBo7FNb8Ellcto0mrv4Ett7XDrgie2R0Ww2vELxZwN9GDzRkfs9nXHIbBUBSc_WUsCNpcso0E16CC979mngGS-u-622hUlrUkFj7SNVtf1axJ" id="22" name="image9.png"/>
                  <a:graphic>
                    <a:graphicData uri="http://schemas.openxmlformats.org/drawingml/2006/picture">
                      <pic:pic>
                        <pic:nvPicPr>
                          <pic:cNvPr descr="https://lh4.googleusercontent.com/LUDt4dYZnVLBt4-sbOW2ibCTBjKTBo7FNb8Ellcto0mrv4Ett7XDrgie2R0Ww2vELxZwN9GDzRkfs9nXHIbBUBSc_WUsCNpcso0E16CC979mngGS-u-622hUlrUkFj7SNVtf1axJ" id="0" name="image9.png"/>
                          <pic:cNvPicPr preferRelativeResize="0"/>
                        </pic:nvPicPr>
                        <pic:blipFill>
                          <a:blip r:embed="rId15"/>
                          <a:srcRect b="0" l="0" r="0" t="0"/>
                          <a:stretch>
                            <a:fillRect/>
                          </a:stretch>
                        </pic:blipFill>
                        <pic:spPr>
                          <a:xfrm>
                            <a:off x="0" y="0"/>
                            <a:ext cx="2695575" cy="31883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Transparencia y Acceso a la Información Pública, el recurso de revisión número </w:t>
      </w:r>
      <w:r w:rsidDel="00000000" w:rsidR="00000000" w:rsidRPr="00000000">
        <w:rPr>
          <w:rFonts w:ascii="Palatino Linotype" w:cs="Palatino Linotype" w:eastAsia="Palatino Linotype" w:hAnsi="Palatino Linotype"/>
          <w:b w:val="1"/>
          <w:rtl w:val="0"/>
        </w:rPr>
        <w:t xml:space="preserve">01544/INFOEM/IP/RR/2022</w:t>
      </w:r>
      <w:r w:rsidDel="00000000" w:rsidR="00000000" w:rsidRPr="00000000">
        <w:rPr>
          <w:rFonts w:ascii="Palatino Linotype" w:cs="Palatino Linotype" w:eastAsia="Palatino Linotype" w:hAnsi="Palatino Linotype"/>
          <w:rtl w:val="0"/>
        </w:rPr>
        <w:t xml:space="preserve"> fue turnado a la Comisionada Ponente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a efecto de presentar al Pleno el proyecto de resolución correspondiente.</w:t>
      </w:r>
      <w:r w:rsidDel="00000000" w:rsidR="00000000" w:rsidRPr="00000000">
        <w:rPr>
          <w:rtl w:val="0"/>
        </w:rPr>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primero de marzo de dos mil veintidós</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admitió a trámite el recurso de revisión al rubro indicado.</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 </w:t>
      </w:r>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el ahora recurrente omitió realizar manifestaciones, como se observa a continuación:</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2317115"/>
            <wp:effectExtent b="0" l="0" r="0" t="0"/>
            <wp:docPr id="2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612130" cy="231711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Cierre de Instrucción.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veintidós de abril de dos mil veintidós</w:t>
      </w:r>
      <w:r w:rsidDel="00000000" w:rsidR="00000000" w:rsidRPr="00000000">
        <w:rPr>
          <w:rFonts w:ascii="Palatino Linotype" w:cs="Palatino Linotype" w:eastAsia="Palatino Linotype" w:hAnsi="Palatino Linotype"/>
          <w:rtl w:val="0"/>
        </w:rPr>
        <w:t xml:space="preserve">,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 O N S I D E R A N D O S:</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w:t>
      </w:r>
      <w:r w:rsidDel="00000000" w:rsidR="00000000" w:rsidRPr="00000000">
        <w:rPr>
          <w:rFonts w:ascii="Palatino Linotype" w:cs="Palatino Linotype" w:eastAsia="Palatino Linotype" w:hAnsi="Palatino Linotype"/>
          <w:rtl w:val="0"/>
        </w:rPr>
        <w:t xml:space="preserve">Es de precisar que la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 describe el mecanismo de procedencia de los recursos de revisión, como se dispone en los artículos 163 y 166, del tenor literal siguiente: </w:t>
      </w:r>
    </w:p>
    <w:p w:rsidR="00000000" w:rsidDel="00000000" w:rsidP="00000000" w:rsidRDefault="00000000" w:rsidRPr="00000000" w14:paraId="00000022">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w:t>
      </w:r>
      <w:r w:rsidDel="00000000" w:rsidR="00000000" w:rsidRPr="00000000">
        <w:rPr>
          <w:rFonts w:ascii="Palatino Linotype" w:cs="Palatino Linotype" w:eastAsia="Palatino Linotype" w:hAnsi="Palatino Linotype"/>
          <w:i w:val="1"/>
          <w:sz w:val="22"/>
          <w:szCs w:val="22"/>
          <w:rtl w:val="0"/>
        </w:rPr>
        <w:t xml:space="preserve">La Unidad de Transparencia deberá notificar la respuesta a la solicitud al interesado en el menor tiempo posible, que no podrá exceder de quince días hábiles, contados a partir del día siguiente a la presentación de aquélla. </w:t>
      </w:r>
      <w:r w:rsidDel="00000000" w:rsidR="00000000" w:rsidRPr="00000000">
        <w:rPr>
          <w:rtl w:val="0"/>
        </w:rPr>
      </w:r>
    </w:p>
    <w:p w:rsidR="00000000" w:rsidDel="00000000" w:rsidP="00000000" w:rsidRDefault="00000000" w:rsidRPr="00000000" w14:paraId="00000023">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24">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Artículo 166.</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25">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Cuando el sujeto obligado no entregue la respuesta a la solicitud dentro del plazo previsto en la Ley, la solicitud se entenderá negada y el solicitante podrá interponer el recurso de revisión previsto en este ordenamiento.” </w:t>
      </w:r>
      <w:r w:rsidDel="00000000" w:rsidR="00000000" w:rsidRPr="00000000">
        <w:rPr>
          <w:rtl w:val="0"/>
        </w:rPr>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su parte, el artículo 178 del citado ordenamiento, establece:</w:t>
      </w:r>
      <w:r w:rsidDel="00000000" w:rsidR="00000000" w:rsidRPr="00000000">
        <w:rPr>
          <w:rtl w:val="0"/>
        </w:rPr>
      </w:r>
    </w:p>
    <w:p w:rsidR="00000000" w:rsidDel="00000000" w:rsidP="00000000" w:rsidRDefault="00000000" w:rsidRPr="00000000" w14:paraId="00000029">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178. </w:t>
      </w:r>
      <w:r w:rsidDel="00000000" w:rsidR="00000000" w:rsidRPr="00000000">
        <w:rPr>
          <w:rFonts w:ascii="Palatino Linotype" w:cs="Palatino Linotype" w:eastAsia="Palatino Linotype" w:hAnsi="Palatino Linotype"/>
          <w:i w:val="1"/>
          <w:sz w:val="22"/>
          <w:szCs w:val="22"/>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el recurso de revisión se ha de interponer dentro del plazo de quince días hábiles, a partir de la fecha en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negativa ficta constituye una presunción legal, en el entendido de que donde no hubo respuesta por parte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Por lo tanto, con la finalidad de no reducir ni limitar el derecho de acceso a la información y concederle una protección más eficaz al solicitante para impugnar el silencio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r w:rsidDel="00000000" w:rsidR="00000000" w:rsidRPr="00000000">
        <w:rPr>
          <w:rtl w:val="0"/>
        </w:rPr>
      </w:r>
    </w:p>
    <w:p w:rsidR="00000000" w:rsidDel="00000000" w:rsidP="00000000" w:rsidRDefault="00000000" w:rsidRPr="00000000" w14:paraId="0000002E">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sz w:val="22"/>
          <w:szCs w:val="22"/>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sz w:val="22"/>
          <w:szCs w:val="22"/>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rsidR="00000000" w:rsidDel="00000000" w:rsidP="00000000" w:rsidRDefault="00000000" w:rsidRPr="00000000" w14:paraId="00000031">
      <w:pPr>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r w:rsidDel="00000000" w:rsidR="00000000" w:rsidRPr="00000000">
        <w:rPr>
          <w:rtl w:val="0"/>
        </w:rPr>
      </w:r>
    </w:p>
    <w:p w:rsidR="00000000" w:rsidDel="00000000" w:rsidP="00000000" w:rsidRDefault="00000000" w:rsidRPr="00000000" w14:paraId="00000032">
      <w:pPr>
        <w:ind w:left="1134"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3">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falta de respuesta a una solicitud de acceso a la información;</w:t>
      </w:r>
    </w:p>
    <w:p w:rsidR="00000000" w:rsidDel="00000000" w:rsidP="00000000" w:rsidRDefault="00000000" w:rsidRPr="00000000" w14:paraId="00000034">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precepto legal citado, establece como supuesto de procedencia del recurso de revisión, en aquellos casos en que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estime negado el acceso a la información por la falta de respuesta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este asunto se actualiza la hipótesis jurídica citada, en atención a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combate falta de trámite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expresa motivos de inconformidad en contra de dicha circunstancia.</w:t>
      </w:r>
    </w:p>
    <w:p w:rsidR="00000000" w:rsidDel="00000000" w:rsidP="00000000" w:rsidRDefault="00000000" w:rsidRPr="00000000" w14:paraId="00000036">
      <w:pPr>
        <w:tabs>
          <w:tab w:val="left" w:pos="8647"/>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Este Organismo Garante procede del análisis de los agravios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fin de determinar si se violenta en perjuicio de éste, el derecho de acceso a la información previsto en la Constitución Política de los Estados Unidos Mexicanos y en la Constitución Política del Estado Libre y Soberano de México. </w:t>
      </w:r>
      <w:r w:rsidDel="00000000" w:rsidR="00000000" w:rsidRPr="00000000">
        <w:rPr>
          <w:rtl w:val="0"/>
        </w:rPr>
      </w:r>
    </w:p>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Una vez determinada la vía sobre la que versará el presente recurso, y previa revisión del expediente del recurso de revisión materia de la presente resolución, se advierte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no dio respuesta a la solicitud de información planteada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lo que se traduce como la configuración de la </w:t>
      </w:r>
      <w:r w:rsidDel="00000000" w:rsidR="00000000" w:rsidRPr="00000000">
        <w:rPr>
          <w:rFonts w:ascii="Palatino Linotype" w:cs="Palatino Linotype" w:eastAsia="Palatino Linotype" w:hAnsi="Palatino Linotype"/>
          <w:b w:val="1"/>
          <w:rtl w:val="0"/>
        </w:rPr>
        <w:t xml:space="preserve">Negativa Ficta</w:t>
      </w:r>
      <w:r w:rsidDel="00000000" w:rsidR="00000000" w:rsidRPr="00000000">
        <w:rPr>
          <w:rFonts w:ascii="Palatino Linotype" w:cs="Palatino Linotype" w:eastAsia="Palatino Linotype" w:hAnsi="Palatino Linotype"/>
          <w:rtl w:val="0"/>
        </w:rPr>
        <w:t xml:space="preserve">, situación que demuestra la existencia del acto impugnado y procedencia del motivo de inconformidad, que en términos generales consistente en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emitió respuesta a la solicitud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Verdana" w:cs="Verdana" w:eastAsia="Verdana" w:hAnsi="Verdana"/>
          <w:b w:val="1"/>
          <w:rtl w:val="0"/>
        </w:rPr>
        <w:t xml:space="preserve"> </w:t>
      </w:r>
      <w:r w:rsidDel="00000000" w:rsidR="00000000" w:rsidRPr="00000000">
        <w:rPr>
          <w:rFonts w:ascii="Palatino Linotype" w:cs="Palatino Linotype" w:eastAsia="Palatino Linotype" w:hAnsi="Palatino Linotype"/>
          <w:b w:val="1"/>
          <w:rtl w:val="0"/>
        </w:rPr>
        <w:t xml:space="preserve">00021/TEXCALYA/IP/2022,</w:t>
      </w:r>
      <w:r w:rsidDel="00000000" w:rsidR="00000000" w:rsidRPr="00000000">
        <w:rPr>
          <w:rFonts w:ascii="Palatino Linotype" w:cs="Palatino Linotype" w:eastAsia="Palatino Linotype" w:hAnsi="Palatino Linotype"/>
          <w:rtl w:val="0"/>
        </w:rPr>
        <w:t xml:space="preserve"> dentro del plazo legal previsto para ello.</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Previo a exponer los argumentos que justifiquen la afirmación que antecede, es necesario precisar que, del análisis realizado a la solicitud formulada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advierte que requirió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Solicito Obtener la opinión de cumplimiento proporcionada directamente por el ente fiscalizador hacia los ayuntamientos y sus descentralizadas (DIF, Sistema de agua, Instituto de la mujer, casa de la cultura, etc):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3B">
      <w:pPr>
        <w:tabs>
          <w:tab w:val="left"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3C">
      <w:pPr>
        <w:tabs>
          <w:tab w:val="left" w:pos="709"/>
        </w:tabs>
        <w:ind w:left="851" w:right="85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3E">
      <w:pPr>
        <w:tabs>
          <w:tab w:val="left" w:pos="709"/>
        </w:tabs>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3F">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40">
      <w:pPr>
        <w:tabs>
          <w:tab w:val="left" w:pos="709"/>
        </w:tabs>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4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4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5">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46">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7">
      <w:pPr>
        <w:ind w:left="1134"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48">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9">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4A">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B">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4C">
      <w:pPr>
        <w:ind w:left="1134"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D">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4E">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F">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50">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51">
      <w:pPr>
        <w:ind w:left="1134"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w:t>
      </w:r>
    </w:p>
    <w:p w:rsidR="00000000" w:rsidDel="00000000" w:rsidP="00000000" w:rsidRDefault="00000000" w:rsidRPr="00000000" w14:paraId="00000052">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53">
      <w:pPr>
        <w:spacing w:after="280" w:before="280" w:line="360" w:lineRule="auto"/>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En ese orden de ideas, la Ley de Transparencia y Acceso a la Información Pública del Estado de México y Municipios, prevé en su artículo 23, lo siguiente:</w:t>
      </w:r>
      <w:r w:rsidDel="00000000" w:rsidR="00000000" w:rsidRPr="00000000">
        <w:rPr>
          <w:rtl w:val="0"/>
        </w:rPr>
      </w:r>
    </w:p>
    <w:p w:rsidR="00000000" w:rsidDel="00000000" w:rsidP="00000000" w:rsidRDefault="00000000" w:rsidRPr="00000000" w14:paraId="0000005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23.</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sujetos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obligados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transparentar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permitir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acceso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información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proteger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datos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personales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que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obren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poder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5">
      <w:pPr>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Ejecutivo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México,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dependencias,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auxiliares,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fideicomisos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fondos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Procuraduría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General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Justicia;</w:t>
      </w:r>
      <w:r w:rsidDel="00000000" w:rsidR="00000000" w:rsidRPr="00000000">
        <w:rPr>
          <w:rtl w:val="0"/>
        </w:rPr>
      </w:r>
    </w:p>
    <w:p w:rsidR="00000000" w:rsidDel="00000000" w:rsidP="00000000" w:rsidRDefault="00000000" w:rsidRPr="00000000" w14:paraId="00000056">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Legislativo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Legislatura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dependencias;</w:t>
      </w:r>
    </w:p>
    <w:p w:rsidR="00000000" w:rsidDel="00000000" w:rsidP="00000000" w:rsidRDefault="00000000" w:rsidRPr="00000000" w14:paraId="00000057">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Judicial,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Consejo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Judicatura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Estado;</w:t>
      </w:r>
    </w:p>
    <w:p w:rsidR="00000000" w:rsidDel="00000000" w:rsidP="00000000" w:rsidRDefault="00000000" w:rsidRPr="00000000" w14:paraId="00000058">
      <w:pPr>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ayuntamientos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dependencias,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organismos,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órganos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entidades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administración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municipal;</w:t>
      </w:r>
    </w:p>
    <w:p w:rsidR="00000000" w:rsidDel="00000000" w:rsidP="00000000" w:rsidRDefault="00000000" w:rsidRPr="00000000" w14:paraId="00000059">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autónomos;</w:t>
      </w:r>
    </w:p>
    <w:p w:rsidR="00000000" w:rsidDel="00000000" w:rsidP="00000000" w:rsidRDefault="00000000" w:rsidRPr="00000000" w14:paraId="0000005A">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tribunales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administrativos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autoridades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jurisdiccionales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materia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laboral;</w:t>
      </w:r>
    </w:p>
    <w:p w:rsidR="00000000" w:rsidDel="00000000" w:rsidP="00000000" w:rsidRDefault="00000000" w:rsidRPr="00000000" w14:paraId="0000005B">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partidos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políticos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agrupaciones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políticas,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términos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disposiciones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aplicables;</w:t>
      </w:r>
    </w:p>
    <w:p w:rsidR="00000000" w:rsidDel="00000000" w:rsidP="00000000" w:rsidRDefault="00000000" w:rsidRPr="00000000" w14:paraId="0000005C">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fideicomisos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fondos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cuenten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financiamiento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parcial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total,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participación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gobierno;</w:t>
      </w:r>
    </w:p>
    <w:p w:rsidR="00000000" w:rsidDel="00000000" w:rsidP="00000000" w:rsidRDefault="00000000" w:rsidRPr="00000000" w14:paraId="0000005D">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sindicatos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ejerzan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ámbito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p>
    <w:p w:rsidR="00000000" w:rsidDel="00000000" w:rsidP="00000000" w:rsidRDefault="00000000" w:rsidRPr="00000000" w14:paraId="0000005E">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física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jurídico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colectiva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ejerza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ámbito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p>
    <w:p w:rsidR="00000000" w:rsidDel="00000000" w:rsidP="00000000" w:rsidRDefault="00000000" w:rsidRPr="00000000" w14:paraId="0000005F">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otra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autoridad,</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entidad,</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órgano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u</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organismo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poderes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estatal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municipal,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reciba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p>
    <w:p w:rsidR="00000000" w:rsidDel="00000000" w:rsidP="00000000" w:rsidRDefault="00000000" w:rsidRPr="00000000" w14:paraId="00000060">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sujetos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obligados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deberán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hacer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toda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aquella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información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relativa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montos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quienes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entreguen,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por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cualquier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motivo,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públicos,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así</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como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informes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que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dichas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personas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entreguen</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sobre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el</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uso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destino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de</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dichos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sz w:val="22"/>
          <w:szCs w:val="22"/>
          <w:rtl w:val="0"/>
        </w:rPr>
        <w:t xml:space="preserve">recursos.</w:t>
      </w:r>
    </w:p>
    <w:p w:rsidR="00000000" w:rsidDel="00000000" w:rsidP="00000000" w:rsidRDefault="00000000" w:rsidRPr="00000000" w14:paraId="00000061">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servidores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públicos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deberán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transparentar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sus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acciones,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así</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como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garantizar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y</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respetar</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derecho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acceso</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información</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pública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2">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63">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64">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65">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000000" w:rsidDel="00000000" w:rsidP="00000000" w:rsidRDefault="00000000" w:rsidRPr="00000000" w14:paraId="00000066">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67">
      <w:pPr>
        <w:widowControl w:val="0"/>
        <w:tabs>
          <w:tab w:val="left" w:pos="1276"/>
        </w:tabs>
        <w:spacing w:after="28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6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000000" w:rsidDel="00000000" w:rsidP="00000000" w:rsidRDefault="00000000" w:rsidRPr="00000000" w14:paraId="0000006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sz w:val="22"/>
          <w:szCs w:val="22"/>
          <w:rtl w:val="0"/>
        </w:rPr>
        <w:t xml:space="preserve">, contados a partir del día siguiente a la presentación de aquélla. </w:t>
      </w:r>
    </w:p>
    <w:p w:rsidR="00000000" w:rsidDel="00000000" w:rsidP="00000000" w:rsidRDefault="00000000" w:rsidRPr="00000000" w14:paraId="0000006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6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lo expuesto, es claro que en este caso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incumplió la normativa en la materia, puesto que no dio trámite ni respuesta a la solicitud de acceso a la información, limitando el derecho de acceso a la información, accionado por el particular.</w:t>
      </w:r>
    </w:p>
    <w:p w:rsidR="00000000" w:rsidDel="00000000" w:rsidP="00000000" w:rsidRDefault="00000000" w:rsidRPr="00000000" w14:paraId="0000006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información estima que lo procedente es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tramité y respuesta a la solicitud del particular.</w:t>
      </w:r>
    </w:p>
    <w:p w:rsidR="00000000" w:rsidDel="00000000" w:rsidP="00000000" w:rsidRDefault="00000000" w:rsidRPr="00000000" w14:paraId="0000006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por lo que, en caso de no atender de manera positiva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el requerimiento de información deberá manifestarse al respecto.</w:t>
      </w:r>
    </w:p>
    <w:p w:rsidR="00000000" w:rsidDel="00000000" w:rsidP="00000000" w:rsidRDefault="00000000" w:rsidRPr="00000000" w14:paraId="0000006E">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atención al sentido en que se resuelve el presente medio de impugnación, este Órgano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6F">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Del="00000000" w:rsidR="00000000" w:rsidRPr="00000000">
        <w:rPr>
          <w:rFonts w:ascii="Palatino Linotype" w:cs="Palatino Linotype" w:eastAsia="Palatino Linotype" w:hAnsi="Palatino Linotype"/>
          <w:sz w:val="18"/>
          <w:szCs w:val="18"/>
          <w:rtl w:val="0"/>
        </w:rPr>
        <w:t xml:space="preserve">. </w:t>
      </w:r>
      <w:r w:rsidDel="00000000" w:rsidR="00000000" w:rsidRPr="00000000">
        <w:rPr>
          <w:rtl w:val="0"/>
        </w:rPr>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72">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7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Comprometa la seguridad pública y cuente con un propósito genuino y un efecto demostrable;</w:t>
      </w:r>
    </w:p>
    <w:p w:rsidR="00000000" w:rsidDel="00000000" w:rsidP="00000000" w:rsidRDefault="00000000" w:rsidRPr="00000000" w14:paraId="00000074">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Pueda menoscabar la conducción de las negociaciones y relaciones internacionales;</w:t>
      </w:r>
    </w:p>
    <w:p w:rsidR="00000000" w:rsidDel="00000000" w:rsidP="00000000" w:rsidRDefault="00000000" w:rsidRPr="00000000" w14:paraId="00000075">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76">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Ponga en riesgo la vida, la seguridad o la salud de una persona física;</w:t>
      </w:r>
    </w:p>
    <w:p w:rsidR="00000000" w:rsidDel="00000000" w:rsidP="00000000" w:rsidRDefault="00000000" w:rsidRPr="00000000" w14:paraId="00000077">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Aquella cuya divulgación obstruya o pueda causar un serio perjuicio a:</w:t>
      </w:r>
    </w:p>
    <w:p w:rsidR="00000000" w:rsidDel="00000000" w:rsidP="00000000" w:rsidRDefault="00000000" w:rsidRPr="00000000" w14:paraId="00000078">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 </w:t>
      </w:r>
      <w:r w:rsidDel="00000000" w:rsidR="00000000" w:rsidRPr="00000000">
        <w:rPr>
          <w:rFonts w:ascii="Palatino Linotype" w:cs="Palatino Linotype" w:eastAsia="Palatino Linotype" w:hAnsi="Palatino Linotype"/>
          <w:i w:val="1"/>
          <w:sz w:val="22"/>
          <w:szCs w:val="22"/>
          <w:rtl w:val="0"/>
        </w:rPr>
        <w:t xml:space="preserve">Las actividades de fiscalización, verificación, inspección, comprobación y auditoría sobre el cumplimiento de las Leyes; o </w:t>
      </w:r>
    </w:p>
    <w:p w:rsidR="00000000" w:rsidDel="00000000" w:rsidP="00000000" w:rsidRDefault="00000000" w:rsidRPr="00000000" w14:paraId="00000079">
      <w:pPr>
        <w:spacing w:after="120" w:before="120" w:lineRule="auto"/>
        <w:ind w:left="1418"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La recaudación de las contribuciones.</w:t>
      </w:r>
    </w:p>
    <w:p w:rsidR="00000000" w:rsidDel="00000000" w:rsidP="00000000" w:rsidRDefault="00000000" w:rsidRPr="00000000" w14:paraId="0000007A">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7B">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7C">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7D">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w:t>
      </w:r>
      <w:r w:rsidDel="00000000" w:rsidR="00000000" w:rsidRPr="00000000">
        <w:rPr>
          <w:rFonts w:ascii="Palatino Linotype" w:cs="Palatino Linotype" w:eastAsia="Palatino Linotype" w:hAnsi="Palatino Linotype"/>
          <w:i w:val="1"/>
          <w:sz w:val="22"/>
          <w:szCs w:val="22"/>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7E">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w:t>
      </w:r>
      <w:r w:rsidDel="00000000" w:rsidR="00000000" w:rsidRPr="00000000">
        <w:rPr>
          <w:rFonts w:ascii="Palatino Linotype" w:cs="Palatino Linotype" w:eastAsia="Palatino Linotype" w:hAnsi="Palatino Linotype"/>
          <w:i w:val="1"/>
          <w:sz w:val="22"/>
          <w:szCs w:val="22"/>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7F">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80">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w:t>
      </w:r>
      <w:r w:rsidDel="00000000" w:rsidR="00000000" w:rsidRPr="00000000">
        <w:rPr>
          <w:rFonts w:ascii="Palatino Linotype" w:cs="Palatino Linotype" w:eastAsia="Palatino Linotype" w:hAnsi="Palatino Linotype"/>
          <w:i w:val="1"/>
          <w:sz w:val="22"/>
          <w:szCs w:val="22"/>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81">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2">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 </w:t>
      </w:r>
      <w:r w:rsidDel="00000000" w:rsidR="00000000" w:rsidRPr="00000000">
        <w:rPr>
          <w:rFonts w:ascii="Palatino Linotype" w:cs="Palatino Linotype" w:eastAsia="Palatino Linotype" w:hAnsi="Palatino Linotype"/>
          <w:i w:val="1"/>
          <w:sz w:val="22"/>
          <w:szCs w:val="22"/>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83">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84">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85">
      <w:pPr>
        <w:spacing w:after="120" w:before="120" w:lineRule="auto"/>
        <w:ind w:left="1134"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86">
      <w:pPr>
        <w:spacing w:after="120" w:before="12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87">
      <w:pPr>
        <w:spacing w:after="120" w:before="120" w:lineRule="auto"/>
        <w:ind w:lef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r w:rsidDel="00000000" w:rsidR="00000000" w:rsidRPr="00000000">
        <w:rPr>
          <w:rtl w:val="0"/>
        </w:rPr>
      </w:r>
    </w:p>
    <w:p w:rsidR="00000000" w:rsidDel="00000000" w:rsidP="00000000" w:rsidRDefault="00000000" w:rsidRPr="00000000" w14:paraId="0000008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89">
      <w:pPr>
        <w:numPr>
          <w:ilvl w:val="0"/>
          <w:numId w:val="1"/>
        </w:numPr>
        <w:tabs>
          <w:tab w:val="left" w:pos="851"/>
        </w:tabs>
        <w:spacing w:after="0" w:before="28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reciba una solicitud de acceso a la información;</w:t>
      </w:r>
    </w:p>
    <w:p w:rsidR="00000000" w:rsidDel="00000000" w:rsidP="00000000" w:rsidRDefault="00000000" w:rsidRPr="00000000" w14:paraId="0000008A">
      <w:pPr>
        <w:numPr>
          <w:ilvl w:val="0"/>
          <w:numId w:val="1"/>
        </w:numPr>
        <w:tabs>
          <w:tab w:val="left" w:pos="851"/>
        </w:tabs>
        <w:spacing w:after="0" w:before="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determine mediante resolución de autoridad competente; y/o</w:t>
      </w:r>
    </w:p>
    <w:p w:rsidR="00000000" w:rsidDel="00000000" w:rsidP="00000000" w:rsidRDefault="00000000" w:rsidRPr="00000000" w14:paraId="0000008B">
      <w:pPr>
        <w:numPr>
          <w:ilvl w:val="0"/>
          <w:numId w:val="1"/>
        </w:numPr>
        <w:tabs>
          <w:tab w:val="left" w:pos="851"/>
        </w:tabs>
        <w:spacing w:after="280" w:before="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generen versiones públicas para dar cumplimiento a las obligaciones de transparencia previstas en la Ley.</w:t>
      </w:r>
    </w:p>
    <w:p w:rsidR="00000000" w:rsidDel="00000000" w:rsidP="00000000" w:rsidRDefault="00000000" w:rsidRPr="00000000" w14:paraId="0000008C">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53 fracción X</w:t>
      </w:r>
      <w:r w:rsidDel="00000000" w:rsidR="00000000" w:rsidRPr="00000000">
        <w:rPr>
          <w:rFonts w:ascii="Palatino Linotype" w:cs="Palatino Linotype" w:eastAsia="Palatino Linotype" w:hAnsi="Palatino Linotype"/>
          <w:vertAlign w:val="superscript"/>
        </w:rPr>
        <w:footnoteReference w:customMarkFollows="0" w:id="2"/>
      </w:r>
      <w:r w:rsidDel="00000000" w:rsidR="00000000" w:rsidRPr="00000000">
        <w:rPr>
          <w:rFonts w:ascii="Palatino Linotype" w:cs="Palatino Linotype" w:eastAsia="Palatino Linotype" w:hAnsi="Palatino Linotype"/>
          <w:rtl w:val="0"/>
        </w:rPr>
        <w:t xml:space="preserve">, y 49 fracciones II y VIII</w:t>
      </w:r>
      <w:r w:rsidDel="00000000" w:rsidR="00000000" w:rsidRPr="00000000">
        <w:rPr>
          <w:rFonts w:ascii="Palatino Linotype" w:cs="Palatino Linotype" w:eastAsia="Palatino Linotype" w:hAnsi="Palatino Linotype"/>
          <w:vertAlign w:val="superscript"/>
        </w:rPr>
        <w:footnoteReference w:customMarkFollows="0" w:id="3"/>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w:t>
      </w:r>
    </w:p>
    <w:p w:rsidR="00000000" w:rsidDel="00000000" w:rsidP="00000000" w:rsidRDefault="00000000" w:rsidRPr="00000000" w14:paraId="0000008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advierte que la información solicitada contienen </w:t>
      </w:r>
      <w:r w:rsidDel="00000000" w:rsidR="00000000" w:rsidRPr="00000000">
        <w:rPr>
          <w:rFonts w:ascii="Palatino Linotype" w:cs="Palatino Linotype" w:eastAsia="Palatino Linotype" w:hAnsi="Palatino Linotype"/>
          <w:b w:val="1"/>
          <w:rtl w:val="0"/>
        </w:rPr>
        <w:t xml:space="preserve">datos personales</w:t>
      </w:r>
      <w:r w:rsidDel="00000000" w:rsidR="00000000" w:rsidRPr="00000000">
        <w:rPr>
          <w:rFonts w:ascii="Palatino Linotype" w:cs="Palatino Linotype" w:eastAsia="Palatino Linotype" w:hAnsi="Palatino Linotype"/>
          <w:rtl w:val="0"/>
        </w:rPr>
        <w:t xml:space="preserve"> que sean susceptibles de ser </w:t>
      </w:r>
      <w:r w:rsidDel="00000000" w:rsidR="00000000" w:rsidRPr="00000000">
        <w:rPr>
          <w:rFonts w:ascii="Palatino Linotype" w:cs="Palatino Linotype" w:eastAsia="Palatino Linotype" w:hAnsi="Palatino Linotype"/>
          <w:b w:val="1"/>
          <w:rtl w:val="0"/>
        </w:rPr>
        <w:t xml:space="preserve">clasificados como confidenciales, </w:t>
      </w:r>
      <w:r w:rsidDel="00000000" w:rsidR="00000000" w:rsidRPr="00000000">
        <w:rPr>
          <w:rFonts w:ascii="Palatino Linotype" w:cs="Palatino Linotype" w:eastAsia="Palatino Linotype" w:hAnsi="Palatino Linotype"/>
          <w:rtl w:val="0"/>
        </w:rPr>
        <w:t xml:space="preserve">o, si por otro lado</w:t>
      </w:r>
      <w:r w:rsidDel="00000000" w:rsidR="00000000" w:rsidRPr="00000000">
        <w:rPr>
          <w:rFonts w:ascii="Palatino Linotype" w:cs="Palatino Linotype" w:eastAsia="Palatino Linotype" w:hAnsi="Palatino Linotype"/>
          <w:b w:val="1"/>
          <w:rtl w:val="0"/>
        </w:rPr>
        <w:t xml:space="preserve">, por su propia y especial naturaleza,</w:t>
      </w:r>
      <w:r w:rsidDel="00000000" w:rsidR="00000000" w:rsidRPr="00000000">
        <w:rPr>
          <w:rFonts w:ascii="Palatino Linotype" w:cs="Palatino Linotype" w:eastAsia="Palatino Linotype" w:hAnsi="Palatino Linotype"/>
          <w:rtl w:val="0"/>
        </w:rPr>
        <w:t xml:space="preserve"> encuadra en alguno de los </w:t>
      </w:r>
      <w:r w:rsidDel="00000000" w:rsidR="00000000" w:rsidRPr="00000000">
        <w:rPr>
          <w:rFonts w:ascii="Palatino Linotype" w:cs="Palatino Linotype" w:eastAsia="Palatino Linotype" w:hAnsi="Palatino Linotype"/>
          <w:b w:val="1"/>
          <w:rtl w:val="0"/>
        </w:rPr>
        <w:t xml:space="preserve">supuestos de reserva o de confidencialidad en su totalidad</w:t>
      </w:r>
      <w:r w:rsidDel="00000000" w:rsidR="00000000" w:rsidRPr="00000000">
        <w:rPr>
          <w:rFonts w:ascii="Palatino Linotype" w:cs="Palatino Linotype" w:eastAsia="Palatino Linotype" w:hAnsi="Palatino Linotype"/>
          <w:rtl w:val="0"/>
        </w:rPr>
        <w:t xml:space="preserve">, deberá emitir, un</w:t>
      </w:r>
      <w:r w:rsidDel="00000000" w:rsidR="00000000" w:rsidRPr="00000000">
        <w:rPr>
          <w:rFonts w:ascii="Palatino Linotype" w:cs="Palatino Linotype" w:eastAsia="Palatino Linotype" w:hAnsi="Palatino Linotype"/>
          <w:b w:val="1"/>
          <w:rtl w:val="0"/>
        </w:rPr>
        <w:t xml:space="preserve"> Acuerdo de Clasificación </w:t>
      </w:r>
      <w:r w:rsidDel="00000000" w:rsidR="00000000" w:rsidRPr="00000000">
        <w:rPr>
          <w:rFonts w:ascii="Palatino Linotype" w:cs="Palatino Linotype" w:eastAsia="Palatino Linotype" w:hAnsi="Palatino Linotype"/>
          <w:rtl w:val="0"/>
        </w:rPr>
        <w:t xml:space="preserve">debidamente fundado y motivado que</w:t>
      </w:r>
      <w:r w:rsidDel="00000000" w:rsidR="00000000" w:rsidRPr="00000000">
        <w:rPr>
          <w:rFonts w:ascii="Palatino Linotype" w:cs="Palatino Linotype" w:eastAsia="Palatino Linotype" w:hAnsi="Palatino Linotype"/>
          <w:b w:val="1"/>
          <w:rtl w:val="0"/>
        </w:rPr>
        <w:t xml:space="preserve"> sustente la clasificación parcial, a través de la versión pública que emita,</w:t>
      </w:r>
      <w:r w:rsidDel="00000000" w:rsidR="00000000" w:rsidRPr="00000000">
        <w:rPr>
          <w:rFonts w:ascii="Palatino Linotype" w:cs="Palatino Linotype" w:eastAsia="Palatino Linotype" w:hAnsi="Palatino Linotype"/>
          <w:rtl w:val="0"/>
        </w:rPr>
        <w:t xml:space="preserve"> o bien, la restricción total del derecho de acceso a la información.  </w:t>
      </w:r>
    </w:p>
    <w:p w:rsidR="00000000" w:rsidDel="00000000" w:rsidP="00000000" w:rsidRDefault="00000000" w:rsidRPr="00000000" w14:paraId="0000008E">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8F">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90">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rsidR="00000000" w:rsidDel="00000000" w:rsidP="00000000" w:rsidRDefault="00000000" w:rsidRPr="00000000" w14:paraId="00000091">
      <w:pPr>
        <w:numPr>
          <w:ilvl w:val="0"/>
          <w:numId w:val="2"/>
        </w:numPr>
        <w:tabs>
          <w:tab w:val="left" w:pos="851"/>
        </w:tabs>
        <w:spacing w:after="0" w:before="280" w:line="360" w:lineRule="auto"/>
        <w:ind w:left="567"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divulgación de la información representa un </w:t>
      </w:r>
      <w:r w:rsidDel="00000000" w:rsidR="00000000" w:rsidRPr="00000000">
        <w:rPr>
          <w:rFonts w:ascii="Palatino Linotype" w:cs="Palatino Linotype" w:eastAsia="Palatino Linotype" w:hAnsi="Palatino Linotype"/>
          <w:b w:val="1"/>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92">
      <w:pPr>
        <w:numPr>
          <w:ilvl w:val="0"/>
          <w:numId w:val="2"/>
        </w:numPr>
        <w:tabs>
          <w:tab w:val="left" w:pos="851"/>
        </w:tabs>
        <w:spacing w:after="0" w:before="0" w:line="360" w:lineRule="auto"/>
        <w:ind w:left="567"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riesgo de perjuicio que supondría la divulgación supera el interés público general de que se difunda; y,</w:t>
      </w:r>
    </w:p>
    <w:p w:rsidR="00000000" w:rsidDel="00000000" w:rsidP="00000000" w:rsidRDefault="00000000" w:rsidRPr="00000000" w14:paraId="00000093">
      <w:pPr>
        <w:numPr>
          <w:ilvl w:val="0"/>
          <w:numId w:val="2"/>
        </w:numPr>
        <w:tabs>
          <w:tab w:val="left" w:pos="851"/>
        </w:tabs>
        <w:spacing w:after="280" w:before="0" w:line="360" w:lineRule="auto"/>
        <w:ind w:left="567" w:firstLine="1.000000000000014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76"/>
          <w:tab w:val="left" w:pos="1701"/>
          <w:tab w:val="left" w:pos="1843"/>
        </w:tabs>
        <w:spacing w:after="280" w:before="28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rsidR="00000000" w:rsidDel="00000000" w:rsidP="00000000" w:rsidRDefault="00000000" w:rsidRPr="00000000" w14:paraId="00000095">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pertinente aclarar que, la información que se clasifica bajo la premisa de reservada, </w:t>
      </w:r>
      <w:r w:rsidDel="00000000" w:rsidR="00000000" w:rsidRPr="00000000">
        <w:rPr>
          <w:rFonts w:ascii="Palatino Linotype" w:cs="Palatino Linotype" w:eastAsia="Palatino Linotype" w:hAnsi="Palatino Linotype"/>
          <w:b w:val="1"/>
          <w:rtl w:val="0"/>
        </w:rPr>
        <w:t xml:space="preserve">no pierde el carácter de pública</w:t>
      </w:r>
      <w:r w:rsidDel="00000000" w:rsidR="00000000" w:rsidRPr="00000000">
        <w:rPr>
          <w:rFonts w:ascii="Palatino Linotype" w:cs="Palatino Linotype" w:eastAsia="Palatino Linotype" w:hAnsi="Palatino Linotype"/>
          <w:rtl w:val="0"/>
        </w:rPr>
        <w:t xml:space="preserve">, sino que </w:t>
      </w:r>
      <w:r w:rsidDel="00000000" w:rsidR="00000000" w:rsidRPr="00000000">
        <w:rPr>
          <w:rFonts w:ascii="Palatino Linotype" w:cs="Palatino Linotype" w:eastAsia="Palatino Linotype" w:hAnsi="Palatino Linotype"/>
          <w:b w:val="1"/>
          <w:rtl w:val="0"/>
        </w:rPr>
        <w:t xml:space="preserve">se reserva temporalmente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del conocimiento público</w:t>
      </w:r>
      <w:r w:rsidDel="00000000" w:rsidR="00000000" w:rsidRPr="00000000">
        <w:rPr>
          <w:rFonts w:ascii="Palatino Linotype" w:cs="Palatino Linotype" w:eastAsia="Palatino Linotype" w:hAnsi="Palatino Linotype"/>
          <w:rtl w:val="0"/>
        </w:rPr>
        <w:t xml:space="preserve">, es decir, que, </w:t>
      </w:r>
      <w:r w:rsidDel="00000000" w:rsidR="00000000" w:rsidRPr="00000000">
        <w:rPr>
          <w:rFonts w:ascii="Palatino Linotype" w:cs="Palatino Linotype" w:eastAsia="Palatino Linotype" w:hAnsi="Palatino Linotype"/>
          <w:b w:val="1"/>
          <w:rtl w:val="0"/>
        </w:rPr>
        <w:t xml:space="preserve">por un tiempo determinado</w:t>
      </w:r>
      <w:r w:rsidDel="00000000" w:rsidR="00000000" w:rsidRPr="00000000">
        <w:rPr>
          <w:rFonts w:ascii="Palatino Linotype" w:cs="Palatino Linotype" w:eastAsia="Palatino Linotype" w:hAnsi="Palatino Linotype"/>
          <w:rtl w:val="0"/>
        </w:rPr>
        <w:t xml:space="preserve">, se conservará y custodiará la información de manera especial, y una vez transcurrido el plazo de reserva, el documento podrá divulgarse.</w:t>
      </w:r>
    </w:p>
    <w:p w:rsidR="00000000" w:rsidDel="00000000" w:rsidP="00000000" w:rsidRDefault="00000000" w:rsidRPr="00000000" w14:paraId="00000096">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rsidR="00000000" w:rsidDel="00000000" w:rsidP="00000000" w:rsidRDefault="00000000" w:rsidRPr="00000000" w14:paraId="0000009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RESERVADA. APLICACIÓN DE LA "PRUEBA DE DAÑO E INTERÉS PÚBLICO" PARA DETERMINAR LO ADECUADO DE LA APORTADA CON ESA CLASIFICACIÓN EN EL JUICIO DE AMPARO POR LA AUTORIDAD RESPONSABLE, A EFECTO DE HACER VIABLE LA DEFENSA EFECTIVA DEL QUEJOSO.</w:t>
      </w:r>
      <w:r w:rsidDel="00000000" w:rsidR="00000000" w:rsidRPr="00000000">
        <w:rPr>
          <w:rFonts w:ascii="Palatino Linotype" w:cs="Palatino Linotype" w:eastAsia="Palatino Linotype" w:hAnsi="Palatino Linotype"/>
          <w:i w:val="1"/>
          <w:sz w:val="22"/>
          <w:szCs w:val="22"/>
          <w:rtl w:val="0"/>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w:t>
      </w:r>
    </w:p>
    <w:p w:rsidR="00000000" w:rsidDel="00000000" w:rsidP="00000000" w:rsidRDefault="00000000" w:rsidRPr="00000000" w14:paraId="00000098">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99">
      <w:pPr>
        <w:spacing w:after="280" w:before="28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vertAlign w:val="superscript"/>
        </w:rPr>
        <w:footnoteReference w:customMarkFollows="0" w:id="4"/>
      </w:r>
      <w:r w:rsidDel="00000000" w:rsidR="00000000" w:rsidRPr="00000000">
        <w:rPr>
          <w:rFonts w:ascii="Palatino Linotype" w:cs="Palatino Linotype" w:eastAsia="Palatino Linotype" w:hAnsi="Palatino Linotype"/>
          <w:rtl w:val="0"/>
        </w:rPr>
        <w:t xml:space="preserve">,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9A">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estima prudente señalar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9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9C">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9D">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9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sz w:val="22"/>
          <w:szCs w:val="22"/>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9F">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mérito de todo lo expuesto, ante lo </w:t>
      </w:r>
      <w:r w:rsidDel="00000000" w:rsidR="00000000" w:rsidRPr="00000000">
        <w:rPr>
          <w:rFonts w:ascii="Palatino Linotype" w:cs="Palatino Linotype" w:eastAsia="Palatino Linotype" w:hAnsi="Palatino Linotype"/>
          <w:b w:val="1"/>
          <w:rtl w:val="0"/>
        </w:rPr>
        <w:t xml:space="preserve">fundado</w:t>
      </w:r>
      <w:r w:rsidDel="00000000" w:rsidR="00000000" w:rsidRPr="00000000">
        <w:rPr>
          <w:rFonts w:ascii="Palatino Linotype" w:cs="Palatino Linotype" w:eastAsia="Palatino Linotype" w:hAnsi="Palatino Linotype"/>
          <w:rtl w:val="0"/>
        </w:rPr>
        <w:t xml:space="preserve"> de las razones o motivos de inconformidad hechos valer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este Instituto estima que lo dable es </w:t>
      </w:r>
      <w:r w:rsidDel="00000000" w:rsidR="00000000" w:rsidRPr="00000000">
        <w:rPr>
          <w:rFonts w:ascii="Palatino Linotype" w:cs="Palatino Linotype" w:eastAsia="Palatino Linotype" w:hAnsi="Palatino Linotype"/>
          <w:b w:val="1"/>
          <w:rtl w:val="0"/>
        </w:rPr>
        <w:t xml:space="preserve">Ordenar</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dé respuesta a la solicitud de acceso a la información, atendiendo lo señalado en el presente Considerando.</w:t>
      </w:r>
    </w:p>
    <w:p w:rsidR="00000000" w:rsidDel="00000000" w:rsidP="00000000" w:rsidRDefault="00000000" w:rsidRPr="00000000" w14:paraId="000000A0">
      <w:pPr>
        <w:spacing w:after="280" w:before="28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es de señalar que, como ya se mencionó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omitió proporcionar la respuesta a su solicitud de acceso a la información pública, en el término contemplado en el ya citado artículo 163 de la Ley de la materia, razón por la que </w:t>
      </w:r>
      <w:r w:rsidDel="00000000" w:rsidR="00000000" w:rsidRPr="00000000">
        <w:rPr>
          <w:rFonts w:ascii="Palatino Linotype" w:cs="Palatino Linotype" w:eastAsia="Palatino Linotype" w:hAnsi="Palatino Linotype"/>
          <w:b w:val="1"/>
          <w:rtl w:val="0"/>
        </w:rPr>
        <w:t xml:space="preserve">se ordena dar vista al Titular de la Contraloría Interna y Órgano de Control y Vigilancia de este Instituto</w:t>
      </w:r>
      <w:r w:rsidDel="00000000" w:rsidR="00000000" w:rsidRPr="00000000">
        <w:rPr>
          <w:rFonts w:ascii="Palatino Linotype" w:cs="Palatino Linotype" w:eastAsia="Palatino Linotype" w:hAnsi="Palatino Linotype"/>
          <w:rtl w:val="0"/>
        </w:rPr>
        <w:t xml:space="preserve">,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rtl w:val="0"/>
        </w:rPr>
        <w:t xml:space="preserve">Así, con fundamento en lo prescrito en los</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0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80" w:before="280" w:line="360" w:lineRule="auto"/>
        <w:ind w:left="1080"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U E L V E:</w:t>
      </w:r>
    </w:p>
    <w:p w:rsidR="00000000" w:rsidDel="00000000" w:rsidP="00000000" w:rsidRDefault="00000000" w:rsidRPr="00000000" w14:paraId="000000A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los motivos de inconformidad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0A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dé trámite a la solicitud de acceso a la información pública </w:t>
      </w:r>
      <w:r w:rsidDel="00000000" w:rsidR="00000000" w:rsidRPr="00000000">
        <w:rPr>
          <w:rFonts w:ascii="Palatino Linotype" w:cs="Palatino Linotype" w:eastAsia="Palatino Linotype" w:hAnsi="Palatino Linotype"/>
          <w:b w:val="1"/>
          <w:rtl w:val="0"/>
        </w:rPr>
        <w:t xml:space="preserve">00021/TEXCALYA/IP/2022, </w:t>
      </w:r>
      <w:r w:rsidDel="00000000" w:rsidR="00000000" w:rsidRPr="00000000">
        <w:rPr>
          <w:rFonts w:ascii="Palatino Linotype" w:cs="Palatino Linotype" w:eastAsia="Palatino Linotype" w:hAnsi="Palatino Linotype"/>
          <w:rtl w:val="0"/>
        </w:rPr>
        <w:t xml:space="preserve">que dio origen al recurso de revisión, vía Sistema de Acceso a la Información Mexiquense, </w:t>
      </w:r>
      <w:r w:rsidDel="00000000" w:rsidR="00000000" w:rsidRPr="00000000">
        <w:rPr>
          <w:rFonts w:ascii="Palatino Linotype" w:cs="Palatino Linotype" w:eastAsia="Palatino Linotype" w:hAnsi="Palatino Linotype"/>
          <w:b w:val="1"/>
          <w:rtl w:val="0"/>
        </w:rPr>
        <w:t xml:space="preserve">SAIMEX  y mediante correo electrónico,</w:t>
      </w:r>
      <w:r w:rsidDel="00000000" w:rsidR="00000000" w:rsidRPr="00000000">
        <w:rPr>
          <w:rFonts w:ascii="Palatino Linotype" w:cs="Palatino Linotype" w:eastAsia="Palatino Linotype" w:hAnsi="Palatino Linotype"/>
          <w:rtl w:val="0"/>
        </w:rPr>
        <w:t xml:space="preserve"> en términos del Considerando Cuarto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0A5">
      <w:pPr>
        <w:spacing w:after="240" w:before="240" w:line="360" w:lineRule="auto"/>
        <w:jc w:val="both"/>
        <w:rPr>
          <w:rFonts w:ascii="Palatino Linotype" w:cs="Palatino Linotype" w:eastAsia="Palatino Linotype" w:hAnsi="Palatino Linotype"/>
        </w:rPr>
      </w:pPr>
      <w:bookmarkStart w:colFirst="0" w:colLast="0" w:name="_heading=h.1fob9te" w:id="2"/>
      <w:bookmarkEnd w:id="2"/>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0A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 y mediante correo electrónico,</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A7">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Quinto. Notifíquese,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que la respuesta que dé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A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Sexto. Gírese </w:t>
      </w:r>
      <w:r w:rsidDel="00000000" w:rsidR="00000000" w:rsidRPr="00000000">
        <w:rPr>
          <w:rFonts w:ascii="Palatino Linotype" w:cs="Palatino Linotype" w:eastAsia="Palatino Linotype" w:hAnsi="Palatino Linotype"/>
          <w:rtl w:val="0"/>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w:t>
      </w:r>
      <w:r w:rsidDel="00000000" w:rsidR="00000000" w:rsidRPr="00000000">
        <w:rPr>
          <w:rFonts w:ascii="Palatino Linotype" w:cs="Palatino Linotype" w:eastAsia="Palatino Linotype" w:hAnsi="Palatino Linotype"/>
          <w:b w:val="1"/>
          <w:rtl w:val="0"/>
        </w:rPr>
        <w:t xml:space="preserve"> Cuarto </w:t>
      </w:r>
      <w:r w:rsidDel="00000000" w:rsidR="00000000" w:rsidRPr="00000000">
        <w:rPr>
          <w:rFonts w:ascii="Palatino Linotype" w:cs="Palatino Linotype" w:eastAsia="Palatino Linotype" w:hAnsi="Palatino Linotype"/>
          <w:rtl w:val="0"/>
        </w:rPr>
        <w:t xml:space="preserve">de la presente resolución.</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A9">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Séptimo. </w:t>
      </w:r>
      <w:r w:rsidDel="00000000" w:rsidR="00000000" w:rsidRPr="00000000">
        <w:rPr>
          <w:rFonts w:ascii="Palatino Linotype" w:cs="Palatino Linotype" w:eastAsia="Palatino Linotype" w:hAnsi="Palatino Linotype"/>
          <w:rtl w:val="0"/>
        </w:rPr>
        <w:t xml:space="preserve">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AA">
      <w:pPr>
        <w:spacing w:line="360" w:lineRule="auto"/>
        <w:ind w:right="49"/>
        <w:jc w:val="both"/>
        <w:rPr>
          <w:rFonts w:ascii="Palatino Linotype" w:cs="Palatino Linotype" w:eastAsia="Palatino Linotype" w:hAnsi="Palatino Linotype"/>
        </w:rPr>
        <w:sectPr>
          <w:headerReference r:id="rId17" w:type="default"/>
          <w:headerReference r:id="rId18" w:type="first"/>
          <w:footerReference r:id="rId19" w:type="default"/>
          <w:footerReference r:id="rId20" w:type="first"/>
          <w:pgSz w:h="15840" w:w="12240" w:orient="portrait"/>
          <w:pgMar w:bottom="1701" w:top="1985" w:left="1701" w:right="1701" w:header="709" w:footer="709"/>
          <w:pgNumType w:start="1"/>
          <w:titlePg w:val="1"/>
        </w:sect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CUATRO DE MAYO DE DOS MIL VEINTIDÓS, ANTE EL SECRETARIO TÉCNICO DEL PLENO ALEXIS TAPIA RAMÍREZ.</w:t>
      </w:r>
    </w:p>
    <w:p w:rsidR="00000000" w:rsidDel="00000000" w:rsidP="00000000" w:rsidRDefault="00000000" w:rsidRPr="00000000" w14:paraId="000000AB">
      <w:pPr>
        <w:tabs>
          <w:tab w:val="left" w:pos="709"/>
        </w:tabs>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sectPr>
      <w:headerReference r:id="rId21"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Calibri"/>
  <w:font w:name="Arial"/>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Al encontrarse en algún supuesto restrictivo, previsto en la normatividad aplicable.</w:t>
      </w:r>
    </w:p>
  </w:footnote>
  <w:footnote w:id="1">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Artículo 59. Los servidores públicos habilitados tendrán las funciones siguientes: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V. Integrar y presentar al responsable de la Unidad de Transparencia la propuesta de clasificación de información, la cual tendrá los fundamentos y argumentos en que se basa dicha propuesta;</w:t>
      </w:r>
    </w:p>
  </w:footnote>
  <w:footnote w:id="2">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Artículo 53. Las Unidades de Transparencia tendrán las siguientes funciones:</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X. Presentar ante el Comité, el proyecto de clasificación de información;</w:t>
      </w:r>
    </w:p>
  </w:footnote>
  <w:footnote w:id="3">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Artículo 49. Los Comités de Transparencia tendrán las siguientes atribuciones: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VIII. Aprobar, modificar o revocar la clasificación de la información;</w:t>
      </w:r>
    </w:p>
  </w:footnote>
  <w:footnote w:id="4">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-1013459</wp:posOffset>
          </wp:positionH>
          <wp:positionV relativeFrom="paragraph">
            <wp:posOffset>-372109</wp:posOffset>
          </wp:positionV>
          <wp:extent cx="7635600" cy="9943200"/>
          <wp:effectExtent b="0" l="0" r="0" t="0"/>
          <wp:wrapNone/>
          <wp:docPr id="2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4"/>
      <w:tblW w:w="6238.0" w:type="dxa"/>
      <w:jc w:val="left"/>
      <w:tblInd w:w="3119.0" w:type="dxa"/>
      <w:tblLayout w:type="fixed"/>
      <w:tblLook w:val="0400"/>
    </w:tblPr>
    <w:tblGrid>
      <w:gridCol w:w="2551"/>
      <w:gridCol w:w="3687"/>
      <w:tblGridChange w:id="0">
        <w:tblGrid>
          <w:gridCol w:w="2551"/>
          <w:gridCol w:w="3687"/>
        </w:tblGrid>
      </w:tblGridChange>
    </w:tblGrid>
    <w:tr>
      <w:trPr>
        <w:cantSplit w:val="0"/>
        <w:tblHeader w:val="0"/>
      </w:trPr>
      <w:tc>
        <w:tcPr>
          <w:vAlign w:val="center"/>
        </w:tcPr>
        <w:p w:rsidR="00000000" w:rsidDel="00000000" w:rsidP="00000000" w:rsidRDefault="00000000" w:rsidRPr="00000000" w14:paraId="000000B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B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01544/INFOEM/IP/RR/2022</w:t>
          </w:r>
        </w:p>
      </w:tc>
    </w:tr>
    <w:tr>
      <w:trPr>
        <w:cantSplit w:val="0"/>
        <w:tblHeader w:val="0"/>
      </w:trPr>
      <w:tc>
        <w:tcPr>
          <w:vAlign w:val="center"/>
        </w:tcPr>
        <w:p w:rsidR="00000000" w:rsidDel="00000000" w:rsidP="00000000" w:rsidRDefault="00000000" w:rsidRPr="00000000" w14:paraId="000000BA">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B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 XXXXXXX XXXXXXX</w:t>
          </w:r>
        </w:p>
      </w:tc>
    </w:tr>
    <w:tr>
      <w:trPr>
        <w:cantSplit w:val="0"/>
        <w:trHeight w:val="228" w:hRule="atLeast"/>
        <w:tblHeader w:val="0"/>
      </w:trPr>
      <w:tc>
        <w:tcPr>
          <w:vAlign w:val="center"/>
        </w:tcPr>
        <w:p w:rsidR="00000000" w:rsidDel="00000000" w:rsidP="00000000" w:rsidRDefault="00000000" w:rsidRPr="00000000" w14:paraId="000000B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BD">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Texcalyacac</w:t>
          </w:r>
        </w:p>
      </w:tc>
    </w:tr>
    <w:tr>
      <w:trPr>
        <w:cantSplit w:val="0"/>
        <w:tblHeader w:val="0"/>
      </w:trPr>
      <w:tc>
        <w:tcPr>
          <w:vAlign w:val="center"/>
        </w:tcPr>
        <w:p w:rsidR="00000000" w:rsidDel="00000000" w:rsidP="00000000" w:rsidRDefault="00000000" w:rsidRPr="00000000" w14:paraId="000000B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BF">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5528.0" w:type="dxa"/>
      <w:jc w:val="left"/>
      <w:tblInd w:w="3261.0" w:type="dxa"/>
      <w:tblLayout w:type="fixed"/>
      <w:tblLook w:val="0400"/>
    </w:tblPr>
    <w:tblGrid>
      <w:gridCol w:w="2552"/>
      <w:gridCol w:w="2976"/>
      <w:tblGridChange w:id="0">
        <w:tblGrid>
          <w:gridCol w:w="2552"/>
          <w:gridCol w:w="2976"/>
        </w:tblGrid>
      </w:tblGridChange>
    </w:tblGrid>
    <w:tr>
      <w:trPr>
        <w:cantSplit w:val="0"/>
        <w:tblHeader w:val="0"/>
      </w:trPr>
      <w:tc>
        <w:tcPr>
          <w:vAlign w:val="center"/>
        </w:tcPr>
        <w:p w:rsidR="00000000" w:rsidDel="00000000" w:rsidP="00000000" w:rsidRDefault="00000000" w:rsidRPr="00000000" w14:paraId="000000C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C3">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01544/INFOEM/IP/RR/2022 </w:t>
          </w:r>
        </w:p>
      </w:tc>
    </w:tr>
    <w:tr>
      <w:trPr>
        <w:cantSplit w:val="0"/>
        <w:trHeight w:val="228" w:hRule="atLeast"/>
        <w:tblHeader w:val="0"/>
      </w:trPr>
      <w:tc>
        <w:tcPr>
          <w:vAlign w:val="center"/>
        </w:tcPr>
        <w:p w:rsidR="00000000" w:rsidDel="00000000" w:rsidP="00000000" w:rsidRDefault="00000000" w:rsidRPr="00000000" w14:paraId="000000C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C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Texcalyacac</w:t>
          </w:r>
        </w:p>
      </w:tc>
    </w:tr>
    <w:tr>
      <w:trPr>
        <w:cantSplit w:val="0"/>
        <w:tblHeader w:val="0"/>
      </w:trPr>
      <w:tc>
        <w:tcPr>
          <w:vAlign w:val="center"/>
        </w:tcPr>
        <w:p w:rsidR="00000000" w:rsidDel="00000000" w:rsidP="00000000" w:rsidRDefault="00000000" w:rsidRPr="00000000" w14:paraId="000000C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C7">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-1249679</wp:posOffset>
          </wp:positionV>
          <wp:extent cx="7635163" cy="9944100"/>
          <wp:effectExtent b="0" l="0" r="0" t="0"/>
          <wp:wrapNone/>
          <wp:docPr id="12"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635163" cy="99441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91A48"/>
    <w:pPr>
      <w:spacing w:after="0" w:line="240" w:lineRule="auto"/>
    </w:pPr>
    <w:rPr>
      <w:rFonts w:ascii="Times New Roman" w:cs="Times New Roman" w:eastAsia="Times New Roman" w:hAnsi="Times New Roman"/>
      <w:sz w:val="24"/>
      <w:szCs w:val="24"/>
      <w:lang w:eastAsia="es-ES"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591A48"/>
    <w:rPr>
      <w:rFonts w:eastAsiaTheme="minorEastAsia"/>
      <w:sz w:val="24"/>
      <w:szCs w:val="24"/>
      <w:lang w:eastAsia="es-ES" w:val="es-ES_tradnl"/>
    </w:rPr>
  </w:style>
  <w:style w:type="paragraph" w:styleId="Piedepgina">
    <w:name w:val="footer"/>
    <w:basedOn w:val="Normal"/>
    <w:link w:val="PiedepginaCar"/>
    <w:uiPriority w:val="99"/>
    <w:unhideWhenUsed w:val="1"/>
    <w:rsid w:val="00591A48"/>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591A48"/>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591A48"/>
    <w:rPr>
      <w:rFonts w:ascii="Times New Roman" w:cs="Times New Roman" w:eastAsia="Times New Roman" w:hAnsi="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591A48"/>
    <w:pPr>
      <w:ind w:left="708"/>
    </w:pPr>
    <w:rPr>
      <w:sz w:val="22"/>
      <w:szCs w:val="22"/>
      <w:lang w:eastAsia="en-US" w:val="es-MX"/>
    </w:rPr>
  </w:style>
  <w:style w:type="table" w:styleId="Tablaconcuadrcula">
    <w:name w:val="Table Grid"/>
    <w:basedOn w:val="Tablanormal"/>
    <w:uiPriority w:val="59"/>
    <w:rsid w:val="00591A48"/>
    <w:pPr>
      <w:spacing w:after="0" w:line="240" w:lineRule="auto"/>
    </w:pPr>
    <w:rPr>
      <w:rFonts w:eastAsiaTheme="minorEastAsia"/>
      <w:sz w:val="24"/>
      <w:szCs w:val="24"/>
      <w:lang w:eastAsia="es-ES" w:val="es-ES_tradnl"/>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ormaltextrun" w:customStyle="1">
    <w:name w:val="normaltextrun"/>
    <w:basedOn w:val="Fuentedeprrafopredeter"/>
    <w:rsid w:val="00591A48"/>
  </w:style>
  <w:style w:type="character" w:styleId="apple-converted-space" w:customStyle="1">
    <w:name w:val="apple-converted-space"/>
    <w:basedOn w:val="Fuentedeprrafopredeter"/>
    <w:rsid w:val="00591A48"/>
  </w:style>
  <w:style w:type="character" w:styleId="Hipervnculo">
    <w:name w:val="Hyperlink"/>
    <w:basedOn w:val="Fuentedeprrafopredeter"/>
    <w:uiPriority w:val="99"/>
    <w:unhideWhenUsed w:val="1"/>
    <w:rsid w:val="00591A48"/>
    <w:rPr>
      <w:color w:val="0000ff"/>
      <w:u w:val="single"/>
    </w:rPr>
  </w:style>
  <w:style w:type="paragraph" w:styleId="NormalWeb">
    <w:name w:val="Normal (Web)"/>
    <w:basedOn w:val="Normal"/>
    <w:uiPriority w:val="99"/>
    <w:unhideWhenUsed w:val="1"/>
    <w:rsid w:val="00591A48"/>
    <w:pPr>
      <w:spacing w:after="100" w:afterAutospacing="1" w:before="100" w:beforeAutospacing="1"/>
    </w:pPr>
    <w:rPr>
      <w:lang w:eastAsia="es-MX"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591A4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val="1"/>
    <w:qFormat w:val="1"/>
    <w:rsid w:val="00591A48"/>
    <w:rPr>
      <w:vertAlign w:val="superscript"/>
    </w:rPr>
  </w:style>
  <w:style w:type="character" w:styleId="Refdecomentario">
    <w:name w:val="annotation reference"/>
    <w:basedOn w:val="Fuentedeprrafopredeter"/>
    <w:uiPriority w:val="99"/>
    <w:semiHidden w:val="1"/>
    <w:unhideWhenUsed w:val="1"/>
    <w:rsid w:val="00D33422"/>
    <w:rPr>
      <w:sz w:val="16"/>
      <w:szCs w:val="16"/>
    </w:rPr>
  </w:style>
  <w:style w:type="paragraph" w:styleId="Textocomentario">
    <w:name w:val="annotation text"/>
    <w:basedOn w:val="Normal"/>
    <w:link w:val="TextocomentarioCar"/>
    <w:uiPriority w:val="99"/>
    <w:semiHidden w:val="1"/>
    <w:unhideWhenUsed w:val="1"/>
    <w:rsid w:val="00D33422"/>
    <w:rPr>
      <w:sz w:val="20"/>
      <w:szCs w:val="20"/>
    </w:rPr>
  </w:style>
  <w:style w:type="character" w:styleId="TextocomentarioCar" w:customStyle="1">
    <w:name w:val="Texto comentario Car"/>
    <w:basedOn w:val="Fuentedeprrafopredeter"/>
    <w:link w:val="Textocomentario"/>
    <w:uiPriority w:val="99"/>
    <w:semiHidden w:val="1"/>
    <w:rsid w:val="00D33422"/>
    <w:rPr>
      <w:rFonts w:ascii="Times New Roman" w:cs="Times New Roman" w:eastAsia="Times New Roman" w:hAnsi="Times New Roman"/>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D33422"/>
    <w:rPr>
      <w:b w:val="1"/>
      <w:bCs w:val="1"/>
    </w:rPr>
  </w:style>
  <w:style w:type="character" w:styleId="AsuntodelcomentarioCar" w:customStyle="1">
    <w:name w:val="Asunto del comentario Car"/>
    <w:basedOn w:val="TextocomentarioCar"/>
    <w:link w:val="Asuntodelcomentario"/>
    <w:uiPriority w:val="99"/>
    <w:semiHidden w:val="1"/>
    <w:rsid w:val="00D33422"/>
    <w:rPr>
      <w:rFonts w:ascii="Times New Roman" w:cs="Times New Roman" w:eastAsia="Times New Roman" w:hAnsi="Times New Roman"/>
      <w:b w:val="1"/>
      <w:bCs w:val="1"/>
      <w:sz w:val="20"/>
      <w:szCs w:val="20"/>
      <w:lang w:eastAsia="es-ES" w:val="es-ES"/>
    </w:rPr>
  </w:style>
  <w:style w:type="paragraph" w:styleId="Textodeglobo">
    <w:name w:val="Balloon Text"/>
    <w:basedOn w:val="Normal"/>
    <w:link w:val="TextodegloboCar"/>
    <w:uiPriority w:val="99"/>
    <w:semiHidden w:val="1"/>
    <w:unhideWhenUsed w:val="1"/>
    <w:rsid w:val="00D3342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D33422"/>
    <w:rPr>
      <w:rFonts w:ascii="Segoe UI" w:cs="Segoe UI" w:eastAsia="Times New Roman" w:hAnsi="Segoe UI"/>
      <w:sz w:val="18"/>
      <w:szCs w:val="18"/>
      <w:lang w:eastAsia="es-ES" w:val="es-ES"/>
    </w:rPr>
  </w:style>
  <w:style w:type="paragraph" w:styleId="paragraph" w:customStyle="1">
    <w:name w:val="paragraph"/>
    <w:basedOn w:val="Normal"/>
    <w:rsid w:val="00225930"/>
    <w:pPr>
      <w:spacing w:after="100" w:afterAutospacing="1" w:before="100" w:beforeAutospacing="1"/>
    </w:pPr>
    <w:rPr>
      <w:lang w:eastAsia="es-MX" w:val="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6.png"/><Relationship Id="rId10" Type="http://schemas.openxmlformats.org/officeDocument/2006/relationships/image" Target="media/image7.png"/><Relationship Id="rId21" Type="http://schemas.openxmlformats.org/officeDocument/2006/relationships/header" Target="header3.xml"/><Relationship Id="rId13" Type="http://schemas.openxmlformats.org/officeDocument/2006/relationships/image" Target="media/image8.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10.png"/><Relationship Id="rId17" Type="http://schemas.openxmlformats.org/officeDocument/2006/relationships/header" Target="header2.xml"/><Relationship Id="rId16" Type="http://schemas.openxmlformats.org/officeDocument/2006/relationships/image" Target="media/image1.png"/><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OHo9CBHlRJFYKxj/34RbsuAtpg==">AMUW2mVqyvhsvbOPScgb/7zzilSsQPrsx+3/Ai08oMu0Jov0tun9i3xtLF4Qa2rq3qkGBOspKNciSAiRVsBUt0wwWIUBzFN6MGYaSea/ptv6h3K+FXn/xaZpXtRlPy8L4BSRIQdFlPOMp/Bu1fUlDDy6WD+khtI5fg==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2022-06-07T00:23:00Z</dcterms:created>
  <dc:creator>Usuario de Windows</dc:creator>
</cp:coreProperties>
</file>