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4B8866D1" w:rsidR="009417CA" w:rsidRPr="00C83068" w:rsidRDefault="009417CA" w:rsidP="00BE1923">
      <w:pPr>
        <w:tabs>
          <w:tab w:val="left" w:pos="3465"/>
        </w:tabs>
        <w:spacing w:line="360" w:lineRule="auto"/>
        <w:jc w:val="both"/>
        <w:rPr>
          <w:rFonts w:ascii="Palatino Linotype" w:hAnsi="Palatino Linotype"/>
        </w:rPr>
      </w:pPr>
      <w:r w:rsidRPr="00C830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C0A34" w:rsidRPr="00C83068">
        <w:rPr>
          <w:rFonts w:ascii="Palatino Linotype" w:hAnsi="Palatino Linotype"/>
        </w:rPr>
        <w:t>seis</w:t>
      </w:r>
      <w:r w:rsidRPr="00C83068">
        <w:rPr>
          <w:rFonts w:ascii="Palatino Linotype" w:hAnsi="Palatino Linotype"/>
        </w:rPr>
        <w:t xml:space="preserve"> (</w:t>
      </w:r>
      <w:r w:rsidR="00EC0A34" w:rsidRPr="00C83068">
        <w:rPr>
          <w:rFonts w:ascii="Palatino Linotype" w:hAnsi="Palatino Linotype"/>
        </w:rPr>
        <w:t>06</w:t>
      </w:r>
      <w:r w:rsidRPr="00C83068">
        <w:rPr>
          <w:rFonts w:ascii="Palatino Linotype" w:hAnsi="Palatino Linotype"/>
        </w:rPr>
        <w:t xml:space="preserve">) de </w:t>
      </w:r>
      <w:r w:rsidR="00EC0A34" w:rsidRPr="00C83068">
        <w:rPr>
          <w:rFonts w:ascii="Palatino Linotype" w:hAnsi="Palatino Linotype"/>
        </w:rPr>
        <w:t>jul</w:t>
      </w:r>
      <w:r w:rsidR="003F3BD8" w:rsidRPr="00C83068">
        <w:rPr>
          <w:rFonts w:ascii="Palatino Linotype" w:hAnsi="Palatino Linotype"/>
        </w:rPr>
        <w:t>i</w:t>
      </w:r>
      <w:r w:rsidR="00A24E15" w:rsidRPr="00C83068">
        <w:rPr>
          <w:rFonts w:ascii="Palatino Linotype" w:hAnsi="Palatino Linotype"/>
        </w:rPr>
        <w:t>o</w:t>
      </w:r>
      <w:r w:rsidR="00E676A6" w:rsidRPr="00C83068">
        <w:rPr>
          <w:rFonts w:ascii="Palatino Linotype" w:hAnsi="Palatino Linotype"/>
        </w:rPr>
        <w:t xml:space="preserve"> de dos mil </w:t>
      </w:r>
      <w:r w:rsidR="00A24E15" w:rsidRPr="00C83068">
        <w:rPr>
          <w:rFonts w:ascii="Palatino Linotype" w:hAnsi="Palatino Linotype"/>
        </w:rPr>
        <w:t>veintidós</w:t>
      </w:r>
      <w:r w:rsidRPr="00C83068">
        <w:rPr>
          <w:rFonts w:ascii="Palatino Linotype" w:hAnsi="Palatino Linotype"/>
        </w:rPr>
        <w:t>.</w:t>
      </w:r>
    </w:p>
    <w:p w14:paraId="2ED1CC5D" w14:textId="77777777" w:rsidR="00BE1923" w:rsidRPr="00C83068" w:rsidRDefault="00BE1923" w:rsidP="00BE1923">
      <w:pPr>
        <w:tabs>
          <w:tab w:val="left" w:pos="3465"/>
        </w:tabs>
        <w:spacing w:line="360" w:lineRule="auto"/>
        <w:jc w:val="both"/>
        <w:rPr>
          <w:rFonts w:ascii="Palatino Linotype" w:hAnsi="Palatino Linotype"/>
        </w:rPr>
      </w:pPr>
    </w:p>
    <w:p w14:paraId="508DDC74" w14:textId="449D400E" w:rsidR="009417CA" w:rsidRPr="00C83068" w:rsidRDefault="009417CA" w:rsidP="008A269D">
      <w:pPr>
        <w:spacing w:line="360" w:lineRule="auto"/>
        <w:jc w:val="both"/>
        <w:rPr>
          <w:rFonts w:ascii="Palatino Linotype" w:hAnsi="Palatino Linotype"/>
        </w:rPr>
      </w:pPr>
      <w:r w:rsidRPr="00C83068">
        <w:rPr>
          <w:rFonts w:ascii="Palatino Linotype" w:hAnsi="Palatino Linotype"/>
          <w:b/>
        </w:rPr>
        <w:t>VISTO</w:t>
      </w:r>
      <w:r w:rsidR="00203C3E" w:rsidRPr="00C83068">
        <w:rPr>
          <w:rFonts w:ascii="Palatino Linotype" w:hAnsi="Palatino Linotype"/>
          <w:b/>
        </w:rPr>
        <w:t>S</w:t>
      </w:r>
      <w:r w:rsidR="00203C3E" w:rsidRPr="00C83068">
        <w:rPr>
          <w:rFonts w:ascii="Palatino Linotype" w:hAnsi="Palatino Linotype"/>
        </w:rPr>
        <w:t xml:space="preserve"> </w:t>
      </w:r>
      <w:r w:rsidRPr="00C83068">
        <w:rPr>
          <w:rFonts w:ascii="Palatino Linotype" w:hAnsi="Palatino Linotype"/>
        </w:rPr>
        <w:t>l</w:t>
      </w:r>
      <w:r w:rsidR="00203C3E" w:rsidRPr="00C83068">
        <w:rPr>
          <w:rFonts w:ascii="Palatino Linotype" w:hAnsi="Palatino Linotype"/>
        </w:rPr>
        <w:t>os</w:t>
      </w:r>
      <w:r w:rsidRPr="00C83068">
        <w:rPr>
          <w:rFonts w:ascii="Palatino Linotype" w:hAnsi="Palatino Linotype"/>
        </w:rPr>
        <w:t xml:space="preserve"> expediente</w:t>
      </w:r>
      <w:r w:rsidR="00203C3E" w:rsidRPr="00C83068">
        <w:rPr>
          <w:rFonts w:ascii="Palatino Linotype" w:hAnsi="Palatino Linotype"/>
        </w:rPr>
        <w:t>s</w:t>
      </w:r>
      <w:r w:rsidRPr="00C83068">
        <w:rPr>
          <w:rFonts w:ascii="Palatino Linotype" w:hAnsi="Palatino Linotype"/>
        </w:rPr>
        <w:t xml:space="preserve"> electrónico</w:t>
      </w:r>
      <w:r w:rsidR="00203C3E" w:rsidRPr="00C83068">
        <w:rPr>
          <w:rFonts w:ascii="Palatino Linotype" w:hAnsi="Palatino Linotype"/>
        </w:rPr>
        <w:t>s</w:t>
      </w:r>
      <w:r w:rsidRPr="00C83068">
        <w:rPr>
          <w:rFonts w:ascii="Palatino Linotype" w:hAnsi="Palatino Linotype"/>
        </w:rPr>
        <w:t xml:space="preserve"> formado</w:t>
      </w:r>
      <w:r w:rsidR="00203C3E" w:rsidRPr="00C83068">
        <w:rPr>
          <w:rFonts w:ascii="Palatino Linotype" w:hAnsi="Palatino Linotype"/>
        </w:rPr>
        <w:t>s</w:t>
      </w:r>
      <w:r w:rsidRPr="00C83068">
        <w:rPr>
          <w:rFonts w:ascii="Palatino Linotype" w:hAnsi="Palatino Linotype"/>
        </w:rPr>
        <w:t xml:space="preserve"> con motivo de</w:t>
      </w:r>
      <w:r w:rsidR="00577D60" w:rsidRPr="00C83068">
        <w:rPr>
          <w:rFonts w:ascii="Palatino Linotype" w:hAnsi="Palatino Linotype"/>
        </w:rPr>
        <w:t xml:space="preserve"> </w:t>
      </w:r>
      <w:r w:rsidRPr="00C83068">
        <w:rPr>
          <w:rFonts w:ascii="Palatino Linotype" w:hAnsi="Palatino Linotype"/>
        </w:rPr>
        <w:t>l</w:t>
      </w:r>
      <w:r w:rsidR="00577D60" w:rsidRPr="00C83068">
        <w:rPr>
          <w:rFonts w:ascii="Palatino Linotype" w:hAnsi="Palatino Linotype"/>
        </w:rPr>
        <w:t>os</w:t>
      </w:r>
      <w:r w:rsidRPr="00C83068">
        <w:rPr>
          <w:rFonts w:ascii="Palatino Linotype" w:hAnsi="Palatino Linotype"/>
        </w:rPr>
        <w:t xml:space="preserve"> recurso</w:t>
      </w:r>
      <w:r w:rsidR="00577D60" w:rsidRPr="00C83068">
        <w:rPr>
          <w:rFonts w:ascii="Palatino Linotype" w:hAnsi="Palatino Linotype"/>
        </w:rPr>
        <w:t>s</w:t>
      </w:r>
      <w:r w:rsidRPr="00C83068">
        <w:rPr>
          <w:rFonts w:ascii="Palatino Linotype" w:hAnsi="Palatino Linotype"/>
        </w:rPr>
        <w:t xml:space="preserve"> de revisión </w:t>
      </w:r>
      <w:r w:rsidR="00577D60" w:rsidRPr="00C83068">
        <w:rPr>
          <w:rFonts w:ascii="Palatino Linotype" w:hAnsi="Palatino Linotype"/>
          <w:b/>
        </w:rPr>
        <w:t>06748</w:t>
      </w:r>
      <w:r w:rsidR="00491AD4" w:rsidRPr="00C83068">
        <w:rPr>
          <w:rFonts w:ascii="Palatino Linotype" w:hAnsi="Palatino Linotype"/>
          <w:b/>
        </w:rPr>
        <w:t>/INFOEM/IP/RR/2022</w:t>
      </w:r>
      <w:r w:rsidRPr="00C83068">
        <w:rPr>
          <w:rFonts w:ascii="Palatino Linotype" w:hAnsi="Palatino Linotype"/>
          <w:b/>
        </w:rPr>
        <w:t>,</w:t>
      </w:r>
      <w:r w:rsidR="00577D60" w:rsidRPr="00C83068">
        <w:rPr>
          <w:rFonts w:ascii="Palatino Linotype" w:hAnsi="Palatino Linotype"/>
          <w:b/>
        </w:rPr>
        <w:t xml:space="preserve"> 06749/INFOEM/IP/RR/2022, 06750/INFOEM/IP/RR/2022 </w:t>
      </w:r>
      <w:r w:rsidR="00577D60" w:rsidRPr="00C83068">
        <w:rPr>
          <w:rFonts w:ascii="Palatino Linotype" w:hAnsi="Palatino Linotype"/>
        </w:rPr>
        <w:t>y</w:t>
      </w:r>
      <w:r w:rsidR="00577D60" w:rsidRPr="00C83068">
        <w:rPr>
          <w:rFonts w:ascii="Palatino Linotype" w:hAnsi="Palatino Linotype"/>
          <w:b/>
        </w:rPr>
        <w:t xml:space="preserve"> 06751/INFOEM/IP/RR/2022</w:t>
      </w:r>
      <w:r w:rsidRPr="00C83068">
        <w:rPr>
          <w:rFonts w:ascii="Palatino Linotype" w:hAnsi="Palatino Linotype" w:cs="Arial"/>
          <w:b/>
          <w:bCs/>
        </w:rPr>
        <w:t xml:space="preserve"> </w:t>
      </w:r>
      <w:r w:rsidRPr="00C83068">
        <w:rPr>
          <w:rFonts w:ascii="Palatino Linotype" w:hAnsi="Palatino Linotype"/>
        </w:rPr>
        <w:t>promovido</w:t>
      </w:r>
      <w:r w:rsidR="00577D60" w:rsidRPr="00C83068">
        <w:rPr>
          <w:rFonts w:ascii="Palatino Linotype" w:hAnsi="Palatino Linotype"/>
        </w:rPr>
        <w:t>s</w:t>
      </w:r>
      <w:r w:rsidRPr="00C83068">
        <w:rPr>
          <w:rFonts w:ascii="Palatino Linotype" w:hAnsi="Palatino Linotype"/>
        </w:rPr>
        <w:t xml:space="preserve"> por</w:t>
      </w:r>
      <w:r w:rsidR="00A5272E" w:rsidRPr="00C83068">
        <w:rPr>
          <w:rFonts w:ascii="Palatino Linotype" w:hAnsi="Palatino Linotype"/>
        </w:rPr>
        <w:t xml:space="preserve"> </w:t>
      </w:r>
      <w:r w:rsidR="00B943E3">
        <w:rPr>
          <w:rFonts w:ascii="Palatino Linotype" w:hAnsi="Palatino Linotype"/>
          <w:b/>
        </w:rPr>
        <w:t>XXX XX XXXX</w:t>
      </w:r>
      <w:r w:rsidR="008B13E3" w:rsidRPr="00C83068">
        <w:rPr>
          <w:rFonts w:ascii="Palatino Linotype" w:hAnsi="Palatino Linotype"/>
        </w:rPr>
        <w:t xml:space="preserve"> a través de</w:t>
      </w:r>
      <w:r w:rsidR="00491AD4" w:rsidRPr="00C83068">
        <w:rPr>
          <w:rFonts w:ascii="Palatino Linotype" w:hAnsi="Palatino Linotype"/>
        </w:rPr>
        <w:t>l</w:t>
      </w:r>
      <w:r w:rsidR="00CF73A0" w:rsidRPr="00C83068">
        <w:rPr>
          <w:rFonts w:ascii="Palatino Linotype" w:hAnsi="Palatino Linotype"/>
        </w:rPr>
        <w:t xml:space="preserve"> </w:t>
      </w:r>
      <w:r w:rsidR="00491AD4" w:rsidRPr="00C83068">
        <w:rPr>
          <w:rFonts w:ascii="Palatino Linotype" w:hAnsi="Palatino Linotype"/>
        </w:rPr>
        <w:t>Sistema de A</w:t>
      </w:r>
      <w:bookmarkStart w:id="0" w:name="_GoBack"/>
      <w:bookmarkEnd w:id="0"/>
      <w:r w:rsidR="00491AD4" w:rsidRPr="00C83068">
        <w:rPr>
          <w:rFonts w:ascii="Palatino Linotype" w:hAnsi="Palatino Linotype"/>
        </w:rPr>
        <w:t>cceso a la Información Mexiquense</w:t>
      </w:r>
      <w:r w:rsidR="00CF73A0" w:rsidRPr="00C83068">
        <w:rPr>
          <w:rFonts w:ascii="Palatino Linotype" w:hAnsi="Palatino Linotype"/>
        </w:rPr>
        <w:t xml:space="preserve"> </w:t>
      </w:r>
      <w:r w:rsidR="00CF73A0" w:rsidRPr="00C83068">
        <w:rPr>
          <w:rFonts w:ascii="Palatino Linotype" w:hAnsi="Palatino Linotype"/>
          <w:b/>
        </w:rPr>
        <w:t>(</w:t>
      </w:r>
      <w:r w:rsidR="00491AD4" w:rsidRPr="00C83068">
        <w:rPr>
          <w:rFonts w:ascii="Palatino Linotype" w:hAnsi="Palatino Linotype"/>
          <w:b/>
        </w:rPr>
        <w:t>SAIMEX</w:t>
      </w:r>
      <w:r w:rsidR="00CF73A0" w:rsidRPr="00C83068">
        <w:rPr>
          <w:rFonts w:ascii="Palatino Linotype" w:hAnsi="Palatino Linotype"/>
          <w:b/>
        </w:rPr>
        <w:t>)</w:t>
      </w:r>
      <w:r w:rsidR="00CF73A0" w:rsidRPr="00C83068">
        <w:rPr>
          <w:rFonts w:ascii="Palatino Linotype" w:hAnsi="Palatino Linotype"/>
        </w:rPr>
        <w:t xml:space="preserve">, </w:t>
      </w:r>
      <w:r w:rsidR="00150024" w:rsidRPr="00C83068">
        <w:rPr>
          <w:rFonts w:ascii="Palatino Linotype" w:hAnsi="Palatino Linotype"/>
        </w:rPr>
        <w:t xml:space="preserve">a quien </w:t>
      </w:r>
      <w:r w:rsidR="00A5272E" w:rsidRPr="00C83068">
        <w:rPr>
          <w:rFonts w:ascii="Palatino Linotype" w:hAnsi="Palatino Linotype"/>
        </w:rPr>
        <w:t>en lo sucesivo</w:t>
      </w:r>
      <w:r w:rsidRPr="00C83068">
        <w:rPr>
          <w:rFonts w:ascii="Palatino Linotype" w:hAnsi="Palatino Linotype"/>
        </w:rPr>
        <w:t xml:space="preserve"> se le identificará como </w:t>
      </w:r>
      <w:r w:rsidR="00491AD4" w:rsidRPr="00C83068">
        <w:rPr>
          <w:rFonts w:ascii="Palatino Linotype" w:hAnsi="Palatino Linotype"/>
          <w:b/>
        </w:rPr>
        <w:t>LA RECURRENTE</w:t>
      </w:r>
      <w:r w:rsidRPr="00C83068">
        <w:rPr>
          <w:rFonts w:ascii="Palatino Linotype" w:hAnsi="Palatino Linotype" w:cs="Arial"/>
        </w:rPr>
        <w:t>, en contra de la</w:t>
      </w:r>
      <w:r w:rsidR="00203C3E" w:rsidRPr="00C83068">
        <w:rPr>
          <w:rFonts w:ascii="Palatino Linotype" w:hAnsi="Palatino Linotype" w:cs="Arial"/>
        </w:rPr>
        <w:t>s</w:t>
      </w:r>
      <w:r w:rsidRPr="00C83068">
        <w:rPr>
          <w:rFonts w:ascii="Palatino Linotype" w:hAnsi="Palatino Linotype" w:cs="Arial"/>
        </w:rPr>
        <w:t xml:space="preserve"> respuesta</w:t>
      </w:r>
      <w:r w:rsidR="00203C3E" w:rsidRPr="00C83068">
        <w:rPr>
          <w:rFonts w:ascii="Palatino Linotype" w:hAnsi="Palatino Linotype" w:cs="Arial"/>
        </w:rPr>
        <w:t>s</w:t>
      </w:r>
      <w:r w:rsidRPr="00C83068">
        <w:rPr>
          <w:rFonts w:ascii="Palatino Linotype" w:hAnsi="Palatino Linotype" w:cs="Arial"/>
        </w:rPr>
        <w:t xml:space="preserve"> de</w:t>
      </w:r>
      <w:r w:rsidR="00577D60" w:rsidRPr="00C83068">
        <w:rPr>
          <w:rFonts w:ascii="Palatino Linotype" w:hAnsi="Palatino Linotype" w:cs="Arial"/>
        </w:rPr>
        <w:t xml:space="preserve"> </w:t>
      </w:r>
      <w:r w:rsidR="00C9726D" w:rsidRPr="00C83068">
        <w:rPr>
          <w:rFonts w:ascii="Palatino Linotype" w:hAnsi="Palatino Linotype" w:cs="Arial"/>
        </w:rPr>
        <w:t>l</w:t>
      </w:r>
      <w:r w:rsidR="00577D60" w:rsidRPr="00C83068">
        <w:rPr>
          <w:rFonts w:ascii="Palatino Linotype" w:hAnsi="Palatino Linotype" w:cs="Arial"/>
        </w:rPr>
        <w:t>a</w:t>
      </w:r>
      <w:r w:rsidRPr="00C83068">
        <w:rPr>
          <w:rFonts w:ascii="Palatino Linotype" w:hAnsi="Palatino Linotype" w:cs="Arial"/>
        </w:rPr>
        <w:t xml:space="preserve"> </w:t>
      </w:r>
      <w:r w:rsidR="00577D60" w:rsidRPr="00C83068">
        <w:rPr>
          <w:rFonts w:ascii="Palatino Linotype" w:hAnsi="Palatino Linotype" w:cs="Arial"/>
          <w:b/>
        </w:rPr>
        <w:t>Secretaría de Movilidad</w:t>
      </w:r>
      <w:r w:rsidRPr="00C83068">
        <w:rPr>
          <w:rFonts w:ascii="Palatino Linotype" w:hAnsi="Palatino Linotype" w:cs="Arial"/>
          <w:b/>
        </w:rPr>
        <w:t>,</w:t>
      </w:r>
      <w:r w:rsidRPr="00C83068">
        <w:rPr>
          <w:rFonts w:ascii="Palatino Linotype" w:hAnsi="Palatino Linotype"/>
          <w:b/>
        </w:rPr>
        <w:t xml:space="preserve"> </w:t>
      </w:r>
      <w:r w:rsidRPr="00C83068">
        <w:rPr>
          <w:rFonts w:ascii="Palatino Linotype" w:hAnsi="Palatino Linotype"/>
        </w:rPr>
        <w:t xml:space="preserve">en lo sucesivo </w:t>
      </w:r>
      <w:r w:rsidRPr="00C83068">
        <w:rPr>
          <w:rFonts w:ascii="Palatino Linotype" w:hAnsi="Palatino Linotype"/>
          <w:b/>
        </w:rPr>
        <w:t>EL SUJETO OBLIGADO</w:t>
      </w:r>
      <w:r w:rsidRPr="00C83068">
        <w:rPr>
          <w:rFonts w:ascii="Palatino Linotype" w:hAnsi="Palatino Linotype"/>
        </w:rPr>
        <w:t>, se procede a dictar la presente resolución, con base en los siguientes:</w:t>
      </w:r>
    </w:p>
    <w:p w14:paraId="410DB856" w14:textId="77777777" w:rsidR="008A269D" w:rsidRPr="00C83068" w:rsidRDefault="008A269D" w:rsidP="008A269D">
      <w:pPr>
        <w:spacing w:line="360" w:lineRule="auto"/>
        <w:jc w:val="both"/>
        <w:rPr>
          <w:rFonts w:ascii="Palatino Linotype" w:hAnsi="Palatino Linotype"/>
        </w:rPr>
      </w:pPr>
    </w:p>
    <w:p w14:paraId="6D4F2D4C" w14:textId="7847DB03" w:rsidR="009417CA" w:rsidRPr="00C83068"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1" w:name="_Toc87274183"/>
      <w:r w:rsidRPr="00C83068">
        <w:rPr>
          <w:rFonts w:ascii="Palatino Linotype" w:hAnsi="Palatino Linotype"/>
          <w:b/>
          <w:color w:val="000000" w:themeColor="text1"/>
          <w:sz w:val="24"/>
          <w:szCs w:val="24"/>
          <w:lang w:val="es-ES"/>
        </w:rPr>
        <w:t>A N T E C E D E N T E S</w:t>
      </w:r>
      <w:bookmarkEnd w:id="1"/>
    </w:p>
    <w:p w14:paraId="07B8C422" w14:textId="77777777" w:rsidR="008A269D" w:rsidRPr="00C83068" w:rsidRDefault="008A269D" w:rsidP="008A269D">
      <w:pPr>
        <w:rPr>
          <w:lang w:val="es-ES" w:eastAsia="es-ES"/>
        </w:rPr>
      </w:pPr>
    </w:p>
    <w:p w14:paraId="6C73856D" w14:textId="17F314AD" w:rsidR="009417CA" w:rsidRPr="00C83068" w:rsidRDefault="009417CA" w:rsidP="00577D60">
      <w:pPr>
        <w:pStyle w:val="Prrafodelista"/>
        <w:numPr>
          <w:ilvl w:val="0"/>
          <w:numId w:val="7"/>
        </w:numPr>
        <w:spacing w:line="360" w:lineRule="auto"/>
        <w:ind w:left="0" w:firstLine="0"/>
        <w:jc w:val="both"/>
        <w:rPr>
          <w:rFonts w:ascii="Palatino Linotype" w:eastAsia="Calibri" w:hAnsi="Palatino Linotype" w:cs="Arial"/>
        </w:rPr>
      </w:pPr>
      <w:r w:rsidRPr="00C83068">
        <w:rPr>
          <w:rFonts w:ascii="Palatino Linotype" w:eastAsia="Calibri" w:hAnsi="Palatino Linotype" w:cs="Arial"/>
        </w:rPr>
        <w:t xml:space="preserve">El día </w:t>
      </w:r>
      <w:r w:rsidR="00577D60" w:rsidRPr="00C83068">
        <w:rPr>
          <w:rFonts w:ascii="Palatino Linotype" w:eastAsia="Calibri" w:hAnsi="Palatino Linotype" w:cs="Arial"/>
        </w:rPr>
        <w:t>veintiocho</w:t>
      </w:r>
      <w:r w:rsidR="00333814" w:rsidRPr="00C83068">
        <w:rPr>
          <w:rFonts w:ascii="Palatino Linotype" w:eastAsia="Calibri" w:hAnsi="Palatino Linotype" w:cs="Arial"/>
        </w:rPr>
        <w:t xml:space="preserve"> </w:t>
      </w:r>
      <w:r w:rsidRPr="00C83068">
        <w:rPr>
          <w:rFonts w:ascii="Palatino Linotype" w:eastAsia="Calibri" w:hAnsi="Palatino Linotype" w:cs="Arial"/>
        </w:rPr>
        <w:t>(</w:t>
      </w:r>
      <w:r w:rsidR="00577D60" w:rsidRPr="00C83068">
        <w:rPr>
          <w:rFonts w:ascii="Palatino Linotype" w:eastAsia="Calibri" w:hAnsi="Palatino Linotype" w:cs="Arial"/>
        </w:rPr>
        <w:t>28</w:t>
      </w:r>
      <w:r w:rsidRPr="00C83068">
        <w:rPr>
          <w:rFonts w:ascii="Palatino Linotype" w:eastAsia="Calibri" w:hAnsi="Palatino Linotype" w:cs="Arial"/>
        </w:rPr>
        <w:t xml:space="preserve">) de </w:t>
      </w:r>
      <w:r w:rsidR="00577D60" w:rsidRPr="00C83068">
        <w:rPr>
          <w:rFonts w:ascii="Palatino Linotype" w:eastAsia="Calibri" w:hAnsi="Palatino Linotype" w:cs="Arial"/>
        </w:rPr>
        <w:t>marz</w:t>
      </w:r>
      <w:r w:rsidR="00D36479" w:rsidRPr="00C83068">
        <w:rPr>
          <w:rFonts w:ascii="Palatino Linotype" w:eastAsia="Calibri" w:hAnsi="Palatino Linotype" w:cs="Arial"/>
        </w:rPr>
        <w:t>o</w:t>
      </w:r>
      <w:r w:rsidRPr="00C83068">
        <w:rPr>
          <w:rFonts w:ascii="Palatino Linotype" w:eastAsia="Calibri" w:hAnsi="Palatino Linotype" w:cs="Arial"/>
        </w:rPr>
        <w:t xml:space="preserve"> de dos</w:t>
      </w:r>
      <w:r w:rsidR="00D36479" w:rsidRPr="00C83068">
        <w:rPr>
          <w:rFonts w:ascii="Palatino Linotype" w:eastAsia="Calibri" w:hAnsi="Palatino Linotype" w:cs="Arial"/>
        </w:rPr>
        <w:t xml:space="preserve"> mil veintidós</w:t>
      </w:r>
      <w:r w:rsidRPr="00C83068">
        <w:rPr>
          <w:rFonts w:ascii="Palatino Linotype" w:hAnsi="Palatino Linotype"/>
          <w:b/>
        </w:rPr>
        <w:t xml:space="preserve">, </w:t>
      </w:r>
      <w:r w:rsidR="00577D60" w:rsidRPr="00C83068">
        <w:rPr>
          <w:rFonts w:ascii="Palatino Linotype" w:eastAsia="Calibri" w:hAnsi="Palatino Linotype" w:cs="Arial"/>
        </w:rPr>
        <w:t>se presentaron</w:t>
      </w:r>
      <w:r w:rsidRPr="00C83068">
        <w:rPr>
          <w:rFonts w:ascii="Palatino Linotype" w:eastAsia="Calibri" w:hAnsi="Palatino Linotype" w:cs="Arial"/>
        </w:rPr>
        <w:t xml:space="preserve"> ante el </w:t>
      </w:r>
      <w:r w:rsidRPr="00C83068">
        <w:rPr>
          <w:rFonts w:ascii="Palatino Linotype" w:eastAsia="Calibri" w:hAnsi="Palatino Linotype" w:cs="Arial"/>
          <w:b/>
        </w:rPr>
        <w:t>SUJETO OBLIGADO</w:t>
      </w:r>
      <w:r w:rsidRPr="00C83068">
        <w:rPr>
          <w:rFonts w:ascii="Palatino Linotype" w:eastAsia="Calibri" w:hAnsi="Palatino Linotype" w:cs="Arial"/>
        </w:rPr>
        <w:t xml:space="preserve"> vía</w:t>
      </w:r>
      <w:r w:rsidRPr="00C83068">
        <w:rPr>
          <w:rFonts w:ascii="Palatino Linotype" w:eastAsia="Calibri" w:hAnsi="Palatino Linotype" w:cs="Arial"/>
          <w:b/>
        </w:rPr>
        <w:t xml:space="preserve"> </w:t>
      </w:r>
      <w:r w:rsidR="00491AD4" w:rsidRPr="00C83068">
        <w:rPr>
          <w:rFonts w:ascii="Palatino Linotype" w:eastAsia="Calibri" w:hAnsi="Palatino Linotype" w:cs="Arial"/>
          <w:b/>
        </w:rPr>
        <w:t>SAIMEX</w:t>
      </w:r>
      <w:r w:rsidRPr="00C83068">
        <w:rPr>
          <w:rFonts w:ascii="Palatino Linotype" w:eastAsia="Calibri" w:hAnsi="Palatino Linotype" w:cs="Arial"/>
        </w:rPr>
        <w:t>, la</w:t>
      </w:r>
      <w:r w:rsidR="00577D60" w:rsidRPr="00C83068">
        <w:rPr>
          <w:rFonts w:ascii="Palatino Linotype" w:eastAsia="Calibri" w:hAnsi="Palatino Linotype" w:cs="Arial"/>
        </w:rPr>
        <w:t>s</w:t>
      </w:r>
      <w:r w:rsidRPr="00C83068">
        <w:rPr>
          <w:rFonts w:ascii="Palatino Linotype" w:eastAsia="Calibri" w:hAnsi="Palatino Linotype" w:cs="Arial"/>
        </w:rPr>
        <w:t xml:space="preserve"> solicitud</w:t>
      </w:r>
      <w:r w:rsidR="00577D60" w:rsidRPr="00C83068">
        <w:rPr>
          <w:rFonts w:ascii="Palatino Linotype" w:eastAsia="Calibri" w:hAnsi="Palatino Linotype" w:cs="Arial"/>
        </w:rPr>
        <w:t>es</w:t>
      </w:r>
      <w:r w:rsidRPr="00C83068">
        <w:rPr>
          <w:rFonts w:ascii="Palatino Linotype" w:eastAsia="Calibri" w:hAnsi="Palatino Linotype" w:cs="Arial"/>
        </w:rPr>
        <w:t xml:space="preserve"> de información pública registrada</w:t>
      </w:r>
      <w:r w:rsidR="00577D60" w:rsidRPr="00C83068">
        <w:rPr>
          <w:rFonts w:ascii="Palatino Linotype" w:eastAsia="Calibri" w:hAnsi="Palatino Linotype" w:cs="Arial"/>
        </w:rPr>
        <w:t>s</w:t>
      </w:r>
      <w:r w:rsidRPr="00C83068">
        <w:rPr>
          <w:rFonts w:ascii="Palatino Linotype" w:eastAsia="Calibri" w:hAnsi="Palatino Linotype" w:cs="Arial"/>
        </w:rPr>
        <w:t xml:space="preserve"> con l</w:t>
      </w:r>
      <w:r w:rsidR="00577D60" w:rsidRPr="00C83068">
        <w:rPr>
          <w:rFonts w:ascii="Palatino Linotype" w:eastAsia="Calibri" w:hAnsi="Palatino Linotype" w:cs="Arial"/>
        </w:rPr>
        <w:t>os</w:t>
      </w:r>
      <w:r w:rsidRPr="00C83068">
        <w:rPr>
          <w:rFonts w:ascii="Palatino Linotype" w:eastAsia="Calibri" w:hAnsi="Palatino Linotype" w:cs="Arial"/>
        </w:rPr>
        <w:t xml:space="preserve"> número</w:t>
      </w:r>
      <w:r w:rsidR="00577D60" w:rsidRPr="00C83068">
        <w:rPr>
          <w:rFonts w:ascii="Palatino Linotype" w:eastAsia="Calibri" w:hAnsi="Palatino Linotype" w:cs="Arial"/>
        </w:rPr>
        <w:t>s</w:t>
      </w:r>
      <w:r w:rsidRPr="00C83068">
        <w:rPr>
          <w:rFonts w:ascii="Palatino Linotype" w:hAnsi="Palatino Linotype"/>
          <w:b/>
          <w:bCs/>
          <w:color w:val="000000" w:themeColor="text1"/>
        </w:rPr>
        <w:t xml:space="preserve"> </w:t>
      </w:r>
      <w:r w:rsidR="00577D60" w:rsidRPr="00C83068">
        <w:rPr>
          <w:rFonts w:ascii="Palatino Linotype" w:hAnsi="Palatino Linotype"/>
          <w:b/>
          <w:bCs/>
          <w:color w:val="000000" w:themeColor="text1"/>
        </w:rPr>
        <w:t xml:space="preserve">00163/SMOV/IP/2022, 00164/SMOV/IP/2022, 00165/SMOV/IP/2022 </w:t>
      </w:r>
      <w:r w:rsidR="00577D60" w:rsidRPr="00C83068">
        <w:rPr>
          <w:rFonts w:ascii="Palatino Linotype" w:hAnsi="Palatino Linotype"/>
          <w:bCs/>
          <w:color w:val="000000" w:themeColor="text1"/>
        </w:rPr>
        <w:t>y</w:t>
      </w:r>
      <w:r w:rsidR="00577D60" w:rsidRPr="00C83068">
        <w:rPr>
          <w:rFonts w:ascii="Palatino Linotype" w:hAnsi="Palatino Linotype"/>
          <w:b/>
          <w:bCs/>
          <w:color w:val="000000" w:themeColor="text1"/>
        </w:rPr>
        <w:t xml:space="preserve"> 00167/SMOV/IP/2022</w:t>
      </w:r>
      <w:r w:rsidRPr="00C83068">
        <w:rPr>
          <w:rFonts w:ascii="Palatino Linotype" w:hAnsi="Palatino Linotype"/>
          <w:b/>
          <w:bCs/>
          <w:color w:val="000000" w:themeColor="text1"/>
        </w:rPr>
        <w:t>,</w:t>
      </w:r>
      <w:r w:rsidRPr="00C83068">
        <w:rPr>
          <w:rFonts w:ascii="Palatino Linotype" w:eastAsia="Calibri" w:hAnsi="Palatino Linotype" w:cs="Arial"/>
        </w:rPr>
        <w:t xml:space="preserve"> mediante la</w:t>
      </w:r>
      <w:r w:rsidR="00577D60" w:rsidRPr="00C83068">
        <w:rPr>
          <w:rFonts w:ascii="Palatino Linotype" w:eastAsia="Calibri" w:hAnsi="Palatino Linotype" w:cs="Arial"/>
        </w:rPr>
        <w:t>s</w:t>
      </w:r>
      <w:r w:rsidRPr="00C83068">
        <w:rPr>
          <w:rFonts w:ascii="Palatino Linotype" w:eastAsia="Calibri" w:hAnsi="Palatino Linotype" w:cs="Arial"/>
        </w:rPr>
        <w:t xml:space="preserve"> cual</w:t>
      </w:r>
      <w:r w:rsidR="00577D60" w:rsidRPr="00C83068">
        <w:rPr>
          <w:rFonts w:ascii="Palatino Linotype" w:eastAsia="Calibri" w:hAnsi="Palatino Linotype" w:cs="Arial"/>
        </w:rPr>
        <w:t>es</w:t>
      </w:r>
      <w:r w:rsidRPr="00C83068">
        <w:rPr>
          <w:rFonts w:ascii="Palatino Linotype" w:eastAsia="Calibri" w:hAnsi="Palatino Linotype" w:cs="Arial"/>
        </w:rPr>
        <w:t xml:space="preserve"> se solicitó la siguiente información:</w:t>
      </w:r>
    </w:p>
    <w:p w14:paraId="54912EC1" w14:textId="77777777" w:rsidR="00150024" w:rsidRPr="00C83068" w:rsidRDefault="00150024" w:rsidP="00150024">
      <w:pPr>
        <w:pStyle w:val="Prrafodelista"/>
        <w:spacing w:line="360" w:lineRule="auto"/>
        <w:ind w:left="0"/>
        <w:jc w:val="both"/>
        <w:rPr>
          <w:rFonts w:ascii="Palatino Linotype" w:eastAsia="Calibri" w:hAnsi="Palatino Linotype" w:cs="Arial"/>
        </w:rPr>
      </w:pPr>
    </w:p>
    <w:p w14:paraId="2CD53904" w14:textId="2CA722AB" w:rsidR="00577D60" w:rsidRPr="00C83068" w:rsidRDefault="009417CA" w:rsidP="00577D60">
      <w:pPr>
        <w:pStyle w:val="Prrafodelista"/>
        <w:spacing w:line="360" w:lineRule="auto"/>
        <w:ind w:left="426" w:right="474"/>
        <w:jc w:val="both"/>
        <w:rPr>
          <w:rFonts w:ascii="Palatino Linotype" w:eastAsia="Calibri" w:hAnsi="Palatino Linotype" w:cs="Arial"/>
          <w:i/>
        </w:rPr>
      </w:pPr>
      <w:r w:rsidRPr="00C83068">
        <w:rPr>
          <w:rFonts w:ascii="Palatino Linotype" w:eastAsia="Calibri" w:hAnsi="Palatino Linotype" w:cs="Arial"/>
          <w:i/>
        </w:rPr>
        <w:t>“</w:t>
      </w:r>
      <w:r w:rsidR="00577D60" w:rsidRPr="00C83068">
        <w:rPr>
          <w:rFonts w:ascii="Palatino Linotype" w:eastAsia="Calibri" w:hAnsi="Palatino Linotype" w:cs="Arial"/>
          <w:i/>
        </w:rPr>
        <w:t>Solicito todos los oficios firmados por el Secretario de Movilidad, durante el mes de enero de 2021.”</w:t>
      </w:r>
    </w:p>
    <w:p w14:paraId="0AF926CC" w14:textId="77777777" w:rsidR="00577D60" w:rsidRPr="00C83068" w:rsidRDefault="00577D60" w:rsidP="00577D60">
      <w:pPr>
        <w:pStyle w:val="Prrafodelista"/>
        <w:spacing w:line="360" w:lineRule="auto"/>
        <w:ind w:left="426" w:right="474"/>
        <w:jc w:val="both"/>
        <w:rPr>
          <w:rFonts w:ascii="Palatino Linotype" w:eastAsia="Calibri" w:hAnsi="Palatino Linotype" w:cs="Arial"/>
          <w:i/>
        </w:rPr>
      </w:pPr>
    </w:p>
    <w:p w14:paraId="13521982" w14:textId="6309C577" w:rsidR="00577D60" w:rsidRPr="00C83068" w:rsidRDefault="00577D60" w:rsidP="00577D60">
      <w:pPr>
        <w:pStyle w:val="Prrafodelista"/>
        <w:spacing w:line="360" w:lineRule="auto"/>
        <w:ind w:left="426" w:right="474"/>
        <w:jc w:val="both"/>
        <w:rPr>
          <w:rFonts w:ascii="Palatino Linotype" w:eastAsia="Calibri" w:hAnsi="Palatino Linotype" w:cs="Arial"/>
          <w:i/>
        </w:rPr>
      </w:pPr>
      <w:r w:rsidRPr="00C83068">
        <w:rPr>
          <w:rFonts w:ascii="Palatino Linotype" w:eastAsia="Calibri" w:hAnsi="Palatino Linotype" w:cs="Arial"/>
          <w:i/>
        </w:rPr>
        <w:lastRenderedPageBreak/>
        <w:t>“Solicito todos los oficios firmados por el Secretario de Movilidad, durante el mes de febrero 2021.”</w:t>
      </w:r>
    </w:p>
    <w:p w14:paraId="4FA948F2" w14:textId="77777777" w:rsidR="00577D60" w:rsidRPr="00C83068" w:rsidRDefault="00577D60" w:rsidP="00577D60">
      <w:pPr>
        <w:pStyle w:val="Prrafodelista"/>
        <w:spacing w:line="360" w:lineRule="auto"/>
        <w:ind w:left="426" w:right="474"/>
        <w:jc w:val="both"/>
        <w:rPr>
          <w:rFonts w:ascii="Palatino Linotype" w:eastAsia="Calibri" w:hAnsi="Palatino Linotype" w:cs="Arial"/>
          <w:i/>
        </w:rPr>
      </w:pPr>
    </w:p>
    <w:p w14:paraId="2C605903" w14:textId="733D50B0" w:rsidR="00577D60" w:rsidRPr="00C83068" w:rsidRDefault="00577D60" w:rsidP="00577D60">
      <w:pPr>
        <w:pStyle w:val="Prrafodelista"/>
        <w:spacing w:line="360" w:lineRule="auto"/>
        <w:ind w:left="426" w:right="474"/>
        <w:jc w:val="both"/>
        <w:rPr>
          <w:rFonts w:ascii="Palatino Linotype" w:eastAsia="Calibri" w:hAnsi="Palatino Linotype" w:cs="Arial"/>
          <w:i/>
        </w:rPr>
      </w:pPr>
      <w:r w:rsidRPr="00C83068">
        <w:rPr>
          <w:rFonts w:ascii="Palatino Linotype" w:eastAsia="Calibri" w:hAnsi="Palatino Linotype" w:cs="Arial"/>
          <w:i/>
        </w:rPr>
        <w:t>“Solicito todos los oficios firmados por el Secretario de Movilidad, durante el mes de marzo de 2021.”</w:t>
      </w:r>
    </w:p>
    <w:p w14:paraId="07438D8D" w14:textId="77777777" w:rsidR="00577D60" w:rsidRPr="00C83068" w:rsidRDefault="00577D60" w:rsidP="00577D60">
      <w:pPr>
        <w:pStyle w:val="Prrafodelista"/>
        <w:spacing w:line="360" w:lineRule="auto"/>
        <w:ind w:left="426" w:right="474"/>
        <w:jc w:val="both"/>
        <w:rPr>
          <w:rFonts w:ascii="Palatino Linotype" w:eastAsia="Calibri" w:hAnsi="Palatino Linotype" w:cs="Arial"/>
          <w:i/>
        </w:rPr>
      </w:pPr>
    </w:p>
    <w:p w14:paraId="7A083BA2" w14:textId="3E8D6FA3" w:rsidR="009417CA" w:rsidRPr="00C83068" w:rsidRDefault="00577D60" w:rsidP="00577D60">
      <w:pPr>
        <w:pStyle w:val="Prrafodelista"/>
        <w:spacing w:line="360" w:lineRule="auto"/>
        <w:ind w:left="426" w:right="474"/>
        <w:jc w:val="both"/>
        <w:rPr>
          <w:rFonts w:ascii="Palatino Linotype" w:eastAsia="Calibri" w:hAnsi="Palatino Linotype" w:cs="Arial"/>
          <w:i/>
        </w:rPr>
      </w:pPr>
      <w:r w:rsidRPr="00C83068">
        <w:rPr>
          <w:rFonts w:ascii="Palatino Linotype" w:eastAsia="Calibri" w:hAnsi="Palatino Linotype" w:cs="Arial"/>
          <w:i/>
        </w:rPr>
        <w:t>“Solicito todos los oficios firmados por el Secretario de Movilidad del mes de abril de 2021.</w:t>
      </w:r>
      <w:r w:rsidR="009417CA" w:rsidRPr="00C83068">
        <w:rPr>
          <w:rFonts w:ascii="Palatino Linotype" w:eastAsia="Calibri" w:hAnsi="Palatino Linotype" w:cs="Arial"/>
          <w:i/>
        </w:rPr>
        <w:t>”</w:t>
      </w:r>
    </w:p>
    <w:p w14:paraId="55C9F4A2" w14:textId="77777777" w:rsidR="0040597C" w:rsidRPr="00C83068" w:rsidRDefault="0040597C" w:rsidP="00BE1923">
      <w:pPr>
        <w:pStyle w:val="Prrafodelista"/>
        <w:spacing w:line="360" w:lineRule="auto"/>
        <w:ind w:left="426" w:right="474"/>
        <w:jc w:val="both"/>
        <w:rPr>
          <w:rFonts w:ascii="Palatino Linotype" w:eastAsia="Calibri" w:hAnsi="Palatino Linotype" w:cs="Arial"/>
          <w:i/>
        </w:rPr>
      </w:pPr>
    </w:p>
    <w:p w14:paraId="21F94BB8" w14:textId="5835D9B8" w:rsidR="00074F84" w:rsidRPr="00C83068" w:rsidRDefault="009417CA" w:rsidP="00F858D9">
      <w:pPr>
        <w:pStyle w:val="Prrafodelista"/>
        <w:numPr>
          <w:ilvl w:val="0"/>
          <w:numId w:val="2"/>
        </w:numPr>
        <w:spacing w:line="360" w:lineRule="auto"/>
        <w:ind w:left="851" w:right="474"/>
        <w:contextualSpacing/>
        <w:jc w:val="both"/>
        <w:rPr>
          <w:rFonts w:ascii="Palatino Linotype" w:eastAsia="Calibri" w:hAnsi="Palatino Linotype" w:cs="Arial"/>
        </w:rPr>
      </w:pPr>
      <w:r w:rsidRPr="00C83068">
        <w:rPr>
          <w:rFonts w:ascii="Palatino Linotype" w:eastAsia="Calibri" w:hAnsi="Palatino Linotype" w:cs="Arial"/>
          <w:b/>
        </w:rPr>
        <w:t>Modalidad de entrega</w:t>
      </w:r>
      <w:r w:rsidRPr="00C83068">
        <w:rPr>
          <w:rFonts w:ascii="Palatino Linotype" w:eastAsia="Calibri" w:hAnsi="Palatino Linotype" w:cs="Arial"/>
        </w:rPr>
        <w:t>:</w:t>
      </w:r>
      <w:r w:rsidR="00434EF7" w:rsidRPr="00C83068">
        <w:rPr>
          <w:rFonts w:ascii="Palatino Linotype" w:eastAsia="Calibri" w:hAnsi="Palatino Linotype" w:cs="Arial"/>
        </w:rPr>
        <w:t xml:space="preserve"> </w:t>
      </w:r>
      <w:r w:rsidR="00434EF7" w:rsidRPr="00C83068">
        <w:rPr>
          <w:rFonts w:ascii="Palatino Linotype" w:eastAsia="Calibri" w:hAnsi="Palatino Linotype" w:cs="Arial"/>
          <w:b/>
        </w:rPr>
        <w:t>SAIMEX</w:t>
      </w:r>
      <w:r w:rsidR="00150024" w:rsidRPr="00C83068">
        <w:rPr>
          <w:rFonts w:ascii="Palatino Linotype" w:eastAsia="Calibri" w:hAnsi="Palatino Linotype" w:cs="Arial"/>
        </w:rPr>
        <w:t>.</w:t>
      </w:r>
    </w:p>
    <w:p w14:paraId="65184EC2" w14:textId="77777777" w:rsidR="003F2795" w:rsidRPr="00C83068"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31A80D07" w:rsidR="00C96E1C" w:rsidRPr="00C83068" w:rsidRDefault="0040597C" w:rsidP="000F377B">
      <w:pPr>
        <w:pStyle w:val="Prrafodelista"/>
        <w:numPr>
          <w:ilvl w:val="0"/>
          <w:numId w:val="7"/>
        </w:numPr>
        <w:spacing w:line="360" w:lineRule="auto"/>
        <w:ind w:left="0" w:firstLine="0"/>
        <w:jc w:val="both"/>
        <w:rPr>
          <w:rFonts w:ascii="Palatino Linotype" w:hAnsi="Palatino Linotype" w:cs="Arial"/>
          <w:color w:val="000000" w:themeColor="text1"/>
        </w:rPr>
      </w:pPr>
      <w:r w:rsidRPr="00C83068">
        <w:rPr>
          <w:rFonts w:ascii="Palatino Linotype" w:hAnsi="Palatino Linotype" w:cs="Arial"/>
          <w:color w:val="000000" w:themeColor="text1"/>
        </w:rPr>
        <w:t xml:space="preserve">El día </w:t>
      </w:r>
      <w:r w:rsidR="000F377B" w:rsidRPr="00C83068">
        <w:rPr>
          <w:rFonts w:ascii="Palatino Linotype" w:hAnsi="Palatino Linotype" w:cs="Arial"/>
          <w:color w:val="000000" w:themeColor="text1"/>
        </w:rPr>
        <w:t>veinticinco</w:t>
      </w:r>
      <w:r w:rsidR="00C96E1C" w:rsidRPr="00C83068">
        <w:rPr>
          <w:rFonts w:ascii="Palatino Linotype" w:hAnsi="Palatino Linotype" w:cs="Arial"/>
          <w:color w:val="000000" w:themeColor="text1"/>
        </w:rPr>
        <w:t xml:space="preserve"> (</w:t>
      </w:r>
      <w:r w:rsidR="000F377B" w:rsidRPr="00C83068">
        <w:rPr>
          <w:rFonts w:ascii="Palatino Linotype" w:hAnsi="Palatino Linotype" w:cs="Arial"/>
          <w:color w:val="000000" w:themeColor="text1"/>
        </w:rPr>
        <w:t>25</w:t>
      </w:r>
      <w:r w:rsidR="00C96E1C" w:rsidRPr="00C83068">
        <w:rPr>
          <w:rFonts w:ascii="Palatino Linotype" w:hAnsi="Palatino Linotype" w:cs="Arial"/>
          <w:color w:val="000000" w:themeColor="text1"/>
        </w:rPr>
        <w:t xml:space="preserve">) de </w:t>
      </w:r>
      <w:r w:rsidR="000F377B" w:rsidRPr="00C83068">
        <w:rPr>
          <w:rFonts w:ascii="Palatino Linotype" w:hAnsi="Palatino Linotype" w:cs="Arial"/>
          <w:color w:val="000000" w:themeColor="text1"/>
        </w:rPr>
        <w:t>abril</w:t>
      </w:r>
      <w:r w:rsidR="00C96E1C" w:rsidRPr="00C83068">
        <w:rPr>
          <w:rFonts w:ascii="Palatino Linotype" w:hAnsi="Palatino Linotype" w:cs="Arial"/>
          <w:color w:val="000000" w:themeColor="text1"/>
        </w:rPr>
        <w:t xml:space="preserve"> de dos mil </w:t>
      </w:r>
      <w:r w:rsidR="00D855C6" w:rsidRPr="00C83068">
        <w:rPr>
          <w:rFonts w:ascii="Palatino Linotype" w:hAnsi="Palatino Linotype" w:cs="Arial"/>
          <w:color w:val="000000" w:themeColor="text1"/>
        </w:rPr>
        <w:t>veintidós</w:t>
      </w:r>
      <w:r w:rsidR="00C96E1C" w:rsidRPr="00C83068">
        <w:rPr>
          <w:rFonts w:ascii="Palatino Linotype" w:hAnsi="Palatino Linotype" w:cs="Arial"/>
          <w:color w:val="000000" w:themeColor="text1"/>
        </w:rPr>
        <w:t xml:space="preserve">, el </w:t>
      </w:r>
      <w:r w:rsidR="00C96E1C" w:rsidRPr="00C83068">
        <w:rPr>
          <w:rFonts w:ascii="Palatino Linotype" w:hAnsi="Palatino Linotype" w:cs="Arial"/>
          <w:b/>
          <w:color w:val="000000" w:themeColor="text1"/>
        </w:rPr>
        <w:t>SUJETO OBLIGADO</w:t>
      </w:r>
      <w:r w:rsidR="00C96E1C" w:rsidRPr="00C83068">
        <w:rPr>
          <w:rFonts w:ascii="Palatino Linotype" w:hAnsi="Palatino Linotype" w:cs="Arial"/>
          <w:color w:val="000000" w:themeColor="text1"/>
        </w:rPr>
        <w:t xml:space="preserve"> </w:t>
      </w:r>
      <w:r w:rsidR="00C9726D" w:rsidRPr="00C83068">
        <w:rPr>
          <w:rFonts w:ascii="Palatino Linotype" w:hAnsi="Palatino Linotype" w:cs="Arial"/>
          <w:color w:val="000000" w:themeColor="text1"/>
        </w:rPr>
        <w:t xml:space="preserve">emitió su respuesta </w:t>
      </w:r>
      <w:r w:rsidR="000F377B" w:rsidRPr="00C83068">
        <w:rPr>
          <w:rFonts w:ascii="Palatino Linotype" w:hAnsi="Palatino Linotype" w:cs="Arial"/>
          <w:color w:val="000000" w:themeColor="text1"/>
        </w:rPr>
        <w:t>a cada uno de las solicitudes de información objeto de la presente acumulación, adjuntando para tal efecto los oficios de la temporalidad requerida mediante los archivos electrónicos siguientes respectivamente</w:t>
      </w:r>
      <w:r w:rsidR="00C96E1C" w:rsidRPr="00C83068">
        <w:rPr>
          <w:rFonts w:ascii="Palatino Linotype" w:hAnsi="Palatino Linotype" w:cs="Arial"/>
          <w:color w:val="000000" w:themeColor="text1"/>
        </w:rPr>
        <w:t>:</w:t>
      </w:r>
      <w:r w:rsidR="000F377B" w:rsidRPr="00C83068">
        <w:rPr>
          <w:rFonts w:ascii="Palatino Linotype" w:hAnsi="Palatino Linotype" w:cs="Arial"/>
          <w:color w:val="000000" w:themeColor="text1"/>
        </w:rPr>
        <w:t xml:space="preserve"> </w:t>
      </w:r>
      <w:r w:rsidR="000F377B" w:rsidRPr="00C83068">
        <w:rPr>
          <w:rFonts w:ascii="Palatino Linotype" w:hAnsi="Palatino Linotype" w:cs="Arial"/>
          <w:b/>
          <w:color w:val="000000" w:themeColor="text1"/>
        </w:rPr>
        <w:t>Oficios Enero 2021.zip, Oficios Abril 2021.zip, Oficios Febrero 2021.zip</w:t>
      </w:r>
      <w:r w:rsidR="000F377B" w:rsidRPr="00C83068">
        <w:rPr>
          <w:rFonts w:ascii="Palatino Linotype" w:hAnsi="Palatino Linotype" w:cs="Arial"/>
          <w:color w:val="000000" w:themeColor="text1"/>
        </w:rPr>
        <w:t xml:space="preserve"> y </w:t>
      </w:r>
      <w:r w:rsidR="000F377B" w:rsidRPr="00C83068">
        <w:rPr>
          <w:rFonts w:ascii="Palatino Linotype" w:hAnsi="Palatino Linotype" w:cs="Arial"/>
          <w:b/>
          <w:color w:val="000000" w:themeColor="text1"/>
        </w:rPr>
        <w:t>Oficios Marzo 2021.zip.</w:t>
      </w:r>
    </w:p>
    <w:p w14:paraId="6150537F" w14:textId="4080FCBA" w:rsidR="006211B5" w:rsidRPr="00C83068" w:rsidRDefault="007C3FD0" w:rsidP="00EE0F47">
      <w:pPr>
        <w:pStyle w:val="Prrafodelista"/>
        <w:spacing w:line="360" w:lineRule="auto"/>
        <w:ind w:left="0"/>
        <w:jc w:val="center"/>
        <w:rPr>
          <w:rFonts w:ascii="Palatino Linotype" w:hAnsi="Palatino Linotype" w:cs="Arial"/>
          <w:b/>
          <w:color w:val="000000" w:themeColor="text1"/>
          <w:sz w:val="28"/>
        </w:rPr>
      </w:pPr>
      <w:r w:rsidRPr="00C83068">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359ECD97" wp14:editId="6C707057">
                <wp:simplePos x="0" y="0"/>
                <wp:positionH relativeFrom="margin">
                  <wp:align>right</wp:align>
                </wp:positionH>
                <wp:positionV relativeFrom="paragraph">
                  <wp:posOffset>6045835</wp:posOffset>
                </wp:positionV>
                <wp:extent cx="5511800" cy="1282700"/>
                <wp:effectExtent l="38100" t="38100" r="69850" b="88900"/>
                <wp:wrapNone/>
                <wp:docPr id="4" name="Conector recto 4"/>
                <wp:cNvGraphicFramePr/>
                <a:graphic xmlns:a="http://schemas.openxmlformats.org/drawingml/2006/main">
                  <a:graphicData uri="http://schemas.microsoft.com/office/word/2010/wordprocessingShape">
                    <wps:wsp>
                      <wps:cNvCnPr/>
                      <wps:spPr>
                        <a:xfrm>
                          <a:off x="0" y="0"/>
                          <a:ext cx="5511800" cy="128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0BC8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476.05pt" to="816.8pt,5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" strokecolor="black [3200]" strokeweight="2pt">
                <v:shadow on="t" color="black" opacity="24903f" origin=",.5" offset="0,.55556mm"/>
                <w10:wrap anchorx="margin"/>
              </v:line>
            </w:pict>
          </mc:Fallback>
        </mc:AlternateContent>
      </w:r>
    </w:p>
    <w:p w14:paraId="7EEC3E58" w14:textId="7C41220F" w:rsidR="009417CA" w:rsidRPr="00C83068"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C83068">
        <w:rPr>
          <w:rFonts w:ascii="Palatino Linotype" w:hAnsi="Palatino Linotype" w:cs="Arial"/>
          <w:color w:val="000000" w:themeColor="text1"/>
        </w:rPr>
        <w:t xml:space="preserve">El día </w:t>
      </w:r>
      <w:r w:rsidR="000F377B" w:rsidRPr="00C83068">
        <w:rPr>
          <w:rFonts w:ascii="Palatino Linotype" w:hAnsi="Palatino Linotype" w:cs="Arial"/>
          <w:color w:val="000000" w:themeColor="text1"/>
        </w:rPr>
        <w:t>veintisiete</w:t>
      </w:r>
      <w:r w:rsidRPr="00C83068">
        <w:rPr>
          <w:rFonts w:ascii="Palatino Linotype" w:hAnsi="Palatino Linotype" w:cs="Arial"/>
          <w:color w:val="000000" w:themeColor="text1"/>
        </w:rPr>
        <w:t xml:space="preserve"> (</w:t>
      </w:r>
      <w:r w:rsidR="000F377B" w:rsidRPr="00C83068">
        <w:rPr>
          <w:rFonts w:ascii="Palatino Linotype" w:hAnsi="Palatino Linotype" w:cs="Arial"/>
          <w:color w:val="000000" w:themeColor="text1"/>
        </w:rPr>
        <w:t>27</w:t>
      </w:r>
      <w:r w:rsidRPr="00C83068">
        <w:rPr>
          <w:rFonts w:ascii="Palatino Linotype" w:hAnsi="Palatino Linotype" w:cs="Arial"/>
          <w:color w:val="000000" w:themeColor="text1"/>
        </w:rPr>
        <w:t xml:space="preserve">) de </w:t>
      </w:r>
      <w:r w:rsidR="000F377B" w:rsidRPr="00C83068">
        <w:rPr>
          <w:rFonts w:ascii="Palatino Linotype" w:hAnsi="Palatino Linotype" w:cs="Arial"/>
          <w:color w:val="000000" w:themeColor="text1"/>
        </w:rPr>
        <w:t>abril</w:t>
      </w:r>
      <w:r w:rsidRPr="00C83068">
        <w:rPr>
          <w:rFonts w:ascii="Palatino Linotype" w:hAnsi="Palatino Linotype" w:cs="Arial"/>
          <w:color w:val="000000" w:themeColor="text1"/>
        </w:rPr>
        <w:t xml:space="preserve"> de dos mil </w:t>
      </w:r>
      <w:r w:rsidR="00380C30" w:rsidRPr="00C83068">
        <w:rPr>
          <w:rFonts w:ascii="Palatino Linotype" w:hAnsi="Palatino Linotype" w:cs="Arial"/>
          <w:color w:val="000000" w:themeColor="text1"/>
        </w:rPr>
        <w:t xml:space="preserve">veintidós; </w:t>
      </w:r>
      <w:r w:rsidR="001B0A9C" w:rsidRPr="00C83068">
        <w:rPr>
          <w:rFonts w:ascii="Palatino Linotype" w:hAnsi="Palatino Linotype" w:cs="Arial"/>
          <w:color w:val="000000" w:themeColor="text1"/>
        </w:rPr>
        <w:t>la particular</w:t>
      </w:r>
      <w:r w:rsidR="00227483" w:rsidRPr="00C83068">
        <w:rPr>
          <w:rFonts w:ascii="Palatino Linotype" w:hAnsi="Palatino Linotype" w:cs="Arial"/>
          <w:color w:val="000000" w:themeColor="text1"/>
        </w:rPr>
        <w:t xml:space="preserve"> interpuso recurso de revisión</w:t>
      </w:r>
      <w:r w:rsidR="00665B98" w:rsidRPr="00C83068">
        <w:rPr>
          <w:rFonts w:ascii="Palatino Linotype" w:hAnsi="Palatino Linotype" w:cs="Arial"/>
          <w:color w:val="000000" w:themeColor="text1"/>
        </w:rPr>
        <w:t xml:space="preserve">, </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665B98" w:rsidRPr="00C83068">
        <w:rPr>
          <w:rFonts w:ascii="Palatino Linotype" w:hAnsi="Palatino Linotype" w:cs="Arial"/>
          <w:color w:val="000000" w:themeColor="text1"/>
        </w:rPr>
        <w:t>donde se señaló lo siguiente</w:t>
      </w:r>
      <w:r w:rsidR="009417CA" w:rsidRPr="00C83068">
        <w:rPr>
          <w:rFonts w:ascii="Palatino Linotype" w:hAnsi="Palatino Linotype" w:cs="Arial"/>
          <w:color w:val="000000" w:themeColor="text1"/>
        </w:rPr>
        <w:t>:</w:t>
      </w:r>
    </w:p>
    <w:tbl>
      <w:tblPr>
        <w:tblStyle w:val="Tablaconcuadrcula"/>
        <w:tblW w:w="0" w:type="auto"/>
        <w:tblLook w:val="04A0" w:firstRow="1" w:lastRow="0" w:firstColumn="1" w:lastColumn="0" w:noHBand="0" w:noVBand="1"/>
      </w:tblPr>
      <w:tblGrid>
        <w:gridCol w:w="3126"/>
        <w:gridCol w:w="2818"/>
        <w:gridCol w:w="2884"/>
      </w:tblGrid>
      <w:tr w:rsidR="000F377B" w:rsidRPr="00C83068" w14:paraId="5756E48E" w14:textId="77777777" w:rsidTr="001B29F5">
        <w:tc>
          <w:tcPr>
            <w:tcW w:w="3126" w:type="dxa"/>
          </w:tcPr>
          <w:p w14:paraId="05552A56" w14:textId="74B9C033" w:rsidR="000F377B" w:rsidRPr="00C83068" w:rsidRDefault="000F377B" w:rsidP="00B00B6B">
            <w:pPr>
              <w:pStyle w:val="Prrafodelista"/>
              <w:spacing w:line="360" w:lineRule="auto"/>
              <w:ind w:left="0"/>
              <w:jc w:val="both"/>
              <w:rPr>
                <w:rFonts w:ascii="Palatino Linotype" w:hAnsi="Palatino Linotype" w:cs="Arial"/>
                <w:color w:val="000000" w:themeColor="text1"/>
              </w:rPr>
            </w:pPr>
            <w:r w:rsidRPr="00C83068">
              <w:rPr>
                <w:rFonts w:ascii="Palatino Linotype" w:hAnsi="Palatino Linotype" w:cs="Arial"/>
                <w:color w:val="000000" w:themeColor="text1"/>
              </w:rPr>
              <w:t>06748/INFOEM/IP/RR/2022</w:t>
            </w:r>
          </w:p>
        </w:tc>
        <w:tc>
          <w:tcPr>
            <w:tcW w:w="2818" w:type="dxa"/>
          </w:tcPr>
          <w:p w14:paraId="6FF6CBDA"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ACTO IMPUGNADO</w:t>
            </w:r>
            <w:r w:rsidRPr="00C83068">
              <w:rPr>
                <w:rFonts w:ascii="Palatino Linotype" w:hAnsi="Palatino Linotype" w:cs="Arial"/>
                <w:color w:val="000000" w:themeColor="text1"/>
              </w:rPr>
              <w:tab/>
            </w:r>
          </w:p>
          <w:p w14:paraId="2F45EB14" w14:textId="69F751E5" w:rsidR="000F377B" w:rsidRPr="00C83068" w:rsidRDefault="000F377B" w:rsidP="00F15749">
            <w:pPr>
              <w:pStyle w:val="Prrafodelista"/>
              <w:ind w:left="0"/>
              <w:jc w:val="both"/>
              <w:rPr>
                <w:rFonts w:ascii="Palatino Linotype" w:hAnsi="Palatino Linotype" w:cs="Arial"/>
                <w:i/>
                <w:color w:val="000000" w:themeColor="text1"/>
              </w:rPr>
            </w:pPr>
            <w:r w:rsidRPr="00C83068">
              <w:rPr>
                <w:rFonts w:ascii="Palatino Linotype" w:hAnsi="Palatino Linotype" w:cs="Arial"/>
                <w:i/>
                <w:color w:val="000000" w:themeColor="text1"/>
              </w:rPr>
              <w:t>negativa de información</w:t>
            </w:r>
          </w:p>
        </w:tc>
        <w:tc>
          <w:tcPr>
            <w:tcW w:w="2884" w:type="dxa"/>
          </w:tcPr>
          <w:p w14:paraId="5D2E6AC1"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RAZONES O MOTIVOS DE LA INCONFORMIDAD</w:t>
            </w:r>
            <w:r w:rsidRPr="00C83068">
              <w:rPr>
                <w:rFonts w:ascii="Palatino Linotype" w:hAnsi="Palatino Linotype" w:cs="Arial"/>
                <w:color w:val="000000" w:themeColor="text1"/>
              </w:rPr>
              <w:tab/>
            </w:r>
          </w:p>
          <w:p w14:paraId="28581CD5" w14:textId="58C25BA8" w:rsidR="000F377B" w:rsidRPr="00C83068" w:rsidRDefault="000F377B" w:rsidP="00F15749">
            <w:pPr>
              <w:pStyle w:val="Prrafodelista"/>
              <w:ind w:left="0"/>
              <w:jc w:val="both"/>
              <w:rPr>
                <w:rFonts w:ascii="Palatino Linotype" w:hAnsi="Palatino Linotype" w:cs="Arial"/>
                <w:i/>
                <w:color w:val="000000" w:themeColor="text1"/>
              </w:rPr>
            </w:pPr>
            <w:proofErr w:type="gramStart"/>
            <w:r w:rsidRPr="00C83068">
              <w:rPr>
                <w:rFonts w:ascii="Palatino Linotype" w:hAnsi="Palatino Linotype" w:cs="Arial"/>
                <w:i/>
                <w:color w:val="000000" w:themeColor="text1"/>
              </w:rPr>
              <w:lastRenderedPageBreak/>
              <w:t>se</w:t>
            </w:r>
            <w:proofErr w:type="gramEnd"/>
            <w:r w:rsidRPr="00C83068">
              <w:rPr>
                <w:rFonts w:ascii="Palatino Linotype" w:hAnsi="Palatino Linotype" w:cs="Arial"/>
                <w:i/>
                <w:color w:val="000000" w:themeColor="text1"/>
              </w:rPr>
              <w:t xml:space="preserve"> nota que no se </w:t>
            </w:r>
            <w:proofErr w:type="spellStart"/>
            <w:r w:rsidRPr="00C83068">
              <w:rPr>
                <w:rFonts w:ascii="Palatino Linotype" w:hAnsi="Palatino Linotype" w:cs="Arial"/>
                <w:i/>
                <w:color w:val="000000" w:themeColor="text1"/>
              </w:rPr>
              <w:t>entrego</w:t>
            </w:r>
            <w:proofErr w:type="spellEnd"/>
            <w:r w:rsidRPr="00C83068">
              <w:rPr>
                <w:rFonts w:ascii="Palatino Linotype" w:hAnsi="Palatino Linotype" w:cs="Arial"/>
                <w:i/>
                <w:color w:val="000000" w:themeColor="text1"/>
              </w:rPr>
              <w:t xml:space="preserve"> la información completa y solicitada, lo que deja ver que no son transparentes.</w:t>
            </w:r>
          </w:p>
        </w:tc>
      </w:tr>
      <w:tr w:rsidR="000F377B" w:rsidRPr="00C83068" w14:paraId="0C2E980F" w14:textId="77777777" w:rsidTr="001B29F5">
        <w:tc>
          <w:tcPr>
            <w:tcW w:w="3126" w:type="dxa"/>
          </w:tcPr>
          <w:p w14:paraId="3B8AF8DF" w14:textId="4B8D10B1" w:rsidR="000F377B" w:rsidRPr="00C83068" w:rsidRDefault="000F377B" w:rsidP="00B00B6B">
            <w:pPr>
              <w:pStyle w:val="Prrafodelista"/>
              <w:spacing w:line="360" w:lineRule="auto"/>
              <w:ind w:left="0"/>
              <w:jc w:val="both"/>
              <w:rPr>
                <w:rFonts w:ascii="Palatino Linotype" w:hAnsi="Palatino Linotype" w:cs="Arial"/>
                <w:color w:val="000000" w:themeColor="text1"/>
              </w:rPr>
            </w:pPr>
            <w:r w:rsidRPr="00C83068">
              <w:rPr>
                <w:rFonts w:ascii="Palatino Linotype" w:hAnsi="Palatino Linotype" w:cs="Arial"/>
                <w:color w:val="000000" w:themeColor="text1"/>
              </w:rPr>
              <w:lastRenderedPageBreak/>
              <w:t>06751/INFOEM/IP/RR/2022</w:t>
            </w:r>
          </w:p>
        </w:tc>
        <w:tc>
          <w:tcPr>
            <w:tcW w:w="2818" w:type="dxa"/>
          </w:tcPr>
          <w:p w14:paraId="7B3614A2"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ACTO IMPUGNADO</w:t>
            </w:r>
            <w:r w:rsidRPr="00C83068">
              <w:rPr>
                <w:rFonts w:ascii="Palatino Linotype" w:hAnsi="Palatino Linotype" w:cs="Arial"/>
                <w:color w:val="000000" w:themeColor="text1"/>
              </w:rPr>
              <w:tab/>
            </w:r>
          </w:p>
          <w:p w14:paraId="5D7A6252" w14:textId="64C27506" w:rsidR="000F377B" w:rsidRPr="00C83068" w:rsidRDefault="000F377B" w:rsidP="00F15749">
            <w:pPr>
              <w:pStyle w:val="Prrafodelista"/>
              <w:ind w:left="0"/>
              <w:jc w:val="both"/>
              <w:rPr>
                <w:rFonts w:ascii="Palatino Linotype" w:hAnsi="Palatino Linotype" w:cs="Arial"/>
                <w:i/>
                <w:color w:val="000000" w:themeColor="text1"/>
              </w:rPr>
            </w:pPr>
            <w:r w:rsidRPr="00C83068">
              <w:rPr>
                <w:rFonts w:ascii="Palatino Linotype" w:hAnsi="Palatino Linotype" w:cs="Arial"/>
                <w:i/>
                <w:color w:val="000000" w:themeColor="text1"/>
              </w:rPr>
              <w:t>No entregar la información solicitad</w:t>
            </w:r>
          </w:p>
        </w:tc>
        <w:tc>
          <w:tcPr>
            <w:tcW w:w="2884" w:type="dxa"/>
          </w:tcPr>
          <w:p w14:paraId="66634955"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RAZONES O MOTIVOS DE LA INCONFORMIDAD</w:t>
            </w:r>
            <w:r w:rsidRPr="00C83068">
              <w:rPr>
                <w:rFonts w:ascii="Palatino Linotype" w:hAnsi="Palatino Linotype" w:cs="Arial"/>
                <w:color w:val="000000" w:themeColor="text1"/>
              </w:rPr>
              <w:tab/>
            </w:r>
          </w:p>
          <w:p w14:paraId="3B1ABF6D" w14:textId="0A01429C" w:rsidR="000F377B" w:rsidRPr="00C83068" w:rsidRDefault="000F377B" w:rsidP="00F15749">
            <w:pPr>
              <w:pStyle w:val="Prrafodelista"/>
              <w:ind w:left="0"/>
              <w:jc w:val="both"/>
              <w:rPr>
                <w:rFonts w:ascii="Palatino Linotype" w:hAnsi="Palatino Linotype" w:cs="Arial"/>
                <w:i/>
                <w:color w:val="000000" w:themeColor="text1"/>
              </w:rPr>
            </w:pPr>
            <w:proofErr w:type="gramStart"/>
            <w:r w:rsidRPr="00C83068">
              <w:rPr>
                <w:rFonts w:ascii="Palatino Linotype" w:hAnsi="Palatino Linotype" w:cs="Arial"/>
                <w:i/>
                <w:color w:val="000000" w:themeColor="text1"/>
              </w:rPr>
              <w:t>una</w:t>
            </w:r>
            <w:proofErr w:type="gramEnd"/>
            <w:r w:rsidRPr="00C83068">
              <w:rPr>
                <w:rFonts w:ascii="Palatino Linotype" w:hAnsi="Palatino Linotype" w:cs="Arial"/>
                <w:i/>
                <w:color w:val="000000" w:themeColor="text1"/>
              </w:rPr>
              <w:t xml:space="preserve"> vez analizados no se entregan los oficios completos ya que la numeración no es </w:t>
            </w:r>
            <w:proofErr w:type="spellStart"/>
            <w:r w:rsidRPr="00C83068">
              <w:rPr>
                <w:rFonts w:ascii="Palatino Linotype" w:hAnsi="Palatino Linotype" w:cs="Arial"/>
                <w:i/>
                <w:color w:val="000000" w:themeColor="text1"/>
              </w:rPr>
              <w:t>contiua</w:t>
            </w:r>
            <w:proofErr w:type="spellEnd"/>
            <w:r w:rsidRPr="00C83068">
              <w:rPr>
                <w:rFonts w:ascii="Palatino Linotype" w:hAnsi="Palatino Linotype" w:cs="Arial"/>
                <w:i/>
                <w:color w:val="000000" w:themeColor="text1"/>
              </w:rPr>
              <w:t xml:space="preserve"> lo de demuestra que faltan oficios y se están ocultando.</w:t>
            </w:r>
          </w:p>
        </w:tc>
      </w:tr>
      <w:tr w:rsidR="000F377B" w:rsidRPr="00C83068" w14:paraId="466404CF" w14:textId="77777777" w:rsidTr="001B29F5">
        <w:tc>
          <w:tcPr>
            <w:tcW w:w="3126" w:type="dxa"/>
          </w:tcPr>
          <w:p w14:paraId="728C3AA8" w14:textId="776E5437" w:rsidR="000F377B" w:rsidRPr="00C83068" w:rsidRDefault="000F377B" w:rsidP="00B00B6B">
            <w:pPr>
              <w:pStyle w:val="Prrafodelista"/>
              <w:spacing w:line="360" w:lineRule="auto"/>
              <w:ind w:left="0"/>
              <w:jc w:val="both"/>
              <w:rPr>
                <w:rFonts w:ascii="Palatino Linotype" w:hAnsi="Palatino Linotype" w:cs="Arial"/>
                <w:color w:val="000000" w:themeColor="text1"/>
              </w:rPr>
            </w:pPr>
            <w:r w:rsidRPr="00C83068">
              <w:rPr>
                <w:rFonts w:ascii="Palatino Linotype" w:hAnsi="Palatino Linotype" w:cs="Arial"/>
                <w:color w:val="000000" w:themeColor="text1"/>
              </w:rPr>
              <w:t>06750/INFOEM/IP/RR/2022</w:t>
            </w:r>
          </w:p>
        </w:tc>
        <w:tc>
          <w:tcPr>
            <w:tcW w:w="2818" w:type="dxa"/>
          </w:tcPr>
          <w:p w14:paraId="48E9C240"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ACTO IMPUGNADO</w:t>
            </w:r>
            <w:r w:rsidRPr="00C83068">
              <w:rPr>
                <w:rFonts w:ascii="Palatino Linotype" w:hAnsi="Palatino Linotype" w:cs="Arial"/>
                <w:color w:val="000000" w:themeColor="text1"/>
              </w:rPr>
              <w:tab/>
            </w:r>
          </w:p>
          <w:p w14:paraId="08B33C9D" w14:textId="4ACDFA99" w:rsidR="000F377B" w:rsidRPr="00C83068" w:rsidRDefault="000F377B" w:rsidP="00F15749">
            <w:pPr>
              <w:pStyle w:val="Prrafodelista"/>
              <w:ind w:left="0"/>
              <w:jc w:val="both"/>
              <w:rPr>
                <w:rFonts w:ascii="Palatino Linotype" w:hAnsi="Palatino Linotype" w:cs="Arial"/>
                <w:i/>
                <w:color w:val="000000" w:themeColor="text1"/>
              </w:rPr>
            </w:pPr>
            <w:r w:rsidRPr="00C83068">
              <w:rPr>
                <w:rFonts w:ascii="Palatino Linotype" w:hAnsi="Palatino Linotype" w:cs="Arial"/>
                <w:i/>
                <w:color w:val="000000" w:themeColor="text1"/>
              </w:rPr>
              <w:t>No entregan los oficios solicitados están incompletos.</w:t>
            </w:r>
          </w:p>
        </w:tc>
        <w:tc>
          <w:tcPr>
            <w:tcW w:w="2884" w:type="dxa"/>
          </w:tcPr>
          <w:p w14:paraId="07F5E5F8"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RAZONES O MOTIVOS DE LA INCONFORMIDAD</w:t>
            </w:r>
            <w:r w:rsidRPr="00C83068">
              <w:rPr>
                <w:rFonts w:ascii="Palatino Linotype" w:hAnsi="Palatino Linotype" w:cs="Arial"/>
                <w:color w:val="000000" w:themeColor="text1"/>
              </w:rPr>
              <w:tab/>
            </w:r>
          </w:p>
          <w:p w14:paraId="5F2916FE" w14:textId="7F841815" w:rsidR="000F377B" w:rsidRPr="00C83068" w:rsidRDefault="000F377B" w:rsidP="00F15749">
            <w:pPr>
              <w:pStyle w:val="Prrafodelista"/>
              <w:ind w:left="0"/>
              <w:jc w:val="both"/>
              <w:rPr>
                <w:rFonts w:ascii="Palatino Linotype" w:hAnsi="Palatino Linotype" w:cs="Arial"/>
                <w:i/>
                <w:color w:val="000000" w:themeColor="text1"/>
              </w:rPr>
            </w:pPr>
            <w:proofErr w:type="gramStart"/>
            <w:r w:rsidRPr="00C83068">
              <w:rPr>
                <w:rFonts w:ascii="Palatino Linotype" w:hAnsi="Palatino Linotype" w:cs="Arial"/>
                <w:i/>
                <w:color w:val="000000" w:themeColor="text1"/>
              </w:rPr>
              <w:t>una</w:t>
            </w:r>
            <w:proofErr w:type="gramEnd"/>
            <w:r w:rsidRPr="00C83068">
              <w:rPr>
                <w:rFonts w:ascii="Palatino Linotype" w:hAnsi="Palatino Linotype" w:cs="Arial"/>
                <w:i/>
                <w:color w:val="000000" w:themeColor="text1"/>
              </w:rPr>
              <w:t xml:space="preserve"> vez analizados no se entregan los oficios completos ya que la numeración no es </w:t>
            </w:r>
            <w:proofErr w:type="spellStart"/>
            <w:r w:rsidRPr="00C83068">
              <w:rPr>
                <w:rFonts w:ascii="Palatino Linotype" w:hAnsi="Palatino Linotype" w:cs="Arial"/>
                <w:i/>
                <w:color w:val="000000" w:themeColor="text1"/>
              </w:rPr>
              <w:t>contiua</w:t>
            </w:r>
            <w:proofErr w:type="spellEnd"/>
            <w:r w:rsidRPr="00C83068">
              <w:rPr>
                <w:rFonts w:ascii="Palatino Linotype" w:hAnsi="Palatino Linotype" w:cs="Arial"/>
                <w:i/>
                <w:color w:val="000000" w:themeColor="text1"/>
              </w:rPr>
              <w:t xml:space="preserve"> lo de demuestra que faltan oficios y se están ocultando.</w:t>
            </w:r>
          </w:p>
        </w:tc>
      </w:tr>
      <w:tr w:rsidR="000F377B" w:rsidRPr="00C83068" w14:paraId="7F0AAFB2" w14:textId="77777777" w:rsidTr="001B29F5">
        <w:tc>
          <w:tcPr>
            <w:tcW w:w="3126" w:type="dxa"/>
          </w:tcPr>
          <w:p w14:paraId="061960AE" w14:textId="605233A5" w:rsidR="000F377B" w:rsidRPr="00C83068" w:rsidRDefault="000F377B" w:rsidP="00B00B6B">
            <w:pPr>
              <w:pStyle w:val="Prrafodelista"/>
              <w:spacing w:line="360" w:lineRule="auto"/>
              <w:ind w:left="0"/>
              <w:jc w:val="both"/>
              <w:rPr>
                <w:rFonts w:ascii="Palatino Linotype" w:hAnsi="Palatino Linotype" w:cs="Arial"/>
                <w:color w:val="000000" w:themeColor="text1"/>
              </w:rPr>
            </w:pPr>
            <w:r w:rsidRPr="00C83068">
              <w:rPr>
                <w:rFonts w:ascii="Palatino Linotype" w:hAnsi="Palatino Linotype" w:cs="Arial"/>
                <w:color w:val="000000" w:themeColor="text1"/>
              </w:rPr>
              <w:t>06749/INFOEM/IP/RR/2022</w:t>
            </w:r>
          </w:p>
        </w:tc>
        <w:tc>
          <w:tcPr>
            <w:tcW w:w="2818" w:type="dxa"/>
          </w:tcPr>
          <w:p w14:paraId="5F9C2F00" w14:textId="04C4EE06"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ACTO IMPUGNADO</w:t>
            </w:r>
          </w:p>
          <w:p w14:paraId="169EA0C5" w14:textId="05C3F682" w:rsidR="000F377B" w:rsidRPr="00C83068" w:rsidRDefault="000F377B" w:rsidP="00F15749">
            <w:pPr>
              <w:pStyle w:val="Prrafodelista"/>
              <w:ind w:left="0"/>
              <w:jc w:val="both"/>
              <w:rPr>
                <w:rFonts w:ascii="Palatino Linotype" w:hAnsi="Palatino Linotype" w:cs="Arial"/>
                <w:i/>
                <w:color w:val="000000" w:themeColor="text1"/>
              </w:rPr>
            </w:pPr>
            <w:proofErr w:type="gramStart"/>
            <w:r w:rsidRPr="00C83068">
              <w:rPr>
                <w:rFonts w:ascii="Palatino Linotype" w:hAnsi="Palatino Linotype" w:cs="Arial"/>
                <w:i/>
                <w:color w:val="000000" w:themeColor="text1"/>
              </w:rPr>
              <w:t>no</w:t>
            </w:r>
            <w:proofErr w:type="gramEnd"/>
            <w:r w:rsidRPr="00C83068">
              <w:rPr>
                <w:rFonts w:ascii="Palatino Linotype" w:hAnsi="Palatino Linotype" w:cs="Arial"/>
                <w:i/>
                <w:color w:val="000000" w:themeColor="text1"/>
              </w:rPr>
              <w:t xml:space="preserve"> entregan la información completa faltando número de oficios de manera consecutiva.</w:t>
            </w:r>
          </w:p>
        </w:tc>
        <w:tc>
          <w:tcPr>
            <w:tcW w:w="2884" w:type="dxa"/>
          </w:tcPr>
          <w:p w14:paraId="2EFFB1E7" w14:textId="77777777" w:rsidR="000F377B" w:rsidRPr="00C83068" w:rsidRDefault="000F377B" w:rsidP="00F15749">
            <w:pPr>
              <w:jc w:val="both"/>
              <w:rPr>
                <w:rFonts w:ascii="Palatino Linotype" w:hAnsi="Palatino Linotype" w:cs="Arial"/>
                <w:color w:val="000000" w:themeColor="text1"/>
              </w:rPr>
            </w:pPr>
            <w:r w:rsidRPr="00C83068">
              <w:rPr>
                <w:rFonts w:ascii="Palatino Linotype" w:hAnsi="Palatino Linotype" w:cs="Arial"/>
                <w:color w:val="000000" w:themeColor="text1"/>
              </w:rPr>
              <w:t>RAZONES O MOTIVOS DE LA INCONFORMIDAD</w:t>
            </w:r>
            <w:r w:rsidRPr="00C83068">
              <w:rPr>
                <w:rFonts w:ascii="Palatino Linotype" w:hAnsi="Palatino Linotype" w:cs="Arial"/>
                <w:color w:val="000000" w:themeColor="text1"/>
              </w:rPr>
              <w:tab/>
            </w:r>
          </w:p>
          <w:p w14:paraId="5E8A69D3" w14:textId="2258B2ED" w:rsidR="000F377B" w:rsidRPr="00C83068" w:rsidRDefault="000F377B" w:rsidP="00F15749">
            <w:pPr>
              <w:pStyle w:val="Prrafodelista"/>
              <w:ind w:left="0"/>
              <w:jc w:val="both"/>
              <w:rPr>
                <w:rFonts w:ascii="Palatino Linotype" w:hAnsi="Palatino Linotype" w:cs="Arial"/>
                <w:i/>
                <w:color w:val="000000" w:themeColor="text1"/>
              </w:rPr>
            </w:pPr>
            <w:r w:rsidRPr="00C83068">
              <w:rPr>
                <w:rFonts w:ascii="Palatino Linotype" w:hAnsi="Palatino Linotype" w:cs="Arial"/>
                <w:i/>
                <w:color w:val="000000" w:themeColor="text1"/>
              </w:rPr>
              <w:t>Una vez revisada la información proporcionada faltan oficios.</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tbl>
    <w:p w14:paraId="0D274D60" w14:textId="77777777" w:rsidR="003012F8" w:rsidRPr="00C83068" w:rsidRDefault="003012F8" w:rsidP="003012F8">
      <w:pPr>
        <w:pStyle w:val="Prrafodelista"/>
        <w:spacing w:line="360" w:lineRule="auto"/>
        <w:ind w:left="0"/>
        <w:jc w:val="both"/>
        <w:rPr>
          <w:rFonts w:ascii="Palatino Linotype" w:hAnsi="Palatino Linotype"/>
        </w:rPr>
      </w:pPr>
    </w:p>
    <w:p w14:paraId="7F321E3F" w14:textId="22B9F786" w:rsidR="001B29F5" w:rsidRPr="00C83068" w:rsidRDefault="001B29F5" w:rsidP="001B29F5">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cs="Arial"/>
          <w:color w:val="000000" w:themeColor="text1"/>
        </w:rPr>
        <w:t>Consecutivamente</w:t>
      </w:r>
      <w:r w:rsidRPr="00C83068">
        <w:rPr>
          <w:rFonts w:ascii="Palatino Linotype" w:hAnsi="Palatino Linotype"/>
          <w:i/>
        </w:rPr>
        <w:t xml:space="preserve">, </w:t>
      </w:r>
      <w:r w:rsidRPr="00C83068">
        <w:rPr>
          <w:rFonts w:ascii="Palatino Linotype" w:hAnsi="Palatino Linotype"/>
        </w:rPr>
        <w:t xml:space="preserve">con fundamento en lo dispuesto por el artículo 185 fracción I de la Ley de Transparencia y Acceso a la Información Pública del Estado </w:t>
      </w:r>
      <w:r w:rsidRPr="00C83068">
        <w:rPr>
          <w:rFonts w:ascii="Palatino Linotype" w:hAnsi="Palatino Linotype"/>
        </w:rPr>
        <w:lastRenderedPageBreak/>
        <w:t>de México y Municipios, los recursos de referencia, fueron turnados</w:t>
      </w:r>
      <w:r w:rsidRPr="00C83068">
        <w:rPr>
          <w:rFonts w:ascii="Palatino Linotype" w:hAnsi="Palatino Linotype"/>
          <w:b/>
        </w:rPr>
        <w:t xml:space="preserve"> </w:t>
      </w:r>
      <w:r w:rsidRPr="00C83068">
        <w:rPr>
          <w:rFonts w:ascii="Palatino Linotype" w:hAnsi="Palatino Linotype"/>
        </w:rPr>
        <w:t xml:space="preserve">a los </w:t>
      </w:r>
      <w:r w:rsidRPr="00C83068">
        <w:rPr>
          <w:rFonts w:ascii="Palatino Linotype" w:hAnsi="Palatino Linotype"/>
          <w:b/>
        </w:rPr>
        <w:t>Comisionados María del Rosario Mejía Ayala, Luis Gustavo Parra Noriega</w:t>
      </w:r>
      <w:r w:rsidRPr="00C83068">
        <w:rPr>
          <w:rFonts w:ascii="Palatino Linotype" w:hAnsi="Palatino Linotype"/>
        </w:rPr>
        <w:t xml:space="preserve"> y</w:t>
      </w:r>
      <w:r w:rsidRPr="00C83068">
        <w:rPr>
          <w:rFonts w:ascii="Palatino Linotype" w:hAnsi="Palatino Linotype"/>
          <w:b/>
        </w:rPr>
        <w:t xml:space="preserve"> Guadalupe Ramírez Peña</w:t>
      </w:r>
      <w:r w:rsidRPr="00C83068">
        <w:rPr>
          <w:rFonts w:ascii="Palatino Linotype" w:hAnsi="Palatino Linotype"/>
        </w:rPr>
        <w:t xml:space="preserve"> respectivamente,</w:t>
      </w:r>
      <w:r w:rsidRPr="00C83068">
        <w:rPr>
          <w:rFonts w:ascii="Palatino Linotype" w:hAnsi="Palatino Linotype"/>
          <w:b/>
        </w:rPr>
        <w:t xml:space="preserve"> </w:t>
      </w:r>
      <w:r w:rsidRPr="00C83068">
        <w:rPr>
          <w:rFonts w:ascii="Palatino Linotype" w:hAnsi="Palatino Linotype"/>
        </w:rPr>
        <w:t>con el objeto de su análisis; posteriormente el Pleno de este Órgano Autónomo, en la</w:t>
      </w:r>
      <w:r w:rsidRPr="00C83068">
        <w:rPr>
          <w:rFonts w:ascii="Palatino Linotype" w:hAnsi="Palatino Linotype"/>
          <w:b/>
        </w:rPr>
        <w:t xml:space="preserve"> Décima Séptima Sesión Ordinaria </w:t>
      </w:r>
      <w:r w:rsidRPr="00C83068">
        <w:rPr>
          <w:rFonts w:ascii="Palatino Linotype" w:hAnsi="Palatino Linotype"/>
        </w:rPr>
        <w:t>de fecha</w:t>
      </w:r>
      <w:r w:rsidRPr="00C83068">
        <w:rPr>
          <w:rFonts w:ascii="Palatino Linotype" w:hAnsi="Palatino Linotype"/>
          <w:b/>
        </w:rPr>
        <w:t xml:space="preserve"> once (11) de mayo</w:t>
      </w:r>
      <w:r w:rsidRPr="00C83068">
        <w:rPr>
          <w:rFonts w:ascii="Palatino Linotype" w:hAnsi="Palatino Linotype"/>
        </w:rPr>
        <w:t xml:space="preserve"> </w:t>
      </w:r>
      <w:r w:rsidRPr="00C83068">
        <w:rPr>
          <w:rFonts w:ascii="Palatino Linotype" w:hAnsi="Palatino Linotype"/>
          <w:b/>
        </w:rPr>
        <w:t>de dos mil veintidós</w:t>
      </w:r>
      <w:r w:rsidRPr="00C83068">
        <w:rPr>
          <w:rFonts w:ascii="Palatino Linotype" w:hAnsi="Palatino Linotype"/>
        </w:rPr>
        <w:t xml:space="preserve">; ordenó la acumulación de los recursos de revisión ya descritos, a efecto de que la Ponencia de la </w:t>
      </w:r>
      <w:r w:rsidRPr="00C83068">
        <w:rPr>
          <w:rFonts w:ascii="Palatino Linotype" w:hAnsi="Palatino Linotype"/>
          <w:b/>
        </w:rPr>
        <w:t xml:space="preserve">Comisionada María del Rosario Mejía Ayala </w:t>
      </w:r>
      <w:r w:rsidRPr="00C83068">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83068">
        <w:rPr>
          <w:rFonts w:ascii="Palatino Linotype" w:hAnsi="Palatino Linotype"/>
          <w:i/>
          <w:vertAlign w:val="superscript"/>
        </w:rPr>
        <w:footnoteReference w:id="1"/>
      </w:r>
      <w:r w:rsidRPr="00C83068">
        <w:rPr>
          <w:rFonts w:ascii="Palatino Linotype" w:hAnsi="Palatino Linotype"/>
        </w:rPr>
        <w:t>, que señala:</w:t>
      </w:r>
    </w:p>
    <w:p w14:paraId="40BF64BA" w14:textId="77777777" w:rsidR="001B29F5" w:rsidRPr="00C83068" w:rsidRDefault="001B29F5" w:rsidP="001B29F5">
      <w:pPr>
        <w:pStyle w:val="Prrafodelista"/>
        <w:tabs>
          <w:tab w:val="left" w:pos="0"/>
        </w:tabs>
        <w:spacing w:line="360" w:lineRule="auto"/>
        <w:ind w:left="0" w:right="49"/>
        <w:jc w:val="both"/>
        <w:rPr>
          <w:rFonts w:ascii="Palatino Linotype" w:hAnsi="Palatino Linotype"/>
        </w:rPr>
      </w:pPr>
    </w:p>
    <w:p w14:paraId="09880792"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i/>
        </w:rPr>
      </w:pPr>
      <w:r w:rsidRPr="00C83068">
        <w:rPr>
          <w:rFonts w:ascii="Palatino Linotype" w:hAnsi="Palatino Linotype"/>
          <w:b/>
          <w:i/>
        </w:rPr>
        <w:t>“ONCE.</w:t>
      </w:r>
      <w:r w:rsidRPr="00C83068">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429710E7"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i/>
        </w:rPr>
      </w:pPr>
      <w:r w:rsidRPr="00C83068">
        <w:rPr>
          <w:rFonts w:ascii="Palatino Linotype" w:hAnsi="Palatino Linotype"/>
          <w:i/>
        </w:rPr>
        <w:t>…</w:t>
      </w:r>
      <w:r w:rsidRPr="00C83068">
        <w:rPr>
          <w:rFonts w:ascii="Palatino Linotype" w:hAnsi="Palatino Linotype"/>
          <w:i/>
        </w:rPr>
        <w:tab/>
      </w:r>
    </w:p>
    <w:p w14:paraId="387055D8"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i/>
        </w:rPr>
      </w:pPr>
      <w:r w:rsidRPr="00C83068">
        <w:rPr>
          <w:rFonts w:ascii="Palatino Linotype" w:hAnsi="Palatino Linotype"/>
          <w:i/>
        </w:rPr>
        <w:t>b) Las partes o los actos impugnados sean iguales</w:t>
      </w:r>
    </w:p>
    <w:p w14:paraId="489A16D6"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i/>
        </w:rPr>
      </w:pPr>
      <w:r w:rsidRPr="00C83068">
        <w:rPr>
          <w:rFonts w:ascii="Palatino Linotype" w:hAnsi="Palatino Linotype"/>
          <w:i/>
        </w:rPr>
        <w:t>c) Cuando se trate del mismo solicitante, el mismo SUJETO OBLIGADO, aunque se trate de solicitudes diversas;</w:t>
      </w:r>
    </w:p>
    <w:p w14:paraId="5A6AE1A3"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i/>
        </w:rPr>
      </w:pPr>
      <w:r w:rsidRPr="00C83068">
        <w:rPr>
          <w:rFonts w:ascii="Palatino Linotype" w:hAnsi="Palatino Linotype"/>
          <w:i/>
        </w:rPr>
        <w:t>(…)”</w:t>
      </w:r>
    </w:p>
    <w:p w14:paraId="515F1882" w14:textId="77777777" w:rsidR="001B29F5" w:rsidRPr="00C83068" w:rsidRDefault="001B29F5" w:rsidP="001B29F5">
      <w:pPr>
        <w:pStyle w:val="Prrafodelista"/>
        <w:tabs>
          <w:tab w:val="left" w:pos="426"/>
        </w:tabs>
        <w:spacing w:line="360" w:lineRule="auto"/>
        <w:ind w:left="567" w:right="616"/>
        <w:jc w:val="both"/>
        <w:rPr>
          <w:rFonts w:ascii="Palatino Linotype" w:hAnsi="Palatino Linotype"/>
        </w:rPr>
      </w:pPr>
      <w:r w:rsidRPr="00C83068">
        <w:rPr>
          <w:rFonts w:ascii="Palatino Linotype" w:hAnsi="Palatino Linotype"/>
        </w:rPr>
        <w:t>(Énfasis añadido)</w:t>
      </w:r>
    </w:p>
    <w:p w14:paraId="041F15EF" w14:textId="77777777" w:rsidR="00A236AD" w:rsidRPr="00C83068" w:rsidRDefault="00A236AD" w:rsidP="001B29F5">
      <w:pPr>
        <w:pStyle w:val="Prrafodelista"/>
        <w:tabs>
          <w:tab w:val="left" w:pos="426"/>
        </w:tabs>
        <w:spacing w:line="360" w:lineRule="auto"/>
        <w:ind w:left="567" w:right="616"/>
        <w:jc w:val="both"/>
        <w:rPr>
          <w:rFonts w:ascii="Palatino Linotype" w:hAnsi="Palatino Linotype"/>
        </w:rPr>
      </w:pPr>
    </w:p>
    <w:p w14:paraId="483C1B74" w14:textId="77777777" w:rsidR="001B29F5" w:rsidRPr="00C83068" w:rsidRDefault="001B29F5" w:rsidP="00A236AD">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lastRenderedPageBreak/>
        <w:t>Es así que,</w:t>
      </w:r>
      <w:r w:rsidRPr="00C83068">
        <w:rPr>
          <w:rFonts w:ascii="Palatino Linotype" w:hAnsi="Palatino Linotype"/>
          <w:i/>
        </w:rPr>
        <w:t xml:space="preserve"> </w:t>
      </w:r>
      <w:r w:rsidRPr="00C83068">
        <w:rPr>
          <w:rFonts w:ascii="Palatino Linotype" w:hAnsi="Palatino Linotype"/>
        </w:rPr>
        <w:t xml:space="preserve">resulta conveniente su trámite de forma unificada para mejor resolver y </w:t>
      </w:r>
      <w:r w:rsidRPr="00C83068">
        <w:rPr>
          <w:rFonts w:ascii="Palatino Linotype" w:hAnsi="Palatino Linotype" w:cs="Arial"/>
          <w:color w:val="000000" w:themeColor="text1"/>
        </w:rPr>
        <w:t>evitar</w:t>
      </w:r>
      <w:r w:rsidRPr="00C83068">
        <w:rPr>
          <w:rFonts w:ascii="Palatino Linotype" w:hAnsi="Palatino Linotype"/>
        </w:rPr>
        <w:t xml:space="preserve">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44F5FE04" w14:textId="77777777" w:rsidR="001B29F5" w:rsidRPr="00C83068" w:rsidRDefault="001B29F5" w:rsidP="001B29F5">
      <w:pPr>
        <w:pStyle w:val="Prrafodelista"/>
        <w:tabs>
          <w:tab w:val="left" w:pos="0"/>
        </w:tabs>
        <w:spacing w:line="360" w:lineRule="auto"/>
        <w:ind w:left="0" w:right="49"/>
        <w:jc w:val="both"/>
        <w:rPr>
          <w:rFonts w:ascii="Palatino Linotype" w:hAnsi="Palatino Linotype"/>
        </w:rPr>
      </w:pPr>
    </w:p>
    <w:p w14:paraId="2C1EC73B" w14:textId="77777777" w:rsidR="001B29F5" w:rsidRPr="00C83068" w:rsidRDefault="001B29F5" w:rsidP="001B29F5">
      <w:pPr>
        <w:tabs>
          <w:tab w:val="left" w:pos="567"/>
        </w:tabs>
        <w:spacing w:line="360" w:lineRule="auto"/>
        <w:ind w:left="567" w:right="616"/>
        <w:jc w:val="center"/>
        <w:rPr>
          <w:rFonts w:ascii="Palatino Linotype" w:hAnsi="Palatino Linotype"/>
          <w:b/>
          <w:i/>
        </w:rPr>
      </w:pPr>
      <w:r w:rsidRPr="00C83068">
        <w:rPr>
          <w:rFonts w:ascii="Palatino Linotype" w:hAnsi="Palatino Linotype"/>
          <w:b/>
          <w:i/>
        </w:rPr>
        <w:t>Código de Procedimientos Administrativos del Estado de México.</w:t>
      </w:r>
    </w:p>
    <w:p w14:paraId="33CDEBDD" w14:textId="77777777" w:rsidR="001B29F5" w:rsidRPr="00C83068" w:rsidRDefault="001B29F5" w:rsidP="001B29F5">
      <w:pPr>
        <w:tabs>
          <w:tab w:val="left" w:pos="567"/>
          <w:tab w:val="left" w:pos="851"/>
        </w:tabs>
        <w:spacing w:line="276" w:lineRule="auto"/>
        <w:ind w:left="851" w:right="616"/>
        <w:jc w:val="both"/>
        <w:rPr>
          <w:rFonts w:ascii="Palatino Linotype" w:hAnsi="Palatino Linotype"/>
          <w:i/>
        </w:rPr>
      </w:pPr>
      <w:r w:rsidRPr="00C83068">
        <w:rPr>
          <w:rFonts w:ascii="Palatino Linotype" w:hAnsi="Palatino Linotype"/>
          <w:b/>
          <w:i/>
        </w:rPr>
        <w:t>“Artículo 18.-</w:t>
      </w:r>
      <w:r w:rsidRPr="00C83068">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DDE576C" w14:textId="77777777" w:rsidR="001B29F5" w:rsidRPr="00C83068" w:rsidRDefault="001B29F5" w:rsidP="001B29F5">
      <w:pPr>
        <w:tabs>
          <w:tab w:val="left" w:pos="567"/>
          <w:tab w:val="left" w:pos="851"/>
        </w:tabs>
        <w:spacing w:line="276" w:lineRule="auto"/>
        <w:ind w:left="851" w:right="616"/>
        <w:jc w:val="both"/>
        <w:rPr>
          <w:rFonts w:ascii="Palatino Linotype" w:hAnsi="Palatino Linotype"/>
          <w:i/>
        </w:rPr>
      </w:pPr>
    </w:p>
    <w:p w14:paraId="55CCB7C7" w14:textId="77777777" w:rsidR="001B29F5" w:rsidRPr="00C83068" w:rsidRDefault="001B29F5" w:rsidP="001B29F5">
      <w:pPr>
        <w:tabs>
          <w:tab w:val="left" w:pos="567"/>
        </w:tabs>
        <w:spacing w:line="360" w:lineRule="auto"/>
        <w:ind w:left="851" w:right="618"/>
        <w:jc w:val="both"/>
        <w:rPr>
          <w:rFonts w:ascii="Palatino Linotype" w:hAnsi="Palatino Linotype"/>
          <w:b/>
          <w:i/>
        </w:rPr>
      </w:pPr>
      <w:r w:rsidRPr="00C83068">
        <w:rPr>
          <w:rFonts w:ascii="Palatino Linotype" w:hAnsi="Palatino Linotype"/>
          <w:b/>
          <w:i/>
        </w:rPr>
        <w:t>Ley de Transparencia y Acceso a la Información Pública del Estado de México y Municipios</w:t>
      </w:r>
    </w:p>
    <w:p w14:paraId="29B33CB7" w14:textId="77777777" w:rsidR="001B29F5" w:rsidRPr="00C83068" w:rsidRDefault="001B29F5" w:rsidP="001B29F5">
      <w:pPr>
        <w:tabs>
          <w:tab w:val="left" w:pos="567"/>
        </w:tabs>
        <w:spacing w:line="360" w:lineRule="auto"/>
        <w:ind w:left="851" w:right="618"/>
        <w:jc w:val="both"/>
        <w:rPr>
          <w:rFonts w:ascii="Palatino Linotype" w:hAnsi="Palatino Linotype"/>
          <w:b/>
          <w:i/>
        </w:rPr>
      </w:pPr>
    </w:p>
    <w:p w14:paraId="5C2CEFC7" w14:textId="77777777" w:rsidR="001B29F5" w:rsidRPr="00C83068" w:rsidRDefault="001B29F5" w:rsidP="001B29F5">
      <w:pPr>
        <w:tabs>
          <w:tab w:val="left" w:pos="567"/>
        </w:tabs>
        <w:spacing w:line="360" w:lineRule="auto"/>
        <w:ind w:left="851" w:right="618"/>
        <w:jc w:val="both"/>
        <w:rPr>
          <w:rFonts w:ascii="Palatino Linotype" w:hAnsi="Palatino Linotype"/>
          <w:i/>
        </w:rPr>
      </w:pPr>
      <w:r w:rsidRPr="00C83068">
        <w:rPr>
          <w:rFonts w:ascii="Palatino Linotype" w:hAnsi="Palatino Linotype"/>
          <w:b/>
          <w:i/>
        </w:rPr>
        <w:t>“Artículo 195.</w:t>
      </w:r>
      <w:r w:rsidRPr="00C83068">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42F78115" w14:textId="77777777" w:rsidR="001B29F5" w:rsidRPr="00C83068" w:rsidRDefault="001B29F5" w:rsidP="001B29F5">
      <w:pPr>
        <w:tabs>
          <w:tab w:val="left" w:pos="567"/>
        </w:tabs>
        <w:spacing w:before="240" w:after="240" w:line="360" w:lineRule="auto"/>
        <w:ind w:left="851" w:right="-142"/>
        <w:contextualSpacing/>
        <w:jc w:val="both"/>
        <w:rPr>
          <w:rFonts w:ascii="Palatino Linotype" w:hAnsi="Palatino Linotype"/>
        </w:rPr>
      </w:pPr>
      <w:r w:rsidRPr="00C83068">
        <w:rPr>
          <w:rFonts w:ascii="Palatino Linotype" w:hAnsi="Palatino Linotype"/>
        </w:rPr>
        <w:t xml:space="preserve"> (Énfasis añadido)</w:t>
      </w:r>
    </w:p>
    <w:p w14:paraId="2C1FC9AA" w14:textId="5BFE11A8" w:rsidR="001B29F5" w:rsidRPr="00C83068" w:rsidRDefault="001B29F5" w:rsidP="00A236AD">
      <w:pPr>
        <w:pStyle w:val="Prrafodelista"/>
        <w:numPr>
          <w:ilvl w:val="0"/>
          <w:numId w:val="7"/>
        </w:numPr>
        <w:spacing w:line="360" w:lineRule="auto"/>
        <w:ind w:left="0" w:firstLine="0"/>
        <w:jc w:val="both"/>
        <w:rPr>
          <w:rFonts w:ascii="Palatino Linotype" w:hAnsi="Palatino Linotype"/>
          <w:i/>
        </w:rPr>
      </w:pPr>
      <w:r w:rsidRPr="00C83068">
        <w:rPr>
          <w:rFonts w:ascii="Palatino Linotype" w:eastAsia="Calibri" w:hAnsi="Palatino Linotype" w:cs="Arial"/>
        </w:rPr>
        <w:lastRenderedPageBreak/>
        <w:t xml:space="preserve">Los Comisionados Ponentes de origen con fundamento en lo dispuesto por el artículo 185 fracción II de la ley de la materia, a través de los acuerdos de admisión de fecha </w:t>
      </w:r>
      <w:r w:rsidR="00A236AD" w:rsidRPr="00C83068">
        <w:rPr>
          <w:rFonts w:ascii="Palatino Linotype" w:eastAsia="Calibri" w:hAnsi="Palatino Linotype" w:cs="Arial"/>
        </w:rPr>
        <w:t>dos</w:t>
      </w:r>
      <w:r w:rsidRPr="00C83068">
        <w:rPr>
          <w:rFonts w:ascii="Palatino Linotype" w:eastAsia="Calibri" w:hAnsi="Palatino Linotype" w:cs="Arial"/>
        </w:rPr>
        <w:t xml:space="preserve"> (</w:t>
      </w:r>
      <w:r w:rsidR="00A236AD" w:rsidRPr="00C83068">
        <w:rPr>
          <w:rFonts w:ascii="Palatino Linotype" w:eastAsia="Calibri" w:hAnsi="Palatino Linotype" w:cs="Arial"/>
        </w:rPr>
        <w:t>02</w:t>
      </w:r>
      <w:r w:rsidRPr="00C83068">
        <w:rPr>
          <w:rFonts w:ascii="Palatino Linotype" w:eastAsia="Calibri" w:hAnsi="Palatino Linotype" w:cs="Arial"/>
        </w:rPr>
        <w:t xml:space="preserve">) de </w:t>
      </w:r>
      <w:r w:rsidR="00A236AD" w:rsidRPr="00C83068">
        <w:rPr>
          <w:rFonts w:ascii="Palatino Linotype" w:eastAsia="Calibri" w:hAnsi="Palatino Linotype" w:cs="Arial"/>
        </w:rPr>
        <w:t>may</w:t>
      </w:r>
      <w:r w:rsidRPr="00C83068">
        <w:rPr>
          <w:rFonts w:ascii="Palatino Linotype" w:eastAsia="Calibri" w:hAnsi="Palatino Linotype" w:cs="Arial"/>
        </w:rPr>
        <w:t>o de dos mil veintidós, pusieron a disposición de las partes los expedientes electrónicos vía Sistema de Acceso a la Información Mexiquense (</w:t>
      </w:r>
      <w:r w:rsidRPr="00C83068">
        <w:rPr>
          <w:rFonts w:ascii="Palatino Linotype" w:eastAsia="Calibri" w:hAnsi="Palatino Linotype" w:cs="Arial"/>
          <w:b/>
        </w:rPr>
        <w:t xml:space="preserve">SAIMEX) </w:t>
      </w:r>
      <w:r w:rsidRPr="00C83068">
        <w:rPr>
          <w:rFonts w:ascii="Palatino Linotype" w:eastAsia="Calibri" w:hAnsi="Palatino Linotype" w:cs="Arial"/>
        </w:rPr>
        <w:t xml:space="preserve">a efecto de que en un plazo máximo de siete (07) días manifestaran lo que a derecho convinieran, ofrecieran pruebas y alegatos según corresponda al caso concreto, de esta forma para que el </w:t>
      </w:r>
      <w:r w:rsidRPr="00C83068">
        <w:rPr>
          <w:rFonts w:ascii="Palatino Linotype" w:eastAsia="Calibri" w:hAnsi="Palatino Linotype" w:cs="Arial"/>
          <w:b/>
        </w:rPr>
        <w:t>SUJETO OBLIGADO</w:t>
      </w:r>
      <w:r w:rsidRPr="00C83068">
        <w:rPr>
          <w:rFonts w:ascii="Palatino Linotype" w:eastAsia="Calibri" w:hAnsi="Palatino Linotype" w:cs="Arial"/>
        </w:rPr>
        <w:t xml:space="preserve"> presentará el Informe Justificado correspondiente.</w:t>
      </w:r>
    </w:p>
    <w:p w14:paraId="5A8839BA" w14:textId="77777777" w:rsidR="001B29F5" w:rsidRPr="00C83068" w:rsidRDefault="001B29F5" w:rsidP="001B29F5">
      <w:pPr>
        <w:spacing w:line="360" w:lineRule="auto"/>
        <w:contextualSpacing/>
        <w:jc w:val="both"/>
        <w:rPr>
          <w:rFonts w:ascii="Palatino Linotype" w:hAnsi="Palatino Linotype"/>
          <w:i/>
        </w:rPr>
      </w:pPr>
    </w:p>
    <w:p w14:paraId="371B6C89" w14:textId="235EBE15" w:rsidR="001B29F5" w:rsidRPr="00C83068" w:rsidRDefault="001B29F5" w:rsidP="00A236AD">
      <w:pPr>
        <w:pStyle w:val="Prrafodelista"/>
        <w:numPr>
          <w:ilvl w:val="0"/>
          <w:numId w:val="7"/>
        </w:numPr>
        <w:spacing w:line="360" w:lineRule="auto"/>
        <w:ind w:left="0" w:firstLine="0"/>
        <w:jc w:val="both"/>
        <w:rPr>
          <w:rFonts w:ascii="Palatino Linotype" w:hAnsi="Palatino Linotype"/>
          <w:i/>
        </w:rPr>
      </w:pPr>
      <w:r w:rsidRPr="00C83068">
        <w:rPr>
          <w:rFonts w:ascii="Palatino Linotype" w:eastAsia="Calibri" w:hAnsi="Palatino Linotype" w:cs="Arial"/>
        </w:rPr>
        <w:t>El</w:t>
      </w:r>
      <w:r w:rsidRPr="00C83068">
        <w:rPr>
          <w:rFonts w:ascii="Palatino Linotype" w:hAnsi="Palatino Linotype"/>
        </w:rPr>
        <w:t xml:space="preserve"> </w:t>
      </w:r>
      <w:r w:rsidRPr="00C83068">
        <w:rPr>
          <w:rFonts w:ascii="Palatino Linotype" w:hAnsi="Palatino Linotype"/>
          <w:b/>
        </w:rPr>
        <w:t>SUJETO OBLIGADO</w:t>
      </w:r>
      <w:r w:rsidRPr="00C83068">
        <w:rPr>
          <w:rFonts w:ascii="Palatino Linotype" w:hAnsi="Palatino Linotype"/>
        </w:rPr>
        <w:t xml:space="preserve">, el día </w:t>
      </w:r>
      <w:r w:rsidR="00A236AD" w:rsidRPr="00C83068">
        <w:rPr>
          <w:rFonts w:ascii="Palatino Linotype" w:hAnsi="Palatino Linotype"/>
        </w:rPr>
        <w:t>diecisiete</w:t>
      </w:r>
      <w:r w:rsidRPr="00C83068">
        <w:rPr>
          <w:rFonts w:ascii="Palatino Linotype" w:hAnsi="Palatino Linotype"/>
        </w:rPr>
        <w:t xml:space="preserve"> (</w:t>
      </w:r>
      <w:r w:rsidR="00A236AD" w:rsidRPr="00C83068">
        <w:rPr>
          <w:rFonts w:ascii="Palatino Linotype" w:hAnsi="Palatino Linotype"/>
        </w:rPr>
        <w:t>17</w:t>
      </w:r>
      <w:r w:rsidRPr="00C83068">
        <w:rPr>
          <w:rFonts w:ascii="Palatino Linotype" w:hAnsi="Palatino Linotype"/>
        </w:rPr>
        <w:t xml:space="preserve">) de </w:t>
      </w:r>
      <w:r w:rsidR="00A236AD" w:rsidRPr="00C83068">
        <w:rPr>
          <w:rFonts w:ascii="Palatino Linotype" w:hAnsi="Palatino Linotype"/>
        </w:rPr>
        <w:t>may</w:t>
      </w:r>
      <w:r w:rsidRPr="00C83068">
        <w:rPr>
          <w:rFonts w:ascii="Palatino Linotype" w:hAnsi="Palatino Linotype"/>
        </w:rPr>
        <w:t xml:space="preserve">o de 2022, rindió </w:t>
      </w:r>
      <w:r w:rsidR="00A236AD" w:rsidRPr="00C83068">
        <w:rPr>
          <w:rFonts w:ascii="Palatino Linotype" w:hAnsi="Palatino Linotype"/>
        </w:rPr>
        <w:t xml:space="preserve">los </w:t>
      </w:r>
      <w:r w:rsidRPr="00C83068">
        <w:rPr>
          <w:rFonts w:ascii="Palatino Linotype" w:hAnsi="Palatino Linotype"/>
        </w:rPr>
        <w:t xml:space="preserve">informes justificados en los recursos de revisión </w:t>
      </w:r>
      <w:r w:rsidR="00A236AD" w:rsidRPr="00C83068">
        <w:rPr>
          <w:rFonts w:ascii="Palatino Linotype" w:hAnsi="Palatino Linotype"/>
        </w:rPr>
        <w:t>objeto de acumulación</w:t>
      </w:r>
      <w:r w:rsidRPr="00C83068">
        <w:rPr>
          <w:rFonts w:ascii="Palatino Linotype" w:hAnsi="Palatino Linotype"/>
        </w:rPr>
        <w:t xml:space="preserve">, los cuales fueron puestos a disposición del particular mediante acuerdo de fecha veintinueve (29) </w:t>
      </w:r>
      <w:r w:rsidR="00A236AD" w:rsidRPr="00C83068">
        <w:rPr>
          <w:rFonts w:ascii="Palatino Linotype" w:hAnsi="Palatino Linotype"/>
        </w:rPr>
        <w:t xml:space="preserve">de junio </w:t>
      </w:r>
      <w:r w:rsidRPr="00C83068">
        <w:rPr>
          <w:rFonts w:ascii="Palatino Linotype" w:hAnsi="Palatino Linotype"/>
        </w:rPr>
        <w:t xml:space="preserve">del mismo año. Por su parte el </w:t>
      </w:r>
      <w:r w:rsidRPr="00C83068">
        <w:rPr>
          <w:rFonts w:ascii="Palatino Linotype" w:hAnsi="Palatino Linotype"/>
          <w:b/>
        </w:rPr>
        <w:t xml:space="preserve">RECURRENTE </w:t>
      </w:r>
      <w:r w:rsidRPr="00C83068">
        <w:rPr>
          <w:rFonts w:ascii="Palatino Linotype" w:hAnsi="Palatino Linotype"/>
        </w:rPr>
        <w:t>no presentó alegatos ni ofreció medios de pruebas que a su derecho conviniera y asistiera.</w:t>
      </w:r>
    </w:p>
    <w:p w14:paraId="321FA70D" w14:textId="77777777" w:rsidR="001B29F5" w:rsidRPr="00C83068" w:rsidRDefault="001B29F5" w:rsidP="001B29F5">
      <w:pPr>
        <w:pStyle w:val="Prrafodelista"/>
        <w:rPr>
          <w:rFonts w:ascii="Palatino Linotype" w:hAnsi="Palatino Linotype"/>
          <w:i/>
        </w:rPr>
      </w:pPr>
    </w:p>
    <w:p w14:paraId="2FA1AAE8" w14:textId="49F62B53" w:rsidR="00EE0F47" w:rsidRPr="00C83068" w:rsidRDefault="001B29F5" w:rsidP="00A236AD">
      <w:pPr>
        <w:pStyle w:val="Prrafodelista"/>
        <w:numPr>
          <w:ilvl w:val="0"/>
          <w:numId w:val="7"/>
        </w:numPr>
        <w:spacing w:line="360" w:lineRule="auto"/>
        <w:ind w:left="0" w:firstLine="0"/>
        <w:jc w:val="both"/>
        <w:rPr>
          <w:rFonts w:ascii="Palatino Linotype" w:eastAsia="Calibri" w:hAnsi="Palatino Linotype" w:cs="Arial"/>
        </w:rPr>
      </w:pPr>
      <w:r w:rsidRPr="00C83068">
        <w:rPr>
          <w:rFonts w:ascii="Palatino Linotype" w:eastAsia="Calibri" w:hAnsi="Palatino Linotype" w:cs="Arial"/>
        </w:rPr>
        <w:t>Se</w:t>
      </w:r>
      <w:r w:rsidRPr="00C83068">
        <w:rPr>
          <w:rFonts w:ascii="Palatino Linotype" w:hAnsi="Palatino Linotype"/>
        </w:rPr>
        <w:t xml:space="preserve"> decretaron los cierres de instrucción</w:t>
      </w:r>
      <w:r w:rsidRPr="00C83068">
        <w:rPr>
          <w:rFonts w:ascii="Palatino Linotype" w:hAnsi="Palatino Linotype" w:cs="Arial"/>
        </w:rPr>
        <w:t xml:space="preserve"> </w:t>
      </w:r>
      <w:r w:rsidRPr="00C83068">
        <w:rPr>
          <w:rFonts w:ascii="Palatino Linotype" w:hAnsi="Palatino Linotype"/>
        </w:rPr>
        <w:t xml:space="preserve">mediante Acuerdo de fecha </w:t>
      </w:r>
      <w:r w:rsidR="00A236AD" w:rsidRPr="00C83068">
        <w:rPr>
          <w:rFonts w:ascii="Palatino Linotype" w:hAnsi="Palatino Linotype"/>
        </w:rPr>
        <w:t>cinco</w:t>
      </w:r>
      <w:r w:rsidRPr="00C83068">
        <w:rPr>
          <w:rFonts w:ascii="Palatino Linotype" w:hAnsi="Palatino Linotype"/>
        </w:rPr>
        <w:t xml:space="preserve"> (0</w:t>
      </w:r>
      <w:r w:rsidR="00A236AD" w:rsidRPr="00C83068">
        <w:rPr>
          <w:rFonts w:ascii="Palatino Linotype" w:hAnsi="Palatino Linotype"/>
        </w:rPr>
        <w:t>5</w:t>
      </w:r>
      <w:r w:rsidRPr="00C83068">
        <w:rPr>
          <w:rFonts w:ascii="Palatino Linotype" w:hAnsi="Palatino Linotype"/>
        </w:rPr>
        <w:t xml:space="preserve">) de </w:t>
      </w:r>
      <w:r w:rsidR="00A236AD" w:rsidRPr="00C83068">
        <w:rPr>
          <w:rFonts w:ascii="Palatino Linotype" w:hAnsi="Palatino Linotype"/>
        </w:rPr>
        <w:t>julio</w:t>
      </w:r>
      <w:r w:rsidRPr="00C83068">
        <w:rPr>
          <w:rFonts w:ascii="Palatino Linotype" w:hAnsi="Palatino Linotype"/>
        </w:rPr>
        <w:t xml:space="preserve"> de dos mil veintidós; asimismo, mediante Acuerdo de misma fecha, se amplió el termino para resolver, </w:t>
      </w:r>
      <w:r w:rsidRPr="00C83068">
        <w:rPr>
          <w:rFonts w:ascii="Palatino Linotype" w:eastAsia="MS Mincho" w:hAnsi="Palatino Linotype"/>
        </w:rPr>
        <w:t xml:space="preserve">por lo que no existiendo diligencias por practicar, se ordenó turnar el </w:t>
      </w:r>
      <w:r w:rsidRPr="00C83068">
        <w:rPr>
          <w:rFonts w:ascii="Palatino Linotype" w:eastAsia="MS Mincho" w:hAnsi="Palatino Linotype" w:cs="Arial"/>
        </w:rPr>
        <w:t>expediente a resolución, misma que a continuación se pronuncia, y------------------------------------------------------------------------------------------------------------</w:t>
      </w:r>
    </w:p>
    <w:p w14:paraId="425AF908" w14:textId="69A958DC" w:rsidR="009417CA" w:rsidRPr="00C83068" w:rsidRDefault="009417CA" w:rsidP="00BE1923">
      <w:pPr>
        <w:pStyle w:val="Ttulo1"/>
        <w:spacing w:before="0" w:line="360" w:lineRule="auto"/>
        <w:jc w:val="center"/>
        <w:rPr>
          <w:rFonts w:ascii="Palatino Linotype" w:hAnsi="Palatino Linotype"/>
          <w:b/>
          <w:color w:val="000000" w:themeColor="text1"/>
          <w:sz w:val="28"/>
        </w:rPr>
      </w:pPr>
      <w:bookmarkStart w:id="73" w:name="_Toc87274186"/>
      <w:r w:rsidRPr="00C83068">
        <w:rPr>
          <w:rFonts w:ascii="Palatino Linotype" w:hAnsi="Palatino Linotype"/>
          <w:b/>
          <w:color w:val="000000" w:themeColor="text1"/>
          <w:sz w:val="28"/>
        </w:rPr>
        <w:t>CONSIDERANDO</w:t>
      </w:r>
      <w:bookmarkEnd w:id="73"/>
    </w:p>
    <w:p w14:paraId="6B045C1B" w14:textId="77777777" w:rsidR="00BE1923" w:rsidRPr="00C83068" w:rsidRDefault="00BE1923" w:rsidP="00BE1923">
      <w:pPr>
        <w:pStyle w:val="Ttulo2"/>
        <w:spacing w:before="0" w:line="360" w:lineRule="auto"/>
        <w:rPr>
          <w:rFonts w:ascii="Palatino Linotype" w:hAnsi="Palatino Linotype"/>
          <w:b/>
          <w:color w:val="auto"/>
          <w:sz w:val="24"/>
          <w:szCs w:val="24"/>
        </w:rPr>
      </w:pPr>
      <w:bookmarkStart w:id="74" w:name="_Toc491791303"/>
      <w:bookmarkStart w:id="75" w:name="_Toc74778593"/>
    </w:p>
    <w:p w14:paraId="0EE6D2B8" w14:textId="77777777" w:rsidR="009417CA" w:rsidRPr="00C83068" w:rsidRDefault="009417CA" w:rsidP="00BE1923">
      <w:pPr>
        <w:pStyle w:val="Ttulo2"/>
        <w:spacing w:before="0" w:line="360" w:lineRule="auto"/>
        <w:rPr>
          <w:rFonts w:ascii="Palatino Linotype" w:hAnsi="Palatino Linotype"/>
          <w:b/>
          <w:color w:val="auto"/>
          <w:sz w:val="24"/>
          <w:szCs w:val="24"/>
        </w:rPr>
      </w:pPr>
      <w:bookmarkStart w:id="76" w:name="_Toc87274187"/>
      <w:r w:rsidRPr="00C83068">
        <w:rPr>
          <w:rFonts w:ascii="Palatino Linotype" w:hAnsi="Palatino Linotype"/>
          <w:b/>
          <w:color w:val="auto"/>
          <w:sz w:val="24"/>
          <w:szCs w:val="24"/>
        </w:rPr>
        <w:t>PRIMERO. De la competencia</w:t>
      </w:r>
      <w:bookmarkEnd w:id="74"/>
      <w:bookmarkEnd w:id="75"/>
      <w:bookmarkEnd w:id="76"/>
    </w:p>
    <w:p w14:paraId="482E8AC6" w14:textId="77777777" w:rsidR="009417CA" w:rsidRPr="00C83068" w:rsidRDefault="009417CA" w:rsidP="00BE1923">
      <w:pPr>
        <w:spacing w:line="360" w:lineRule="auto"/>
        <w:rPr>
          <w:rFonts w:ascii="Palatino Linotype" w:hAnsi="Palatino Linotype"/>
          <w:lang w:eastAsia="en-US"/>
        </w:rPr>
      </w:pPr>
    </w:p>
    <w:p w14:paraId="3C8EB508" w14:textId="1478EE7C" w:rsidR="009417CA" w:rsidRPr="00C83068"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C83068"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77" w:name="_Toc80699770"/>
      <w:bookmarkStart w:id="78" w:name="_Toc81260548"/>
    </w:p>
    <w:p w14:paraId="775CEE32" w14:textId="50DEE960" w:rsidR="009417CA" w:rsidRPr="00C83068"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79" w:name="_Toc87274188"/>
      <w:r w:rsidRPr="00C83068">
        <w:rPr>
          <w:rFonts w:ascii="Palatino Linotype" w:hAnsi="Palatino Linotype"/>
          <w:b/>
          <w:bCs/>
          <w:color w:val="000000" w:themeColor="text1"/>
        </w:rPr>
        <w:t>SEGUNDO.</w:t>
      </w:r>
      <w:bookmarkStart w:id="80" w:name="_Toc491791304"/>
      <w:bookmarkStart w:id="81" w:name="_Toc74778594"/>
      <w:bookmarkEnd w:id="77"/>
      <w:bookmarkEnd w:id="78"/>
      <w:r w:rsidR="009417CA" w:rsidRPr="00C83068">
        <w:rPr>
          <w:rFonts w:ascii="Palatino Linotype" w:hAnsi="Palatino Linotype"/>
          <w:b/>
          <w:color w:val="000000" w:themeColor="text1"/>
        </w:rPr>
        <w:t xml:space="preserve"> De la oportunidad y procedencia.</w:t>
      </w:r>
      <w:bookmarkEnd w:id="79"/>
      <w:bookmarkEnd w:id="80"/>
      <w:bookmarkEnd w:id="81"/>
    </w:p>
    <w:p w14:paraId="432ADE56" w14:textId="77777777" w:rsidR="009417CA" w:rsidRPr="00C83068" w:rsidRDefault="009417CA" w:rsidP="00BE1923">
      <w:pPr>
        <w:spacing w:line="360" w:lineRule="auto"/>
        <w:rPr>
          <w:rFonts w:ascii="Palatino Linotype" w:hAnsi="Palatino Linotype"/>
          <w:lang w:eastAsia="en-US"/>
        </w:rPr>
      </w:pPr>
    </w:p>
    <w:p w14:paraId="30820BC9" w14:textId="0056A55B" w:rsidR="00F17E65" w:rsidRPr="00C83068"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82" w:name="_Toc521431830"/>
      <w:bookmarkStart w:id="83" w:name="_Toc27653760"/>
      <w:r w:rsidRPr="00C83068">
        <w:rPr>
          <w:rFonts w:ascii="Palatino Linotype" w:eastAsia="Calibri" w:hAnsi="Palatino Linotype" w:cs="Arial"/>
        </w:rPr>
        <w:t xml:space="preserve">El medio de impugnación fue presentado a través del </w:t>
      </w:r>
      <w:r w:rsidR="007A69F1" w:rsidRPr="00C83068">
        <w:rPr>
          <w:rFonts w:ascii="Palatino Linotype" w:eastAsia="Calibri" w:hAnsi="Palatino Linotype" w:cs="Arial"/>
          <w:b/>
        </w:rPr>
        <w:t>SAIMEX</w:t>
      </w:r>
      <w:r w:rsidRPr="00C83068">
        <w:rPr>
          <w:rFonts w:ascii="Palatino Linotype" w:eastAsia="Calibri" w:hAnsi="Palatino Linotype" w:cs="Arial"/>
          <w:b/>
        </w:rPr>
        <w:t>,</w:t>
      </w:r>
      <w:r w:rsidRPr="00C8306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83068">
        <w:rPr>
          <w:rFonts w:ascii="Palatino Linotype" w:eastAsia="Calibri" w:hAnsi="Palatino Linotype" w:cs="Arial"/>
          <w:b/>
        </w:rPr>
        <w:t>SUJETO OBLIGADO</w:t>
      </w:r>
      <w:r w:rsidR="00BF45DC" w:rsidRPr="00C83068">
        <w:rPr>
          <w:rFonts w:ascii="Palatino Linotype" w:eastAsia="Calibri" w:hAnsi="Palatino Linotype" w:cs="Arial"/>
        </w:rPr>
        <w:t xml:space="preserve"> entregó</w:t>
      </w:r>
      <w:r w:rsidRPr="00C83068">
        <w:rPr>
          <w:rFonts w:ascii="Palatino Linotype" w:eastAsia="Calibri" w:hAnsi="Palatino Linotype" w:cs="Arial"/>
        </w:rPr>
        <w:t xml:space="preserve"> su</w:t>
      </w:r>
      <w:r w:rsidR="003012F8" w:rsidRPr="00C83068">
        <w:rPr>
          <w:rFonts w:ascii="Palatino Linotype" w:eastAsia="Calibri" w:hAnsi="Palatino Linotype" w:cs="Arial"/>
        </w:rPr>
        <w:t>s</w:t>
      </w:r>
      <w:r w:rsidRPr="00C83068">
        <w:rPr>
          <w:rFonts w:ascii="Palatino Linotype" w:eastAsia="Calibri" w:hAnsi="Palatino Linotype" w:cs="Arial"/>
        </w:rPr>
        <w:t xml:space="preserve"> respuesta el día </w:t>
      </w:r>
      <w:r w:rsidR="003012F8" w:rsidRPr="00C83068">
        <w:rPr>
          <w:rFonts w:ascii="Palatino Linotype" w:eastAsia="Calibri" w:hAnsi="Palatino Linotype" w:cs="Arial"/>
        </w:rPr>
        <w:t>veinticinco</w:t>
      </w:r>
      <w:r w:rsidRPr="00C83068">
        <w:rPr>
          <w:rFonts w:ascii="Palatino Linotype" w:eastAsia="Calibri" w:hAnsi="Palatino Linotype" w:cs="Arial"/>
        </w:rPr>
        <w:t xml:space="preserve"> (</w:t>
      </w:r>
      <w:r w:rsidR="003012F8" w:rsidRPr="00C83068">
        <w:rPr>
          <w:rFonts w:ascii="Palatino Linotype" w:eastAsia="Calibri" w:hAnsi="Palatino Linotype" w:cs="Arial"/>
        </w:rPr>
        <w:t>25</w:t>
      </w:r>
      <w:r w:rsidRPr="00C83068">
        <w:rPr>
          <w:rFonts w:ascii="Palatino Linotype" w:eastAsia="Calibri" w:hAnsi="Palatino Linotype" w:cs="Arial"/>
        </w:rPr>
        <w:t xml:space="preserve">) de </w:t>
      </w:r>
      <w:r w:rsidR="003012F8" w:rsidRPr="00C83068">
        <w:rPr>
          <w:rFonts w:ascii="Palatino Linotype" w:eastAsia="Calibri" w:hAnsi="Palatino Linotype" w:cs="Arial"/>
        </w:rPr>
        <w:t>abril</w:t>
      </w:r>
      <w:r w:rsidRPr="00C83068">
        <w:rPr>
          <w:rFonts w:ascii="Palatino Linotype" w:eastAsia="Calibri" w:hAnsi="Palatino Linotype" w:cs="Arial"/>
        </w:rPr>
        <w:t xml:space="preserve"> de dos mil </w:t>
      </w:r>
      <w:r w:rsidR="004F32F2" w:rsidRPr="00C83068">
        <w:rPr>
          <w:rFonts w:ascii="Palatino Linotype" w:eastAsia="Calibri" w:hAnsi="Palatino Linotype" w:cs="Arial"/>
        </w:rPr>
        <w:t>veintidós</w:t>
      </w:r>
      <w:r w:rsidRPr="00C83068">
        <w:rPr>
          <w:rFonts w:ascii="Palatino Linotype" w:eastAsia="Calibri" w:hAnsi="Palatino Linotype" w:cs="Arial"/>
        </w:rPr>
        <w:t xml:space="preserve">, </w:t>
      </w:r>
      <w:r w:rsidRPr="00C83068">
        <w:rPr>
          <w:rFonts w:ascii="Palatino Linotype" w:hAnsi="Palatino Linotype" w:cs="Arial"/>
        </w:rPr>
        <w:t xml:space="preserve">de tal forma que el plazo para interponer el recurso transcurrió del día </w:t>
      </w:r>
      <w:r w:rsidR="003012F8" w:rsidRPr="00C83068">
        <w:rPr>
          <w:rFonts w:ascii="Palatino Linotype" w:hAnsi="Palatino Linotype" w:cs="Arial"/>
        </w:rPr>
        <w:t>veintiséis</w:t>
      </w:r>
      <w:r w:rsidRPr="00C83068">
        <w:rPr>
          <w:rFonts w:ascii="Palatino Linotype" w:hAnsi="Palatino Linotype" w:cs="Arial"/>
        </w:rPr>
        <w:t xml:space="preserve"> (</w:t>
      </w:r>
      <w:r w:rsidR="003012F8" w:rsidRPr="00C83068">
        <w:rPr>
          <w:rFonts w:ascii="Palatino Linotype" w:hAnsi="Palatino Linotype" w:cs="Arial"/>
        </w:rPr>
        <w:t>26</w:t>
      </w:r>
      <w:r w:rsidRPr="00C83068">
        <w:rPr>
          <w:rFonts w:ascii="Palatino Linotype" w:hAnsi="Palatino Linotype" w:cs="Arial"/>
        </w:rPr>
        <w:t>)</w:t>
      </w:r>
      <w:r w:rsidR="00006DF7" w:rsidRPr="00C83068">
        <w:rPr>
          <w:rFonts w:ascii="Palatino Linotype" w:hAnsi="Palatino Linotype" w:cs="Arial"/>
        </w:rPr>
        <w:t xml:space="preserve"> </w:t>
      </w:r>
      <w:r w:rsidR="003012F8" w:rsidRPr="00C83068">
        <w:rPr>
          <w:rFonts w:ascii="Palatino Linotype" w:hAnsi="Palatino Linotype" w:cs="Arial"/>
        </w:rPr>
        <w:t>de abril</w:t>
      </w:r>
      <w:r w:rsidR="004F32F2" w:rsidRPr="00C83068">
        <w:rPr>
          <w:rFonts w:ascii="Palatino Linotype" w:hAnsi="Palatino Linotype" w:cs="Arial"/>
        </w:rPr>
        <w:t xml:space="preserve"> </w:t>
      </w:r>
      <w:r w:rsidRPr="00C83068">
        <w:rPr>
          <w:rFonts w:ascii="Palatino Linotype" w:hAnsi="Palatino Linotype" w:cs="Arial"/>
        </w:rPr>
        <w:t xml:space="preserve">de dos mil </w:t>
      </w:r>
      <w:r w:rsidR="00ED68FE" w:rsidRPr="00C83068">
        <w:rPr>
          <w:rFonts w:ascii="Palatino Linotype" w:hAnsi="Palatino Linotype" w:cs="Arial"/>
        </w:rPr>
        <w:t>veintidós</w:t>
      </w:r>
      <w:r w:rsidR="003012F8" w:rsidRPr="00C83068">
        <w:rPr>
          <w:rFonts w:ascii="Palatino Linotype" w:hAnsi="Palatino Linotype" w:cs="Arial"/>
        </w:rPr>
        <w:t xml:space="preserve"> al diecisiete (17) de mayo del mismo año</w:t>
      </w:r>
      <w:r w:rsidRPr="00C83068">
        <w:rPr>
          <w:rFonts w:ascii="Palatino Linotype" w:hAnsi="Palatino Linotype" w:cs="Arial"/>
        </w:rPr>
        <w:t xml:space="preserve">; en consecuencia, </w:t>
      </w:r>
      <w:r w:rsidR="004F32F2" w:rsidRPr="00C83068">
        <w:rPr>
          <w:rFonts w:ascii="Palatino Linotype" w:hAnsi="Palatino Linotype" w:cs="Arial"/>
        </w:rPr>
        <w:t>e</w:t>
      </w:r>
      <w:r w:rsidRPr="00C83068">
        <w:rPr>
          <w:rFonts w:ascii="Palatino Linotype" w:hAnsi="Palatino Linotype" w:cs="Arial"/>
        </w:rPr>
        <w:t>l ahora recurrente presentó su</w:t>
      </w:r>
      <w:r w:rsidR="003012F8" w:rsidRPr="00C83068">
        <w:rPr>
          <w:rFonts w:ascii="Palatino Linotype" w:hAnsi="Palatino Linotype" w:cs="Arial"/>
        </w:rPr>
        <w:t>s</w:t>
      </w:r>
      <w:r w:rsidRPr="00C83068">
        <w:rPr>
          <w:rFonts w:ascii="Palatino Linotype" w:hAnsi="Palatino Linotype" w:cs="Arial"/>
        </w:rPr>
        <w:t xml:space="preserve"> inconformidad</w:t>
      </w:r>
      <w:r w:rsidR="003012F8" w:rsidRPr="00C83068">
        <w:rPr>
          <w:rFonts w:ascii="Palatino Linotype" w:hAnsi="Palatino Linotype" w:cs="Arial"/>
        </w:rPr>
        <w:t>es</w:t>
      </w:r>
      <w:r w:rsidRPr="00C83068">
        <w:rPr>
          <w:rFonts w:ascii="Palatino Linotype" w:hAnsi="Palatino Linotype" w:cs="Arial"/>
        </w:rPr>
        <w:t xml:space="preserve"> el día </w:t>
      </w:r>
      <w:r w:rsidR="003012F8" w:rsidRPr="00C83068">
        <w:rPr>
          <w:rFonts w:ascii="Palatino Linotype" w:hAnsi="Palatino Linotype" w:cs="Arial"/>
        </w:rPr>
        <w:t>veintisiete</w:t>
      </w:r>
      <w:r w:rsidR="007948A7" w:rsidRPr="00C83068">
        <w:rPr>
          <w:rFonts w:ascii="Palatino Linotype" w:hAnsi="Palatino Linotype" w:cs="Arial"/>
        </w:rPr>
        <w:t xml:space="preserve"> </w:t>
      </w:r>
      <w:r w:rsidRPr="00C83068">
        <w:rPr>
          <w:rFonts w:ascii="Palatino Linotype" w:hAnsi="Palatino Linotype" w:cs="Arial"/>
        </w:rPr>
        <w:t>(</w:t>
      </w:r>
      <w:r w:rsidR="003012F8" w:rsidRPr="00C83068">
        <w:rPr>
          <w:rFonts w:ascii="Palatino Linotype" w:hAnsi="Palatino Linotype" w:cs="Arial"/>
        </w:rPr>
        <w:t>27</w:t>
      </w:r>
      <w:r w:rsidRPr="00C83068">
        <w:rPr>
          <w:rFonts w:ascii="Palatino Linotype" w:hAnsi="Palatino Linotype" w:cs="Arial"/>
        </w:rPr>
        <w:t>) de</w:t>
      </w:r>
      <w:r w:rsidR="00DB5531" w:rsidRPr="00C83068">
        <w:rPr>
          <w:rFonts w:ascii="Palatino Linotype" w:hAnsi="Palatino Linotype" w:cs="Arial"/>
        </w:rPr>
        <w:t xml:space="preserve"> </w:t>
      </w:r>
      <w:r w:rsidR="003012F8" w:rsidRPr="00C83068">
        <w:rPr>
          <w:rFonts w:ascii="Palatino Linotype" w:hAnsi="Palatino Linotype" w:cs="Arial"/>
        </w:rPr>
        <w:t>abril</w:t>
      </w:r>
      <w:r w:rsidRPr="00C83068">
        <w:rPr>
          <w:rFonts w:ascii="Palatino Linotype" w:hAnsi="Palatino Linotype" w:cs="Arial"/>
        </w:rPr>
        <w:t xml:space="preserve"> de </w:t>
      </w:r>
      <w:r w:rsidRPr="00C83068">
        <w:rPr>
          <w:rFonts w:ascii="Palatino Linotype" w:hAnsi="Palatino Linotype" w:cs="Arial"/>
        </w:rPr>
        <w:lastRenderedPageBreak/>
        <w:t xml:space="preserve">dos mil </w:t>
      </w:r>
      <w:r w:rsidR="00BC4CE2" w:rsidRPr="00C83068">
        <w:rPr>
          <w:rFonts w:ascii="Palatino Linotype" w:hAnsi="Palatino Linotype" w:cs="Arial"/>
        </w:rPr>
        <w:t>veintidós</w:t>
      </w:r>
      <w:r w:rsidRPr="00C83068">
        <w:rPr>
          <w:rFonts w:ascii="Palatino Linotype" w:hAnsi="Palatino Linotype" w:cs="Arial"/>
        </w:rPr>
        <w:t xml:space="preserve">; es decir </w:t>
      </w:r>
      <w:r w:rsidR="0034421A" w:rsidRPr="00C83068">
        <w:rPr>
          <w:rFonts w:ascii="Palatino Linotype" w:hAnsi="Palatino Linotype" w:cs="Arial"/>
        </w:rPr>
        <w:t>dentro del lapso temporal legalmente establecido para tal efecto</w:t>
      </w:r>
      <w:r w:rsidR="00F17E65" w:rsidRPr="00C83068">
        <w:rPr>
          <w:rFonts w:ascii="Palatino Linotype" w:hAnsi="Palatino Linotype"/>
          <w:lang w:val="es-MX"/>
        </w:rPr>
        <w:t>.</w:t>
      </w:r>
    </w:p>
    <w:p w14:paraId="4224AF31" w14:textId="77777777" w:rsidR="004F32F2" w:rsidRPr="00C83068" w:rsidRDefault="004F32F2" w:rsidP="004F32F2">
      <w:pPr>
        <w:pStyle w:val="Prrafodelista"/>
        <w:spacing w:line="360" w:lineRule="auto"/>
        <w:ind w:left="0"/>
        <w:jc w:val="both"/>
        <w:rPr>
          <w:rFonts w:ascii="Palatino Linotype" w:hAnsi="Palatino Linotype" w:cs="Arial"/>
          <w:sz w:val="22"/>
          <w:szCs w:val="20"/>
        </w:rPr>
      </w:pPr>
    </w:p>
    <w:p w14:paraId="269A32B1" w14:textId="23CC713E" w:rsidR="00F17E65" w:rsidRPr="00C83068" w:rsidRDefault="004F32F2" w:rsidP="00BE1923">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lang w:val="es-MX"/>
        </w:rPr>
        <w:t>Asimismo</w:t>
      </w:r>
      <w:r w:rsidR="003012F8" w:rsidRPr="00C83068">
        <w:rPr>
          <w:rFonts w:ascii="Palatino Linotype" w:eastAsia="Calibri" w:hAnsi="Palatino Linotype" w:cs="Arial"/>
        </w:rPr>
        <w:t xml:space="preserve">, </w:t>
      </w:r>
      <w:r w:rsidR="00F17E65" w:rsidRPr="00C83068">
        <w:rPr>
          <w:rFonts w:ascii="Palatino Linotype" w:eastAsia="Calibri" w:hAnsi="Palatino Linotype" w:cs="Arial"/>
        </w:rPr>
        <w:t>l</w:t>
      </w:r>
      <w:r w:rsidR="003012F8" w:rsidRPr="00C83068">
        <w:rPr>
          <w:rFonts w:ascii="Palatino Linotype" w:eastAsia="Calibri" w:hAnsi="Palatino Linotype" w:cs="Arial"/>
        </w:rPr>
        <w:t>os</w:t>
      </w:r>
      <w:r w:rsidR="00F17E65" w:rsidRPr="00C83068">
        <w:rPr>
          <w:rFonts w:ascii="Palatino Linotype" w:eastAsia="Calibri" w:hAnsi="Palatino Linotype" w:cs="Arial"/>
        </w:rPr>
        <w:t xml:space="preserve"> escrito</w:t>
      </w:r>
      <w:r w:rsidR="003012F8" w:rsidRPr="00C83068">
        <w:rPr>
          <w:rFonts w:ascii="Palatino Linotype" w:eastAsia="Calibri" w:hAnsi="Palatino Linotype" w:cs="Arial"/>
        </w:rPr>
        <w:t>s</w:t>
      </w:r>
      <w:r w:rsidR="00F17E65" w:rsidRPr="00C83068">
        <w:rPr>
          <w:rFonts w:ascii="Palatino Linotype" w:eastAsia="Calibri" w:hAnsi="Palatino Linotype" w:cs="Arial"/>
        </w:rPr>
        <w:t xml:space="preserve"> contiene</w:t>
      </w:r>
      <w:r w:rsidR="003012F8" w:rsidRPr="00C83068">
        <w:rPr>
          <w:rFonts w:ascii="Palatino Linotype" w:eastAsia="Calibri" w:hAnsi="Palatino Linotype" w:cs="Arial"/>
        </w:rPr>
        <w:t>n</w:t>
      </w:r>
      <w:r w:rsidR="00F17E65" w:rsidRPr="00C83068">
        <w:rPr>
          <w:rFonts w:ascii="Palatino Linotype" w:eastAsia="Calibri" w:hAnsi="Palatino Linotype" w:cs="Arial"/>
        </w:rPr>
        <w:t xml:space="preserve"> las formalidades previstas por el artículo 180 último párrafo de la Ley de la materia actual, por lo que es procedente que este Instituto de </w:t>
      </w:r>
      <w:r w:rsidR="00F17E65" w:rsidRPr="00C83068">
        <w:rPr>
          <w:rFonts w:ascii="Palatino Linotype" w:eastAsia="Palatino Linotype" w:hAnsi="Palatino Linotype" w:cs="Palatino Linotype"/>
        </w:rPr>
        <w:t>Transparencia</w:t>
      </w:r>
      <w:r w:rsidR="00F17E65" w:rsidRPr="00C83068">
        <w:rPr>
          <w:rFonts w:ascii="Palatino Linotype" w:eastAsia="Calibri" w:hAnsi="Palatino Linotype" w:cs="Arial"/>
        </w:rPr>
        <w:t>, Acceso a la Información Pública y Protección de Datos Personales del Estado de México y Municipios, conozca y resuelva el presente recurso.</w:t>
      </w:r>
    </w:p>
    <w:p w14:paraId="2873721A" w14:textId="77777777" w:rsidR="00484252" w:rsidRPr="00C83068" w:rsidRDefault="00484252" w:rsidP="00F42014">
      <w:pPr>
        <w:rPr>
          <w:rFonts w:ascii="Palatino Linotype" w:hAnsi="Palatino Linotype"/>
        </w:rPr>
      </w:pPr>
    </w:p>
    <w:p w14:paraId="6E205F1F" w14:textId="38DED0B2" w:rsidR="009417CA" w:rsidRPr="00C83068" w:rsidRDefault="00C76CBA" w:rsidP="00BE1923">
      <w:pPr>
        <w:pStyle w:val="Ttulo1"/>
        <w:spacing w:before="0" w:line="360" w:lineRule="auto"/>
        <w:rPr>
          <w:rFonts w:ascii="Palatino Linotype" w:hAnsi="Palatino Linotype"/>
          <w:b/>
          <w:color w:val="000000" w:themeColor="text1"/>
          <w:sz w:val="24"/>
        </w:rPr>
      </w:pPr>
      <w:bookmarkStart w:id="84" w:name="_Toc87274189"/>
      <w:r w:rsidRPr="00C83068">
        <w:rPr>
          <w:rFonts w:ascii="Palatino Linotype" w:hAnsi="Palatino Linotype" w:cs="Arial"/>
          <w:b/>
          <w:color w:val="000000" w:themeColor="text1"/>
          <w:sz w:val="24"/>
        </w:rPr>
        <w:t>TERCER</w:t>
      </w:r>
      <w:r w:rsidR="009417CA" w:rsidRPr="00C83068">
        <w:rPr>
          <w:rFonts w:ascii="Palatino Linotype" w:hAnsi="Palatino Linotype" w:cs="Arial"/>
          <w:b/>
          <w:color w:val="000000" w:themeColor="text1"/>
          <w:sz w:val="24"/>
        </w:rPr>
        <w:t xml:space="preserve">O. </w:t>
      </w:r>
      <w:bookmarkStart w:id="85" w:name="_Toc34246179"/>
      <w:bookmarkStart w:id="86" w:name="_Toc74778598"/>
      <w:bookmarkStart w:id="87" w:name="_Toc501021589"/>
      <w:bookmarkEnd w:id="82"/>
      <w:r w:rsidR="009417CA" w:rsidRPr="00C83068">
        <w:rPr>
          <w:rFonts w:ascii="Palatino Linotype" w:hAnsi="Palatino Linotype"/>
          <w:b/>
          <w:color w:val="000000" w:themeColor="text1"/>
          <w:sz w:val="24"/>
        </w:rPr>
        <w:t>De</w:t>
      </w:r>
      <w:r w:rsidR="009531A2" w:rsidRPr="00C83068">
        <w:rPr>
          <w:rFonts w:ascii="Palatino Linotype" w:hAnsi="Palatino Linotype"/>
          <w:b/>
          <w:color w:val="000000" w:themeColor="text1"/>
          <w:sz w:val="24"/>
        </w:rPr>
        <w:t xml:space="preserve"> previo y especial pronunciamiento</w:t>
      </w:r>
      <w:r w:rsidR="009417CA" w:rsidRPr="00C83068">
        <w:rPr>
          <w:rFonts w:ascii="Palatino Linotype" w:hAnsi="Palatino Linotype"/>
          <w:b/>
          <w:color w:val="000000" w:themeColor="text1"/>
          <w:sz w:val="24"/>
        </w:rPr>
        <w:t>.</w:t>
      </w:r>
      <w:bookmarkEnd w:id="83"/>
      <w:bookmarkEnd w:id="84"/>
      <w:bookmarkEnd w:id="85"/>
      <w:bookmarkEnd w:id="86"/>
      <w:bookmarkEnd w:id="87"/>
    </w:p>
    <w:p w14:paraId="6F615E47" w14:textId="77777777" w:rsidR="009531A2" w:rsidRPr="00C83068" w:rsidRDefault="009531A2" w:rsidP="009531A2">
      <w:pPr>
        <w:rPr>
          <w:lang w:eastAsia="es-ES"/>
        </w:rPr>
      </w:pPr>
    </w:p>
    <w:p w14:paraId="1C2B64E6" w14:textId="77777777" w:rsidR="009531A2" w:rsidRPr="00C83068" w:rsidRDefault="009531A2" w:rsidP="009531A2">
      <w:pPr>
        <w:pStyle w:val="Prrafodelista"/>
        <w:numPr>
          <w:ilvl w:val="0"/>
          <w:numId w:val="2"/>
        </w:numPr>
        <w:spacing w:line="360" w:lineRule="auto"/>
        <w:ind w:left="284" w:firstLine="0"/>
        <w:jc w:val="center"/>
        <w:rPr>
          <w:rFonts w:ascii="Palatino Linotype" w:hAnsi="Palatino Linotype"/>
          <w:b/>
        </w:rPr>
      </w:pPr>
      <w:r w:rsidRPr="00C83068">
        <w:rPr>
          <w:rFonts w:ascii="Palatino Linotype" w:hAnsi="Palatino Linotype"/>
          <w:b/>
        </w:rPr>
        <w:t>Argumentos a considerar en las resoluciones a los recursos de revisión para justificar los fallos emitidos fuera del plazo legal de 45 días.</w:t>
      </w:r>
    </w:p>
    <w:p w14:paraId="47CA8852" w14:textId="77777777" w:rsidR="009531A2" w:rsidRPr="00C83068" w:rsidRDefault="009531A2" w:rsidP="00480380">
      <w:pPr>
        <w:spacing w:line="360" w:lineRule="auto"/>
        <w:rPr>
          <w:rFonts w:ascii="Palatino Linotype" w:hAnsi="Palatino Linotype"/>
          <w:sz w:val="18"/>
        </w:rPr>
      </w:pPr>
    </w:p>
    <w:p w14:paraId="3FDC978B"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Este organismo garante no pasa por alto justificar, que la dilación en la resolución del </w:t>
      </w:r>
      <w:r w:rsidRPr="00C83068">
        <w:rPr>
          <w:rFonts w:ascii="Palatino Linotype" w:hAnsi="Palatino Linotype"/>
          <w:lang w:val="es-MX"/>
        </w:rPr>
        <w:t>presente</w:t>
      </w:r>
      <w:r w:rsidRPr="00C83068">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CAE7C9A" w14:textId="77777777" w:rsidR="009531A2" w:rsidRPr="00C83068" w:rsidRDefault="009531A2" w:rsidP="009531A2">
      <w:pPr>
        <w:spacing w:line="360" w:lineRule="auto"/>
        <w:jc w:val="both"/>
        <w:rPr>
          <w:rFonts w:ascii="Palatino Linotype" w:hAnsi="Palatino Linotype"/>
          <w:sz w:val="18"/>
        </w:rPr>
      </w:pPr>
    </w:p>
    <w:p w14:paraId="1CEECFE7"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Por ello, es menester precisar que si bien se ha excedido el plazo para resolver el presente medio de impugnación, de conformidad con la ley de la materia, dicha </w:t>
      </w:r>
      <w:r w:rsidRPr="00C83068">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AA8DFD" w14:textId="77777777" w:rsidR="009531A2" w:rsidRPr="00C83068" w:rsidRDefault="009531A2" w:rsidP="009531A2">
      <w:pPr>
        <w:spacing w:line="360" w:lineRule="auto"/>
        <w:jc w:val="both"/>
        <w:rPr>
          <w:rFonts w:ascii="Palatino Linotype" w:hAnsi="Palatino Linotype"/>
          <w:sz w:val="18"/>
        </w:rPr>
      </w:pPr>
    </w:p>
    <w:p w14:paraId="7A15D7CE"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05032E" w14:textId="77777777" w:rsidR="009531A2" w:rsidRPr="00C83068" w:rsidRDefault="009531A2" w:rsidP="009531A2">
      <w:pPr>
        <w:spacing w:line="360" w:lineRule="auto"/>
        <w:jc w:val="both"/>
        <w:rPr>
          <w:rFonts w:ascii="Palatino Linotype" w:hAnsi="Palatino Linotype"/>
          <w:sz w:val="18"/>
        </w:rPr>
      </w:pPr>
    </w:p>
    <w:p w14:paraId="6257D39A"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5D9741" w14:textId="77777777" w:rsidR="009531A2" w:rsidRPr="00C83068" w:rsidRDefault="009531A2" w:rsidP="009531A2">
      <w:pPr>
        <w:spacing w:line="360" w:lineRule="auto"/>
        <w:jc w:val="both"/>
        <w:rPr>
          <w:rFonts w:ascii="Palatino Linotype" w:hAnsi="Palatino Linotype"/>
          <w:sz w:val="18"/>
        </w:rPr>
      </w:pPr>
    </w:p>
    <w:p w14:paraId="4780906C"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A316A15" w14:textId="77777777" w:rsidR="009531A2" w:rsidRPr="00C83068" w:rsidRDefault="009531A2" w:rsidP="009531A2">
      <w:pPr>
        <w:spacing w:line="360" w:lineRule="auto"/>
        <w:jc w:val="both"/>
        <w:rPr>
          <w:rFonts w:ascii="Palatino Linotype" w:hAnsi="Palatino Linotype"/>
          <w:sz w:val="18"/>
        </w:rPr>
      </w:pPr>
    </w:p>
    <w:p w14:paraId="44BF8238" w14:textId="77777777" w:rsidR="009531A2" w:rsidRPr="00C83068" w:rsidRDefault="009531A2" w:rsidP="009531A2">
      <w:pPr>
        <w:pStyle w:val="Prrafodelista"/>
        <w:numPr>
          <w:ilvl w:val="0"/>
          <w:numId w:val="41"/>
        </w:numPr>
        <w:spacing w:line="360" w:lineRule="auto"/>
        <w:contextualSpacing/>
        <w:jc w:val="both"/>
        <w:rPr>
          <w:rFonts w:ascii="Palatino Linotype" w:hAnsi="Palatino Linotype"/>
        </w:rPr>
      </w:pPr>
      <w:r w:rsidRPr="00C83068">
        <w:rPr>
          <w:rFonts w:ascii="Palatino Linotype" w:hAnsi="Palatino Linotype"/>
        </w:rPr>
        <w:t xml:space="preserve">Complejidad del Asunto: La complejidad de la prueba, la pluralidad de sujetos procesales, el tiempo transcurrido, las características y contexto del recurso. </w:t>
      </w:r>
    </w:p>
    <w:p w14:paraId="01F368FA" w14:textId="77777777" w:rsidR="009531A2" w:rsidRPr="00C83068" w:rsidRDefault="009531A2" w:rsidP="009531A2">
      <w:pPr>
        <w:pStyle w:val="Prrafodelista"/>
        <w:spacing w:line="360" w:lineRule="auto"/>
        <w:ind w:left="927"/>
        <w:jc w:val="both"/>
        <w:rPr>
          <w:rFonts w:ascii="Palatino Linotype" w:hAnsi="Palatino Linotype"/>
        </w:rPr>
      </w:pPr>
    </w:p>
    <w:p w14:paraId="720EEEFF" w14:textId="77777777" w:rsidR="009531A2" w:rsidRPr="00C83068" w:rsidRDefault="009531A2" w:rsidP="009531A2">
      <w:pPr>
        <w:pStyle w:val="Prrafodelista"/>
        <w:numPr>
          <w:ilvl w:val="0"/>
          <w:numId w:val="41"/>
        </w:numPr>
        <w:spacing w:line="360" w:lineRule="auto"/>
        <w:contextualSpacing/>
        <w:jc w:val="both"/>
        <w:rPr>
          <w:rFonts w:ascii="Palatino Linotype" w:hAnsi="Palatino Linotype"/>
        </w:rPr>
      </w:pPr>
      <w:r w:rsidRPr="00C83068">
        <w:rPr>
          <w:rFonts w:ascii="Palatino Linotype" w:hAnsi="Palatino Linotype"/>
        </w:rPr>
        <w:t>Actividad Procesal del interesado. Acciones u omisiones del interesado.</w:t>
      </w:r>
    </w:p>
    <w:p w14:paraId="41F3A4F9" w14:textId="77777777" w:rsidR="009531A2" w:rsidRPr="00C83068" w:rsidRDefault="009531A2" w:rsidP="009531A2">
      <w:pPr>
        <w:spacing w:line="360" w:lineRule="auto"/>
        <w:jc w:val="both"/>
        <w:rPr>
          <w:rFonts w:ascii="Palatino Linotype" w:hAnsi="Palatino Linotype"/>
        </w:rPr>
      </w:pPr>
    </w:p>
    <w:p w14:paraId="3B0CCA6F" w14:textId="77777777" w:rsidR="009531A2" w:rsidRPr="00C83068" w:rsidRDefault="009531A2" w:rsidP="009531A2">
      <w:pPr>
        <w:pStyle w:val="Prrafodelista"/>
        <w:numPr>
          <w:ilvl w:val="0"/>
          <w:numId w:val="41"/>
        </w:numPr>
        <w:spacing w:line="360" w:lineRule="auto"/>
        <w:contextualSpacing/>
        <w:jc w:val="both"/>
        <w:rPr>
          <w:rFonts w:ascii="Palatino Linotype" w:hAnsi="Palatino Linotype"/>
        </w:rPr>
      </w:pPr>
      <w:r w:rsidRPr="00C83068">
        <w:rPr>
          <w:rFonts w:ascii="Palatino Linotype" w:hAnsi="Palatino Linotype"/>
        </w:rPr>
        <w:lastRenderedPageBreak/>
        <w:t>Conducta de la Autoridad: Las Acciones u omisiones realizadas en el procedimiento. Así como si la autoridad actuó con la debida diligencia.</w:t>
      </w:r>
    </w:p>
    <w:p w14:paraId="74BEE654" w14:textId="77777777" w:rsidR="009531A2" w:rsidRPr="00C83068" w:rsidRDefault="009531A2" w:rsidP="009531A2">
      <w:pPr>
        <w:pStyle w:val="Prrafodelista"/>
        <w:spacing w:line="360" w:lineRule="auto"/>
        <w:rPr>
          <w:rFonts w:ascii="Palatino Linotype" w:hAnsi="Palatino Linotype"/>
        </w:rPr>
      </w:pPr>
    </w:p>
    <w:p w14:paraId="5A9714D5" w14:textId="77777777" w:rsidR="009531A2" w:rsidRPr="00C83068" w:rsidRDefault="009531A2" w:rsidP="009531A2">
      <w:pPr>
        <w:spacing w:line="360" w:lineRule="auto"/>
        <w:ind w:left="567"/>
        <w:jc w:val="both"/>
        <w:rPr>
          <w:rFonts w:ascii="Palatino Linotype" w:hAnsi="Palatino Linotype"/>
        </w:rPr>
      </w:pPr>
      <w:r w:rsidRPr="00C83068">
        <w:rPr>
          <w:rFonts w:ascii="Palatino Linotype" w:hAnsi="Palatino Linotype"/>
        </w:rPr>
        <w:t>d) La afectación generada en la situación jurídica de la persona involucrada en el proceso: Violación a sus derechos humanos.</w:t>
      </w:r>
    </w:p>
    <w:p w14:paraId="71071401" w14:textId="77777777" w:rsidR="009531A2" w:rsidRPr="00C83068" w:rsidRDefault="009531A2" w:rsidP="009531A2">
      <w:pPr>
        <w:spacing w:line="360" w:lineRule="auto"/>
        <w:jc w:val="both"/>
        <w:rPr>
          <w:rFonts w:ascii="Palatino Linotype" w:hAnsi="Palatino Linotype"/>
        </w:rPr>
      </w:pPr>
    </w:p>
    <w:p w14:paraId="37976865"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8CB23F" w14:textId="77777777" w:rsidR="009531A2" w:rsidRPr="00C83068" w:rsidRDefault="009531A2" w:rsidP="009531A2">
      <w:pPr>
        <w:spacing w:line="360" w:lineRule="auto"/>
        <w:jc w:val="both"/>
        <w:rPr>
          <w:rFonts w:ascii="Palatino Linotype" w:hAnsi="Palatino Linotype"/>
          <w:sz w:val="18"/>
        </w:rPr>
      </w:pPr>
    </w:p>
    <w:p w14:paraId="1E9F06A3"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b/>
        </w:rPr>
      </w:pPr>
      <w:r w:rsidRPr="00C83068">
        <w:rPr>
          <w:rFonts w:ascii="Palatino Linotype" w:hAnsi="Palatino Linotype"/>
        </w:rPr>
        <w:t>Argumento que encuentra sustento en la jurisprudencia P</w:t>
      </w:r>
      <w:proofErr w:type="gramStart"/>
      <w:r w:rsidRPr="00C83068">
        <w:rPr>
          <w:rFonts w:ascii="Palatino Linotype" w:hAnsi="Palatino Linotype"/>
        </w:rPr>
        <w:t>./</w:t>
      </w:r>
      <w:proofErr w:type="gramEnd"/>
      <w:r w:rsidRPr="00C83068">
        <w:rPr>
          <w:rFonts w:ascii="Palatino Linotype" w:hAnsi="Palatino Linotype"/>
        </w:rPr>
        <w:t xml:space="preserve">J. 32/92 emitida por el Pleno de la Suprema Corte de Justicia de la Nación de rubro </w:t>
      </w:r>
      <w:r w:rsidRPr="00C8306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83068">
        <w:rPr>
          <w:rFonts w:ascii="Palatino Linotype" w:hAnsi="Palatino Linotype"/>
        </w:rPr>
        <w:t>, visible en la Gaceta del Seminario Judicial de la Federación con el registro digital 205635.</w:t>
      </w:r>
    </w:p>
    <w:p w14:paraId="55CE5655" w14:textId="77777777" w:rsidR="009531A2" w:rsidRPr="00C83068" w:rsidRDefault="009531A2" w:rsidP="009531A2">
      <w:pPr>
        <w:spacing w:line="360" w:lineRule="auto"/>
        <w:jc w:val="both"/>
        <w:rPr>
          <w:rFonts w:ascii="Palatino Linotype" w:hAnsi="Palatino Linotype"/>
          <w:sz w:val="18"/>
        </w:rPr>
      </w:pPr>
    </w:p>
    <w:p w14:paraId="67D2E0C7"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83068">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0633B2" w14:textId="77777777" w:rsidR="009531A2" w:rsidRPr="00C83068" w:rsidRDefault="009531A2" w:rsidP="009531A2">
      <w:pPr>
        <w:spacing w:line="360" w:lineRule="auto"/>
        <w:jc w:val="both"/>
        <w:rPr>
          <w:rFonts w:ascii="Palatino Linotype" w:hAnsi="Palatino Linotype"/>
          <w:sz w:val="18"/>
        </w:rPr>
      </w:pPr>
    </w:p>
    <w:p w14:paraId="28FA01BE"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A2193D8" w14:textId="77777777" w:rsidR="009531A2" w:rsidRPr="00C83068" w:rsidRDefault="009531A2" w:rsidP="009531A2">
      <w:pPr>
        <w:spacing w:line="360" w:lineRule="auto"/>
        <w:jc w:val="both"/>
        <w:rPr>
          <w:rFonts w:ascii="Palatino Linotype" w:hAnsi="Palatino Linotype"/>
          <w:sz w:val="18"/>
        </w:rPr>
      </w:pPr>
    </w:p>
    <w:p w14:paraId="15317354" w14:textId="77777777" w:rsidR="009531A2" w:rsidRPr="00C83068" w:rsidRDefault="009531A2" w:rsidP="009531A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522174A" w14:textId="77777777" w:rsidR="009531A2" w:rsidRPr="00C83068" w:rsidRDefault="009531A2" w:rsidP="009531A2">
      <w:pPr>
        <w:spacing w:line="360" w:lineRule="auto"/>
        <w:jc w:val="both"/>
        <w:rPr>
          <w:rFonts w:ascii="Palatino Linotype" w:hAnsi="Palatino Linotype"/>
        </w:rPr>
      </w:pPr>
    </w:p>
    <w:p w14:paraId="27E42715" w14:textId="77777777" w:rsidR="009531A2" w:rsidRPr="00C83068" w:rsidRDefault="009531A2" w:rsidP="009531A2">
      <w:pPr>
        <w:spacing w:line="360" w:lineRule="auto"/>
        <w:ind w:left="426" w:right="474"/>
        <w:jc w:val="both"/>
        <w:rPr>
          <w:rFonts w:ascii="Palatino Linotype" w:hAnsi="Palatino Linotype"/>
        </w:rPr>
      </w:pPr>
      <w:r w:rsidRPr="00C83068">
        <w:rPr>
          <w:rFonts w:ascii="Palatino Linotype" w:hAnsi="Palatino Linotype"/>
        </w:rPr>
        <w:t xml:space="preserve"> </w:t>
      </w:r>
      <w:r w:rsidRPr="00C83068">
        <w:rPr>
          <w:rFonts w:ascii="Palatino Linotype" w:hAnsi="Palatino Linotype"/>
          <w:i/>
        </w:rPr>
        <w:t>“PLAZO RAZONABLE PARA RESOLVER. DIMENSIÓN Y EFECTOS DE ESTE CONCEPTO CUANDO SE ADUCE EXCESIVA CARGA DE TRABAJO.”</w:t>
      </w:r>
      <w:r w:rsidRPr="00C83068">
        <w:rPr>
          <w:rFonts w:ascii="Palatino Linotype" w:hAnsi="Palatino Linotype"/>
        </w:rPr>
        <w:t xml:space="preserve"> consultable en el Seminario Judicial de la Federación y su gaceta, con el registro digital 2002351.</w:t>
      </w:r>
    </w:p>
    <w:p w14:paraId="76BC291E" w14:textId="77777777" w:rsidR="009531A2" w:rsidRPr="00C83068" w:rsidRDefault="009531A2" w:rsidP="009531A2">
      <w:pPr>
        <w:spacing w:line="360" w:lineRule="auto"/>
        <w:ind w:left="426" w:right="474"/>
        <w:jc w:val="both"/>
        <w:rPr>
          <w:rFonts w:ascii="Palatino Linotype" w:hAnsi="Palatino Linotype"/>
          <w:b/>
        </w:rPr>
      </w:pPr>
    </w:p>
    <w:p w14:paraId="2B825198" w14:textId="77777777" w:rsidR="009531A2" w:rsidRPr="00C83068" w:rsidRDefault="009531A2" w:rsidP="009531A2">
      <w:pPr>
        <w:spacing w:line="360" w:lineRule="auto"/>
        <w:ind w:left="426" w:right="474"/>
        <w:jc w:val="both"/>
        <w:rPr>
          <w:rFonts w:ascii="Palatino Linotype" w:hAnsi="Palatino Linotype"/>
        </w:rPr>
      </w:pPr>
      <w:r w:rsidRPr="00C83068">
        <w:rPr>
          <w:rFonts w:ascii="Palatino Linotype" w:hAnsi="Palatino Linotype"/>
          <w:i/>
        </w:rPr>
        <w:t xml:space="preserve">“PLAZO RAZONABLE PARA RESOLVER. CONCEPTO Y ELEMENTOS QUE LO INTEGRAN A LA LUZ DEL DERECHO INTERNACIONAL DE LOS </w:t>
      </w:r>
      <w:r w:rsidRPr="00C83068">
        <w:rPr>
          <w:rFonts w:ascii="Palatino Linotype" w:hAnsi="Palatino Linotype"/>
          <w:i/>
        </w:rPr>
        <w:lastRenderedPageBreak/>
        <w:t>DERECHOS HUMANOS.”</w:t>
      </w:r>
      <w:r w:rsidRPr="00C83068">
        <w:rPr>
          <w:rFonts w:ascii="Palatino Linotype" w:hAnsi="Palatino Linotype"/>
        </w:rPr>
        <w:t>, visible en el Seminario Judicial de la Federación y su gaceta, con el registro digital 2002350.</w:t>
      </w:r>
    </w:p>
    <w:p w14:paraId="6C6C9209" w14:textId="77777777" w:rsidR="009531A2" w:rsidRPr="00C83068" w:rsidRDefault="009531A2" w:rsidP="009531A2">
      <w:pPr>
        <w:rPr>
          <w:lang w:eastAsia="es-ES"/>
        </w:rPr>
      </w:pPr>
    </w:p>
    <w:p w14:paraId="056AC74D" w14:textId="77777777" w:rsidR="009531A2" w:rsidRPr="00C83068" w:rsidRDefault="009531A2" w:rsidP="009531A2">
      <w:pPr>
        <w:rPr>
          <w:lang w:eastAsia="es-ES"/>
        </w:rPr>
      </w:pPr>
    </w:p>
    <w:p w14:paraId="2807DFD8" w14:textId="4A96B1B2" w:rsidR="009531A2" w:rsidRPr="00C83068" w:rsidRDefault="009531A2" w:rsidP="009531A2">
      <w:pPr>
        <w:pStyle w:val="Ttulo1"/>
        <w:spacing w:before="0" w:line="360" w:lineRule="auto"/>
        <w:rPr>
          <w:rFonts w:ascii="Palatino Linotype" w:hAnsi="Palatino Linotype"/>
          <w:b/>
          <w:color w:val="000000" w:themeColor="text1"/>
          <w:sz w:val="24"/>
        </w:rPr>
      </w:pPr>
      <w:r w:rsidRPr="00C83068">
        <w:rPr>
          <w:rFonts w:ascii="Palatino Linotype" w:hAnsi="Palatino Linotype" w:cs="Arial"/>
          <w:b/>
          <w:color w:val="000000" w:themeColor="text1"/>
          <w:sz w:val="24"/>
        </w:rPr>
        <w:t xml:space="preserve">CUARTO. </w:t>
      </w:r>
      <w:r w:rsidRPr="00C83068">
        <w:rPr>
          <w:rFonts w:ascii="Palatino Linotype" w:hAnsi="Palatino Linotype"/>
          <w:b/>
          <w:color w:val="000000" w:themeColor="text1"/>
          <w:sz w:val="24"/>
        </w:rPr>
        <w:t xml:space="preserve">Del planteamiento de la </w:t>
      </w:r>
      <w:r w:rsidRPr="00C83068">
        <w:rPr>
          <w:rFonts w:ascii="Palatino Linotype" w:hAnsi="Palatino Linotype"/>
          <w:b/>
          <w:i/>
          <w:color w:val="000000" w:themeColor="text1"/>
          <w:sz w:val="24"/>
        </w:rPr>
        <w:t>Litis</w:t>
      </w:r>
      <w:r w:rsidRPr="00C83068">
        <w:rPr>
          <w:rFonts w:ascii="Palatino Linotype" w:hAnsi="Palatino Linotype"/>
          <w:b/>
          <w:color w:val="000000" w:themeColor="text1"/>
          <w:sz w:val="24"/>
        </w:rPr>
        <w:t>.</w:t>
      </w:r>
    </w:p>
    <w:p w14:paraId="4A3D7576" w14:textId="42E5C5A5" w:rsidR="009417CA" w:rsidRPr="00C83068"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C83068">
        <w:rPr>
          <w:rFonts w:ascii="Palatino Linotype" w:hAnsi="Palatino Linotype"/>
        </w:rPr>
        <w:t xml:space="preserve">Se solicitó, la siguiente información </w:t>
      </w:r>
      <w:r w:rsidR="00FD71C1" w:rsidRPr="00C83068">
        <w:rPr>
          <w:rFonts w:ascii="Palatino Linotype" w:hAnsi="Palatino Linotype"/>
        </w:rPr>
        <w:t>a modo desagregado</w:t>
      </w:r>
      <w:r w:rsidRPr="00C83068">
        <w:rPr>
          <w:rFonts w:ascii="Palatino Linotype" w:hAnsi="Palatino Linotype"/>
        </w:rPr>
        <w:t>:</w:t>
      </w:r>
    </w:p>
    <w:p w14:paraId="7B2D9506" w14:textId="77777777" w:rsidR="00C42E34" w:rsidRPr="00C83068" w:rsidRDefault="00C42E34" w:rsidP="00C42E34">
      <w:pPr>
        <w:pStyle w:val="Prrafodelista"/>
        <w:spacing w:line="360" w:lineRule="auto"/>
        <w:ind w:left="0"/>
        <w:jc w:val="both"/>
        <w:rPr>
          <w:rFonts w:ascii="Palatino Linotype" w:hAnsi="Palatino Linotype"/>
          <w:lang w:val="es-MX" w:eastAsia="en-US"/>
        </w:rPr>
      </w:pPr>
    </w:p>
    <w:p w14:paraId="4A1FB456" w14:textId="4DE12AE4" w:rsidR="007948A7" w:rsidRPr="00C83068" w:rsidRDefault="00480380" w:rsidP="00480380">
      <w:pPr>
        <w:pStyle w:val="Prrafodelista"/>
        <w:numPr>
          <w:ilvl w:val="2"/>
          <w:numId w:val="33"/>
        </w:numPr>
        <w:spacing w:line="360" w:lineRule="auto"/>
        <w:ind w:left="709" w:right="616"/>
        <w:jc w:val="both"/>
        <w:rPr>
          <w:rFonts w:ascii="Palatino Linotype" w:hAnsi="Palatino Linotype" w:cs="Arial"/>
        </w:rPr>
      </w:pPr>
      <w:r w:rsidRPr="00C83068">
        <w:rPr>
          <w:rFonts w:ascii="Palatino Linotype" w:hAnsi="Palatino Linotype" w:cs="Arial"/>
          <w:lang w:val="es-MX" w:eastAsia="es-MX"/>
        </w:rPr>
        <w:t>Oficios firmados por el Secretario de Movilidad, durante los meses de enero a abril de 2021</w:t>
      </w:r>
      <w:r w:rsidR="001B0A9C" w:rsidRPr="00C83068">
        <w:rPr>
          <w:rFonts w:ascii="Palatino Linotype" w:hAnsi="Palatino Linotype" w:cs="Arial"/>
          <w:lang w:val="es-MX" w:eastAsia="es-MX"/>
        </w:rPr>
        <w:t>.</w:t>
      </w:r>
    </w:p>
    <w:p w14:paraId="2D2BA9B3" w14:textId="77777777" w:rsidR="007948A7" w:rsidRPr="00C83068" w:rsidRDefault="007948A7" w:rsidP="007948A7">
      <w:pPr>
        <w:pStyle w:val="Prrafodelista"/>
        <w:rPr>
          <w:rFonts w:ascii="Palatino Linotype" w:hAnsi="Palatino Linotype" w:cs="Arial"/>
          <w:lang w:val="es-MX" w:eastAsia="es-MX"/>
        </w:rPr>
      </w:pPr>
    </w:p>
    <w:p w14:paraId="45F5E30A" w14:textId="35FFDD26" w:rsidR="009417CA" w:rsidRPr="00C83068" w:rsidRDefault="009417CA" w:rsidP="00480380">
      <w:pPr>
        <w:pStyle w:val="Prrafodelista"/>
        <w:numPr>
          <w:ilvl w:val="0"/>
          <w:numId w:val="7"/>
        </w:numPr>
        <w:spacing w:line="360" w:lineRule="auto"/>
        <w:ind w:left="0" w:firstLine="0"/>
        <w:jc w:val="both"/>
        <w:rPr>
          <w:rFonts w:ascii="Palatino Linotype" w:hAnsi="Palatino Linotype" w:cs="Arial"/>
        </w:rPr>
      </w:pPr>
      <w:r w:rsidRPr="00C83068">
        <w:rPr>
          <w:rFonts w:ascii="Palatino Linotype" w:hAnsi="Palatino Linotype" w:cs="Arial"/>
        </w:rPr>
        <w:t xml:space="preserve">En </w:t>
      </w:r>
      <w:r w:rsidRPr="00C83068">
        <w:rPr>
          <w:rFonts w:ascii="Palatino Linotype" w:hAnsi="Palatino Linotype"/>
        </w:rPr>
        <w:t>respuesta</w:t>
      </w:r>
      <w:r w:rsidR="001B0A9C" w:rsidRPr="00C83068">
        <w:rPr>
          <w:rFonts w:ascii="Palatino Linotype" w:hAnsi="Palatino Linotype"/>
        </w:rPr>
        <w:t>,</w:t>
      </w:r>
      <w:r w:rsidRPr="00C83068">
        <w:rPr>
          <w:rFonts w:ascii="Palatino Linotype" w:hAnsi="Palatino Linotype" w:cs="Arial"/>
        </w:rPr>
        <w:t xml:space="preserve"> el </w:t>
      </w:r>
      <w:r w:rsidRPr="00C83068">
        <w:rPr>
          <w:rFonts w:ascii="Palatino Linotype" w:hAnsi="Palatino Linotype" w:cs="Arial"/>
          <w:b/>
        </w:rPr>
        <w:t>SUJETO OBLIGADO,</w:t>
      </w:r>
      <w:r w:rsidRPr="00C83068">
        <w:rPr>
          <w:rFonts w:ascii="Palatino Linotype" w:hAnsi="Palatino Linotype" w:cs="Arial"/>
        </w:rPr>
        <w:t xml:space="preserve"> </w:t>
      </w:r>
      <w:r w:rsidR="00540AF8" w:rsidRPr="00C83068">
        <w:rPr>
          <w:rFonts w:ascii="Palatino Linotype" w:hAnsi="Palatino Linotype" w:cs="Arial"/>
        </w:rPr>
        <w:t xml:space="preserve">remitió </w:t>
      </w:r>
      <w:r w:rsidR="00480380" w:rsidRPr="00C83068">
        <w:rPr>
          <w:rFonts w:ascii="Palatino Linotype" w:hAnsi="Palatino Linotype" w:cs="Arial"/>
        </w:rPr>
        <w:t>oficios digitalizados de acuerdo al mes que se requirió dentro de cada expediente electrónico</w:t>
      </w:r>
      <w:r w:rsidR="00F42014" w:rsidRPr="00C83068">
        <w:rPr>
          <w:rFonts w:ascii="Palatino Linotype" w:hAnsi="Palatino Linotype" w:cs="Arial"/>
        </w:rPr>
        <w:t>;</w:t>
      </w:r>
      <w:r w:rsidR="003835F9" w:rsidRPr="00C83068">
        <w:rPr>
          <w:rFonts w:ascii="Palatino Linotype" w:hAnsi="Palatino Linotype" w:cs="Arial"/>
        </w:rPr>
        <w:t xml:space="preserve"> i</w:t>
      </w:r>
      <w:r w:rsidRPr="00C83068">
        <w:rPr>
          <w:rFonts w:ascii="Palatino Linotype" w:hAnsi="Palatino Linotype" w:cs="Arial"/>
        </w:rPr>
        <w:t>nconforme con la res</w:t>
      </w:r>
      <w:r w:rsidR="00C77050" w:rsidRPr="00C83068">
        <w:rPr>
          <w:rFonts w:ascii="Palatino Linotype" w:hAnsi="Palatino Linotype" w:cs="Arial"/>
        </w:rPr>
        <w:t xml:space="preserve">puesta, </w:t>
      </w:r>
      <w:r w:rsidR="001B0A9C" w:rsidRPr="00C83068">
        <w:rPr>
          <w:rFonts w:ascii="Palatino Linotype" w:hAnsi="Palatino Linotype" w:cs="Arial"/>
        </w:rPr>
        <w:t>la solicitante</w:t>
      </w:r>
      <w:r w:rsidR="00317CDA" w:rsidRPr="00C83068">
        <w:rPr>
          <w:rFonts w:ascii="Palatino Linotype" w:hAnsi="Palatino Linotype" w:cs="Arial"/>
        </w:rPr>
        <w:t xml:space="preserve"> interpuso</w:t>
      </w:r>
      <w:r w:rsidRPr="00C83068">
        <w:rPr>
          <w:rFonts w:ascii="Palatino Linotype" w:hAnsi="Palatino Linotype" w:cs="Arial"/>
        </w:rPr>
        <w:t xml:space="preserve"> recurso de revisión, </w:t>
      </w:r>
      <w:r w:rsidR="00F42014" w:rsidRPr="00C83068">
        <w:rPr>
          <w:rFonts w:ascii="Palatino Linotype" w:hAnsi="Palatino Linotype" w:cs="Arial"/>
        </w:rPr>
        <w:t>exponiendo</w:t>
      </w:r>
      <w:r w:rsidRPr="00C83068">
        <w:rPr>
          <w:rFonts w:ascii="Palatino Linotype" w:hAnsi="Palatino Linotype" w:cs="Arial"/>
        </w:rPr>
        <w:t xml:space="preserve"> </w:t>
      </w:r>
      <w:r w:rsidR="00C77050" w:rsidRPr="00C83068">
        <w:rPr>
          <w:rFonts w:ascii="Palatino Linotype" w:hAnsi="Palatino Linotype" w:cs="Arial"/>
          <w:i/>
        </w:rPr>
        <w:t>grosso modo</w:t>
      </w:r>
      <w:r w:rsidR="00C77050" w:rsidRPr="00C83068">
        <w:rPr>
          <w:rFonts w:ascii="Palatino Linotype" w:hAnsi="Palatino Linotype" w:cs="Arial"/>
        </w:rPr>
        <w:t xml:space="preserve"> </w:t>
      </w:r>
      <w:r w:rsidR="001B0A9C" w:rsidRPr="00C83068">
        <w:rPr>
          <w:rFonts w:ascii="Palatino Linotype" w:hAnsi="Palatino Linotype" w:cs="Arial"/>
        </w:rPr>
        <w:t>la entrega de información incompleta</w:t>
      </w:r>
      <w:r w:rsidR="00580905" w:rsidRPr="00C83068">
        <w:rPr>
          <w:rFonts w:ascii="Palatino Linotype" w:hAnsi="Palatino Linotype" w:cs="Arial"/>
        </w:rPr>
        <w:t>.</w:t>
      </w:r>
    </w:p>
    <w:p w14:paraId="1A2A0718" w14:textId="77777777" w:rsidR="00283930" w:rsidRPr="00C83068" w:rsidRDefault="00283930" w:rsidP="00283930">
      <w:pPr>
        <w:pStyle w:val="Prrafodelista"/>
        <w:rPr>
          <w:rFonts w:ascii="Palatino Linotype" w:hAnsi="Palatino Linotype" w:cs="Arial"/>
        </w:rPr>
      </w:pPr>
    </w:p>
    <w:p w14:paraId="646B010A" w14:textId="36CFA842" w:rsidR="009417CA" w:rsidRPr="00C83068"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C83068">
        <w:rPr>
          <w:rFonts w:ascii="Palatino Linotype" w:eastAsia="MS Mincho" w:hAnsi="Palatino Linotype" w:cs="Arial"/>
        </w:rPr>
        <w:t xml:space="preserve">En </w:t>
      </w:r>
      <w:r w:rsidRPr="00C83068">
        <w:rPr>
          <w:rFonts w:ascii="Palatino Linotype" w:hAnsi="Palatino Linotype" w:cs="Arial"/>
        </w:rPr>
        <w:t xml:space="preserve">dichas condiciones, la </w:t>
      </w:r>
      <w:r w:rsidRPr="00C83068">
        <w:rPr>
          <w:rFonts w:ascii="Palatino Linotype" w:hAnsi="Palatino Linotype" w:cs="Arial"/>
          <w:i/>
        </w:rPr>
        <w:t>Litis</w:t>
      </w:r>
      <w:r w:rsidRPr="00C83068">
        <w:rPr>
          <w:rFonts w:ascii="Palatino Linotype" w:hAnsi="Palatino Linotype" w:cs="Arial"/>
        </w:rPr>
        <w:t xml:space="preserve"> a resolver en </w:t>
      </w:r>
      <w:r w:rsidR="003E7EB6" w:rsidRPr="00C83068">
        <w:rPr>
          <w:rFonts w:ascii="Palatino Linotype" w:hAnsi="Palatino Linotype" w:cs="Arial"/>
        </w:rPr>
        <w:t>el presente</w:t>
      </w:r>
      <w:r w:rsidRPr="00C83068">
        <w:rPr>
          <w:rFonts w:ascii="Palatino Linotype" w:hAnsi="Palatino Linotype" w:cs="Arial"/>
        </w:rPr>
        <w:t xml:space="preserve"> recurso de revisión, se circunscribe a determinar si </w:t>
      </w:r>
      <w:r w:rsidRPr="00C83068">
        <w:rPr>
          <w:rFonts w:ascii="Palatino Linotype" w:eastAsia="MS Mincho" w:hAnsi="Palatino Linotype" w:cs="Arial"/>
        </w:rPr>
        <w:t xml:space="preserve">se actualizan la causal de procedencia prevista en el </w:t>
      </w:r>
      <w:r w:rsidRPr="00C83068">
        <w:rPr>
          <w:rFonts w:ascii="Palatino Linotype" w:eastAsia="MS Mincho" w:hAnsi="Palatino Linotype" w:cs="Arial"/>
          <w:b/>
        </w:rPr>
        <w:t>artículo 179</w:t>
      </w:r>
      <w:r w:rsidRPr="00C83068">
        <w:rPr>
          <w:rFonts w:ascii="Palatino Linotype" w:eastAsia="MS Mincho" w:hAnsi="Palatino Linotype" w:cs="Arial"/>
        </w:rPr>
        <w:t xml:space="preserve">, </w:t>
      </w:r>
      <w:r w:rsidR="00580905" w:rsidRPr="00C83068">
        <w:rPr>
          <w:rFonts w:ascii="Palatino Linotype" w:eastAsia="MS Mincho" w:hAnsi="Palatino Linotype" w:cs="Arial"/>
        </w:rPr>
        <w:t>fracción</w:t>
      </w:r>
      <w:r w:rsidRPr="00C83068">
        <w:rPr>
          <w:rFonts w:ascii="Palatino Linotype" w:eastAsia="MS Mincho" w:hAnsi="Palatino Linotype" w:cs="Arial"/>
        </w:rPr>
        <w:t xml:space="preserve"> </w:t>
      </w:r>
      <w:r w:rsidR="00C77050" w:rsidRPr="00C83068">
        <w:rPr>
          <w:rFonts w:ascii="Palatino Linotype" w:eastAsia="MS Mincho" w:hAnsi="Palatino Linotype" w:cs="Arial"/>
          <w:b/>
        </w:rPr>
        <w:t>V</w:t>
      </w:r>
      <w:r w:rsidR="0039460E" w:rsidRPr="00C83068">
        <w:rPr>
          <w:rFonts w:ascii="Palatino Linotype" w:eastAsia="MS Mincho" w:hAnsi="Palatino Linotype" w:cs="Arial"/>
          <w:b/>
        </w:rPr>
        <w:t xml:space="preserve"> </w:t>
      </w:r>
      <w:r w:rsidRPr="00C83068">
        <w:rPr>
          <w:rFonts w:ascii="Palatino Linotype" w:eastAsia="MS Mincho" w:hAnsi="Palatino Linotype" w:cs="Arial"/>
        </w:rPr>
        <w:t xml:space="preserve">de la </w:t>
      </w:r>
      <w:r w:rsidRPr="00C83068">
        <w:rPr>
          <w:rFonts w:ascii="Palatino Linotype" w:eastAsia="MS Mincho" w:hAnsi="Palatino Linotype" w:cs="Arial"/>
          <w:b/>
        </w:rPr>
        <w:t xml:space="preserve">Ley de Transparencia y Acceso a la Información </w:t>
      </w:r>
      <w:r w:rsidRPr="00C83068">
        <w:rPr>
          <w:rFonts w:ascii="Palatino Linotype" w:hAnsi="Palatino Linotype" w:cs="Arial"/>
        </w:rPr>
        <w:t>Pública</w:t>
      </w:r>
      <w:r w:rsidRPr="00C83068">
        <w:rPr>
          <w:rFonts w:ascii="Palatino Linotype" w:eastAsia="MS Mincho" w:hAnsi="Palatino Linotype" w:cs="Arial"/>
          <w:b/>
        </w:rPr>
        <w:t xml:space="preserve"> del Estado de México y Municipios</w:t>
      </w:r>
      <w:r w:rsidRPr="00C83068">
        <w:rPr>
          <w:rFonts w:ascii="Palatino Linotype" w:eastAsia="MS Mincho" w:hAnsi="Palatino Linotype" w:cs="Arial"/>
        </w:rPr>
        <w:t xml:space="preserve">; </w:t>
      </w:r>
      <w:r w:rsidR="00580905" w:rsidRPr="00C83068">
        <w:rPr>
          <w:rFonts w:ascii="Palatino Linotype" w:hAnsi="Palatino Linotype" w:cs="Arial"/>
          <w:color w:val="000000" w:themeColor="text1"/>
        </w:rPr>
        <w:t>fracción</w:t>
      </w:r>
      <w:r w:rsidRPr="00C83068">
        <w:rPr>
          <w:rFonts w:ascii="Palatino Linotype" w:hAnsi="Palatino Linotype" w:cs="Arial"/>
          <w:color w:val="000000" w:themeColor="text1"/>
        </w:rPr>
        <w:t xml:space="preserve"> que determina la hipótesis jurídica de </w:t>
      </w:r>
      <w:r w:rsidR="001B0A9C" w:rsidRPr="00C83068">
        <w:rPr>
          <w:rFonts w:ascii="Palatino Linotype" w:hAnsi="Palatino Linotype" w:cs="Arial"/>
          <w:b/>
          <w:color w:val="000000" w:themeColor="text1"/>
        </w:rPr>
        <w:t>la entrega de información incompleta</w:t>
      </w:r>
      <w:r w:rsidRPr="00C83068">
        <w:rPr>
          <w:rFonts w:ascii="Palatino Linotype" w:hAnsi="Palatino Linotype" w:cs="Arial"/>
          <w:color w:val="000000" w:themeColor="text1"/>
        </w:rPr>
        <w:t xml:space="preserve">, </w:t>
      </w:r>
      <w:r w:rsidRPr="00C83068">
        <w:rPr>
          <w:rFonts w:ascii="Palatino Linotype" w:eastAsia="MS Mincho" w:hAnsi="Palatino Linotype" w:cs="Arial"/>
        </w:rPr>
        <w:t xml:space="preserve">causal de la que se dolió </w:t>
      </w:r>
      <w:r w:rsidR="001B0A9C" w:rsidRPr="00C83068">
        <w:rPr>
          <w:rFonts w:ascii="Palatino Linotype" w:eastAsia="MS Mincho" w:hAnsi="Palatino Linotype" w:cs="Arial"/>
        </w:rPr>
        <w:t>la particular</w:t>
      </w:r>
      <w:r w:rsidRPr="00C83068">
        <w:rPr>
          <w:rFonts w:ascii="Palatino Linotype" w:eastAsia="MS Mincho" w:hAnsi="Palatino Linotype" w:cs="Arial"/>
        </w:rPr>
        <w:t xml:space="preserve"> recurrente al momento de interponer su recurso de revisión,</w:t>
      </w:r>
      <w:r w:rsidRPr="00C83068">
        <w:rPr>
          <w:rFonts w:ascii="Palatino Linotype" w:hAnsi="Palatino Linotype" w:cs="Arial"/>
          <w:color w:val="000000" w:themeColor="text1"/>
        </w:rPr>
        <w:t xml:space="preserve"> por lo que se</w:t>
      </w:r>
      <w:r w:rsidRPr="00C83068">
        <w:rPr>
          <w:rFonts w:ascii="Palatino Linotype" w:hAnsi="Palatino Linotype" w:cs="Arial"/>
          <w:color w:val="000000" w:themeColor="text1"/>
          <w:szCs w:val="23"/>
        </w:rPr>
        <w:t xml:space="preserve"> determinará si el </w:t>
      </w:r>
      <w:r w:rsidRPr="00C83068">
        <w:rPr>
          <w:rFonts w:ascii="Palatino Linotype" w:hAnsi="Palatino Linotype" w:cs="Arial"/>
          <w:b/>
          <w:color w:val="000000" w:themeColor="text1"/>
          <w:szCs w:val="23"/>
        </w:rPr>
        <w:t>SUJETO</w:t>
      </w:r>
      <w:r w:rsidRPr="00C83068">
        <w:rPr>
          <w:rFonts w:ascii="Palatino Linotype" w:hAnsi="Palatino Linotype" w:cs="Arial"/>
          <w:color w:val="000000" w:themeColor="text1"/>
          <w:szCs w:val="23"/>
        </w:rPr>
        <w:t xml:space="preserve"> </w:t>
      </w:r>
      <w:r w:rsidRPr="00C83068">
        <w:rPr>
          <w:rFonts w:ascii="Palatino Linotype" w:hAnsi="Palatino Linotype" w:cs="Arial"/>
          <w:b/>
          <w:color w:val="000000" w:themeColor="text1"/>
          <w:szCs w:val="23"/>
        </w:rPr>
        <w:t>OBLIGADO</w:t>
      </w:r>
      <w:r w:rsidRPr="00C83068">
        <w:rPr>
          <w:rFonts w:ascii="Palatino Linotype" w:hAnsi="Palatino Linotype" w:cs="Arial"/>
          <w:color w:val="000000" w:themeColor="text1"/>
          <w:szCs w:val="23"/>
        </w:rPr>
        <w:t xml:space="preserve"> con su respuesta ciertamente </w:t>
      </w:r>
      <w:r w:rsidRPr="00C83068">
        <w:rPr>
          <w:rFonts w:ascii="Palatino Linotype" w:hAnsi="Palatino Linotype"/>
          <w:color w:val="000000" w:themeColor="text1"/>
        </w:rPr>
        <w:t>actualiza la causal de referencia</w:t>
      </w:r>
      <w:r w:rsidRPr="00C83068">
        <w:rPr>
          <w:rFonts w:ascii="Palatino Linotype" w:hAnsi="Palatino Linotype" w:cs="Arial"/>
          <w:color w:val="000000" w:themeColor="text1"/>
        </w:rPr>
        <w:t>; asimismo, determinar si se vulnera el derecho de acceso a la información d</w:t>
      </w:r>
      <w:r w:rsidR="001B0A9C" w:rsidRPr="00C83068">
        <w:rPr>
          <w:rFonts w:ascii="Palatino Linotype" w:hAnsi="Palatino Linotype" w:cs="Arial"/>
          <w:color w:val="000000" w:themeColor="text1"/>
        </w:rPr>
        <w:t>e la particular</w:t>
      </w:r>
      <w:r w:rsidRPr="00C83068">
        <w:rPr>
          <w:rFonts w:ascii="Palatino Linotype" w:hAnsi="Palatino Linotype" w:cs="Arial"/>
          <w:color w:val="000000" w:themeColor="text1"/>
        </w:rPr>
        <w:t xml:space="preserve"> por la inobservancia a los principios contenidos en el artículo 11 de la Ley de Transparencia y Acceso a la Información Pública del Estado </w:t>
      </w:r>
      <w:r w:rsidRPr="00C83068">
        <w:rPr>
          <w:rFonts w:ascii="Palatino Linotype" w:hAnsi="Palatino Linotype" w:cs="Arial"/>
          <w:color w:val="000000" w:themeColor="text1"/>
        </w:rPr>
        <w:lastRenderedPageBreak/>
        <w:t>de México y Municipios, los cuales señala entre otros, que en la generación y entrega de información se deberá garantizar que sea oportuna, completa e integral.</w:t>
      </w:r>
    </w:p>
    <w:p w14:paraId="7813D6B0" w14:textId="77777777" w:rsidR="009417CA" w:rsidRPr="00C83068" w:rsidRDefault="009417CA" w:rsidP="00BE1923">
      <w:pPr>
        <w:pStyle w:val="Prrafodelista"/>
        <w:spacing w:line="360" w:lineRule="auto"/>
        <w:rPr>
          <w:rFonts w:ascii="Palatino Linotype" w:eastAsia="MS Mincho" w:hAnsi="Palatino Linotype" w:cs="Arial"/>
        </w:rPr>
      </w:pPr>
    </w:p>
    <w:p w14:paraId="2C201A05" w14:textId="2D120257" w:rsidR="009417CA" w:rsidRPr="00C83068" w:rsidRDefault="009531A2" w:rsidP="00BE1923">
      <w:pPr>
        <w:pStyle w:val="Ttulo1"/>
        <w:spacing w:before="0" w:line="360" w:lineRule="auto"/>
        <w:rPr>
          <w:rFonts w:ascii="Palatino Linotype" w:hAnsi="Palatino Linotype"/>
          <w:b/>
          <w:color w:val="000000" w:themeColor="text1"/>
          <w:sz w:val="24"/>
        </w:rPr>
      </w:pPr>
      <w:bookmarkStart w:id="88" w:name="_Toc495427545"/>
      <w:bookmarkStart w:id="89" w:name="_Toc23414596"/>
      <w:bookmarkStart w:id="90" w:name="_Toc34819433"/>
      <w:bookmarkStart w:id="91" w:name="_Toc51259589"/>
      <w:bookmarkStart w:id="92" w:name="_Toc52472142"/>
      <w:bookmarkStart w:id="93" w:name="_Toc54808041"/>
      <w:bookmarkStart w:id="94" w:name="_Toc74778599"/>
      <w:bookmarkStart w:id="95" w:name="_Toc87274190"/>
      <w:r w:rsidRPr="00C83068">
        <w:rPr>
          <w:rFonts w:ascii="Palatino Linotype" w:hAnsi="Palatino Linotype"/>
          <w:b/>
          <w:color w:val="000000" w:themeColor="text1"/>
          <w:sz w:val="24"/>
        </w:rPr>
        <w:t>QUIN</w:t>
      </w:r>
      <w:r w:rsidR="00822012" w:rsidRPr="00C83068">
        <w:rPr>
          <w:rFonts w:ascii="Palatino Linotype" w:hAnsi="Palatino Linotype"/>
          <w:b/>
          <w:color w:val="000000" w:themeColor="text1"/>
          <w:sz w:val="24"/>
        </w:rPr>
        <w:t>T</w:t>
      </w:r>
      <w:r w:rsidR="009417CA" w:rsidRPr="00C83068">
        <w:rPr>
          <w:rFonts w:ascii="Palatino Linotype" w:hAnsi="Palatino Linotype"/>
          <w:b/>
          <w:color w:val="000000" w:themeColor="text1"/>
          <w:sz w:val="24"/>
        </w:rPr>
        <w:t>O. Del estudio y resolución del asunto.</w:t>
      </w:r>
      <w:bookmarkEnd w:id="88"/>
      <w:bookmarkEnd w:id="89"/>
      <w:bookmarkEnd w:id="90"/>
      <w:bookmarkEnd w:id="91"/>
      <w:bookmarkEnd w:id="92"/>
      <w:bookmarkEnd w:id="93"/>
      <w:bookmarkEnd w:id="94"/>
      <w:bookmarkEnd w:id="95"/>
    </w:p>
    <w:p w14:paraId="149F90C6" w14:textId="77777777" w:rsidR="0039460E" w:rsidRPr="00C83068" w:rsidRDefault="0039460E" w:rsidP="0039460E">
      <w:pPr>
        <w:rPr>
          <w:lang w:eastAsia="en-US"/>
        </w:rPr>
      </w:pPr>
    </w:p>
    <w:p w14:paraId="027D0966" w14:textId="77777777" w:rsidR="00C93C30" w:rsidRPr="00C8306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t>Primeramente es menester precisar</w:t>
      </w:r>
      <w:r w:rsidRPr="00C83068">
        <w:rPr>
          <w:rFonts w:ascii="Palatino Linotype" w:hAnsi="Palatino Linotype"/>
          <w:bCs/>
          <w:color w:val="000000" w:themeColor="text1"/>
          <w:lang w:val="es-MX"/>
        </w:rPr>
        <w:t xml:space="preserve"> que </w:t>
      </w:r>
      <w:r w:rsidRPr="00C83068">
        <w:rPr>
          <w:rFonts w:ascii="Palatino Linotype" w:hAnsi="Palatino Linotype"/>
          <w:bCs/>
          <w:color w:val="000000" w:themeColor="text1"/>
        </w:rPr>
        <w:t xml:space="preserve">este Órgano Garante parte del hecho que el Derecho de </w:t>
      </w:r>
      <w:r w:rsidRPr="00C83068">
        <w:rPr>
          <w:rFonts w:ascii="Palatino Linotype" w:eastAsia="MS Mincho" w:hAnsi="Palatino Linotype" w:cs="Arial"/>
        </w:rPr>
        <w:t>Acceso</w:t>
      </w:r>
      <w:r w:rsidRPr="00C83068">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83068">
        <w:rPr>
          <w:rFonts w:ascii="Palatino Linotype" w:hAnsi="Palatino Linotype"/>
          <w:b/>
          <w:bCs/>
          <w:color w:val="000000" w:themeColor="text1"/>
        </w:rPr>
        <w:t>SUJETO OBLIGADO</w:t>
      </w:r>
      <w:r w:rsidRPr="00C8306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83068">
        <w:rPr>
          <w:rFonts w:ascii="Palatino Linotype" w:hAnsi="Palatino Linotype"/>
          <w:b/>
          <w:bCs/>
          <w:color w:val="000000" w:themeColor="text1"/>
        </w:rPr>
        <w:t xml:space="preserve">Constitución Política de los Estados Unidos Mexicanos </w:t>
      </w:r>
      <w:r w:rsidRPr="00C83068">
        <w:rPr>
          <w:rFonts w:ascii="Palatino Linotype" w:hAnsi="Palatino Linotype"/>
          <w:bCs/>
          <w:color w:val="000000" w:themeColor="text1"/>
        </w:rPr>
        <w:t xml:space="preserve">al señalar la obligación de “promover, respetar, proteger y </w:t>
      </w:r>
      <w:r w:rsidRPr="00C83068">
        <w:rPr>
          <w:rFonts w:ascii="Palatino Linotype" w:hAnsi="Palatino Linotype"/>
          <w:b/>
          <w:bCs/>
          <w:color w:val="000000" w:themeColor="text1"/>
        </w:rPr>
        <w:t>garantizar</w:t>
      </w:r>
      <w:r w:rsidRPr="00C83068">
        <w:rPr>
          <w:rFonts w:ascii="Palatino Linotype" w:hAnsi="Palatino Linotype"/>
          <w:bCs/>
          <w:color w:val="000000" w:themeColor="text1"/>
        </w:rPr>
        <w:t xml:space="preserve"> los derechos humanos”, entre los cuales se encuentra dicho derecho.</w:t>
      </w:r>
    </w:p>
    <w:p w14:paraId="11DE4FB2" w14:textId="77777777" w:rsidR="00C93C30" w:rsidRPr="00C83068"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C8306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t xml:space="preserve">Por </w:t>
      </w:r>
      <w:r w:rsidRPr="00C83068">
        <w:rPr>
          <w:rFonts w:ascii="Palatino Linotype" w:hAnsi="Palatino Linotype"/>
          <w:color w:val="000000" w:themeColor="text1"/>
          <w:lang w:val="es-MX"/>
        </w:rPr>
        <w:t xml:space="preserve">lo anterior, se deduce que el derecho de acceso a la información pública es un </w:t>
      </w:r>
      <w:r w:rsidRPr="00C83068">
        <w:rPr>
          <w:rFonts w:ascii="Palatino Linotype" w:hAnsi="Palatino Linotype"/>
          <w:color w:val="000000" w:themeColor="text1"/>
        </w:rPr>
        <w:t>derecho</w:t>
      </w:r>
      <w:r w:rsidRPr="00C83068">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C83068" w:rsidRDefault="00C93C30" w:rsidP="00C93C30">
      <w:pPr>
        <w:pStyle w:val="Prrafodelista"/>
        <w:rPr>
          <w:rFonts w:ascii="Palatino Linotype" w:hAnsi="Palatino Linotype"/>
          <w:color w:val="000000" w:themeColor="text1"/>
        </w:rPr>
      </w:pPr>
    </w:p>
    <w:p w14:paraId="289871E1" w14:textId="77777777" w:rsidR="00C93C30" w:rsidRPr="00C8306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lastRenderedPageBreak/>
        <w:t xml:space="preserve">Así las cosas, </w:t>
      </w:r>
      <w:r w:rsidRPr="00C83068">
        <w:rPr>
          <w:rFonts w:ascii="Palatino Linotype" w:hAnsi="Palatino Linotype"/>
          <w:color w:val="000000" w:themeColor="text1"/>
          <w:lang w:val="es-MX"/>
        </w:rPr>
        <w:t xml:space="preserve">podemos definir el Derecho de Acceso a la Información Pública como: </w:t>
      </w:r>
      <w:r w:rsidRPr="00C83068">
        <w:rPr>
          <w:rFonts w:ascii="Palatino Linotype" w:hAnsi="Palatino Linotype"/>
          <w:i/>
          <w:color w:val="000000" w:themeColor="text1"/>
          <w:lang w:val="es-MX"/>
        </w:rPr>
        <w:t>La igualdad de oportunidades para recibir, buscar e impartir información</w:t>
      </w:r>
      <w:r w:rsidRPr="00C83068">
        <w:rPr>
          <w:rFonts w:ascii="Palatino Linotype" w:hAnsi="Palatino Linotype"/>
          <w:i/>
          <w:color w:val="000000" w:themeColor="text1"/>
          <w:vertAlign w:val="superscript"/>
          <w:lang w:val="es-MX"/>
        </w:rPr>
        <w:footnoteReference w:id="2"/>
      </w:r>
      <w:r w:rsidRPr="00C83068">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3068">
        <w:rPr>
          <w:rFonts w:ascii="Palatino Linotype" w:hAnsi="Palatino Linotype"/>
          <w:i/>
          <w:color w:val="000000" w:themeColor="text1"/>
          <w:vertAlign w:val="superscript"/>
          <w:lang w:val="es-MX"/>
        </w:rPr>
        <w:footnoteReference w:id="3"/>
      </w:r>
      <w:r w:rsidRPr="00C83068">
        <w:rPr>
          <w:rFonts w:ascii="Palatino Linotype" w:hAnsi="Palatino Linotype"/>
          <w:color w:val="000000" w:themeColor="text1"/>
          <w:lang w:val="es-MX"/>
        </w:rPr>
        <w:t>que se constituye como una herramienta fundamental para ejercer</w:t>
      </w:r>
      <w:r w:rsidRPr="00C83068">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83068">
        <w:rPr>
          <w:rFonts w:ascii="Palatino Linotype" w:hAnsi="Palatino Linotype"/>
          <w:i/>
          <w:color w:val="000000" w:themeColor="text1"/>
          <w:vertAlign w:val="superscript"/>
          <w:lang w:val="es-MX"/>
        </w:rPr>
        <w:footnoteReference w:id="4"/>
      </w:r>
      <w:r w:rsidRPr="00C83068">
        <w:rPr>
          <w:rFonts w:ascii="Palatino Linotype" w:hAnsi="Palatino Linotype"/>
          <w:i/>
          <w:color w:val="000000" w:themeColor="text1"/>
          <w:lang w:val="es-MX"/>
        </w:rPr>
        <w:t xml:space="preserve"> </w:t>
      </w:r>
      <w:r w:rsidRPr="00C83068">
        <w:rPr>
          <w:rFonts w:ascii="Palatino Linotype" w:hAnsi="Palatino Linotype"/>
          <w:color w:val="000000" w:themeColor="text1"/>
          <w:lang w:val="es-MX"/>
        </w:rPr>
        <w:t>fomentando</w:t>
      </w:r>
      <w:r w:rsidRPr="00C83068">
        <w:rPr>
          <w:rFonts w:ascii="Palatino Linotype" w:hAnsi="Palatino Linotype"/>
          <w:i/>
          <w:color w:val="000000" w:themeColor="text1"/>
          <w:lang w:val="es-MX"/>
        </w:rPr>
        <w:t xml:space="preserve"> la transparencia de las actividades estatales y </w:t>
      </w:r>
      <w:r w:rsidRPr="00C83068">
        <w:rPr>
          <w:rFonts w:ascii="Palatino Linotype" w:hAnsi="Palatino Linotype"/>
          <w:color w:val="000000" w:themeColor="text1"/>
          <w:lang w:val="es-MX"/>
        </w:rPr>
        <w:t>promoviendo</w:t>
      </w:r>
      <w:r w:rsidRPr="00C83068">
        <w:rPr>
          <w:rFonts w:ascii="Palatino Linotype" w:hAnsi="Palatino Linotype"/>
          <w:i/>
          <w:color w:val="000000" w:themeColor="text1"/>
          <w:lang w:val="es-MX"/>
        </w:rPr>
        <w:t xml:space="preserve"> la responsabilidad de los funcionarios sobre su gestión pública,</w:t>
      </w:r>
      <w:r w:rsidRPr="00C83068">
        <w:rPr>
          <w:rFonts w:ascii="Palatino Linotype" w:hAnsi="Palatino Linotype"/>
          <w:i/>
          <w:color w:val="000000" w:themeColor="text1"/>
          <w:vertAlign w:val="superscript"/>
          <w:lang w:val="es-MX"/>
        </w:rPr>
        <w:footnoteReference w:id="5"/>
      </w:r>
      <w:r w:rsidRPr="00C83068">
        <w:rPr>
          <w:rFonts w:ascii="Palatino Linotype" w:hAnsi="Palatino Linotype"/>
          <w:color w:val="000000" w:themeColor="text1"/>
          <w:lang w:val="es-MX"/>
        </w:rPr>
        <w:t>que permite</w:t>
      </w:r>
      <w:r w:rsidRPr="00C83068">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C83068" w:rsidRDefault="00C93C30" w:rsidP="00C93C30">
      <w:pPr>
        <w:pStyle w:val="Prrafodelista"/>
        <w:rPr>
          <w:rFonts w:ascii="Palatino Linotype" w:hAnsi="Palatino Linotype"/>
          <w:color w:val="000000" w:themeColor="text1"/>
        </w:rPr>
      </w:pPr>
    </w:p>
    <w:p w14:paraId="1AB2137B" w14:textId="77777777" w:rsidR="00C93C30" w:rsidRPr="00C83068"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t xml:space="preserve">Por otro lado, </w:t>
      </w:r>
      <w:r w:rsidRPr="00C83068">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C83068">
        <w:rPr>
          <w:rFonts w:ascii="Palatino Linotype" w:hAnsi="Palatino Linotype"/>
          <w:color w:val="000000" w:themeColor="text1"/>
          <w:lang w:val="es-MX"/>
        </w:rPr>
        <w:lastRenderedPageBreak/>
        <w:t>realizar el análisis al procedimiento de acceso a la información, podrá determinar la posible afectación y, de ser el caso, ordenar la reparación a la violación del derecho en cuestión.</w:t>
      </w:r>
    </w:p>
    <w:p w14:paraId="7EB90886" w14:textId="77777777" w:rsidR="00C93C30" w:rsidRPr="00C83068" w:rsidRDefault="00C93C30" w:rsidP="00C93C30">
      <w:pPr>
        <w:pStyle w:val="Prrafodelista"/>
        <w:spacing w:line="360" w:lineRule="auto"/>
        <w:ind w:left="0"/>
        <w:jc w:val="both"/>
        <w:rPr>
          <w:rFonts w:ascii="Palatino Linotype" w:eastAsia="MS Mincho" w:hAnsi="Palatino Linotype" w:cs="Arial"/>
        </w:rPr>
      </w:pPr>
    </w:p>
    <w:p w14:paraId="74877BA8" w14:textId="24F19118" w:rsidR="00EB53B4" w:rsidRPr="00C83068" w:rsidRDefault="00580905" w:rsidP="00EB53B4">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color w:val="000000"/>
        </w:rPr>
        <w:t xml:space="preserve">Acotado lo </w:t>
      </w:r>
      <w:r w:rsidRPr="00C83068">
        <w:rPr>
          <w:rFonts w:ascii="Palatino Linotype" w:hAnsi="Palatino Linotype"/>
          <w:color w:val="000000" w:themeColor="text1"/>
        </w:rPr>
        <w:t>anterior</w:t>
      </w:r>
      <w:r w:rsidRPr="00C83068">
        <w:rPr>
          <w:rFonts w:ascii="Palatino Linotype" w:hAnsi="Palatino Linotype"/>
          <w:color w:val="000000"/>
        </w:rPr>
        <w:t xml:space="preserve">, es dable primeramente señalar, que como se desprende del planteamiento de la </w:t>
      </w:r>
      <w:r w:rsidRPr="00C83068">
        <w:rPr>
          <w:rFonts w:ascii="Palatino Linotype" w:hAnsi="Palatino Linotype"/>
          <w:i/>
        </w:rPr>
        <w:t>Litis</w:t>
      </w:r>
      <w:r w:rsidRPr="00C83068">
        <w:rPr>
          <w:rFonts w:ascii="Palatino Linotype" w:hAnsi="Palatino Linotype"/>
          <w:i/>
          <w:color w:val="000000"/>
        </w:rPr>
        <w:t xml:space="preserve">, </w:t>
      </w:r>
      <w:r w:rsidRPr="00C83068">
        <w:rPr>
          <w:rFonts w:ascii="Palatino Linotype" w:hAnsi="Palatino Linotype"/>
          <w:color w:val="000000"/>
        </w:rPr>
        <w:t>l</w:t>
      </w:r>
      <w:r w:rsidR="006B2532" w:rsidRPr="00C83068">
        <w:rPr>
          <w:rFonts w:ascii="Palatino Linotype" w:hAnsi="Palatino Linotype"/>
          <w:color w:val="000000"/>
        </w:rPr>
        <w:t>a</w:t>
      </w:r>
      <w:r w:rsidRPr="00C83068">
        <w:rPr>
          <w:rFonts w:ascii="Palatino Linotype" w:hAnsi="Palatino Linotype"/>
          <w:color w:val="000000"/>
        </w:rPr>
        <w:t xml:space="preserve"> hoy </w:t>
      </w:r>
      <w:r w:rsidRPr="00C83068">
        <w:rPr>
          <w:rFonts w:ascii="Palatino Linotype" w:hAnsi="Palatino Linotype"/>
          <w:b/>
          <w:color w:val="000000"/>
        </w:rPr>
        <w:t>RECURRENTE</w:t>
      </w:r>
      <w:r w:rsidRPr="00C83068">
        <w:rPr>
          <w:rFonts w:ascii="Palatino Linotype" w:hAnsi="Palatino Linotype"/>
          <w:color w:val="000000"/>
        </w:rPr>
        <w:t>, se inconforma</w:t>
      </w:r>
      <w:r w:rsidR="005C07C0" w:rsidRPr="00C83068">
        <w:rPr>
          <w:rFonts w:ascii="Palatino Linotype" w:hAnsi="Palatino Linotype"/>
          <w:color w:val="000000"/>
        </w:rPr>
        <w:t xml:space="preserve"> </w:t>
      </w:r>
      <w:r w:rsidR="00EB53B4" w:rsidRPr="00C83068">
        <w:rPr>
          <w:rFonts w:ascii="Palatino Linotype" w:hAnsi="Palatino Linotype"/>
          <w:color w:val="000000"/>
        </w:rPr>
        <w:t xml:space="preserve">porque a su decir no se le entregan los oficios completos al no tener una numeración continua lo que a su decir demuestra </w:t>
      </w:r>
      <w:r w:rsidR="001207FA" w:rsidRPr="00C83068">
        <w:rPr>
          <w:rFonts w:ascii="Palatino Linotype" w:hAnsi="Palatino Linotype"/>
          <w:color w:val="000000"/>
        </w:rPr>
        <w:t xml:space="preserve">que </w:t>
      </w:r>
      <w:r w:rsidR="00EB53B4" w:rsidRPr="00C83068">
        <w:rPr>
          <w:rFonts w:ascii="Palatino Linotype" w:hAnsi="Palatino Linotype"/>
          <w:color w:val="000000"/>
        </w:rPr>
        <w:t>la información es incompleta.</w:t>
      </w:r>
    </w:p>
    <w:p w14:paraId="773D9203" w14:textId="77777777" w:rsidR="00EB53B4" w:rsidRPr="00C83068" w:rsidRDefault="00EB53B4" w:rsidP="00EB53B4">
      <w:pPr>
        <w:pStyle w:val="Prrafodelista"/>
        <w:rPr>
          <w:rFonts w:ascii="Palatino Linotype" w:hAnsi="Palatino Linotype"/>
        </w:rPr>
      </w:pPr>
    </w:p>
    <w:p w14:paraId="6257FA77" w14:textId="2AFA60A4" w:rsidR="001207FA" w:rsidRPr="00C83068" w:rsidRDefault="001207FA" w:rsidP="006B253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Contexto que fue abordado por el </w:t>
      </w:r>
      <w:r w:rsidRPr="00C83068">
        <w:rPr>
          <w:rFonts w:ascii="Palatino Linotype" w:hAnsi="Palatino Linotype"/>
          <w:b/>
        </w:rPr>
        <w:t xml:space="preserve">SUJETO OBLIGADO </w:t>
      </w:r>
      <w:r w:rsidRPr="00C83068">
        <w:rPr>
          <w:rFonts w:ascii="Palatino Linotype" w:hAnsi="Palatino Linotype"/>
        </w:rPr>
        <w:t xml:space="preserve">al momento de rendir sus informes justificados correspondientes, señalando que se remitieron únicamente aquellos que contaban con firma autógrafa del Secretario de Movilidad, como fuera solicitado de manera puntual en la solicitud de información inicial; es decir que </w:t>
      </w:r>
      <w:r w:rsidR="00C85BF6" w:rsidRPr="00C83068">
        <w:rPr>
          <w:rFonts w:ascii="Palatino Linotype" w:hAnsi="Palatino Linotype"/>
        </w:rPr>
        <w:t xml:space="preserve">se colige que </w:t>
      </w:r>
      <w:r w:rsidRPr="00C83068">
        <w:rPr>
          <w:rFonts w:ascii="Palatino Linotype" w:hAnsi="Palatino Linotype"/>
        </w:rPr>
        <w:t>eventualmente pudiera ser que no todos los oficios consecutivos hayan sido signados por el servidor público de referencia, hayan sido cancelados, etc.</w:t>
      </w:r>
    </w:p>
    <w:p w14:paraId="530D3905" w14:textId="77777777" w:rsidR="000D79AA" w:rsidRPr="00C83068" w:rsidRDefault="000D79AA" w:rsidP="000D79AA">
      <w:pPr>
        <w:pStyle w:val="Prrafodelista"/>
        <w:rPr>
          <w:rFonts w:ascii="Palatino Linotype" w:hAnsi="Palatino Linotype"/>
        </w:rPr>
      </w:pPr>
    </w:p>
    <w:p w14:paraId="4954BE16" w14:textId="518AF919" w:rsidR="000D79AA" w:rsidRPr="00C83068" w:rsidRDefault="000D79AA" w:rsidP="006B2532">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Asimismo, se enfatizó en que no se cuenta con información adicional a la ya entregada como se desprende de la siguiente captura de pantalla:</w:t>
      </w:r>
    </w:p>
    <w:p w14:paraId="588311D7" w14:textId="77777777" w:rsidR="00006F98" w:rsidRPr="00C83068" w:rsidRDefault="00006F98" w:rsidP="000D79AA">
      <w:pPr>
        <w:rPr>
          <w:rFonts w:ascii="Palatino Linotype" w:hAnsi="Palatino Linotype"/>
        </w:rPr>
      </w:pPr>
    </w:p>
    <w:p w14:paraId="2D48156A" w14:textId="1BF02EBC" w:rsidR="000D79AA" w:rsidRPr="00C83068" w:rsidRDefault="000D79AA" w:rsidP="000D79AA">
      <w:pPr>
        <w:rPr>
          <w:rFonts w:ascii="Palatino Linotype" w:hAnsi="Palatino Linotype"/>
        </w:rPr>
      </w:pPr>
      <w:r w:rsidRPr="00C83068">
        <w:rPr>
          <w:rFonts w:ascii="Palatino Linotype" w:hAnsi="Palatino Linotype"/>
          <w:noProof/>
        </w:rPr>
        <w:drawing>
          <wp:inline distT="0" distB="0" distL="0" distR="0" wp14:anchorId="4AFC66A9" wp14:editId="1EEF4FDC">
            <wp:extent cx="5600700" cy="508000"/>
            <wp:effectExtent l="19050" t="19050" r="1905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508000"/>
                    </a:xfrm>
                    <a:prstGeom prst="rect">
                      <a:avLst/>
                    </a:prstGeom>
                    <a:noFill/>
                    <a:ln>
                      <a:solidFill>
                        <a:schemeClr val="tx1"/>
                      </a:solidFill>
                    </a:ln>
                  </pic:spPr>
                </pic:pic>
              </a:graphicData>
            </a:graphic>
          </wp:inline>
        </w:drawing>
      </w:r>
    </w:p>
    <w:p w14:paraId="5DD77ADE" w14:textId="77777777" w:rsidR="000D79AA" w:rsidRPr="00C83068" w:rsidRDefault="000D79AA" w:rsidP="000D79AA">
      <w:pPr>
        <w:rPr>
          <w:rFonts w:ascii="Palatino Linotype" w:hAnsi="Palatino Linotype"/>
        </w:rPr>
      </w:pPr>
    </w:p>
    <w:p w14:paraId="5B0F9EA6" w14:textId="64A639C4" w:rsidR="00006F98" w:rsidRPr="00C83068" w:rsidRDefault="00006F98" w:rsidP="00006F98">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Por otro lado, si de los informes justificados </w:t>
      </w:r>
      <w:r w:rsidR="00C85BF6" w:rsidRPr="00C83068">
        <w:rPr>
          <w:rFonts w:ascii="Palatino Linotype" w:hAnsi="Palatino Linotype"/>
        </w:rPr>
        <w:t xml:space="preserve">se desprende que </w:t>
      </w:r>
      <w:r w:rsidRPr="00C83068">
        <w:rPr>
          <w:rFonts w:ascii="Palatino Linotype" w:hAnsi="Palatino Linotype"/>
        </w:rPr>
        <w:t xml:space="preserve">ya existe un pronunciamiento </w:t>
      </w:r>
      <w:r w:rsidR="00C85BF6" w:rsidRPr="00C83068">
        <w:rPr>
          <w:rFonts w:ascii="Palatino Linotype" w:hAnsi="Palatino Linotype"/>
        </w:rPr>
        <w:t xml:space="preserve">expreso </w:t>
      </w:r>
      <w:r w:rsidRPr="00C83068">
        <w:rPr>
          <w:rFonts w:ascii="Palatino Linotype" w:hAnsi="Palatino Linotype"/>
        </w:rPr>
        <w:t xml:space="preserve">de que </w:t>
      </w:r>
      <w:r w:rsidR="00C85BF6" w:rsidRPr="00C83068">
        <w:rPr>
          <w:rFonts w:ascii="Palatino Linotype" w:hAnsi="Palatino Linotype"/>
        </w:rPr>
        <w:t xml:space="preserve">la información entregada, corresponde a </w:t>
      </w:r>
      <w:r w:rsidRPr="00C83068">
        <w:rPr>
          <w:rFonts w:ascii="Palatino Linotype" w:hAnsi="Palatino Linotype"/>
        </w:rPr>
        <w:t xml:space="preserve">los oficios </w:t>
      </w:r>
      <w:r w:rsidR="00AC3B3E" w:rsidRPr="00C83068">
        <w:rPr>
          <w:rFonts w:ascii="Palatino Linotype" w:hAnsi="Palatino Linotype"/>
        </w:rPr>
        <w:lastRenderedPageBreak/>
        <w:t>signados</w:t>
      </w:r>
      <w:r w:rsidRPr="00C83068">
        <w:rPr>
          <w:rFonts w:ascii="Palatino Linotype" w:hAnsi="Palatino Linotype"/>
        </w:rPr>
        <w:t xml:space="preserve"> por el Secretario de Movilidad, para cada mes requerid</w:t>
      </w:r>
      <w:r w:rsidR="00C85BF6" w:rsidRPr="00C83068">
        <w:rPr>
          <w:rFonts w:ascii="Palatino Linotype" w:hAnsi="Palatino Linotype"/>
        </w:rPr>
        <w:t xml:space="preserve">o, </w:t>
      </w:r>
      <w:r w:rsidRPr="00C83068">
        <w:rPr>
          <w:rFonts w:ascii="Palatino Linotype" w:eastAsia="Palatino Linotype" w:hAnsi="Palatino Linotype" w:cs="Palatino Linotype"/>
          <w:color w:val="000000"/>
        </w:rPr>
        <w:t xml:space="preserve">este </w:t>
      </w:r>
      <w:r w:rsidRPr="00C83068">
        <w:rPr>
          <w:rFonts w:ascii="Palatino Linotype" w:eastAsia="MS Mincho" w:hAnsi="Palatino Linotype" w:cs="Arial"/>
        </w:rPr>
        <w:t>Instituto</w:t>
      </w:r>
      <w:r w:rsidRPr="00C83068">
        <w:rPr>
          <w:rFonts w:ascii="Palatino Linotype" w:eastAsia="Palatino Linotype" w:hAnsi="Palatino Linotype" w:cs="Palatino Linotype"/>
          <w:color w:val="000000"/>
        </w:rPr>
        <w:t xml:space="preserve"> no está facultado para dudar de la veracidad de </w:t>
      </w:r>
      <w:r w:rsidR="00C85BF6" w:rsidRPr="00C83068">
        <w:rPr>
          <w:rFonts w:ascii="Palatino Linotype" w:eastAsia="Palatino Linotype" w:hAnsi="Palatino Linotype" w:cs="Palatino Linotype"/>
          <w:color w:val="000000"/>
        </w:rPr>
        <w:t xml:space="preserve">dicho pronunciamiento, ni de </w:t>
      </w:r>
      <w:r w:rsidRPr="00C83068">
        <w:rPr>
          <w:rFonts w:ascii="Palatino Linotype" w:eastAsia="Palatino Linotype" w:hAnsi="Palatino Linotype" w:cs="Palatino Linotype"/>
          <w:color w:val="000000"/>
        </w:rPr>
        <w:t>las respuestas</w:t>
      </w:r>
      <w:r w:rsidR="00C85BF6" w:rsidRPr="00C83068">
        <w:rPr>
          <w:rFonts w:ascii="Palatino Linotype" w:eastAsia="Palatino Linotype" w:hAnsi="Palatino Linotype" w:cs="Palatino Linotype"/>
          <w:color w:val="000000"/>
        </w:rPr>
        <w:t>,</w:t>
      </w:r>
      <w:r w:rsidRPr="00C83068">
        <w:rPr>
          <w:rFonts w:ascii="Palatino Linotype" w:eastAsia="Palatino Linotype" w:hAnsi="Palatino Linotype" w:cs="Palatino Linotype"/>
          <w:color w:val="000000"/>
        </w:rPr>
        <w:t xml:space="preserve"> ni de las documentales que ponen a disposición de los solicitantes</w:t>
      </w:r>
      <w:r w:rsidR="00C85BF6" w:rsidRPr="00C83068">
        <w:rPr>
          <w:rFonts w:ascii="Palatino Linotype" w:eastAsia="Palatino Linotype" w:hAnsi="Palatino Linotype" w:cs="Palatino Linotype"/>
          <w:color w:val="000000"/>
        </w:rPr>
        <w:t xml:space="preserve"> los sujetos obligados</w:t>
      </w:r>
      <w:r w:rsidRPr="00C83068">
        <w:rPr>
          <w:rFonts w:ascii="Palatino Linotype" w:eastAsia="Palatino Linotype" w:hAnsi="Palatino Linotype" w:cs="Palatino Linotype"/>
          <w:color w:val="000000"/>
        </w:rPr>
        <w:t xml:space="preserve">, </w:t>
      </w:r>
      <w:r w:rsidRPr="00C83068">
        <w:rPr>
          <w:rFonts w:ascii="Palatino Linotype" w:hAnsi="Palatino Linotype" w:cs="Arial"/>
        </w:rPr>
        <w:t xml:space="preserve">situación que se aleja de las atribuciones de este Instituto </w:t>
      </w:r>
      <w:r w:rsidRPr="00C83068">
        <w:rPr>
          <w:rFonts w:ascii="Palatino Linotype" w:hAnsi="Palatino Linotype"/>
          <w:i/>
          <w:color w:val="000000"/>
        </w:rPr>
        <w:t>máxime</w:t>
      </w:r>
      <w:r w:rsidRPr="00C8306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0146320E" w14:textId="77777777" w:rsidR="00006F98" w:rsidRPr="00C83068" w:rsidRDefault="00006F98" w:rsidP="00006F98">
      <w:pPr>
        <w:pStyle w:val="Prrafodelista"/>
        <w:spacing w:line="360" w:lineRule="auto"/>
        <w:rPr>
          <w:rFonts w:ascii="Palatino Linotype" w:hAnsi="Palatino Linotype"/>
        </w:rPr>
      </w:pPr>
    </w:p>
    <w:p w14:paraId="7CFAFE33" w14:textId="77777777" w:rsidR="00006F98" w:rsidRPr="00C83068" w:rsidRDefault="00006F98" w:rsidP="00006F98">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cs="Arial"/>
        </w:rPr>
        <w:t>Sirviendo</w:t>
      </w:r>
      <w:r w:rsidRPr="00C83068">
        <w:rPr>
          <w:rFonts w:ascii="Palatino Linotype" w:hAnsi="Palatino Linotype"/>
        </w:rPr>
        <w:t xml:space="preserve"> de apoyo a lo anterior por analogía, el criterio 31-10 emitido por el ahora </w:t>
      </w:r>
      <w:r w:rsidRPr="00C83068">
        <w:rPr>
          <w:rFonts w:ascii="Palatino Linotype" w:hAnsi="Palatino Linotype"/>
          <w:color w:val="000000" w:themeColor="text1"/>
        </w:rPr>
        <w:t>Instituto</w:t>
      </w:r>
      <w:r w:rsidRPr="00C83068">
        <w:rPr>
          <w:rFonts w:ascii="Palatino Linotype" w:hAnsi="Palatino Linotype"/>
        </w:rPr>
        <w:t xml:space="preserve"> </w:t>
      </w:r>
      <w:r w:rsidRPr="00C83068">
        <w:rPr>
          <w:rFonts w:ascii="Palatino Linotype" w:eastAsia="Palatino Linotype" w:hAnsi="Palatino Linotype" w:cs="Palatino Linotype"/>
          <w:color w:val="000000"/>
        </w:rPr>
        <w:t>Nacional</w:t>
      </w:r>
      <w:r w:rsidRPr="00C83068">
        <w:rPr>
          <w:rFonts w:ascii="Palatino Linotype" w:hAnsi="Palatino Linotype"/>
        </w:rPr>
        <w:t xml:space="preserve"> de Transparencia, Acceso a la Información y Protección de Datos Personales, que a la letra dice:</w:t>
      </w:r>
    </w:p>
    <w:p w14:paraId="43F6F6CB" w14:textId="77777777" w:rsidR="00006F98" w:rsidRPr="00C83068" w:rsidRDefault="00006F98" w:rsidP="00006F98">
      <w:pPr>
        <w:pStyle w:val="Prrafodelista"/>
        <w:rPr>
          <w:rFonts w:ascii="Palatino Linotype" w:hAnsi="Palatino Linotype"/>
        </w:rPr>
      </w:pPr>
    </w:p>
    <w:p w14:paraId="7466B052" w14:textId="77777777" w:rsidR="00006F98" w:rsidRPr="00C83068" w:rsidRDefault="00006F98" w:rsidP="00006F98">
      <w:pPr>
        <w:pStyle w:val="Default"/>
        <w:spacing w:line="360" w:lineRule="auto"/>
        <w:ind w:left="851" w:right="850"/>
        <w:jc w:val="both"/>
        <w:rPr>
          <w:rFonts w:ascii="Palatino Linotype" w:hAnsi="Palatino Linotype"/>
          <w:i/>
        </w:rPr>
      </w:pPr>
      <w:r w:rsidRPr="00C83068">
        <w:rPr>
          <w:rFonts w:ascii="Palatino Linotype" w:hAnsi="Palatino Linotype"/>
          <w:i/>
        </w:rPr>
        <w:t xml:space="preserve">“El Instituto Federal de Acceso a la Información y Protección de Datos </w:t>
      </w:r>
      <w:r w:rsidRPr="00C83068">
        <w:rPr>
          <w:rFonts w:ascii="Palatino Linotype" w:hAnsi="Palatino Linotype"/>
          <w:b/>
          <w:i/>
        </w:rPr>
        <w:t>no cuenta con facultades para pronunciarse respecto de la veracidad de los documentos proporcionados por los sujetos obligados.</w:t>
      </w:r>
      <w:r w:rsidRPr="00C8306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C83068">
        <w:rPr>
          <w:rFonts w:ascii="Palatino Linotype" w:hAnsi="Palatino Linotype"/>
          <w:i/>
        </w:rPr>
        <w:lastRenderedPageBreak/>
        <w:t>de Transparencia y Acceso a la Información Pública Gubernamental no se prevé una causal que permita al Instituto Federal de Acceso a la Información y Protección de Datos conocer, vía recurso revisión, al respecto.”</w:t>
      </w:r>
    </w:p>
    <w:p w14:paraId="22872D2E" w14:textId="77777777" w:rsidR="00006F98" w:rsidRPr="00C83068" w:rsidRDefault="00006F98" w:rsidP="00006F98">
      <w:pPr>
        <w:pStyle w:val="Prrafodelista"/>
        <w:numPr>
          <w:ilvl w:val="0"/>
          <w:numId w:val="7"/>
        </w:numPr>
        <w:spacing w:line="360" w:lineRule="auto"/>
        <w:ind w:left="0" w:firstLine="0"/>
        <w:jc w:val="both"/>
        <w:rPr>
          <w:rFonts w:ascii="Palatino Linotype" w:hAnsi="Palatino Linotype"/>
          <w:i/>
        </w:rPr>
      </w:pPr>
      <w:r w:rsidRPr="00C83068">
        <w:rPr>
          <w:rFonts w:ascii="Palatino Linotype" w:hAnsi="Palatino Linotype" w:cs="Arial"/>
        </w:rPr>
        <w:t>Así como lo dispuesto por</w:t>
      </w:r>
      <w:r w:rsidRPr="00C83068">
        <w:rPr>
          <w:rFonts w:ascii="Palatino Linotype" w:hAnsi="Palatino Linotype"/>
        </w:rPr>
        <w:t xml:space="preserve"> la </w:t>
      </w:r>
      <w:r w:rsidRPr="00C83068">
        <w:rPr>
          <w:rFonts w:ascii="Palatino Linotype" w:hAnsi="Palatino Linotype"/>
          <w:b/>
        </w:rPr>
        <w:t xml:space="preserve">Ley de Transparencia y Acceso a la Información Pública del </w:t>
      </w:r>
      <w:r w:rsidRPr="00C83068">
        <w:rPr>
          <w:rFonts w:ascii="Palatino Linotype" w:hAnsi="Palatino Linotype" w:cs="Arial"/>
        </w:rPr>
        <w:t>Estado</w:t>
      </w:r>
      <w:r w:rsidRPr="00C83068">
        <w:rPr>
          <w:rFonts w:ascii="Palatino Linotype" w:hAnsi="Palatino Linotype"/>
          <w:b/>
        </w:rPr>
        <w:t xml:space="preserve"> de México y Municipios</w:t>
      </w:r>
      <w:r w:rsidRPr="00C8306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6DD0D10" w14:textId="77777777" w:rsidR="00006F98" w:rsidRPr="00C83068" w:rsidRDefault="00006F98" w:rsidP="00006F98">
      <w:pPr>
        <w:pStyle w:val="Prrafodelista"/>
        <w:spacing w:line="360" w:lineRule="auto"/>
        <w:ind w:left="0"/>
        <w:jc w:val="both"/>
        <w:rPr>
          <w:rFonts w:ascii="Palatino Linotype" w:hAnsi="Palatino Linotype"/>
          <w:i/>
        </w:rPr>
      </w:pPr>
    </w:p>
    <w:p w14:paraId="594AE000" w14:textId="77777777" w:rsidR="00006F98" w:rsidRPr="00C83068" w:rsidRDefault="00006F98" w:rsidP="00006F98">
      <w:pPr>
        <w:pStyle w:val="Prrafodelista"/>
        <w:spacing w:line="360" w:lineRule="auto"/>
        <w:ind w:left="567" w:right="680"/>
        <w:jc w:val="both"/>
        <w:rPr>
          <w:rFonts w:ascii="Palatino Linotype" w:hAnsi="Palatino Linotype" w:cs="Arial"/>
          <w:b/>
          <w:i/>
        </w:rPr>
      </w:pPr>
      <w:r w:rsidRPr="00C8306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8306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8803AE4" w14:textId="77777777" w:rsidR="00006F98" w:rsidRPr="00C83068" w:rsidRDefault="00006F98" w:rsidP="003829E5">
      <w:pPr>
        <w:spacing w:line="360" w:lineRule="auto"/>
        <w:ind w:right="902"/>
        <w:jc w:val="both"/>
        <w:rPr>
          <w:rFonts w:ascii="Palatino Linotype" w:hAnsi="Palatino Linotype" w:cs="Arial"/>
          <w:b/>
        </w:rPr>
      </w:pPr>
    </w:p>
    <w:p w14:paraId="5A5FFCF7" w14:textId="34EC15FB" w:rsidR="00006F98" w:rsidRPr="00C83068" w:rsidRDefault="00006F98" w:rsidP="00006F98">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C83068">
        <w:rPr>
          <w:rFonts w:ascii="Palatino Linotype" w:hAnsi="Palatino Linotype" w:cs="Arial"/>
        </w:rPr>
        <w:t>Numerales</w:t>
      </w:r>
      <w:r w:rsidRPr="00C83068">
        <w:rPr>
          <w:rFonts w:ascii="Palatino Linotype" w:hAnsi="Palatino Linotype" w:cs="Arial"/>
          <w:noProof/>
          <w:lang w:eastAsia="es-MX"/>
        </w:rPr>
        <w:t xml:space="preserve"> que compelen al </w:t>
      </w:r>
      <w:r w:rsidRPr="00C83068">
        <w:rPr>
          <w:rFonts w:ascii="Palatino Linotype" w:hAnsi="Palatino Linotype" w:cs="Arial"/>
          <w:b/>
          <w:noProof/>
          <w:lang w:eastAsia="es-MX"/>
        </w:rPr>
        <w:t>SUJETO OBLIGADO</w:t>
      </w:r>
      <w:r w:rsidRPr="00C83068">
        <w:rPr>
          <w:rFonts w:ascii="Palatino Linotype" w:hAnsi="Palatino Linotype" w:cs="Arial"/>
          <w:noProof/>
          <w:lang w:eastAsia="es-MX"/>
        </w:rPr>
        <w:t xml:space="preserve"> apegarse en todo momento a los </w:t>
      </w:r>
      <w:r w:rsidRPr="00C83068">
        <w:rPr>
          <w:rFonts w:ascii="Palatino Linotype" w:hAnsi="Palatino Linotype" w:cs="Arial"/>
        </w:rPr>
        <w:t>criterios</w:t>
      </w:r>
      <w:r w:rsidRPr="00C83068">
        <w:rPr>
          <w:rFonts w:ascii="Palatino Linotype" w:hAnsi="Palatino Linotype" w:cs="Arial"/>
          <w:noProof/>
          <w:lang w:eastAsia="es-MX"/>
        </w:rPr>
        <w:t xml:space="preserve"> ya expuestos, impidiendo a este Órgano Colegiado cuestionar la veracidad de la información;</w:t>
      </w:r>
      <w:r w:rsidRPr="00C83068">
        <w:rPr>
          <w:rFonts w:ascii="Palatino Linotype" w:eastAsia="Palatino Linotype" w:hAnsi="Palatino Linotype" w:cs="Palatino Linotype"/>
          <w:color w:val="000000"/>
        </w:rPr>
        <w:t xml:space="preserve"> luego entonces, se tienen por colmadas las solicitudes de información de mérito.</w:t>
      </w:r>
    </w:p>
    <w:p w14:paraId="39111361" w14:textId="6A75AAB6" w:rsidR="00280F11" w:rsidRPr="00C83068" w:rsidRDefault="00364223" w:rsidP="006B1AC0">
      <w:pPr>
        <w:pStyle w:val="Prrafodelista"/>
        <w:numPr>
          <w:ilvl w:val="0"/>
          <w:numId w:val="7"/>
        </w:numPr>
        <w:spacing w:line="360" w:lineRule="auto"/>
        <w:ind w:left="0" w:firstLine="0"/>
        <w:jc w:val="both"/>
        <w:rPr>
          <w:rFonts w:ascii="Palatino Linotype" w:hAnsi="Palatino Linotype" w:cs="Arial"/>
          <w:color w:val="000000" w:themeColor="text1"/>
        </w:rPr>
      </w:pPr>
      <w:r w:rsidRPr="00C83068">
        <w:rPr>
          <w:rFonts w:ascii="Palatino Linotype" w:hAnsi="Palatino Linotype" w:cs="Arial"/>
          <w:color w:val="000000" w:themeColor="text1"/>
          <w:lang w:eastAsia="es-MX"/>
        </w:rPr>
        <w:lastRenderedPageBreak/>
        <w:t>En ese contexto</w:t>
      </w:r>
      <w:r w:rsidR="00280F11" w:rsidRPr="00C83068">
        <w:rPr>
          <w:rFonts w:ascii="Palatino Linotype" w:hAnsi="Palatino Linotype" w:cs="Arial"/>
          <w:color w:val="000000" w:themeColor="text1"/>
        </w:rPr>
        <w:t xml:space="preserve">, para entender los alcances de la información pública se considera </w:t>
      </w:r>
      <w:r w:rsidR="00280F11" w:rsidRPr="00C83068">
        <w:rPr>
          <w:rFonts w:ascii="Palatino Linotype" w:hAnsi="Palatino Linotype" w:cs="Arial"/>
          <w:color w:val="000000" w:themeColor="text1"/>
          <w:lang w:eastAsia="es-MX"/>
        </w:rPr>
        <w:t>importante</w:t>
      </w:r>
      <w:r w:rsidR="00280F11" w:rsidRPr="00C83068">
        <w:rPr>
          <w:rFonts w:ascii="Palatino Linotype" w:hAnsi="Palatino Linotype" w:cs="Arial"/>
          <w:color w:val="000000" w:themeColor="text1"/>
        </w:rPr>
        <w:t xml:space="preserve"> citar el criterio </w:t>
      </w:r>
      <w:r w:rsidR="00280F11" w:rsidRPr="00C83068">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280F11" w:rsidRPr="00C83068">
        <w:rPr>
          <w:rFonts w:ascii="Palatino Linotype" w:hAnsi="Palatino Linotype" w:cs="Arial"/>
          <w:color w:val="000000" w:themeColor="text1"/>
        </w:rPr>
        <w:t>cuyo rubro y texto dispone:</w:t>
      </w:r>
    </w:p>
    <w:p w14:paraId="60150EB1" w14:textId="77777777" w:rsidR="006B1AC0" w:rsidRPr="00C83068" w:rsidRDefault="006B1AC0" w:rsidP="006B1AC0">
      <w:pPr>
        <w:pStyle w:val="Prrafodelista"/>
        <w:rPr>
          <w:rFonts w:ascii="Palatino Linotype" w:hAnsi="Palatino Linotype" w:cs="Arial"/>
          <w:color w:val="000000" w:themeColor="text1"/>
        </w:rPr>
      </w:pPr>
    </w:p>
    <w:p w14:paraId="5F213878" w14:textId="77777777" w:rsidR="00280F11" w:rsidRPr="00C83068" w:rsidRDefault="00280F11" w:rsidP="006B1AC0">
      <w:pPr>
        <w:autoSpaceDE w:val="0"/>
        <w:autoSpaceDN w:val="0"/>
        <w:adjustRightInd w:val="0"/>
        <w:spacing w:line="360" w:lineRule="auto"/>
        <w:ind w:left="567" w:right="567"/>
        <w:jc w:val="both"/>
        <w:rPr>
          <w:rFonts w:ascii="Palatino Linotype" w:hAnsi="Palatino Linotype" w:cs="Arial"/>
          <w:b/>
          <w:i/>
          <w:color w:val="000000" w:themeColor="text1"/>
        </w:rPr>
      </w:pPr>
      <w:r w:rsidRPr="00C83068">
        <w:rPr>
          <w:rFonts w:ascii="Palatino Linotype" w:hAnsi="Palatino Linotype" w:cs="Arial"/>
          <w:b/>
          <w:i/>
          <w:color w:val="000000" w:themeColor="text1"/>
        </w:rPr>
        <w:t>“CRITERIO 0002-11</w:t>
      </w:r>
    </w:p>
    <w:p w14:paraId="18803155" w14:textId="77777777" w:rsidR="00280F11" w:rsidRPr="00C83068"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83068">
        <w:rPr>
          <w:rFonts w:ascii="Palatino Linotype" w:hAnsi="Palatino Linotype" w:cs="Arial"/>
          <w:b/>
          <w:i/>
          <w:color w:val="000000" w:themeColor="text1"/>
        </w:rPr>
        <w:t xml:space="preserve">INFORMACIÓN PÚBLICA, CONCEPTO DE, EN MATERIA DE TRANSPARENCIA. INTERPRETACIÓN TEMÁTICA DE LOS ARTÍCULOS 2, FRACCIÓN </w:t>
      </w:r>
      <w:r w:rsidRPr="00C83068">
        <w:rPr>
          <w:rFonts w:ascii="Palatino Linotype" w:hAnsi="Palatino Linotype" w:cs="Arial"/>
          <w:b/>
          <w:bCs/>
          <w:i/>
          <w:color w:val="000000" w:themeColor="text1"/>
        </w:rPr>
        <w:t xml:space="preserve">V, XV, Y XVI, </w:t>
      </w:r>
      <w:r w:rsidRPr="00C83068">
        <w:rPr>
          <w:rFonts w:ascii="Palatino Linotype" w:hAnsi="Palatino Linotype" w:cs="Arial"/>
          <w:b/>
          <w:i/>
          <w:color w:val="000000" w:themeColor="text1"/>
        </w:rPr>
        <w:t>32, 4,11 Y 41.</w:t>
      </w:r>
      <w:r w:rsidRPr="00C83068">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F14646" w14:textId="77777777" w:rsidR="00280F11" w:rsidRPr="00C83068"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83068">
        <w:rPr>
          <w:rFonts w:ascii="Palatino Linotype" w:hAnsi="Palatino Linotype" w:cs="Arial"/>
          <w:i/>
          <w:color w:val="000000" w:themeColor="text1"/>
        </w:rPr>
        <w:t>En consecuencia el acceso a la información se refiere a que se cumplan cualquiera de los siguientes tres supuestos:</w:t>
      </w:r>
    </w:p>
    <w:p w14:paraId="2B21AE58" w14:textId="77777777" w:rsidR="00280F11" w:rsidRPr="00C83068"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83068">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462A2150" w14:textId="77777777" w:rsidR="00280F11" w:rsidRPr="00C83068" w:rsidRDefault="00280F11" w:rsidP="00280F11">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83068">
        <w:rPr>
          <w:rFonts w:ascii="Palatino Linotype" w:hAnsi="Palatino Linotype" w:cs="Arial"/>
          <w:i/>
          <w:color w:val="000000" w:themeColor="text1"/>
        </w:rPr>
        <w:lastRenderedPageBreak/>
        <w:t>Que se trate de información registrada en cualquier soporte documental, que en ejercicio de las atribuciones conferidas, sea administrada por los Sujetos Obligados, y</w:t>
      </w:r>
    </w:p>
    <w:p w14:paraId="594CCE81" w14:textId="77777777" w:rsidR="00280F11" w:rsidRPr="00C83068" w:rsidRDefault="00280F11" w:rsidP="00280F11">
      <w:pPr>
        <w:autoSpaceDE w:val="0"/>
        <w:autoSpaceDN w:val="0"/>
        <w:adjustRightInd w:val="0"/>
        <w:spacing w:line="360" w:lineRule="auto"/>
        <w:ind w:left="567" w:right="567"/>
        <w:jc w:val="both"/>
        <w:rPr>
          <w:rFonts w:ascii="Palatino Linotype" w:hAnsi="Palatino Linotype" w:cs="Arial"/>
          <w:i/>
          <w:color w:val="000000" w:themeColor="text1"/>
        </w:rPr>
      </w:pPr>
      <w:r w:rsidRPr="00C83068">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14:paraId="729B1FE6" w14:textId="77777777" w:rsidR="00280F11" w:rsidRPr="00C83068" w:rsidRDefault="00280F11" w:rsidP="00280F11">
      <w:pPr>
        <w:autoSpaceDE w:val="0"/>
        <w:autoSpaceDN w:val="0"/>
        <w:adjustRightInd w:val="0"/>
        <w:spacing w:line="360" w:lineRule="auto"/>
        <w:ind w:left="567" w:right="567"/>
        <w:jc w:val="both"/>
        <w:rPr>
          <w:rFonts w:ascii="Palatino Linotype" w:hAnsi="Palatino Linotype" w:cs="Arial"/>
          <w:i/>
          <w:color w:val="000000" w:themeColor="text1"/>
        </w:rPr>
      </w:pPr>
    </w:p>
    <w:p w14:paraId="444DEB59" w14:textId="5A6814B7" w:rsidR="00364223" w:rsidRPr="00C83068" w:rsidRDefault="006B1AC0" w:rsidP="00364223">
      <w:pPr>
        <w:pStyle w:val="Prrafodelista"/>
        <w:numPr>
          <w:ilvl w:val="0"/>
          <w:numId w:val="7"/>
        </w:numPr>
        <w:spacing w:line="360" w:lineRule="auto"/>
        <w:ind w:left="0" w:firstLine="0"/>
        <w:jc w:val="both"/>
        <w:rPr>
          <w:rFonts w:ascii="Palatino Linotype" w:hAnsi="Palatino Linotype" w:cs="Arial"/>
        </w:rPr>
      </w:pPr>
      <w:r w:rsidRPr="00C83068">
        <w:rPr>
          <w:rFonts w:ascii="Palatino Linotype" w:hAnsi="Palatino Linotype"/>
        </w:rPr>
        <w:t xml:space="preserve">En esa tesitura señalar </w:t>
      </w:r>
      <w:r w:rsidR="00AC3B3E" w:rsidRPr="00C83068">
        <w:rPr>
          <w:rFonts w:ascii="Palatino Linotype" w:hAnsi="Palatino Linotype"/>
        </w:rPr>
        <w:t xml:space="preserve">también </w:t>
      </w:r>
      <w:r w:rsidRPr="00C83068">
        <w:rPr>
          <w:rFonts w:ascii="Palatino Linotype" w:hAnsi="Palatino Linotype"/>
        </w:rPr>
        <w:t>que e</w:t>
      </w:r>
      <w:r w:rsidR="00364223" w:rsidRPr="00C83068">
        <w:rPr>
          <w:rFonts w:ascii="Palatino Linotype" w:hAnsi="Palatino Linotype"/>
        </w:rPr>
        <w:t xml:space="preserve">l </w:t>
      </w:r>
      <w:r w:rsidR="00364223" w:rsidRPr="00C83068">
        <w:rPr>
          <w:rFonts w:ascii="Palatino Linotype" w:hAnsi="Palatino Linotype" w:cs="Arial"/>
        </w:rPr>
        <w:t>derecho</w:t>
      </w:r>
      <w:r w:rsidR="00364223" w:rsidRPr="00C8306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7C4A807B" w14:textId="77777777" w:rsidR="00364223" w:rsidRPr="00C83068" w:rsidRDefault="00364223" w:rsidP="00364223">
      <w:pPr>
        <w:pStyle w:val="Prrafodelista"/>
        <w:spacing w:line="360" w:lineRule="auto"/>
        <w:ind w:left="0"/>
        <w:jc w:val="both"/>
        <w:rPr>
          <w:rFonts w:ascii="Palatino Linotype" w:hAnsi="Palatino Linotype" w:cs="Arial"/>
        </w:rPr>
      </w:pPr>
    </w:p>
    <w:p w14:paraId="512FF601" w14:textId="2C5FE2D8" w:rsidR="00364223" w:rsidRPr="00C83068" w:rsidRDefault="006B1AC0" w:rsidP="00364223">
      <w:pPr>
        <w:autoSpaceDE w:val="0"/>
        <w:autoSpaceDN w:val="0"/>
        <w:adjustRightInd w:val="0"/>
        <w:spacing w:line="360" w:lineRule="auto"/>
        <w:ind w:left="567" w:right="567"/>
        <w:jc w:val="both"/>
        <w:rPr>
          <w:rFonts w:ascii="Palatino Linotype" w:hAnsi="Palatino Linotype" w:cs="Bookman Old Style"/>
          <w:i/>
          <w:sz w:val="22"/>
        </w:rPr>
      </w:pPr>
      <w:r w:rsidRPr="00C83068">
        <w:rPr>
          <w:rFonts w:ascii="Palatino Linotype" w:hAnsi="Palatino Linotype" w:cs="Bookman Old Style,Bold"/>
          <w:b/>
          <w:bCs/>
          <w:i/>
          <w:sz w:val="22"/>
        </w:rPr>
        <w:t>“</w:t>
      </w:r>
      <w:r w:rsidR="00364223" w:rsidRPr="00C83068">
        <w:rPr>
          <w:rFonts w:ascii="Palatino Linotype" w:hAnsi="Palatino Linotype" w:cs="Bookman Old Style,Bold"/>
          <w:b/>
          <w:bCs/>
          <w:i/>
          <w:sz w:val="22"/>
        </w:rPr>
        <w:t xml:space="preserve">XI. Documento: </w:t>
      </w:r>
      <w:r w:rsidR="00364223" w:rsidRPr="00C83068">
        <w:rPr>
          <w:rFonts w:ascii="Palatino Linotype" w:hAnsi="Palatino Linotype" w:cs="Bookman Old Style"/>
          <w:i/>
          <w:sz w:val="22"/>
        </w:rPr>
        <w:t xml:space="preserve">Los expedientes, reportes, estudios, actas, resoluciones, </w:t>
      </w:r>
      <w:r w:rsidR="00364223" w:rsidRPr="00C83068">
        <w:rPr>
          <w:rFonts w:ascii="Palatino Linotype" w:hAnsi="Palatino Linotype" w:cs="Bookman Old Style"/>
          <w:b/>
          <w:i/>
          <w:sz w:val="22"/>
          <w:u w:val="single"/>
        </w:rPr>
        <w:t>oficios</w:t>
      </w:r>
      <w:r w:rsidR="00364223" w:rsidRPr="00C83068">
        <w:rPr>
          <w:rFonts w:ascii="Palatino Linotype" w:hAnsi="Palatino Linotype" w:cs="Bookman Old Style"/>
          <w:i/>
          <w:sz w:val="22"/>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83068">
        <w:rPr>
          <w:rFonts w:ascii="Palatino Linotype" w:hAnsi="Palatino Linotype" w:cs="Bookman Old Style"/>
          <w:i/>
          <w:sz w:val="22"/>
        </w:rPr>
        <w:t>”</w:t>
      </w:r>
    </w:p>
    <w:p w14:paraId="758E4617" w14:textId="0FBB2C5C" w:rsidR="006B1AC0" w:rsidRPr="00C83068" w:rsidRDefault="006B1AC0" w:rsidP="00364223">
      <w:pPr>
        <w:autoSpaceDE w:val="0"/>
        <w:autoSpaceDN w:val="0"/>
        <w:adjustRightInd w:val="0"/>
        <w:spacing w:line="360" w:lineRule="auto"/>
        <w:ind w:left="567" w:right="567"/>
        <w:jc w:val="both"/>
        <w:rPr>
          <w:rFonts w:ascii="Palatino Linotype" w:hAnsi="Palatino Linotype" w:cs="Bookman Old Style"/>
        </w:rPr>
      </w:pPr>
      <w:r w:rsidRPr="00C83068">
        <w:rPr>
          <w:rFonts w:ascii="Palatino Linotype" w:hAnsi="Palatino Linotype" w:cs="Bookman Old Style,Bold"/>
          <w:bCs/>
        </w:rPr>
        <w:t>Énfasis añadido</w:t>
      </w:r>
    </w:p>
    <w:p w14:paraId="37FD6000"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sz w:val="22"/>
        </w:rPr>
      </w:pPr>
    </w:p>
    <w:p w14:paraId="0E58BF76" w14:textId="77777777" w:rsidR="00364223" w:rsidRPr="00C83068" w:rsidRDefault="00364223" w:rsidP="00364223">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 xml:space="preserve">Es así que, todos los actos de autoridad que realicen los Sujetos Obligados </w:t>
      </w:r>
      <w:r w:rsidRPr="00C83068">
        <w:rPr>
          <w:rFonts w:ascii="Palatino Linotype" w:hAnsi="Palatino Linotype"/>
          <w:b/>
        </w:rPr>
        <w:t xml:space="preserve">deben estar </w:t>
      </w:r>
      <w:r w:rsidRPr="00C83068">
        <w:rPr>
          <w:rFonts w:ascii="Palatino Linotype" w:hAnsi="Palatino Linotype"/>
        </w:rPr>
        <w:t>documentados y, bajo el más alto estándar de transparencia deberán poner toda la información que se encuentre en su posesión, a disposición de los particulares que la soliciten.</w:t>
      </w:r>
    </w:p>
    <w:p w14:paraId="7DB5D513" w14:textId="77777777" w:rsidR="00364223" w:rsidRPr="00C83068" w:rsidRDefault="00364223" w:rsidP="00364223">
      <w:pPr>
        <w:pStyle w:val="Prrafodelista"/>
        <w:numPr>
          <w:ilvl w:val="0"/>
          <w:numId w:val="7"/>
        </w:numPr>
        <w:spacing w:line="360" w:lineRule="auto"/>
        <w:ind w:left="0" w:firstLine="0"/>
        <w:jc w:val="both"/>
        <w:rPr>
          <w:rFonts w:ascii="Palatino Linotype" w:eastAsia="Calibri" w:hAnsi="Palatino Linotype" w:cs="Arial"/>
        </w:rPr>
      </w:pPr>
      <w:r w:rsidRPr="00C83068">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43BC377B" w14:textId="77777777" w:rsidR="00364223" w:rsidRPr="00C83068" w:rsidRDefault="00364223" w:rsidP="00364223">
      <w:pPr>
        <w:pStyle w:val="Prrafodelista"/>
        <w:rPr>
          <w:rFonts w:ascii="Palatino Linotype" w:eastAsia="Calibri" w:hAnsi="Palatino Linotype" w:cs="Arial"/>
        </w:rPr>
      </w:pPr>
    </w:p>
    <w:p w14:paraId="26A95402"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Bold"/>
          <w:b/>
          <w:bCs/>
          <w:i/>
        </w:rPr>
        <w:t xml:space="preserve">Artículo 4. </w:t>
      </w:r>
      <w:r w:rsidRPr="00C8306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908A0E6"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
          <w:b/>
          <w:i/>
        </w:rPr>
        <w:t>Toda la información</w:t>
      </w:r>
      <w:r w:rsidRPr="00C83068">
        <w:rPr>
          <w:rFonts w:ascii="Palatino Linotype" w:hAnsi="Palatino Linotype" w:cs="Bookman Old Style"/>
          <w:i/>
        </w:rPr>
        <w:t xml:space="preserve"> generada, obtenida, adquirida, transformada, administrada o </w:t>
      </w:r>
      <w:r w:rsidRPr="00C83068">
        <w:rPr>
          <w:rFonts w:ascii="Palatino Linotype" w:hAnsi="Palatino Linotype" w:cs="Bookman Old Style"/>
          <w:b/>
          <w:i/>
        </w:rPr>
        <w:t>en posesión de los sujetos obligados es pública</w:t>
      </w:r>
      <w:r w:rsidRPr="00C8306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17F07"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94329D4"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p>
    <w:p w14:paraId="40A86E47"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189B5F7B"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
          <w:b/>
          <w:i/>
        </w:rPr>
        <w:lastRenderedPageBreak/>
        <w:t>Los sujetos obligados sólo proporcionarán la información pública que se les requiera y que obre en sus archivos y en el estado en que ésta se encuentre</w:t>
      </w:r>
      <w:r w:rsidRPr="00C83068">
        <w:rPr>
          <w:rFonts w:ascii="Palatino Linotype" w:hAnsi="Palatino Linotype" w:cs="Bookman Old Style"/>
          <w:i/>
        </w:rPr>
        <w:t>.</w:t>
      </w:r>
    </w:p>
    <w:p w14:paraId="1BAAA251"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r w:rsidRPr="00C83068">
        <w:rPr>
          <w:rFonts w:ascii="Palatino Linotype" w:hAnsi="Palatino Linotype" w:cs="Bookman Old Style"/>
          <w:i/>
        </w:rPr>
        <w:t>La obligación de proporcionar información no comprende el procesamiento de la misma, ni el presentarla conforme al interés del solicitante; no estarán obligados a generarla, resumirla, efectuar cálculos o practicar investigaciones.</w:t>
      </w:r>
    </w:p>
    <w:p w14:paraId="7C21AC7A" w14:textId="77777777" w:rsidR="00364223" w:rsidRPr="00C83068" w:rsidRDefault="00364223" w:rsidP="00364223">
      <w:pPr>
        <w:autoSpaceDE w:val="0"/>
        <w:autoSpaceDN w:val="0"/>
        <w:adjustRightInd w:val="0"/>
        <w:spacing w:line="360" w:lineRule="auto"/>
        <w:ind w:left="567" w:right="567"/>
        <w:jc w:val="both"/>
        <w:rPr>
          <w:rFonts w:ascii="Palatino Linotype" w:hAnsi="Palatino Linotype" w:cs="Bookman Old Style"/>
          <w:i/>
        </w:rPr>
      </w:pPr>
    </w:p>
    <w:p w14:paraId="32E2C739" w14:textId="77777777" w:rsidR="00364223" w:rsidRPr="00C83068" w:rsidRDefault="00364223" w:rsidP="00364223">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Luego entonces,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83068">
        <w:rPr>
          <w:rStyle w:val="Refdenotaalpie"/>
          <w:rFonts w:ascii="Palatino Linotype" w:hAnsi="Palatino Linotype"/>
        </w:rPr>
        <w:footnoteReference w:id="6"/>
      </w:r>
      <w:r w:rsidRPr="00C8306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10195C5" w14:textId="77777777" w:rsidR="00364223" w:rsidRPr="00C83068" w:rsidRDefault="00364223" w:rsidP="00364223">
      <w:pPr>
        <w:pStyle w:val="Prrafodelista"/>
        <w:spacing w:line="360" w:lineRule="auto"/>
        <w:ind w:left="0"/>
        <w:jc w:val="both"/>
        <w:rPr>
          <w:rFonts w:ascii="Palatino Linotype" w:hAnsi="Palatino Linotype"/>
        </w:rPr>
      </w:pPr>
    </w:p>
    <w:p w14:paraId="74DB8C04" w14:textId="77777777" w:rsidR="00364223" w:rsidRPr="00C83068" w:rsidRDefault="00364223" w:rsidP="00364223">
      <w:pPr>
        <w:pStyle w:val="Prrafodelista"/>
        <w:numPr>
          <w:ilvl w:val="0"/>
          <w:numId w:val="7"/>
        </w:numPr>
        <w:spacing w:line="360" w:lineRule="auto"/>
        <w:ind w:left="0" w:firstLine="0"/>
        <w:jc w:val="both"/>
        <w:rPr>
          <w:rFonts w:ascii="Palatino Linotype" w:hAnsi="Palatino Linotype"/>
        </w:rPr>
      </w:pPr>
      <w:r w:rsidRPr="00C8306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5977369" w14:textId="77777777" w:rsidR="00364223" w:rsidRPr="00C83068" w:rsidRDefault="00364223" w:rsidP="00364223">
      <w:pPr>
        <w:pStyle w:val="Prrafodelista"/>
        <w:rPr>
          <w:rFonts w:ascii="Palatino Linotype" w:hAnsi="Palatino Linotype"/>
        </w:rPr>
      </w:pPr>
    </w:p>
    <w:p w14:paraId="3E3343A9" w14:textId="77777777" w:rsidR="00364223" w:rsidRPr="00C83068" w:rsidRDefault="00364223" w:rsidP="00364223">
      <w:pPr>
        <w:pStyle w:val="Prrafodelista"/>
        <w:tabs>
          <w:tab w:val="left" w:pos="851"/>
        </w:tabs>
        <w:spacing w:line="360" w:lineRule="auto"/>
        <w:ind w:left="567" w:right="567"/>
        <w:jc w:val="both"/>
        <w:rPr>
          <w:rFonts w:ascii="Palatino Linotype" w:hAnsi="Palatino Linotype"/>
          <w:i/>
        </w:rPr>
      </w:pPr>
      <w:r w:rsidRPr="00C83068">
        <w:rPr>
          <w:rFonts w:ascii="Palatino Linotype" w:hAnsi="Palatino Linotype"/>
          <w:b/>
          <w:i/>
        </w:rPr>
        <w:lastRenderedPageBreak/>
        <w:t>ACCESO A LA INFORMACIÓN. IMPLICACIÓN DEL PRINCIPIO DE MÁXIMA PUBLICIDAD EN EL DERECHO FUNDAMENTAL RELATIVO.</w:t>
      </w:r>
      <w:r w:rsidRPr="00C8306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C83068">
        <w:rPr>
          <w:rFonts w:ascii="Palatino Linotype" w:hAnsi="Palatino Linotype"/>
          <w:i/>
        </w:rPr>
        <w:lastRenderedPageBreak/>
        <w:t xml:space="preserve">clasificar como confidencial o reservada, esto es, considerarla con una calidad diversa. </w:t>
      </w:r>
    </w:p>
    <w:p w14:paraId="4FB76CEE" w14:textId="77777777" w:rsidR="00364223" w:rsidRPr="00C83068" w:rsidRDefault="00364223" w:rsidP="00364223">
      <w:pPr>
        <w:pStyle w:val="Prrafodelista"/>
        <w:tabs>
          <w:tab w:val="left" w:pos="851"/>
        </w:tabs>
        <w:spacing w:line="360" w:lineRule="auto"/>
        <w:ind w:left="567" w:right="567"/>
        <w:jc w:val="both"/>
        <w:rPr>
          <w:rFonts w:ascii="Palatino Linotype" w:hAnsi="Palatino Linotype"/>
          <w:i/>
        </w:rPr>
      </w:pPr>
    </w:p>
    <w:p w14:paraId="4ADACBB0" w14:textId="77777777" w:rsidR="00364223" w:rsidRPr="00C83068" w:rsidRDefault="00364223" w:rsidP="00364223">
      <w:pPr>
        <w:pStyle w:val="Prrafodelista"/>
        <w:tabs>
          <w:tab w:val="left" w:pos="851"/>
        </w:tabs>
        <w:spacing w:line="360" w:lineRule="auto"/>
        <w:ind w:left="567" w:right="567"/>
        <w:jc w:val="both"/>
        <w:rPr>
          <w:rFonts w:ascii="Palatino Linotype" w:hAnsi="Palatino Linotype"/>
          <w:i/>
        </w:rPr>
      </w:pPr>
      <w:r w:rsidRPr="00C83068">
        <w:rPr>
          <w:rFonts w:ascii="Palatino Linotype" w:hAnsi="Palatino Linotype"/>
          <w:i/>
        </w:rPr>
        <w:t xml:space="preserve">CUARTO TRIBUNAL COLEGIADO EN MATERIA ADMINISTRATIVA DEL PRIMER CIRCUITO. </w:t>
      </w:r>
    </w:p>
    <w:p w14:paraId="46C507FD" w14:textId="77777777" w:rsidR="00364223" w:rsidRPr="00C83068" w:rsidRDefault="00364223" w:rsidP="00364223">
      <w:pPr>
        <w:pStyle w:val="Prrafodelista"/>
        <w:tabs>
          <w:tab w:val="left" w:pos="851"/>
        </w:tabs>
        <w:spacing w:line="360" w:lineRule="auto"/>
        <w:ind w:left="567" w:right="567"/>
        <w:jc w:val="both"/>
        <w:rPr>
          <w:rFonts w:ascii="Palatino Linotype" w:hAnsi="Palatino Linotype"/>
          <w:i/>
        </w:rPr>
      </w:pPr>
      <w:r w:rsidRPr="00C83068">
        <w:rPr>
          <w:rFonts w:ascii="Palatino Linotype" w:hAnsi="Palatino Linotype"/>
          <w:i/>
        </w:rPr>
        <w:t xml:space="preserve">Amparo en revisión 257/2012. Ruth Corona Muñoz. 6 de diciembre de 2012. Unanimidad de votos. Ponente: Jean Claude </w:t>
      </w:r>
      <w:proofErr w:type="spellStart"/>
      <w:r w:rsidRPr="00C83068">
        <w:rPr>
          <w:rFonts w:ascii="Palatino Linotype" w:hAnsi="Palatino Linotype"/>
          <w:i/>
        </w:rPr>
        <w:t>Tron</w:t>
      </w:r>
      <w:proofErr w:type="spellEnd"/>
      <w:r w:rsidRPr="00C83068">
        <w:rPr>
          <w:rFonts w:ascii="Palatino Linotype" w:hAnsi="Palatino Linotype"/>
          <w:i/>
        </w:rPr>
        <w:t xml:space="preserve"> </w:t>
      </w:r>
      <w:proofErr w:type="spellStart"/>
      <w:r w:rsidRPr="00C83068">
        <w:rPr>
          <w:rFonts w:ascii="Palatino Linotype" w:hAnsi="Palatino Linotype"/>
          <w:i/>
        </w:rPr>
        <w:t>Petit</w:t>
      </w:r>
      <w:proofErr w:type="spellEnd"/>
      <w:r w:rsidRPr="00C83068">
        <w:rPr>
          <w:rFonts w:ascii="Palatino Linotype" w:hAnsi="Palatino Linotype"/>
          <w:i/>
        </w:rPr>
        <w:t>. Secretaria: Mayra Susana Martínez López.</w:t>
      </w:r>
    </w:p>
    <w:p w14:paraId="0FD041B7" w14:textId="77777777" w:rsidR="00364223" w:rsidRPr="00C83068" w:rsidRDefault="00364223" w:rsidP="00364223">
      <w:pPr>
        <w:shd w:val="clear" w:color="auto" w:fill="FFFFFF"/>
        <w:spacing w:line="360" w:lineRule="auto"/>
        <w:contextualSpacing/>
        <w:jc w:val="both"/>
        <w:rPr>
          <w:rFonts w:ascii="Calibri" w:hAnsi="Calibri"/>
          <w:color w:val="222222"/>
        </w:rPr>
      </w:pPr>
    </w:p>
    <w:p w14:paraId="28E03D9C" w14:textId="6E596506" w:rsidR="00260E9A" w:rsidRPr="00C83068" w:rsidRDefault="00260E9A" w:rsidP="00AC3B3E">
      <w:pPr>
        <w:pStyle w:val="Prrafodelista"/>
        <w:numPr>
          <w:ilvl w:val="0"/>
          <w:numId w:val="7"/>
        </w:numPr>
        <w:spacing w:line="360" w:lineRule="auto"/>
        <w:ind w:left="0" w:firstLine="0"/>
        <w:jc w:val="both"/>
        <w:rPr>
          <w:rFonts w:ascii="Palatino Linotype" w:hAnsi="Palatino Linotype"/>
          <w:color w:val="000000" w:themeColor="text1"/>
        </w:rPr>
      </w:pPr>
      <w:r w:rsidRPr="00C83068">
        <w:rPr>
          <w:rFonts w:ascii="Palatino Linotype" w:hAnsi="Palatino Linotype"/>
          <w:color w:val="000000" w:themeColor="text1"/>
        </w:rPr>
        <w:t xml:space="preserve">Así, en mérito de lo expuesto en líneas anteriores se estima que resultan </w:t>
      </w:r>
      <w:r w:rsidRPr="00C83068">
        <w:rPr>
          <w:rFonts w:ascii="Palatino Linotype" w:hAnsi="Palatino Linotype"/>
          <w:b/>
          <w:color w:val="000000" w:themeColor="text1"/>
        </w:rPr>
        <w:t>infundadas</w:t>
      </w:r>
      <w:r w:rsidRPr="00C83068">
        <w:rPr>
          <w:rFonts w:ascii="Palatino Linotype" w:hAnsi="Palatino Linotype"/>
          <w:color w:val="000000" w:themeColor="text1"/>
        </w:rPr>
        <w:t xml:space="preserve"> </w:t>
      </w:r>
      <w:r w:rsidRPr="00C83068">
        <w:rPr>
          <w:rFonts w:ascii="Palatino Linotype" w:hAnsi="Palatino Linotype" w:cs="Arial"/>
        </w:rPr>
        <w:t>las</w:t>
      </w:r>
      <w:r w:rsidRPr="00C83068">
        <w:rPr>
          <w:rFonts w:ascii="Palatino Linotype" w:hAnsi="Palatino Linotype"/>
          <w:color w:val="000000" w:themeColor="text1"/>
        </w:rPr>
        <w:t xml:space="preserve"> razones o </w:t>
      </w:r>
      <w:r w:rsidRPr="00C83068">
        <w:rPr>
          <w:rFonts w:ascii="Palatino Linotype" w:hAnsi="Palatino Linotype" w:cs="Arial"/>
        </w:rPr>
        <w:t>motivos</w:t>
      </w:r>
      <w:r w:rsidRPr="00C83068">
        <w:rPr>
          <w:rFonts w:ascii="Palatino Linotype" w:hAnsi="Palatino Linotype"/>
          <w:color w:val="000000" w:themeColor="text1"/>
        </w:rPr>
        <w:t xml:space="preserve"> de inconformidad que arguye </w:t>
      </w:r>
      <w:r w:rsidR="00491AD4" w:rsidRPr="00C83068">
        <w:rPr>
          <w:rFonts w:ascii="Palatino Linotype" w:hAnsi="Palatino Linotype"/>
          <w:b/>
          <w:color w:val="000000" w:themeColor="text1"/>
        </w:rPr>
        <w:t>LA RECURRENTE</w:t>
      </w:r>
      <w:r w:rsidRPr="00C83068">
        <w:rPr>
          <w:rFonts w:ascii="Palatino Linotype" w:hAnsi="Palatino Linotype"/>
          <w:color w:val="000000" w:themeColor="text1"/>
        </w:rPr>
        <w:t xml:space="preserve">, por </w:t>
      </w:r>
      <w:r w:rsidRPr="00C83068">
        <w:rPr>
          <w:rFonts w:ascii="Palatino Linotype" w:hAnsi="Palatino Linotype" w:cs="Arial"/>
        </w:rPr>
        <w:t>ello</w:t>
      </w:r>
      <w:r w:rsidRPr="00C83068">
        <w:rPr>
          <w:rFonts w:ascii="Palatino Linotype" w:hAnsi="Palatino Linotype"/>
          <w:color w:val="000000" w:themeColor="text1"/>
        </w:rPr>
        <w:t xml:space="preserve"> con fundamento en el artículo 186, fracción II, de la Ley de Transparencia y Acceso a la </w:t>
      </w:r>
      <w:r w:rsidRPr="00C83068">
        <w:rPr>
          <w:rFonts w:ascii="Palatino Linotype" w:hAnsi="Palatino Linotype" w:cs="Arial"/>
        </w:rPr>
        <w:t>Información</w:t>
      </w:r>
      <w:r w:rsidRPr="00C83068">
        <w:rPr>
          <w:rFonts w:ascii="Palatino Linotype" w:hAnsi="Palatino Linotype"/>
          <w:color w:val="000000" w:themeColor="text1"/>
        </w:rPr>
        <w:t xml:space="preserve"> Pública del Estado de México y Municipios, se </w:t>
      </w:r>
      <w:r w:rsidRPr="00C83068">
        <w:rPr>
          <w:rFonts w:ascii="Palatino Linotype" w:hAnsi="Palatino Linotype"/>
          <w:b/>
          <w:color w:val="000000" w:themeColor="text1"/>
        </w:rPr>
        <w:t>CONFIRMA</w:t>
      </w:r>
      <w:r w:rsidR="00AC3B3E" w:rsidRPr="00C83068">
        <w:rPr>
          <w:rFonts w:ascii="Palatino Linotype" w:hAnsi="Palatino Linotype"/>
          <w:b/>
          <w:color w:val="000000" w:themeColor="text1"/>
        </w:rPr>
        <w:t>N</w:t>
      </w:r>
      <w:r w:rsidRPr="00C83068">
        <w:rPr>
          <w:rFonts w:ascii="Palatino Linotype" w:hAnsi="Palatino Linotype"/>
          <w:color w:val="000000" w:themeColor="text1"/>
        </w:rPr>
        <w:t xml:space="preserve"> la</w:t>
      </w:r>
      <w:r w:rsidR="00AC3B3E" w:rsidRPr="00C83068">
        <w:rPr>
          <w:rFonts w:ascii="Palatino Linotype" w:hAnsi="Palatino Linotype"/>
          <w:color w:val="000000" w:themeColor="text1"/>
        </w:rPr>
        <w:t>s</w:t>
      </w:r>
      <w:r w:rsidRPr="00C83068">
        <w:rPr>
          <w:rFonts w:ascii="Palatino Linotype" w:hAnsi="Palatino Linotype"/>
          <w:color w:val="000000" w:themeColor="text1"/>
        </w:rPr>
        <w:t xml:space="preserve"> respuesta</w:t>
      </w:r>
      <w:r w:rsidR="00AC3B3E" w:rsidRPr="00C83068">
        <w:rPr>
          <w:rFonts w:ascii="Palatino Linotype" w:hAnsi="Palatino Linotype"/>
          <w:color w:val="000000" w:themeColor="text1"/>
        </w:rPr>
        <w:t>s</w:t>
      </w:r>
      <w:r w:rsidRPr="00C83068">
        <w:rPr>
          <w:rFonts w:ascii="Palatino Linotype" w:hAnsi="Palatino Linotype"/>
          <w:color w:val="000000" w:themeColor="text1"/>
        </w:rPr>
        <w:t xml:space="preserve"> a la</w:t>
      </w:r>
      <w:r w:rsidR="00AC3B3E" w:rsidRPr="00C83068">
        <w:rPr>
          <w:rFonts w:ascii="Palatino Linotype" w:hAnsi="Palatino Linotype"/>
          <w:color w:val="000000" w:themeColor="text1"/>
        </w:rPr>
        <w:t>s</w:t>
      </w:r>
      <w:r w:rsidRPr="00C83068">
        <w:rPr>
          <w:rFonts w:ascii="Palatino Linotype" w:hAnsi="Palatino Linotype"/>
          <w:color w:val="000000" w:themeColor="text1"/>
        </w:rPr>
        <w:t xml:space="preserve"> solicitud</w:t>
      </w:r>
      <w:r w:rsidR="00AC3B3E" w:rsidRPr="00C83068">
        <w:rPr>
          <w:rFonts w:ascii="Palatino Linotype" w:hAnsi="Palatino Linotype"/>
          <w:color w:val="000000" w:themeColor="text1"/>
        </w:rPr>
        <w:t>es</w:t>
      </w:r>
      <w:r w:rsidRPr="00C83068">
        <w:rPr>
          <w:rFonts w:ascii="Palatino Linotype" w:hAnsi="Palatino Linotype"/>
          <w:color w:val="000000" w:themeColor="text1"/>
        </w:rPr>
        <w:t xml:space="preserve"> de información pública </w:t>
      </w:r>
      <w:r w:rsidR="00AC3B3E" w:rsidRPr="00C83068">
        <w:rPr>
          <w:rFonts w:ascii="Palatino Linotype" w:hAnsi="Palatino Linotype"/>
          <w:b/>
          <w:color w:val="000000" w:themeColor="text1"/>
        </w:rPr>
        <w:t>00163/SMOV/IP/2022, 00164/SMOV/IP/2022, 00165/SMOV/IP/2022 y 00167/SMOV/IP/2022</w:t>
      </w:r>
      <w:r w:rsidRPr="00C83068">
        <w:rPr>
          <w:rFonts w:ascii="Palatino Linotype" w:hAnsi="Palatino Linotype"/>
          <w:color w:val="000000" w:themeColor="text1"/>
        </w:rPr>
        <w:t>, que ha</w:t>
      </w:r>
      <w:r w:rsidR="00AC3B3E" w:rsidRPr="00C83068">
        <w:rPr>
          <w:rFonts w:ascii="Palatino Linotype" w:hAnsi="Palatino Linotype"/>
          <w:color w:val="000000" w:themeColor="text1"/>
        </w:rPr>
        <w:t>n</w:t>
      </w:r>
      <w:r w:rsidRPr="00C83068">
        <w:rPr>
          <w:rFonts w:ascii="Palatino Linotype" w:hAnsi="Palatino Linotype"/>
          <w:color w:val="000000" w:themeColor="text1"/>
        </w:rPr>
        <w:t xml:space="preserve"> sido materia del presente fallo, por lo que</w:t>
      </w:r>
      <w:r w:rsidRPr="00C83068">
        <w:rPr>
          <w:rFonts w:ascii="Palatino Linotype" w:hAnsi="Palatino Linotype"/>
          <w:color w:val="000000" w:themeColor="text1"/>
          <w:lang w:eastAsia="es-MX"/>
        </w:rPr>
        <w:t xml:space="preserve"> este </w:t>
      </w:r>
      <w:r w:rsidRPr="00C83068">
        <w:rPr>
          <w:rFonts w:ascii="Palatino Linotype" w:hAnsi="Palatino Linotype"/>
          <w:b/>
          <w:bCs/>
          <w:color w:val="000000" w:themeColor="text1"/>
          <w:lang w:eastAsia="es-MX"/>
        </w:rPr>
        <w:t>ÓRGANO GARANTE</w:t>
      </w:r>
      <w:r w:rsidRPr="00C83068">
        <w:rPr>
          <w:rFonts w:ascii="Palatino Linotype" w:hAnsi="Palatino Linotype"/>
          <w:color w:val="000000" w:themeColor="text1"/>
          <w:lang w:eastAsia="es-MX"/>
        </w:rPr>
        <w:t xml:space="preserve"> emite los siguientes:</w:t>
      </w:r>
    </w:p>
    <w:p w14:paraId="6D0F9657" w14:textId="77777777" w:rsidR="00D66546" w:rsidRPr="00C83068" w:rsidRDefault="00D66546" w:rsidP="00D66546">
      <w:pPr>
        <w:pStyle w:val="Prrafodelista"/>
        <w:rPr>
          <w:rFonts w:ascii="Palatino Linotype" w:hAnsi="Palatino Linotype"/>
          <w:color w:val="000000" w:themeColor="text1"/>
        </w:rPr>
      </w:pPr>
    </w:p>
    <w:p w14:paraId="40BE9D81" w14:textId="77777777" w:rsidR="007C7F08" w:rsidRPr="00C83068"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96" w:name="_Toc504500693"/>
      <w:bookmarkStart w:id="97" w:name="_Toc534742545"/>
      <w:bookmarkStart w:id="98" w:name="_Toc2248738"/>
      <w:bookmarkStart w:id="99" w:name="_Toc34819440"/>
      <w:bookmarkStart w:id="100" w:name="_Toc51259595"/>
      <w:bookmarkStart w:id="101" w:name="_Toc52472147"/>
      <w:bookmarkStart w:id="102" w:name="_Toc63932077"/>
      <w:bookmarkStart w:id="103" w:name="_Toc87274191"/>
      <w:r w:rsidRPr="00C83068">
        <w:rPr>
          <w:rFonts w:ascii="Palatino Linotype" w:eastAsia="Calibri" w:hAnsi="Palatino Linotype"/>
          <w:b/>
          <w:color w:val="000000" w:themeColor="text1"/>
          <w:sz w:val="24"/>
          <w:szCs w:val="24"/>
          <w:lang w:val="es-ES"/>
        </w:rPr>
        <w:t>R E S O L U T I V O S</w:t>
      </w:r>
      <w:bookmarkEnd w:id="96"/>
      <w:bookmarkEnd w:id="97"/>
      <w:bookmarkEnd w:id="98"/>
      <w:bookmarkEnd w:id="99"/>
      <w:bookmarkEnd w:id="100"/>
      <w:bookmarkEnd w:id="101"/>
      <w:bookmarkEnd w:id="102"/>
      <w:bookmarkEnd w:id="103"/>
      <w:r w:rsidRPr="00C83068">
        <w:rPr>
          <w:rFonts w:ascii="Palatino Linotype" w:eastAsia="Calibri" w:hAnsi="Palatino Linotype"/>
          <w:b/>
          <w:color w:val="000000" w:themeColor="text1"/>
          <w:sz w:val="24"/>
          <w:szCs w:val="24"/>
          <w:lang w:val="es-ES"/>
        </w:rPr>
        <w:t xml:space="preserve"> </w:t>
      </w:r>
    </w:p>
    <w:p w14:paraId="01B08FF4" w14:textId="77777777" w:rsidR="004F1024" w:rsidRPr="00C83068" w:rsidRDefault="004F1024" w:rsidP="004F1024">
      <w:pPr>
        <w:spacing w:line="360" w:lineRule="auto"/>
        <w:rPr>
          <w:rFonts w:eastAsia="Calibri"/>
          <w:lang w:val="es-ES" w:eastAsia="es-ES"/>
        </w:rPr>
      </w:pPr>
    </w:p>
    <w:p w14:paraId="7DD2D279" w14:textId="40396064" w:rsidR="00260E9A" w:rsidRPr="00C83068" w:rsidRDefault="00260E9A" w:rsidP="00260E9A">
      <w:pPr>
        <w:spacing w:line="360" w:lineRule="auto"/>
        <w:jc w:val="both"/>
        <w:rPr>
          <w:rFonts w:ascii="Palatino Linotype" w:hAnsi="Palatino Linotype" w:cs="Arial"/>
          <w:bCs/>
        </w:rPr>
      </w:pPr>
      <w:r w:rsidRPr="00C83068">
        <w:rPr>
          <w:rFonts w:ascii="Palatino Linotype" w:hAnsi="Palatino Linotype" w:cs="Arial"/>
          <w:b/>
          <w:bCs/>
        </w:rPr>
        <w:t>PRIMERO</w:t>
      </w:r>
      <w:r w:rsidRPr="00C83068">
        <w:rPr>
          <w:rFonts w:ascii="Palatino Linotype" w:hAnsi="Palatino Linotype" w:cs="Arial"/>
        </w:rPr>
        <w:t>. Resultan infundadas las</w:t>
      </w:r>
      <w:r w:rsidRPr="00C83068">
        <w:rPr>
          <w:rFonts w:ascii="Palatino Linotype" w:hAnsi="Palatino Linotype" w:cs="Arial"/>
          <w:b/>
        </w:rPr>
        <w:t xml:space="preserve"> </w:t>
      </w:r>
      <w:r w:rsidRPr="00C83068">
        <w:rPr>
          <w:rFonts w:ascii="Palatino Linotype" w:hAnsi="Palatino Linotype" w:cs="Arial"/>
          <w:lang w:val="es-ES"/>
        </w:rPr>
        <w:t xml:space="preserve">razones o motivos de inconformidad hechos valer </w:t>
      </w:r>
      <w:r w:rsidRPr="00C83068">
        <w:rPr>
          <w:rFonts w:ascii="Palatino Linotype" w:eastAsia="Calibri" w:hAnsi="Palatino Linotype" w:cs="Arial"/>
          <w:lang w:val="es-ES"/>
        </w:rPr>
        <w:t>en l</w:t>
      </w:r>
      <w:r w:rsidR="006B1AC0" w:rsidRPr="00C83068">
        <w:rPr>
          <w:rFonts w:ascii="Palatino Linotype" w:eastAsia="Calibri" w:hAnsi="Palatino Linotype" w:cs="Arial"/>
          <w:lang w:val="es-ES"/>
        </w:rPr>
        <w:t>os</w:t>
      </w:r>
      <w:r w:rsidRPr="00C83068">
        <w:rPr>
          <w:rFonts w:ascii="Palatino Linotype" w:eastAsia="Calibri" w:hAnsi="Palatino Linotype" w:cs="Arial"/>
          <w:lang w:val="es-ES"/>
        </w:rPr>
        <w:t xml:space="preserve"> recurso</w:t>
      </w:r>
      <w:r w:rsidR="006B1AC0" w:rsidRPr="00C83068">
        <w:rPr>
          <w:rFonts w:ascii="Palatino Linotype" w:eastAsia="Calibri" w:hAnsi="Palatino Linotype" w:cs="Arial"/>
          <w:lang w:val="es-ES"/>
        </w:rPr>
        <w:t>s</w:t>
      </w:r>
      <w:r w:rsidRPr="00C83068">
        <w:rPr>
          <w:rFonts w:ascii="Palatino Linotype" w:eastAsia="Calibri" w:hAnsi="Palatino Linotype" w:cs="Arial"/>
          <w:lang w:val="es-ES"/>
        </w:rPr>
        <w:t xml:space="preserve"> de revisión </w:t>
      </w:r>
      <w:r w:rsidR="006B1AC0" w:rsidRPr="00C83068">
        <w:rPr>
          <w:rFonts w:ascii="Palatino Linotype" w:hAnsi="Palatino Linotype" w:cs="Arial"/>
          <w:b/>
          <w:bCs/>
        </w:rPr>
        <w:t xml:space="preserve">06748/INFOEM/IP/RR/2022, 06749/INFOEM/IP/RR/2022, 06750/INFOEM/IP/RR/2022 </w:t>
      </w:r>
      <w:r w:rsidR="006B1AC0" w:rsidRPr="00C83068">
        <w:rPr>
          <w:rFonts w:ascii="Palatino Linotype" w:hAnsi="Palatino Linotype" w:cs="Arial"/>
          <w:bCs/>
        </w:rPr>
        <w:t xml:space="preserve">y </w:t>
      </w:r>
      <w:r w:rsidR="006B1AC0" w:rsidRPr="00C83068">
        <w:rPr>
          <w:rFonts w:ascii="Palatino Linotype" w:hAnsi="Palatino Linotype" w:cs="Arial"/>
          <w:b/>
          <w:bCs/>
        </w:rPr>
        <w:lastRenderedPageBreak/>
        <w:t>06751/INFOEM/IP/RR/2022 acumulados</w:t>
      </w:r>
      <w:r w:rsidRPr="00C83068">
        <w:rPr>
          <w:rFonts w:ascii="Palatino Linotype" w:hAnsi="Palatino Linotype" w:cs="Arial"/>
          <w:b/>
          <w:bCs/>
        </w:rPr>
        <w:t xml:space="preserve">, </w:t>
      </w:r>
      <w:r w:rsidRPr="00C83068">
        <w:rPr>
          <w:rFonts w:ascii="Palatino Linotype" w:hAnsi="Palatino Linotype" w:cs="Arial"/>
          <w:bCs/>
        </w:rPr>
        <w:t xml:space="preserve">en términos del </w:t>
      </w:r>
      <w:r w:rsidRPr="00C83068">
        <w:rPr>
          <w:rFonts w:ascii="Palatino Linotype" w:hAnsi="Palatino Linotype" w:cs="Arial"/>
          <w:b/>
          <w:bCs/>
        </w:rPr>
        <w:t>Considerando</w:t>
      </w:r>
      <w:r w:rsidRPr="00C83068">
        <w:rPr>
          <w:rFonts w:ascii="Palatino Linotype" w:hAnsi="Palatino Linotype" w:cs="Arial"/>
          <w:bCs/>
        </w:rPr>
        <w:t xml:space="preserve"> </w:t>
      </w:r>
      <w:r w:rsidR="009531A2" w:rsidRPr="00C83068">
        <w:rPr>
          <w:rFonts w:ascii="Palatino Linotype" w:hAnsi="Palatino Linotype" w:cs="Arial"/>
          <w:b/>
          <w:bCs/>
        </w:rPr>
        <w:t>QUINTO</w:t>
      </w:r>
      <w:r w:rsidRPr="00C83068">
        <w:rPr>
          <w:rFonts w:ascii="Palatino Linotype" w:hAnsi="Palatino Linotype" w:cs="Arial"/>
          <w:bCs/>
        </w:rPr>
        <w:t xml:space="preserve"> de la presente resolución.</w:t>
      </w:r>
    </w:p>
    <w:p w14:paraId="08D6DB98" w14:textId="77777777" w:rsidR="00AC3B3E" w:rsidRPr="00C83068" w:rsidRDefault="00AC3B3E" w:rsidP="00260E9A">
      <w:pPr>
        <w:spacing w:line="360" w:lineRule="auto"/>
        <w:jc w:val="both"/>
        <w:rPr>
          <w:rFonts w:ascii="Palatino Linotype" w:hAnsi="Palatino Linotype" w:cs="Arial"/>
          <w:bCs/>
        </w:rPr>
      </w:pPr>
    </w:p>
    <w:p w14:paraId="30EB3F0F" w14:textId="01CBFA2B" w:rsidR="00260E9A" w:rsidRPr="00C83068" w:rsidRDefault="00260E9A" w:rsidP="00260E9A">
      <w:pPr>
        <w:spacing w:line="360" w:lineRule="auto"/>
        <w:jc w:val="both"/>
        <w:rPr>
          <w:rFonts w:ascii="Palatino Linotype" w:eastAsia="Calibri" w:hAnsi="Palatino Linotype" w:cs="Arial"/>
          <w:lang w:val="es-ES"/>
        </w:rPr>
      </w:pPr>
      <w:r w:rsidRPr="00C83068">
        <w:rPr>
          <w:rFonts w:ascii="Palatino Linotype" w:hAnsi="Palatino Linotype"/>
          <w:b/>
        </w:rPr>
        <w:t>SEGUNDO.</w:t>
      </w:r>
      <w:r w:rsidRPr="00C83068">
        <w:rPr>
          <w:rStyle w:val="Ttulo2Car"/>
          <w:rFonts w:ascii="Palatino Linotype" w:hAnsi="Palatino Linotype"/>
          <w:sz w:val="24"/>
          <w:szCs w:val="24"/>
        </w:rPr>
        <w:t xml:space="preserve"> </w:t>
      </w:r>
      <w:r w:rsidRPr="00C83068">
        <w:rPr>
          <w:rFonts w:ascii="Palatino Linotype" w:eastAsia="Calibri" w:hAnsi="Palatino Linotype" w:cs="Arial"/>
          <w:lang w:val="es-ES"/>
        </w:rPr>
        <w:t>Se</w:t>
      </w:r>
      <w:r w:rsidRPr="00C83068">
        <w:rPr>
          <w:rFonts w:ascii="Palatino Linotype" w:eastAsia="Calibri" w:hAnsi="Palatino Linotype" w:cs="Arial"/>
          <w:b/>
          <w:lang w:val="es-ES"/>
        </w:rPr>
        <w:t xml:space="preserve"> CONFIRMA</w:t>
      </w:r>
      <w:r w:rsidR="006B1AC0" w:rsidRPr="00C83068">
        <w:rPr>
          <w:rFonts w:ascii="Palatino Linotype" w:eastAsia="Calibri" w:hAnsi="Palatino Linotype" w:cs="Arial"/>
          <w:b/>
          <w:lang w:val="es-ES"/>
        </w:rPr>
        <w:t>N</w:t>
      </w:r>
      <w:r w:rsidRPr="00C83068">
        <w:rPr>
          <w:rFonts w:ascii="Palatino Linotype" w:eastAsia="Calibri" w:hAnsi="Palatino Linotype" w:cs="Arial"/>
          <w:b/>
          <w:lang w:val="es-ES"/>
        </w:rPr>
        <w:t xml:space="preserve"> </w:t>
      </w:r>
      <w:r w:rsidR="00912AEC" w:rsidRPr="00C83068">
        <w:rPr>
          <w:rFonts w:ascii="Palatino Linotype" w:eastAsia="Calibri" w:hAnsi="Palatino Linotype" w:cs="Arial"/>
          <w:lang w:val="es-ES"/>
        </w:rPr>
        <w:t>la</w:t>
      </w:r>
      <w:r w:rsidR="006B1AC0" w:rsidRPr="00C83068">
        <w:rPr>
          <w:rFonts w:ascii="Palatino Linotype" w:eastAsia="Calibri" w:hAnsi="Palatino Linotype" w:cs="Arial"/>
          <w:lang w:val="es-ES"/>
        </w:rPr>
        <w:t>s</w:t>
      </w:r>
      <w:r w:rsidR="00912AEC" w:rsidRPr="00C83068">
        <w:rPr>
          <w:rFonts w:ascii="Palatino Linotype" w:eastAsia="Calibri" w:hAnsi="Palatino Linotype" w:cs="Arial"/>
          <w:lang w:val="es-ES"/>
        </w:rPr>
        <w:t xml:space="preserve"> respuesta</w:t>
      </w:r>
      <w:r w:rsidR="006B1AC0" w:rsidRPr="00C83068">
        <w:rPr>
          <w:rFonts w:ascii="Palatino Linotype" w:eastAsia="Calibri" w:hAnsi="Palatino Linotype" w:cs="Arial"/>
          <w:lang w:val="es-ES"/>
        </w:rPr>
        <w:t>s</w:t>
      </w:r>
      <w:r w:rsidR="00912AEC" w:rsidRPr="00C83068">
        <w:rPr>
          <w:rFonts w:ascii="Palatino Linotype" w:eastAsia="Calibri" w:hAnsi="Palatino Linotype" w:cs="Arial"/>
          <w:lang w:val="es-ES"/>
        </w:rPr>
        <w:t xml:space="preserve"> emitida</w:t>
      </w:r>
      <w:r w:rsidR="006B1AC0" w:rsidRPr="00C83068">
        <w:rPr>
          <w:rFonts w:ascii="Palatino Linotype" w:eastAsia="Calibri" w:hAnsi="Palatino Linotype" w:cs="Arial"/>
          <w:lang w:val="es-ES"/>
        </w:rPr>
        <w:t>s</w:t>
      </w:r>
      <w:r w:rsidR="00C83068" w:rsidRPr="00C83068">
        <w:rPr>
          <w:rFonts w:ascii="Palatino Linotype" w:eastAsia="Calibri" w:hAnsi="Palatino Linotype" w:cs="Arial"/>
          <w:lang w:val="es-ES"/>
        </w:rPr>
        <w:t xml:space="preserve"> por la</w:t>
      </w:r>
      <w:r w:rsidRPr="00C83068">
        <w:rPr>
          <w:rFonts w:ascii="Palatino Linotype" w:eastAsia="Calibri" w:hAnsi="Palatino Linotype" w:cs="Arial"/>
          <w:lang w:val="es-ES"/>
        </w:rPr>
        <w:t xml:space="preserve"> </w:t>
      </w:r>
      <w:r w:rsidR="00577D60" w:rsidRPr="00C83068">
        <w:rPr>
          <w:rFonts w:ascii="Palatino Linotype" w:hAnsi="Palatino Linotype"/>
          <w:b/>
        </w:rPr>
        <w:t>Secretaría de Movilidad</w:t>
      </w:r>
      <w:r w:rsidRPr="00C83068">
        <w:rPr>
          <w:rFonts w:ascii="Palatino Linotype" w:hAnsi="Palatino Linotype"/>
          <w:b/>
        </w:rPr>
        <w:t xml:space="preserve"> </w:t>
      </w:r>
      <w:r w:rsidRPr="00C83068">
        <w:rPr>
          <w:rFonts w:ascii="Palatino Linotype" w:eastAsia="Calibri" w:hAnsi="Palatino Linotype" w:cs="Arial"/>
          <w:lang w:val="es-ES"/>
        </w:rPr>
        <w:t>a la</w:t>
      </w:r>
      <w:r w:rsidR="006B1AC0" w:rsidRPr="00C83068">
        <w:rPr>
          <w:rFonts w:ascii="Palatino Linotype" w:eastAsia="Calibri" w:hAnsi="Palatino Linotype" w:cs="Arial"/>
          <w:lang w:val="es-ES"/>
        </w:rPr>
        <w:t>s</w:t>
      </w:r>
      <w:r w:rsidRPr="00C83068">
        <w:rPr>
          <w:rFonts w:ascii="Palatino Linotype" w:eastAsia="Calibri" w:hAnsi="Palatino Linotype" w:cs="Arial"/>
          <w:lang w:val="es-ES"/>
        </w:rPr>
        <w:t xml:space="preserve"> solicitud</w:t>
      </w:r>
      <w:r w:rsidR="006B1AC0" w:rsidRPr="00C83068">
        <w:rPr>
          <w:rFonts w:ascii="Palatino Linotype" w:eastAsia="Calibri" w:hAnsi="Palatino Linotype" w:cs="Arial"/>
          <w:lang w:val="es-ES"/>
        </w:rPr>
        <w:t>es</w:t>
      </w:r>
      <w:r w:rsidRPr="00C83068">
        <w:rPr>
          <w:rFonts w:ascii="Palatino Linotype" w:eastAsia="Calibri" w:hAnsi="Palatino Linotype" w:cs="Arial"/>
          <w:lang w:val="es-ES"/>
        </w:rPr>
        <w:t xml:space="preserve"> de información </w:t>
      </w:r>
      <w:r w:rsidR="006B1AC0" w:rsidRPr="00C83068">
        <w:rPr>
          <w:rFonts w:ascii="Palatino Linotype" w:hAnsi="Palatino Linotype"/>
          <w:b/>
          <w:bCs/>
          <w:color w:val="000000" w:themeColor="text1"/>
        </w:rPr>
        <w:t xml:space="preserve">00163/SMOV/IP/2022, 00164/SMOV/IP/2022, 00165/SMOV/IP/2022 </w:t>
      </w:r>
      <w:r w:rsidR="006B1AC0" w:rsidRPr="00C83068">
        <w:rPr>
          <w:rFonts w:ascii="Palatino Linotype" w:hAnsi="Palatino Linotype"/>
          <w:bCs/>
          <w:color w:val="000000" w:themeColor="text1"/>
        </w:rPr>
        <w:t>y</w:t>
      </w:r>
      <w:r w:rsidR="006B1AC0" w:rsidRPr="00C83068">
        <w:rPr>
          <w:rFonts w:ascii="Palatino Linotype" w:hAnsi="Palatino Linotype"/>
          <w:b/>
          <w:bCs/>
          <w:color w:val="000000" w:themeColor="text1"/>
        </w:rPr>
        <w:t xml:space="preserve"> 00167/SMOV/IP/2022</w:t>
      </w:r>
      <w:r w:rsidRPr="00C83068">
        <w:rPr>
          <w:rFonts w:ascii="Palatino Linotype" w:eastAsia="Calibri" w:hAnsi="Palatino Linotype" w:cs="Arial"/>
          <w:lang w:val="es-ES"/>
        </w:rPr>
        <w:t xml:space="preserve">. </w:t>
      </w:r>
    </w:p>
    <w:p w14:paraId="4BDEE86F" w14:textId="77777777" w:rsidR="00260E9A" w:rsidRPr="00C83068" w:rsidRDefault="00260E9A" w:rsidP="00260E9A">
      <w:pPr>
        <w:spacing w:line="360" w:lineRule="auto"/>
        <w:jc w:val="both"/>
        <w:rPr>
          <w:rFonts w:ascii="Palatino Linotype" w:eastAsia="Calibri" w:hAnsi="Palatino Linotype" w:cs="Arial"/>
          <w:lang w:val="es-ES"/>
        </w:rPr>
      </w:pPr>
    </w:p>
    <w:p w14:paraId="4187B6D4" w14:textId="77777777" w:rsidR="00260E9A" w:rsidRPr="00C83068" w:rsidRDefault="00260E9A" w:rsidP="00260E9A">
      <w:pPr>
        <w:shd w:val="clear" w:color="auto" w:fill="FFFFFF"/>
        <w:spacing w:line="360" w:lineRule="auto"/>
        <w:jc w:val="both"/>
        <w:rPr>
          <w:rFonts w:ascii="Palatino Linotype" w:eastAsia="MS Mincho" w:hAnsi="Palatino Linotype"/>
          <w:color w:val="000000" w:themeColor="text1"/>
          <w:shd w:val="clear" w:color="auto" w:fill="FFFFFF"/>
        </w:rPr>
      </w:pPr>
      <w:bookmarkStart w:id="104" w:name="_Toc461648590"/>
      <w:bookmarkStart w:id="105" w:name="_Toc461648682"/>
      <w:bookmarkStart w:id="106" w:name="_Toc462228049"/>
      <w:bookmarkStart w:id="107" w:name="_Toc462228129"/>
      <w:bookmarkStart w:id="108" w:name="_Toc496099789"/>
      <w:bookmarkStart w:id="109" w:name="_Toc496100166"/>
      <w:bookmarkStart w:id="110" w:name="_Toc499756977"/>
      <w:bookmarkStart w:id="111" w:name="_Toc499757020"/>
      <w:bookmarkStart w:id="112" w:name="_Toc504377974"/>
      <w:r w:rsidRPr="00C83068">
        <w:rPr>
          <w:rFonts w:ascii="Palatino Linotype" w:hAnsi="Palatino Linotype" w:cs="Arial"/>
          <w:b/>
        </w:rPr>
        <w:t>TERCERO.</w:t>
      </w:r>
      <w:bookmarkEnd w:id="104"/>
      <w:bookmarkEnd w:id="105"/>
      <w:bookmarkEnd w:id="106"/>
      <w:bookmarkEnd w:id="107"/>
      <w:bookmarkEnd w:id="108"/>
      <w:bookmarkEnd w:id="109"/>
      <w:bookmarkEnd w:id="110"/>
      <w:bookmarkEnd w:id="111"/>
      <w:bookmarkEnd w:id="112"/>
      <w:r w:rsidRPr="00C83068">
        <w:rPr>
          <w:rFonts w:ascii="Palatino Linotype" w:hAnsi="Palatino Linotype" w:cs="Arial"/>
          <w:b/>
        </w:rPr>
        <w:t xml:space="preserve"> </w:t>
      </w:r>
      <w:r w:rsidRPr="00C83068">
        <w:rPr>
          <w:rFonts w:ascii="Palatino Linotype" w:eastAsia="Palatino Linotype" w:hAnsi="Palatino Linotype" w:cs="Palatino Linotype"/>
          <w:b/>
        </w:rPr>
        <w:t xml:space="preserve">Notifíquese </w:t>
      </w:r>
      <w:r w:rsidRPr="00C83068">
        <w:rPr>
          <w:rFonts w:ascii="Palatino Linotype" w:eastAsia="Palatino Linotype" w:hAnsi="Palatino Linotype" w:cs="Palatino Linotype"/>
        </w:rPr>
        <w:t xml:space="preserve">al Titular de la Unidad de Transparencia del </w:t>
      </w:r>
      <w:r w:rsidRPr="00C83068">
        <w:rPr>
          <w:rFonts w:ascii="Palatino Linotype" w:eastAsia="Palatino Linotype" w:hAnsi="Palatino Linotype" w:cs="Palatino Linotype"/>
          <w:b/>
        </w:rPr>
        <w:t xml:space="preserve">SUJETO OBLIGADO </w:t>
      </w:r>
      <w:r w:rsidRPr="00C83068">
        <w:rPr>
          <w:rFonts w:ascii="Palatino Linotype" w:eastAsia="Palatino Linotype" w:hAnsi="Palatino Linotype" w:cs="Palatino Linotype"/>
        </w:rPr>
        <w:t>vía SAIMEX, para su conocimiento</w:t>
      </w:r>
      <w:r w:rsidRPr="00C83068">
        <w:rPr>
          <w:rFonts w:ascii="Palatino Linotype" w:eastAsia="MS Mincho" w:hAnsi="Palatino Linotype"/>
          <w:color w:val="000000" w:themeColor="text1"/>
          <w:shd w:val="clear" w:color="auto" w:fill="FFFFFF"/>
        </w:rPr>
        <w:t>.</w:t>
      </w:r>
    </w:p>
    <w:p w14:paraId="7433A3CF" w14:textId="4D3D56D8" w:rsidR="006B1AC0" w:rsidRPr="00C83068" w:rsidRDefault="00203C3E" w:rsidP="00260E9A">
      <w:pPr>
        <w:shd w:val="clear" w:color="auto" w:fill="FFFFFF"/>
        <w:spacing w:line="360" w:lineRule="auto"/>
        <w:jc w:val="both"/>
        <w:rPr>
          <w:rFonts w:ascii="Palatino Linotype" w:eastAsia="MS Mincho" w:hAnsi="Palatino Linotype"/>
          <w:color w:val="000000" w:themeColor="text1"/>
          <w:shd w:val="clear" w:color="auto" w:fill="FFFFFF"/>
        </w:rPr>
      </w:pPr>
      <w:r w:rsidRPr="00C83068">
        <w:rPr>
          <w:rFonts w:ascii="Palatino Linotype" w:eastAsia="MS Mincho" w:hAnsi="Palatino Linotype"/>
          <w:color w:val="000000" w:themeColor="text1"/>
          <w:shd w:val="clear" w:color="auto" w:fill="FFFFFF"/>
        </w:rPr>
        <w:tab/>
      </w:r>
    </w:p>
    <w:p w14:paraId="05A0F351" w14:textId="52528450" w:rsidR="00260E9A" w:rsidRPr="00C83068"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C83068">
        <w:rPr>
          <w:rFonts w:ascii="Palatino Linotype" w:hAnsi="Palatino Linotype" w:cs="Arial"/>
          <w:b/>
        </w:rPr>
        <w:t>CUARTO</w:t>
      </w:r>
      <w:r w:rsidRPr="00C83068">
        <w:rPr>
          <w:rFonts w:ascii="Palatino Linotype" w:hAnsi="Palatino Linotype"/>
          <w:b/>
          <w:color w:val="222222"/>
          <w:lang w:eastAsia="es-ES_tradnl"/>
        </w:rPr>
        <w:t xml:space="preserve">. Notifíquese </w:t>
      </w:r>
      <w:r w:rsidRPr="00C83068">
        <w:rPr>
          <w:rFonts w:ascii="Palatino Linotype" w:hAnsi="Palatino Linotype"/>
          <w:color w:val="222222"/>
          <w:lang w:eastAsia="es-ES_tradnl"/>
        </w:rPr>
        <w:t>a</w:t>
      </w:r>
      <w:r w:rsidR="00A100C0" w:rsidRPr="00C83068">
        <w:rPr>
          <w:rFonts w:ascii="Palatino Linotype" w:hAnsi="Palatino Linotype"/>
          <w:color w:val="222222"/>
          <w:lang w:eastAsia="es-ES_tradnl"/>
        </w:rPr>
        <w:t xml:space="preserve"> </w:t>
      </w:r>
      <w:r w:rsidR="00A100C0" w:rsidRPr="00C83068">
        <w:rPr>
          <w:rFonts w:ascii="Palatino Linotype" w:hAnsi="Palatino Linotype"/>
          <w:b/>
          <w:color w:val="222222"/>
          <w:lang w:eastAsia="es-ES_tradnl"/>
        </w:rPr>
        <w:t>LA</w:t>
      </w:r>
      <w:r w:rsidRPr="00C83068">
        <w:rPr>
          <w:rFonts w:ascii="Palatino Linotype" w:hAnsi="Palatino Linotype"/>
          <w:b/>
        </w:rPr>
        <w:t xml:space="preserve"> RECURRENTE</w:t>
      </w:r>
      <w:r w:rsidRPr="00C83068">
        <w:rPr>
          <w:rFonts w:ascii="Palatino Linotype" w:hAnsi="Palatino Linotype"/>
          <w:color w:val="222222"/>
          <w:lang w:eastAsia="es-ES_tradnl"/>
        </w:rPr>
        <w:t xml:space="preserve"> la presente resolución vía SAIMEX</w:t>
      </w:r>
      <w:r w:rsidRPr="00C83068">
        <w:rPr>
          <w:rFonts w:ascii="Palatino Linotype" w:eastAsia="MS Mincho" w:hAnsi="Palatino Linotype"/>
          <w:color w:val="000000" w:themeColor="text1"/>
          <w:shd w:val="clear" w:color="auto" w:fill="FFFFFF"/>
        </w:rPr>
        <w:t>.</w:t>
      </w:r>
    </w:p>
    <w:p w14:paraId="0AA31C55" w14:textId="77777777" w:rsidR="00260E9A" w:rsidRPr="00C83068" w:rsidRDefault="00260E9A" w:rsidP="00260E9A">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2E829B4F" w14:textId="7035570E" w:rsidR="00260E9A" w:rsidRPr="00C83068" w:rsidRDefault="00260E9A"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C83068">
        <w:rPr>
          <w:rFonts w:ascii="Palatino Linotype" w:hAnsi="Palatino Linotype"/>
          <w:b/>
          <w:color w:val="222222"/>
          <w:lang w:eastAsia="es-ES_tradnl"/>
        </w:rPr>
        <w:t xml:space="preserve">QUINTO. </w:t>
      </w:r>
      <w:r w:rsidR="00A100C0" w:rsidRPr="00C83068">
        <w:rPr>
          <w:rFonts w:ascii="Palatino Linotype" w:eastAsia="MS Mincho" w:hAnsi="Palatino Linotype"/>
        </w:rPr>
        <w:t xml:space="preserve">Se hace del conocimiento de </w:t>
      </w:r>
      <w:r w:rsidR="00491AD4" w:rsidRPr="00C83068">
        <w:rPr>
          <w:rFonts w:ascii="Palatino Linotype" w:eastAsia="MS Mincho" w:hAnsi="Palatino Linotype"/>
          <w:b/>
        </w:rPr>
        <w:t>LA RECURRENTE</w:t>
      </w:r>
      <w:r w:rsidRPr="00C83068">
        <w:rPr>
          <w:rFonts w:ascii="Palatino Linotype" w:hAnsi="Palatino Linotype"/>
        </w:rPr>
        <w:t xml:space="preserve"> </w:t>
      </w:r>
      <w:r w:rsidRPr="00C83068">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C83068">
        <w:rPr>
          <w:rFonts w:ascii="Palatino Linotype" w:eastAsia="MS Mincho" w:hAnsi="Palatino Linotype"/>
          <w:bCs/>
        </w:rPr>
        <w:t>vía juicio de amparo</w:t>
      </w:r>
      <w:r w:rsidRPr="00C83068">
        <w:rPr>
          <w:rFonts w:ascii="Palatino Linotype" w:eastAsia="MS Mincho" w:hAnsi="Palatino Linotype"/>
        </w:rPr>
        <w:t> en los términos de las leyes aplicables.</w:t>
      </w:r>
    </w:p>
    <w:p w14:paraId="3F49E300" w14:textId="77777777" w:rsidR="00B37D2F" w:rsidRPr="00C83068" w:rsidRDefault="00B37D2F" w:rsidP="00260E9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1817290" w14:textId="77777777" w:rsidR="00C83068" w:rsidRDefault="00C83068" w:rsidP="00C83068">
      <w:pPr>
        <w:spacing w:before="240" w:after="240" w:line="360" w:lineRule="auto"/>
        <w:jc w:val="both"/>
        <w:rPr>
          <w:rFonts w:ascii="Palatino Linotype" w:hAnsi="Palatino Linotype"/>
        </w:rPr>
      </w:pPr>
      <w:r w:rsidRPr="00C8306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83068">
        <w:rPr>
          <w:rFonts w:ascii="Palatino Linotype" w:hAnsi="Palatino Linotype"/>
        </w:rPr>
        <w:lastRenderedPageBreak/>
        <w:t>MORALES MARTÍNEZ (AUSENCIA JUSTIFICADA); LUIS GUSTAVO PARRA NORIEGA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9"/>
      <w:footerReference w:type="default" r:id="rId10"/>
      <w:headerReference w:type="first" r:id="rId11"/>
      <w:footerReference w:type="first" r:id="rId12"/>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F6028" w14:textId="77777777" w:rsidR="001601FA" w:rsidRDefault="001601FA" w:rsidP="00C80F8C">
      <w:r>
        <w:separator/>
      </w:r>
    </w:p>
  </w:endnote>
  <w:endnote w:type="continuationSeparator" w:id="0">
    <w:p w14:paraId="5CCBA1AC" w14:textId="77777777" w:rsidR="001601FA" w:rsidRDefault="001601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EDFB7F4"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43E3">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43E3">
      <w:rPr>
        <w:rFonts w:ascii="Arial" w:hAnsi="Arial" w:cs="Arial"/>
        <w:b/>
        <w:bCs/>
        <w:noProof/>
        <w:sz w:val="20"/>
        <w:szCs w:val="20"/>
      </w:rPr>
      <w:t>26</w:t>
    </w:r>
    <w:r>
      <w:rPr>
        <w:rFonts w:ascii="Arial" w:hAnsi="Arial" w:cs="Arial"/>
        <w:b/>
        <w:bCs/>
        <w:sz w:val="20"/>
        <w:szCs w:val="20"/>
      </w:rPr>
      <w:fldChar w:fldCharType="end"/>
    </w:r>
  </w:p>
  <w:p w14:paraId="1192A578" w14:textId="77777777" w:rsidR="004F32F2" w:rsidRDefault="004F32F2" w:rsidP="00935A0D">
    <w:pPr>
      <w:pStyle w:val="Piedepgina"/>
      <w:rPr>
        <w:rFonts w:ascii="Times New Roman" w:hAnsi="Times New Roman" w:cs="Times New Roman"/>
      </w:rPr>
    </w:pPr>
  </w:p>
  <w:p w14:paraId="14A770F8" w14:textId="2C4B60CA" w:rsidR="004F32F2" w:rsidRDefault="004F32F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F9E92A0" w:rsidR="004F32F2" w:rsidRDefault="004F32F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43E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43E3">
      <w:rPr>
        <w:rFonts w:ascii="Arial" w:hAnsi="Arial" w:cs="Arial"/>
        <w:b/>
        <w:bCs/>
        <w:noProof/>
        <w:sz w:val="20"/>
        <w:szCs w:val="20"/>
      </w:rPr>
      <w:t>26</w:t>
    </w:r>
    <w:r>
      <w:rPr>
        <w:rFonts w:ascii="Arial" w:hAnsi="Arial" w:cs="Arial"/>
        <w:b/>
        <w:bCs/>
        <w:sz w:val="20"/>
        <w:szCs w:val="20"/>
      </w:rPr>
      <w:fldChar w:fldCharType="end"/>
    </w:r>
  </w:p>
  <w:p w14:paraId="5D98ABD5" w14:textId="77777777" w:rsidR="004F32F2" w:rsidRDefault="004F32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B2262" w14:textId="77777777" w:rsidR="001601FA" w:rsidRDefault="001601FA" w:rsidP="00C80F8C">
      <w:r>
        <w:separator/>
      </w:r>
    </w:p>
  </w:footnote>
  <w:footnote w:type="continuationSeparator" w:id="0">
    <w:p w14:paraId="4D81983D" w14:textId="77777777" w:rsidR="001601FA" w:rsidRDefault="001601FA" w:rsidP="00C80F8C">
      <w:r>
        <w:continuationSeparator/>
      </w:r>
    </w:p>
  </w:footnote>
  <w:footnote w:id="1">
    <w:p w14:paraId="720F9694" w14:textId="77777777" w:rsidR="001B29F5" w:rsidRPr="00F75272" w:rsidRDefault="001B29F5" w:rsidP="001B29F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A21227"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09F2C0C"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6569A5F1" w14:textId="77777777" w:rsidR="004F32F2" w:rsidRPr="009C43C2" w:rsidRDefault="004F32F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1009BC" w14:textId="77777777" w:rsidR="004F32F2" w:rsidRDefault="004F32F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4375C3ED" w14:textId="77777777" w:rsidR="00364223" w:rsidRDefault="00364223" w:rsidP="00364223">
      <w:pPr>
        <w:pStyle w:val="Textonotapie"/>
      </w:pPr>
      <w:r>
        <w:rPr>
          <w:rStyle w:val="Refdenotaalpie"/>
        </w:rPr>
        <w:footnoteRef/>
      </w:r>
      <w:r>
        <w:t xml:space="preserve"> Ley de Transparencia y Acceso a la Información Pública del Estado de México y Municipios. Artículo 9. …</w:t>
      </w:r>
    </w:p>
    <w:p w14:paraId="17EA28A7" w14:textId="77777777" w:rsidR="00364223" w:rsidRDefault="00364223" w:rsidP="00364223">
      <w:pPr>
        <w:pStyle w:val="Textonotapie"/>
      </w:pPr>
      <w:r>
        <w:t>II. Eficacia: Obligación del Instituto para tutelar, de manera efectiva, el derecho de acceso a la información;</w:t>
      </w:r>
    </w:p>
    <w:p w14:paraId="0D264212" w14:textId="77777777" w:rsidR="00364223" w:rsidRDefault="00364223" w:rsidP="0036422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F32F2" w14:paraId="6B4E3B81" w14:textId="77777777" w:rsidTr="007E2BE8">
      <w:tc>
        <w:tcPr>
          <w:tcW w:w="2552" w:type="dxa"/>
          <w:vAlign w:val="center"/>
          <w:hideMark/>
        </w:tcPr>
        <w:p w14:paraId="0ABBC6C0" w14:textId="7C21B4C9"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36774A3F" w:rsidR="004F32F2" w:rsidRPr="008C5395" w:rsidRDefault="00577D60" w:rsidP="006F5A13">
          <w:pPr>
            <w:jc w:val="both"/>
            <w:rPr>
              <w:rFonts w:ascii="Palatino Linotype" w:hAnsi="Palatino Linotype"/>
              <w:b/>
              <w:sz w:val="21"/>
              <w:szCs w:val="21"/>
              <w:lang w:val="es-ES_tradnl"/>
            </w:rPr>
          </w:pPr>
          <w:r>
            <w:rPr>
              <w:rFonts w:ascii="Palatino Linotype" w:hAnsi="Palatino Linotype" w:cs="Arial"/>
              <w:b/>
              <w:bCs/>
              <w:sz w:val="21"/>
              <w:szCs w:val="21"/>
            </w:rPr>
            <w:t>06748</w:t>
          </w:r>
          <w:r w:rsidR="004F32F2">
            <w:rPr>
              <w:rFonts w:ascii="Palatino Linotype" w:hAnsi="Palatino Linotype" w:cs="Arial"/>
              <w:b/>
              <w:bCs/>
              <w:sz w:val="21"/>
              <w:szCs w:val="21"/>
            </w:rPr>
            <w:t>/INFOEM/IP/RR/2022</w:t>
          </w:r>
          <w:r w:rsidR="003012F8">
            <w:rPr>
              <w:rFonts w:ascii="Palatino Linotype" w:hAnsi="Palatino Linotype" w:cs="Arial"/>
              <w:b/>
              <w:bCs/>
              <w:sz w:val="21"/>
              <w:szCs w:val="21"/>
            </w:rPr>
            <w:t xml:space="preserve"> y acumulados</w:t>
          </w:r>
        </w:p>
      </w:tc>
    </w:tr>
    <w:tr w:rsidR="004F32F2" w14:paraId="31CB780F" w14:textId="77777777" w:rsidTr="007E2BE8">
      <w:trPr>
        <w:trHeight w:val="228"/>
      </w:trPr>
      <w:tc>
        <w:tcPr>
          <w:tcW w:w="2552" w:type="dxa"/>
          <w:vAlign w:val="center"/>
          <w:hideMark/>
        </w:tcPr>
        <w:p w14:paraId="4F49CB4A" w14:textId="6C7F970E" w:rsidR="004F32F2" w:rsidRPr="008C5395" w:rsidRDefault="004F32F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841539F" w:rsidR="004F32F2" w:rsidRPr="008C5395" w:rsidRDefault="00577D60" w:rsidP="006211B5">
          <w:pPr>
            <w:jc w:val="both"/>
            <w:rPr>
              <w:rFonts w:ascii="Palatino Linotype" w:hAnsi="Palatino Linotype"/>
              <w:b/>
              <w:sz w:val="21"/>
              <w:szCs w:val="21"/>
              <w:lang w:val="es-ES_tradnl"/>
            </w:rPr>
          </w:pPr>
          <w:r>
            <w:rPr>
              <w:rFonts w:ascii="Palatino Linotype" w:hAnsi="Palatino Linotype"/>
              <w:b/>
              <w:sz w:val="21"/>
              <w:szCs w:val="21"/>
            </w:rPr>
            <w:t>Secretaría de Movilidad</w:t>
          </w:r>
        </w:p>
      </w:tc>
    </w:tr>
    <w:tr w:rsidR="004F32F2" w14:paraId="69050F56" w14:textId="77777777" w:rsidTr="007E2BE8">
      <w:tc>
        <w:tcPr>
          <w:tcW w:w="2552" w:type="dxa"/>
          <w:vAlign w:val="center"/>
          <w:hideMark/>
        </w:tcPr>
        <w:p w14:paraId="65C9B735" w14:textId="71CA0DD8" w:rsidR="004F32F2" w:rsidRPr="008C5395" w:rsidRDefault="004F32F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F32F2" w:rsidRPr="008C5395" w:rsidRDefault="004F32F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5CFF4557" w:rsidR="004F32F2" w:rsidRDefault="00480380"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6D1ECCB3">
          <wp:simplePos x="0" y="0"/>
          <wp:positionH relativeFrom="page">
            <wp:posOffset>6985</wp:posOffset>
          </wp:positionH>
          <wp:positionV relativeFrom="paragraph">
            <wp:posOffset>-1187924</wp:posOffset>
          </wp:positionV>
          <wp:extent cx="7809865" cy="10165715"/>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r w:rsidR="004F32F2">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4F32F2" w:rsidRDefault="004F32F2"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F32F2" w14:paraId="477E149B" w14:textId="77777777" w:rsidTr="00750CDE">
      <w:tc>
        <w:tcPr>
          <w:tcW w:w="2551" w:type="dxa"/>
          <w:vAlign w:val="center"/>
          <w:hideMark/>
        </w:tcPr>
        <w:p w14:paraId="5C0586E4" w14:textId="77777777" w:rsidR="004F32F2" w:rsidRPr="008C5395" w:rsidRDefault="004F32F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7F28B7F" w:rsidR="004F32F2" w:rsidRPr="001C1420" w:rsidRDefault="00491AD4" w:rsidP="00577D60">
          <w:pPr>
            <w:jc w:val="both"/>
            <w:rPr>
              <w:rFonts w:ascii="Palatino Linotype" w:hAnsi="Palatino Linotype"/>
              <w:b/>
              <w:sz w:val="21"/>
              <w:szCs w:val="21"/>
              <w:lang w:val="es-ES_tradnl"/>
            </w:rPr>
          </w:pPr>
          <w:r>
            <w:rPr>
              <w:rFonts w:ascii="Palatino Linotype" w:hAnsi="Palatino Linotype" w:cs="Arial"/>
              <w:b/>
              <w:bCs/>
              <w:sz w:val="21"/>
              <w:szCs w:val="21"/>
            </w:rPr>
            <w:t>0</w:t>
          </w:r>
          <w:r w:rsidR="00577D60">
            <w:rPr>
              <w:rFonts w:ascii="Palatino Linotype" w:hAnsi="Palatino Linotype" w:cs="Arial"/>
              <w:b/>
              <w:bCs/>
              <w:sz w:val="21"/>
              <w:szCs w:val="21"/>
            </w:rPr>
            <w:t>6748</w:t>
          </w:r>
          <w:r w:rsidR="004F32F2">
            <w:rPr>
              <w:rFonts w:ascii="Palatino Linotype" w:hAnsi="Palatino Linotype" w:cs="Arial"/>
              <w:b/>
              <w:bCs/>
              <w:sz w:val="21"/>
              <w:szCs w:val="21"/>
            </w:rPr>
            <w:t>/INFOEM/IP/RR/2022</w:t>
          </w:r>
          <w:r w:rsidR="00577D60">
            <w:rPr>
              <w:rFonts w:ascii="Palatino Linotype" w:hAnsi="Palatino Linotype" w:cs="Arial"/>
              <w:b/>
              <w:bCs/>
              <w:sz w:val="21"/>
              <w:szCs w:val="21"/>
            </w:rPr>
            <w:t xml:space="preserve"> y acumulados</w:t>
          </w:r>
        </w:p>
      </w:tc>
    </w:tr>
    <w:tr w:rsidR="004F32F2" w14:paraId="5B5BE21C" w14:textId="77777777" w:rsidTr="00750CDE">
      <w:tc>
        <w:tcPr>
          <w:tcW w:w="2551" w:type="dxa"/>
          <w:vAlign w:val="center"/>
          <w:hideMark/>
        </w:tcPr>
        <w:p w14:paraId="4AE96902" w14:textId="77777777" w:rsidR="004F32F2" w:rsidRPr="008C5395" w:rsidRDefault="004F32F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7A8A34A" w:rsidR="004F32F2" w:rsidRPr="001C1420" w:rsidRDefault="00B943E3" w:rsidP="000A3F51">
          <w:pPr>
            <w:rPr>
              <w:rFonts w:ascii="Palatino Linotype" w:hAnsi="Palatino Linotype"/>
              <w:b/>
              <w:sz w:val="21"/>
              <w:szCs w:val="21"/>
            </w:rPr>
          </w:pPr>
          <w:r>
            <w:rPr>
              <w:rFonts w:ascii="Palatino Linotype" w:hAnsi="Palatino Linotype"/>
              <w:b/>
              <w:sz w:val="21"/>
              <w:szCs w:val="21"/>
            </w:rPr>
            <w:t xml:space="preserve">XXX </w:t>
          </w:r>
          <w:proofErr w:type="spellStart"/>
          <w:r>
            <w:rPr>
              <w:rFonts w:ascii="Palatino Linotype" w:hAnsi="Palatino Linotype"/>
              <w:b/>
              <w:sz w:val="21"/>
              <w:szCs w:val="21"/>
            </w:rPr>
            <w:t>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w:t>
          </w:r>
          <w:proofErr w:type="spellEnd"/>
        </w:p>
      </w:tc>
    </w:tr>
    <w:tr w:rsidR="004F32F2" w14:paraId="22601A11" w14:textId="77777777" w:rsidTr="00750CDE">
      <w:trPr>
        <w:trHeight w:val="228"/>
      </w:trPr>
      <w:tc>
        <w:tcPr>
          <w:tcW w:w="2551" w:type="dxa"/>
          <w:vAlign w:val="center"/>
          <w:hideMark/>
        </w:tcPr>
        <w:p w14:paraId="6EFE221D" w14:textId="337D5087"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96FD44D" w:rsidR="004F32F2" w:rsidRPr="001C1420" w:rsidRDefault="00577D60" w:rsidP="006211B5">
          <w:pPr>
            <w:ind w:left="35" w:hanging="35"/>
            <w:jc w:val="both"/>
            <w:rPr>
              <w:rFonts w:ascii="Palatino Linotype" w:hAnsi="Palatino Linotype"/>
              <w:sz w:val="21"/>
              <w:szCs w:val="21"/>
            </w:rPr>
          </w:pPr>
          <w:r>
            <w:rPr>
              <w:rFonts w:ascii="Palatino Linotype" w:hAnsi="Palatino Linotype"/>
              <w:b/>
              <w:sz w:val="21"/>
              <w:szCs w:val="21"/>
            </w:rPr>
            <w:t>Secretaría de Movilidad</w:t>
          </w:r>
        </w:p>
      </w:tc>
    </w:tr>
    <w:tr w:rsidR="004F32F2" w14:paraId="2D6C630E" w14:textId="77777777" w:rsidTr="00750CDE">
      <w:tc>
        <w:tcPr>
          <w:tcW w:w="2551" w:type="dxa"/>
          <w:vAlign w:val="center"/>
          <w:hideMark/>
        </w:tcPr>
        <w:p w14:paraId="5BD4C6DB" w14:textId="40502EEE" w:rsidR="004F32F2" w:rsidRPr="008C5395" w:rsidRDefault="004F32F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F32F2" w:rsidRPr="001C1420" w:rsidRDefault="004F32F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F32F2" w:rsidRDefault="004F32F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8">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4"/>
  </w:num>
  <w:num w:numId="3">
    <w:abstractNumId w:val="22"/>
  </w:num>
  <w:num w:numId="4">
    <w:abstractNumId w:val="30"/>
  </w:num>
  <w:num w:numId="5">
    <w:abstractNumId w:val="26"/>
  </w:num>
  <w:num w:numId="6">
    <w:abstractNumId w:val="12"/>
  </w:num>
  <w:num w:numId="7">
    <w:abstractNumId w:val="25"/>
  </w:num>
  <w:num w:numId="8">
    <w:abstractNumId w:val="2"/>
  </w:num>
  <w:num w:numId="9">
    <w:abstractNumId w:val="17"/>
  </w:num>
  <w:num w:numId="10">
    <w:abstractNumId w:val="10"/>
  </w:num>
  <w:num w:numId="11">
    <w:abstractNumId w:val="21"/>
  </w:num>
  <w:num w:numId="12">
    <w:abstractNumId w:val="18"/>
  </w:num>
  <w:num w:numId="13">
    <w:abstractNumId w:val="29"/>
  </w:num>
  <w:num w:numId="14">
    <w:abstractNumId w:val="23"/>
  </w:num>
  <w:num w:numId="15">
    <w:abstractNumId w:val="7"/>
  </w:num>
  <w:num w:numId="16">
    <w:abstractNumId w:val="5"/>
  </w:num>
  <w:num w:numId="17">
    <w:abstractNumId w:val="31"/>
  </w:num>
  <w:num w:numId="18">
    <w:abstractNumId w:val="35"/>
  </w:num>
  <w:num w:numId="19">
    <w:abstractNumId w:val="39"/>
  </w:num>
  <w:num w:numId="20">
    <w:abstractNumId w:val="3"/>
  </w:num>
  <w:num w:numId="21">
    <w:abstractNumId w:val="36"/>
  </w:num>
  <w:num w:numId="22">
    <w:abstractNumId w:val="24"/>
  </w:num>
  <w:num w:numId="23">
    <w:abstractNumId w:val="8"/>
  </w:num>
  <w:num w:numId="24">
    <w:abstractNumId w:val="37"/>
  </w:num>
  <w:num w:numId="25">
    <w:abstractNumId w:val="15"/>
  </w:num>
  <w:num w:numId="26">
    <w:abstractNumId w:val="13"/>
  </w:num>
  <w:num w:numId="27">
    <w:abstractNumId w:val="16"/>
  </w:num>
  <w:num w:numId="28">
    <w:abstractNumId w:val="27"/>
  </w:num>
  <w:num w:numId="29">
    <w:abstractNumId w:val="0"/>
  </w:num>
  <w:num w:numId="30">
    <w:abstractNumId w:val="6"/>
  </w:num>
  <w:num w:numId="31">
    <w:abstractNumId w:val="14"/>
  </w:num>
  <w:num w:numId="32">
    <w:abstractNumId w:val="38"/>
  </w:num>
  <w:num w:numId="33">
    <w:abstractNumId w:val="1"/>
  </w:num>
  <w:num w:numId="34">
    <w:abstractNumId w:val="33"/>
  </w:num>
  <w:num w:numId="35">
    <w:abstractNumId w:val="4"/>
  </w:num>
  <w:num w:numId="36">
    <w:abstractNumId w:val="9"/>
  </w:num>
  <w:num w:numId="37">
    <w:abstractNumId w:val="20"/>
  </w:num>
  <w:num w:numId="38">
    <w:abstractNumId w:val="19"/>
  </w:num>
  <w:num w:numId="39">
    <w:abstractNumId w:val="32"/>
  </w:num>
  <w:num w:numId="40">
    <w:abstractNumId w:val="28"/>
  </w:num>
  <w:num w:numId="4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6F98"/>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9AA"/>
    <w:rsid w:val="000D7D54"/>
    <w:rsid w:val="000E0B0D"/>
    <w:rsid w:val="000E0D4C"/>
    <w:rsid w:val="000E2DE5"/>
    <w:rsid w:val="000E3C8A"/>
    <w:rsid w:val="000E46A3"/>
    <w:rsid w:val="000E5379"/>
    <w:rsid w:val="000E60B9"/>
    <w:rsid w:val="000E7DB9"/>
    <w:rsid w:val="000F128B"/>
    <w:rsid w:val="000F27A3"/>
    <w:rsid w:val="000F2894"/>
    <w:rsid w:val="000F377B"/>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07FA"/>
    <w:rsid w:val="0012597C"/>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1FA"/>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29F5"/>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3C3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764"/>
    <w:rsid w:val="002829D3"/>
    <w:rsid w:val="00283930"/>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117E"/>
    <w:rsid w:val="002D19F0"/>
    <w:rsid w:val="002D221F"/>
    <w:rsid w:val="002D3B5F"/>
    <w:rsid w:val="002D3CBA"/>
    <w:rsid w:val="002D5989"/>
    <w:rsid w:val="002D5AD7"/>
    <w:rsid w:val="002D5D77"/>
    <w:rsid w:val="002D6B0B"/>
    <w:rsid w:val="002D73EF"/>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12F8"/>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FE9"/>
    <w:rsid w:val="0035714B"/>
    <w:rsid w:val="003608CF"/>
    <w:rsid w:val="00360C3E"/>
    <w:rsid w:val="00361B46"/>
    <w:rsid w:val="00361C46"/>
    <w:rsid w:val="00361D9B"/>
    <w:rsid w:val="0036391A"/>
    <w:rsid w:val="00363F3A"/>
    <w:rsid w:val="00364223"/>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29E5"/>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6C8"/>
    <w:rsid w:val="00471C23"/>
    <w:rsid w:val="00471C84"/>
    <w:rsid w:val="00473A67"/>
    <w:rsid w:val="0047415F"/>
    <w:rsid w:val="00474B8E"/>
    <w:rsid w:val="00475219"/>
    <w:rsid w:val="00475E78"/>
    <w:rsid w:val="00476AB6"/>
    <w:rsid w:val="0047739C"/>
    <w:rsid w:val="0047785E"/>
    <w:rsid w:val="00477874"/>
    <w:rsid w:val="00480380"/>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53C"/>
    <w:rsid w:val="005022F7"/>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5C7"/>
    <w:rsid w:val="0057770D"/>
    <w:rsid w:val="00577907"/>
    <w:rsid w:val="00577B41"/>
    <w:rsid w:val="00577CC1"/>
    <w:rsid w:val="00577D60"/>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192F"/>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1AC0"/>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B18"/>
    <w:rsid w:val="006E0CD5"/>
    <w:rsid w:val="006E2945"/>
    <w:rsid w:val="006E2B0C"/>
    <w:rsid w:val="006E42B2"/>
    <w:rsid w:val="006E5110"/>
    <w:rsid w:val="006E6389"/>
    <w:rsid w:val="006E7F99"/>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2D84"/>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535"/>
    <w:rsid w:val="00810816"/>
    <w:rsid w:val="00810888"/>
    <w:rsid w:val="008109EA"/>
    <w:rsid w:val="00810BAB"/>
    <w:rsid w:val="008112A9"/>
    <w:rsid w:val="0081205D"/>
    <w:rsid w:val="00812CD5"/>
    <w:rsid w:val="00813227"/>
    <w:rsid w:val="00813EBD"/>
    <w:rsid w:val="008176B3"/>
    <w:rsid w:val="008217A6"/>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736"/>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31A2"/>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2E1F"/>
    <w:rsid w:val="00A236AD"/>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3B3E"/>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37320"/>
    <w:rsid w:val="00B37D2F"/>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1D1A"/>
    <w:rsid w:val="00B921FC"/>
    <w:rsid w:val="00B92A6A"/>
    <w:rsid w:val="00B941E0"/>
    <w:rsid w:val="00B942F0"/>
    <w:rsid w:val="00B943E3"/>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35EE"/>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3FE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068"/>
    <w:rsid w:val="00C8321A"/>
    <w:rsid w:val="00C85BF6"/>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7B7"/>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28EC"/>
    <w:rsid w:val="00D533FB"/>
    <w:rsid w:val="00D535E0"/>
    <w:rsid w:val="00D538F8"/>
    <w:rsid w:val="00D54213"/>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53B4"/>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749"/>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964"/>
    <w:rsid w:val="00F47D8F"/>
    <w:rsid w:val="00F50B43"/>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58D9"/>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5714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F5B74-F90C-4EC4-A699-B25B50FC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26</Pages>
  <Words>5052</Words>
  <Characters>27791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2019-04-02T22:25:00Z</cp:lastPrinted>
  <dcterms:created xsi:type="dcterms:W3CDTF">2022-05-26T18:20:00Z</dcterms:created>
  <dcterms:modified xsi:type="dcterms:W3CDTF">2022-08-11T21:32:00Z</dcterms:modified>
</cp:coreProperties>
</file>