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47FD9" w14:textId="77777777" w:rsidR="00F0715A" w:rsidRPr="007E655B" w:rsidRDefault="00F0715A" w:rsidP="00F0715A">
      <w:pPr>
        <w:spacing w:before="240" w:after="240" w:line="360" w:lineRule="auto"/>
        <w:ind w:right="49"/>
        <w:jc w:val="both"/>
        <w:rPr>
          <w:rFonts w:ascii="Palatino Linotype" w:eastAsia="Palatino Linotype" w:hAnsi="Palatino Linotype" w:cs="Palatino Linotype"/>
          <w:sz w:val="24"/>
          <w:szCs w:val="24"/>
        </w:rPr>
      </w:pPr>
      <w:r w:rsidRPr="007E655B">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435C3D" w:rsidRPr="007E655B">
        <w:rPr>
          <w:rFonts w:ascii="Palatino Linotype" w:eastAsia="Palatino Linotype" w:hAnsi="Palatino Linotype" w:cs="Palatino Linotype"/>
          <w:sz w:val="24"/>
          <w:szCs w:val="24"/>
        </w:rPr>
        <w:t>primero de juni</w:t>
      </w:r>
      <w:r w:rsidRPr="007E655B">
        <w:rPr>
          <w:rFonts w:ascii="Palatino Linotype" w:eastAsia="Palatino Linotype" w:hAnsi="Palatino Linotype" w:cs="Palatino Linotype"/>
          <w:sz w:val="24"/>
          <w:szCs w:val="24"/>
        </w:rPr>
        <w:t>o de dos mil veintidós.</w:t>
      </w:r>
    </w:p>
    <w:p w14:paraId="32399335" w14:textId="0097F806" w:rsidR="00F0715A" w:rsidRPr="007E655B" w:rsidRDefault="00F0715A" w:rsidP="00F0715A">
      <w:pPr>
        <w:spacing w:line="360" w:lineRule="auto"/>
        <w:jc w:val="both"/>
      </w:pPr>
      <w:r w:rsidRPr="007E655B">
        <w:rPr>
          <w:rFonts w:ascii="Palatino Linotype" w:eastAsia="Palatino Linotype" w:hAnsi="Palatino Linotype" w:cs="Palatino Linotype"/>
          <w:b/>
          <w:sz w:val="24"/>
          <w:szCs w:val="24"/>
        </w:rPr>
        <w:t xml:space="preserve">Visto </w:t>
      </w:r>
      <w:r w:rsidRPr="007E655B">
        <w:rPr>
          <w:rFonts w:ascii="Palatino Linotype" w:eastAsia="Palatino Linotype" w:hAnsi="Palatino Linotype" w:cs="Palatino Linotype"/>
          <w:sz w:val="24"/>
          <w:szCs w:val="24"/>
        </w:rPr>
        <w:t xml:space="preserve">el expediente relativo al recurso de revisión </w:t>
      </w:r>
      <w:r w:rsidRPr="007E655B">
        <w:rPr>
          <w:rFonts w:ascii="Palatino Linotype" w:eastAsia="Palatino Linotype" w:hAnsi="Palatino Linotype" w:cs="Palatino Linotype"/>
          <w:b/>
          <w:color w:val="000000"/>
          <w:sz w:val="24"/>
          <w:szCs w:val="24"/>
        </w:rPr>
        <w:t>03199/INFOEM/IP/RR/2022</w:t>
      </w:r>
      <w:r w:rsidRPr="007E655B">
        <w:rPr>
          <w:rFonts w:ascii="Palatino Linotype" w:eastAsia="Palatino Linotype" w:hAnsi="Palatino Linotype" w:cs="Palatino Linotype"/>
          <w:sz w:val="24"/>
          <w:szCs w:val="24"/>
        </w:rPr>
        <w:t>, interpuesto por</w:t>
      </w:r>
      <w:r w:rsidRPr="007E655B">
        <w:rPr>
          <w:rFonts w:ascii="Palatino Linotype" w:eastAsia="Palatino Linotype" w:hAnsi="Palatino Linotype" w:cs="Palatino Linotype"/>
          <w:b/>
          <w:sz w:val="24"/>
          <w:szCs w:val="24"/>
        </w:rPr>
        <w:t xml:space="preserve"> </w:t>
      </w:r>
      <w:proofErr w:type="spellStart"/>
      <w:r w:rsidR="00475D18" w:rsidRPr="007E655B">
        <w:rPr>
          <w:rFonts w:ascii="Palatino Linotype" w:eastAsia="Palatino Linotype" w:hAnsi="Palatino Linotype" w:cs="Palatino Linotype"/>
          <w:b/>
          <w:sz w:val="24"/>
          <w:szCs w:val="24"/>
        </w:rPr>
        <w:t>xxxxx</w:t>
      </w:r>
      <w:proofErr w:type="spellEnd"/>
      <w:r w:rsidRPr="007E655B">
        <w:rPr>
          <w:rFonts w:ascii="Palatino Linotype" w:eastAsia="Palatino Linotype" w:hAnsi="Palatino Linotype" w:cs="Palatino Linotype"/>
          <w:sz w:val="24"/>
          <w:szCs w:val="24"/>
        </w:rPr>
        <w:t xml:space="preserve">, al cual en lo sucesivo se le denominara </w:t>
      </w:r>
      <w:r w:rsidRPr="007E655B">
        <w:rPr>
          <w:rFonts w:ascii="Palatino Linotype" w:eastAsia="Palatino Linotype" w:hAnsi="Palatino Linotype" w:cs="Palatino Linotype"/>
          <w:b/>
          <w:sz w:val="24"/>
          <w:szCs w:val="24"/>
        </w:rPr>
        <w:t>EL RECURRENTE</w:t>
      </w:r>
      <w:r w:rsidRPr="007E655B">
        <w:rPr>
          <w:rFonts w:ascii="Palatino Linotype" w:eastAsia="Palatino Linotype" w:hAnsi="Palatino Linotype" w:cs="Palatino Linotype"/>
          <w:sz w:val="24"/>
          <w:szCs w:val="24"/>
        </w:rPr>
        <w:t xml:space="preserve">, en contra de la respuesta a la solicitud de información con número de folio </w:t>
      </w:r>
      <w:r w:rsidRPr="007E655B">
        <w:rPr>
          <w:rFonts w:ascii="Palatino Linotype" w:eastAsia="Palatino Linotype" w:hAnsi="Palatino Linotype" w:cs="Palatino Linotype"/>
          <w:b/>
          <w:sz w:val="24"/>
          <w:szCs w:val="24"/>
        </w:rPr>
        <w:t>00019/CHICONCU/IP/2022,</w:t>
      </w:r>
      <w:r w:rsidRPr="007E655B">
        <w:rPr>
          <w:rFonts w:ascii="Palatino Linotype" w:eastAsia="Palatino Linotype" w:hAnsi="Palatino Linotype" w:cs="Palatino Linotype"/>
          <w:sz w:val="24"/>
          <w:szCs w:val="24"/>
        </w:rPr>
        <w:t xml:space="preserve"> por parte del</w:t>
      </w:r>
      <w:r w:rsidRPr="007E655B">
        <w:rPr>
          <w:rFonts w:ascii="Palatino Linotype" w:eastAsia="Palatino Linotype" w:hAnsi="Palatino Linotype" w:cs="Palatino Linotype"/>
          <w:color w:val="FF0000"/>
          <w:sz w:val="24"/>
          <w:szCs w:val="24"/>
        </w:rPr>
        <w:t xml:space="preserve"> </w:t>
      </w:r>
      <w:r w:rsidR="00435C3D" w:rsidRPr="007E655B">
        <w:rPr>
          <w:rFonts w:ascii="Palatino Linotype" w:eastAsia="Palatino Linotype" w:hAnsi="Palatino Linotype" w:cs="Palatino Linotype"/>
          <w:color w:val="000000"/>
          <w:sz w:val="24"/>
          <w:szCs w:val="24"/>
        </w:rPr>
        <w:t>Ayuntamiento de Chi</w:t>
      </w:r>
      <w:r w:rsidRPr="007E655B">
        <w:rPr>
          <w:rFonts w:ascii="Palatino Linotype" w:eastAsia="Palatino Linotype" w:hAnsi="Palatino Linotype" w:cs="Palatino Linotype"/>
          <w:color w:val="000000"/>
          <w:sz w:val="24"/>
          <w:szCs w:val="24"/>
        </w:rPr>
        <w:t>concuac</w:t>
      </w:r>
      <w:r w:rsidRPr="007E655B">
        <w:rPr>
          <w:rFonts w:ascii="Palatino Linotype" w:eastAsia="Palatino Linotype" w:hAnsi="Palatino Linotype" w:cs="Palatino Linotype"/>
          <w:sz w:val="24"/>
          <w:szCs w:val="24"/>
        </w:rPr>
        <w:t xml:space="preserve">, en lo sucesivo </w:t>
      </w:r>
      <w:r w:rsidRPr="007E655B">
        <w:rPr>
          <w:rFonts w:ascii="Palatino Linotype" w:eastAsia="Palatino Linotype" w:hAnsi="Palatino Linotype" w:cs="Palatino Linotype"/>
          <w:b/>
          <w:sz w:val="24"/>
          <w:szCs w:val="24"/>
        </w:rPr>
        <w:t>EL</w:t>
      </w:r>
      <w:r w:rsidRPr="007E655B">
        <w:rPr>
          <w:rFonts w:ascii="Palatino Linotype" w:eastAsia="Palatino Linotype" w:hAnsi="Palatino Linotype" w:cs="Palatino Linotype"/>
          <w:sz w:val="24"/>
          <w:szCs w:val="24"/>
        </w:rPr>
        <w:t xml:space="preserve"> </w:t>
      </w:r>
      <w:r w:rsidRPr="007E655B">
        <w:rPr>
          <w:rFonts w:ascii="Palatino Linotype" w:eastAsia="Palatino Linotype" w:hAnsi="Palatino Linotype" w:cs="Palatino Linotype"/>
          <w:b/>
          <w:sz w:val="24"/>
          <w:szCs w:val="24"/>
        </w:rPr>
        <w:t xml:space="preserve">SUJETO OBLIGADO; </w:t>
      </w:r>
      <w:r w:rsidRPr="007E655B">
        <w:rPr>
          <w:rFonts w:ascii="Palatino Linotype" w:eastAsia="Palatino Linotype" w:hAnsi="Palatino Linotype" w:cs="Palatino Linotype"/>
          <w:sz w:val="24"/>
          <w:szCs w:val="24"/>
        </w:rPr>
        <w:t>se procede a dictar la presente resolución, con base en lo siguiente.</w:t>
      </w:r>
    </w:p>
    <w:p w14:paraId="65D116E4" w14:textId="77777777" w:rsidR="00F0715A" w:rsidRPr="007E655B" w:rsidRDefault="00F0715A" w:rsidP="00F0715A">
      <w:pPr>
        <w:spacing w:before="240" w:after="240" w:line="360" w:lineRule="auto"/>
        <w:jc w:val="center"/>
        <w:rPr>
          <w:rFonts w:ascii="Palatino Linotype" w:eastAsia="Palatino Linotype" w:hAnsi="Palatino Linotype" w:cs="Palatino Linotype"/>
          <w:sz w:val="24"/>
          <w:szCs w:val="24"/>
        </w:rPr>
      </w:pPr>
      <w:r w:rsidRPr="007E655B">
        <w:rPr>
          <w:rFonts w:ascii="Palatino Linotype" w:eastAsia="Palatino Linotype" w:hAnsi="Palatino Linotype" w:cs="Palatino Linotype"/>
          <w:b/>
          <w:sz w:val="24"/>
          <w:szCs w:val="24"/>
        </w:rPr>
        <w:t>AN T E C E D E N T E S</w:t>
      </w:r>
    </w:p>
    <w:p w14:paraId="21682357" w14:textId="77777777" w:rsidR="00F0715A" w:rsidRPr="007E655B" w:rsidRDefault="00F0715A" w:rsidP="00F0715A">
      <w:pPr>
        <w:spacing w:before="240" w:after="240" w:line="360" w:lineRule="auto"/>
        <w:ind w:right="49"/>
        <w:jc w:val="both"/>
        <w:rPr>
          <w:rFonts w:ascii="Palatino Linotype" w:eastAsia="Palatino Linotype" w:hAnsi="Palatino Linotype" w:cs="Palatino Linotype"/>
          <w:sz w:val="24"/>
          <w:szCs w:val="24"/>
        </w:rPr>
      </w:pPr>
      <w:r w:rsidRPr="007E655B">
        <w:rPr>
          <w:rFonts w:ascii="Palatino Linotype" w:eastAsia="Palatino Linotype" w:hAnsi="Palatino Linotype" w:cs="Palatino Linotype"/>
          <w:b/>
          <w:sz w:val="24"/>
          <w:szCs w:val="24"/>
        </w:rPr>
        <w:t xml:space="preserve">1. SOLICITUD. </w:t>
      </w:r>
      <w:r w:rsidRPr="007E655B">
        <w:rPr>
          <w:rFonts w:ascii="Palatino Linotype" w:eastAsia="Palatino Linotype" w:hAnsi="Palatino Linotype" w:cs="Palatino Linotype"/>
          <w:sz w:val="24"/>
          <w:szCs w:val="24"/>
        </w:rPr>
        <w:t xml:space="preserve">Con fecha veinte de enero de dos mil veintidós, </w:t>
      </w:r>
      <w:r w:rsidRPr="007E655B">
        <w:rPr>
          <w:rFonts w:ascii="Palatino Linotype" w:eastAsia="Palatino Linotype" w:hAnsi="Palatino Linotype" w:cs="Palatino Linotype"/>
          <w:b/>
          <w:sz w:val="24"/>
          <w:szCs w:val="24"/>
        </w:rPr>
        <w:t>EL RECURRENTE</w:t>
      </w:r>
      <w:r w:rsidRPr="007E655B">
        <w:rPr>
          <w:rFonts w:ascii="Palatino Linotype" w:eastAsia="Palatino Linotype" w:hAnsi="Palatino Linotype" w:cs="Palatino Linotype"/>
          <w:sz w:val="24"/>
          <w:szCs w:val="24"/>
        </w:rPr>
        <w:t xml:space="preserve">, presentó a </w:t>
      </w:r>
      <w:r w:rsidRPr="007E655B">
        <w:rPr>
          <w:rFonts w:ascii="Palatino Linotype" w:hAnsi="Palatino Linotype"/>
          <w:color w:val="000000"/>
          <w:sz w:val="24"/>
          <w:szCs w:val="24"/>
        </w:rPr>
        <w:t xml:space="preserve">través de la Plataforma Nacional de Transparencia vinculada al Sistema de Acceso a la Información Mexiquense, en lo subsecuente el </w:t>
      </w:r>
      <w:r w:rsidRPr="007E655B">
        <w:rPr>
          <w:rFonts w:ascii="Palatino Linotype" w:hAnsi="Palatino Linotype"/>
          <w:b/>
          <w:bCs/>
          <w:color w:val="000000"/>
          <w:sz w:val="24"/>
          <w:szCs w:val="24"/>
        </w:rPr>
        <w:t>SAIMEX</w:t>
      </w:r>
      <w:r w:rsidRPr="007E655B">
        <w:rPr>
          <w:rFonts w:ascii="Palatino Linotype" w:hAnsi="Palatino Linotype"/>
          <w:color w:val="000000"/>
          <w:sz w:val="24"/>
          <w:szCs w:val="24"/>
        </w:rPr>
        <w:t xml:space="preserve">, ante el </w:t>
      </w:r>
      <w:r w:rsidRPr="007E655B">
        <w:rPr>
          <w:rFonts w:ascii="Palatino Linotype" w:hAnsi="Palatino Linotype"/>
          <w:b/>
          <w:bCs/>
          <w:color w:val="000000"/>
          <w:sz w:val="24"/>
          <w:szCs w:val="24"/>
        </w:rPr>
        <w:t>SUJETO OBLIGADO</w:t>
      </w:r>
      <w:r w:rsidRPr="007E655B">
        <w:rPr>
          <w:rFonts w:ascii="Palatino Linotype" w:hAnsi="Palatino Linotype"/>
          <w:color w:val="000000"/>
          <w:sz w:val="24"/>
          <w:szCs w:val="24"/>
        </w:rPr>
        <w:t xml:space="preserve">, la solicitud de acceso a la información pública, a la que se le asignó el número de folio </w:t>
      </w:r>
      <w:r w:rsidRPr="007E655B">
        <w:rPr>
          <w:rFonts w:ascii="Palatino Linotype" w:eastAsia="Palatino Linotype" w:hAnsi="Palatino Linotype" w:cs="Palatino Linotype"/>
          <w:b/>
          <w:sz w:val="24"/>
          <w:szCs w:val="24"/>
        </w:rPr>
        <w:t>00019/CHICONCU/IP/2022</w:t>
      </w:r>
      <w:r w:rsidRPr="007E655B">
        <w:rPr>
          <w:rFonts w:ascii="Palatino Linotype" w:eastAsia="Palatino Linotype" w:hAnsi="Palatino Linotype" w:cs="Palatino Linotype"/>
          <w:sz w:val="24"/>
          <w:szCs w:val="24"/>
        </w:rPr>
        <w:t>,</w:t>
      </w:r>
      <w:r w:rsidRPr="007E655B">
        <w:rPr>
          <w:rFonts w:ascii="Palatino Linotype" w:eastAsia="Palatino Linotype" w:hAnsi="Palatino Linotype" w:cs="Palatino Linotype"/>
          <w:b/>
          <w:sz w:val="24"/>
          <w:szCs w:val="24"/>
        </w:rPr>
        <w:t xml:space="preserve"> </w:t>
      </w:r>
      <w:r w:rsidRPr="007E655B">
        <w:rPr>
          <w:rFonts w:ascii="Palatino Linotype" w:eastAsia="Palatino Linotype" w:hAnsi="Palatino Linotype" w:cs="Palatino Linotype"/>
          <w:sz w:val="24"/>
          <w:szCs w:val="24"/>
        </w:rPr>
        <w:t xml:space="preserve">mediante la cual requirió la información siguiente: </w:t>
      </w:r>
    </w:p>
    <w:p w14:paraId="33207368" w14:textId="77777777" w:rsidR="00F0715A" w:rsidRPr="007E655B" w:rsidRDefault="00F0715A" w:rsidP="00F0715A">
      <w:pPr>
        <w:spacing w:before="240" w:after="240" w:line="276" w:lineRule="auto"/>
        <w:ind w:left="851" w:right="900"/>
        <w:jc w:val="both"/>
        <w:rPr>
          <w:rFonts w:ascii="Palatino Linotype" w:eastAsia="Palatino Linotype" w:hAnsi="Palatino Linotype" w:cs="Palatino Linotype"/>
          <w:i/>
          <w:color w:val="000000"/>
        </w:rPr>
      </w:pPr>
      <w:r w:rsidRPr="007E655B">
        <w:rPr>
          <w:rFonts w:ascii="Palatino Linotype" w:eastAsia="Palatino Linotype" w:hAnsi="Palatino Linotype" w:cs="Palatino Linotype"/>
          <w:i/>
          <w:color w:val="000000"/>
        </w:rPr>
        <w:t xml:space="preserve">“copia de los recibos de la </w:t>
      </w:r>
      <w:proofErr w:type="spellStart"/>
      <w:r w:rsidRPr="007E655B">
        <w:rPr>
          <w:rFonts w:ascii="Palatino Linotype" w:eastAsia="Palatino Linotype" w:hAnsi="Palatino Linotype" w:cs="Palatino Linotype"/>
          <w:i/>
          <w:color w:val="000000"/>
        </w:rPr>
        <w:t>ultima</w:t>
      </w:r>
      <w:proofErr w:type="spellEnd"/>
      <w:r w:rsidRPr="007E655B">
        <w:rPr>
          <w:rFonts w:ascii="Palatino Linotype" w:eastAsia="Palatino Linotype" w:hAnsi="Palatino Linotype" w:cs="Palatino Linotype"/>
          <w:i/>
          <w:color w:val="000000"/>
        </w:rPr>
        <w:t xml:space="preserve"> </w:t>
      </w:r>
      <w:proofErr w:type="spellStart"/>
      <w:r w:rsidRPr="007E655B">
        <w:rPr>
          <w:rFonts w:ascii="Palatino Linotype" w:eastAsia="Palatino Linotype" w:hAnsi="Palatino Linotype" w:cs="Palatino Linotype"/>
          <w:i/>
          <w:color w:val="000000"/>
        </w:rPr>
        <w:t>nomina</w:t>
      </w:r>
      <w:proofErr w:type="spellEnd"/>
      <w:r w:rsidRPr="007E655B">
        <w:rPr>
          <w:rFonts w:ascii="Palatino Linotype" w:eastAsia="Palatino Linotype" w:hAnsi="Palatino Linotype" w:cs="Palatino Linotype"/>
          <w:i/>
          <w:color w:val="000000"/>
        </w:rPr>
        <w:t xml:space="preserve"> de todos los mandos medios y superiores </w:t>
      </w:r>
      <w:r w:rsidRPr="007E655B">
        <w:rPr>
          <w:rFonts w:ascii="Palatino Linotype" w:eastAsia="Palatino Linotype" w:hAnsi="Palatino Linotype" w:cs="Palatino Linotype"/>
          <w:b/>
          <w:i/>
          <w:color w:val="000000"/>
        </w:rPr>
        <w:t xml:space="preserve">del ayuntamiento de </w:t>
      </w:r>
      <w:proofErr w:type="spellStart"/>
      <w:r w:rsidRPr="007E655B">
        <w:rPr>
          <w:rFonts w:ascii="Palatino Linotype" w:eastAsia="Palatino Linotype" w:hAnsi="Palatino Linotype" w:cs="Palatino Linotype"/>
          <w:b/>
          <w:i/>
          <w:color w:val="000000"/>
        </w:rPr>
        <w:t>toluca</w:t>
      </w:r>
      <w:proofErr w:type="spellEnd"/>
      <w:r w:rsidRPr="007E655B">
        <w:rPr>
          <w:rFonts w:ascii="Palatino Linotype" w:eastAsia="Palatino Linotype" w:hAnsi="Palatino Linotype" w:cs="Palatino Linotype"/>
          <w:i/>
          <w:color w:val="000000"/>
        </w:rPr>
        <w:t xml:space="preserve"> </w:t>
      </w:r>
      <w:proofErr w:type="gramStart"/>
      <w:r w:rsidRPr="007E655B">
        <w:rPr>
          <w:rFonts w:ascii="Palatino Linotype" w:eastAsia="Palatino Linotype" w:hAnsi="Palatino Linotype" w:cs="Palatino Linotype"/>
          <w:i/>
          <w:color w:val="000000"/>
        </w:rPr>
        <w:t>2021.“</w:t>
      </w:r>
      <w:proofErr w:type="gramEnd"/>
      <w:r w:rsidRPr="007E655B">
        <w:rPr>
          <w:rFonts w:ascii="Palatino Linotype" w:eastAsia="Palatino Linotype" w:hAnsi="Palatino Linotype" w:cs="Palatino Linotype"/>
          <w:i/>
          <w:color w:val="000000"/>
        </w:rPr>
        <w:t>(Sic)</w:t>
      </w:r>
    </w:p>
    <w:p w14:paraId="7EF83C76" w14:textId="77777777" w:rsidR="00F0715A" w:rsidRPr="007E655B" w:rsidRDefault="00F0715A" w:rsidP="00F0715A">
      <w:pPr>
        <w:pStyle w:val="NormalWeb"/>
        <w:spacing w:before="240" w:beforeAutospacing="0" w:after="240" w:afterAutospacing="0" w:line="360" w:lineRule="auto"/>
        <w:jc w:val="both"/>
      </w:pPr>
      <w:r w:rsidRPr="007E655B">
        <w:rPr>
          <w:rFonts w:ascii="Palatino Linotype" w:hAnsi="Palatino Linotype"/>
          <w:b/>
          <w:bCs/>
          <w:color w:val="000000"/>
        </w:rPr>
        <w:t xml:space="preserve">Modalidad de Entrega: </w:t>
      </w:r>
      <w:r w:rsidRPr="007E655B">
        <w:rPr>
          <w:rFonts w:ascii="Palatino Linotype" w:hAnsi="Palatino Linotype"/>
          <w:color w:val="000000"/>
        </w:rPr>
        <w:t>Toda vez que la solicitud se presentó a</w:t>
      </w:r>
      <w:r w:rsidRPr="007E655B">
        <w:rPr>
          <w:rFonts w:ascii="Palatino Linotype" w:hAnsi="Palatino Linotype"/>
          <w:b/>
          <w:bCs/>
          <w:color w:val="000000"/>
        </w:rPr>
        <w:t xml:space="preserve"> </w:t>
      </w:r>
      <w:r w:rsidRPr="007E655B">
        <w:rPr>
          <w:rFonts w:ascii="Palatino Linotype" w:hAnsi="Palatino Linotype"/>
          <w:color w:val="000000"/>
        </w:rPr>
        <w:t xml:space="preserve">través de la Plataforma Nacional de Transparencia, se entiende que la información se requiere a través de </w:t>
      </w:r>
      <w:r w:rsidRPr="007E655B">
        <w:rPr>
          <w:rFonts w:ascii="Palatino Linotype" w:hAnsi="Palatino Linotype"/>
          <w:b/>
          <w:bCs/>
          <w:color w:val="000000"/>
        </w:rPr>
        <w:t>SAIMEX</w:t>
      </w:r>
      <w:r w:rsidRPr="007E655B">
        <w:rPr>
          <w:rFonts w:ascii="Palatino Linotype" w:hAnsi="Palatino Linotype"/>
          <w:color w:val="000000"/>
        </w:rPr>
        <w:t>, como se aprecia a continuación:</w:t>
      </w:r>
    </w:p>
    <w:p w14:paraId="14347959" w14:textId="77777777" w:rsidR="00F0715A" w:rsidRPr="007E655B" w:rsidRDefault="00F0715A" w:rsidP="00F0715A">
      <w:pPr>
        <w:pStyle w:val="NormalWeb"/>
        <w:spacing w:before="240" w:beforeAutospacing="0" w:after="240" w:afterAutospacing="0"/>
        <w:jc w:val="both"/>
      </w:pPr>
      <w:r w:rsidRPr="007E655B">
        <w:rPr>
          <w:rFonts w:ascii="Palatino Linotype" w:hAnsi="Palatino Linotype"/>
          <w:noProof/>
          <w:color w:val="000000"/>
          <w:bdr w:val="none" w:sz="0" w:space="0" w:color="auto" w:frame="1"/>
        </w:rPr>
        <w:lastRenderedPageBreak/>
        <w:drawing>
          <wp:inline distT="0" distB="0" distL="0" distR="0" wp14:anchorId="696A5F2C" wp14:editId="30D20FF3">
            <wp:extent cx="5610225" cy="600075"/>
            <wp:effectExtent l="0" t="0" r="9525" b="9525"/>
            <wp:docPr id="7" name="Imagen 7" descr="https://lh5.googleusercontent.com/KEECZK6h2-CyaeIrUIP66eZN-tBjX9Yg_oXbNwJkIopJ-GbsCjnFQmYBEO37Ow6qdwDm_8K3Lty04IKszE1fFn1c_s5IRBYV0vUSMclw9g3Az82bw1mEEJN2MXXo16CdynSKuLCKLeTHuGBU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KEECZK6h2-CyaeIrUIP66eZN-tBjX9Yg_oXbNwJkIopJ-GbsCjnFQmYBEO37Ow6qdwDm_8K3Lty04IKszE1fFn1c_s5IRBYV0vUSMclw9g3Az82bw1mEEJN2MXXo16CdynSKuLCKLeTHuGBUB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p w14:paraId="3C201630" w14:textId="77777777" w:rsidR="00F0715A" w:rsidRPr="007E655B" w:rsidRDefault="00F0715A" w:rsidP="00F0715A">
      <w:pPr>
        <w:spacing w:line="360" w:lineRule="auto"/>
        <w:jc w:val="both"/>
        <w:rPr>
          <w:rFonts w:ascii="Palatino Linotype" w:eastAsia="Palatino Linotype" w:hAnsi="Palatino Linotype" w:cs="Palatino Linotype"/>
          <w:sz w:val="24"/>
          <w:szCs w:val="24"/>
        </w:rPr>
      </w:pPr>
      <w:r w:rsidRPr="007E655B">
        <w:rPr>
          <w:rFonts w:ascii="Palatino Linotype" w:eastAsia="Palatino Linotype" w:hAnsi="Palatino Linotype" w:cs="Palatino Linotype"/>
          <w:b/>
          <w:sz w:val="24"/>
          <w:szCs w:val="24"/>
        </w:rPr>
        <w:t xml:space="preserve">2. RESPUESTA.  </w:t>
      </w:r>
      <w:r w:rsidRPr="007E655B">
        <w:rPr>
          <w:rFonts w:ascii="Palatino Linotype" w:eastAsia="Palatino Linotype" w:hAnsi="Palatino Linotype" w:cs="Palatino Linotype"/>
          <w:sz w:val="24"/>
          <w:szCs w:val="24"/>
        </w:rPr>
        <w:t xml:space="preserve">Con fecha veinticuatro de enero del dos mil veintidós, </w:t>
      </w:r>
      <w:r w:rsidRPr="007E655B">
        <w:rPr>
          <w:rFonts w:ascii="Palatino Linotype" w:eastAsia="Palatino Linotype" w:hAnsi="Palatino Linotype" w:cs="Palatino Linotype"/>
          <w:b/>
          <w:sz w:val="24"/>
          <w:szCs w:val="24"/>
        </w:rPr>
        <w:t>EL SUJETO OBLIGADO</w:t>
      </w:r>
      <w:r w:rsidRPr="007E655B">
        <w:rPr>
          <w:rFonts w:ascii="Palatino Linotype" w:eastAsia="Palatino Linotype" w:hAnsi="Palatino Linotype" w:cs="Palatino Linotype"/>
          <w:sz w:val="24"/>
          <w:szCs w:val="24"/>
        </w:rPr>
        <w:t xml:space="preserve"> otorgó, a través del SAIMEX, respuesta a la solicitud de acceso a la información de la siguiente manera:</w:t>
      </w:r>
    </w:p>
    <w:p w14:paraId="35FFF486" w14:textId="77777777" w:rsidR="00F0715A" w:rsidRPr="007E655B" w:rsidRDefault="00F0715A" w:rsidP="00F0715A">
      <w:pPr>
        <w:spacing w:line="276" w:lineRule="auto"/>
        <w:ind w:left="851" w:right="900"/>
        <w:jc w:val="both"/>
        <w:rPr>
          <w:rFonts w:ascii="Palatino Linotype" w:hAnsi="Palatino Linotype"/>
          <w:i/>
        </w:rPr>
      </w:pPr>
      <w:r w:rsidRPr="007E655B">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547E4A" w14:textId="77777777" w:rsidR="00F0715A" w:rsidRPr="007E655B" w:rsidRDefault="00F0715A" w:rsidP="00F0715A">
      <w:pPr>
        <w:spacing w:line="276" w:lineRule="auto"/>
        <w:ind w:left="851" w:right="900"/>
        <w:jc w:val="both"/>
        <w:rPr>
          <w:rFonts w:ascii="Palatino Linotype" w:hAnsi="Palatino Linotype"/>
          <w:i/>
        </w:rPr>
      </w:pPr>
      <w:r w:rsidRPr="007E655B">
        <w:rPr>
          <w:rFonts w:ascii="Palatino Linotype" w:hAnsi="Palatino Linotype"/>
          <w:i/>
        </w:rPr>
        <w:t xml:space="preserve">Por medio de la presente y </w:t>
      </w:r>
      <w:proofErr w:type="gramStart"/>
      <w:r w:rsidRPr="007E655B">
        <w:rPr>
          <w:rFonts w:ascii="Palatino Linotype" w:hAnsi="Palatino Linotype"/>
          <w:i/>
        </w:rPr>
        <w:t>en relación a</w:t>
      </w:r>
      <w:proofErr w:type="gramEnd"/>
      <w:r w:rsidRPr="007E655B">
        <w:rPr>
          <w:rFonts w:ascii="Palatino Linotype" w:hAnsi="Palatino Linotype"/>
          <w:i/>
        </w:rPr>
        <w:t xml:space="preserve"> su solicitud 00019/CHICONCU/IP/2022, con fecha de recepción del 20/01/2022, en donde el particular solicita la siguiente información: copia de los recibos de la </w:t>
      </w:r>
      <w:proofErr w:type="spellStart"/>
      <w:r w:rsidRPr="007E655B">
        <w:rPr>
          <w:rFonts w:ascii="Palatino Linotype" w:hAnsi="Palatino Linotype"/>
          <w:i/>
        </w:rPr>
        <w:t>ultima</w:t>
      </w:r>
      <w:proofErr w:type="spellEnd"/>
      <w:r w:rsidRPr="007E655B">
        <w:rPr>
          <w:rFonts w:ascii="Palatino Linotype" w:hAnsi="Palatino Linotype"/>
          <w:i/>
        </w:rPr>
        <w:t xml:space="preserve"> </w:t>
      </w:r>
      <w:proofErr w:type="spellStart"/>
      <w:r w:rsidRPr="007E655B">
        <w:rPr>
          <w:rFonts w:ascii="Palatino Linotype" w:hAnsi="Palatino Linotype"/>
          <w:i/>
        </w:rPr>
        <w:t>nomina</w:t>
      </w:r>
      <w:proofErr w:type="spellEnd"/>
      <w:r w:rsidRPr="007E655B">
        <w:rPr>
          <w:rFonts w:ascii="Palatino Linotype" w:hAnsi="Palatino Linotype"/>
          <w:i/>
        </w:rPr>
        <w:t xml:space="preserve"> de todos los mandos medios y superiores del ayuntamiento de </w:t>
      </w:r>
      <w:proofErr w:type="spellStart"/>
      <w:r w:rsidRPr="007E655B">
        <w:rPr>
          <w:rFonts w:ascii="Palatino Linotype" w:hAnsi="Palatino Linotype"/>
          <w:i/>
        </w:rPr>
        <w:t>toluca</w:t>
      </w:r>
      <w:proofErr w:type="spellEnd"/>
      <w:r w:rsidRPr="007E655B">
        <w:rPr>
          <w:rFonts w:ascii="Palatino Linotype" w:hAnsi="Palatino Linotype"/>
          <w:i/>
        </w:rPr>
        <w:t xml:space="preserve"> 2021.” Al respecto me permito informarle </w:t>
      </w:r>
      <w:proofErr w:type="gramStart"/>
      <w:r w:rsidRPr="007E655B">
        <w:rPr>
          <w:rFonts w:ascii="Palatino Linotype" w:hAnsi="Palatino Linotype"/>
          <w:i/>
        </w:rPr>
        <w:t>que</w:t>
      </w:r>
      <w:proofErr w:type="gramEnd"/>
      <w:r w:rsidRPr="007E655B">
        <w:rPr>
          <w:rFonts w:ascii="Palatino Linotype" w:hAnsi="Palatino Linotype"/>
          <w:i/>
        </w:rPr>
        <w:t xml:space="preserve"> como sujeto obligado de la Unidad de Transparencia, Acceso a la Información </w:t>
      </w:r>
      <w:proofErr w:type="spellStart"/>
      <w:r w:rsidRPr="007E655B">
        <w:rPr>
          <w:rFonts w:ascii="Palatino Linotype" w:hAnsi="Palatino Linotype"/>
          <w:i/>
        </w:rPr>
        <w:t>Publica</w:t>
      </w:r>
      <w:proofErr w:type="spellEnd"/>
      <w:r w:rsidRPr="007E655B">
        <w:rPr>
          <w:rFonts w:ascii="Palatino Linotype" w:hAnsi="Palatino Linotype"/>
          <w:i/>
        </w:rPr>
        <w:t xml:space="preserve"> y Protección de Datos Personales, del H. Ayuntamiento de Chiconcuac Edo. de Méx., </w:t>
      </w:r>
      <w:r w:rsidRPr="007E655B">
        <w:rPr>
          <w:rFonts w:ascii="Palatino Linotype" w:hAnsi="Palatino Linotype"/>
          <w:b/>
          <w:i/>
        </w:rPr>
        <w:t>no soy competente para brindarle dicha información.</w:t>
      </w:r>
      <w:r w:rsidRPr="007E655B">
        <w:rPr>
          <w:rFonts w:ascii="Palatino Linotype" w:hAnsi="Palatino Linotype"/>
          <w:i/>
        </w:rPr>
        <w:t xml:space="preserve"> Ya que la información que solicita la genera la dependencia municipal Ayuntamiento de Toluca. Sin otro particular, le reitero mis atentas consideraciones. ATENTAMENTE: Titular de la Unidad de Transparencia, Acceso a la Información Pública y Protección de Datos Personales, del H. Ayuntamiento de Chiconcuac Edo. de Méx.</w:t>
      </w:r>
    </w:p>
    <w:p w14:paraId="3F7DACE8" w14:textId="77777777" w:rsidR="00F0715A" w:rsidRPr="007E655B" w:rsidRDefault="00F0715A" w:rsidP="00F0715A">
      <w:pPr>
        <w:spacing w:line="276" w:lineRule="auto"/>
        <w:ind w:left="851" w:right="900"/>
        <w:jc w:val="both"/>
        <w:rPr>
          <w:rFonts w:ascii="Palatino Linotype" w:hAnsi="Palatino Linotype"/>
          <w:i/>
        </w:rPr>
      </w:pPr>
      <w:r w:rsidRPr="007E655B">
        <w:rPr>
          <w:rFonts w:ascii="Palatino Linotype" w:hAnsi="Palatino Linotype"/>
          <w:i/>
        </w:rPr>
        <w:t>ATENTAMENTE</w:t>
      </w:r>
    </w:p>
    <w:p w14:paraId="535F19D2" w14:textId="77777777" w:rsidR="00F0715A" w:rsidRPr="007E655B" w:rsidRDefault="00F0715A" w:rsidP="00F0715A">
      <w:pPr>
        <w:spacing w:line="276" w:lineRule="auto"/>
        <w:ind w:left="851" w:right="900"/>
        <w:jc w:val="both"/>
        <w:rPr>
          <w:rFonts w:ascii="Palatino Linotype" w:hAnsi="Palatino Linotype"/>
          <w:i/>
        </w:rPr>
      </w:pPr>
      <w:r w:rsidRPr="007E655B">
        <w:rPr>
          <w:rFonts w:ascii="Palatino Linotype" w:hAnsi="Palatino Linotype"/>
          <w:i/>
        </w:rPr>
        <w:t>Licenciada Kassandra Berrocal Mote</w:t>
      </w:r>
    </w:p>
    <w:p w14:paraId="026E6974" w14:textId="77777777" w:rsidR="00F0715A" w:rsidRPr="007E655B" w:rsidRDefault="00F0715A" w:rsidP="00F0715A">
      <w:pPr>
        <w:spacing w:before="240" w:after="240" w:line="360" w:lineRule="auto"/>
        <w:ind w:right="-234"/>
        <w:jc w:val="both"/>
        <w:rPr>
          <w:rFonts w:ascii="Palatino Linotype" w:eastAsia="Palatino Linotype" w:hAnsi="Palatino Linotype" w:cs="Palatino Linotype"/>
          <w:sz w:val="24"/>
          <w:szCs w:val="24"/>
        </w:rPr>
      </w:pPr>
      <w:r w:rsidRPr="007E655B">
        <w:rPr>
          <w:rFonts w:ascii="Palatino Linotype" w:eastAsia="Palatino Linotype" w:hAnsi="Palatino Linotype" w:cs="Palatino Linotype"/>
          <w:b/>
          <w:sz w:val="24"/>
          <w:szCs w:val="24"/>
        </w:rPr>
        <w:t xml:space="preserve">3. DEL RECURSO DE REVISIÓN. </w:t>
      </w:r>
      <w:r w:rsidRPr="007E655B">
        <w:rPr>
          <w:rFonts w:ascii="Palatino Linotype" w:eastAsia="Palatino Linotype" w:hAnsi="Palatino Linotype" w:cs="Palatino Linotype"/>
          <w:sz w:val="24"/>
          <w:szCs w:val="24"/>
        </w:rPr>
        <w:t>Inconforme con la respuesta del</w:t>
      </w:r>
      <w:r w:rsidRPr="007E655B">
        <w:rPr>
          <w:rFonts w:ascii="Palatino Linotype" w:eastAsia="Palatino Linotype" w:hAnsi="Palatino Linotype" w:cs="Palatino Linotype"/>
          <w:b/>
          <w:sz w:val="24"/>
          <w:szCs w:val="24"/>
        </w:rPr>
        <w:t xml:space="preserve"> SUJETO OBLIGADO, </w:t>
      </w:r>
      <w:r w:rsidRPr="007E655B">
        <w:rPr>
          <w:rFonts w:ascii="Palatino Linotype" w:eastAsia="Palatino Linotype" w:hAnsi="Palatino Linotype" w:cs="Palatino Linotype"/>
          <w:sz w:val="24"/>
          <w:szCs w:val="24"/>
        </w:rPr>
        <w:t xml:space="preserve">en fecha </w:t>
      </w:r>
      <w:r w:rsidR="00D50ED5" w:rsidRPr="007E655B">
        <w:rPr>
          <w:rFonts w:ascii="Palatino Linotype" w:eastAsia="Palatino Linotype" w:hAnsi="Palatino Linotype" w:cs="Palatino Linotype"/>
          <w:sz w:val="24"/>
          <w:szCs w:val="24"/>
        </w:rPr>
        <w:t>tres</w:t>
      </w:r>
      <w:r w:rsidRPr="007E655B">
        <w:rPr>
          <w:rFonts w:ascii="Palatino Linotype" w:eastAsia="Palatino Linotype" w:hAnsi="Palatino Linotype" w:cs="Palatino Linotype"/>
          <w:sz w:val="24"/>
          <w:szCs w:val="24"/>
        </w:rPr>
        <w:t xml:space="preserve"> de </w:t>
      </w:r>
      <w:r w:rsidR="00D50ED5" w:rsidRPr="007E655B">
        <w:rPr>
          <w:rFonts w:ascii="Palatino Linotype" w:eastAsia="Palatino Linotype" w:hAnsi="Palatino Linotype" w:cs="Palatino Linotype"/>
          <w:sz w:val="24"/>
          <w:szCs w:val="24"/>
        </w:rPr>
        <w:t>marz</w:t>
      </w:r>
      <w:r w:rsidRPr="007E655B">
        <w:rPr>
          <w:rFonts w:ascii="Palatino Linotype" w:eastAsia="Palatino Linotype" w:hAnsi="Palatino Linotype" w:cs="Palatino Linotype"/>
          <w:sz w:val="24"/>
          <w:szCs w:val="24"/>
        </w:rPr>
        <w:t>o de dos mil veintidós</w:t>
      </w:r>
      <w:r w:rsidRPr="007E655B">
        <w:rPr>
          <w:rFonts w:ascii="Palatino Linotype" w:eastAsia="Palatino Linotype" w:hAnsi="Palatino Linotype" w:cs="Palatino Linotype"/>
          <w:b/>
          <w:sz w:val="24"/>
          <w:szCs w:val="24"/>
        </w:rPr>
        <w:t xml:space="preserve">, EL RECURRENTE </w:t>
      </w:r>
      <w:r w:rsidRPr="007E655B">
        <w:rPr>
          <w:rFonts w:ascii="Palatino Linotype" w:eastAsia="Palatino Linotype" w:hAnsi="Palatino Linotype" w:cs="Palatino Linotype"/>
          <w:sz w:val="24"/>
          <w:szCs w:val="24"/>
        </w:rPr>
        <w:t>interpuso el recurso de revisión, el cual fue registrado</w:t>
      </w:r>
      <w:r w:rsidRPr="007E655B">
        <w:rPr>
          <w:rFonts w:ascii="Palatino Linotype" w:eastAsia="Palatino Linotype" w:hAnsi="Palatino Linotype" w:cs="Palatino Linotype"/>
          <w:b/>
          <w:sz w:val="24"/>
          <w:szCs w:val="24"/>
        </w:rPr>
        <w:t xml:space="preserve"> </w:t>
      </w:r>
      <w:r w:rsidRPr="007E655B">
        <w:rPr>
          <w:rFonts w:ascii="Palatino Linotype" w:eastAsia="Palatino Linotype" w:hAnsi="Palatino Linotype" w:cs="Palatino Linotype"/>
          <w:sz w:val="24"/>
          <w:szCs w:val="24"/>
        </w:rPr>
        <w:t xml:space="preserve">en el sistema electrónico con el expediente número </w:t>
      </w:r>
      <w:r w:rsidRPr="007E655B">
        <w:rPr>
          <w:rFonts w:ascii="Palatino Linotype" w:eastAsia="Palatino Linotype" w:hAnsi="Palatino Linotype" w:cs="Palatino Linotype"/>
          <w:b/>
          <w:color w:val="000000"/>
          <w:sz w:val="24"/>
          <w:szCs w:val="24"/>
        </w:rPr>
        <w:t>0</w:t>
      </w:r>
      <w:r w:rsidR="00D50ED5" w:rsidRPr="007E655B">
        <w:rPr>
          <w:rFonts w:ascii="Palatino Linotype" w:eastAsia="Palatino Linotype" w:hAnsi="Palatino Linotype" w:cs="Palatino Linotype"/>
          <w:b/>
          <w:color w:val="000000"/>
          <w:sz w:val="24"/>
          <w:szCs w:val="24"/>
        </w:rPr>
        <w:t>319</w:t>
      </w:r>
      <w:r w:rsidRPr="007E655B">
        <w:rPr>
          <w:rFonts w:ascii="Palatino Linotype" w:eastAsia="Palatino Linotype" w:hAnsi="Palatino Linotype" w:cs="Palatino Linotype"/>
          <w:b/>
          <w:color w:val="000000"/>
          <w:sz w:val="24"/>
          <w:szCs w:val="24"/>
        </w:rPr>
        <w:t>9/INFOEM/IP/RR/2022</w:t>
      </w:r>
      <w:r w:rsidRPr="007E655B">
        <w:rPr>
          <w:rFonts w:ascii="Palatino Linotype" w:eastAsia="Palatino Linotype" w:hAnsi="Palatino Linotype" w:cs="Palatino Linotype"/>
          <w:sz w:val="24"/>
          <w:szCs w:val="24"/>
        </w:rPr>
        <w:t>, en el cual manifiesta, lo siguiente:</w:t>
      </w:r>
    </w:p>
    <w:p w14:paraId="60D04AA6" w14:textId="77777777" w:rsidR="00F0715A" w:rsidRPr="007E655B" w:rsidRDefault="00F0715A" w:rsidP="00F0715A">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7E655B">
        <w:rPr>
          <w:rFonts w:ascii="Palatino Linotype" w:eastAsia="Palatino Linotype" w:hAnsi="Palatino Linotype" w:cs="Palatino Linotype"/>
          <w:b/>
          <w:i/>
          <w:color w:val="000000"/>
          <w:sz w:val="24"/>
          <w:szCs w:val="24"/>
        </w:rPr>
        <w:lastRenderedPageBreak/>
        <w:t>Acto Impugnado:</w:t>
      </w:r>
    </w:p>
    <w:p w14:paraId="31CCB566" w14:textId="77777777" w:rsidR="00F0715A" w:rsidRPr="007E655B" w:rsidRDefault="00F0715A" w:rsidP="00F0715A">
      <w:pPr>
        <w:spacing w:before="240" w:after="240" w:line="276" w:lineRule="auto"/>
        <w:ind w:left="851"/>
        <w:jc w:val="both"/>
        <w:rPr>
          <w:rFonts w:ascii="Palatino Linotype" w:eastAsia="Palatino Linotype" w:hAnsi="Palatino Linotype" w:cs="Palatino Linotype"/>
          <w:i/>
        </w:rPr>
      </w:pPr>
      <w:r w:rsidRPr="007E655B">
        <w:rPr>
          <w:rFonts w:ascii="Palatino Linotype" w:eastAsia="Palatino Linotype" w:hAnsi="Palatino Linotype" w:cs="Palatino Linotype"/>
          <w:i/>
        </w:rPr>
        <w:t>“</w:t>
      </w:r>
      <w:r w:rsidR="00D50ED5" w:rsidRPr="007E655B">
        <w:rPr>
          <w:rFonts w:ascii="Palatino Linotype" w:eastAsia="Palatino Linotype" w:hAnsi="Palatino Linotype" w:cs="Palatino Linotype"/>
          <w:i/>
          <w:color w:val="000000"/>
        </w:rPr>
        <w:t>falta de información</w:t>
      </w:r>
      <w:r w:rsidRPr="007E655B">
        <w:rPr>
          <w:rFonts w:ascii="Palatino Linotype" w:eastAsia="Palatino Linotype" w:hAnsi="Palatino Linotype" w:cs="Palatino Linotype"/>
          <w:i/>
        </w:rPr>
        <w:t>” [sic]</w:t>
      </w:r>
    </w:p>
    <w:p w14:paraId="1557D489" w14:textId="77777777" w:rsidR="00F0715A" w:rsidRPr="007E655B" w:rsidRDefault="00F0715A" w:rsidP="00F0715A">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7E655B">
        <w:rPr>
          <w:rFonts w:ascii="Palatino Linotype" w:eastAsia="Palatino Linotype" w:hAnsi="Palatino Linotype" w:cs="Palatino Linotype"/>
          <w:b/>
          <w:i/>
          <w:color w:val="000000"/>
          <w:sz w:val="24"/>
          <w:szCs w:val="24"/>
        </w:rPr>
        <w:t>Razones o Motivos de Inconformidad</w:t>
      </w:r>
      <w:r w:rsidRPr="007E655B">
        <w:rPr>
          <w:rFonts w:ascii="Palatino Linotype" w:eastAsia="Palatino Linotype" w:hAnsi="Palatino Linotype" w:cs="Palatino Linotype"/>
          <w:i/>
          <w:color w:val="000000"/>
          <w:sz w:val="24"/>
          <w:szCs w:val="24"/>
        </w:rPr>
        <w:t>:</w:t>
      </w:r>
    </w:p>
    <w:p w14:paraId="65815460" w14:textId="77777777" w:rsidR="00F0715A" w:rsidRPr="007E655B" w:rsidRDefault="00F0715A" w:rsidP="00F0715A">
      <w:pPr>
        <w:spacing w:line="360" w:lineRule="auto"/>
        <w:jc w:val="both"/>
        <w:rPr>
          <w:rFonts w:ascii="Palatino Linotype" w:hAnsi="Palatino Linotype"/>
          <w:color w:val="000000"/>
        </w:rPr>
      </w:pPr>
      <w:r w:rsidRPr="007E655B">
        <w:rPr>
          <w:rFonts w:ascii="Palatino Linotype" w:hAnsi="Palatino Linotype"/>
          <w:color w:val="000000"/>
        </w:rPr>
        <w:t>(No señaló razones o motivos de inconformidad)</w:t>
      </w:r>
    </w:p>
    <w:p w14:paraId="2D8EC117" w14:textId="77777777" w:rsidR="00F0715A" w:rsidRPr="007E655B" w:rsidRDefault="00F0715A" w:rsidP="00F0715A">
      <w:pPr>
        <w:spacing w:line="360" w:lineRule="auto"/>
        <w:jc w:val="both"/>
        <w:rPr>
          <w:rFonts w:ascii="Palatino Linotype" w:hAnsi="Palatino Linotype"/>
          <w:sz w:val="24"/>
          <w:szCs w:val="24"/>
        </w:rPr>
      </w:pPr>
      <w:r w:rsidRPr="007E655B">
        <w:rPr>
          <w:rFonts w:ascii="Palatino Linotype" w:hAnsi="Palatino Linotype"/>
          <w:sz w:val="24"/>
          <w:szCs w:val="24"/>
        </w:rPr>
        <w:t xml:space="preserve">Cabe resaltar que el RECURRENTE adjuntó un archivo </w:t>
      </w:r>
      <w:proofErr w:type="gramStart"/>
      <w:r w:rsidRPr="007E655B">
        <w:rPr>
          <w:rFonts w:ascii="Palatino Linotype" w:hAnsi="Palatino Linotype"/>
          <w:sz w:val="24"/>
          <w:szCs w:val="24"/>
        </w:rPr>
        <w:t xml:space="preserve">denominado  </w:t>
      </w:r>
      <w:r w:rsidR="00D50ED5" w:rsidRPr="007E655B">
        <w:rPr>
          <w:rFonts w:ascii="Palatino Linotype" w:hAnsi="Palatino Linotype"/>
          <w:b/>
          <w:i/>
          <w:sz w:val="24"/>
          <w:szCs w:val="24"/>
          <w:u w:val="single"/>
        </w:rPr>
        <w:t>Archivo</w:t>
      </w:r>
      <w:proofErr w:type="gramEnd"/>
      <w:r w:rsidR="00D50ED5" w:rsidRPr="007E655B">
        <w:rPr>
          <w:rFonts w:ascii="Palatino Linotype" w:hAnsi="Palatino Linotype"/>
          <w:b/>
          <w:i/>
          <w:sz w:val="24"/>
          <w:szCs w:val="24"/>
          <w:u w:val="single"/>
        </w:rPr>
        <w:t>1646342485375.</w:t>
      </w:r>
      <w:r w:rsidRPr="007E655B">
        <w:rPr>
          <w:rFonts w:ascii="Palatino Linotype" w:hAnsi="Palatino Linotype"/>
          <w:sz w:val="24"/>
          <w:szCs w:val="24"/>
        </w:rPr>
        <w:t xml:space="preserve"> E</w:t>
      </w:r>
      <w:r w:rsidR="00E11063" w:rsidRPr="007E655B">
        <w:rPr>
          <w:rFonts w:ascii="Palatino Linotype" w:hAnsi="Palatino Linotype"/>
          <w:sz w:val="24"/>
          <w:szCs w:val="24"/>
        </w:rPr>
        <w:t>l cual no es posible visualizar.</w:t>
      </w:r>
    </w:p>
    <w:p w14:paraId="58925D81" w14:textId="77777777" w:rsidR="00D50ED5" w:rsidRPr="007E655B" w:rsidRDefault="00D50ED5" w:rsidP="00D50ED5">
      <w:pPr>
        <w:spacing w:line="360" w:lineRule="auto"/>
        <w:jc w:val="both"/>
        <w:rPr>
          <w:rFonts w:ascii="Palatino Linotype" w:hAnsi="Palatino Linotype"/>
          <w:sz w:val="24"/>
          <w:szCs w:val="24"/>
        </w:rPr>
      </w:pPr>
      <w:r w:rsidRPr="007E655B">
        <w:rPr>
          <w:rFonts w:ascii="Palatino Linotype" w:eastAsia="Palatino Linotype" w:hAnsi="Palatino Linotype" w:cs="Palatino Linotype"/>
          <w:b/>
          <w:sz w:val="24"/>
          <w:szCs w:val="24"/>
        </w:rPr>
        <w:t xml:space="preserve">4. TURNO. </w:t>
      </w:r>
      <w:r w:rsidRPr="007E655B">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E655B">
        <w:rPr>
          <w:rFonts w:ascii="Palatino Linotype" w:eastAsia="Palatino Linotype" w:hAnsi="Palatino Linotype" w:cs="Palatino Linotype"/>
          <w:b/>
          <w:sz w:val="24"/>
          <w:szCs w:val="24"/>
        </w:rPr>
        <w:t xml:space="preserve">Guadalupe Ramírez Peña, </w:t>
      </w:r>
      <w:r w:rsidRPr="007E655B">
        <w:rPr>
          <w:rFonts w:ascii="Palatino Linotype" w:eastAsia="Palatino Linotype" w:hAnsi="Palatino Linotype" w:cs="Palatino Linotype"/>
          <w:sz w:val="24"/>
          <w:szCs w:val="24"/>
        </w:rPr>
        <w:t xml:space="preserve">a efecto de que analizara sobre su admisión o su </w:t>
      </w:r>
      <w:proofErr w:type="spellStart"/>
      <w:r w:rsidRPr="007E655B">
        <w:rPr>
          <w:rFonts w:ascii="Palatino Linotype" w:eastAsia="Palatino Linotype" w:hAnsi="Palatino Linotype" w:cs="Palatino Linotype"/>
          <w:sz w:val="24"/>
          <w:szCs w:val="24"/>
        </w:rPr>
        <w:t>desechamiento</w:t>
      </w:r>
      <w:proofErr w:type="spellEnd"/>
      <w:r w:rsidRPr="007E655B">
        <w:rPr>
          <w:rFonts w:ascii="Palatino Linotype" w:eastAsia="Palatino Linotype" w:hAnsi="Palatino Linotype" w:cs="Palatino Linotype"/>
          <w:sz w:val="24"/>
          <w:szCs w:val="24"/>
        </w:rPr>
        <w:t>.</w:t>
      </w:r>
    </w:p>
    <w:p w14:paraId="021A0904" w14:textId="77777777" w:rsidR="00A1078F" w:rsidRPr="007E655B" w:rsidRDefault="00D50ED5" w:rsidP="00D50ED5">
      <w:pPr>
        <w:spacing w:line="360" w:lineRule="auto"/>
        <w:jc w:val="both"/>
        <w:rPr>
          <w:rFonts w:ascii="Palatino Linotype" w:eastAsia="Palatino Linotype" w:hAnsi="Palatino Linotype" w:cs="Palatino Linotype"/>
          <w:sz w:val="24"/>
          <w:szCs w:val="24"/>
        </w:rPr>
      </w:pPr>
      <w:r w:rsidRPr="007E655B">
        <w:rPr>
          <w:rFonts w:ascii="Palatino Linotype" w:eastAsia="Palatino Linotype" w:hAnsi="Palatino Linotype" w:cs="Palatino Linotype"/>
          <w:b/>
          <w:sz w:val="24"/>
          <w:szCs w:val="24"/>
        </w:rPr>
        <w:t>5. ADMISIÓN DEL RECURSO DE REVISIÓN.</w:t>
      </w:r>
      <w:r w:rsidRPr="007E655B">
        <w:rPr>
          <w:rFonts w:ascii="Palatino Linotype" w:eastAsia="Palatino Linotype" w:hAnsi="Palatino Linotype" w:cs="Palatino Linotype"/>
          <w:sz w:val="24"/>
          <w:szCs w:val="24"/>
        </w:rPr>
        <w:t xml:space="preserve"> Con fecha</w:t>
      </w:r>
      <w:r w:rsidRPr="007E655B">
        <w:rPr>
          <w:rFonts w:ascii="Palatino Linotype" w:eastAsia="Palatino Linotype" w:hAnsi="Palatino Linotype" w:cs="Palatino Linotype"/>
          <w:b/>
          <w:sz w:val="24"/>
          <w:szCs w:val="24"/>
        </w:rPr>
        <w:t xml:space="preserve"> ocho de marzo de dos mil veintidós, </w:t>
      </w:r>
      <w:r w:rsidRPr="007E655B">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E655B">
        <w:rPr>
          <w:rFonts w:ascii="Palatino Linotype" w:eastAsia="Palatino Linotype" w:hAnsi="Palatino Linotype" w:cs="Palatino Linotype"/>
          <w:b/>
          <w:sz w:val="24"/>
          <w:szCs w:val="24"/>
        </w:rPr>
        <w:t xml:space="preserve">SUJETO OBLIGADO </w:t>
      </w:r>
      <w:r w:rsidRPr="007E655B">
        <w:rPr>
          <w:rFonts w:ascii="Palatino Linotype" w:eastAsia="Palatino Linotype" w:hAnsi="Palatino Linotype" w:cs="Palatino Linotype"/>
          <w:sz w:val="24"/>
          <w:szCs w:val="24"/>
        </w:rPr>
        <w:t>presentara su informe justificado.</w:t>
      </w:r>
    </w:p>
    <w:p w14:paraId="3BD88830" w14:textId="77777777" w:rsidR="00D50ED5" w:rsidRPr="007E655B" w:rsidRDefault="00D50ED5" w:rsidP="00D50ED5">
      <w:pPr>
        <w:spacing w:before="240" w:after="240" w:line="360" w:lineRule="auto"/>
        <w:ind w:right="-234"/>
        <w:jc w:val="both"/>
        <w:rPr>
          <w:rFonts w:ascii="Palatino Linotype" w:eastAsia="Palatino Linotype" w:hAnsi="Palatino Linotype" w:cs="Palatino Linotype"/>
          <w:sz w:val="24"/>
          <w:szCs w:val="24"/>
        </w:rPr>
      </w:pPr>
      <w:r w:rsidRPr="007E655B">
        <w:rPr>
          <w:rFonts w:ascii="Palatino Linotype" w:eastAsia="Palatino Linotype" w:hAnsi="Palatino Linotype" w:cs="Palatino Linotype"/>
          <w:b/>
          <w:color w:val="202124"/>
          <w:sz w:val="24"/>
          <w:szCs w:val="24"/>
        </w:rPr>
        <w:t xml:space="preserve">6. </w:t>
      </w:r>
      <w:r w:rsidRPr="007E655B">
        <w:rPr>
          <w:rFonts w:ascii="Palatino Linotype" w:eastAsia="Palatino Linotype" w:hAnsi="Palatino Linotype" w:cs="Palatino Linotype"/>
          <w:b/>
          <w:sz w:val="24"/>
          <w:szCs w:val="24"/>
        </w:rPr>
        <w:t xml:space="preserve">INFORME JUSTIFICADO O MANIFESTACIONES. </w:t>
      </w:r>
      <w:r w:rsidRPr="007E655B">
        <w:rPr>
          <w:rFonts w:ascii="Palatino Linotype" w:eastAsia="Palatino Linotype" w:hAnsi="Palatino Linotype" w:cs="Palatino Linotype"/>
          <w:sz w:val="24"/>
          <w:szCs w:val="24"/>
        </w:rPr>
        <w:t xml:space="preserve">El once de marzo de dos mil veintidós, se recibió, a través del Sistema de Acceso a la Información Mexiquense </w:t>
      </w:r>
      <w:r w:rsidRPr="007E655B">
        <w:rPr>
          <w:rFonts w:ascii="Palatino Linotype" w:eastAsia="Palatino Linotype" w:hAnsi="Palatino Linotype" w:cs="Palatino Linotype"/>
          <w:sz w:val="24"/>
          <w:szCs w:val="24"/>
        </w:rPr>
        <w:lastRenderedPageBreak/>
        <w:t xml:space="preserve">(SAIMEX), el Informe Justificado del </w:t>
      </w:r>
      <w:r w:rsidRPr="007E655B">
        <w:rPr>
          <w:rFonts w:ascii="Palatino Linotype" w:eastAsia="Palatino Linotype" w:hAnsi="Palatino Linotype" w:cs="Palatino Linotype"/>
          <w:b/>
          <w:sz w:val="24"/>
          <w:szCs w:val="24"/>
        </w:rPr>
        <w:t>SUJETO OBLIGADO</w:t>
      </w:r>
      <w:r w:rsidRPr="007E655B">
        <w:rPr>
          <w:rFonts w:ascii="Palatino Linotype" w:eastAsia="Palatino Linotype" w:hAnsi="Palatino Linotype" w:cs="Palatino Linotype"/>
          <w:sz w:val="24"/>
          <w:szCs w:val="24"/>
        </w:rPr>
        <w:t>,</w:t>
      </w:r>
      <w:r w:rsidRPr="007E655B">
        <w:rPr>
          <w:rFonts w:ascii="Palatino Linotype" w:eastAsia="Palatino Linotype" w:hAnsi="Palatino Linotype" w:cs="Palatino Linotype"/>
          <w:b/>
          <w:sz w:val="24"/>
          <w:szCs w:val="24"/>
        </w:rPr>
        <w:t xml:space="preserve"> </w:t>
      </w:r>
      <w:r w:rsidRPr="007E655B">
        <w:rPr>
          <w:rFonts w:ascii="Palatino Linotype" w:eastAsia="Palatino Linotype" w:hAnsi="Palatino Linotype" w:cs="Palatino Linotype"/>
          <w:sz w:val="24"/>
          <w:szCs w:val="24"/>
        </w:rPr>
        <w:t xml:space="preserve">a través del siguiente archivo electrónico: </w:t>
      </w:r>
    </w:p>
    <w:p w14:paraId="7CED79F2" w14:textId="77777777" w:rsidR="00D50ED5" w:rsidRPr="007E655B" w:rsidRDefault="00D50ED5" w:rsidP="00D50ED5">
      <w:pPr>
        <w:rPr>
          <w:rFonts w:ascii="Palatino Linotype" w:eastAsia="Palatino Linotype" w:hAnsi="Palatino Linotype" w:cs="Palatino Linotype"/>
          <w:color w:val="000000"/>
          <w:sz w:val="24"/>
          <w:szCs w:val="24"/>
        </w:rPr>
      </w:pPr>
      <w:r w:rsidRPr="007E655B">
        <w:rPr>
          <w:rFonts w:ascii="Palatino Linotype" w:hAnsi="Palatino Linotype"/>
          <w:b/>
          <w:i/>
          <w:sz w:val="24"/>
          <w:szCs w:val="24"/>
          <w:u w:val="single"/>
        </w:rPr>
        <w:t xml:space="preserve">RESPUESTA A LA SOLICITUD.pdf </w:t>
      </w:r>
      <w:r w:rsidRPr="007E655B">
        <w:rPr>
          <w:rFonts w:ascii="Palatino Linotype" w:eastAsia="Palatino Linotype" w:hAnsi="Palatino Linotype" w:cs="Palatino Linotype"/>
          <w:color w:val="000000"/>
          <w:sz w:val="24"/>
          <w:szCs w:val="24"/>
        </w:rPr>
        <w:t>el cual contiene el siguiente documento:</w:t>
      </w:r>
    </w:p>
    <w:p w14:paraId="3D6C27F5" w14:textId="77777777" w:rsidR="00D50ED5" w:rsidRPr="007E655B" w:rsidRDefault="00D50ED5" w:rsidP="00D50ED5">
      <w:pPr>
        <w:jc w:val="center"/>
        <w:rPr>
          <w:rFonts w:ascii="Palatino Linotype" w:eastAsia="Palatino Linotype" w:hAnsi="Palatino Linotype" w:cs="Palatino Linotype"/>
          <w:color w:val="000000"/>
          <w:sz w:val="24"/>
          <w:szCs w:val="24"/>
        </w:rPr>
      </w:pPr>
      <w:r w:rsidRPr="007E655B">
        <w:rPr>
          <w:noProof/>
        </w:rPr>
        <w:drawing>
          <wp:inline distT="0" distB="0" distL="0" distR="0" wp14:anchorId="05BAA583" wp14:editId="646C49F6">
            <wp:extent cx="4752975" cy="6090494"/>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096" t="15087" r="33129" b="7966"/>
                    <a:stretch/>
                  </pic:blipFill>
                  <pic:spPr bwMode="auto">
                    <a:xfrm>
                      <a:off x="0" y="0"/>
                      <a:ext cx="4767311" cy="6108865"/>
                    </a:xfrm>
                    <a:prstGeom prst="rect">
                      <a:avLst/>
                    </a:prstGeom>
                    <a:ln>
                      <a:noFill/>
                    </a:ln>
                    <a:extLst>
                      <a:ext uri="{53640926-AAD7-44D8-BBD7-CCE9431645EC}">
                        <a14:shadowObscured xmlns:a14="http://schemas.microsoft.com/office/drawing/2010/main"/>
                      </a:ext>
                    </a:extLst>
                  </pic:spPr>
                </pic:pic>
              </a:graphicData>
            </a:graphic>
          </wp:inline>
        </w:drawing>
      </w:r>
    </w:p>
    <w:p w14:paraId="7945C355" w14:textId="77777777" w:rsidR="00D50ED5" w:rsidRPr="007E655B" w:rsidRDefault="00D50ED5" w:rsidP="00D50ED5">
      <w:pPr>
        <w:spacing w:before="120" w:after="120" w:line="360" w:lineRule="auto"/>
        <w:ind w:right="49"/>
        <w:contextualSpacing/>
        <w:jc w:val="both"/>
        <w:rPr>
          <w:rFonts w:ascii="Palatino Linotype" w:eastAsia="Palatino Linotype" w:hAnsi="Palatino Linotype" w:cs="Palatino Linotype"/>
          <w:color w:val="000000"/>
          <w:sz w:val="24"/>
          <w:szCs w:val="24"/>
        </w:rPr>
      </w:pPr>
      <w:r w:rsidRPr="007E655B">
        <w:rPr>
          <w:rFonts w:ascii="Palatino Linotype" w:eastAsia="Palatino Linotype" w:hAnsi="Palatino Linotype" w:cs="Palatino Linotype"/>
          <w:b/>
          <w:sz w:val="24"/>
          <w:szCs w:val="24"/>
        </w:rPr>
        <w:lastRenderedPageBreak/>
        <w:t xml:space="preserve">7. DEL CIERRE DE INSTRUCCIÓN. </w:t>
      </w:r>
      <w:r w:rsidRPr="007E655B">
        <w:rPr>
          <w:rFonts w:ascii="Palatino Linotype" w:eastAsia="Palatino Linotype" w:hAnsi="Palatino Linotype" w:cs="Palatino Linotype"/>
          <w:color w:val="000000"/>
          <w:sz w:val="24"/>
          <w:szCs w:val="24"/>
        </w:rPr>
        <w:t xml:space="preserve">El veinticuatro de mayo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 </w:t>
      </w:r>
    </w:p>
    <w:p w14:paraId="04639236" w14:textId="77777777" w:rsidR="0090752E" w:rsidRPr="007E655B" w:rsidRDefault="0090752E" w:rsidP="00D50ED5">
      <w:pPr>
        <w:spacing w:before="120" w:after="120" w:line="360" w:lineRule="auto"/>
        <w:ind w:right="49"/>
        <w:contextualSpacing/>
        <w:jc w:val="both"/>
        <w:rPr>
          <w:rFonts w:ascii="Palatino Linotype" w:eastAsia="Palatino Linotype" w:hAnsi="Palatino Linotype" w:cs="Palatino Linotype"/>
          <w:color w:val="000000"/>
          <w:sz w:val="24"/>
          <w:szCs w:val="24"/>
        </w:rPr>
      </w:pPr>
    </w:p>
    <w:p w14:paraId="7AECDEAE" w14:textId="77777777" w:rsidR="00D50ED5" w:rsidRPr="007E655B" w:rsidRDefault="00D50ED5" w:rsidP="00D50ED5">
      <w:pPr>
        <w:spacing w:before="120" w:after="120" w:line="360" w:lineRule="auto"/>
        <w:ind w:right="49"/>
        <w:contextualSpacing/>
        <w:jc w:val="both"/>
        <w:rPr>
          <w:rFonts w:ascii="Palatino Linotype" w:hAnsi="Palatino Linotype"/>
          <w:color w:val="000000"/>
          <w:sz w:val="24"/>
          <w:szCs w:val="24"/>
        </w:rPr>
      </w:pPr>
      <w:r w:rsidRPr="007E655B">
        <w:rPr>
          <w:rFonts w:ascii="Palatino Linotype" w:eastAsia="Palatino Linotype" w:hAnsi="Palatino Linotype" w:cs="Palatino Linotype"/>
          <w:b/>
          <w:sz w:val="24"/>
          <w:szCs w:val="24"/>
        </w:rPr>
        <w:t xml:space="preserve">8. </w:t>
      </w:r>
      <w:r w:rsidRPr="007E655B">
        <w:rPr>
          <w:rFonts w:ascii="Palatino Linotype" w:hAnsi="Palatino Linotype"/>
          <w:b/>
          <w:bCs/>
          <w:color w:val="000000"/>
          <w:sz w:val="24"/>
          <w:szCs w:val="24"/>
        </w:rPr>
        <w:t xml:space="preserve">AMPLIACIÓN DEL PLAZO. </w:t>
      </w:r>
      <w:r w:rsidRPr="007E655B">
        <w:rPr>
          <w:rFonts w:ascii="Palatino Linotype" w:hAnsi="Palatino Linotype"/>
          <w:color w:val="000000"/>
          <w:sz w:val="24"/>
          <w:szCs w:val="24"/>
        </w:rPr>
        <w:t xml:space="preserve">En fecha </w:t>
      </w:r>
      <w:r w:rsidR="00F55C5C" w:rsidRPr="007E655B">
        <w:rPr>
          <w:rFonts w:ascii="Palatino Linotype" w:hAnsi="Palatino Linotype"/>
          <w:b/>
          <w:bCs/>
          <w:color w:val="000000"/>
          <w:sz w:val="24"/>
          <w:szCs w:val="24"/>
        </w:rPr>
        <w:t xml:space="preserve">veintiséis </w:t>
      </w:r>
      <w:r w:rsidRPr="007E655B">
        <w:rPr>
          <w:rFonts w:ascii="Palatino Linotype" w:hAnsi="Palatino Linotype"/>
          <w:b/>
          <w:bCs/>
          <w:color w:val="000000"/>
          <w:sz w:val="24"/>
          <w:szCs w:val="24"/>
        </w:rPr>
        <w:t>de mayo del año dos mil veintidós</w:t>
      </w:r>
      <w:r w:rsidRPr="007E655B">
        <w:rPr>
          <w:rFonts w:ascii="Palatino Linotype" w:hAnsi="Palatino Linotype"/>
          <w:color w:val="000000"/>
          <w:sz w:val="24"/>
          <w:szCs w:val="24"/>
        </w:rPr>
        <w:t>, con fundamento en el artículo 181, párrafo tercero de la Ley de Transparencia y Acceso a la Información Pública del Estado de México y Municipios, se acordó la ampliación del plazo para su resolución.</w:t>
      </w:r>
    </w:p>
    <w:p w14:paraId="6C27BAD6" w14:textId="77777777" w:rsidR="00E11063" w:rsidRPr="007E655B" w:rsidRDefault="00E11063" w:rsidP="00E11063">
      <w:pPr>
        <w:spacing w:before="240" w:after="240" w:line="360" w:lineRule="auto"/>
        <w:jc w:val="both"/>
        <w:rPr>
          <w:rFonts w:ascii="Palatino Linotype" w:eastAsia="Palatino Linotype" w:hAnsi="Palatino Linotype" w:cs="Palatino Linotype"/>
          <w:sz w:val="24"/>
        </w:rPr>
      </w:pPr>
      <w:proofErr w:type="gramStart"/>
      <w:r w:rsidRPr="007E655B">
        <w:rPr>
          <w:rFonts w:ascii="Palatino Linotype" w:eastAsia="Palatino Linotype" w:hAnsi="Palatino Linotype" w:cs="Palatino Linotype"/>
          <w:sz w:val="24"/>
        </w:rPr>
        <w:t>En razón de</w:t>
      </w:r>
      <w:proofErr w:type="gramEnd"/>
      <w:r w:rsidRPr="007E655B">
        <w:rPr>
          <w:rFonts w:ascii="Palatino Linotype" w:eastAsia="Palatino Linotype" w:hAnsi="Palatino Linotype" w:cs="Palatino Linotype"/>
          <w:sz w:val="24"/>
        </w:rPr>
        <w:t xml:space="preserve"> que fue debidamente sustanciado el expediente electrónico y no existe diligencia pendiente de desahogo, se emite la Resolución que conforme a Derecho proceda, de acuerdo con los siguientes: </w:t>
      </w:r>
    </w:p>
    <w:p w14:paraId="4B3786DF" w14:textId="77777777" w:rsidR="0096432B" w:rsidRPr="007E655B" w:rsidRDefault="0096432B" w:rsidP="00D50ED5">
      <w:pPr>
        <w:spacing w:before="120" w:after="120" w:line="360" w:lineRule="auto"/>
        <w:ind w:right="49"/>
        <w:contextualSpacing/>
        <w:jc w:val="both"/>
        <w:rPr>
          <w:rFonts w:ascii="Palatino Linotype" w:eastAsia="Palatino Linotype" w:hAnsi="Palatino Linotype" w:cs="Palatino Linotype"/>
          <w:b/>
          <w:sz w:val="24"/>
          <w:szCs w:val="24"/>
        </w:rPr>
      </w:pPr>
    </w:p>
    <w:p w14:paraId="2C3DFED7" w14:textId="77777777" w:rsidR="00D50ED5" w:rsidRPr="007E655B" w:rsidRDefault="00D50ED5" w:rsidP="00D50ED5">
      <w:pPr>
        <w:widowControl w:val="0"/>
        <w:spacing w:line="360" w:lineRule="auto"/>
        <w:jc w:val="center"/>
        <w:rPr>
          <w:rFonts w:ascii="Palatino Linotype" w:eastAsia="Palatino Linotype" w:hAnsi="Palatino Linotype" w:cs="Palatino Linotype"/>
          <w:b/>
          <w:sz w:val="24"/>
          <w:szCs w:val="24"/>
        </w:rPr>
      </w:pPr>
      <w:r w:rsidRPr="007E655B">
        <w:rPr>
          <w:rFonts w:ascii="Palatino Linotype" w:eastAsia="Palatino Linotype" w:hAnsi="Palatino Linotype" w:cs="Palatino Linotype"/>
          <w:b/>
          <w:sz w:val="24"/>
          <w:szCs w:val="24"/>
        </w:rPr>
        <w:t>C O N S I D E R A N D O S</w:t>
      </w:r>
    </w:p>
    <w:p w14:paraId="6166522C" w14:textId="77777777" w:rsidR="00D50ED5" w:rsidRPr="007E655B" w:rsidRDefault="00D50ED5" w:rsidP="00D50ED5">
      <w:pPr>
        <w:spacing w:line="360" w:lineRule="auto"/>
        <w:jc w:val="both"/>
        <w:rPr>
          <w:rFonts w:ascii="Palatino Linotype" w:eastAsia="Palatino Linotype" w:hAnsi="Palatino Linotype" w:cs="Palatino Linotype"/>
          <w:sz w:val="24"/>
          <w:szCs w:val="24"/>
        </w:rPr>
      </w:pPr>
      <w:r w:rsidRPr="007E655B">
        <w:rPr>
          <w:rFonts w:ascii="Palatino Linotype" w:eastAsia="Palatino Linotype" w:hAnsi="Palatino Linotype" w:cs="Palatino Linotype"/>
          <w:b/>
          <w:sz w:val="24"/>
          <w:szCs w:val="24"/>
        </w:rPr>
        <w:t>PRIMERO. COMPETENCIA.</w:t>
      </w:r>
      <w:r w:rsidRPr="007E655B">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w:t>
      </w:r>
      <w:r w:rsidRPr="007E655B">
        <w:rPr>
          <w:rFonts w:ascii="Palatino Linotype" w:eastAsia="Palatino Linotype" w:hAnsi="Palatino Linotype" w:cs="Palatino Linotype"/>
          <w:sz w:val="24"/>
          <w:szCs w:val="24"/>
        </w:rPr>
        <w:lastRenderedPageBreak/>
        <w:t>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D6B5A8C" w14:textId="77777777" w:rsidR="0096432B" w:rsidRPr="007E655B" w:rsidRDefault="0096432B" w:rsidP="0096432B">
      <w:pPr>
        <w:spacing w:before="240" w:after="240" w:line="360" w:lineRule="auto"/>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color w:val="000000"/>
          <w:sz w:val="24"/>
          <w:szCs w:val="24"/>
        </w:rPr>
        <w:t>SEGUNDO. ANÁLISIS DE LAS CAUSALES DE IMPROCEDENCIA Y SOBRESEIMIENTO</w:t>
      </w:r>
      <w:r w:rsidRPr="007E655B">
        <w:rPr>
          <w:rFonts w:ascii="Palatino Linotype" w:eastAsia="Times New Roman" w:hAnsi="Palatino Linotype" w:cs="Times New Roman"/>
          <w:b/>
          <w:bCs/>
          <w:color w:val="000000"/>
          <w:sz w:val="28"/>
          <w:szCs w:val="28"/>
        </w:rPr>
        <w:t xml:space="preserve">. </w:t>
      </w:r>
      <w:r w:rsidRPr="007E655B">
        <w:rPr>
          <w:rFonts w:ascii="Palatino Linotype" w:eastAsia="Times New Roman" w:hAnsi="Palatino Linotype" w:cs="Times New Roman"/>
          <w:color w:val="000000"/>
          <w:sz w:val="24"/>
          <w:szCs w:val="24"/>
        </w:rPr>
        <w:t xml:space="preserve">Este Instituto, realiza el estudio preferente y oficioso de las </w:t>
      </w:r>
      <w:proofErr w:type="gramStart"/>
      <w:r w:rsidRPr="007E655B">
        <w:rPr>
          <w:rFonts w:ascii="Palatino Linotype" w:eastAsia="Times New Roman" w:hAnsi="Palatino Linotype" w:cs="Times New Roman"/>
          <w:color w:val="000000"/>
          <w:sz w:val="24"/>
          <w:szCs w:val="24"/>
        </w:rPr>
        <w:t>cuales</w:t>
      </w:r>
      <w:proofErr w:type="gramEnd"/>
      <w:r w:rsidRPr="007E655B">
        <w:rPr>
          <w:rFonts w:ascii="Palatino Linotype" w:eastAsia="Times New Roman" w:hAnsi="Palatino Linotype" w:cs="Times New Roman"/>
          <w:color w:val="000000"/>
          <w:sz w:val="24"/>
          <w:szCs w:val="24"/>
        </w:rPr>
        <w:t xml:space="preserve">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14:paraId="0A7D6A4E" w14:textId="77777777" w:rsidR="0096432B" w:rsidRPr="007E655B" w:rsidRDefault="0096432B" w:rsidP="0096432B">
      <w:pPr>
        <w:spacing w:after="0" w:line="240" w:lineRule="auto"/>
        <w:ind w:left="851" w:right="900"/>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 xml:space="preserve">“Improcedencia: </w:t>
      </w:r>
      <w:r w:rsidRPr="007E655B">
        <w:rPr>
          <w:rFonts w:ascii="Palatino Linotype" w:eastAsia="Times New Roman" w:hAnsi="Palatino Linotype" w:cs="Times New Roman"/>
          <w:i/>
          <w:iCs/>
          <w:color w:val="000000"/>
        </w:rPr>
        <w:t>Sea que las partes la aleguen o no, debe examinarse previamente la procedencia del juicio de amparo, por ser cuestión de orden público en el juicio de garantías.”</w:t>
      </w:r>
    </w:p>
    <w:p w14:paraId="0863E3B8" w14:textId="77777777" w:rsidR="0096432B" w:rsidRPr="007E655B" w:rsidRDefault="0096432B" w:rsidP="0096432B">
      <w:pPr>
        <w:spacing w:before="240" w:after="240" w:line="360" w:lineRule="auto"/>
        <w:jc w:val="both"/>
        <w:rPr>
          <w:rFonts w:ascii="Times New Roman" w:eastAsia="Times New Roman" w:hAnsi="Times New Roman" w:cs="Times New Roman"/>
          <w:sz w:val="24"/>
          <w:szCs w:val="24"/>
        </w:rPr>
      </w:pPr>
      <w:r w:rsidRPr="007E655B">
        <w:rPr>
          <w:rFonts w:ascii="Palatino Linotype" w:eastAsia="Times New Roman" w:hAnsi="Palatino Linotype" w:cs="Times New Roman"/>
          <w:color w:val="000000"/>
          <w:sz w:val="24"/>
          <w:szCs w:val="24"/>
        </w:rPr>
        <w:t>Al respecto la Ley de Transparencia y Acceso a la Información Pública del Estado de México y Municipios, establece lo siguiente:</w:t>
      </w:r>
    </w:p>
    <w:p w14:paraId="7B23B1DA" w14:textId="77777777" w:rsidR="0096432B" w:rsidRPr="007E655B" w:rsidRDefault="0096432B" w:rsidP="0096432B">
      <w:pPr>
        <w:spacing w:after="0" w:line="240" w:lineRule="auto"/>
        <w:ind w:left="851" w:right="900"/>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 xml:space="preserve">“Artículo 178. </w:t>
      </w:r>
      <w:r w:rsidRPr="007E655B">
        <w:rPr>
          <w:rFonts w:ascii="Palatino Linotype" w:eastAsia="Times New Roman" w:hAnsi="Palatino Linotype" w:cs="Times New Roman"/>
          <w:i/>
          <w:iCs/>
          <w:color w:val="000000"/>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36AF840" w14:textId="77777777" w:rsidR="0096432B" w:rsidRPr="007E655B" w:rsidRDefault="0096432B" w:rsidP="0096432B">
      <w:pPr>
        <w:spacing w:before="240" w:after="240" w:line="360" w:lineRule="auto"/>
        <w:ind w:right="49"/>
        <w:jc w:val="both"/>
        <w:rPr>
          <w:rFonts w:ascii="Times New Roman" w:eastAsia="Times New Roman" w:hAnsi="Times New Roman" w:cs="Times New Roman"/>
          <w:sz w:val="24"/>
          <w:szCs w:val="24"/>
        </w:rPr>
      </w:pPr>
      <w:r w:rsidRPr="007E655B">
        <w:rPr>
          <w:rFonts w:ascii="Palatino Linotype" w:eastAsia="Times New Roman" w:hAnsi="Palatino Linotype" w:cs="Times New Roman"/>
          <w:color w:val="000000"/>
          <w:sz w:val="24"/>
          <w:szCs w:val="24"/>
        </w:rPr>
        <w:t xml:space="preserve">Del precepto legal transcrito, se desprende que cuando los solicitantes de información en el ejercicio del derecho de acceso a la información no se encuentren </w:t>
      </w:r>
      <w:r w:rsidRPr="007E655B">
        <w:rPr>
          <w:rFonts w:ascii="Palatino Linotype" w:eastAsia="Times New Roman" w:hAnsi="Palatino Linotype" w:cs="Times New Roman"/>
          <w:color w:val="000000"/>
          <w:sz w:val="24"/>
          <w:szCs w:val="24"/>
        </w:rPr>
        <w:lastRenderedPageBreak/>
        <w:t>satisfechos con la información entregada por los Sujetos Obligados, podrán interponer recurso de revisión de manera directa o por medios electrónicos dentro de los quince días hábiles siguientes a la fecha de notificación de la respuesta.</w:t>
      </w:r>
    </w:p>
    <w:p w14:paraId="59C2730F" w14:textId="77777777" w:rsidR="0096432B" w:rsidRPr="007E655B" w:rsidRDefault="0096432B" w:rsidP="0096432B">
      <w:pPr>
        <w:spacing w:before="240" w:after="240" w:line="240" w:lineRule="auto"/>
        <w:ind w:right="-1134"/>
        <w:jc w:val="both"/>
        <w:rPr>
          <w:rFonts w:ascii="Times New Roman" w:eastAsia="Times New Roman" w:hAnsi="Times New Roman" w:cs="Times New Roman"/>
          <w:sz w:val="24"/>
          <w:szCs w:val="24"/>
        </w:rPr>
      </w:pPr>
      <w:r w:rsidRPr="007E655B">
        <w:rPr>
          <w:rFonts w:ascii="Palatino Linotype" w:eastAsia="Times New Roman" w:hAnsi="Palatino Linotype" w:cs="Times New Roman"/>
          <w:color w:val="000000"/>
          <w:sz w:val="24"/>
          <w:szCs w:val="24"/>
        </w:rPr>
        <w:t>Por su parte los artículos 186, 191 y 192 de la Ley en cita, disponen lo siguiente:</w:t>
      </w:r>
    </w:p>
    <w:p w14:paraId="13C4EF0D" w14:textId="77777777" w:rsidR="0096432B" w:rsidRPr="007E655B" w:rsidRDefault="0096432B" w:rsidP="0096432B">
      <w:pPr>
        <w:spacing w:after="120" w:line="240" w:lineRule="auto"/>
        <w:ind w:left="851"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 “Artículo 186.</w:t>
      </w:r>
      <w:r w:rsidRPr="007E655B">
        <w:rPr>
          <w:rFonts w:ascii="Palatino Linotype" w:eastAsia="Times New Roman" w:hAnsi="Palatino Linotype" w:cs="Times New Roman"/>
          <w:i/>
          <w:iCs/>
          <w:color w:val="000000"/>
        </w:rPr>
        <w:t xml:space="preserve"> Las resoluciones del Instituto podrán: </w:t>
      </w:r>
    </w:p>
    <w:p w14:paraId="05138F15" w14:textId="77777777" w:rsidR="0096432B" w:rsidRPr="007E655B" w:rsidRDefault="0096432B" w:rsidP="0096432B">
      <w:pPr>
        <w:spacing w:after="120" w:line="240" w:lineRule="auto"/>
        <w:ind w:left="1134"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I.</w:t>
      </w:r>
      <w:r w:rsidRPr="007E655B">
        <w:rPr>
          <w:rFonts w:ascii="Palatino Linotype" w:eastAsia="Times New Roman" w:hAnsi="Palatino Linotype" w:cs="Times New Roman"/>
          <w:i/>
          <w:iCs/>
          <w:color w:val="000000"/>
        </w:rPr>
        <w:t xml:space="preserve"> Desechar o sobreseer el recurso; </w:t>
      </w:r>
    </w:p>
    <w:p w14:paraId="5A64C56F" w14:textId="77777777" w:rsidR="0096432B" w:rsidRPr="007E655B" w:rsidRDefault="0096432B" w:rsidP="0096432B">
      <w:pPr>
        <w:spacing w:after="120" w:line="240" w:lineRule="auto"/>
        <w:ind w:left="851"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i/>
          <w:iCs/>
          <w:color w:val="000000"/>
        </w:rPr>
        <w:t>…</w:t>
      </w:r>
    </w:p>
    <w:p w14:paraId="66F724FD" w14:textId="77777777" w:rsidR="0096432B" w:rsidRPr="007E655B" w:rsidRDefault="0096432B" w:rsidP="0096432B">
      <w:pPr>
        <w:spacing w:before="120" w:after="120" w:line="240" w:lineRule="auto"/>
        <w:ind w:left="851"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 xml:space="preserve">Artículo 191. </w:t>
      </w:r>
      <w:r w:rsidRPr="007E655B">
        <w:rPr>
          <w:rFonts w:ascii="Palatino Linotype" w:eastAsia="Times New Roman" w:hAnsi="Palatino Linotype" w:cs="Times New Roman"/>
          <w:i/>
          <w:iCs/>
          <w:color w:val="000000"/>
        </w:rPr>
        <w:t>El recurso será desechado por improcedente cuando:</w:t>
      </w:r>
    </w:p>
    <w:p w14:paraId="3252ECCE" w14:textId="77777777" w:rsidR="0096432B" w:rsidRPr="007E655B" w:rsidRDefault="0096432B" w:rsidP="0096432B">
      <w:pPr>
        <w:spacing w:before="120" w:after="120" w:line="240" w:lineRule="auto"/>
        <w:ind w:left="1134"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I. Sea extemporáneo por haber transcurrido el plazo establecido en la presente Ley, a partir de la respuesta;</w:t>
      </w:r>
    </w:p>
    <w:p w14:paraId="32536E15" w14:textId="77777777" w:rsidR="0096432B" w:rsidRPr="007E655B" w:rsidRDefault="0096432B" w:rsidP="0096432B">
      <w:pPr>
        <w:spacing w:before="120" w:after="120" w:line="240" w:lineRule="auto"/>
        <w:ind w:left="1134"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 xml:space="preserve">II. </w:t>
      </w:r>
      <w:r w:rsidRPr="007E655B">
        <w:rPr>
          <w:rFonts w:ascii="Palatino Linotype" w:eastAsia="Times New Roman" w:hAnsi="Palatino Linotype" w:cs="Times New Roman"/>
          <w:i/>
          <w:iCs/>
          <w:color w:val="000000"/>
        </w:rPr>
        <w:t>Se esté tramitando ante el Poder Judicial de la Federación algún recurso o medio de defensa interpuesto por el recurrente;</w:t>
      </w:r>
    </w:p>
    <w:p w14:paraId="45B2EDE6" w14:textId="77777777" w:rsidR="0096432B" w:rsidRPr="007E655B" w:rsidRDefault="0096432B" w:rsidP="0096432B">
      <w:pPr>
        <w:spacing w:before="120" w:after="120" w:line="240" w:lineRule="auto"/>
        <w:ind w:left="1134"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 xml:space="preserve">III. </w:t>
      </w:r>
      <w:r w:rsidRPr="007E655B">
        <w:rPr>
          <w:rFonts w:ascii="Palatino Linotype" w:eastAsia="Times New Roman" w:hAnsi="Palatino Linotype" w:cs="Times New Roman"/>
          <w:i/>
          <w:iCs/>
          <w:color w:val="000000"/>
        </w:rPr>
        <w:t>No actualice alguno de los supuestos previstos en la presente Ley;</w:t>
      </w:r>
    </w:p>
    <w:p w14:paraId="7C5D7B53" w14:textId="77777777" w:rsidR="0096432B" w:rsidRPr="007E655B" w:rsidRDefault="0096432B" w:rsidP="0096432B">
      <w:pPr>
        <w:spacing w:before="120" w:after="120" w:line="240" w:lineRule="auto"/>
        <w:ind w:left="1134"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 xml:space="preserve">IV. </w:t>
      </w:r>
      <w:r w:rsidRPr="007E655B">
        <w:rPr>
          <w:rFonts w:ascii="Palatino Linotype" w:eastAsia="Times New Roman" w:hAnsi="Palatino Linotype" w:cs="Times New Roman"/>
          <w:i/>
          <w:iCs/>
          <w:color w:val="000000"/>
        </w:rPr>
        <w:t>No se haya desahogado la prevención en los términos establecidos en la presente Ley;</w:t>
      </w:r>
    </w:p>
    <w:p w14:paraId="29511923" w14:textId="77777777" w:rsidR="0096432B" w:rsidRPr="007E655B" w:rsidRDefault="0096432B" w:rsidP="0096432B">
      <w:pPr>
        <w:spacing w:before="120" w:after="120" w:line="240" w:lineRule="auto"/>
        <w:ind w:left="1134"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 xml:space="preserve">V. </w:t>
      </w:r>
      <w:r w:rsidRPr="007E655B">
        <w:rPr>
          <w:rFonts w:ascii="Palatino Linotype" w:eastAsia="Times New Roman" w:hAnsi="Palatino Linotype" w:cs="Times New Roman"/>
          <w:i/>
          <w:iCs/>
          <w:color w:val="000000"/>
        </w:rPr>
        <w:t>Se impugne la veracidad de la información proporcionada;</w:t>
      </w:r>
    </w:p>
    <w:p w14:paraId="273E2277" w14:textId="77777777" w:rsidR="0096432B" w:rsidRPr="007E655B" w:rsidRDefault="0096432B" w:rsidP="0096432B">
      <w:pPr>
        <w:spacing w:before="120" w:after="120" w:line="240" w:lineRule="auto"/>
        <w:ind w:left="1134"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 xml:space="preserve">VI. </w:t>
      </w:r>
      <w:r w:rsidRPr="007E655B">
        <w:rPr>
          <w:rFonts w:ascii="Palatino Linotype" w:eastAsia="Times New Roman" w:hAnsi="Palatino Linotype" w:cs="Times New Roman"/>
          <w:i/>
          <w:iCs/>
          <w:color w:val="000000"/>
        </w:rPr>
        <w:t>Se trate de una consulta, o trámite en específico; y</w:t>
      </w:r>
    </w:p>
    <w:p w14:paraId="15BD0567" w14:textId="77777777" w:rsidR="0096432B" w:rsidRPr="007E655B" w:rsidRDefault="0096432B" w:rsidP="0096432B">
      <w:pPr>
        <w:spacing w:before="120" w:after="120" w:line="240" w:lineRule="auto"/>
        <w:ind w:left="1134"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 xml:space="preserve">VII. </w:t>
      </w:r>
      <w:r w:rsidRPr="007E655B">
        <w:rPr>
          <w:rFonts w:ascii="Palatino Linotype" w:eastAsia="Times New Roman" w:hAnsi="Palatino Linotype" w:cs="Times New Roman"/>
          <w:i/>
          <w:iCs/>
          <w:color w:val="000000"/>
        </w:rPr>
        <w:t>El recurrente amplíe su solicitud en el recurso de revisión, únicamente respecto de los nuevos contenidos.”</w:t>
      </w:r>
    </w:p>
    <w:p w14:paraId="0F84EF8D" w14:textId="77777777" w:rsidR="0096432B" w:rsidRPr="007E655B" w:rsidRDefault="0096432B" w:rsidP="0096432B">
      <w:pPr>
        <w:spacing w:after="0" w:line="240" w:lineRule="auto"/>
        <w:rPr>
          <w:rFonts w:ascii="Times New Roman" w:eastAsia="Times New Roman" w:hAnsi="Times New Roman" w:cs="Times New Roman"/>
          <w:sz w:val="24"/>
          <w:szCs w:val="24"/>
        </w:rPr>
      </w:pPr>
    </w:p>
    <w:p w14:paraId="79E6B15C" w14:textId="77777777" w:rsidR="0096432B" w:rsidRPr="007E655B" w:rsidRDefault="0096432B" w:rsidP="0096432B">
      <w:pPr>
        <w:spacing w:before="120" w:after="120" w:line="240" w:lineRule="auto"/>
        <w:ind w:left="851"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 xml:space="preserve">“Artículo 192. </w:t>
      </w:r>
      <w:r w:rsidRPr="007E655B">
        <w:rPr>
          <w:rFonts w:ascii="Palatino Linotype" w:eastAsia="Times New Roman" w:hAnsi="Palatino Linotype" w:cs="Times New Roman"/>
          <w:i/>
          <w:iCs/>
          <w:color w:val="000000"/>
        </w:rPr>
        <w:t>El recurso será sobreseído, en todo o en parte, cuando una vez admitido, se actualicen alguno de los siguientes supuestos:</w:t>
      </w:r>
    </w:p>
    <w:p w14:paraId="222F1F05" w14:textId="77777777" w:rsidR="0096432B" w:rsidRPr="007E655B" w:rsidRDefault="0096432B" w:rsidP="0096432B">
      <w:pPr>
        <w:spacing w:before="120" w:after="120" w:line="240" w:lineRule="auto"/>
        <w:ind w:left="1134"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 xml:space="preserve">I. </w:t>
      </w:r>
      <w:r w:rsidRPr="007E655B">
        <w:rPr>
          <w:rFonts w:ascii="Palatino Linotype" w:eastAsia="Times New Roman" w:hAnsi="Palatino Linotype" w:cs="Times New Roman"/>
          <w:i/>
          <w:iCs/>
          <w:color w:val="000000"/>
        </w:rPr>
        <w:t>El recurrente se desista expresamente del recurso;</w:t>
      </w:r>
    </w:p>
    <w:p w14:paraId="04C5BB64" w14:textId="77777777" w:rsidR="0096432B" w:rsidRPr="007E655B" w:rsidRDefault="0096432B" w:rsidP="0096432B">
      <w:pPr>
        <w:spacing w:before="120" w:after="120" w:line="240" w:lineRule="auto"/>
        <w:ind w:left="1134"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 xml:space="preserve">II. </w:t>
      </w:r>
      <w:r w:rsidRPr="007E655B">
        <w:rPr>
          <w:rFonts w:ascii="Palatino Linotype" w:eastAsia="Times New Roman" w:hAnsi="Palatino Linotype" w:cs="Times New Roman"/>
          <w:i/>
          <w:iCs/>
          <w:color w:val="000000"/>
        </w:rPr>
        <w:t>El recurrente fallezca o, tratándose de personas jurídicas colectivas, se disuelva;</w:t>
      </w:r>
    </w:p>
    <w:p w14:paraId="30B2A420" w14:textId="77777777" w:rsidR="0096432B" w:rsidRPr="007E655B" w:rsidRDefault="0096432B" w:rsidP="0096432B">
      <w:pPr>
        <w:spacing w:before="120" w:after="120" w:line="240" w:lineRule="auto"/>
        <w:ind w:left="1134"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 xml:space="preserve">III. </w:t>
      </w:r>
      <w:r w:rsidRPr="007E655B">
        <w:rPr>
          <w:rFonts w:ascii="Palatino Linotype" w:eastAsia="Times New Roman" w:hAnsi="Palatino Linotype" w:cs="Times New Roman"/>
          <w:i/>
          <w:iCs/>
          <w:color w:val="000000"/>
        </w:rPr>
        <w:t>El sujeto obligado responsable del acto lo modifique o revoque de tal manera que el recurso de revisión quede sin materia;</w:t>
      </w:r>
    </w:p>
    <w:p w14:paraId="504F2D53" w14:textId="77777777" w:rsidR="0096432B" w:rsidRPr="007E655B" w:rsidRDefault="0096432B" w:rsidP="0096432B">
      <w:pPr>
        <w:spacing w:before="120" w:after="120" w:line="240" w:lineRule="auto"/>
        <w:ind w:left="1134"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t>IV. Admitido el recurso de revisión, aparezca alguna causal de improcedencia en los términos de la presente Ley; y</w:t>
      </w:r>
    </w:p>
    <w:p w14:paraId="088AB0DB" w14:textId="77777777" w:rsidR="0096432B" w:rsidRPr="007E655B" w:rsidRDefault="0096432B" w:rsidP="0096432B">
      <w:pPr>
        <w:spacing w:before="120" w:after="120" w:line="240" w:lineRule="auto"/>
        <w:ind w:left="1134" w:right="902"/>
        <w:jc w:val="both"/>
        <w:rPr>
          <w:rFonts w:ascii="Times New Roman" w:eastAsia="Times New Roman" w:hAnsi="Times New Roman" w:cs="Times New Roman"/>
          <w:sz w:val="24"/>
          <w:szCs w:val="24"/>
        </w:rPr>
      </w:pPr>
      <w:r w:rsidRPr="007E655B">
        <w:rPr>
          <w:rFonts w:ascii="Palatino Linotype" w:eastAsia="Times New Roman" w:hAnsi="Palatino Linotype" w:cs="Times New Roman"/>
          <w:b/>
          <w:bCs/>
          <w:i/>
          <w:iCs/>
          <w:color w:val="000000"/>
        </w:rPr>
        <w:lastRenderedPageBreak/>
        <w:t xml:space="preserve">V. </w:t>
      </w:r>
      <w:r w:rsidRPr="007E655B">
        <w:rPr>
          <w:rFonts w:ascii="Palatino Linotype" w:eastAsia="Times New Roman" w:hAnsi="Palatino Linotype" w:cs="Times New Roman"/>
          <w:i/>
          <w:iCs/>
          <w:color w:val="000000"/>
        </w:rPr>
        <w:t>Cuando por cualquier motivo quede sin materia el recurso</w:t>
      </w:r>
      <w:r w:rsidRPr="007E655B">
        <w:rPr>
          <w:rFonts w:ascii="Palatino Linotype" w:eastAsia="Times New Roman" w:hAnsi="Palatino Linotype" w:cs="Times New Roman"/>
          <w:color w:val="000000"/>
        </w:rPr>
        <w:t>.”</w:t>
      </w:r>
    </w:p>
    <w:p w14:paraId="4BAF8405" w14:textId="77777777" w:rsidR="0096432B" w:rsidRPr="007E655B" w:rsidRDefault="0096432B" w:rsidP="0096432B">
      <w:pPr>
        <w:spacing w:before="240" w:after="240" w:line="360" w:lineRule="auto"/>
        <w:ind w:right="49"/>
        <w:jc w:val="both"/>
        <w:rPr>
          <w:rFonts w:ascii="Times New Roman" w:eastAsia="Times New Roman" w:hAnsi="Times New Roman" w:cs="Times New Roman"/>
          <w:sz w:val="24"/>
          <w:szCs w:val="24"/>
        </w:rPr>
      </w:pPr>
      <w:r w:rsidRPr="007E655B">
        <w:rPr>
          <w:rFonts w:ascii="Palatino Linotype" w:eastAsia="Times New Roman" w:hAnsi="Palatino Linotype" w:cs="Times New Roman"/>
          <w:color w:val="000000"/>
          <w:sz w:val="24"/>
          <w:szCs w:val="24"/>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27689214" w14:textId="77777777" w:rsidR="0096432B" w:rsidRPr="007E655B" w:rsidRDefault="0096432B" w:rsidP="0096432B">
      <w:pPr>
        <w:spacing w:line="360" w:lineRule="auto"/>
        <w:jc w:val="both"/>
        <w:rPr>
          <w:rFonts w:ascii="Palatino Linotype" w:eastAsia="Times New Roman" w:hAnsi="Palatino Linotype" w:cs="Times New Roman"/>
          <w:color w:val="000000"/>
          <w:sz w:val="24"/>
          <w:szCs w:val="24"/>
        </w:rPr>
      </w:pPr>
      <w:r w:rsidRPr="007E655B">
        <w:rPr>
          <w:rFonts w:ascii="Palatino Linotype" w:eastAsia="Times New Roman" w:hAnsi="Palatino Linotype" w:cs="Times New Roman"/>
          <w:color w:val="000000"/>
          <w:sz w:val="24"/>
          <w:szCs w:val="24"/>
        </w:rPr>
        <w:t xml:space="preserve">En esta tesitura, es evidente que no se puede invocar el precepto legal 191 de la Ley en cita ulteriormente a que ha sido admitido, determinando la actualización de un </w:t>
      </w:r>
      <w:proofErr w:type="spellStart"/>
      <w:r w:rsidRPr="007E655B">
        <w:rPr>
          <w:rFonts w:ascii="Palatino Linotype" w:eastAsia="Times New Roman" w:hAnsi="Palatino Linotype" w:cs="Times New Roman"/>
          <w:color w:val="000000"/>
          <w:sz w:val="24"/>
          <w:szCs w:val="24"/>
        </w:rPr>
        <w:t>desechamiento</w:t>
      </w:r>
      <w:proofErr w:type="spellEnd"/>
      <w:r w:rsidRPr="007E655B">
        <w:rPr>
          <w:rFonts w:ascii="Palatino Linotype" w:eastAsia="Times New Roman" w:hAnsi="Palatino Linotype" w:cs="Times New Roman"/>
          <w:color w:val="000000"/>
          <w:sz w:val="24"/>
          <w:szCs w:val="24"/>
        </w:rPr>
        <w:t>, porque está ya sería posterior a la etapa procedimental en la que debió desecharse.</w:t>
      </w:r>
    </w:p>
    <w:p w14:paraId="71B8D012" w14:textId="77777777" w:rsidR="0096432B" w:rsidRPr="007E655B" w:rsidRDefault="0096432B" w:rsidP="0096432B">
      <w:pPr>
        <w:spacing w:before="240" w:after="240" w:line="360" w:lineRule="auto"/>
        <w:ind w:right="49"/>
        <w:jc w:val="both"/>
        <w:rPr>
          <w:rFonts w:ascii="Times New Roman" w:eastAsia="Times New Roman" w:hAnsi="Times New Roman" w:cs="Times New Roman"/>
          <w:sz w:val="24"/>
          <w:szCs w:val="24"/>
        </w:rPr>
      </w:pPr>
      <w:r w:rsidRPr="007E655B">
        <w:rPr>
          <w:rFonts w:ascii="Palatino Linotype" w:eastAsia="Times New Roman" w:hAnsi="Palatino Linotype" w:cs="Times New Roman"/>
          <w:color w:val="000000"/>
          <w:sz w:val="24"/>
          <w:szCs w:val="24"/>
        </w:rPr>
        <w:t>Cobrando aplicación lo previsto en la fracción IV del artículo 192, en razón a que al haber sido el recurso y al actualizarse una causal de improcedencia, debe ser sobreseído. </w:t>
      </w:r>
    </w:p>
    <w:p w14:paraId="5A133554" w14:textId="77777777" w:rsidR="0096432B" w:rsidRPr="007E655B" w:rsidRDefault="0096432B" w:rsidP="0096432B">
      <w:pPr>
        <w:spacing w:line="360" w:lineRule="auto"/>
        <w:jc w:val="both"/>
        <w:rPr>
          <w:rFonts w:ascii="Palatino Linotype" w:eastAsia="Times New Roman" w:hAnsi="Palatino Linotype" w:cs="Times New Roman"/>
          <w:color w:val="000000"/>
          <w:sz w:val="24"/>
          <w:szCs w:val="24"/>
        </w:rPr>
      </w:pPr>
      <w:r w:rsidRPr="007E655B">
        <w:rPr>
          <w:rFonts w:ascii="Palatino Linotype" w:eastAsia="Times New Roman" w:hAnsi="Palatino Linotype" w:cs="Times New Roman"/>
          <w:color w:val="000000"/>
          <w:sz w:val="24"/>
          <w:szCs w:val="24"/>
        </w:rPr>
        <w:t>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I del artículo 191 de la misma Ley, por no existir elementos de procedencia.</w:t>
      </w:r>
    </w:p>
    <w:p w14:paraId="2DF1BBD9" w14:textId="77777777" w:rsidR="0096432B" w:rsidRPr="007E655B" w:rsidRDefault="0096432B" w:rsidP="0096432B">
      <w:pPr>
        <w:spacing w:line="360" w:lineRule="auto"/>
        <w:jc w:val="both"/>
        <w:rPr>
          <w:rFonts w:ascii="Palatino Linotype" w:eastAsia="Times New Roman" w:hAnsi="Palatino Linotype" w:cs="Times New Roman"/>
          <w:color w:val="000000"/>
          <w:sz w:val="24"/>
          <w:szCs w:val="24"/>
        </w:rPr>
      </w:pPr>
      <w:r w:rsidRPr="007E655B">
        <w:rPr>
          <w:rFonts w:ascii="Palatino Linotype" w:eastAsia="Times New Roman" w:hAnsi="Palatino Linotype" w:cs="Times New Roman"/>
          <w:color w:val="000000"/>
          <w:sz w:val="24"/>
          <w:szCs w:val="24"/>
        </w:rPr>
        <w:t xml:space="preserve">Lo anterior se afirma así, en virtud de que no escapa de la óptica de este Organismo Garante que, el </w:t>
      </w:r>
      <w:r w:rsidRPr="007E655B">
        <w:rPr>
          <w:rFonts w:ascii="Palatino Linotype" w:eastAsia="Times New Roman" w:hAnsi="Palatino Linotype" w:cs="Times New Roman"/>
          <w:b/>
          <w:bCs/>
          <w:color w:val="000000"/>
          <w:sz w:val="24"/>
          <w:szCs w:val="24"/>
        </w:rPr>
        <w:t xml:space="preserve">SUJETO OBLIGADO </w:t>
      </w:r>
      <w:r w:rsidRPr="007E655B">
        <w:rPr>
          <w:rFonts w:ascii="Palatino Linotype" w:eastAsia="Times New Roman" w:hAnsi="Palatino Linotype" w:cs="Times New Roman"/>
          <w:color w:val="000000"/>
          <w:sz w:val="24"/>
          <w:szCs w:val="24"/>
        </w:rPr>
        <w:t xml:space="preserve">dio respuesta a la solicitud de información el día </w:t>
      </w:r>
      <w:r w:rsidRPr="007E655B">
        <w:rPr>
          <w:rFonts w:ascii="Palatino Linotype" w:eastAsia="Times New Roman" w:hAnsi="Palatino Linotype" w:cs="Times New Roman"/>
          <w:b/>
          <w:bCs/>
          <w:sz w:val="24"/>
          <w:szCs w:val="24"/>
        </w:rPr>
        <w:t xml:space="preserve">veinticuatro de enero de </w:t>
      </w:r>
      <w:r w:rsidRPr="007E655B">
        <w:rPr>
          <w:rFonts w:ascii="Palatino Linotype" w:eastAsia="Times New Roman" w:hAnsi="Palatino Linotype" w:cs="Times New Roman"/>
          <w:b/>
          <w:bCs/>
          <w:color w:val="000000"/>
          <w:sz w:val="24"/>
          <w:szCs w:val="24"/>
        </w:rPr>
        <w:t xml:space="preserve">dos mil veintidós, </w:t>
      </w:r>
      <w:r w:rsidRPr="007E655B">
        <w:rPr>
          <w:rFonts w:ascii="Palatino Linotype" w:eastAsia="Times New Roman" w:hAnsi="Palatino Linotype" w:cs="Times New Roman"/>
          <w:color w:val="000000"/>
          <w:sz w:val="24"/>
          <w:szCs w:val="24"/>
        </w:rPr>
        <w:t xml:space="preserve">mientras que el particular interpuso el recurso de revisión que nos ocupa hasta el día </w:t>
      </w:r>
      <w:r w:rsidRPr="007E655B">
        <w:rPr>
          <w:rFonts w:ascii="Palatino Linotype" w:eastAsia="Times New Roman" w:hAnsi="Palatino Linotype" w:cs="Times New Roman"/>
          <w:b/>
          <w:bCs/>
          <w:color w:val="000000"/>
          <w:sz w:val="24"/>
          <w:szCs w:val="24"/>
        </w:rPr>
        <w:t xml:space="preserve">tres de marzo de dos mil veintidós, </w:t>
      </w:r>
      <w:r w:rsidRPr="007E655B">
        <w:rPr>
          <w:rFonts w:ascii="Palatino Linotype" w:eastAsia="Times New Roman" w:hAnsi="Palatino Linotype" w:cs="Times New Roman"/>
          <w:color w:val="000000"/>
          <w:sz w:val="24"/>
          <w:szCs w:val="24"/>
        </w:rPr>
        <w:lastRenderedPageBreak/>
        <w:t>de tal suerte que trascurrieron más de quince días hábiles desde la notificación de la respuesta, hasta el día de la interposición del medio de impugnación.</w:t>
      </w:r>
    </w:p>
    <w:p w14:paraId="2DC02FA0" w14:textId="77777777" w:rsidR="0096432B" w:rsidRPr="007E655B" w:rsidRDefault="0096432B" w:rsidP="0096432B">
      <w:pPr>
        <w:spacing w:line="360" w:lineRule="auto"/>
        <w:jc w:val="both"/>
        <w:rPr>
          <w:rFonts w:ascii="Palatino Linotype" w:eastAsia="Times New Roman" w:hAnsi="Palatino Linotype" w:cs="Times New Roman"/>
          <w:color w:val="000000"/>
          <w:sz w:val="24"/>
          <w:szCs w:val="24"/>
        </w:rPr>
      </w:pPr>
      <w:r w:rsidRPr="007E655B">
        <w:rPr>
          <w:rFonts w:ascii="Palatino Linotype" w:eastAsia="Times New Roman" w:hAnsi="Palatino Linotype" w:cs="Times New Roman"/>
          <w:color w:val="000000"/>
          <w:sz w:val="24"/>
          <w:szCs w:val="24"/>
        </w:rPr>
        <w:t xml:space="preserve">Lo anterior se afirma así, en virtud de que el plazo de quince días previsto en el artículo 178 de la Ley de Transparencia y Acceso a la Información Pública del Estado de México y Municipios citado con antelación, comenzó a computarse a partir del día </w:t>
      </w:r>
      <w:r w:rsidRPr="007E655B">
        <w:rPr>
          <w:rFonts w:ascii="Palatino Linotype" w:eastAsia="Times New Roman" w:hAnsi="Palatino Linotype" w:cs="Times New Roman"/>
          <w:b/>
          <w:bCs/>
          <w:color w:val="000000"/>
          <w:sz w:val="24"/>
          <w:szCs w:val="24"/>
        </w:rPr>
        <w:t>veinticinco de enero de dos mil veintidós</w:t>
      </w:r>
      <w:r w:rsidRPr="007E655B">
        <w:rPr>
          <w:rFonts w:ascii="Palatino Linotype" w:eastAsia="Times New Roman" w:hAnsi="Palatino Linotype" w:cs="Times New Roman"/>
          <w:color w:val="000000"/>
          <w:sz w:val="24"/>
          <w:szCs w:val="24"/>
        </w:rPr>
        <w:t xml:space="preserve"> y </w:t>
      </w:r>
      <w:r w:rsidRPr="007E655B">
        <w:rPr>
          <w:rFonts w:ascii="Palatino Linotype" w:eastAsia="Times New Roman" w:hAnsi="Palatino Linotype" w:cs="Times New Roman"/>
          <w:color w:val="000000"/>
          <w:sz w:val="24"/>
          <w:szCs w:val="24"/>
          <w:u w:val="single"/>
        </w:rPr>
        <w:t xml:space="preserve">feneció el día </w:t>
      </w:r>
      <w:r w:rsidR="00435C3D" w:rsidRPr="007E655B">
        <w:rPr>
          <w:rFonts w:ascii="Palatino Linotype" w:eastAsia="Times New Roman" w:hAnsi="Palatino Linotype" w:cs="Times New Roman"/>
          <w:b/>
          <w:color w:val="000000"/>
          <w:sz w:val="24"/>
          <w:szCs w:val="24"/>
          <w:u w:val="single"/>
        </w:rPr>
        <w:t>quince</w:t>
      </w:r>
      <w:r w:rsidRPr="007E655B">
        <w:rPr>
          <w:rFonts w:ascii="Palatino Linotype" w:eastAsia="Times New Roman" w:hAnsi="Palatino Linotype" w:cs="Times New Roman"/>
          <w:b/>
          <w:bCs/>
          <w:color w:val="000000"/>
          <w:sz w:val="24"/>
          <w:szCs w:val="24"/>
          <w:u w:val="single"/>
        </w:rPr>
        <w:t xml:space="preserve"> de febrero de dos mil veintidós</w:t>
      </w:r>
      <w:r w:rsidRPr="007E655B">
        <w:rPr>
          <w:rFonts w:ascii="Palatino Linotype" w:eastAsia="Times New Roman" w:hAnsi="Palatino Linotype" w:cs="Times New Roman"/>
          <w:color w:val="000000"/>
          <w:sz w:val="24"/>
          <w:szCs w:val="24"/>
        </w:rPr>
        <w:t>,  sin tomar en cuenta los días veintinueve y treinta de enero, así como los días cinco, seis, siete, doce y trece de febrero, en términos del artículo 3, fracción X de la Ley de la Materia y el ACUERDO SEGUNDO del Acuerdo por el cual se expide el Calendario Oficial en Materia de Transparencia, Acceso a la Información Pública y Protección de Datos Personales del Estado de México y Municipios, así como de labores de este Organismo Garante para el año dos mil veintidós y enero del dos mil veintitrés.</w:t>
      </w:r>
    </w:p>
    <w:p w14:paraId="40EFE504" w14:textId="77777777" w:rsidR="00435C3D" w:rsidRPr="007E655B" w:rsidRDefault="00435C3D" w:rsidP="00435C3D">
      <w:pPr>
        <w:spacing w:before="240" w:after="240" w:line="360" w:lineRule="auto"/>
        <w:jc w:val="both"/>
        <w:rPr>
          <w:rFonts w:ascii="Times New Roman" w:eastAsia="Times New Roman" w:hAnsi="Times New Roman" w:cs="Times New Roman"/>
          <w:sz w:val="24"/>
          <w:szCs w:val="24"/>
        </w:rPr>
      </w:pPr>
      <w:r w:rsidRPr="007E655B">
        <w:rPr>
          <w:rFonts w:ascii="Palatino Linotype" w:eastAsia="Times New Roman" w:hAnsi="Palatino Linotype" w:cs="Times New Roman"/>
          <w:color w:val="000000"/>
          <w:sz w:val="24"/>
          <w:szCs w:val="24"/>
        </w:rPr>
        <w:t>De lo hasta aquí expuesto, es evidente que el presente asunto actualiza la causal de improcedencia enunciada en el artículo 191 fracción I de la Ley de Transparencia y Acceso a la Información Pública del Estado de México y Municipios, en virtud de que el recurso de revisión fue presentado fuera del plazo señalado en el artículo 178 de la Ley de la Materia; situación que trae aparejada el sobreseimiento, atendiendo a lo dispuesto en el artículo 192 fracción IV del citado ordenamiento legal. </w:t>
      </w:r>
    </w:p>
    <w:p w14:paraId="4E31A6C4" w14:textId="77777777" w:rsidR="00435C3D" w:rsidRPr="007E655B" w:rsidRDefault="00435C3D" w:rsidP="00435C3D">
      <w:pPr>
        <w:spacing w:before="240" w:after="240" w:line="360" w:lineRule="auto"/>
        <w:ind w:right="51"/>
        <w:jc w:val="both"/>
        <w:rPr>
          <w:rFonts w:ascii="Times New Roman" w:eastAsia="Times New Roman" w:hAnsi="Times New Roman" w:cs="Times New Roman"/>
          <w:sz w:val="24"/>
          <w:szCs w:val="24"/>
        </w:rPr>
      </w:pPr>
      <w:r w:rsidRPr="007E655B">
        <w:rPr>
          <w:rFonts w:ascii="Palatino Linotype" w:eastAsia="Times New Roman" w:hAnsi="Palatino Linotype" w:cs="Times New Roman"/>
          <w:color w:val="000000"/>
          <w:sz w:val="24"/>
          <w:szCs w:val="24"/>
        </w:rPr>
        <w:t xml:space="preserve">Sirve como criterio orientador, lo establecido en la Jurisprudencia </w:t>
      </w:r>
      <w:proofErr w:type="gramStart"/>
      <w:r w:rsidRPr="007E655B">
        <w:rPr>
          <w:rFonts w:ascii="Palatino Linotype" w:eastAsia="Times New Roman" w:hAnsi="Palatino Linotype" w:cs="Times New Roman"/>
          <w:color w:val="000000"/>
          <w:sz w:val="24"/>
          <w:szCs w:val="24"/>
        </w:rPr>
        <w:t>1ª.J</w:t>
      </w:r>
      <w:proofErr w:type="gramEnd"/>
      <w:r w:rsidRPr="007E655B">
        <w:rPr>
          <w:rFonts w:ascii="Palatino Linotype" w:eastAsia="Times New Roman" w:hAnsi="Palatino Linotype" w:cs="Times New Roman"/>
          <w:color w:val="000000"/>
          <w:sz w:val="24"/>
          <w:szCs w:val="24"/>
        </w:rPr>
        <w:t>3/99 de la Novena Época, emitida por la Primera Sala de la Suprema Corte de Justicia de la Nación, publicada en el Semanario Judicial de la Federación y su Gaceta, que en lo conducente dispone: </w:t>
      </w:r>
    </w:p>
    <w:p w14:paraId="61D77EA6" w14:textId="77777777" w:rsidR="00435C3D" w:rsidRPr="007E655B" w:rsidRDefault="00435C3D" w:rsidP="00435C3D">
      <w:pPr>
        <w:spacing w:before="240" w:after="240" w:line="240" w:lineRule="auto"/>
        <w:ind w:left="851" w:right="900"/>
        <w:jc w:val="both"/>
        <w:rPr>
          <w:rFonts w:ascii="Times New Roman" w:eastAsia="Times New Roman" w:hAnsi="Times New Roman" w:cs="Times New Roman"/>
          <w:sz w:val="24"/>
          <w:szCs w:val="24"/>
        </w:rPr>
      </w:pPr>
      <w:r w:rsidRPr="007E655B">
        <w:rPr>
          <w:rFonts w:ascii="Palatino Linotype" w:eastAsia="Times New Roman" w:hAnsi="Palatino Linotype" w:cs="Times New Roman"/>
          <w:i/>
          <w:iCs/>
          <w:color w:val="000000"/>
        </w:rPr>
        <w:lastRenderedPageBreak/>
        <w:t>“</w:t>
      </w:r>
      <w:r w:rsidRPr="007E655B">
        <w:rPr>
          <w:rFonts w:ascii="Palatino Linotype" w:eastAsia="Times New Roman" w:hAnsi="Palatino Linotype" w:cs="Times New Roman"/>
          <w:b/>
          <w:bCs/>
          <w:i/>
          <w:iCs/>
          <w:color w:val="000000"/>
        </w:rPr>
        <w:t>IMPROCEDENCIA. ESTUDIO PREFERENCIAL DE LAS CAUSALES PREVISTAS EN EL ARTÍCULO 73 DE LA LEY DE AMPARO.</w:t>
      </w:r>
      <w:r w:rsidRPr="007E655B">
        <w:rPr>
          <w:rFonts w:ascii="Palatino Linotype" w:eastAsia="Times New Roman" w:hAnsi="Palatino Linotype" w:cs="Times New Roman"/>
          <w:i/>
          <w:iCs/>
          <w:color w:val="000000"/>
        </w:rPr>
        <w:t xml:space="preserve"> De conformidad con lo dispuesto en el último párrafo del artículo 73 de la Ley de Amparo las causales de improcedencia deben ser examinadas de oficio y debe abordarse en cualquier instancia en que el juicio se encuentre; de tal manera </w:t>
      </w:r>
      <w:proofErr w:type="gramStart"/>
      <w:r w:rsidRPr="007E655B">
        <w:rPr>
          <w:rFonts w:ascii="Palatino Linotype" w:eastAsia="Times New Roman" w:hAnsi="Palatino Linotype" w:cs="Times New Roman"/>
          <w:i/>
          <w:iCs/>
          <w:color w:val="000000"/>
        </w:rPr>
        <w:t>que</w:t>
      </w:r>
      <w:proofErr w:type="gramEnd"/>
      <w:r w:rsidRPr="007E655B">
        <w:rPr>
          <w:rFonts w:ascii="Palatino Linotype" w:eastAsia="Times New Roman" w:hAnsi="Palatino Linotype" w:cs="Times New Roman"/>
          <w:i/>
          <w:iCs/>
          <w:color w:val="000000"/>
        </w:rPr>
        <w:t xml:space="preserve"> si en la revisión se advierte que existen otras causas de estudio preferente a la invocada por el Juez para sobreseer, habrán de analizarse, sin atender razonamiento alguno expresado por el recurrente…”</w:t>
      </w:r>
    </w:p>
    <w:p w14:paraId="23229128" w14:textId="77777777" w:rsidR="00435C3D" w:rsidRPr="007E655B" w:rsidRDefault="00435C3D" w:rsidP="00435C3D">
      <w:pPr>
        <w:spacing w:line="360" w:lineRule="auto"/>
        <w:jc w:val="both"/>
        <w:rPr>
          <w:rFonts w:ascii="Palatino Linotype" w:eastAsia="Times New Roman" w:hAnsi="Palatino Linotype" w:cs="Times New Roman"/>
          <w:b/>
          <w:bCs/>
          <w:color w:val="000000"/>
          <w:sz w:val="24"/>
          <w:szCs w:val="24"/>
        </w:rPr>
      </w:pPr>
      <w:r w:rsidRPr="007E655B">
        <w:rPr>
          <w:rFonts w:ascii="Palatino Linotype" w:eastAsia="Times New Roman" w:hAnsi="Palatino Linotype" w:cs="Times New Roman"/>
          <w:color w:val="000000"/>
          <w:sz w:val="24"/>
          <w:szCs w:val="24"/>
        </w:rPr>
        <w:t xml:space="preserve">Atento a los razonamientos lógico jurídicos que han quedado precisados y toda vez que el  </w:t>
      </w:r>
      <w:r w:rsidRPr="007E655B">
        <w:rPr>
          <w:rFonts w:ascii="Palatino Linotype" w:eastAsia="Times New Roman" w:hAnsi="Palatino Linotype" w:cs="Times New Roman"/>
          <w:b/>
          <w:bCs/>
          <w:i/>
          <w:iCs/>
          <w:color w:val="000000"/>
          <w:sz w:val="24"/>
          <w:szCs w:val="24"/>
        </w:rPr>
        <w:t>sobreseimiento</w:t>
      </w:r>
      <w:r w:rsidRPr="007E655B">
        <w:rPr>
          <w:rFonts w:ascii="Palatino Linotype" w:eastAsia="Times New Roman" w:hAnsi="Palatino Linotype" w:cs="Times New Roman"/>
          <w:i/>
          <w:iCs/>
          <w:color w:val="000000"/>
          <w:sz w:val="24"/>
          <w:szCs w:val="24"/>
        </w:rPr>
        <w:t xml:space="preserve"> </w:t>
      </w:r>
      <w:r w:rsidRPr="007E655B">
        <w:rPr>
          <w:rFonts w:ascii="Palatino Linotype" w:eastAsia="Times New Roman" w:hAnsi="Palatino Linotype" w:cs="Times New Roman"/>
          <w:color w:val="000000"/>
          <w:sz w:val="24"/>
          <w:szCs w:val="24"/>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7E655B">
        <w:rPr>
          <w:rFonts w:ascii="Palatino Linotype" w:eastAsia="Times New Roman" w:hAnsi="Palatino Linotype" w:cs="Times New Roman"/>
          <w:b/>
          <w:bCs/>
          <w:color w:val="000000"/>
          <w:sz w:val="24"/>
          <w:szCs w:val="24"/>
        </w:rPr>
        <w:t>SOBRESEIMIENTO, NO PERMITE ENTRAR AL ESTUDIO DE LAS CUESTIONES DE FONDO.</w:t>
      </w:r>
    </w:p>
    <w:p w14:paraId="00275FC3" w14:textId="77777777" w:rsidR="00435C3D" w:rsidRPr="007E655B" w:rsidRDefault="00435C3D" w:rsidP="00435C3D">
      <w:pPr>
        <w:spacing w:before="240" w:after="240" w:line="360" w:lineRule="auto"/>
        <w:jc w:val="both"/>
        <w:rPr>
          <w:rFonts w:ascii="Times New Roman" w:eastAsia="Times New Roman" w:hAnsi="Times New Roman" w:cs="Times New Roman"/>
          <w:sz w:val="24"/>
          <w:szCs w:val="24"/>
        </w:rPr>
      </w:pPr>
      <w:r w:rsidRPr="007E655B">
        <w:rPr>
          <w:rFonts w:ascii="Palatino Linotype" w:eastAsia="Times New Roman" w:hAnsi="Palatino Linotype" w:cs="Times New Roman"/>
          <w:color w:val="000000"/>
          <w:sz w:val="24"/>
          <w:szCs w:val="24"/>
        </w:rPr>
        <w:t xml:space="preserve">En consecuencia, resulta procedente </w:t>
      </w:r>
      <w:r w:rsidRPr="007E655B">
        <w:rPr>
          <w:rFonts w:ascii="Palatino Linotype" w:eastAsia="Times New Roman" w:hAnsi="Palatino Linotype" w:cs="Times New Roman"/>
          <w:b/>
          <w:bCs/>
          <w:i/>
          <w:iCs/>
          <w:color w:val="000000"/>
          <w:sz w:val="24"/>
          <w:szCs w:val="24"/>
        </w:rPr>
        <w:t>sobreseer</w:t>
      </w:r>
      <w:r w:rsidRPr="007E655B">
        <w:rPr>
          <w:rFonts w:ascii="Palatino Linotype" w:eastAsia="Times New Roman" w:hAnsi="Palatino Linotype" w:cs="Times New Roman"/>
          <w:color w:val="000000"/>
          <w:sz w:val="24"/>
          <w:szCs w:val="24"/>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I y 192 fracción IV de mismo ordenamiento legal, citados con anterioridad, pues se actualizó una causal de improcedencia; ya que fue interpuesto fuera del plazo legal establecido para tal efecto.</w:t>
      </w:r>
    </w:p>
    <w:p w14:paraId="0191601C" w14:textId="77777777" w:rsidR="00435C3D" w:rsidRPr="007E655B" w:rsidRDefault="00435C3D" w:rsidP="00435C3D">
      <w:pPr>
        <w:spacing w:line="360" w:lineRule="auto"/>
        <w:jc w:val="both"/>
        <w:rPr>
          <w:rFonts w:ascii="Palatino Linotype" w:eastAsia="Times New Roman" w:hAnsi="Palatino Linotype" w:cs="Times New Roman"/>
          <w:color w:val="000000"/>
          <w:sz w:val="24"/>
          <w:szCs w:val="24"/>
        </w:rPr>
      </w:pPr>
      <w:r w:rsidRPr="007E655B">
        <w:rPr>
          <w:rFonts w:ascii="Palatino Linotype" w:eastAsia="Times New Roman" w:hAnsi="Palatino Linotype" w:cs="Times New Roman"/>
          <w:color w:val="000000"/>
          <w:sz w:val="24"/>
          <w:szCs w:val="24"/>
        </w:rPr>
        <w:t xml:space="preserve">Así, con fundamento en lo prescrito en los artículos 5 párrafos trigésimo, trigésimo primero y trigésimo segundo fracciones IV y V de la Constitución Política del Estado </w:t>
      </w:r>
      <w:r w:rsidRPr="007E655B">
        <w:rPr>
          <w:rFonts w:ascii="Palatino Linotype" w:eastAsia="Times New Roman" w:hAnsi="Palatino Linotype" w:cs="Times New Roman"/>
          <w:color w:val="000000"/>
          <w:sz w:val="24"/>
          <w:szCs w:val="24"/>
        </w:rPr>
        <w:lastRenderedPageBreak/>
        <w:t>Libre y Soberano de México; 2, fracción II; 29, 36 fracciones I y II; 176, 178, 181, 185, fracción I, 186 y 188 de la Ley de Transparencia y Acceso a la Información Pública del Estado de México y Municipios, este Pleno:</w:t>
      </w:r>
    </w:p>
    <w:p w14:paraId="4120C25A" w14:textId="77777777" w:rsidR="00435C3D" w:rsidRPr="007E655B" w:rsidRDefault="00435C3D" w:rsidP="00435C3D">
      <w:pPr>
        <w:spacing w:line="360" w:lineRule="auto"/>
        <w:jc w:val="center"/>
        <w:rPr>
          <w:rFonts w:ascii="Palatino Linotype" w:eastAsia="Palatino Linotype" w:hAnsi="Palatino Linotype" w:cs="Palatino Linotype"/>
          <w:b/>
          <w:color w:val="000000"/>
          <w:sz w:val="24"/>
          <w:szCs w:val="24"/>
        </w:rPr>
      </w:pPr>
      <w:r w:rsidRPr="007E655B">
        <w:rPr>
          <w:rFonts w:ascii="Palatino Linotype" w:eastAsia="Palatino Linotype" w:hAnsi="Palatino Linotype" w:cs="Palatino Linotype"/>
          <w:b/>
          <w:color w:val="000000"/>
          <w:sz w:val="24"/>
          <w:szCs w:val="24"/>
        </w:rPr>
        <w:t>RESUELVE</w:t>
      </w:r>
    </w:p>
    <w:p w14:paraId="20CCD70B" w14:textId="77777777" w:rsidR="00435C3D" w:rsidRPr="007E655B" w:rsidRDefault="00435C3D" w:rsidP="00435C3D">
      <w:pPr>
        <w:spacing w:before="160" w:after="0" w:line="360" w:lineRule="auto"/>
        <w:jc w:val="both"/>
        <w:rPr>
          <w:rFonts w:ascii="Palatino Linotype" w:eastAsia="Palatino Linotype" w:hAnsi="Palatino Linotype" w:cs="Palatino Linotype"/>
          <w:color w:val="000000"/>
          <w:sz w:val="24"/>
          <w:szCs w:val="24"/>
        </w:rPr>
      </w:pPr>
      <w:r w:rsidRPr="007E655B">
        <w:rPr>
          <w:rFonts w:ascii="Palatino Linotype" w:eastAsia="Palatino Linotype" w:hAnsi="Palatino Linotype" w:cs="Palatino Linotype"/>
          <w:b/>
          <w:color w:val="000000"/>
          <w:sz w:val="24"/>
          <w:szCs w:val="24"/>
        </w:rPr>
        <w:t>PRIMERO</w:t>
      </w:r>
      <w:r w:rsidRPr="007E655B">
        <w:rPr>
          <w:rFonts w:ascii="Palatino Linotype" w:eastAsia="Palatino Linotype" w:hAnsi="Palatino Linotype" w:cs="Palatino Linotype"/>
          <w:color w:val="000000"/>
          <w:sz w:val="24"/>
          <w:szCs w:val="24"/>
        </w:rPr>
        <w:t xml:space="preserve">. </w:t>
      </w:r>
      <w:r w:rsidRPr="007E655B">
        <w:rPr>
          <w:rFonts w:ascii="Palatino Linotype" w:eastAsia="Palatino Linotype" w:hAnsi="Palatino Linotype" w:cs="Palatino Linotype"/>
          <w:sz w:val="24"/>
          <w:szCs w:val="24"/>
        </w:rPr>
        <w:t xml:space="preserve">Se Sobresee el recurso de revisión número </w:t>
      </w:r>
      <w:r w:rsidRPr="007E655B">
        <w:rPr>
          <w:rFonts w:ascii="Palatino Linotype" w:eastAsia="Palatino Linotype" w:hAnsi="Palatino Linotype" w:cs="Palatino Linotype"/>
          <w:b/>
          <w:sz w:val="24"/>
          <w:szCs w:val="24"/>
        </w:rPr>
        <w:t>03199/INFOEM/IP/RR/2022,</w:t>
      </w:r>
      <w:r w:rsidRPr="007E655B">
        <w:rPr>
          <w:rFonts w:ascii="Palatino Linotype" w:eastAsia="Palatino Linotype" w:hAnsi="Palatino Linotype" w:cs="Palatino Linotype"/>
          <w:sz w:val="24"/>
          <w:szCs w:val="24"/>
        </w:rPr>
        <w:t xml:space="preserve"> porque una vez admitido se actualizó la causal de improcedencia prevista en el artículo 192 fracción IV, en relación con la fracción I del artículo 191, de la Ley de Transparencia vigente en la entidad, que lo dejó sin materia en términos del Considerando Segundo de la presente resolución.</w:t>
      </w:r>
    </w:p>
    <w:p w14:paraId="6D627FB5" w14:textId="77777777" w:rsidR="00435C3D" w:rsidRPr="007E655B" w:rsidRDefault="00435C3D" w:rsidP="00435C3D">
      <w:pPr>
        <w:spacing w:after="0" w:line="360" w:lineRule="auto"/>
        <w:jc w:val="both"/>
        <w:rPr>
          <w:rFonts w:ascii="Palatino Linotype" w:eastAsia="Palatino Linotype" w:hAnsi="Palatino Linotype" w:cs="Palatino Linotype"/>
          <w:b/>
          <w:color w:val="000000"/>
          <w:sz w:val="24"/>
          <w:szCs w:val="24"/>
        </w:rPr>
      </w:pPr>
    </w:p>
    <w:p w14:paraId="76CA443A" w14:textId="77777777" w:rsidR="00435C3D" w:rsidRPr="007E655B" w:rsidRDefault="00435C3D" w:rsidP="00435C3D">
      <w:pPr>
        <w:spacing w:after="0" w:line="360" w:lineRule="auto"/>
        <w:jc w:val="both"/>
        <w:rPr>
          <w:rFonts w:ascii="Palatino Linotype" w:eastAsia="Palatino Linotype" w:hAnsi="Palatino Linotype" w:cs="Palatino Linotype"/>
          <w:color w:val="000000"/>
          <w:sz w:val="24"/>
          <w:szCs w:val="24"/>
        </w:rPr>
      </w:pPr>
      <w:r w:rsidRPr="007E655B">
        <w:rPr>
          <w:rFonts w:ascii="Palatino Linotype" w:eastAsia="Palatino Linotype" w:hAnsi="Palatino Linotype" w:cs="Palatino Linotype"/>
          <w:b/>
          <w:color w:val="000000"/>
          <w:sz w:val="24"/>
          <w:szCs w:val="24"/>
        </w:rPr>
        <w:t xml:space="preserve">SEGUNDO. Notifíquese, </w:t>
      </w:r>
      <w:r w:rsidRPr="007E655B">
        <w:rPr>
          <w:rFonts w:ascii="Palatino Linotype" w:eastAsia="Palatino Linotype" w:hAnsi="Palatino Linotype" w:cs="Palatino Linotype"/>
          <w:color w:val="000000"/>
          <w:sz w:val="24"/>
          <w:szCs w:val="24"/>
        </w:rPr>
        <w:t xml:space="preserve">vía </w:t>
      </w:r>
      <w:r w:rsidRPr="007E655B">
        <w:rPr>
          <w:rFonts w:ascii="Palatino Linotype" w:eastAsia="Palatino Linotype" w:hAnsi="Palatino Linotype" w:cs="Palatino Linotype"/>
          <w:b/>
          <w:color w:val="000000"/>
          <w:sz w:val="24"/>
          <w:szCs w:val="24"/>
        </w:rPr>
        <w:t xml:space="preserve">SAIMEX, </w:t>
      </w:r>
      <w:r w:rsidRPr="007E655B">
        <w:rPr>
          <w:rFonts w:ascii="Palatino Linotype" w:eastAsia="Palatino Linotype" w:hAnsi="Palatino Linotype" w:cs="Palatino Linotype"/>
          <w:color w:val="000000"/>
          <w:sz w:val="24"/>
          <w:szCs w:val="24"/>
        </w:rPr>
        <w:t xml:space="preserve">al </w:t>
      </w:r>
      <w:proofErr w:type="gramStart"/>
      <w:r w:rsidRPr="007E655B">
        <w:rPr>
          <w:rFonts w:ascii="Palatino Linotype" w:eastAsia="Palatino Linotype" w:hAnsi="Palatino Linotype" w:cs="Palatino Linotype"/>
          <w:color w:val="000000"/>
          <w:sz w:val="24"/>
          <w:szCs w:val="24"/>
        </w:rPr>
        <w:t>Responsable</w:t>
      </w:r>
      <w:proofErr w:type="gramEnd"/>
      <w:r w:rsidRPr="007E655B">
        <w:rPr>
          <w:rFonts w:ascii="Palatino Linotype" w:eastAsia="Palatino Linotype" w:hAnsi="Palatino Linotype" w:cs="Palatino Linotype"/>
          <w:color w:val="000000"/>
          <w:sz w:val="24"/>
          <w:szCs w:val="24"/>
        </w:rPr>
        <w:t xml:space="preserve"> de la Unidad de Transparencia del </w:t>
      </w:r>
      <w:r w:rsidRPr="007E655B">
        <w:rPr>
          <w:rFonts w:ascii="Palatino Linotype" w:eastAsia="Palatino Linotype" w:hAnsi="Palatino Linotype" w:cs="Palatino Linotype"/>
          <w:b/>
          <w:color w:val="000000"/>
          <w:sz w:val="24"/>
          <w:szCs w:val="24"/>
        </w:rPr>
        <w:t>SUJETO OBLIGADO</w:t>
      </w:r>
      <w:r w:rsidRPr="007E655B">
        <w:rPr>
          <w:rFonts w:ascii="Palatino Linotype" w:eastAsia="Palatino Linotype" w:hAnsi="Palatino Linotype" w:cs="Palatino Linotype"/>
          <w:color w:val="000000"/>
          <w:sz w:val="24"/>
          <w:szCs w:val="24"/>
        </w:rPr>
        <w:t xml:space="preserve"> la presente resolución, para su conocimiento.</w:t>
      </w:r>
    </w:p>
    <w:p w14:paraId="48A8607A" w14:textId="77777777" w:rsidR="00435C3D" w:rsidRPr="007E655B" w:rsidRDefault="00435C3D" w:rsidP="00435C3D">
      <w:pPr>
        <w:spacing w:after="0" w:line="360" w:lineRule="auto"/>
        <w:jc w:val="both"/>
        <w:rPr>
          <w:rFonts w:ascii="Palatino Linotype" w:eastAsia="Palatino Linotype" w:hAnsi="Palatino Linotype" w:cs="Palatino Linotype"/>
          <w:color w:val="000000"/>
          <w:sz w:val="24"/>
          <w:szCs w:val="24"/>
        </w:rPr>
      </w:pPr>
    </w:p>
    <w:p w14:paraId="7E8A0873" w14:textId="77777777" w:rsidR="00435C3D" w:rsidRPr="007E655B" w:rsidRDefault="00435C3D" w:rsidP="00435C3D">
      <w:pPr>
        <w:spacing w:after="240" w:line="360" w:lineRule="auto"/>
        <w:jc w:val="both"/>
        <w:rPr>
          <w:rFonts w:ascii="Palatino Linotype" w:eastAsia="Palatino Linotype" w:hAnsi="Palatino Linotype" w:cs="Palatino Linotype"/>
          <w:color w:val="000000"/>
          <w:sz w:val="24"/>
          <w:szCs w:val="24"/>
        </w:rPr>
      </w:pPr>
      <w:r w:rsidRPr="007E655B">
        <w:rPr>
          <w:rFonts w:ascii="Palatino Linotype" w:eastAsia="Palatino Linotype" w:hAnsi="Palatino Linotype" w:cs="Palatino Linotype"/>
          <w:b/>
          <w:color w:val="000000"/>
          <w:sz w:val="24"/>
          <w:szCs w:val="24"/>
        </w:rPr>
        <w:t>TERCERO. Notifíquese vía SAIMEX</w:t>
      </w:r>
      <w:r w:rsidRPr="007E655B">
        <w:rPr>
          <w:rFonts w:ascii="Palatino Linotype" w:eastAsia="Palatino Linotype" w:hAnsi="Palatino Linotype" w:cs="Palatino Linotype"/>
          <w:color w:val="000000"/>
          <w:sz w:val="24"/>
          <w:szCs w:val="24"/>
        </w:rPr>
        <w:t>, al</w:t>
      </w:r>
      <w:r w:rsidRPr="007E655B">
        <w:rPr>
          <w:rFonts w:ascii="Palatino Linotype" w:eastAsia="Palatino Linotype" w:hAnsi="Palatino Linotype" w:cs="Palatino Linotype"/>
          <w:b/>
          <w:color w:val="000000"/>
          <w:sz w:val="24"/>
          <w:szCs w:val="24"/>
        </w:rPr>
        <w:t xml:space="preserve"> RECURRENTE</w:t>
      </w:r>
      <w:r w:rsidRPr="007E655B">
        <w:rPr>
          <w:rFonts w:ascii="Palatino Linotype" w:eastAsia="Palatino Linotype" w:hAnsi="Palatino Linotype" w:cs="Palatino Linotype"/>
          <w:color w:val="000000"/>
          <w:sz w:val="24"/>
          <w:szCs w:val="24"/>
        </w:rPr>
        <w:t xml:space="preserve"> la presente resolución; así como, que de conformidad con lo establecido en el artículo 196 de la Ley de Transparencia y Acceso a la Información Pública del Estado de México y Municipios, podrá </w:t>
      </w:r>
      <w:r w:rsidRPr="007E655B">
        <w:rPr>
          <w:rFonts w:ascii="Palatino Linotype" w:eastAsia="Palatino Linotype" w:hAnsi="Palatino Linotype" w:cs="Palatino Linotype"/>
          <w:sz w:val="24"/>
          <w:szCs w:val="24"/>
        </w:rPr>
        <w:t>impugnar vía</w:t>
      </w:r>
      <w:r w:rsidRPr="007E655B">
        <w:rPr>
          <w:rFonts w:ascii="Palatino Linotype" w:eastAsia="Palatino Linotype" w:hAnsi="Palatino Linotype" w:cs="Palatino Linotype"/>
          <w:color w:val="000000"/>
          <w:sz w:val="24"/>
          <w:szCs w:val="24"/>
        </w:rPr>
        <w:t xml:space="preserve"> Juicio de Amparo en los términos de las leyes aplicables.</w:t>
      </w:r>
    </w:p>
    <w:p w14:paraId="107325B5" w14:textId="77777777" w:rsidR="00435C3D" w:rsidRDefault="00435C3D" w:rsidP="00435C3D">
      <w:pPr>
        <w:spacing w:line="360" w:lineRule="auto"/>
        <w:jc w:val="both"/>
      </w:pPr>
      <w:r w:rsidRPr="007E655B">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7E655B">
        <w:rPr>
          <w:rFonts w:ascii="Palatino Linotype" w:eastAsia="Palatino Linotype" w:hAnsi="Palatino Linotype" w:cs="Palatino Linotype"/>
          <w:color w:val="000000"/>
          <w:sz w:val="24"/>
          <w:szCs w:val="24"/>
        </w:rPr>
        <w:lastRenderedPageBreak/>
        <w:t>MORALES MARTÍNEZ, LUIS GUSTAVO PARRA NORIEGA Y GUADALUPE RAMÍREZ PEÑA; EN LA VIGÉSIMA SESIÓN ORDINARIA CELEBRADA EL PRIMERO DE JUNIO DEL DOS MIL VEINTIDÓS, ANTE EL SECRETARIO TÉCNICO DEL PLENO ALEXIS TAPIA RAMÍREZ.</w:t>
      </w:r>
    </w:p>
    <w:p w14:paraId="2C7A4308" w14:textId="77777777" w:rsidR="00AE2B3D" w:rsidRDefault="00AE2B3D">
      <w:pPr>
        <w:spacing w:line="360" w:lineRule="auto"/>
        <w:jc w:val="both"/>
      </w:pPr>
    </w:p>
    <w:sectPr w:rsidR="00AE2B3D" w:rsidSect="00684930">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5EB18" w14:textId="77777777" w:rsidR="00306747" w:rsidRDefault="00306747" w:rsidP="00F0715A">
      <w:pPr>
        <w:spacing w:after="0" w:line="240" w:lineRule="auto"/>
      </w:pPr>
      <w:r>
        <w:separator/>
      </w:r>
    </w:p>
  </w:endnote>
  <w:endnote w:type="continuationSeparator" w:id="0">
    <w:p w14:paraId="3A58A4DD" w14:textId="77777777" w:rsidR="00306747" w:rsidRDefault="00306747" w:rsidP="00F07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28B0" w14:textId="77777777" w:rsidR="00684930" w:rsidRDefault="00684930" w:rsidP="0068493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55C5C">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55C5C">
      <w:rPr>
        <w:rFonts w:ascii="Arial" w:hAnsi="Arial" w:cs="Arial"/>
        <w:b/>
        <w:bCs/>
        <w:noProof/>
        <w:sz w:val="20"/>
        <w:szCs w:val="20"/>
      </w:rPr>
      <w:t>12</w:t>
    </w:r>
    <w:r>
      <w:rPr>
        <w:rFonts w:ascii="Arial" w:hAnsi="Arial" w:cs="Arial"/>
        <w:b/>
        <w:bCs/>
        <w:sz w:val="20"/>
        <w:szCs w:val="20"/>
      </w:rPr>
      <w:fldChar w:fldCharType="end"/>
    </w:r>
  </w:p>
  <w:p w14:paraId="2FECECA3" w14:textId="77777777" w:rsidR="00684930" w:rsidRDefault="006849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F2C2" w14:textId="77777777" w:rsidR="00684930" w:rsidRDefault="00684930" w:rsidP="0068493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55C5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55C5C">
      <w:rPr>
        <w:rFonts w:ascii="Arial" w:hAnsi="Arial" w:cs="Arial"/>
        <w:b/>
        <w:bCs/>
        <w:noProof/>
        <w:sz w:val="20"/>
        <w:szCs w:val="20"/>
      </w:rPr>
      <w:t>12</w:t>
    </w:r>
    <w:r>
      <w:rPr>
        <w:rFonts w:ascii="Arial" w:hAnsi="Arial" w:cs="Arial"/>
        <w:b/>
        <w:bCs/>
        <w:sz w:val="20"/>
        <w:szCs w:val="20"/>
      </w:rPr>
      <w:fldChar w:fldCharType="end"/>
    </w:r>
  </w:p>
  <w:p w14:paraId="0FE9A684" w14:textId="77777777" w:rsidR="00684930" w:rsidRDefault="006849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7906" w14:textId="77777777" w:rsidR="00306747" w:rsidRDefault="00306747" w:rsidP="00F0715A">
      <w:pPr>
        <w:spacing w:after="0" w:line="240" w:lineRule="auto"/>
      </w:pPr>
      <w:r>
        <w:separator/>
      </w:r>
    </w:p>
  </w:footnote>
  <w:footnote w:type="continuationSeparator" w:id="0">
    <w:p w14:paraId="2999694F" w14:textId="77777777" w:rsidR="00306747" w:rsidRDefault="00306747" w:rsidP="00F07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9" w:type="dxa"/>
      <w:tblInd w:w="-1281" w:type="dxa"/>
      <w:tblLayout w:type="fixed"/>
      <w:tblLook w:val="0400" w:firstRow="0" w:lastRow="0" w:firstColumn="0" w:lastColumn="0" w:noHBand="0" w:noVBand="1"/>
    </w:tblPr>
    <w:tblGrid>
      <w:gridCol w:w="5576"/>
      <w:gridCol w:w="4903"/>
    </w:tblGrid>
    <w:tr w:rsidR="00F0715A" w14:paraId="2B1F4EE4" w14:textId="77777777" w:rsidTr="00183F19">
      <w:trPr>
        <w:trHeight w:val="245"/>
      </w:trPr>
      <w:tc>
        <w:tcPr>
          <w:tcW w:w="5576" w:type="dxa"/>
        </w:tcPr>
        <w:p w14:paraId="0FFD9598" w14:textId="77777777" w:rsidR="00F0715A" w:rsidRDefault="00F0715A" w:rsidP="00F0715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903" w:type="dxa"/>
        </w:tcPr>
        <w:p w14:paraId="0E609ACC" w14:textId="77777777" w:rsidR="00F0715A" w:rsidRDefault="00F0715A" w:rsidP="00F0715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03199/INFOEM/IP/RR/2022</w:t>
          </w:r>
        </w:p>
      </w:tc>
    </w:tr>
    <w:tr w:rsidR="00F0715A" w14:paraId="6B8DF096" w14:textId="77777777" w:rsidTr="00183F19">
      <w:trPr>
        <w:trHeight w:val="211"/>
      </w:trPr>
      <w:tc>
        <w:tcPr>
          <w:tcW w:w="5576" w:type="dxa"/>
        </w:tcPr>
        <w:p w14:paraId="6B223EF1" w14:textId="77777777" w:rsidR="00F0715A" w:rsidRDefault="00F0715A" w:rsidP="00F0715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903" w:type="dxa"/>
        </w:tcPr>
        <w:p w14:paraId="1BD593A5" w14:textId="77777777" w:rsidR="00F0715A" w:rsidRDefault="00F0715A" w:rsidP="00F0715A">
          <w:pPr>
            <w:spacing w:after="120"/>
            <w:ind w:left="-486" w:right="214" w:firstLine="567"/>
            <w:jc w:val="right"/>
            <w:rPr>
              <w:rFonts w:ascii="Palatino Linotype" w:eastAsia="Palatino Linotype" w:hAnsi="Palatino Linotype" w:cs="Palatino Linotype"/>
              <w:sz w:val="24"/>
              <w:szCs w:val="24"/>
            </w:rPr>
          </w:pPr>
        </w:p>
      </w:tc>
    </w:tr>
    <w:tr w:rsidR="00F0715A" w14:paraId="2E3285AC" w14:textId="77777777" w:rsidTr="00183F19">
      <w:trPr>
        <w:trHeight w:val="262"/>
      </w:trPr>
      <w:tc>
        <w:tcPr>
          <w:tcW w:w="5576" w:type="dxa"/>
        </w:tcPr>
        <w:p w14:paraId="3F53ADEB" w14:textId="77777777" w:rsidR="00F0715A" w:rsidRDefault="00F0715A" w:rsidP="00F0715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903" w:type="dxa"/>
        </w:tcPr>
        <w:p w14:paraId="0843DAEE" w14:textId="77777777" w:rsidR="00F0715A" w:rsidRDefault="00F0715A" w:rsidP="00F0715A">
          <w:pPr>
            <w:pBdr>
              <w:top w:val="nil"/>
              <w:left w:val="nil"/>
              <w:bottom w:val="nil"/>
              <w:right w:val="nil"/>
              <w:between w:val="nil"/>
            </w:pBdr>
            <w:spacing w:after="0"/>
            <w:ind w:left="432"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Ayuntamiento de Ch</w:t>
          </w:r>
          <w:r w:rsidR="00435C3D">
            <w:rPr>
              <w:rFonts w:ascii="Palatino Linotype" w:eastAsia="Palatino Linotype" w:hAnsi="Palatino Linotype" w:cs="Palatino Linotype"/>
              <w:color w:val="000000"/>
              <w:sz w:val="24"/>
              <w:szCs w:val="24"/>
            </w:rPr>
            <w:t>i</w:t>
          </w:r>
          <w:r>
            <w:rPr>
              <w:rFonts w:ascii="Palatino Linotype" w:eastAsia="Palatino Linotype" w:hAnsi="Palatino Linotype" w:cs="Palatino Linotype"/>
              <w:color w:val="000000"/>
              <w:sz w:val="24"/>
              <w:szCs w:val="24"/>
            </w:rPr>
            <w:t>concuac.</w:t>
          </w:r>
        </w:p>
      </w:tc>
    </w:tr>
    <w:tr w:rsidR="00F0715A" w14:paraId="5C969F82" w14:textId="77777777" w:rsidTr="00183F19">
      <w:trPr>
        <w:trHeight w:val="371"/>
      </w:trPr>
      <w:tc>
        <w:tcPr>
          <w:tcW w:w="5576" w:type="dxa"/>
        </w:tcPr>
        <w:p w14:paraId="633EED93" w14:textId="77777777" w:rsidR="00F0715A" w:rsidRDefault="00F0715A" w:rsidP="00F0715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903" w:type="dxa"/>
        </w:tcPr>
        <w:p w14:paraId="002D154B" w14:textId="77777777" w:rsidR="00F0715A" w:rsidRDefault="00F0715A" w:rsidP="00F0715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9722016" w14:textId="77777777" w:rsidR="00F0715A" w:rsidRDefault="00684930">
    <w:pPr>
      <w:pStyle w:val="Encabezado"/>
    </w:pPr>
    <w:r>
      <w:rPr>
        <w:noProof/>
      </w:rPr>
      <w:drawing>
        <wp:anchor distT="0" distB="0" distL="0" distR="0" simplePos="0" relativeHeight="251659264" behindDoc="1" locked="0" layoutInCell="1" hidden="0" allowOverlap="1" wp14:anchorId="0DC0D1D2" wp14:editId="393E2069">
          <wp:simplePos x="0" y="0"/>
          <wp:positionH relativeFrom="page">
            <wp:posOffset>205740</wp:posOffset>
          </wp:positionH>
          <wp:positionV relativeFrom="paragraph">
            <wp:posOffset>-1569085</wp:posOffset>
          </wp:positionV>
          <wp:extent cx="7867650" cy="10133330"/>
          <wp:effectExtent l="0" t="0" r="0" b="127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9" w:type="dxa"/>
      <w:tblInd w:w="-1281" w:type="dxa"/>
      <w:tblLayout w:type="fixed"/>
      <w:tblLook w:val="0400" w:firstRow="0" w:lastRow="0" w:firstColumn="0" w:lastColumn="0" w:noHBand="0" w:noVBand="1"/>
    </w:tblPr>
    <w:tblGrid>
      <w:gridCol w:w="5576"/>
      <w:gridCol w:w="4903"/>
    </w:tblGrid>
    <w:tr w:rsidR="00684930" w14:paraId="19A31A6F" w14:textId="77777777" w:rsidTr="00183F19">
      <w:trPr>
        <w:trHeight w:val="245"/>
      </w:trPr>
      <w:tc>
        <w:tcPr>
          <w:tcW w:w="5576" w:type="dxa"/>
        </w:tcPr>
        <w:p w14:paraId="1D991674" w14:textId="77777777" w:rsidR="00684930" w:rsidRDefault="00684930" w:rsidP="00684930">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903" w:type="dxa"/>
        </w:tcPr>
        <w:p w14:paraId="14FF1A5D" w14:textId="77777777" w:rsidR="00684930" w:rsidRDefault="00684930" w:rsidP="00684930">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03199/INFOEM/IP/RR/2022</w:t>
          </w:r>
        </w:p>
      </w:tc>
    </w:tr>
    <w:tr w:rsidR="00684930" w14:paraId="4CC39BE6" w14:textId="77777777" w:rsidTr="00183F19">
      <w:trPr>
        <w:trHeight w:val="211"/>
      </w:trPr>
      <w:tc>
        <w:tcPr>
          <w:tcW w:w="5576" w:type="dxa"/>
        </w:tcPr>
        <w:p w14:paraId="2139D417" w14:textId="77777777" w:rsidR="00684930" w:rsidRDefault="00684930" w:rsidP="00684930">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903" w:type="dxa"/>
        </w:tcPr>
        <w:p w14:paraId="428A3FEF" w14:textId="685B4C9C" w:rsidR="00684930" w:rsidRDefault="00475D18" w:rsidP="00684930">
          <w:pPr>
            <w:spacing w:after="120"/>
            <w:ind w:left="-486" w:right="214" w:firstLine="567"/>
            <w:jc w:val="right"/>
            <w:rPr>
              <w:rFonts w:ascii="Palatino Linotype" w:eastAsia="Palatino Linotype" w:hAnsi="Palatino Linotype" w:cs="Palatino Linotype"/>
              <w:sz w:val="24"/>
              <w:szCs w:val="24"/>
            </w:rPr>
          </w:pPr>
          <w:proofErr w:type="spellStart"/>
          <w:r>
            <w:rPr>
              <w:rFonts w:ascii="Palatino Linotype" w:eastAsia="Palatino Linotype" w:hAnsi="Palatino Linotype" w:cs="Palatino Linotype"/>
              <w:sz w:val="24"/>
              <w:szCs w:val="24"/>
            </w:rPr>
            <w:t>xxxxx</w:t>
          </w:r>
          <w:proofErr w:type="spellEnd"/>
          <w:r w:rsidR="00684930">
            <w:rPr>
              <w:rFonts w:ascii="Palatino Linotype" w:eastAsia="Palatino Linotype" w:hAnsi="Palatino Linotype" w:cs="Palatino Linotype"/>
              <w:sz w:val="24"/>
              <w:szCs w:val="24"/>
            </w:rPr>
            <w:t>.</w:t>
          </w:r>
        </w:p>
      </w:tc>
    </w:tr>
    <w:tr w:rsidR="00684930" w14:paraId="4A6D5672" w14:textId="77777777" w:rsidTr="00183F19">
      <w:trPr>
        <w:trHeight w:val="262"/>
      </w:trPr>
      <w:tc>
        <w:tcPr>
          <w:tcW w:w="5576" w:type="dxa"/>
        </w:tcPr>
        <w:p w14:paraId="0740ABDD" w14:textId="77777777" w:rsidR="00684930" w:rsidRDefault="00684930" w:rsidP="00684930">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903" w:type="dxa"/>
        </w:tcPr>
        <w:p w14:paraId="570DE093" w14:textId="77777777" w:rsidR="00684930" w:rsidRDefault="00684930" w:rsidP="00684930">
          <w:pPr>
            <w:pBdr>
              <w:top w:val="nil"/>
              <w:left w:val="nil"/>
              <w:bottom w:val="nil"/>
              <w:right w:val="nil"/>
              <w:between w:val="nil"/>
            </w:pBdr>
            <w:spacing w:after="0"/>
            <w:ind w:left="432"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Ayuntamiento de Chiconcuac.</w:t>
          </w:r>
        </w:p>
      </w:tc>
    </w:tr>
    <w:tr w:rsidR="00684930" w14:paraId="78BE9B31" w14:textId="77777777" w:rsidTr="00183F19">
      <w:trPr>
        <w:trHeight w:val="371"/>
      </w:trPr>
      <w:tc>
        <w:tcPr>
          <w:tcW w:w="5576" w:type="dxa"/>
        </w:tcPr>
        <w:p w14:paraId="5F9A3498" w14:textId="77777777" w:rsidR="00684930" w:rsidRDefault="00684930" w:rsidP="00684930">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903" w:type="dxa"/>
        </w:tcPr>
        <w:p w14:paraId="39E09B9D" w14:textId="77777777" w:rsidR="00684930" w:rsidRDefault="00684930" w:rsidP="00684930">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435499BE" w14:textId="77777777" w:rsidR="00684930" w:rsidRDefault="00684930">
    <w:pPr>
      <w:pStyle w:val="Encabezado"/>
    </w:pPr>
    <w:r>
      <w:rPr>
        <w:noProof/>
      </w:rPr>
      <w:drawing>
        <wp:anchor distT="0" distB="0" distL="0" distR="0" simplePos="0" relativeHeight="251661312" behindDoc="1" locked="0" layoutInCell="1" hidden="0" allowOverlap="1" wp14:anchorId="1F6E1BB0" wp14:editId="5E28E39C">
          <wp:simplePos x="0" y="0"/>
          <wp:positionH relativeFrom="page">
            <wp:posOffset>262890</wp:posOffset>
          </wp:positionH>
          <wp:positionV relativeFrom="paragraph">
            <wp:posOffset>-1511935</wp:posOffset>
          </wp:positionV>
          <wp:extent cx="7867650" cy="10133330"/>
          <wp:effectExtent l="0" t="0" r="0" b="127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11040"/>
    <w:multiLevelType w:val="multilevel"/>
    <w:tmpl w:val="173A6F9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027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5A"/>
    <w:rsid w:val="00306747"/>
    <w:rsid w:val="00360C1E"/>
    <w:rsid w:val="00435C3D"/>
    <w:rsid w:val="00475D18"/>
    <w:rsid w:val="004C656B"/>
    <w:rsid w:val="00684930"/>
    <w:rsid w:val="0076380A"/>
    <w:rsid w:val="007E655B"/>
    <w:rsid w:val="0081741B"/>
    <w:rsid w:val="0090752E"/>
    <w:rsid w:val="0096432B"/>
    <w:rsid w:val="00A13F3D"/>
    <w:rsid w:val="00A22313"/>
    <w:rsid w:val="00AE2B3D"/>
    <w:rsid w:val="00D50ED5"/>
    <w:rsid w:val="00E11063"/>
    <w:rsid w:val="00F0715A"/>
    <w:rsid w:val="00F55C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325A"/>
  <w15:chartTrackingRefBased/>
  <w15:docId w15:val="{FDF70F0B-B36F-4428-8A5E-6E89E89D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5A"/>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71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715A"/>
  </w:style>
  <w:style w:type="paragraph" w:styleId="Piedepgina">
    <w:name w:val="footer"/>
    <w:basedOn w:val="Normal"/>
    <w:link w:val="PiedepginaCar"/>
    <w:uiPriority w:val="99"/>
    <w:unhideWhenUsed/>
    <w:rsid w:val="00F071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715A"/>
  </w:style>
  <w:style w:type="paragraph" w:styleId="NormalWeb">
    <w:name w:val="Normal (Web)"/>
    <w:basedOn w:val="Normal"/>
    <w:uiPriority w:val="99"/>
    <w:semiHidden/>
    <w:unhideWhenUsed/>
    <w:rsid w:val="00F071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2497</Words>
  <Characters>13734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LAURA RENDON GARCIA</cp:lastModifiedBy>
  <cp:revision>6</cp:revision>
  <dcterms:created xsi:type="dcterms:W3CDTF">2022-05-26T15:33:00Z</dcterms:created>
  <dcterms:modified xsi:type="dcterms:W3CDTF">2022-07-05T19:52:00Z</dcterms:modified>
</cp:coreProperties>
</file>