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16242477" w:rsidR="00662C69" w:rsidRPr="00EA641D"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EA641D">
        <w:rPr>
          <w:rFonts w:ascii="Palatino Linotype" w:hAnsi="Palatino Linotype"/>
          <w:color w:val="000000" w:themeColor="text1"/>
        </w:rPr>
        <w:t>R</w:t>
      </w:r>
      <w:r w:rsidR="00662C69" w:rsidRPr="00EA641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A641D">
        <w:rPr>
          <w:rFonts w:ascii="Palatino Linotype" w:hAnsi="Palatino Linotype"/>
          <w:color w:val="000000" w:themeColor="text1"/>
        </w:rPr>
        <w:t>icipios, con</w:t>
      </w:r>
      <w:r w:rsidR="00662C69" w:rsidRPr="00EA641D">
        <w:rPr>
          <w:rFonts w:ascii="Palatino Linotype" w:hAnsi="Palatino Linotype"/>
          <w:color w:val="000000" w:themeColor="text1"/>
        </w:rPr>
        <w:t xml:space="preserve"> </w:t>
      </w:r>
      <w:r w:rsidR="00485DB6" w:rsidRPr="00EA641D">
        <w:rPr>
          <w:rFonts w:ascii="Palatino Linotype" w:hAnsi="Palatino Linotype"/>
          <w:color w:val="000000" w:themeColor="text1"/>
        </w:rPr>
        <w:t xml:space="preserve">domicilio </w:t>
      </w:r>
      <w:r w:rsidR="00662C69" w:rsidRPr="00EA641D">
        <w:rPr>
          <w:rFonts w:ascii="Palatino Linotype" w:hAnsi="Palatino Linotype"/>
          <w:color w:val="000000" w:themeColor="text1"/>
        </w:rPr>
        <w:t xml:space="preserve">en Metepec, Estado de México; de </w:t>
      </w:r>
      <w:r w:rsidR="003E2DCB" w:rsidRPr="00EA641D">
        <w:rPr>
          <w:rFonts w:ascii="Palatino Linotype" w:hAnsi="Palatino Linotype"/>
          <w:color w:val="000000" w:themeColor="text1"/>
        </w:rPr>
        <w:t>catorce</w:t>
      </w:r>
      <w:r w:rsidR="007076C5" w:rsidRPr="00EA641D">
        <w:rPr>
          <w:rFonts w:ascii="Palatino Linotype" w:hAnsi="Palatino Linotype"/>
          <w:color w:val="000000" w:themeColor="text1"/>
        </w:rPr>
        <w:t xml:space="preserve"> (</w:t>
      </w:r>
      <w:r w:rsidR="003E2DCB" w:rsidRPr="00EA641D">
        <w:rPr>
          <w:rFonts w:ascii="Palatino Linotype" w:hAnsi="Palatino Linotype"/>
          <w:color w:val="000000" w:themeColor="text1"/>
        </w:rPr>
        <w:t>14</w:t>
      </w:r>
      <w:r w:rsidR="00FE576E" w:rsidRPr="00EA641D">
        <w:rPr>
          <w:rFonts w:ascii="Palatino Linotype" w:hAnsi="Palatino Linotype"/>
          <w:color w:val="000000" w:themeColor="text1"/>
        </w:rPr>
        <w:t>) de septiembre</w:t>
      </w:r>
      <w:r w:rsidR="002D1AA7" w:rsidRPr="00EA641D">
        <w:rPr>
          <w:rFonts w:ascii="Palatino Linotype" w:hAnsi="Palatino Linotype"/>
          <w:color w:val="000000" w:themeColor="text1"/>
        </w:rPr>
        <w:t xml:space="preserve"> de dos mil veinti</w:t>
      </w:r>
      <w:r w:rsidR="00384F2B" w:rsidRPr="00EA641D">
        <w:rPr>
          <w:rFonts w:ascii="Palatino Linotype" w:hAnsi="Palatino Linotype"/>
          <w:color w:val="000000" w:themeColor="text1"/>
        </w:rPr>
        <w:t>dós</w:t>
      </w:r>
      <w:r w:rsidR="00662C69" w:rsidRPr="00EA641D">
        <w:rPr>
          <w:rFonts w:ascii="Palatino Linotype" w:hAnsi="Palatino Linotype"/>
          <w:color w:val="000000" w:themeColor="text1"/>
        </w:rPr>
        <w:t>.</w:t>
      </w:r>
    </w:p>
    <w:p w14:paraId="1181C59D" w14:textId="77777777" w:rsidR="00B31E90" w:rsidRPr="00EA641D" w:rsidRDefault="00B31E90" w:rsidP="00B31E90">
      <w:pPr>
        <w:tabs>
          <w:tab w:val="left" w:pos="3465"/>
        </w:tabs>
        <w:spacing w:line="360" w:lineRule="auto"/>
        <w:jc w:val="both"/>
        <w:rPr>
          <w:rFonts w:ascii="Palatino Linotype" w:hAnsi="Palatino Linotype"/>
          <w:color w:val="000000" w:themeColor="text1"/>
        </w:rPr>
      </w:pPr>
    </w:p>
    <w:p w14:paraId="04F87235" w14:textId="3EA072C3" w:rsidR="005F0007" w:rsidRPr="00EA641D" w:rsidRDefault="00662C69" w:rsidP="00B31E90">
      <w:pPr>
        <w:spacing w:line="360" w:lineRule="auto"/>
        <w:jc w:val="both"/>
        <w:rPr>
          <w:rFonts w:ascii="Palatino Linotype" w:eastAsia="Times New Roman" w:hAnsi="Palatino Linotype" w:cs="Times New Roman"/>
          <w:color w:val="000000" w:themeColor="text1"/>
        </w:rPr>
      </w:pPr>
      <w:r w:rsidRPr="00EA641D">
        <w:rPr>
          <w:rFonts w:ascii="Palatino Linotype" w:hAnsi="Palatino Linotype"/>
          <w:b/>
          <w:color w:val="000000" w:themeColor="text1"/>
        </w:rPr>
        <w:t>VISTO</w:t>
      </w:r>
      <w:r w:rsidRPr="00EA641D">
        <w:rPr>
          <w:rFonts w:ascii="Palatino Linotype" w:hAnsi="Palatino Linotype"/>
          <w:color w:val="000000" w:themeColor="text1"/>
        </w:rPr>
        <w:t xml:space="preserve"> el expediente electrónico for</w:t>
      </w:r>
      <w:r w:rsidR="00D37494" w:rsidRPr="00EA641D">
        <w:rPr>
          <w:rFonts w:ascii="Palatino Linotype" w:hAnsi="Palatino Linotype"/>
          <w:color w:val="000000" w:themeColor="text1"/>
        </w:rPr>
        <w:t>mado con motivo del</w:t>
      </w:r>
      <w:r w:rsidRPr="00EA641D">
        <w:rPr>
          <w:rFonts w:ascii="Palatino Linotype" w:hAnsi="Palatino Linotype"/>
          <w:color w:val="000000" w:themeColor="text1"/>
        </w:rPr>
        <w:t xml:space="preserve"> recurso de revisión </w:t>
      </w:r>
      <w:r w:rsidR="003E2DCB" w:rsidRPr="00EA641D">
        <w:rPr>
          <w:rFonts w:ascii="Palatino Linotype" w:hAnsi="Palatino Linotype"/>
          <w:b/>
          <w:szCs w:val="22"/>
        </w:rPr>
        <w:t>10793/INFOEM/IP/RR/2022</w:t>
      </w:r>
      <w:r w:rsidR="005F1362" w:rsidRPr="00EA641D">
        <w:rPr>
          <w:rFonts w:ascii="Palatino Linotype" w:eastAsia="Times New Roman" w:hAnsi="Palatino Linotype" w:cs="Arial"/>
          <w:bCs/>
          <w:color w:val="000000" w:themeColor="text1"/>
        </w:rPr>
        <w:t xml:space="preserve">, </w:t>
      </w:r>
      <w:r w:rsidR="006B31E7" w:rsidRPr="00EA641D">
        <w:rPr>
          <w:rFonts w:ascii="Palatino Linotype" w:eastAsia="Times New Roman" w:hAnsi="Palatino Linotype" w:cs="Times New Roman"/>
          <w:color w:val="000000" w:themeColor="text1"/>
        </w:rPr>
        <w:t>interpuesto por</w:t>
      </w:r>
      <w:r w:rsidR="0078249C" w:rsidRPr="00EA641D">
        <w:rPr>
          <w:rFonts w:ascii="Palatino Linotype" w:eastAsia="Times New Roman" w:hAnsi="Palatino Linotype" w:cs="Times New Roman"/>
          <w:color w:val="000000" w:themeColor="text1"/>
        </w:rPr>
        <w:t xml:space="preserve"> </w:t>
      </w:r>
      <w:r w:rsidR="00EA641D" w:rsidRPr="00EA641D">
        <w:rPr>
          <w:rFonts w:ascii="Palatino Linotype" w:hAnsi="Palatino Linotype"/>
          <w:b/>
          <w:szCs w:val="22"/>
        </w:rPr>
        <w:t>XXXXX XXXX XXXX</w:t>
      </w:r>
      <w:r w:rsidR="00DC6944" w:rsidRPr="00EA641D">
        <w:rPr>
          <w:rFonts w:ascii="Palatino Linotype" w:eastAsia="Times New Roman" w:hAnsi="Palatino Linotype" w:cs="Times New Roman"/>
          <w:color w:val="000000" w:themeColor="text1"/>
        </w:rPr>
        <w:t>,</w:t>
      </w:r>
      <w:r w:rsidR="00D0377B" w:rsidRPr="00EA641D">
        <w:rPr>
          <w:rFonts w:ascii="Palatino Linotype" w:eastAsia="Times New Roman" w:hAnsi="Palatino Linotype" w:cs="Times New Roman"/>
          <w:color w:val="000000" w:themeColor="text1"/>
        </w:rPr>
        <w:t xml:space="preserve"> </w:t>
      </w:r>
      <w:r w:rsidR="007076C5" w:rsidRPr="00EA641D">
        <w:rPr>
          <w:rFonts w:ascii="Palatino Linotype" w:eastAsia="Times New Roman" w:hAnsi="Palatino Linotype" w:cs="Times New Roman"/>
          <w:color w:val="000000" w:themeColor="text1"/>
        </w:rPr>
        <w:t>en adelante la</w:t>
      </w:r>
      <w:r w:rsidR="00E92215" w:rsidRPr="00EA641D">
        <w:rPr>
          <w:rFonts w:ascii="Palatino Linotype" w:eastAsia="Times New Roman" w:hAnsi="Palatino Linotype" w:cs="Times New Roman"/>
          <w:color w:val="000000" w:themeColor="text1"/>
        </w:rPr>
        <w:t xml:space="preserve"> </w:t>
      </w:r>
      <w:r w:rsidR="006B31E7" w:rsidRPr="00EA641D">
        <w:rPr>
          <w:rFonts w:ascii="Palatino Linotype" w:eastAsia="Times New Roman" w:hAnsi="Palatino Linotype" w:cs="Times New Roman"/>
          <w:b/>
          <w:bCs/>
          <w:color w:val="000000" w:themeColor="text1"/>
        </w:rPr>
        <w:t>RECURRENTE</w:t>
      </w:r>
      <w:r w:rsidR="00E647FF" w:rsidRPr="00EA641D">
        <w:rPr>
          <w:rFonts w:ascii="Palatino Linotype" w:eastAsia="Times New Roman" w:hAnsi="Palatino Linotype" w:cs="Arial"/>
          <w:color w:val="000000" w:themeColor="text1"/>
        </w:rPr>
        <w:t>;</w:t>
      </w:r>
      <w:r w:rsidR="005F1362" w:rsidRPr="00EA641D">
        <w:rPr>
          <w:rFonts w:ascii="Palatino Linotype" w:eastAsia="Times New Roman" w:hAnsi="Palatino Linotype" w:cs="Arial"/>
          <w:color w:val="000000" w:themeColor="text1"/>
        </w:rPr>
        <w:t xml:space="preserve"> en contra de la respuesta de</w:t>
      </w:r>
      <w:r w:rsidR="003E2DCB" w:rsidRPr="00EA641D">
        <w:rPr>
          <w:rFonts w:ascii="Palatino Linotype" w:eastAsia="Times New Roman" w:hAnsi="Palatino Linotype" w:cs="Arial"/>
          <w:color w:val="000000" w:themeColor="text1"/>
        </w:rPr>
        <w:t xml:space="preserve"> </w:t>
      </w:r>
      <w:r w:rsidR="005F1362" w:rsidRPr="00EA641D">
        <w:rPr>
          <w:rFonts w:ascii="Palatino Linotype" w:eastAsia="Times New Roman" w:hAnsi="Palatino Linotype" w:cs="Arial"/>
          <w:color w:val="000000" w:themeColor="text1"/>
        </w:rPr>
        <w:t>l</w:t>
      </w:r>
      <w:r w:rsidR="003E2DCB" w:rsidRPr="00EA641D">
        <w:rPr>
          <w:rFonts w:ascii="Palatino Linotype" w:eastAsia="Times New Roman" w:hAnsi="Palatino Linotype" w:cs="Arial"/>
          <w:color w:val="000000" w:themeColor="text1"/>
        </w:rPr>
        <w:t>a</w:t>
      </w:r>
      <w:r w:rsidR="002C1007" w:rsidRPr="00EA641D">
        <w:rPr>
          <w:rFonts w:ascii="Palatino Linotype" w:eastAsia="Times New Roman" w:hAnsi="Palatino Linotype" w:cs="Arial"/>
          <w:color w:val="000000" w:themeColor="text1"/>
        </w:rPr>
        <w:t xml:space="preserve"> </w:t>
      </w:r>
      <w:r w:rsidR="003E2DCB" w:rsidRPr="00EA641D">
        <w:rPr>
          <w:rFonts w:ascii="Palatino Linotype" w:eastAsia="Calibri" w:hAnsi="Palatino Linotype" w:cs="Arial"/>
          <w:b/>
          <w:bCs/>
          <w:lang w:val="es-ES"/>
        </w:rPr>
        <w:t>Secretaría de Justicia y Derechos Humanos</w:t>
      </w:r>
      <w:r w:rsidR="009572EE" w:rsidRPr="00EA641D">
        <w:rPr>
          <w:rFonts w:ascii="Palatino Linotype" w:eastAsia="Calibri" w:hAnsi="Palatino Linotype" w:cs="Arial"/>
          <w:color w:val="000000" w:themeColor="text1"/>
          <w:lang w:val="es-ES"/>
        </w:rPr>
        <w:t>,</w:t>
      </w:r>
      <w:r w:rsidR="005F1362" w:rsidRPr="00EA641D">
        <w:rPr>
          <w:rFonts w:ascii="Palatino Linotype" w:eastAsia="Calibri" w:hAnsi="Palatino Linotype" w:cs="Arial"/>
          <w:color w:val="000000" w:themeColor="text1"/>
          <w:lang w:val="es-ES"/>
        </w:rPr>
        <w:t xml:space="preserve"> </w:t>
      </w:r>
      <w:r w:rsidR="005F1362" w:rsidRPr="00EA641D">
        <w:rPr>
          <w:rFonts w:ascii="Palatino Linotype" w:eastAsia="Times New Roman" w:hAnsi="Palatino Linotype" w:cs="Times New Roman"/>
          <w:color w:val="000000" w:themeColor="text1"/>
        </w:rPr>
        <w:t>en lo sucesivo el</w:t>
      </w:r>
      <w:r w:rsidR="005F1362" w:rsidRPr="00EA641D">
        <w:rPr>
          <w:rFonts w:ascii="Palatino Linotype" w:eastAsia="Times New Roman" w:hAnsi="Palatino Linotype" w:cs="Times New Roman"/>
          <w:b/>
          <w:color w:val="000000" w:themeColor="text1"/>
        </w:rPr>
        <w:t xml:space="preserve"> SUJETO OBLIGADO, </w:t>
      </w:r>
      <w:r w:rsidR="005F1362" w:rsidRPr="00EA641D">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EA641D"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EA641D"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EA641D">
        <w:rPr>
          <w:b/>
          <w:color w:val="000000" w:themeColor="text1"/>
        </w:rPr>
        <w:t>A</w:t>
      </w:r>
      <w:r w:rsidR="00C967DD" w:rsidRPr="00EA641D">
        <w:rPr>
          <w:b/>
          <w:color w:val="000000" w:themeColor="text1"/>
        </w:rPr>
        <w:t xml:space="preserve"> </w:t>
      </w:r>
      <w:r w:rsidRPr="00EA641D">
        <w:rPr>
          <w:b/>
          <w:color w:val="000000" w:themeColor="text1"/>
        </w:rPr>
        <w:t>N</w:t>
      </w:r>
      <w:r w:rsidR="00C967DD" w:rsidRPr="00EA641D">
        <w:rPr>
          <w:b/>
          <w:color w:val="000000" w:themeColor="text1"/>
        </w:rPr>
        <w:t xml:space="preserve"> </w:t>
      </w:r>
      <w:r w:rsidRPr="00EA641D">
        <w:rPr>
          <w:b/>
          <w:color w:val="000000" w:themeColor="text1"/>
        </w:rPr>
        <w:t>T</w:t>
      </w:r>
      <w:r w:rsidR="00C967DD" w:rsidRPr="00EA641D">
        <w:rPr>
          <w:b/>
          <w:color w:val="000000" w:themeColor="text1"/>
        </w:rPr>
        <w:t xml:space="preserve"> </w:t>
      </w:r>
      <w:r w:rsidRPr="00EA641D">
        <w:rPr>
          <w:b/>
          <w:color w:val="000000" w:themeColor="text1"/>
        </w:rPr>
        <w:t>E</w:t>
      </w:r>
      <w:r w:rsidR="00C967DD" w:rsidRPr="00EA641D">
        <w:rPr>
          <w:b/>
          <w:color w:val="000000" w:themeColor="text1"/>
        </w:rPr>
        <w:t xml:space="preserve"> </w:t>
      </w:r>
      <w:r w:rsidRPr="00EA641D">
        <w:rPr>
          <w:b/>
          <w:color w:val="000000" w:themeColor="text1"/>
        </w:rPr>
        <w:t>C</w:t>
      </w:r>
      <w:r w:rsidR="00C967DD" w:rsidRPr="00EA641D">
        <w:rPr>
          <w:b/>
          <w:color w:val="000000" w:themeColor="text1"/>
        </w:rPr>
        <w:t xml:space="preserve"> </w:t>
      </w:r>
      <w:r w:rsidRPr="00EA641D">
        <w:rPr>
          <w:b/>
          <w:color w:val="000000" w:themeColor="text1"/>
        </w:rPr>
        <w:t>E</w:t>
      </w:r>
      <w:r w:rsidR="00C967DD" w:rsidRPr="00EA641D">
        <w:rPr>
          <w:b/>
          <w:color w:val="000000" w:themeColor="text1"/>
        </w:rPr>
        <w:t xml:space="preserve"> </w:t>
      </w:r>
      <w:r w:rsidRPr="00EA641D">
        <w:rPr>
          <w:b/>
          <w:color w:val="000000" w:themeColor="text1"/>
        </w:rPr>
        <w:t>D</w:t>
      </w:r>
      <w:r w:rsidR="00C967DD" w:rsidRPr="00EA641D">
        <w:rPr>
          <w:b/>
          <w:color w:val="000000" w:themeColor="text1"/>
        </w:rPr>
        <w:t xml:space="preserve"> </w:t>
      </w:r>
      <w:r w:rsidRPr="00EA641D">
        <w:rPr>
          <w:b/>
          <w:color w:val="000000" w:themeColor="text1"/>
        </w:rPr>
        <w:t>E</w:t>
      </w:r>
      <w:r w:rsidR="00C967DD" w:rsidRPr="00EA641D">
        <w:rPr>
          <w:b/>
          <w:color w:val="000000" w:themeColor="text1"/>
        </w:rPr>
        <w:t xml:space="preserve"> </w:t>
      </w:r>
      <w:r w:rsidRPr="00EA641D">
        <w:rPr>
          <w:b/>
          <w:color w:val="000000" w:themeColor="text1"/>
        </w:rPr>
        <w:t>N</w:t>
      </w:r>
      <w:r w:rsidR="00C967DD" w:rsidRPr="00EA641D">
        <w:rPr>
          <w:b/>
          <w:color w:val="000000" w:themeColor="text1"/>
        </w:rPr>
        <w:t xml:space="preserve"> </w:t>
      </w:r>
      <w:r w:rsidRPr="00EA641D">
        <w:rPr>
          <w:b/>
          <w:color w:val="000000" w:themeColor="text1"/>
        </w:rPr>
        <w:t>T</w:t>
      </w:r>
      <w:r w:rsidR="00C967DD" w:rsidRPr="00EA641D">
        <w:rPr>
          <w:b/>
          <w:color w:val="000000" w:themeColor="text1"/>
        </w:rPr>
        <w:t xml:space="preserve"> </w:t>
      </w:r>
      <w:r w:rsidRPr="00EA641D">
        <w:rPr>
          <w:b/>
          <w:color w:val="000000" w:themeColor="text1"/>
        </w:rPr>
        <w:t>E</w:t>
      </w:r>
      <w:r w:rsidR="00C967DD" w:rsidRPr="00EA641D">
        <w:rPr>
          <w:b/>
          <w:color w:val="000000" w:themeColor="text1"/>
        </w:rPr>
        <w:t xml:space="preserve"> </w:t>
      </w:r>
      <w:r w:rsidRPr="00EA641D">
        <w:rPr>
          <w:b/>
          <w:color w:val="000000" w:themeColor="text1"/>
        </w:rPr>
        <w:t>S</w:t>
      </w:r>
      <w:bookmarkEnd w:id="0"/>
      <w:bookmarkEnd w:id="1"/>
      <w:bookmarkEnd w:id="2"/>
    </w:p>
    <w:p w14:paraId="5F73BCCB" w14:textId="77777777" w:rsidR="003F1A79" w:rsidRPr="00EA641D" w:rsidRDefault="003F1A79" w:rsidP="003F1A79">
      <w:pPr>
        <w:rPr>
          <w:lang w:eastAsia="en-US"/>
        </w:rPr>
      </w:pPr>
    </w:p>
    <w:p w14:paraId="402A4C0A" w14:textId="6763BA2D" w:rsidR="00D9392E" w:rsidRPr="00EA641D"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Calibri" w:hAnsi="Palatino Linotype" w:cs="Arial"/>
          <w:color w:val="000000" w:themeColor="text1"/>
          <w:lang w:val="es-ES"/>
        </w:rPr>
        <w:t>El</w:t>
      </w:r>
      <w:r w:rsidR="00D9392E" w:rsidRPr="00EA641D">
        <w:rPr>
          <w:rFonts w:ascii="Palatino Linotype" w:eastAsia="Calibri" w:hAnsi="Palatino Linotype" w:cs="Arial"/>
          <w:color w:val="000000" w:themeColor="text1"/>
          <w:lang w:val="es-ES"/>
        </w:rPr>
        <w:t xml:space="preserve"> </w:t>
      </w:r>
      <w:r w:rsidR="003E2DCB" w:rsidRPr="00EA641D">
        <w:rPr>
          <w:rFonts w:ascii="Palatino Linotype" w:eastAsia="Calibri" w:hAnsi="Palatino Linotype" w:cs="Arial"/>
          <w:color w:val="000000" w:themeColor="text1"/>
          <w:lang w:val="es-ES"/>
        </w:rPr>
        <w:t>veinticinco</w:t>
      </w:r>
      <w:r w:rsidR="00755146" w:rsidRPr="00EA641D">
        <w:rPr>
          <w:rFonts w:ascii="Palatino Linotype" w:eastAsia="Calibri" w:hAnsi="Palatino Linotype" w:cs="Arial"/>
          <w:color w:val="000000" w:themeColor="text1"/>
          <w:lang w:val="es-ES"/>
        </w:rPr>
        <w:t xml:space="preserve"> </w:t>
      </w:r>
      <w:r w:rsidR="007076C5" w:rsidRPr="00EA641D">
        <w:rPr>
          <w:rFonts w:ascii="Palatino Linotype" w:eastAsia="Calibri" w:hAnsi="Palatino Linotype" w:cs="Arial"/>
          <w:color w:val="000000" w:themeColor="text1"/>
          <w:lang w:val="es-ES"/>
        </w:rPr>
        <w:t>(</w:t>
      </w:r>
      <w:r w:rsidR="003E2DCB" w:rsidRPr="00EA641D">
        <w:rPr>
          <w:rFonts w:ascii="Palatino Linotype" w:eastAsia="Calibri" w:hAnsi="Palatino Linotype" w:cs="Arial"/>
          <w:color w:val="000000" w:themeColor="text1"/>
          <w:lang w:val="es-ES"/>
        </w:rPr>
        <w:t>25</w:t>
      </w:r>
      <w:r w:rsidR="007076C5" w:rsidRPr="00EA641D">
        <w:rPr>
          <w:rFonts w:ascii="Palatino Linotype" w:eastAsia="Calibri" w:hAnsi="Palatino Linotype" w:cs="Arial"/>
          <w:color w:val="000000" w:themeColor="text1"/>
          <w:lang w:val="es-ES"/>
        </w:rPr>
        <w:t xml:space="preserve">) de </w:t>
      </w:r>
      <w:r w:rsidR="003E2DCB" w:rsidRPr="00EA641D">
        <w:rPr>
          <w:rFonts w:ascii="Palatino Linotype" w:eastAsia="Calibri" w:hAnsi="Palatino Linotype" w:cs="Arial"/>
          <w:color w:val="000000" w:themeColor="text1"/>
          <w:lang w:val="es-ES"/>
        </w:rPr>
        <w:t>abril</w:t>
      </w:r>
      <w:r w:rsidR="00B31E90" w:rsidRPr="00EA641D">
        <w:rPr>
          <w:rFonts w:ascii="Palatino Linotype" w:eastAsia="Calibri" w:hAnsi="Palatino Linotype" w:cs="Arial"/>
          <w:color w:val="000000" w:themeColor="text1"/>
          <w:lang w:val="es-ES"/>
        </w:rPr>
        <w:t xml:space="preserve"> de dos mil veinti</w:t>
      </w:r>
      <w:r w:rsidR="00DC6944" w:rsidRPr="00EA641D">
        <w:rPr>
          <w:rFonts w:ascii="Palatino Linotype" w:eastAsia="Calibri" w:hAnsi="Palatino Linotype" w:cs="Arial"/>
          <w:color w:val="000000" w:themeColor="text1"/>
          <w:lang w:val="es-ES"/>
        </w:rPr>
        <w:t>dós</w:t>
      </w:r>
      <w:r w:rsidR="005F1362" w:rsidRPr="00EA641D">
        <w:rPr>
          <w:rFonts w:ascii="Palatino Linotype" w:eastAsia="Calibri" w:hAnsi="Palatino Linotype" w:cs="Arial"/>
          <w:color w:val="000000" w:themeColor="text1"/>
          <w:lang w:val="es-ES"/>
        </w:rPr>
        <w:t xml:space="preserve">, </w:t>
      </w:r>
      <w:r w:rsidR="004E197E" w:rsidRPr="00EA641D">
        <w:rPr>
          <w:rFonts w:ascii="Palatino Linotype" w:eastAsia="Calibri" w:hAnsi="Palatino Linotype" w:cs="Arial"/>
          <w:color w:val="000000" w:themeColor="text1"/>
          <w:lang w:val="es-ES"/>
        </w:rPr>
        <w:t>el</w:t>
      </w:r>
      <w:r w:rsidR="00B31E90" w:rsidRPr="00EA641D">
        <w:rPr>
          <w:rFonts w:ascii="Palatino Linotype" w:hAnsi="Palatino Linotype"/>
          <w:color w:val="000000" w:themeColor="text1"/>
        </w:rPr>
        <w:t xml:space="preserve"> particular</w:t>
      </w:r>
      <w:r w:rsidR="005F1362" w:rsidRPr="00EA641D">
        <w:rPr>
          <w:rFonts w:ascii="Palatino Linotype" w:hAnsi="Palatino Linotype"/>
          <w:color w:val="000000" w:themeColor="text1"/>
        </w:rPr>
        <w:t xml:space="preserve"> presentó</w:t>
      </w:r>
      <w:r w:rsidR="005F1362" w:rsidRPr="00EA641D">
        <w:rPr>
          <w:rFonts w:ascii="Palatino Linotype" w:hAnsi="Palatino Linotype"/>
          <w:b/>
          <w:color w:val="000000" w:themeColor="text1"/>
        </w:rPr>
        <w:t xml:space="preserve"> </w:t>
      </w:r>
      <w:r w:rsidR="00127E68" w:rsidRPr="00EA641D">
        <w:rPr>
          <w:rFonts w:ascii="Palatino Linotype" w:hAnsi="Palatino Linotype"/>
          <w:bCs/>
          <w:color w:val="000000" w:themeColor="text1"/>
        </w:rPr>
        <w:t xml:space="preserve">a través </w:t>
      </w:r>
      <w:r w:rsidR="00994E0F" w:rsidRPr="00EA641D">
        <w:rPr>
          <w:rFonts w:ascii="Palatino Linotype" w:hAnsi="Palatino Linotype"/>
          <w:bCs/>
          <w:color w:val="000000" w:themeColor="text1"/>
        </w:rPr>
        <w:t>d</w:t>
      </w:r>
      <w:r w:rsidR="000021A0" w:rsidRPr="00EA641D">
        <w:rPr>
          <w:rFonts w:ascii="Palatino Linotype" w:hAnsi="Palatino Linotype"/>
          <w:bCs/>
          <w:color w:val="000000" w:themeColor="text1"/>
        </w:rPr>
        <w:t>el</w:t>
      </w:r>
      <w:r w:rsidR="004863BC" w:rsidRPr="00EA641D">
        <w:rPr>
          <w:rFonts w:ascii="Palatino Linotype" w:hAnsi="Palatino Linotype"/>
          <w:bCs/>
          <w:color w:val="000000" w:themeColor="text1"/>
        </w:rPr>
        <w:t xml:space="preserve"> </w:t>
      </w:r>
      <w:r w:rsidR="005F1362" w:rsidRPr="00EA641D">
        <w:rPr>
          <w:rFonts w:ascii="Palatino Linotype" w:eastAsia="Calibri" w:hAnsi="Palatino Linotype" w:cs="Arial"/>
          <w:color w:val="000000" w:themeColor="text1"/>
          <w:lang w:val="es-ES"/>
        </w:rPr>
        <w:t xml:space="preserve">Sistema de Acceso a la Información Mexiquense </w:t>
      </w:r>
      <w:r w:rsidR="005F1362" w:rsidRPr="00EA641D">
        <w:rPr>
          <w:rFonts w:ascii="Palatino Linotype" w:eastAsia="Calibri" w:hAnsi="Palatino Linotype" w:cs="Arial"/>
          <w:bCs/>
          <w:color w:val="000000" w:themeColor="text1"/>
          <w:lang w:val="es-ES"/>
        </w:rPr>
        <w:t>(SAIMEX)</w:t>
      </w:r>
      <w:r w:rsidR="005F1362" w:rsidRPr="00EA641D">
        <w:rPr>
          <w:rFonts w:ascii="Palatino Linotype" w:eastAsia="Calibri" w:hAnsi="Palatino Linotype" w:cs="Arial"/>
          <w:color w:val="000000" w:themeColor="text1"/>
          <w:lang w:val="es-ES"/>
        </w:rPr>
        <w:t>, la solicitud de información pública registrada con el número</w:t>
      </w:r>
      <w:r w:rsidR="005F1362" w:rsidRPr="00EA641D">
        <w:rPr>
          <w:rFonts w:ascii="Palatino Linotype" w:hAnsi="Palatino Linotype"/>
          <w:b/>
          <w:bCs/>
          <w:color w:val="000000" w:themeColor="text1"/>
        </w:rPr>
        <w:t xml:space="preserve"> </w:t>
      </w:r>
      <w:r w:rsidR="000544CE" w:rsidRPr="00EA641D">
        <w:rPr>
          <w:rFonts w:ascii="Palatino Linotype" w:hAnsi="Palatino Linotype"/>
          <w:b/>
          <w:bCs/>
          <w:color w:val="000000" w:themeColor="text1"/>
        </w:rPr>
        <w:t>00</w:t>
      </w:r>
      <w:r w:rsidR="003E2DCB" w:rsidRPr="00EA641D">
        <w:rPr>
          <w:rFonts w:ascii="Palatino Linotype" w:hAnsi="Palatino Linotype"/>
          <w:b/>
          <w:bCs/>
          <w:color w:val="000000" w:themeColor="text1"/>
        </w:rPr>
        <w:t>096</w:t>
      </w:r>
      <w:r w:rsidR="00304056" w:rsidRPr="00EA641D">
        <w:rPr>
          <w:rFonts w:ascii="Palatino Linotype" w:hAnsi="Palatino Linotype"/>
          <w:b/>
          <w:bCs/>
          <w:color w:val="000000" w:themeColor="text1"/>
        </w:rPr>
        <w:t>/</w:t>
      </w:r>
      <w:r w:rsidR="003E2DCB" w:rsidRPr="00EA641D">
        <w:rPr>
          <w:rFonts w:ascii="Palatino Linotype" w:hAnsi="Palatino Linotype"/>
          <w:b/>
          <w:bCs/>
          <w:color w:val="000000" w:themeColor="text1"/>
        </w:rPr>
        <w:t>SJDH</w:t>
      </w:r>
      <w:r w:rsidR="007B50DF" w:rsidRPr="00EA641D">
        <w:rPr>
          <w:rFonts w:ascii="Palatino Linotype" w:hAnsi="Palatino Linotype"/>
          <w:b/>
          <w:bCs/>
          <w:color w:val="000000" w:themeColor="text1"/>
        </w:rPr>
        <w:t>/IP/202</w:t>
      </w:r>
      <w:r w:rsidR="000544CE" w:rsidRPr="00EA641D">
        <w:rPr>
          <w:rFonts w:ascii="Palatino Linotype" w:hAnsi="Palatino Linotype"/>
          <w:b/>
          <w:bCs/>
          <w:color w:val="000000" w:themeColor="text1"/>
        </w:rPr>
        <w:t>2</w:t>
      </w:r>
      <w:r w:rsidR="005F1362" w:rsidRPr="00EA641D">
        <w:rPr>
          <w:rFonts w:ascii="Palatino Linotype" w:hAnsi="Palatino Linotype"/>
          <w:b/>
          <w:bCs/>
          <w:color w:val="000000" w:themeColor="text1"/>
        </w:rPr>
        <w:t>,</w:t>
      </w:r>
      <w:r w:rsidR="005F1362" w:rsidRPr="00EA641D">
        <w:rPr>
          <w:rFonts w:ascii="Palatino Linotype" w:eastAsia="Calibri" w:hAnsi="Palatino Linotype" w:cs="Arial"/>
          <w:color w:val="000000" w:themeColor="text1"/>
          <w:lang w:val="es-ES"/>
        </w:rPr>
        <w:t xml:space="preserve"> mediante la cual requirió</w:t>
      </w:r>
      <w:r w:rsidR="00022D89" w:rsidRPr="00EA641D">
        <w:rPr>
          <w:rFonts w:ascii="Palatino Linotype" w:eastAsia="Calibri" w:hAnsi="Palatino Linotype" w:cs="Arial"/>
          <w:color w:val="000000" w:themeColor="text1"/>
          <w:lang w:val="es-ES"/>
        </w:rPr>
        <w:t xml:space="preserve"> lo siguiente</w:t>
      </w:r>
      <w:r w:rsidR="005F1362" w:rsidRPr="00EA641D">
        <w:rPr>
          <w:rFonts w:ascii="Palatino Linotype" w:eastAsia="Calibri" w:hAnsi="Palatino Linotype" w:cs="Arial"/>
          <w:color w:val="000000" w:themeColor="text1"/>
          <w:lang w:val="es-ES"/>
        </w:rPr>
        <w:t>:</w:t>
      </w:r>
    </w:p>
    <w:p w14:paraId="76EB7490" w14:textId="77777777" w:rsidR="00B31E90" w:rsidRPr="00EA641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C731B9D" w:rsidR="0097210F" w:rsidRPr="00EA641D"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EA641D">
        <w:rPr>
          <w:rFonts w:ascii="Palatino Linotype" w:hAnsi="Palatino Linotype"/>
          <w:i/>
          <w:color w:val="000000" w:themeColor="text1"/>
          <w:sz w:val="22"/>
          <w:szCs w:val="22"/>
        </w:rPr>
        <w:t>“</w:t>
      </w:r>
      <w:r w:rsidR="00E96D97" w:rsidRPr="00EA641D">
        <w:rPr>
          <w:rFonts w:ascii="Palatino Linotype" w:hAnsi="Palatino Linotype"/>
          <w:bCs/>
          <w:i/>
          <w:color w:val="000000"/>
          <w:sz w:val="22"/>
          <w:szCs w:val="22"/>
        </w:rPr>
        <w:t xml:space="preserve">CON RESPECTO A LA CONVOCATORIA PÚBLICA AL CONCURSO ABIERTO DE OPOSICIÓN PARA LA SELECCIÓN DE DEFENSORAS Y DEFENSORES PÚBLICOS CON ESPECIALIZACIÓN EN LAS RAMAS DE DERECHO PENAL, CIVIL, FAMILIAR, MERCANTIL Y DE RESPONSABILIDADES ADMINISTRATIVAS PARA EL VALLE DE TOLUCA, VALLE DE MÉXICO ZONA NORORIENTE Y VALLE DE MÉXICO ZONA ORIENTE DEL ESTADO DE MÉXICO DE FECHA 15 DE MARZO DE 2022 EMITIDA POR ESTE SUJETO OBLIGADO ME PERMITO SOLICITAR LA SIGUIENTE INFORMACIÓN PÚBLICA: 1. NOMBRE DE LOS ASPIRANTES </w:t>
      </w:r>
      <w:r w:rsidR="00E96D97" w:rsidRPr="00EA641D">
        <w:rPr>
          <w:rFonts w:ascii="Palatino Linotype" w:hAnsi="Palatino Linotype"/>
          <w:bCs/>
          <w:i/>
          <w:color w:val="000000"/>
          <w:sz w:val="22"/>
          <w:szCs w:val="22"/>
        </w:rPr>
        <w:lastRenderedPageBreak/>
        <w:t>QUE CUMPLIERON CON TODOS LOS REQUISITOS. 2. LISTADO DE LOS ASPIRANTES QUE FUERON CONTACTADOS MEDIANTE LLAMADAS TELÉFONICAS PARA PRESENTAR EL EXAMEN DE OPOSICIÓN. 3. CRITERIOS PARA DECIDIR QUÉ ASPIRANTES PODÍAN PRESENTAR EL EXAMEN DE OPOSICIÓN, PUES ALGUNOS ASPIRANTES A PESAR DE CUBRIR CON LOS REQUISITOS NO FUERON CONTACTADOS. 4. FECHAS Y LISTAS DE ASISTENCIA DE LOS ASPIRANTES QUE ACUDIERON A LA PRESENTACIÓN DEL EXAMEN DE OPOSICIÓN. 5. TOTAL DE PREGUNTAS DEL EXAMEN DE OPOSICIÓN POR CADA RAMA DE DERECHO Y TIEMPO DE APLICACIÓN. ASIMISMO, DE ACUERDO CON EL ATENTO COMUNICADO DE FECHA 25 DE MARZO DE 2022, MISMO QUE SE ADJUNTA, ME PERMITO SOLICITAR EL LISTADO DE LOS ASPIRANTES ENTREVISTADOS POR EL PERSONAL DEL INSTITUTO DE LA DEFENSORÍA PÚBLICA SEGÚN LO SEÑALADO EN EL INCISO D DEL COMUNICADO. AGRADEZCO SU PRONTA RESPUESTA.</w:t>
      </w:r>
      <w:r w:rsidRPr="00EA641D">
        <w:rPr>
          <w:rFonts w:ascii="Palatino Linotype" w:hAnsi="Palatino Linotype"/>
          <w:i/>
          <w:color w:val="000000" w:themeColor="text1"/>
          <w:sz w:val="22"/>
          <w:szCs w:val="22"/>
        </w:rPr>
        <w:t>” (Sic).</w:t>
      </w:r>
    </w:p>
    <w:p w14:paraId="010F49EF" w14:textId="4293FA51" w:rsidR="004E197E" w:rsidRPr="00EA641D" w:rsidRDefault="004E197E" w:rsidP="00B31E90">
      <w:pPr>
        <w:pStyle w:val="Prrafodelista"/>
        <w:spacing w:line="276" w:lineRule="auto"/>
        <w:ind w:left="567" w:right="567"/>
        <w:jc w:val="both"/>
        <w:rPr>
          <w:rFonts w:ascii="Palatino Linotype" w:hAnsi="Palatino Linotype"/>
          <w:i/>
          <w:color w:val="000000" w:themeColor="text1"/>
          <w:szCs w:val="22"/>
        </w:rPr>
      </w:pPr>
    </w:p>
    <w:p w14:paraId="56F72BFA" w14:textId="5A89BD9C" w:rsidR="00E96D97" w:rsidRPr="00EA641D" w:rsidRDefault="00E96D97"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A641D">
        <w:rPr>
          <w:rFonts w:ascii="Palatino Linotype" w:eastAsia="MS Mincho" w:hAnsi="Palatino Linotype" w:cs="Times New Roman"/>
          <w:color w:val="000000" w:themeColor="text1"/>
        </w:rPr>
        <w:t>El Particular adjuntó a la solicitud el documento electrónico denominado COMUNICADO ASPIRANTES 250322.pdf, el cual contiene un comunicado del Instituto de la Defensoría Pública del Estado de México, mediante el cual se le hace de conocimiento a los aspirantes a ocupar una plaza de la defensora pública conforme a la convocatoria de 15 de marzo de 2022, que deberán presentarse los días 28 y 29 de marzo conforme a la letra inicial de su primer apellido y horarios señalados en el cronograma.</w:t>
      </w:r>
    </w:p>
    <w:p w14:paraId="60088CF5" w14:textId="77777777" w:rsidR="00E96D97" w:rsidRPr="00EA641D" w:rsidRDefault="00E96D97" w:rsidP="00E96D9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21E77" w14:textId="4A7AB5D2" w:rsidR="0039142B" w:rsidRPr="00EA641D"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A641D">
        <w:rPr>
          <w:rFonts w:ascii="Palatino Linotype" w:hAnsi="Palatino Linotype" w:cs="Arial"/>
          <w:color w:val="000000" w:themeColor="text1"/>
        </w:rPr>
        <w:t xml:space="preserve">Modalidad de entrega: </w:t>
      </w:r>
      <w:r w:rsidRPr="00EA641D">
        <w:rPr>
          <w:rFonts w:ascii="Palatino Linotype" w:hAnsi="Palatino Linotype" w:cs="Arial"/>
          <w:b/>
          <w:color w:val="000000" w:themeColor="text1"/>
        </w:rPr>
        <w:t>A través d</w:t>
      </w:r>
      <w:r w:rsidR="009C0215" w:rsidRPr="00EA641D">
        <w:rPr>
          <w:rFonts w:ascii="Palatino Linotype" w:hAnsi="Palatino Linotype" w:cs="Arial"/>
          <w:b/>
          <w:color w:val="000000" w:themeColor="text1"/>
        </w:rPr>
        <w:t>e</w:t>
      </w:r>
      <w:r w:rsidR="00755146" w:rsidRPr="00EA641D">
        <w:rPr>
          <w:rFonts w:ascii="Palatino Linotype" w:hAnsi="Palatino Linotype" w:cs="Arial"/>
          <w:b/>
          <w:color w:val="000000" w:themeColor="text1"/>
        </w:rPr>
        <w:t>l SAIMEX</w:t>
      </w:r>
      <w:r w:rsidR="004E197E" w:rsidRPr="00EA641D">
        <w:rPr>
          <w:rFonts w:ascii="Palatino Linotype" w:hAnsi="Palatino Linotype" w:cs="Arial"/>
          <w:b/>
          <w:color w:val="000000" w:themeColor="text1"/>
        </w:rPr>
        <w:t>.</w:t>
      </w:r>
      <w:r w:rsidR="009E6A7E" w:rsidRPr="00EA641D">
        <w:rPr>
          <w:rFonts w:ascii="Palatino Linotype" w:hAnsi="Palatino Linotype" w:cs="Arial"/>
          <w:color w:val="000000" w:themeColor="text1"/>
        </w:rPr>
        <w:t xml:space="preserve"> </w:t>
      </w:r>
    </w:p>
    <w:p w14:paraId="35BA18A9" w14:textId="77777777" w:rsidR="0039142B" w:rsidRPr="00EA641D"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4978BF34" w:rsidR="0022448D" w:rsidRPr="00EA641D"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EA641D">
        <w:rPr>
          <w:rFonts w:ascii="Palatino Linotype" w:eastAsia="MS Mincho" w:hAnsi="Palatino Linotype" w:cs="Times New Roman"/>
          <w:color w:val="000000" w:themeColor="text1"/>
        </w:rPr>
        <w:t xml:space="preserve">El </w:t>
      </w:r>
      <w:r w:rsidR="00841C21" w:rsidRPr="00EA641D">
        <w:rPr>
          <w:rFonts w:ascii="Palatino Linotype" w:eastAsia="MS Mincho" w:hAnsi="Palatino Linotype" w:cs="Times New Roman"/>
          <w:color w:val="000000" w:themeColor="text1"/>
        </w:rPr>
        <w:t>diecisiete</w:t>
      </w:r>
      <w:r w:rsidR="00FD2865" w:rsidRPr="00EA641D">
        <w:rPr>
          <w:rFonts w:ascii="Palatino Linotype" w:eastAsia="MS Mincho" w:hAnsi="Palatino Linotype" w:cs="Times New Roman"/>
          <w:color w:val="000000" w:themeColor="text1"/>
        </w:rPr>
        <w:t xml:space="preserve"> </w:t>
      </w:r>
      <w:r w:rsidR="007076C5" w:rsidRPr="00EA641D">
        <w:rPr>
          <w:rFonts w:ascii="Palatino Linotype" w:eastAsia="MS Mincho" w:hAnsi="Palatino Linotype" w:cs="Times New Roman"/>
          <w:color w:val="000000" w:themeColor="text1"/>
        </w:rPr>
        <w:t>(</w:t>
      </w:r>
      <w:r w:rsidR="00841C21" w:rsidRPr="00EA641D">
        <w:rPr>
          <w:rFonts w:ascii="Palatino Linotype" w:eastAsia="MS Mincho" w:hAnsi="Palatino Linotype" w:cs="Times New Roman"/>
          <w:color w:val="000000" w:themeColor="text1"/>
        </w:rPr>
        <w:t>17</w:t>
      </w:r>
      <w:r w:rsidR="007076C5" w:rsidRPr="00EA641D">
        <w:rPr>
          <w:rFonts w:ascii="Palatino Linotype" w:eastAsia="MS Mincho" w:hAnsi="Palatino Linotype" w:cs="Times New Roman"/>
          <w:color w:val="000000" w:themeColor="text1"/>
        </w:rPr>
        <w:t xml:space="preserve">) de </w:t>
      </w:r>
      <w:r w:rsidR="00841C21" w:rsidRPr="00EA641D">
        <w:rPr>
          <w:rFonts w:ascii="Palatino Linotype" w:eastAsia="MS Mincho" w:hAnsi="Palatino Linotype" w:cs="Times New Roman"/>
          <w:color w:val="000000" w:themeColor="text1"/>
        </w:rPr>
        <w:t>mayo</w:t>
      </w:r>
      <w:r w:rsidR="00762697" w:rsidRPr="00EA641D">
        <w:rPr>
          <w:rFonts w:ascii="Palatino Linotype" w:eastAsia="MS Mincho" w:hAnsi="Palatino Linotype" w:cs="Times New Roman"/>
          <w:color w:val="000000" w:themeColor="text1"/>
        </w:rPr>
        <w:t xml:space="preserve"> de dos mil veinti</w:t>
      </w:r>
      <w:r w:rsidR="00AD2900" w:rsidRPr="00EA641D">
        <w:rPr>
          <w:rFonts w:ascii="Palatino Linotype" w:eastAsia="MS Mincho" w:hAnsi="Palatino Linotype" w:cs="Times New Roman"/>
          <w:color w:val="000000" w:themeColor="text1"/>
        </w:rPr>
        <w:t>dós</w:t>
      </w:r>
      <w:r w:rsidR="00762697" w:rsidRPr="00EA641D">
        <w:rPr>
          <w:rFonts w:ascii="Palatino Linotype" w:eastAsia="MS Mincho" w:hAnsi="Palatino Linotype" w:cs="Times New Roman"/>
          <w:color w:val="000000" w:themeColor="text1"/>
        </w:rPr>
        <w:t xml:space="preserve">, </w:t>
      </w:r>
      <w:r w:rsidR="005F1362" w:rsidRPr="00EA641D">
        <w:rPr>
          <w:rFonts w:ascii="Palatino Linotype" w:hAnsi="Palatino Linotype"/>
          <w:color w:val="000000" w:themeColor="text1"/>
          <w:szCs w:val="14"/>
        </w:rPr>
        <w:t xml:space="preserve">el </w:t>
      </w:r>
      <w:r w:rsidR="005F1362" w:rsidRPr="00EA641D">
        <w:rPr>
          <w:rFonts w:ascii="Palatino Linotype" w:hAnsi="Palatino Linotype"/>
          <w:b/>
          <w:color w:val="000000" w:themeColor="text1"/>
          <w:szCs w:val="14"/>
        </w:rPr>
        <w:t>SUJETO OBLIGADO</w:t>
      </w:r>
      <w:r w:rsidR="005F1362" w:rsidRPr="00EA641D">
        <w:rPr>
          <w:rFonts w:ascii="Palatino Linotype" w:hAnsi="Palatino Linotype"/>
          <w:color w:val="000000" w:themeColor="text1"/>
          <w:szCs w:val="14"/>
        </w:rPr>
        <w:t xml:space="preserve"> </w:t>
      </w:r>
      <w:r w:rsidR="007076C5" w:rsidRPr="00EA641D">
        <w:rPr>
          <w:rFonts w:ascii="Palatino Linotype" w:hAnsi="Palatino Linotype"/>
          <w:color w:val="000000" w:themeColor="text1"/>
          <w:szCs w:val="14"/>
        </w:rPr>
        <w:t xml:space="preserve">dio respuesta a la solicitud de información </w:t>
      </w:r>
      <w:r w:rsidR="003E2DCB" w:rsidRPr="00EA641D">
        <w:rPr>
          <w:rFonts w:ascii="Palatino Linotype" w:hAnsi="Palatino Linotype"/>
          <w:b/>
          <w:bCs/>
          <w:color w:val="000000" w:themeColor="text1"/>
        </w:rPr>
        <w:t>00096/SJDH/IP/2022</w:t>
      </w:r>
      <w:r w:rsidR="007076C5" w:rsidRPr="00EA641D">
        <w:rPr>
          <w:rFonts w:ascii="Palatino Linotype" w:hAnsi="Palatino Linotype"/>
          <w:color w:val="000000" w:themeColor="text1"/>
          <w:szCs w:val="14"/>
        </w:rPr>
        <w:t xml:space="preserve"> en los siguientes términos</w:t>
      </w:r>
      <w:r w:rsidR="005F1362" w:rsidRPr="00EA641D">
        <w:rPr>
          <w:rFonts w:ascii="Palatino Linotype" w:hAnsi="Palatino Linotype"/>
          <w:color w:val="000000" w:themeColor="text1"/>
          <w:szCs w:val="14"/>
        </w:rPr>
        <w:t>:</w:t>
      </w:r>
    </w:p>
    <w:p w14:paraId="0E759FD5" w14:textId="77777777" w:rsidR="009A593A" w:rsidRPr="00EA641D" w:rsidRDefault="009A593A" w:rsidP="00B31E90">
      <w:pPr>
        <w:pStyle w:val="Sinespaciado"/>
        <w:ind w:left="567" w:right="567"/>
        <w:jc w:val="right"/>
        <w:rPr>
          <w:rFonts w:ascii="Palatino Linotype" w:hAnsi="Palatino Linotype"/>
          <w:i/>
          <w:noProof/>
          <w:color w:val="000000" w:themeColor="text1"/>
          <w:lang w:eastAsia="es-MX"/>
        </w:rPr>
      </w:pPr>
    </w:p>
    <w:p w14:paraId="41DF3B99" w14:textId="77777777" w:rsidR="00E96D97" w:rsidRPr="00EA641D" w:rsidRDefault="009C0057" w:rsidP="00E96D9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EA641D">
        <w:rPr>
          <w:rFonts w:ascii="Palatino Linotype" w:eastAsia="MS Mincho" w:hAnsi="Palatino Linotype" w:cs="Times New Roman"/>
          <w:i/>
          <w:color w:val="000000" w:themeColor="text1"/>
          <w:sz w:val="22"/>
        </w:rPr>
        <w:t>“</w:t>
      </w:r>
      <w:r w:rsidR="00E96D97" w:rsidRPr="00EA641D">
        <w:rPr>
          <w:rFonts w:ascii="Palatino Linotype" w:eastAsia="MS Mincho" w:hAnsi="Palatino Linotype" w:cs="Times New Roman"/>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FE2291" w14:textId="77777777" w:rsidR="00E96D97" w:rsidRPr="00EA641D" w:rsidRDefault="00E96D97" w:rsidP="00E96D9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EA641D">
        <w:rPr>
          <w:rFonts w:ascii="Palatino Linotype" w:eastAsia="MS Mincho" w:hAnsi="Palatino Linotype" w:cs="Times New Roman"/>
          <w:i/>
          <w:color w:val="000000" w:themeColor="text1"/>
          <w:sz w:val="22"/>
        </w:rPr>
        <w:t>En caso de que la respuesta no sea legible, favor de comunicarse al teléfono (722) 238.36.93, ext. 106.</w:t>
      </w:r>
    </w:p>
    <w:p w14:paraId="4F80E12D" w14:textId="77777777" w:rsidR="00E96D97" w:rsidRPr="00EA641D" w:rsidRDefault="00E96D97" w:rsidP="00E96D9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EA641D">
        <w:rPr>
          <w:rFonts w:ascii="Palatino Linotype" w:eastAsia="MS Mincho" w:hAnsi="Palatino Linotype" w:cs="Times New Roman"/>
          <w:i/>
          <w:color w:val="000000" w:themeColor="text1"/>
          <w:sz w:val="22"/>
        </w:rPr>
        <w:t>ATENTAMENTE</w:t>
      </w:r>
    </w:p>
    <w:p w14:paraId="7002C2BA" w14:textId="1E4B66A6" w:rsidR="009C0057" w:rsidRPr="00EA641D" w:rsidRDefault="00E96D97" w:rsidP="00E96D97">
      <w:pPr>
        <w:pStyle w:val="Prrafodelista"/>
        <w:tabs>
          <w:tab w:val="left" w:pos="426"/>
        </w:tabs>
        <w:spacing w:line="360" w:lineRule="auto"/>
        <w:ind w:left="567" w:right="616"/>
        <w:jc w:val="both"/>
        <w:rPr>
          <w:rFonts w:ascii="Palatino Linotype" w:eastAsia="MS Mincho" w:hAnsi="Palatino Linotype" w:cs="Times New Roman"/>
          <w:i/>
          <w:color w:val="000000" w:themeColor="text1"/>
          <w:sz w:val="22"/>
        </w:rPr>
      </w:pPr>
      <w:r w:rsidRPr="00EA641D">
        <w:rPr>
          <w:rFonts w:ascii="Palatino Linotype" w:eastAsia="MS Mincho" w:hAnsi="Palatino Linotype" w:cs="Times New Roman"/>
          <w:i/>
          <w:color w:val="000000" w:themeColor="text1"/>
          <w:sz w:val="22"/>
        </w:rPr>
        <w:t>DRA. PATRICIA BENITEZ CARDOSO</w:t>
      </w:r>
      <w:r w:rsidR="009C0057" w:rsidRPr="00EA641D">
        <w:rPr>
          <w:rFonts w:ascii="Palatino Linotype" w:eastAsia="MS Mincho" w:hAnsi="Palatino Linotype" w:cs="Times New Roman"/>
          <w:i/>
          <w:color w:val="000000" w:themeColor="text1"/>
          <w:sz w:val="22"/>
        </w:rPr>
        <w:t>” (sic)</w:t>
      </w:r>
    </w:p>
    <w:p w14:paraId="2D68519B" w14:textId="77777777" w:rsidR="0097210F" w:rsidRPr="00EA641D" w:rsidRDefault="0097210F" w:rsidP="009A593A">
      <w:pPr>
        <w:pStyle w:val="Sinespaciado"/>
        <w:ind w:right="567"/>
        <w:jc w:val="both"/>
        <w:rPr>
          <w:rFonts w:ascii="Palatino Linotype" w:hAnsi="Palatino Linotype"/>
          <w:noProof/>
          <w:color w:val="000000" w:themeColor="text1"/>
          <w:lang w:val="es-MX" w:eastAsia="es-MX"/>
        </w:rPr>
      </w:pPr>
    </w:p>
    <w:p w14:paraId="72F49F84" w14:textId="55786DD7" w:rsidR="00E96D97" w:rsidRPr="00EA641D" w:rsidRDefault="0035066B" w:rsidP="00E96D97">
      <w:pPr>
        <w:pStyle w:val="Prrafodelista"/>
        <w:numPr>
          <w:ilvl w:val="0"/>
          <w:numId w:val="8"/>
        </w:numPr>
        <w:tabs>
          <w:tab w:val="left" w:pos="284"/>
          <w:tab w:val="left" w:pos="426"/>
        </w:tabs>
        <w:spacing w:line="360" w:lineRule="auto"/>
        <w:ind w:left="709"/>
        <w:jc w:val="both"/>
        <w:rPr>
          <w:rFonts w:ascii="Palatino Linotype" w:hAnsi="Palatino Linotype"/>
          <w:b/>
          <w:i/>
          <w:color w:val="000000" w:themeColor="text1"/>
          <w:szCs w:val="22"/>
        </w:rPr>
      </w:pPr>
      <w:r w:rsidRPr="00EA641D">
        <w:rPr>
          <w:rFonts w:ascii="Palatino Linotype" w:hAnsi="Palatino Linotype"/>
          <w:color w:val="000000" w:themeColor="text1"/>
          <w:szCs w:val="22"/>
        </w:rPr>
        <w:t>El Sujeto Obligado acompañó la respuesta de</w:t>
      </w:r>
      <w:r w:rsidR="0083380F" w:rsidRPr="00EA641D">
        <w:rPr>
          <w:rFonts w:ascii="Palatino Linotype" w:hAnsi="Palatino Linotype"/>
          <w:color w:val="000000" w:themeColor="text1"/>
          <w:szCs w:val="22"/>
        </w:rPr>
        <w:t xml:space="preserve"> </w:t>
      </w:r>
      <w:r w:rsidRPr="00EA641D">
        <w:rPr>
          <w:rFonts w:ascii="Palatino Linotype" w:hAnsi="Palatino Linotype"/>
          <w:color w:val="000000" w:themeColor="text1"/>
          <w:szCs w:val="22"/>
        </w:rPr>
        <w:t>l</w:t>
      </w:r>
      <w:r w:rsidR="0083380F" w:rsidRPr="00EA641D">
        <w:rPr>
          <w:rFonts w:ascii="Palatino Linotype" w:hAnsi="Palatino Linotype"/>
          <w:color w:val="000000" w:themeColor="text1"/>
          <w:szCs w:val="22"/>
        </w:rPr>
        <w:t>os</w:t>
      </w:r>
      <w:r w:rsidRPr="00EA641D">
        <w:rPr>
          <w:rFonts w:ascii="Palatino Linotype" w:hAnsi="Palatino Linotype"/>
          <w:color w:val="000000" w:themeColor="text1"/>
          <w:szCs w:val="22"/>
        </w:rPr>
        <w:t xml:space="preserve"> documento</w:t>
      </w:r>
      <w:r w:rsidR="0083380F" w:rsidRPr="00EA641D">
        <w:rPr>
          <w:rFonts w:ascii="Palatino Linotype" w:hAnsi="Palatino Linotype"/>
          <w:color w:val="000000" w:themeColor="text1"/>
          <w:szCs w:val="22"/>
        </w:rPr>
        <w:t>s</w:t>
      </w:r>
      <w:r w:rsidRPr="00EA641D">
        <w:rPr>
          <w:rFonts w:ascii="Palatino Linotype" w:hAnsi="Palatino Linotype"/>
          <w:color w:val="000000" w:themeColor="text1"/>
          <w:szCs w:val="22"/>
        </w:rPr>
        <w:t xml:space="preserve"> electrónico</w:t>
      </w:r>
      <w:r w:rsidR="0083380F" w:rsidRPr="00EA641D">
        <w:rPr>
          <w:rFonts w:ascii="Palatino Linotype" w:hAnsi="Palatino Linotype"/>
          <w:color w:val="000000" w:themeColor="text1"/>
          <w:szCs w:val="22"/>
        </w:rPr>
        <w:t>s</w:t>
      </w:r>
      <w:r w:rsidRPr="00EA641D">
        <w:rPr>
          <w:rFonts w:ascii="Palatino Linotype" w:hAnsi="Palatino Linotype"/>
          <w:color w:val="000000" w:themeColor="text1"/>
          <w:szCs w:val="22"/>
        </w:rPr>
        <w:t xml:space="preserve"> denominado</w:t>
      </w:r>
      <w:r w:rsidR="0083380F" w:rsidRPr="00EA641D">
        <w:rPr>
          <w:rFonts w:ascii="Palatino Linotype" w:hAnsi="Palatino Linotype"/>
          <w:color w:val="000000" w:themeColor="text1"/>
          <w:szCs w:val="22"/>
        </w:rPr>
        <w:t xml:space="preserve">s </w:t>
      </w:r>
      <w:r w:rsidR="00E96D97" w:rsidRPr="00EA641D">
        <w:rPr>
          <w:rFonts w:ascii="Palatino Linotype" w:hAnsi="Palatino Linotype"/>
          <w:b/>
          <w:i/>
          <w:color w:val="000000" w:themeColor="text1"/>
          <w:szCs w:val="22"/>
        </w:rPr>
        <w:t xml:space="preserve">Respuesta 00096.pdf y Acta y Resolución Quinta Extraordinaria.pdf, </w:t>
      </w:r>
      <w:r w:rsidR="00E96D97" w:rsidRPr="00EA641D">
        <w:rPr>
          <w:rFonts w:ascii="Palatino Linotype" w:hAnsi="Palatino Linotype"/>
          <w:color w:val="000000" w:themeColor="text1"/>
          <w:szCs w:val="22"/>
        </w:rPr>
        <w:t>los cuales ya son de conocimiento de las partes; sin embargo, se procede a describir su contenido medular.</w:t>
      </w:r>
    </w:p>
    <w:p w14:paraId="081AA4CE" w14:textId="77777777" w:rsidR="00E96D97" w:rsidRPr="00EA641D" w:rsidRDefault="00E96D97" w:rsidP="00E96D97">
      <w:pPr>
        <w:tabs>
          <w:tab w:val="left" w:pos="284"/>
          <w:tab w:val="left" w:pos="426"/>
        </w:tabs>
        <w:spacing w:line="360" w:lineRule="auto"/>
        <w:jc w:val="both"/>
        <w:rPr>
          <w:rFonts w:ascii="Palatino Linotype" w:hAnsi="Palatino Linotype"/>
          <w:b/>
          <w:i/>
          <w:color w:val="000000" w:themeColor="text1"/>
          <w:szCs w:val="22"/>
        </w:rPr>
      </w:pPr>
    </w:p>
    <w:p w14:paraId="05E97036" w14:textId="6782697C" w:rsidR="00E96D97" w:rsidRPr="00EA641D" w:rsidRDefault="00E96D97" w:rsidP="00841C21">
      <w:pPr>
        <w:pStyle w:val="Prrafodelista"/>
        <w:numPr>
          <w:ilvl w:val="0"/>
          <w:numId w:val="12"/>
        </w:numPr>
        <w:tabs>
          <w:tab w:val="left" w:pos="284"/>
          <w:tab w:val="left" w:pos="426"/>
        </w:tabs>
        <w:spacing w:line="360" w:lineRule="auto"/>
        <w:ind w:left="0"/>
        <w:jc w:val="both"/>
        <w:rPr>
          <w:rFonts w:ascii="Palatino Linotype" w:hAnsi="Palatino Linotype"/>
          <w:b/>
          <w:i/>
          <w:color w:val="000000" w:themeColor="text1"/>
          <w:szCs w:val="22"/>
        </w:rPr>
      </w:pPr>
      <w:r w:rsidRPr="00EA641D">
        <w:rPr>
          <w:rFonts w:ascii="Palatino Linotype" w:hAnsi="Palatino Linotype"/>
          <w:b/>
          <w:i/>
          <w:color w:val="000000" w:themeColor="text1"/>
          <w:szCs w:val="22"/>
        </w:rPr>
        <w:t>Respuesta 00096.pdf: Contiene lo siguiente:</w:t>
      </w:r>
    </w:p>
    <w:p w14:paraId="111597C9" w14:textId="77777777" w:rsidR="00E96D97" w:rsidRPr="00EA641D" w:rsidRDefault="00E96D97" w:rsidP="00841C21">
      <w:pPr>
        <w:tabs>
          <w:tab w:val="left" w:pos="284"/>
          <w:tab w:val="left" w:pos="426"/>
        </w:tabs>
        <w:spacing w:line="360" w:lineRule="auto"/>
        <w:ind w:left="284"/>
        <w:jc w:val="both"/>
        <w:rPr>
          <w:rFonts w:ascii="Palatino Linotype" w:hAnsi="Palatino Linotype"/>
          <w:b/>
          <w:i/>
          <w:color w:val="000000" w:themeColor="text1"/>
          <w:szCs w:val="22"/>
        </w:rPr>
      </w:pPr>
    </w:p>
    <w:p w14:paraId="046CB66A" w14:textId="2FA937B3" w:rsidR="00E96D97" w:rsidRPr="00EA641D" w:rsidRDefault="00E96D97" w:rsidP="00841C21">
      <w:pPr>
        <w:pStyle w:val="Prrafodelista"/>
        <w:numPr>
          <w:ilvl w:val="0"/>
          <w:numId w:val="13"/>
        </w:numPr>
        <w:tabs>
          <w:tab w:val="left" w:pos="284"/>
          <w:tab w:val="left" w:pos="426"/>
        </w:tabs>
        <w:spacing w:line="360" w:lineRule="auto"/>
        <w:ind w:left="284"/>
        <w:jc w:val="both"/>
        <w:rPr>
          <w:rFonts w:ascii="Palatino Linotype" w:hAnsi="Palatino Linotype"/>
          <w:color w:val="000000" w:themeColor="text1"/>
          <w:szCs w:val="22"/>
        </w:rPr>
      </w:pPr>
      <w:r w:rsidRPr="00EA641D">
        <w:rPr>
          <w:rFonts w:ascii="Palatino Linotype" w:hAnsi="Palatino Linotype"/>
          <w:color w:val="000000" w:themeColor="text1"/>
          <w:szCs w:val="22"/>
        </w:rPr>
        <w:t>Oficio suscrito por el Titular de la Unidad de Transparencia, mediante el cual indica que referente a los puntos 4 y 5 de listas de asistencia y total de preguntas del examen, no se cuenta con la información, toda vez que, de acuerdo a la Convocatoria, estarán a cargo de la Dirección de Capital Humano y Escalafón y a la Dirección de Personal, ambas dependientes de la Secretaría de Finanzas, dejando a salvo sus derechos para que formule una nueva solicitud a dicho Sujeto Obligado.</w:t>
      </w:r>
    </w:p>
    <w:p w14:paraId="09CA9729" w14:textId="77777777" w:rsidR="00E96D97" w:rsidRPr="00EA641D" w:rsidRDefault="00E96D97" w:rsidP="00841C21">
      <w:pPr>
        <w:tabs>
          <w:tab w:val="left" w:pos="284"/>
          <w:tab w:val="left" w:pos="426"/>
        </w:tabs>
        <w:spacing w:line="360" w:lineRule="auto"/>
        <w:ind w:left="284"/>
        <w:jc w:val="both"/>
        <w:rPr>
          <w:rFonts w:ascii="Palatino Linotype" w:hAnsi="Palatino Linotype"/>
          <w:color w:val="000000" w:themeColor="text1"/>
          <w:szCs w:val="22"/>
        </w:rPr>
      </w:pPr>
    </w:p>
    <w:p w14:paraId="3C15BE29" w14:textId="2CBC54D5" w:rsidR="00E96D97" w:rsidRPr="00EA641D" w:rsidRDefault="00E96D97" w:rsidP="00841C21">
      <w:pPr>
        <w:pStyle w:val="Prrafodelista"/>
        <w:numPr>
          <w:ilvl w:val="0"/>
          <w:numId w:val="13"/>
        </w:numPr>
        <w:tabs>
          <w:tab w:val="left" w:pos="284"/>
          <w:tab w:val="left" w:pos="426"/>
        </w:tabs>
        <w:spacing w:line="360" w:lineRule="auto"/>
        <w:ind w:left="284"/>
        <w:jc w:val="both"/>
        <w:rPr>
          <w:rFonts w:ascii="Palatino Linotype" w:hAnsi="Palatino Linotype"/>
          <w:color w:val="000000" w:themeColor="text1"/>
          <w:szCs w:val="22"/>
        </w:rPr>
      </w:pPr>
      <w:r w:rsidRPr="00EA641D">
        <w:rPr>
          <w:rFonts w:ascii="Palatino Linotype" w:hAnsi="Palatino Linotype"/>
          <w:color w:val="000000" w:themeColor="text1"/>
          <w:szCs w:val="22"/>
        </w:rPr>
        <w:t xml:space="preserve">Respecto a los puntos 1 y 2, </w:t>
      </w:r>
      <w:r w:rsidR="0095751C" w:rsidRPr="00EA641D">
        <w:rPr>
          <w:rFonts w:ascii="Palatino Linotype" w:hAnsi="Palatino Linotype"/>
          <w:color w:val="000000" w:themeColor="text1"/>
          <w:szCs w:val="22"/>
        </w:rPr>
        <w:t xml:space="preserve">relativo a la lista de aspirantes y listado de aspirantes que cumplieron con los requisitos y los que fueron contactados mediante </w:t>
      </w:r>
      <w:r w:rsidR="0095751C" w:rsidRPr="00EA641D">
        <w:rPr>
          <w:rFonts w:ascii="Palatino Linotype" w:hAnsi="Palatino Linotype"/>
          <w:color w:val="000000" w:themeColor="text1"/>
          <w:szCs w:val="22"/>
        </w:rPr>
        <w:lastRenderedPageBreak/>
        <w:t>llamadas telefónicas para presentar el examen, se proceda a la clasificación de la información, ya que no son servidores públicos y no otorgaron su consentimiento para difundir su información</w:t>
      </w:r>
    </w:p>
    <w:p w14:paraId="500F35D0" w14:textId="77777777" w:rsidR="0095751C" w:rsidRPr="00EA641D" w:rsidRDefault="0095751C" w:rsidP="00841C21">
      <w:pPr>
        <w:tabs>
          <w:tab w:val="left" w:pos="284"/>
          <w:tab w:val="left" w:pos="426"/>
        </w:tabs>
        <w:spacing w:line="360" w:lineRule="auto"/>
        <w:ind w:left="284"/>
        <w:jc w:val="both"/>
        <w:rPr>
          <w:rFonts w:ascii="Palatino Linotype" w:hAnsi="Palatino Linotype"/>
          <w:color w:val="000000" w:themeColor="text1"/>
          <w:szCs w:val="22"/>
        </w:rPr>
      </w:pPr>
    </w:p>
    <w:p w14:paraId="69D7FDF3" w14:textId="2108B714" w:rsidR="0095751C" w:rsidRPr="00EA641D" w:rsidRDefault="0095751C" w:rsidP="00841C21">
      <w:pPr>
        <w:pStyle w:val="Prrafodelista"/>
        <w:numPr>
          <w:ilvl w:val="0"/>
          <w:numId w:val="13"/>
        </w:numPr>
        <w:tabs>
          <w:tab w:val="left" w:pos="284"/>
          <w:tab w:val="left" w:pos="426"/>
        </w:tabs>
        <w:spacing w:line="360" w:lineRule="auto"/>
        <w:ind w:left="284"/>
        <w:jc w:val="both"/>
        <w:rPr>
          <w:rFonts w:ascii="Palatino Linotype" w:hAnsi="Palatino Linotype"/>
          <w:color w:val="000000" w:themeColor="text1"/>
          <w:szCs w:val="22"/>
        </w:rPr>
      </w:pPr>
      <w:r w:rsidRPr="00EA641D">
        <w:rPr>
          <w:rFonts w:ascii="Palatino Linotype" w:hAnsi="Palatino Linotype"/>
          <w:color w:val="000000" w:themeColor="text1"/>
          <w:szCs w:val="22"/>
        </w:rPr>
        <w:t>Respecto al punto 3, criterios para decidir que aspirantes podían presentar examen de oposición, informo que los criterios tomados para la selección de candidatos fueron los tendientes a verificar las aptitudes del perfil laboral precisado en la Base Tercera de la Convocatoria publicada el 15 de marzo de 2022, a través de la verificación y análisis de todos y cada uno de los requisitos establecidos en la Base Quinta de la misma Convocatoria, precisando que tales criterios son:</w:t>
      </w:r>
    </w:p>
    <w:p w14:paraId="666445CB" w14:textId="77777777" w:rsidR="0095751C" w:rsidRPr="00EA641D" w:rsidRDefault="0095751C" w:rsidP="00E96D97">
      <w:pPr>
        <w:tabs>
          <w:tab w:val="left" w:pos="284"/>
          <w:tab w:val="left" w:pos="426"/>
        </w:tabs>
        <w:spacing w:line="360" w:lineRule="auto"/>
        <w:jc w:val="both"/>
        <w:rPr>
          <w:rFonts w:ascii="Palatino Linotype" w:hAnsi="Palatino Linotype"/>
          <w:color w:val="000000" w:themeColor="text1"/>
          <w:szCs w:val="22"/>
        </w:rPr>
      </w:pPr>
    </w:p>
    <w:p w14:paraId="2FD65A2F" w14:textId="6C6DE0A7" w:rsidR="0095751C" w:rsidRPr="00EA641D" w:rsidRDefault="0095751C" w:rsidP="00E96D97">
      <w:pPr>
        <w:tabs>
          <w:tab w:val="left" w:pos="284"/>
          <w:tab w:val="left" w:pos="426"/>
        </w:tabs>
        <w:spacing w:line="360" w:lineRule="auto"/>
        <w:jc w:val="both"/>
        <w:rPr>
          <w:rFonts w:ascii="Palatino Linotype" w:hAnsi="Palatino Linotype"/>
          <w:color w:val="000000" w:themeColor="text1"/>
          <w:szCs w:val="22"/>
        </w:rPr>
      </w:pPr>
      <w:r w:rsidRPr="00EA641D">
        <w:rPr>
          <w:rFonts w:ascii="Palatino Linotype" w:hAnsi="Palatino Linotype"/>
          <w:noProof/>
          <w:color w:val="000000" w:themeColor="text1"/>
          <w:szCs w:val="22"/>
          <w:lang w:eastAsia="es-MX"/>
        </w:rPr>
        <w:drawing>
          <wp:inline distT="0" distB="0" distL="0" distR="0" wp14:anchorId="4E505842" wp14:editId="103DB68C">
            <wp:extent cx="5612130" cy="14281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428115"/>
                    </a:xfrm>
                    <a:prstGeom prst="rect">
                      <a:avLst/>
                    </a:prstGeom>
                  </pic:spPr>
                </pic:pic>
              </a:graphicData>
            </a:graphic>
          </wp:inline>
        </w:drawing>
      </w:r>
    </w:p>
    <w:p w14:paraId="4D4E83F5" w14:textId="77777777" w:rsidR="0095751C" w:rsidRPr="00EA641D" w:rsidRDefault="0095751C" w:rsidP="00E96D97">
      <w:pPr>
        <w:tabs>
          <w:tab w:val="left" w:pos="284"/>
          <w:tab w:val="left" w:pos="426"/>
        </w:tabs>
        <w:spacing w:line="360" w:lineRule="auto"/>
        <w:jc w:val="both"/>
        <w:rPr>
          <w:rFonts w:ascii="Palatino Linotype" w:hAnsi="Palatino Linotype"/>
          <w:color w:val="000000" w:themeColor="text1"/>
          <w:szCs w:val="22"/>
        </w:rPr>
      </w:pPr>
    </w:p>
    <w:p w14:paraId="5AABABA3" w14:textId="7BEA0C56" w:rsidR="00E96D97" w:rsidRPr="00EA641D" w:rsidRDefault="0095751C" w:rsidP="00841C21">
      <w:pPr>
        <w:pStyle w:val="Prrafodelista"/>
        <w:numPr>
          <w:ilvl w:val="0"/>
          <w:numId w:val="14"/>
        </w:numPr>
        <w:tabs>
          <w:tab w:val="left" w:pos="284"/>
          <w:tab w:val="left" w:pos="426"/>
        </w:tabs>
        <w:spacing w:line="360" w:lineRule="auto"/>
        <w:jc w:val="both"/>
        <w:rPr>
          <w:rFonts w:ascii="Palatino Linotype" w:hAnsi="Palatino Linotype"/>
          <w:color w:val="000000" w:themeColor="text1"/>
          <w:szCs w:val="22"/>
        </w:rPr>
      </w:pPr>
      <w:r w:rsidRPr="00EA641D">
        <w:rPr>
          <w:rFonts w:ascii="Palatino Linotype" w:hAnsi="Palatino Linotype"/>
          <w:color w:val="000000" w:themeColor="text1"/>
          <w:szCs w:val="22"/>
        </w:rPr>
        <w:t>Por lo que corresponde en el numeral 4, fechas y listas de asistencia de los aspirantes que acudieron a la presentación del examen de oposición, las fechas fueron el 20, 21 y 22 de abril, sin embargo, la aplicación del Examen correspondió a la Dirección de Capital Humano y Escalafón de la Secretaría de Finanzas del Estado de México, por lo que el Sujeto Obligado se encuentra imposibilitado a entregar las listas de asistencia.</w:t>
      </w:r>
    </w:p>
    <w:p w14:paraId="5CE8498F" w14:textId="77777777" w:rsidR="0095751C" w:rsidRPr="00EA641D" w:rsidRDefault="0095751C" w:rsidP="00E96D97">
      <w:pPr>
        <w:tabs>
          <w:tab w:val="left" w:pos="284"/>
          <w:tab w:val="left" w:pos="426"/>
        </w:tabs>
        <w:spacing w:line="360" w:lineRule="auto"/>
        <w:jc w:val="both"/>
        <w:rPr>
          <w:rFonts w:ascii="Palatino Linotype" w:hAnsi="Palatino Linotype"/>
          <w:color w:val="000000" w:themeColor="text1"/>
          <w:szCs w:val="22"/>
        </w:rPr>
      </w:pPr>
    </w:p>
    <w:p w14:paraId="565AD8C7" w14:textId="2154908C" w:rsidR="0095751C" w:rsidRPr="00EA641D" w:rsidRDefault="0095751C" w:rsidP="00841C21">
      <w:pPr>
        <w:pStyle w:val="Prrafodelista"/>
        <w:numPr>
          <w:ilvl w:val="0"/>
          <w:numId w:val="14"/>
        </w:numPr>
        <w:tabs>
          <w:tab w:val="left" w:pos="284"/>
          <w:tab w:val="left" w:pos="426"/>
        </w:tabs>
        <w:spacing w:line="360" w:lineRule="auto"/>
        <w:jc w:val="both"/>
        <w:rPr>
          <w:rFonts w:ascii="Palatino Linotype" w:hAnsi="Palatino Linotype"/>
          <w:color w:val="000000" w:themeColor="text1"/>
          <w:szCs w:val="22"/>
        </w:rPr>
      </w:pPr>
      <w:r w:rsidRPr="00EA641D">
        <w:rPr>
          <w:rFonts w:ascii="Palatino Linotype" w:hAnsi="Palatino Linotype"/>
          <w:color w:val="000000" w:themeColor="text1"/>
          <w:szCs w:val="22"/>
        </w:rPr>
        <w:lastRenderedPageBreak/>
        <w:t>Por lo que corresponde al numeral 5, no se cuenta con la información, derivado de que de acuerdo al proceso de selección establecido en la Base Octava de la Convocatoria se menciona que las etapas B, C y D de dicho proceso, estarían a cargo de las personas que determine la Dirección General de Personal de la Secretaría de Finanzas.</w:t>
      </w:r>
    </w:p>
    <w:p w14:paraId="7923BEFC" w14:textId="77777777" w:rsidR="00E96D97" w:rsidRPr="00EA641D" w:rsidRDefault="00E96D97" w:rsidP="00E96D97">
      <w:pPr>
        <w:tabs>
          <w:tab w:val="left" w:pos="284"/>
          <w:tab w:val="left" w:pos="426"/>
        </w:tabs>
        <w:spacing w:line="360" w:lineRule="auto"/>
        <w:jc w:val="both"/>
        <w:rPr>
          <w:rFonts w:ascii="Palatino Linotype" w:hAnsi="Palatino Linotype"/>
          <w:b/>
          <w:i/>
          <w:color w:val="000000" w:themeColor="text1"/>
          <w:szCs w:val="22"/>
        </w:rPr>
      </w:pPr>
    </w:p>
    <w:p w14:paraId="447C2D7D" w14:textId="6DEF77DC" w:rsidR="00E96D97" w:rsidRPr="00EA641D" w:rsidRDefault="00E96D97" w:rsidP="00841C21">
      <w:pPr>
        <w:pStyle w:val="Prrafodelista"/>
        <w:numPr>
          <w:ilvl w:val="0"/>
          <w:numId w:val="12"/>
        </w:numPr>
        <w:tabs>
          <w:tab w:val="left" w:pos="284"/>
          <w:tab w:val="left" w:pos="426"/>
        </w:tabs>
        <w:spacing w:line="360" w:lineRule="auto"/>
        <w:ind w:left="284"/>
        <w:jc w:val="both"/>
        <w:rPr>
          <w:rFonts w:ascii="Palatino Linotype" w:hAnsi="Palatino Linotype"/>
          <w:b/>
          <w:i/>
          <w:color w:val="000000" w:themeColor="text1"/>
          <w:szCs w:val="22"/>
        </w:rPr>
      </w:pPr>
      <w:r w:rsidRPr="00EA641D">
        <w:rPr>
          <w:rFonts w:ascii="Palatino Linotype" w:hAnsi="Palatino Linotype"/>
          <w:b/>
          <w:i/>
          <w:color w:val="000000" w:themeColor="text1"/>
          <w:szCs w:val="22"/>
        </w:rPr>
        <w:t>Acta y Resolución Quinta Extraordinaria.pdf</w:t>
      </w:r>
      <w:r w:rsidR="00841C21" w:rsidRPr="00EA641D">
        <w:rPr>
          <w:rFonts w:ascii="Palatino Linotype" w:hAnsi="Palatino Linotype"/>
          <w:b/>
          <w:i/>
          <w:color w:val="000000" w:themeColor="text1"/>
          <w:szCs w:val="22"/>
        </w:rPr>
        <w:t xml:space="preserve">: </w:t>
      </w:r>
      <w:r w:rsidR="00841C21" w:rsidRPr="00EA641D">
        <w:rPr>
          <w:rFonts w:ascii="Palatino Linotype" w:hAnsi="Palatino Linotype"/>
          <w:color w:val="000000" w:themeColor="text1"/>
          <w:szCs w:val="22"/>
        </w:rPr>
        <w:t xml:space="preserve">Contiene el acta de la Quinta Sesión Extraordinaria del Comité de Transparencia de la Secretaría de Justicia y Derechos Humanos, mediante la cual se presentó la propuesta de clasificación de la información considera como confidencial de la respuesta a la solicitud de información pública número 00096/SJDH/IP/2022, aprobando la clasificación del listado de aspirantes que cumplieron los requisitos de la Convocatoria Pública al Concurso de Oposición, el listado de aspirantes que fueron contactados mediante llamadas telefónicas para presentar el examen de oposición y listado de aspirantes entrevistados por el personal del Instituto de la Defensoría Pública. </w:t>
      </w:r>
    </w:p>
    <w:p w14:paraId="375BF7A5" w14:textId="77777777" w:rsidR="00E96D97" w:rsidRPr="00EA641D" w:rsidRDefault="00E96D97" w:rsidP="00E96D97">
      <w:pPr>
        <w:pStyle w:val="Prrafodelista"/>
        <w:tabs>
          <w:tab w:val="left" w:pos="284"/>
          <w:tab w:val="left" w:pos="426"/>
        </w:tabs>
        <w:spacing w:line="360" w:lineRule="auto"/>
        <w:ind w:left="709"/>
        <w:jc w:val="both"/>
        <w:rPr>
          <w:rFonts w:ascii="Palatino Linotype" w:hAnsi="Palatino Linotype"/>
          <w:b/>
          <w:i/>
          <w:color w:val="000000" w:themeColor="text1"/>
          <w:szCs w:val="22"/>
        </w:rPr>
      </w:pPr>
    </w:p>
    <w:p w14:paraId="272B63B3" w14:textId="60D0A4F8" w:rsidR="000D5A1D" w:rsidRPr="00EA641D"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EA641D">
        <w:rPr>
          <w:rFonts w:ascii="Palatino Linotype" w:eastAsia="Times New Roman" w:hAnsi="Palatino Linotype" w:cs="Arial"/>
          <w:color w:val="000000" w:themeColor="text1"/>
          <w:lang w:val="es-ES"/>
        </w:rPr>
        <w:t>D</w:t>
      </w:r>
      <w:r w:rsidR="00561ED1" w:rsidRPr="00EA641D">
        <w:rPr>
          <w:rFonts w:ascii="Palatino Linotype" w:eastAsia="Times New Roman" w:hAnsi="Palatino Linotype" w:cs="Arial"/>
          <w:color w:val="000000" w:themeColor="text1"/>
          <w:lang w:val="es-ES"/>
        </w:rPr>
        <w:t xml:space="preserve">erivado de la respuesta emitida por el </w:t>
      </w:r>
      <w:r w:rsidR="00561ED1" w:rsidRPr="00EA641D">
        <w:rPr>
          <w:rFonts w:ascii="Palatino Linotype" w:eastAsia="Times New Roman" w:hAnsi="Palatino Linotype" w:cs="Arial"/>
          <w:b/>
          <w:color w:val="000000" w:themeColor="text1"/>
          <w:lang w:val="es-ES"/>
        </w:rPr>
        <w:t>SUJETO OBLIGADO</w:t>
      </w:r>
      <w:r w:rsidR="00561ED1" w:rsidRPr="00EA641D">
        <w:rPr>
          <w:rFonts w:ascii="Palatino Linotype" w:eastAsia="Times New Roman" w:hAnsi="Palatino Linotype" w:cs="Arial"/>
          <w:color w:val="000000" w:themeColor="text1"/>
          <w:lang w:val="es-ES"/>
        </w:rPr>
        <w:t>, e</w:t>
      </w:r>
      <w:r w:rsidR="0083380F" w:rsidRPr="00EA641D">
        <w:rPr>
          <w:rFonts w:ascii="Palatino Linotype" w:eastAsia="Times New Roman" w:hAnsi="Palatino Linotype" w:cs="Arial"/>
          <w:color w:val="000000" w:themeColor="text1"/>
          <w:lang w:val="es-ES"/>
        </w:rPr>
        <w:t xml:space="preserve">l </w:t>
      </w:r>
      <w:r w:rsidR="00841C21" w:rsidRPr="00EA641D">
        <w:rPr>
          <w:rFonts w:ascii="Palatino Linotype" w:eastAsia="Times New Roman" w:hAnsi="Palatino Linotype" w:cs="Arial"/>
          <w:color w:val="000000" w:themeColor="text1"/>
          <w:lang w:val="es-ES"/>
        </w:rPr>
        <w:t>seis</w:t>
      </w:r>
      <w:r w:rsidR="002D6CF5" w:rsidRPr="00EA641D">
        <w:rPr>
          <w:rFonts w:ascii="Palatino Linotype" w:eastAsia="Times New Roman" w:hAnsi="Palatino Linotype" w:cs="Arial"/>
          <w:color w:val="000000" w:themeColor="text1"/>
          <w:lang w:val="es-ES"/>
        </w:rPr>
        <w:t xml:space="preserve"> (</w:t>
      </w:r>
      <w:r w:rsidR="00841C21" w:rsidRPr="00EA641D">
        <w:rPr>
          <w:rFonts w:ascii="Palatino Linotype" w:eastAsia="Times New Roman" w:hAnsi="Palatino Linotype" w:cs="Arial"/>
          <w:color w:val="000000" w:themeColor="text1"/>
          <w:lang w:val="es-ES"/>
        </w:rPr>
        <w:t>6</w:t>
      </w:r>
      <w:r w:rsidR="007A078A" w:rsidRPr="00EA641D">
        <w:rPr>
          <w:rFonts w:ascii="Palatino Linotype" w:eastAsia="Times New Roman" w:hAnsi="Palatino Linotype" w:cs="Arial"/>
          <w:color w:val="000000" w:themeColor="text1"/>
          <w:lang w:val="es-ES"/>
        </w:rPr>
        <w:t xml:space="preserve">) de </w:t>
      </w:r>
      <w:r w:rsidR="0083380F" w:rsidRPr="00EA641D">
        <w:rPr>
          <w:rFonts w:ascii="Palatino Linotype" w:eastAsia="Times New Roman" w:hAnsi="Palatino Linotype" w:cs="Arial"/>
          <w:color w:val="000000" w:themeColor="text1"/>
          <w:lang w:val="es-ES"/>
        </w:rPr>
        <w:t>junio</w:t>
      </w:r>
      <w:r w:rsidR="00293711" w:rsidRPr="00EA641D">
        <w:rPr>
          <w:rFonts w:ascii="Palatino Linotype" w:eastAsia="Times New Roman" w:hAnsi="Palatino Linotype" w:cs="Arial"/>
          <w:color w:val="000000" w:themeColor="text1"/>
          <w:lang w:val="es-ES"/>
        </w:rPr>
        <w:t xml:space="preserve"> </w:t>
      </w:r>
      <w:r w:rsidR="00613655" w:rsidRPr="00EA641D">
        <w:rPr>
          <w:rFonts w:ascii="Palatino Linotype" w:eastAsia="Times New Roman" w:hAnsi="Palatino Linotype" w:cs="Arial"/>
          <w:color w:val="000000" w:themeColor="text1"/>
          <w:lang w:val="es-ES"/>
        </w:rPr>
        <w:t>de dos mil veinti</w:t>
      </w:r>
      <w:r w:rsidR="00751F6F" w:rsidRPr="00EA641D">
        <w:rPr>
          <w:rFonts w:ascii="Palatino Linotype" w:eastAsia="Times New Roman" w:hAnsi="Palatino Linotype" w:cs="Arial"/>
          <w:color w:val="000000" w:themeColor="text1"/>
          <w:lang w:val="es-ES"/>
        </w:rPr>
        <w:t>dós</w:t>
      </w:r>
      <w:r w:rsidR="00FE49E3" w:rsidRPr="00EA641D">
        <w:rPr>
          <w:rFonts w:ascii="Palatino Linotype" w:eastAsia="Times New Roman" w:hAnsi="Palatino Linotype" w:cs="Arial"/>
          <w:color w:val="000000" w:themeColor="text1"/>
          <w:lang w:val="es-ES"/>
        </w:rPr>
        <w:t xml:space="preserve">, </w:t>
      </w:r>
      <w:r w:rsidR="007A078A" w:rsidRPr="00EA641D">
        <w:rPr>
          <w:rFonts w:ascii="Palatino Linotype" w:eastAsia="Times New Roman" w:hAnsi="Palatino Linotype" w:cs="Arial"/>
          <w:color w:val="000000" w:themeColor="text1"/>
          <w:lang w:val="es-ES"/>
        </w:rPr>
        <w:t>la</w:t>
      </w:r>
      <w:r w:rsidR="005F1362" w:rsidRPr="00EA641D">
        <w:rPr>
          <w:rFonts w:ascii="Palatino Linotype" w:eastAsia="Times New Roman" w:hAnsi="Palatino Linotype" w:cs="Arial"/>
          <w:color w:val="000000" w:themeColor="text1"/>
          <w:lang w:val="es-ES"/>
        </w:rPr>
        <w:t xml:space="preserve"> particular</w:t>
      </w:r>
      <w:r w:rsidR="00DB4BEF" w:rsidRPr="00EA641D">
        <w:rPr>
          <w:rFonts w:ascii="Palatino Linotype" w:eastAsia="Times New Roman" w:hAnsi="Palatino Linotype" w:cs="Arial"/>
          <w:color w:val="000000" w:themeColor="text1"/>
          <w:lang w:val="es-ES"/>
        </w:rPr>
        <w:t xml:space="preserve"> interpuso</w:t>
      </w:r>
      <w:r w:rsidR="009316E9" w:rsidRPr="00EA641D">
        <w:rPr>
          <w:rFonts w:ascii="Palatino Linotype" w:eastAsia="Times New Roman" w:hAnsi="Palatino Linotype" w:cs="Arial"/>
          <w:color w:val="000000" w:themeColor="text1"/>
          <w:lang w:val="es-ES"/>
        </w:rPr>
        <w:t xml:space="preserve"> </w:t>
      </w:r>
      <w:r w:rsidR="00102D65" w:rsidRPr="00EA641D">
        <w:rPr>
          <w:rFonts w:ascii="Palatino Linotype" w:eastAsia="Times New Roman" w:hAnsi="Palatino Linotype" w:cs="Arial"/>
          <w:color w:val="000000" w:themeColor="text1"/>
          <w:lang w:val="es-ES"/>
        </w:rPr>
        <w:t>el</w:t>
      </w:r>
      <w:r w:rsidR="004D68F8" w:rsidRPr="00EA641D">
        <w:rPr>
          <w:rFonts w:ascii="Palatino Linotype" w:eastAsia="Times New Roman" w:hAnsi="Palatino Linotype" w:cs="Arial"/>
          <w:color w:val="000000" w:themeColor="text1"/>
          <w:lang w:val="es-ES"/>
        </w:rPr>
        <w:t xml:space="preserve"> recurso de revisión </w:t>
      </w:r>
      <w:r w:rsidR="003E2DCB" w:rsidRPr="00EA641D">
        <w:rPr>
          <w:rFonts w:ascii="Palatino Linotype" w:hAnsi="Palatino Linotype"/>
          <w:b/>
          <w:szCs w:val="22"/>
        </w:rPr>
        <w:t>10793/INFOEM/IP/RR/2022</w:t>
      </w:r>
      <w:r w:rsidR="009A0461" w:rsidRPr="00EA641D">
        <w:rPr>
          <w:rFonts w:ascii="Palatino Linotype" w:eastAsia="Calibri" w:hAnsi="Palatino Linotype" w:cs="Arial"/>
          <w:b/>
          <w:color w:val="000000" w:themeColor="text1"/>
          <w:lang w:val="es-ES"/>
        </w:rPr>
        <w:t>;</w:t>
      </w:r>
      <w:r w:rsidR="00102D65" w:rsidRPr="00EA641D">
        <w:rPr>
          <w:rFonts w:ascii="Palatino Linotype" w:eastAsia="Times New Roman" w:hAnsi="Palatino Linotype" w:cs="Arial"/>
          <w:color w:val="000000" w:themeColor="text1"/>
          <w:lang w:val="es-ES"/>
        </w:rPr>
        <w:t xml:space="preserve"> impugnación</w:t>
      </w:r>
      <w:r w:rsidR="004D68F8" w:rsidRPr="00EA641D">
        <w:rPr>
          <w:rFonts w:ascii="Palatino Linotype" w:eastAsia="Times New Roman" w:hAnsi="Palatino Linotype" w:cs="Arial"/>
          <w:color w:val="000000" w:themeColor="text1"/>
          <w:lang w:val="es-ES"/>
        </w:rPr>
        <w:t xml:space="preserve"> </w:t>
      </w:r>
      <w:r w:rsidR="00A45546" w:rsidRPr="00EA641D">
        <w:rPr>
          <w:rFonts w:ascii="Palatino Linotype" w:eastAsia="Times New Roman" w:hAnsi="Palatino Linotype" w:cs="Arial"/>
          <w:color w:val="000000" w:themeColor="text1"/>
          <w:lang w:val="es-ES"/>
        </w:rPr>
        <w:t xml:space="preserve">en </w:t>
      </w:r>
      <w:r w:rsidR="00977D37" w:rsidRPr="00EA641D">
        <w:rPr>
          <w:rFonts w:ascii="Palatino Linotype" w:eastAsia="Times New Roman" w:hAnsi="Palatino Linotype" w:cs="Arial"/>
          <w:color w:val="000000" w:themeColor="text1"/>
          <w:lang w:val="es-ES"/>
        </w:rPr>
        <w:t>la</w:t>
      </w:r>
      <w:r w:rsidR="00A45546" w:rsidRPr="00EA641D">
        <w:rPr>
          <w:rFonts w:ascii="Palatino Linotype" w:eastAsia="Times New Roman" w:hAnsi="Palatino Linotype" w:cs="Arial"/>
          <w:color w:val="000000" w:themeColor="text1"/>
          <w:lang w:val="es-ES"/>
        </w:rPr>
        <w:t xml:space="preserve"> que refirió </w:t>
      </w:r>
      <w:r w:rsidR="004D68F8" w:rsidRPr="00EA641D">
        <w:rPr>
          <w:rFonts w:ascii="Palatino Linotype" w:eastAsia="Times New Roman" w:hAnsi="Palatino Linotype" w:cs="Arial"/>
          <w:color w:val="000000" w:themeColor="text1"/>
          <w:lang w:val="es-ES"/>
        </w:rPr>
        <w:t>lo siguiente:</w:t>
      </w:r>
    </w:p>
    <w:p w14:paraId="054906C6" w14:textId="77777777" w:rsidR="00E34622" w:rsidRPr="00EA641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E32EFF6" w:rsidR="00E34622" w:rsidRPr="00EA641D" w:rsidRDefault="00E34622" w:rsidP="00841C21">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EA641D">
        <w:rPr>
          <w:rFonts w:ascii="Palatino Linotype" w:eastAsia="Times New Roman" w:hAnsi="Palatino Linotype" w:cs="Arial"/>
          <w:b/>
          <w:color w:val="000000" w:themeColor="text1"/>
          <w:lang w:val="es-ES"/>
        </w:rPr>
        <w:t>Acto impugnado:</w:t>
      </w:r>
      <w:r w:rsidRPr="00EA641D">
        <w:rPr>
          <w:rFonts w:ascii="Palatino Linotype" w:eastAsia="Times New Roman" w:hAnsi="Palatino Linotype" w:cs="Arial"/>
          <w:color w:val="000000" w:themeColor="text1"/>
          <w:lang w:val="es-ES"/>
        </w:rPr>
        <w:t xml:space="preserve"> </w:t>
      </w:r>
      <w:r w:rsidRPr="00EA641D">
        <w:rPr>
          <w:rFonts w:ascii="Palatino Linotype" w:eastAsia="Times New Roman" w:hAnsi="Palatino Linotype" w:cs="Arial"/>
          <w:color w:val="000000" w:themeColor="text1"/>
          <w:sz w:val="22"/>
          <w:lang w:val="es-ES"/>
        </w:rPr>
        <w:t>“</w:t>
      </w:r>
      <w:r w:rsidR="00841C21" w:rsidRPr="00EA641D">
        <w:rPr>
          <w:rFonts w:ascii="Palatino Linotype" w:eastAsia="Times New Roman" w:hAnsi="Palatino Linotype" w:cs="Arial"/>
          <w:i/>
          <w:color w:val="000000" w:themeColor="text1"/>
          <w:sz w:val="22"/>
          <w:lang w:val="es-ES"/>
        </w:rPr>
        <w:t>LA CLASIFICACIÓN DE LA INFORMACIÓN COMO CONFIDENCIAL, SIN REALIZAR LA PRUEBA DE DAÑO.</w:t>
      </w:r>
      <w:r w:rsidRPr="00EA641D">
        <w:rPr>
          <w:rFonts w:ascii="Palatino Linotype" w:eastAsia="Times New Roman" w:hAnsi="Palatino Linotype" w:cs="Arial"/>
          <w:i/>
          <w:color w:val="000000" w:themeColor="text1"/>
          <w:sz w:val="22"/>
          <w:lang w:val="es-ES"/>
        </w:rPr>
        <w:t>”</w:t>
      </w:r>
      <w:r w:rsidRPr="00EA641D">
        <w:rPr>
          <w:rFonts w:ascii="Palatino Linotype" w:eastAsia="Times New Roman" w:hAnsi="Palatino Linotype" w:cs="Arial"/>
          <w:color w:val="000000" w:themeColor="text1"/>
          <w:sz w:val="22"/>
          <w:lang w:val="es-ES"/>
        </w:rPr>
        <w:t xml:space="preserve"> (Sic).</w:t>
      </w:r>
    </w:p>
    <w:p w14:paraId="033BFDE8" w14:textId="7F6CC300" w:rsidR="00901BB1" w:rsidRPr="00EA641D" w:rsidRDefault="00901BB1" w:rsidP="00841C21">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EA641D">
        <w:rPr>
          <w:rFonts w:ascii="Palatino Linotype" w:eastAsia="Times New Roman" w:hAnsi="Palatino Linotype" w:cs="Arial"/>
          <w:b/>
          <w:color w:val="000000" w:themeColor="text1"/>
          <w:lang w:val="es-ES"/>
        </w:rPr>
        <w:t>Motivos o razones de inconformidad:</w:t>
      </w:r>
      <w:r w:rsidRPr="00EA641D">
        <w:rPr>
          <w:rFonts w:ascii="Palatino Linotype" w:eastAsia="Times New Roman" w:hAnsi="Palatino Linotype" w:cs="Arial"/>
          <w:color w:val="000000" w:themeColor="text1"/>
          <w:lang w:val="es-ES"/>
        </w:rPr>
        <w:t xml:space="preserve"> </w:t>
      </w:r>
      <w:r w:rsidRPr="00EA641D">
        <w:rPr>
          <w:rFonts w:ascii="Palatino Linotype" w:eastAsia="Times New Roman" w:hAnsi="Palatino Linotype" w:cs="Arial"/>
          <w:i/>
          <w:color w:val="000000" w:themeColor="text1"/>
          <w:lang w:val="es-ES"/>
        </w:rPr>
        <w:t>“</w:t>
      </w:r>
      <w:r w:rsidR="00841C21" w:rsidRPr="00EA641D">
        <w:rPr>
          <w:rFonts w:ascii="Palatino Linotype" w:eastAsia="Times New Roman" w:hAnsi="Palatino Linotype" w:cs="Arial"/>
          <w:i/>
          <w:color w:val="000000" w:themeColor="text1"/>
          <w:sz w:val="22"/>
          <w:lang w:val="es-ES"/>
        </w:rPr>
        <w:t xml:space="preserve">EN ARAS DE TRANSPARENTAR EL PROCESO DE DESIGNACIÓN DE DEFENSORAS Y DEFENSORES PÚBLICOS CON ESPECIALIZACIÓN EN LAS RAMAS DE DERECHO PENAL, CIVIL, </w:t>
      </w:r>
      <w:r w:rsidR="00841C21" w:rsidRPr="00EA641D">
        <w:rPr>
          <w:rFonts w:ascii="Palatino Linotype" w:eastAsia="Times New Roman" w:hAnsi="Palatino Linotype" w:cs="Arial"/>
          <w:i/>
          <w:color w:val="000000" w:themeColor="text1"/>
          <w:sz w:val="22"/>
          <w:lang w:val="es-ES"/>
        </w:rPr>
        <w:lastRenderedPageBreak/>
        <w:t xml:space="preserve">FAMILIAR, MERCANTIL Y DE RESPONSABILIDADES ADMINISTRATIVAS PARA EL VALLE DE TOLUCA, VALLE DE MÉXICO ZONA NORORIENTE Y VALLE DE MÉXICO ZONA ORIENTE DEL ESTADO DE MÉXICO SE REQUIRIÓ DIVERSA INFORMACIÓN, NO OBSTANTE, NO ENTREGAN NADA BAJO EL ARGUMENTO DE SER DATOS PERSONALES, LO CUAL, GENERA SUSPICACIAS SOBRE LA DESIGNACIÓN. ASIMISMO, SI DEL NUMERAL 4 Y 5, EL SUJETO OBLIGADO NO CUENTA CON LA INFORMACIÓN, DEBIÓ PRONUNCIARSE EN EL TÉRMINO DE TRES DÍAS HÁBILES POSTERIORES A LA RECEPCIÓN DE LA SOLICITUD, DE ACUERDO CON LO MANDATADO EN EL ARTÍCULO 167 DE LA LEY DE TRANSPARENCIA LOCAL, SITUACIÓN QUE NO ACONTECIÓ, POR LO QUE DEBIÓ CANALIZAR LA SOLICITUD ANTE EL SUJETO OBLIGADO COMPETENTE SEGÚN LO SEÑALA EL PÁRRAFO TERCERO DEL ARTÍCULO ANTES MENCIONADO. ES ASÍ QUE SE SOLICITA QUE EL INFOEM REVOQUE LA RESPUESTA Y SE ORDENE LA ENTREGA DE LA INFORMACIÓN PRIVILEGIANDO LA TRANSPARENCIA EN EL PROCESO DE SELECCIÓN DE DEFENSORAS Y DEFONSORES PÚBLICOS. </w:t>
      </w:r>
      <w:r w:rsidR="007F089C" w:rsidRPr="00EA641D">
        <w:rPr>
          <w:rFonts w:ascii="Palatino Linotype" w:eastAsia="Times New Roman" w:hAnsi="Palatino Linotype" w:cs="Arial"/>
          <w:i/>
          <w:color w:val="000000" w:themeColor="text1"/>
          <w:sz w:val="22"/>
          <w:lang w:val="es-ES"/>
        </w:rPr>
        <w:t xml:space="preserve">". </w:t>
      </w:r>
      <w:r w:rsidR="005B0765" w:rsidRPr="00EA641D">
        <w:rPr>
          <w:rFonts w:ascii="Palatino Linotype" w:eastAsia="Times New Roman" w:hAnsi="Palatino Linotype" w:cs="Arial"/>
          <w:i/>
          <w:color w:val="000000" w:themeColor="text1"/>
          <w:sz w:val="22"/>
          <w:lang w:val="es-ES"/>
        </w:rPr>
        <w:t>(sic)</w:t>
      </w:r>
      <w:r w:rsidR="00E76251" w:rsidRPr="00EA641D">
        <w:rPr>
          <w:rFonts w:ascii="Palatino Linotype" w:eastAsia="Times New Roman" w:hAnsi="Palatino Linotype" w:cs="Arial"/>
          <w:color w:val="000000" w:themeColor="text1"/>
          <w:sz w:val="22"/>
          <w:lang w:val="es-ES"/>
        </w:rPr>
        <w:t xml:space="preserve"> </w:t>
      </w:r>
    </w:p>
    <w:p w14:paraId="3F6CFE6A" w14:textId="77777777" w:rsidR="0083380F" w:rsidRPr="00EA641D" w:rsidRDefault="0083380F"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EA641D"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Times New Roman" w:hAnsi="Palatino Linotype" w:cs="Arial"/>
          <w:color w:val="000000" w:themeColor="text1"/>
          <w:lang w:val="es-ES"/>
        </w:rPr>
        <w:t xml:space="preserve">Se registró el recurso de revisión bajo el número de expediente </w:t>
      </w:r>
      <w:r w:rsidR="004F785F" w:rsidRPr="00EA641D">
        <w:rPr>
          <w:rFonts w:ascii="Palatino Linotype" w:hAnsi="Palatino Linotype" w:cs="Arial"/>
          <w:bCs/>
          <w:color w:val="000000" w:themeColor="text1"/>
        </w:rPr>
        <w:t>al rubro indicado, asi</w:t>
      </w:r>
      <w:r w:rsidRPr="00EA641D">
        <w:rPr>
          <w:rFonts w:ascii="Palatino Linotype" w:hAnsi="Palatino Linotype" w:cs="Arial"/>
          <w:bCs/>
          <w:color w:val="000000" w:themeColor="text1"/>
        </w:rPr>
        <w:t xml:space="preserve">mismo, con fundamento en lo dispuesto por el </w:t>
      </w:r>
      <w:r w:rsidRPr="00EA641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EA641D">
        <w:rPr>
          <w:rFonts w:ascii="Palatino Linotype" w:eastAsia="Times New Roman" w:hAnsi="Palatino Linotype" w:cs="Arial"/>
          <w:bCs/>
          <w:color w:val="000000" w:themeColor="text1"/>
          <w:lang w:val="es-ES"/>
        </w:rPr>
        <w:t xml:space="preserve">se turnó </w:t>
      </w:r>
      <w:r w:rsidR="0096234B" w:rsidRPr="00EA641D">
        <w:rPr>
          <w:rFonts w:ascii="Palatino Linotype" w:eastAsia="Times New Roman" w:hAnsi="Palatino Linotype" w:cs="Arial"/>
          <w:bCs/>
          <w:color w:val="000000" w:themeColor="text1"/>
          <w:lang w:val="es-ES"/>
        </w:rPr>
        <w:t xml:space="preserve">a la </w:t>
      </w:r>
      <w:r w:rsidR="0096234B" w:rsidRPr="00EA641D">
        <w:rPr>
          <w:rFonts w:ascii="Palatino Linotype" w:eastAsia="Times New Roman" w:hAnsi="Palatino Linotype" w:cs="Arial"/>
          <w:b/>
          <w:bCs/>
          <w:color w:val="000000" w:themeColor="text1"/>
          <w:lang w:val="es-ES"/>
        </w:rPr>
        <w:t xml:space="preserve">Comisionada </w:t>
      </w:r>
      <w:r w:rsidR="00D12402" w:rsidRPr="00EA641D">
        <w:rPr>
          <w:rFonts w:ascii="Palatino Linotype" w:eastAsia="Times New Roman" w:hAnsi="Palatino Linotype" w:cs="Arial"/>
          <w:b/>
          <w:bCs/>
          <w:color w:val="000000" w:themeColor="text1"/>
          <w:lang w:val="es-ES"/>
        </w:rPr>
        <w:t>María del Rosario Mejía Ayala</w:t>
      </w:r>
      <w:r w:rsidRPr="00EA641D">
        <w:rPr>
          <w:rFonts w:ascii="Palatino Linotype" w:eastAsia="Times New Roman" w:hAnsi="Palatino Linotype" w:cs="Arial"/>
          <w:bCs/>
          <w:color w:val="000000" w:themeColor="text1"/>
          <w:lang w:val="es-ES"/>
        </w:rPr>
        <w:t xml:space="preserve">, con el objeto de </w:t>
      </w:r>
      <w:r w:rsidRPr="00EA641D">
        <w:rPr>
          <w:rFonts w:ascii="Palatino Linotype" w:eastAsia="Times New Roman" w:hAnsi="Palatino Linotype" w:cs="Arial"/>
          <w:bCs/>
          <w:color w:val="000000" w:themeColor="text1"/>
        </w:rPr>
        <w:t>su análisis.</w:t>
      </w:r>
    </w:p>
    <w:p w14:paraId="2BDE682E" w14:textId="77777777" w:rsidR="005F1362" w:rsidRPr="00EA641D"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165723C" w:rsidR="007446C2" w:rsidRPr="00EA641D"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Times New Roman" w:hAnsi="Palatino Linotype" w:cs="Arial"/>
          <w:color w:val="000000" w:themeColor="text1"/>
          <w:lang w:val="es-ES"/>
        </w:rPr>
        <w:t>La</w:t>
      </w:r>
      <w:r w:rsidR="00E647FF" w:rsidRPr="00EA641D">
        <w:rPr>
          <w:rFonts w:ascii="Palatino Linotype" w:eastAsia="Times New Roman" w:hAnsi="Palatino Linotype" w:cs="Arial"/>
          <w:color w:val="000000" w:themeColor="text1"/>
          <w:lang w:val="es-ES"/>
        </w:rPr>
        <w:t xml:space="preserve"> </w:t>
      </w:r>
      <w:r w:rsidR="0004686A" w:rsidRPr="00EA641D">
        <w:rPr>
          <w:rFonts w:ascii="Palatino Linotype" w:eastAsia="Calibri" w:hAnsi="Palatino Linotype" w:cs="Arial"/>
          <w:color w:val="000000" w:themeColor="text1"/>
          <w:lang w:val="es-ES"/>
        </w:rPr>
        <w:t>Comisionad</w:t>
      </w:r>
      <w:r w:rsidRPr="00EA641D">
        <w:rPr>
          <w:rFonts w:ascii="Palatino Linotype" w:eastAsia="Calibri" w:hAnsi="Palatino Linotype" w:cs="Arial"/>
          <w:color w:val="000000" w:themeColor="text1"/>
          <w:lang w:val="es-ES"/>
        </w:rPr>
        <w:t>a</w:t>
      </w:r>
      <w:r w:rsidR="0004686A" w:rsidRPr="00EA641D">
        <w:rPr>
          <w:rFonts w:ascii="Palatino Linotype" w:eastAsia="Calibri" w:hAnsi="Palatino Linotype" w:cs="Arial"/>
          <w:color w:val="000000" w:themeColor="text1"/>
          <w:lang w:val="es-ES"/>
        </w:rPr>
        <w:t xml:space="preserve"> Ponente</w:t>
      </w:r>
      <w:r w:rsidR="006B31E7" w:rsidRPr="00EA641D">
        <w:rPr>
          <w:rFonts w:ascii="Palatino Linotype" w:eastAsia="Calibri" w:hAnsi="Palatino Linotype" w:cs="Arial"/>
          <w:color w:val="000000" w:themeColor="text1"/>
          <w:lang w:val="es-ES"/>
        </w:rPr>
        <w:t>,</w:t>
      </w:r>
      <w:r w:rsidR="0004686A" w:rsidRPr="00EA641D">
        <w:rPr>
          <w:rFonts w:ascii="Palatino Linotype" w:eastAsia="Calibri" w:hAnsi="Palatino Linotype" w:cs="Arial"/>
          <w:color w:val="000000" w:themeColor="text1"/>
          <w:lang w:val="es-ES"/>
        </w:rPr>
        <w:t xml:space="preserve"> con fundamento en lo dispuesto por el artículo 185 fracción II de la </w:t>
      </w:r>
      <w:r w:rsidR="00613655" w:rsidRPr="00EA641D">
        <w:rPr>
          <w:rFonts w:ascii="Palatino Linotype" w:eastAsia="Calibri" w:hAnsi="Palatino Linotype" w:cs="Arial"/>
          <w:color w:val="000000" w:themeColor="text1"/>
          <w:lang w:val="es-ES"/>
        </w:rPr>
        <w:t>Ley de Transparencia y Acceso a la Información Pública del Estado de México y Municipios</w:t>
      </w:r>
      <w:r w:rsidR="0004686A" w:rsidRPr="00EA641D">
        <w:rPr>
          <w:rFonts w:ascii="Palatino Linotype" w:eastAsia="Calibri" w:hAnsi="Palatino Linotype" w:cs="Arial"/>
          <w:color w:val="000000" w:themeColor="text1"/>
          <w:lang w:val="es-ES"/>
        </w:rPr>
        <w:t xml:space="preserve">, a través </w:t>
      </w:r>
      <w:r w:rsidR="006E4E2A" w:rsidRPr="00EA641D">
        <w:rPr>
          <w:rFonts w:ascii="Palatino Linotype" w:eastAsia="Calibri" w:hAnsi="Palatino Linotype" w:cs="Arial"/>
          <w:color w:val="000000" w:themeColor="text1"/>
          <w:lang w:val="es-ES"/>
        </w:rPr>
        <w:t>del</w:t>
      </w:r>
      <w:r w:rsidR="0004686A" w:rsidRPr="00EA641D">
        <w:rPr>
          <w:rFonts w:ascii="Palatino Linotype" w:eastAsia="Calibri" w:hAnsi="Palatino Linotype" w:cs="Arial"/>
          <w:color w:val="000000" w:themeColor="text1"/>
          <w:lang w:val="es-ES"/>
        </w:rPr>
        <w:t xml:space="preserve"> </w:t>
      </w:r>
      <w:r w:rsidR="00B81371" w:rsidRPr="00EA641D">
        <w:rPr>
          <w:rFonts w:ascii="Palatino Linotype" w:eastAsia="Calibri" w:hAnsi="Palatino Linotype" w:cs="Arial"/>
          <w:color w:val="000000" w:themeColor="text1"/>
          <w:lang w:val="es-ES"/>
        </w:rPr>
        <w:t xml:space="preserve">acuerdo </w:t>
      </w:r>
      <w:r w:rsidR="00F147C6" w:rsidRPr="00EA641D">
        <w:rPr>
          <w:rFonts w:ascii="Palatino Linotype" w:eastAsia="Calibri" w:hAnsi="Palatino Linotype" w:cs="Arial"/>
          <w:color w:val="000000" w:themeColor="text1"/>
          <w:lang w:val="es-ES"/>
        </w:rPr>
        <w:t xml:space="preserve">de admisión </w:t>
      </w:r>
      <w:r w:rsidR="00091F3E" w:rsidRPr="00EA641D">
        <w:rPr>
          <w:rFonts w:ascii="Palatino Linotype" w:eastAsia="Calibri" w:hAnsi="Palatino Linotype" w:cs="Arial"/>
          <w:color w:val="000000" w:themeColor="text1"/>
          <w:lang w:val="es-ES"/>
        </w:rPr>
        <w:t>de</w:t>
      </w:r>
      <w:r w:rsidR="00395353" w:rsidRPr="00EA641D">
        <w:rPr>
          <w:rFonts w:ascii="Palatino Linotype" w:eastAsia="Calibri" w:hAnsi="Palatino Linotype" w:cs="Arial"/>
          <w:color w:val="000000" w:themeColor="text1"/>
          <w:lang w:val="es-ES"/>
        </w:rPr>
        <w:t xml:space="preserve"> fecha </w:t>
      </w:r>
      <w:r w:rsidR="008F68A1" w:rsidRPr="00EA641D">
        <w:rPr>
          <w:rFonts w:ascii="Palatino Linotype" w:eastAsia="Calibri" w:hAnsi="Palatino Linotype" w:cs="Arial"/>
          <w:color w:val="000000" w:themeColor="text1"/>
          <w:lang w:val="es-ES"/>
        </w:rPr>
        <w:t>nueve</w:t>
      </w:r>
      <w:r w:rsidR="00BD6C40" w:rsidRPr="00EA641D">
        <w:rPr>
          <w:rFonts w:ascii="Palatino Linotype" w:eastAsia="Calibri" w:hAnsi="Palatino Linotype" w:cs="Arial"/>
          <w:color w:val="000000" w:themeColor="text1"/>
          <w:lang w:val="es-ES"/>
        </w:rPr>
        <w:t xml:space="preserve"> (</w:t>
      </w:r>
      <w:r w:rsidR="008F68A1" w:rsidRPr="00EA641D">
        <w:rPr>
          <w:rFonts w:ascii="Palatino Linotype" w:eastAsia="Calibri" w:hAnsi="Palatino Linotype" w:cs="Arial"/>
          <w:color w:val="000000" w:themeColor="text1"/>
          <w:lang w:val="es-ES"/>
        </w:rPr>
        <w:t>9</w:t>
      </w:r>
      <w:r w:rsidR="00BD6C40" w:rsidRPr="00EA641D">
        <w:rPr>
          <w:rFonts w:ascii="Palatino Linotype" w:eastAsia="Calibri" w:hAnsi="Palatino Linotype" w:cs="Arial"/>
          <w:color w:val="000000" w:themeColor="text1"/>
          <w:lang w:val="es-ES"/>
        </w:rPr>
        <w:t xml:space="preserve">) de </w:t>
      </w:r>
      <w:r w:rsidR="0083380F" w:rsidRPr="00EA641D">
        <w:rPr>
          <w:rFonts w:ascii="Palatino Linotype" w:eastAsia="Calibri" w:hAnsi="Palatino Linotype" w:cs="Arial"/>
          <w:color w:val="000000" w:themeColor="text1"/>
          <w:lang w:val="es-ES"/>
        </w:rPr>
        <w:lastRenderedPageBreak/>
        <w:t>junio</w:t>
      </w:r>
      <w:r w:rsidR="00613655" w:rsidRPr="00EA641D">
        <w:rPr>
          <w:rFonts w:ascii="Palatino Linotype" w:eastAsia="Calibri" w:hAnsi="Palatino Linotype" w:cs="Arial"/>
          <w:color w:val="000000" w:themeColor="text1"/>
          <w:lang w:val="es-ES"/>
        </w:rPr>
        <w:t xml:space="preserve"> de dos mil veinti</w:t>
      </w:r>
      <w:r w:rsidR="00751F6F" w:rsidRPr="00EA641D">
        <w:rPr>
          <w:rFonts w:ascii="Palatino Linotype" w:eastAsia="Calibri" w:hAnsi="Palatino Linotype" w:cs="Arial"/>
          <w:color w:val="000000" w:themeColor="text1"/>
          <w:lang w:val="es-ES"/>
        </w:rPr>
        <w:t>dós</w:t>
      </w:r>
      <w:r w:rsidR="006A1047" w:rsidRPr="00EA641D">
        <w:rPr>
          <w:rFonts w:ascii="Palatino Linotype" w:eastAsia="Calibri" w:hAnsi="Palatino Linotype" w:cs="Arial"/>
          <w:color w:val="000000" w:themeColor="text1"/>
          <w:lang w:val="es-ES"/>
        </w:rPr>
        <w:t xml:space="preserve">, </w:t>
      </w:r>
      <w:r w:rsidR="00B81371" w:rsidRPr="00EA641D">
        <w:rPr>
          <w:rFonts w:ascii="Palatino Linotype" w:eastAsia="Calibri" w:hAnsi="Palatino Linotype" w:cs="Arial"/>
          <w:color w:val="000000" w:themeColor="text1"/>
          <w:lang w:val="es-ES"/>
        </w:rPr>
        <w:t xml:space="preserve">puso a </w:t>
      </w:r>
      <w:r w:rsidR="00875167" w:rsidRPr="00EA641D">
        <w:rPr>
          <w:rFonts w:ascii="Palatino Linotype" w:eastAsia="Calibri" w:hAnsi="Palatino Linotype" w:cs="Arial"/>
          <w:color w:val="000000" w:themeColor="text1"/>
          <w:lang w:val="es-ES"/>
        </w:rPr>
        <w:t>disposición</w:t>
      </w:r>
      <w:r w:rsidR="00B81371" w:rsidRPr="00EA641D">
        <w:rPr>
          <w:rFonts w:ascii="Palatino Linotype" w:eastAsia="Calibri" w:hAnsi="Palatino Linotype" w:cs="Arial"/>
          <w:color w:val="000000" w:themeColor="text1"/>
          <w:lang w:val="es-ES"/>
        </w:rPr>
        <w:t xml:space="preserve"> de las partes el expediente electrónico </w:t>
      </w:r>
      <w:r w:rsidR="00B81371" w:rsidRPr="00EA641D">
        <w:rPr>
          <w:rFonts w:ascii="Palatino Linotype" w:eastAsia="Calibri" w:hAnsi="Palatino Linotype" w:cs="Arial"/>
          <w:color w:val="000000" w:themeColor="text1"/>
        </w:rPr>
        <w:t xml:space="preserve">vía </w:t>
      </w:r>
      <w:r w:rsidR="00B81371" w:rsidRPr="00EA641D">
        <w:rPr>
          <w:rFonts w:ascii="Palatino Linotype" w:eastAsia="Calibri" w:hAnsi="Palatino Linotype" w:cs="Arial"/>
          <w:color w:val="000000" w:themeColor="text1"/>
          <w:lang w:val="es-ES"/>
        </w:rPr>
        <w:t xml:space="preserve">Sistema de Acceso a la Información Mexiquense </w:t>
      </w:r>
      <w:r w:rsidR="001468E9" w:rsidRPr="00EA641D">
        <w:rPr>
          <w:rFonts w:ascii="Palatino Linotype" w:eastAsia="Calibri" w:hAnsi="Palatino Linotype" w:cs="Arial"/>
          <w:color w:val="000000" w:themeColor="text1"/>
          <w:lang w:val="es-ES"/>
        </w:rPr>
        <w:t>(</w:t>
      </w:r>
      <w:r w:rsidR="00B81371" w:rsidRPr="00EA641D">
        <w:rPr>
          <w:rFonts w:ascii="Palatino Linotype" w:eastAsia="Calibri" w:hAnsi="Palatino Linotype" w:cs="Arial"/>
          <w:b/>
          <w:i/>
          <w:color w:val="000000" w:themeColor="text1"/>
          <w:lang w:val="es-ES"/>
        </w:rPr>
        <w:t>SAIMEX</w:t>
      </w:r>
      <w:r w:rsidR="001468E9" w:rsidRPr="00EA641D">
        <w:rPr>
          <w:rFonts w:ascii="Palatino Linotype" w:eastAsia="Calibri" w:hAnsi="Palatino Linotype" w:cs="Arial"/>
          <w:b/>
          <w:i/>
          <w:color w:val="000000" w:themeColor="text1"/>
          <w:lang w:val="es-ES"/>
        </w:rPr>
        <w:t>)</w:t>
      </w:r>
      <w:r w:rsidR="00B81371" w:rsidRPr="00EA641D">
        <w:rPr>
          <w:rFonts w:ascii="Palatino Linotype" w:eastAsia="Calibri" w:hAnsi="Palatino Linotype" w:cs="Arial"/>
          <w:b/>
          <w:color w:val="000000" w:themeColor="text1"/>
          <w:lang w:val="es-ES"/>
        </w:rPr>
        <w:t xml:space="preserve"> </w:t>
      </w:r>
      <w:r w:rsidR="00B81371" w:rsidRPr="00EA641D">
        <w:rPr>
          <w:rFonts w:ascii="Palatino Linotype" w:eastAsia="Calibri" w:hAnsi="Palatino Linotype" w:cs="Arial"/>
          <w:color w:val="000000" w:themeColor="text1"/>
          <w:lang w:val="es-ES"/>
        </w:rPr>
        <w:t xml:space="preserve">a efecto de que en un plazo máximo de siete días </w:t>
      </w:r>
      <w:r w:rsidR="00875167" w:rsidRPr="00EA641D">
        <w:rPr>
          <w:rFonts w:ascii="Palatino Linotype" w:eastAsia="Calibri" w:hAnsi="Palatino Linotype" w:cs="Arial"/>
          <w:color w:val="000000" w:themeColor="text1"/>
          <w:lang w:val="es-ES"/>
        </w:rPr>
        <w:t>manifestaran</w:t>
      </w:r>
      <w:r w:rsidR="00B81371" w:rsidRPr="00EA641D">
        <w:rPr>
          <w:rFonts w:ascii="Palatino Linotype" w:eastAsia="Calibri" w:hAnsi="Palatino Linotype" w:cs="Arial"/>
          <w:color w:val="000000" w:themeColor="text1"/>
          <w:lang w:val="es-ES"/>
        </w:rPr>
        <w:t xml:space="preserve"> lo que a</w:t>
      </w:r>
      <w:r w:rsidR="003A2029" w:rsidRPr="00EA641D">
        <w:rPr>
          <w:rFonts w:ascii="Palatino Linotype" w:eastAsia="Calibri" w:hAnsi="Palatino Linotype" w:cs="Arial"/>
          <w:color w:val="000000" w:themeColor="text1"/>
          <w:lang w:val="es-ES"/>
        </w:rPr>
        <w:t xml:space="preserve"> su</w:t>
      </w:r>
      <w:r w:rsidR="00B81371" w:rsidRPr="00EA641D">
        <w:rPr>
          <w:rFonts w:ascii="Palatino Linotype" w:eastAsia="Calibri" w:hAnsi="Palatino Linotype" w:cs="Arial"/>
          <w:color w:val="000000" w:themeColor="text1"/>
          <w:lang w:val="es-ES"/>
        </w:rPr>
        <w:t xml:space="preserve"> derecho conviniera</w:t>
      </w:r>
      <w:r w:rsidR="00875167" w:rsidRPr="00EA641D">
        <w:rPr>
          <w:rFonts w:ascii="Palatino Linotype" w:eastAsia="Calibri" w:hAnsi="Palatino Linotype" w:cs="Arial"/>
          <w:color w:val="000000" w:themeColor="text1"/>
          <w:lang w:val="es-ES"/>
        </w:rPr>
        <w:t>n</w:t>
      </w:r>
      <w:r w:rsidR="00032493" w:rsidRPr="00EA641D">
        <w:rPr>
          <w:rFonts w:ascii="Palatino Linotype" w:eastAsia="Calibri" w:hAnsi="Palatino Linotype" w:cs="Arial"/>
          <w:color w:val="000000" w:themeColor="text1"/>
          <w:lang w:val="es-ES"/>
        </w:rPr>
        <w:t>,</w:t>
      </w:r>
      <w:r w:rsidR="00B81371" w:rsidRPr="00EA641D">
        <w:rPr>
          <w:rFonts w:ascii="Palatino Linotype" w:eastAsia="Calibri" w:hAnsi="Palatino Linotype" w:cs="Arial"/>
          <w:color w:val="000000" w:themeColor="text1"/>
          <w:lang w:val="es-ES"/>
        </w:rPr>
        <w:t xml:space="preserve"> </w:t>
      </w:r>
      <w:r w:rsidR="00875167" w:rsidRPr="00EA641D">
        <w:rPr>
          <w:rFonts w:ascii="Palatino Linotype" w:eastAsia="Calibri" w:hAnsi="Palatino Linotype" w:cs="Arial"/>
          <w:color w:val="000000" w:themeColor="text1"/>
          <w:lang w:val="es-ES"/>
        </w:rPr>
        <w:t>ofrecieran pruebas y</w:t>
      </w:r>
      <w:r w:rsidR="00132C06" w:rsidRPr="00EA641D">
        <w:rPr>
          <w:rFonts w:ascii="Palatino Linotype" w:eastAsia="Calibri" w:hAnsi="Palatino Linotype" w:cs="Arial"/>
          <w:color w:val="000000" w:themeColor="text1"/>
          <w:lang w:val="es-ES"/>
        </w:rPr>
        <w:t xml:space="preserve"> </w:t>
      </w:r>
      <w:r w:rsidR="00875167" w:rsidRPr="00EA641D">
        <w:rPr>
          <w:rFonts w:ascii="Palatino Linotype" w:eastAsia="Calibri" w:hAnsi="Palatino Linotype" w:cs="Arial"/>
          <w:color w:val="000000" w:themeColor="text1"/>
          <w:lang w:val="es-ES"/>
        </w:rPr>
        <w:t>alegatos según corresponda a</w:t>
      </w:r>
      <w:r w:rsidR="004C20F2" w:rsidRPr="00EA641D">
        <w:rPr>
          <w:rFonts w:ascii="Palatino Linotype" w:eastAsia="Calibri" w:hAnsi="Palatino Linotype" w:cs="Arial"/>
          <w:color w:val="000000" w:themeColor="text1"/>
          <w:lang w:val="es-ES"/>
        </w:rPr>
        <w:t xml:space="preserve"> </w:t>
      </w:r>
      <w:r w:rsidR="00875167" w:rsidRPr="00EA641D">
        <w:rPr>
          <w:rFonts w:ascii="Palatino Linotype" w:eastAsia="Calibri" w:hAnsi="Palatino Linotype" w:cs="Arial"/>
          <w:color w:val="000000" w:themeColor="text1"/>
          <w:lang w:val="es-ES"/>
        </w:rPr>
        <w:t>l</w:t>
      </w:r>
      <w:r w:rsidR="004C20F2" w:rsidRPr="00EA641D">
        <w:rPr>
          <w:rFonts w:ascii="Palatino Linotype" w:eastAsia="Calibri" w:hAnsi="Palatino Linotype" w:cs="Arial"/>
          <w:color w:val="000000" w:themeColor="text1"/>
          <w:lang w:val="es-ES"/>
        </w:rPr>
        <w:t>os</w:t>
      </w:r>
      <w:r w:rsidR="00875167" w:rsidRPr="00EA641D">
        <w:rPr>
          <w:rFonts w:ascii="Palatino Linotype" w:eastAsia="Calibri" w:hAnsi="Palatino Linotype" w:cs="Arial"/>
          <w:color w:val="000000" w:themeColor="text1"/>
          <w:lang w:val="es-ES"/>
        </w:rPr>
        <w:t xml:space="preserve"> caso</w:t>
      </w:r>
      <w:r w:rsidR="004C20F2" w:rsidRPr="00EA641D">
        <w:rPr>
          <w:rFonts w:ascii="Palatino Linotype" w:eastAsia="Calibri" w:hAnsi="Palatino Linotype" w:cs="Arial"/>
          <w:color w:val="000000" w:themeColor="text1"/>
          <w:lang w:val="es-ES"/>
        </w:rPr>
        <w:t>s</w:t>
      </w:r>
      <w:r w:rsidR="00875167" w:rsidRPr="00EA641D">
        <w:rPr>
          <w:rFonts w:ascii="Palatino Linotype" w:eastAsia="Calibri" w:hAnsi="Palatino Linotype" w:cs="Arial"/>
          <w:color w:val="000000" w:themeColor="text1"/>
          <w:lang w:val="es-ES"/>
        </w:rPr>
        <w:t xml:space="preserve"> concreto</w:t>
      </w:r>
      <w:r w:rsidR="004C20F2" w:rsidRPr="00EA641D">
        <w:rPr>
          <w:rFonts w:ascii="Palatino Linotype" w:eastAsia="Calibri" w:hAnsi="Palatino Linotype" w:cs="Arial"/>
          <w:color w:val="000000" w:themeColor="text1"/>
          <w:lang w:val="es-ES"/>
        </w:rPr>
        <w:t>s</w:t>
      </w:r>
      <w:r w:rsidR="00875167" w:rsidRPr="00EA641D">
        <w:rPr>
          <w:rFonts w:ascii="Palatino Linotype" w:eastAsia="Calibri" w:hAnsi="Palatino Linotype" w:cs="Arial"/>
          <w:color w:val="000000" w:themeColor="text1"/>
          <w:lang w:val="es-ES"/>
        </w:rPr>
        <w:t xml:space="preserve">, </w:t>
      </w:r>
      <w:r w:rsidR="00F147C6" w:rsidRPr="00EA641D">
        <w:rPr>
          <w:rFonts w:ascii="Palatino Linotype" w:eastAsia="Calibri" w:hAnsi="Palatino Linotype" w:cs="Arial"/>
          <w:color w:val="000000" w:themeColor="text1"/>
          <w:lang w:val="es-ES"/>
        </w:rPr>
        <w:t>de esta forma</w:t>
      </w:r>
      <w:r w:rsidR="00875167" w:rsidRPr="00EA641D">
        <w:rPr>
          <w:rFonts w:ascii="Palatino Linotype" w:eastAsia="Calibri" w:hAnsi="Palatino Linotype" w:cs="Arial"/>
          <w:color w:val="000000" w:themeColor="text1"/>
          <w:lang w:val="es-ES"/>
        </w:rPr>
        <w:t xml:space="preserve"> para que el </w:t>
      </w:r>
      <w:r w:rsidR="00875167" w:rsidRPr="00EA641D">
        <w:rPr>
          <w:rFonts w:ascii="Palatino Linotype" w:eastAsia="Calibri" w:hAnsi="Palatino Linotype" w:cs="Arial"/>
          <w:b/>
          <w:color w:val="000000" w:themeColor="text1"/>
          <w:lang w:val="es-ES"/>
        </w:rPr>
        <w:t>SUJETO OBLIGADO</w:t>
      </w:r>
      <w:r w:rsidR="00875167" w:rsidRPr="00EA641D">
        <w:rPr>
          <w:rFonts w:ascii="Palatino Linotype" w:eastAsia="Calibri" w:hAnsi="Palatino Linotype" w:cs="Arial"/>
          <w:color w:val="000000" w:themeColor="text1"/>
          <w:lang w:val="es-ES"/>
        </w:rPr>
        <w:t xml:space="preserve"> </w:t>
      </w:r>
      <w:r w:rsidR="00B81371" w:rsidRPr="00EA641D">
        <w:rPr>
          <w:rFonts w:ascii="Palatino Linotype" w:eastAsia="Calibri" w:hAnsi="Palatino Linotype" w:cs="Arial"/>
          <w:color w:val="000000" w:themeColor="text1"/>
          <w:lang w:val="es-ES"/>
        </w:rPr>
        <w:t>presentar</w:t>
      </w:r>
      <w:r w:rsidR="003A03D0" w:rsidRPr="00EA641D">
        <w:rPr>
          <w:rFonts w:ascii="Palatino Linotype" w:eastAsia="Calibri" w:hAnsi="Palatino Linotype" w:cs="Arial"/>
          <w:color w:val="000000" w:themeColor="text1"/>
          <w:lang w:val="es-ES"/>
        </w:rPr>
        <w:t>a</w:t>
      </w:r>
      <w:r w:rsidR="00B81371" w:rsidRPr="00EA641D">
        <w:rPr>
          <w:rFonts w:ascii="Palatino Linotype" w:eastAsia="Calibri" w:hAnsi="Palatino Linotype" w:cs="Arial"/>
          <w:color w:val="000000" w:themeColor="text1"/>
          <w:lang w:val="es-ES"/>
        </w:rPr>
        <w:t xml:space="preserve"> el </w:t>
      </w:r>
      <w:r w:rsidR="00556F72" w:rsidRPr="00EA641D">
        <w:rPr>
          <w:rFonts w:ascii="Palatino Linotype" w:eastAsia="Calibri" w:hAnsi="Palatino Linotype" w:cs="Arial"/>
          <w:color w:val="000000" w:themeColor="text1"/>
          <w:lang w:val="es-ES"/>
        </w:rPr>
        <w:t xml:space="preserve">informe justificado </w:t>
      </w:r>
      <w:r w:rsidR="00875167" w:rsidRPr="00EA641D">
        <w:rPr>
          <w:rFonts w:ascii="Palatino Linotype" w:eastAsia="Calibri" w:hAnsi="Palatino Linotype" w:cs="Arial"/>
          <w:color w:val="000000" w:themeColor="text1"/>
          <w:lang w:val="es-ES"/>
        </w:rPr>
        <w:t>procedente</w:t>
      </w:r>
      <w:r w:rsidR="00787184" w:rsidRPr="00EA641D">
        <w:rPr>
          <w:rFonts w:ascii="Palatino Linotype" w:eastAsia="Calibri" w:hAnsi="Palatino Linotype" w:cs="Arial"/>
          <w:color w:val="000000" w:themeColor="text1"/>
          <w:lang w:val="es-ES"/>
        </w:rPr>
        <w:t>.</w:t>
      </w:r>
    </w:p>
    <w:p w14:paraId="67D7209A" w14:textId="77777777" w:rsidR="001B32B2" w:rsidRPr="00EA641D" w:rsidRDefault="001B32B2" w:rsidP="001B32B2">
      <w:pPr>
        <w:pStyle w:val="Prrafodelista"/>
        <w:rPr>
          <w:rFonts w:ascii="Palatino Linotype" w:eastAsia="Calibri" w:hAnsi="Palatino Linotype" w:cs="Arial"/>
          <w:color w:val="000000" w:themeColor="text1"/>
          <w:lang w:val="es-ES"/>
        </w:rPr>
      </w:pPr>
    </w:p>
    <w:p w14:paraId="6DCEB6ED" w14:textId="77777777" w:rsidR="008F68A1" w:rsidRPr="00EA641D" w:rsidRDefault="00AE0CDF" w:rsidP="000152B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Calibri" w:hAnsi="Palatino Linotype" w:cs="Arial"/>
          <w:color w:val="000000" w:themeColor="text1"/>
          <w:lang w:val="es-ES"/>
        </w:rPr>
        <w:t>De las constancias que obran en el expediente electrónico del SAIMEX, se aprecia que</w:t>
      </w:r>
      <w:r w:rsidR="005F396F" w:rsidRPr="00EA641D">
        <w:rPr>
          <w:rFonts w:ascii="Palatino Linotype" w:eastAsia="Calibri" w:hAnsi="Palatino Linotype" w:cs="Arial"/>
          <w:color w:val="000000" w:themeColor="text1"/>
          <w:lang w:val="es-ES"/>
        </w:rPr>
        <w:t xml:space="preserve"> el Sujeto Obligado </w:t>
      </w:r>
      <w:r w:rsidR="008F68A1" w:rsidRPr="00EA641D">
        <w:rPr>
          <w:rFonts w:ascii="Palatino Linotype" w:eastAsia="Calibri" w:hAnsi="Palatino Linotype" w:cs="Arial"/>
          <w:color w:val="000000" w:themeColor="text1"/>
          <w:lang w:val="es-ES"/>
        </w:rPr>
        <w:t xml:space="preserve">el quince (15) de junio de dos mil veintidós, remitió el documento electrónico denominado </w:t>
      </w:r>
      <w:r w:rsidR="008F68A1" w:rsidRPr="00EA641D">
        <w:rPr>
          <w:rFonts w:ascii="Palatino Linotype" w:eastAsia="Calibri" w:hAnsi="Palatino Linotype" w:cs="Arial"/>
          <w:b/>
          <w:i/>
          <w:color w:val="000000" w:themeColor="text1"/>
          <w:lang w:val="es-ES"/>
        </w:rPr>
        <w:t>Informe justificado IDP.pdf</w:t>
      </w:r>
      <w:r w:rsidR="008F68A1" w:rsidRPr="00EA641D">
        <w:rPr>
          <w:rFonts w:ascii="Palatino Linotype" w:eastAsia="Calibri" w:hAnsi="Palatino Linotype" w:cs="Arial"/>
          <w:color w:val="000000" w:themeColor="text1"/>
          <w:lang w:val="es-ES"/>
        </w:rPr>
        <w:t>; el cual se puso a la vista del particular el cinco (5) de septiembre de dos mil veintidós; sin embargo, se procede a describir su contenido medular:</w:t>
      </w:r>
    </w:p>
    <w:p w14:paraId="4A98613D" w14:textId="77777777" w:rsidR="008F68A1" w:rsidRPr="00EA641D" w:rsidRDefault="008F68A1" w:rsidP="008F68A1">
      <w:pPr>
        <w:pStyle w:val="Prrafodelista"/>
        <w:rPr>
          <w:rFonts w:ascii="Palatino Linotype" w:eastAsia="Calibri" w:hAnsi="Palatino Linotype" w:cs="Arial"/>
          <w:color w:val="000000" w:themeColor="text1"/>
          <w:lang w:val="es-ES"/>
        </w:rPr>
      </w:pPr>
    </w:p>
    <w:p w14:paraId="4489E147" w14:textId="78944066" w:rsidR="00F9742A" w:rsidRPr="00EA641D" w:rsidRDefault="008F68A1" w:rsidP="00F9742A">
      <w:pPr>
        <w:pStyle w:val="Prrafodelista"/>
        <w:numPr>
          <w:ilvl w:val="0"/>
          <w:numId w:val="16"/>
        </w:numPr>
        <w:tabs>
          <w:tab w:val="left" w:pos="426"/>
        </w:tabs>
        <w:spacing w:line="360" w:lineRule="auto"/>
        <w:ind w:left="426"/>
        <w:jc w:val="both"/>
        <w:rPr>
          <w:rFonts w:ascii="Palatino Linotype" w:eastAsia="Calibri" w:hAnsi="Palatino Linotype" w:cs="Arial"/>
          <w:color w:val="000000" w:themeColor="text1"/>
          <w:lang w:val="es-ES"/>
        </w:rPr>
      </w:pPr>
      <w:r w:rsidRPr="00EA641D">
        <w:rPr>
          <w:rFonts w:ascii="Palatino Linotype" w:eastAsia="Calibri" w:hAnsi="Palatino Linotype" w:cs="Arial"/>
          <w:b/>
          <w:i/>
          <w:color w:val="000000" w:themeColor="text1"/>
          <w:lang w:val="es-ES"/>
        </w:rPr>
        <w:t>Informe justificado IDP.pdf</w:t>
      </w:r>
      <w:r w:rsidR="00F9742A" w:rsidRPr="00EA641D">
        <w:rPr>
          <w:rFonts w:ascii="Palatino Linotype" w:eastAsia="Calibri" w:hAnsi="Palatino Linotype" w:cs="Arial"/>
          <w:b/>
          <w:i/>
          <w:color w:val="000000" w:themeColor="text1"/>
          <w:lang w:val="es-ES"/>
        </w:rPr>
        <w:t xml:space="preserve">: </w:t>
      </w:r>
      <w:r w:rsidR="00F9742A" w:rsidRPr="00EA641D">
        <w:rPr>
          <w:rFonts w:ascii="Palatino Linotype" w:eastAsia="Calibri" w:hAnsi="Palatino Linotype" w:cs="Arial"/>
          <w:color w:val="000000" w:themeColor="text1"/>
          <w:lang w:val="es-ES"/>
        </w:rPr>
        <w:t>Documento suscrito por el Titular de la Unidad de Transparencia mediante el cual refiere lo siguiente:</w:t>
      </w:r>
    </w:p>
    <w:p w14:paraId="058C09BB" w14:textId="2414330C" w:rsidR="00F9742A" w:rsidRPr="00EA641D" w:rsidRDefault="00F9742A" w:rsidP="00F9742A">
      <w:pPr>
        <w:pStyle w:val="Prrafodelista"/>
        <w:numPr>
          <w:ilvl w:val="0"/>
          <w:numId w:val="17"/>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Calibri" w:hAnsi="Palatino Linotype" w:cs="Arial"/>
          <w:color w:val="000000" w:themeColor="text1"/>
          <w:lang w:val="es-ES"/>
        </w:rPr>
        <w:t>La prueba de daño se realiza únicamente al clasificar la información como reservada, situación que no acontece en el presente asunto;</w:t>
      </w:r>
    </w:p>
    <w:p w14:paraId="35F7130D" w14:textId="1A70ECD0" w:rsidR="00F9742A" w:rsidRPr="00EA641D" w:rsidRDefault="00F9742A" w:rsidP="00F9742A">
      <w:pPr>
        <w:pStyle w:val="Prrafodelista"/>
        <w:numPr>
          <w:ilvl w:val="0"/>
          <w:numId w:val="17"/>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Calibri" w:hAnsi="Palatino Linotype" w:cs="Arial"/>
          <w:color w:val="000000" w:themeColor="text1"/>
          <w:lang w:val="es-ES"/>
        </w:rPr>
        <w:t>Se informó que el examen se aplicó en las fechas 20, 21 y 22 de abril del año en curso;</w:t>
      </w:r>
    </w:p>
    <w:p w14:paraId="7939A659" w14:textId="5681245A" w:rsidR="00F9742A" w:rsidRPr="00EA641D" w:rsidRDefault="00F9742A" w:rsidP="00F9742A">
      <w:pPr>
        <w:pStyle w:val="Prrafodelista"/>
        <w:numPr>
          <w:ilvl w:val="0"/>
          <w:numId w:val="17"/>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Calibri" w:hAnsi="Palatino Linotype" w:cs="Arial"/>
          <w:color w:val="000000" w:themeColor="text1"/>
          <w:lang w:val="es-ES"/>
        </w:rPr>
        <w:t xml:space="preserve">La lista de asistencia es resguardada por la Dirección de Capital Humano y Escalafonario de la Secretaría de Finanzas; </w:t>
      </w:r>
    </w:p>
    <w:p w14:paraId="514B72D5" w14:textId="1C590F80" w:rsidR="00F9742A" w:rsidRPr="00EA641D" w:rsidRDefault="00F9742A" w:rsidP="00F9742A">
      <w:pPr>
        <w:pStyle w:val="Prrafodelista"/>
        <w:numPr>
          <w:ilvl w:val="0"/>
          <w:numId w:val="17"/>
        </w:numPr>
        <w:tabs>
          <w:tab w:val="left" w:pos="426"/>
        </w:tabs>
        <w:spacing w:line="360" w:lineRule="auto"/>
        <w:jc w:val="both"/>
        <w:rPr>
          <w:rFonts w:ascii="Palatino Linotype" w:eastAsia="Calibri" w:hAnsi="Palatino Linotype" w:cs="Arial"/>
          <w:color w:val="000000" w:themeColor="text1"/>
          <w:lang w:val="es-ES"/>
        </w:rPr>
      </w:pPr>
      <w:r w:rsidRPr="00EA641D">
        <w:rPr>
          <w:rFonts w:ascii="Palatino Linotype" w:eastAsia="Calibri" w:hAnsi="Palatino Linotype" w:cs="Arial"/>
          <w:color w:val="000000" w:themeColor="text1"/>
          <w:lang w:val="es-ES"/>
        </w:rPr>
        <w:t>En relación al punto 5, no le fue proporcionada la información porque no obra en poder del Sujeto Obligado, sino de la Dirección General de Personal de la Secretaría de Finanzas.</w:t>
      </w:r>
    </w:p>
    <w:p w14:paraId="1C4FE914" w14:textId="77777777" w:rsidR="008F68A1" w:rsidRPr="00EA641D" w:rsidRDefault="008F68A1" w:rsidP="008F68A1">
      <w:pPr>
        <w:pStyle w:val="Prrafodelista"/>
        <w:tabs>
          <w:tab w:val="left" w:pos="426"/>
        </w:tabs>
        <w:spacing w:line="360" w:lineRule="auto"/>
        <w:ind w:left="0"/>
        <w:jc w:val="both"/>
        <w:rPr>
          <w:rFonts w:ascii="Palatino Linotype" w:eastAsia="Calibri" w:hAnsi="Palatino Linotype" w:cs="Arial"/>
          <w:b/>
          <w:i/>
          <w:color w:val="000000" w:themeColor="text1"/>
          <w:lang w:val="es-ES"/>
        </w:rPr>
      </w:pPr>
    </w:p>
    <w:p w14:paraId="40AD63F4" w14:textId="77777777" w:rsidR="008F68A1" w:rsidRPr="00EA641D" w:rsidRDefault="008F68A1" w:rsidP="008F68A1">
      <w:pPr>
        <w:pStyle w:val="Prrafodelista"/>
        <w:tabs>
          <w:tab w:val="left" w:pos="426"/>
        </w:tabs>
        <w:spacing w:line="360" w:lineRule="auto"/>
        <w:ind w:left="0"/>
        <w:jc w:val="both"/>
        <w:rPr>
          <w:rFonts w:ascii="Palatino Linotype" w:eastAsia="Calibri" w:hAnsi="Palatino Linotype" w:cs="Arial"/>
          <w:b/>
          <w:i/>
          <w:color w:val="000000" w:themeColor="text1"/>
          <w:lang w:val="es-ES"/>
        </w:rPr>
      </w:pPr>
    </w:p>
    <w:p w14:paraId="581B87C4" w14:textId="77777777" w:rsidR="005F396F" w:rsidRPr="00EA641D" w:rsidRDefault="005F396F" w:rsidP="005F396F">
      <w:pPr>
        <w:pStyle w:val="Prrafodelista"/>
        <w:rPr>
          <w:rFonts w:ascii="Palatino Linotype" w:eastAsia="Calibri" w:hAnsi="Palatino Linotype" w:cs="Arial"/>
          <w:color w:val="000000" w:themeColor="text1"/>
          <w:lang w:val="es-ES"/>
        </w:rPr>
      </w:pPr>
    </w:p>
    <w:p w14:paraId="3001AA57" w14:textId="5BC7A8FB" w:rsidR="008965EF" w:rsidRPr="00EA641D" w:rsidRDefault="00F778B2" w:rsidP="00850A36">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EA641D">
        <w:rPr>
          <w:rFonts w:ascii="Palatino Linotype" w:hAnsi="Palatino Linotype" w:cs="Arial"/>
          <w:color w:val="000000" w:themeColor="text1"/>
        </w:rPr>
        <w:t xml:space="preserve">El </w:t>
      </w:r>
      <w:r w:rsidR="00F9742A" w:rsidRPr="00EA641D">
        <w:rPr>
          <w:rFonts w:ascii="Palatino Linotype" w:hAnsi="Palatino Linotype" w:cs="Arial"/>
          <w:color w:val="000000" w:themeColor="text1"/>
        </w:rPr>
        <w:t>nueve</w:t>
      </w:r>
      <w:r w:rsidR="000152B8" w:rsidRPr="00EA641D">
        <w:rPr>
          <w:rFonts w:ascii="Palatino Linotype" w:hAnsi="Palatino Linotype" w:cs="Arial"/>
          <w:color w:val="000000" w:themeColor="text1"/>
        </w:rPr>
        <w:t xml:space="preserve"> (</w:t>
      </w:r>
      <w:r w:rsidR="00F9742A" w:rsidRPr="00EA641D">
        <w:rPr>
          <w:rFonts w:ascii="Palatino Linotype" w:hAnsi="Palatino Linotype" w:cs="Arial"/>
          <w:color w:val="000000" w:themeColor="text1"/>
        </w:rPr>
        <w:t>9</w:t>
      </w:r>
      <w:r w:rsidR="000152B8" w:rsidRPr="00EA641D">
        <w:rPr>
          <w:rFonts w:ascii="Palatino Linotype" w:hAnsi="Palatino Linotype" w:cs="Arial"/>
          <w:color w:val="000000" w:themeColor="text1"/>
        </w:rPr>
        <w:t xml:space="preserve">) de </w:t>
      </w:r>
      <w:r w:rsidR="00F9742A" w:rsidRPr="00EA641D">
        <w:rPr>
          <w:rFonts w:ascii="Palatino Linotype" w:hAnsi="Palatino Linotype" w:cs="Arial"/>
          <w:color w:val="000000" w:themeColor="text1"/>
        </w:rPr>
        <w:t>septiembre</w:t>
      </w:r>
      <w:r w:rsidR="00E23CA4" w:rsidRPr="00EA641D">
        <w:rPr>
          <w:rFonts w:ascii="Palatino Linotype" w:hAnsi="Palatino Linotype" w:cs="Arial"/>
          <w:color w:val="000000" w:themeColor="text1"/>
        </w:rPr>
        <w:t xml:space="preserve"> de dos mil veintidós, </w:t>
      </w:r>
      <w:r w:rsidR="00041DCC" w:rsidRPr="00EA641D">
        <w:rPr>
          <w:rFonts w:ascii="Palatino Linotype" w:hAnsi="Palatino Linotype" w:cs="Arial"/>
          <w:color w:val="000000" w:themeColor="text1"/>
        </w:rPr>
        <w:t>la Comisionada Ponente de</w:t>
      </w:r>
      <w:r w:rsidR="0055252F" w:rsidRPr="00EA641D">
        <w:rPr>
          <w:rFonts w:ascii="Palatino Linotype" w:hAnsi="Palatino Linotype" w:cs="Arial"/>
          <w:color w:val="000000" w:themeColor="text1"/>
        </w:rPr>
        <w:t xml:space="preserve">cretó el cierre de instrucción, asimismo, se </w:t>
      </w:r>
      <w:r w:rsidR="00374B45" w:rsidRPr="00EA641D">
        <w:rPr>
          <w:rFonts w:ascii="Palatino Linotype" w:hAnsi="Palatino Linotype" w:cs="Arial"/>
          <w:color w:val="000000" w:themeColor="text1"/>
        </w:rPr>
        <w:t>notificó el acuerdo mediante el cual se amplió el plazo para emitir resolución,</w:t>
      </w:r>
      <w:r w:rsidR="00AD6AC5" w:rsidRPr="00EA641D">
        <w:rPr>
          <w:rFonts w:ascii="Palatino Linotype" w:hAnsi="Palatino Linotype" w:cs="Arial"/>
          <w:color w:val="000000" w:themeColor="text1"/>
        </w:rPr>
        <w:t xml:space="preserve"> por lo que ordenó turnar el expediente para su resolución, misma que ahora se pronuncia</w:t>
      </w:r>
      <w:r w:rsidR="00E139E9" w:rsidRPr="00EA641D">
        <w:rPr>
          <w:rFonts w:ascii="Palatino Linotype" w:hAnsi="Palatino Linotype" w:cs="Arial"/>
          <w:color w:val="000000" w:themeColor="text1"/>
        </w:rPr>
        <w:t>.</w:t>
      </w:r>
    </w:p>
    <w:p w14:paraId="7DF01631" w14:textId="77777777" w:rsidR="00E139E9" w:rsidRPr="00EA641D" w:rsidRDefault="00E139E9" w:rsidP="00E139E9">
      <w:pPr>
        <w:pStyle w:val="Prrafodelista"/>
        <w:tabs>
          <w:tab w:val="left" w:pos="426"/>
        </w:tabs>
        <w:spacing w:line="360" w:lineRule="auto"/>
        <w:ind w:left="0"/>
        <w:jc w:val="both"/>
        <w:rPr>
          <w:rFonts w:ascii="Palatino Linotype" w:hAnsi="Palatino Linotype"/>
          <w:color w:val="000000" w:themeColor="text1"/>
        </w:rPr>
      </w:pPr>
    </w:p>
    <w:p w14:paraId="15AA8C37" w14:textId="77777777" w:rsidR="00E139E9" w:rsidRPr="00EA641D" w:rsidRDefault="00E139E9" w:rsidP="00E139E9">
      <w:pPr>
        <w:pStyle w:val="Prrafodelista"/>
        <w:numPr>
          <w:ilvl w:val="0"/>
          <w:numId w:val="1"/>
        </w:numPr>
        <w:spacing w:before="240" w:after="240" w:line="360" w:lineRule="auto"/>
        <w:ind w:hanging="11"/>
        <w:jc w:val="both"/>
        <w:rPr>
          <w:rFonts w:ascii="Palatino Linotype" w:hAnsi="Palatino Linotype"/>
          <w:b/>
          <w:sz w:val="28"/>
          <w:u w:val="single"/>
        </w:rPr>
      </w:pPr>
      <w:r w:rsidRPr="00EA641D">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AD1C417" w14:textId="77777777" w:rsidR="00E139E9" w:rsidRPr="00EA641D" w:rsidRDefault="00E139E9" w:rsidP="00E139E9">
      <w:pPr>
        <w:pStyle w:val="Prrafodelista"/>
        <w:rPr>
          <w:rFonts w:ascii="Palatino Linotype" w:hAnsi="Palatino Linotype"/>
        </w:rPr>
      </w:pPr>
    </w:p>
    <w:p w14:paraId="6C5C8357"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4278A68" w14:textId="77777777" w:rsidR="00E139E9" w:rsidRPr="00EA641D" w:rsidRDefault="00E139E9" w:rsidP="00E139E9">
      <w:pPr>
        <w:pStyle w:val="Prrafodelista"/>
        <w:spacing w:before="240" w:after="240" w:line="360" w:lineRule="auto"/>
        <w:ind w:left="0"/>
        <w:jc w:val="both"/>
        <w:rPr>
          <w:rFonts w:ascii="Palatino Linotype" w:hAnsi="Palatino Linotype"/>
        </w:rPr>
      </w:pPr>
    </w:p>
    <w:p w14:paraId="6BF57D8A"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DDF518" w14:textId="77777777" w:rsidR="00E139E9" w:rsidRPr="00EA641D" w:rsidRDefault="00E139E9" w:rsidP="00E139E9">
      <w:pPr>
        <w:pStyle w:val="Prrafodelista"/>
        <w:rPr>
          <w:rFonts w:ascii="Palatino Linotype" w:hAnsi="Palatino Linotype"/>
        </w:rPr>
      </w:pPr>
    </w:p>
    <w:p w14:paraId="35106B2B"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EC151B" w14:textId="77777777" w:rsidR="00E139E9" w:rsidRPr="00EA641D" w:rsidRDefault="00E139E9" w:rsidP="00E139E9">
      <w:pPr>
        <w:pStyle w:val="Prrafodelista"/>
        <w:spacing w:before="240" w:after="240" w:line="360" w:lineRule="auto"/>
        <w:ind w:left="0"/>
        <w:jc w:val="both"/>
        <w:rPr>
          <w:rFonts w:ascii="Palatino Linotype" w:hAnsi="Palatino Linotype"/>
        </w:rPr>
      </w:pPr>
    </w:p>
    <w:p w14:paraId="68F28765"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B411EAF" w14:textId="77777777" w:rsidR="00E139E9" w:rsidRPr="00EA641D" w:rsidRDefault="00E139E9" w:rsidP="00E139E9">
      <w:pPr>
        <w:pStyle w:val="Prrafodelista"/>
        <w:spacing w:before="240" w:after="240" w:line="360" w:lineRule="auto"/>
        <w:ind w:left="0"/>
        <w:jc w:val="both"/>
        <w:rPr>
          <w:rFonts w:ascii="Palatino Linotype" w:hAnsi="Palatino Linotype"/>
        </w:rPr>
      </w:pPr>
    </w:p>
    <w:p w14:paraId="4C42F61E" w14:textId="77777777" w:rsidR="00E139E9" w:rsidRPr="00EA641D" w:rsidRDefault="00E139E9" w:rsidP="00E139E9">
      <w:pPr>
        <w:pStyle w:val="Prrafodelista"/>
        <w:spacing w:before="240" w:after="240" w:line="360" w:lineRule="auto"/>
        <w:ind w:left="284"/>
        <w:jc w:val="both"/>
        <w:rPr>
          <w:rFonts w:ascii="Palatino Linotype" w:hAnsi="Palatino Linotype"/>
        </w:rPr>
      </w:pPr>
      <w:r w:rsidRPr="00EA641D">
        <w:rPr>
          <w:rFonts w:ascii="Palatino Linotype" w:hAnsi="Palatino Linotype"/>
        </w:rPr>
        <w:t>a)      Complejidad del asunto: La complejidad de la prueba, la pluralidad de sujetos procesales, el tiempo transcurrido, las características y contexto del recurso.</w:t>
      </w:r>
    </w:p>
    <w:p w14:paraId="3FE8AEDF" w14:textId="77777777" w:rsidR="00E139E9" w:rsidRPr="00EA641D" w:rsidRDefault="00E139E9" w:rsidP="00E139E9">
      <w:pPr>
        <w:pStyle w:val="Prrafodelista"/>
        <w:spacing w:before="240" w:after="240" w:line="360" w:lineRule="auto"/>
        <w:ind w:left="284"/>
        <w:jc w:val="both"/>
        <w:rPr>
          <w:rFonts w:ascii="Palatino Linotype" w:hAnsi="Palatino Linotype"/>
        </w:rPr>
      </w:pPr>
      <w:r w:rsidRPr="00EA641D">
        <w:rPr>
          <w:rFonts w:ascii="Palatino Linotype" w:hAnsi="Palatino Linotype"/>
        </w:rPr>
        <w:t>b)     Actividad Procesal del interesado: Acciones u omisiones del interesado.</w:t>
      </w:r>
    </w:p>
    <w:p w14:paraId="5C896FE9" w14:textId="77777777" w:rsidR="00E139E9" w:rsidRPr="00EA641D" w:rsidRDefault="00E139E9" w:rsidP="00E139E9">
      <w:pPr>
        <w:pStyle w:val="Prrafodelista"/>
        <w:spacing w:before="240" w:after="240" w:line="360" w:lineRule="auto"/>
        <w:ind w:left="284"/>
        <w:jc w:val="both"/>
        <w:rPr>
          <w:rFonts w:ascii="Palatino Linotype" w:hAnsi="Palatino Linotype"/>
        </w:rPr>
      </w:pPr>
      <w:r w:rsidRPr="00EA641D">
        <w:rPr>
          <w:rFonts w:ascii="Palatino Linotype" w:hAnsi="Palatino Linotype"/>
        </w:rPr>
        <w:t>c)      Conducta de la Autoridad: Las Acciones u omisiones realizadas en el procedimiento. Así como si la autoridad actuó con la debida diligencia.</w:t>
      </w:r>
    </w:p>
    <w:p w14:paraId="1F9721C0" w14:textId="77777777" w:rsidR="00E139E9" w:rsidRPr="00EA641D" w:rsidRDefault="00E139E9" w:rsidP="00E139E9">
      <w:pPr>
        <w:pStyle w:val="Prrafodelista"/>
        <w:spacing w:before="240" w:after="240" w:line="360" w:lineRule="auto"/>
        <w:ind w:left="284"/>
        <w:jc w:val="both"/>
        <w:rPr>
          <w:rFonts w:ascii="Palatino Linotype" w:hAnsi="Palatino Linotype"/>
        </w:rPr>
      </w:pPr>
      <w:r w:rsidRPr="00EA641D">
        <w:rPr>
          <w:rFonts w:ascii="Palatino Linotype" w:hAnsi="Palatino Linotype"/>
        </w:rPr>
        <w:t>d) La afectación generada en la situación jurídica de la persona involucrada en el proceso: Violación a sus derechos humanos.</w:t>
      </w:r>
    </w:p>
    <w:p w14:paraId="03F69001" w14:textId="77777777" w:rsidR="00E139E9" w:rsidRPr="00EA641D" w:rsidRDefault="00E139E9" w:rsidP="00E139E9">
      <w:pPr>
        <w:pStyle w:val="Prrafodelista"/>
        <w:spacing w:before="240" w:after="240" w:line="360" w:lineRule="auto"/>
        <w:ind w:left="0"/>
        <w:jc w:val="both"/>
        <w:rPr>
          <w:rFonts w:ascii="Palatino Linotype" w:hAnsi="Palatino Linotype"/>
        </w:rPr>
      </w:pPr>
    </w:p>
    <w:p w14:paraId="24FF3442"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D847CCC" w14:textId="77777777" w:rsidR="00E139E9" w:rsidRPr="00EA641D" w:rsidRDefault="00E139E9" w:rsidP="00E139E9">
      <w:pPr>
        <w:pStyle w:val="Prrafodelista"/>
        <w:spacing w:before="240" w:after="240" w:line="360" w:lineRule="auto"/>
        <w:ind w:left="0"/>
        <w:jc w:val="both"/>
        <w:rPr>
          <w:rFonts w:ascii="Palatino Linotype" w:hAnsi="Palatino Linotype"/>
        </w:rPr>
      </w:pPr>
    </w:p>
    <w:p w14:paraId="0EB4A07D"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27D90FC" w14:textId="77777777" w:rsidR="00E139E9" w:rsidRPr="00EA641D" w:rsidRDefault="00E139E9" w:rsidP="00E139E9">
      <w:pPr>
        <w:pStyle w:val="Prrafodelista"/>
        <w:rPr>
          <w:rFonts w:ascii="Palatino Linotype" w:hAnsi="Palatino Linotype"/>
        </w:rPr>
      </w:pPr>
    </w:p>
    <w:p w14:paraId="662FE883"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F7E90B" w14:textId="77777777" w:rsidR="00E139E9" w:rsidRPr="00EA641D" w:rsidRDefault="00E139E9" w:rsidP="00E139E9">
      <w:pPr>
        <w:pStyle w:val="Prrafodelista"/>
        <w:spacing w:before="240" w:after="240" w:line="360" w:lineRule="auto"/>
        <w:ind w:left="0"/>
        <w:jc w:val="both"/>
        <w:rPr>
          <w:rFonts w:ascii="Palatino Linotype" w:hAnsi="Palatino Linotype"/>
        </w:rPr>
      </w:pPr>
    </w:p>
    <w:p w14:paraId="7FB423B5"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CCAD95B" w14:textId="77777777" w:rsidR="00E139E9" w:rsidRPr="00EA641D" w:rsidRDefault="00E139E9" w:rsidP="00E139E9">
      <w:pPr>
        <w:pStyle w:val="Prrafodelista"/>
        <w:rPr>
          <w:rFonts w:ascii="Palatino Linotype" w:hAnsi="Palatino Linotype"/>
        </w:rPr>
      </w:pPr>
    </w:p>
    <w:p w14:paraId="4D01429D" w14:textId="77777777" w:rsidR="00E139E9" w:rsidRPr="00EA641D" w:rsidRDefault="00E139E9" w:rsidP="00E139E9">
      <w:pPr>
        <w:pStyle w:val="Prrafodelista"/>
        <w:spacing w:before="240" w:after="240" w:line="360" w:lineRule="auto"/>
        <w:ind w:left="567"/>
        <w:jc w:val="both"/>
        <w:rPr>
          <w:rFonts w:ascii="Palatino Linotype" w:hAnsi="Palatino Linotype"/>
        </w:rPr>
      </w:pPr>
      <w:r w:rsidRPr="00EA641D">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4465509C" w14:textId="77777777" w:rsidR="00E139E9" w:rsidRPr="00EA641D" w:rsidRDefault="00E139E9" w:rsidP="00E139E9">
      <w:pPr>
        <w:pStyle w:val="Prrafodelista"/>
        <w:spacing w:before="240" w:after="240" w:line="360" w:lineRule="auto"/>
        <w:ind w:left="567"/>
        <w:jc w:val="both"/>
        <w:rPr>
          <w:rFonts w:ascii="Palatino Linotype" w:hAnsi="Palatino Linotype"/>
        </w:rPr>
      </w:pPr>
      <w:r w:rsidRPr="00EA641D">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DD246C3" w14:textId="77777777" w:rsidR="00E139E9" w:rsidRPr="00EA641D" w:rsidRDefault="00E139E9" w:rsidP="00E139E9">
      <w:pPr>
        <w:pStyle w:val="Prrafodelista"/>
        <w:spacing w:before="240" w:after="240" w:line="360" w:lineRule="auto"/>
        <w:ind w:left="708"/>
        <w:jc w:val="both"/>
        <w:rPr>
          <w:rFonts w:ascii="Palatino Linotype" w:hAnsi="Palatino Linotype"/>
        </w:rPr>
      </w:pPr>
    </w:p>
    <w:p w14:paraId="06F19BBB" w14:textId="77777777" w:rsidR="00E139E9" w:rsidRPr="00EA641D" w:rsidRDefault="00E139E9" w:rsidP="00E139E9">
      <w:pPr>
        <w:pStyle w:val="Prrafodelista"/>
        <w:numPr>
          <w:ilvl w:val="0"/>
          <w:numId w:val="1"/>
        </w:numPr>
        <w:spacing w:before="240" w:after="240" w:line="360" w:lineRule="auto"/>
        <w:jc w:val="both"/>
        <w:rPr>
          <w:rFonts w:ascii="Palatino Linotype" w:hAnsi="Palatino Linotype"/>
        </w:rPr>
      </w:pPr>
      <w:r w:rsidRPr="00EA641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EA641D"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EA641D" w:rsidRDefault="007C0013" w:rsidP="00B31E90">
      <w:pPr>
        <w:pStyle w:val="Ttulo1"/>
        <w:spacing w:before="0"/>
        <w:jc w:val="center"/>
        <w:rPr>
          <w:b/>
          <w:color w:val="000000" w:themeColor="text1"/>
        </w:rPr>
      </w:pPr>
      <w:bookmarkStart w:id="5" w:name="_Toc87456485"/>
      <w:r w:rsidRPr="00EA641D">
        <w:rPr>
          <w:b/>
          <w:color w:val="000000" w:themeColor="text1"/>
        </w:rPr>
        <w:t>CONSIDERANDO</w:t>
      </w:r>
      <w:bookmarkEnd w:id="3"/>
      <w:bookmarkEnd w:id="4"/>
      <w:bookmarkEnd w:id="5"/>
    </w:p>
    <w:p w14:paraId="435CF9A4" w14:textId="77777777" w:rsidR="00FC1DA7" w:rsidRPr="00EA641D" w:rsidRDefault="00FC1DA7" w:rsidP="00B31E90">
      <w:pPr>
        <w:rPr>
          <w:color w:val="000000" w:themeColor="text1"/>
          <w:lang w:eastAsia="en-US"/>
        </w:rPr>
      </w:pPr>
    </w:p>
    <w:p w14:paraId="629A5BE2" w14:textId="56C3E7D5" w:rsidR="007C0013" w:rsidRPr="00EA641D"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EA641D">
        <w:rPr>
          <w:rFonts w:ascii="Palatino Linotype" w:hAnsi="Palatino Linotype"/>
          <w:b/>
          <w:color w:val="000000" w:themeColor="text1"/>
          <w:sz w:val="24"/>
        </w:rPr>
        <w:t>PRIMERO. De la competencia</w:t>
      </w:r>
      <w:bookmarkEnd w:id="6"/>
      <w:bookmarkEnd w:id="7"/>
      <w:bookmarkEnd w:id="8"/>
    </w:p>
    <w:p w14:paraId="60FBD8C7" w14:textId="77777777" w:rsidR="00FC1DA7" w:rsidRPr="00EA641D" w:rsidRDefault="00FC1DA7" w:rsidP="00B31E90">
      <w:pPr>
        <w:rPr>
          <w:rFonts w:ascii="Palatino Linotype" w:hAnsi="Palatino Linotype"/>
          <w:color w:val="000000" w:themeColor="text1"/>
          <w:lang w:eastAsia="en-US"/>
        </w:rPr>
      </w:pPr>
    </w:p>
    <w:p w14:paraId="0BF52B18" w14:textId="515C3AEB" w:rsidR="005A228F" w:rsidRPr="00EA641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EA641D">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EA641D">
        <w:rPr>
          <w:rFonts w:ascii="Palatino Linotype" w:eastAsia="Calibri" w:hAnsi="Palatino Linotype" w:cs="Times New Roman"/>
          <w:color w:val="000000" w:themeColor="text1"/>
          <w:lang w:val="es-ES"/>
        </w:rPr>
        <w:t xml:space="preserve">etente para conocer y resolver </w:t>
      </w:r>
      <w:r w:rsidRPr="00EA641D">
        <w:rPr>
          <w:rFonts w:ascii="Palatino Linotype" w:eastAsia="Calibri" w:hAnsi="Palatino Linotype" w:cs="Times New Roman"/>
          <w:color w:val="000000" w:themeColor="text1"/>
          <w:lang w:val="es-ES"/>
        </w:rPr>
        <w:t xml:space="preserve">el presente recurso de conformidad con el artículo: 6, apartado A, fracción IV de la </w:t>
      </w:r>
      <w:r w:rsidRPr="00EA641D">
        <w:rPr>
          <w:rFonts w:ascii="Palatino Linotype" w:eastAsia="Calibri" w:hAnsi="Palatino Linotype" w:cs="Times New Roman"/>
          <w:b/>
          <w:color w:val="000000" w:themeColor="text1"/>
          <w:lang w:val="es-ES"/>
        </w:rPr>
        <w:t>Constitución Política de los Estados Unidos Mexicanos</w:t>
      </w:r>
      <w:r w:rsidRPr="00EA641D">
        <w:rPr>
          <w:rFonts w:ascii="Palatino Linotype" w:eastAsia="Calibri" w:hAnsi="Palatino Linotype" w:cs="Times New Roman"/>
          <w:color w:val="000000" w:themeColor="text1"/>
          <w:lang w:val="es-ES"/>
        </w:rPr>
        <w:t xml:space="preserve">; 5, párrafos </w:t>
      </w:r>
      <w:r w:rsidR="000B7C4F" w:rsidRPr="00EA641D">
        <w:rPr>
          <w:rFonts w:ascii="Palatino Linotype" w:eastAsia="Calibri" w:hAnsi="Palatino Linotype" w:cs="Times New Roman"/>
          <w:color w:val="000000" w:themeColor="text1"/>
          <w:lang w:val="es-ES"/>
        </w:rPr>
        <w:t>trigésimo, trigésimo primero y trigésimo segundo</w:t>
      </w:r>
      <w:r w:rsidR="004F785F" w:rsidRPr="00EA641D">
        <w:rPr>
          <w:rFonts w:ascii="Palatino Linotype" w:eastAsia="Calibri" w:hAnsi="Palatino Linotype" w:cs="Times New Roman"/>
          <w:color w:val="000000" w:themeColor="text1"/>
          <w:lang w:val="es-ES"/>
        </w:rPr>
        <w:t>,</w:t>
      </w:r>
      <w:r w:rsidRPr="00EA641D">
        <w:rPr>
          <w:rFonts w:ascii="Palatino Linotype" w:eastAsia="Calibri" w:hAnsi="Palatino Linotype" w:cs="Times New Roman"/>
          <w:color w:val="000000" w:themeColor="text1"/>
          <w:lang w:val="es-ES"/>
        </w:rPr>
        <w:t xml:space="preserve"> fracciones IV y V</w:t>
      </w:r>
      <w:r w:rsidR="004F785F" w:rsidRPr="00EA641D">
        <w:rPr>
          <w:rFonts w:ascii="Palatino Linotype" w:eastAsia="Calibri" w:hAnsi="Palatino Linotype" w:cs="Times New Roman"/>
          <w:color w:val="000000" w:themeColor="text1"/>
          <w:lang w:val="es-ES"/>
        </w:rPr>
        <w:t>,</w:t>
      </w:r>
      <w:r w:rsidRPr="00EA641D">
        <w:rPr>
          <w:rFonts w:ascii="Palatino Linotype" w:eastAsia="Calibri" w:hAnsi="Palatino Linotype" w:cs="Times New Roman"/>
          <w:color w:val="000000" w:themeColor="text1"/>
          <w:lang w:val="es-ES"/>
        </w:rPr>
        <w:t xml:space="preserve"> de la </w:t>
      </w:r>
      <w:r w:rsidRPr="00EA641D">
        <w:rPr>
          <w:rFonts w:ascii="Palatino Linotype" w:eastAsia="Calibri" w:hAnsi="Palatino Linotype" w:cs="Times New Roman"/>
          <w:b/>
          <w:color w:val="000000" w:themeColor="text1"/>
          <w:lang w:val="es-ES"/>
        </w:rPr>
        <w:t>Constitución Política del Estado Libre y Soberano de México</w:t>
      </w:r>
      <w:r w:rsidRPr="00EA641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EA641D">
        <w:rPr>
          <w:rFonts w:ascii="Palatino Linotype" w:eastAsia="Calibri" w:hAnsi="Palatino Linotype" w:cs="Arial"/>
          <w:color w:val="000000" w:themeColor="text1"/>
          <w:lang w:val="es-ES"/>
        </w:rPr>
        <w:t xml:space="preserve">de la </w:t>
      </w:r>
      <w:r w:rsidRPr="00EA641D">
        <w:rPr>
          <w:rFonts w:ascii="Palatino Linotype" w:eastAsia="Calibri" w:hAnsi="Palatino Linotype" w:cs="Arial"/>
          <w:b/>
          <w:color w:val="000000" w:themeColor="text1"/>
          <w:lang w:val="es-ES"/>
        </w:rPr>
        <w:t>Ley de Transparencia y Acceso a la Información Pública del Estado de México y Municipios</w:t>
      </w:r>
      <w:r w:rsidRPr="00EA641D">
        <w:rPr>
          <w:rFonts w:ascii="Palatino Linotype" w:eastAsia="Calibri" w:hAnsi="Palatino Linotype" w:cs="Arial"/>
          <w:color w:val="000000" w:themeColor="text1"/>
          <w:lang w:val="es-ES"/>
        </w:rPr>
        <w:t xml:space="preserve">; y 10, 7, 9 fracciones I y XXIV, y 11 del </w:t>
      </w:r>
      <w:r w:rsidRPr="00EA641D">
        <w:rPr>
          <w:rFonts w:ascii="Palatino Linotype" w:eastAsia="Calibri" w:hAnsi="Palatino Linotype" w:cs="Arial"/>
          <w:b/>
          <w:color w:val="000000" w:themeColor="text1"/>
          <w:lang w:val="es-ES"/>
        </w:rPr>
        <w:t xml:space="preserve">Reglamento Interior del Instituto </w:t>
      </w:r>
      <w:r w:rsidRPr="00EA641D">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67A0A8E3" w14:textId="77777777" w:rsidR="002630E4" w:rsidRPr="00EA641D"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EA641D"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EA641D">
        <w:rPr>
          <w:rFonts w:ascii="Palatino Linotype" w:hAnsi="Palatino Linotype"/>
          <w:b/>
          <w:color w:val="000000" w:themeColor="text1"/>
          <w:sz w:val="24"/>
        </w:rPr>
        <w:t>SEGUNDO. De la oportunidad y proced</w:t>
      </w:r>
      <w:r w:rsidR="00F35C44" w:rsidRPr="00EA641D">
        <w:rPr>
          <w:rFonts w:ascii="Palatino Linotype" w:hAnsi="Palatino Linotype"/>
          <w:b/>
          <w:color w:val="000000" w:themeColor="text1"/>
          <w:sz w:val="24"/>
        </w:rPr>
        <w:t>encia</w:t>
      </w:r>
      <w:r w:rsidRPr="00EA641D">
        <w:rPr>
          <w:rFonts w:ascii="Palatino Linotype" w:hAnsi="Palatino Linotype"/>
          <w:b/>
          <w:color w:val="000000" w:themeColor="text1"/>
          <w:sz w:val="24"/>
        </w:rPr>
        <w:t>.</w:t>
      </w:r>
      <w:bookmarkEnd w:id="9"/>
      <w:bookmarkEnd w:id="10"/>
      <w:bookmarkEnd w:id="11"/>
    </w:p>
    <w:p w14:paraId="18E22450" w14:textId="77777777" w:rsidR="00C6440A" w:rsidRPr="00EA641D" w:rsidRDefault="00C6440A" w:rsidP="00B31E90">
      <w:pPr>
        <w:rPr>
          <w:color w:val="000000" w:themeColor="text1"/>
          <w:lang w:eastAsia="en-US"/>
        </w:rPr>
      </w:pPr>
    </w:p>
    <w:p w14:paraId="7D631690" w14:textId="1241CE3B" w:rsidR="00B34758" w:rsidRPr="00EA641D"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A641D">
        <w:rPr>
          <w:rFonts w:ascii="Palatino Linotype" w:eastAsia="Calibri" w:hAnsi="Palatino Linotype" w:cs="Arial"/>
          <w:color w:val="000000" w:themeColor="text1"/>
        </w:rPr>
        <w:t xml:space="preserve">El </w:t>
      </w:r>
      <w:r w:rsidR="00740BA4" w:rsidRPr="00EA641D">
        <w:rPr>
          <w:rFonts w:ascii="Palatino Linotype" w:eastAsia="Calibri" w:hAnsi="Palatino Linotype" w:cs="Arial"/>
          <w:color w:val="000000" w:themeColor="text1"/>
        </w:rPr>
        <w:t xml:space="preserve">medio de impugnación fue presentado a través del </w:t>
      </w:r>
      <w:r w:rsidR="00740BA4" w:rsidRPr="00EA641D">
        <w:rPr>
          <w:rFonts w:ascii="Palatino Linotype" w:eastAsia="Calibri" w:hAnsi="Palatino Linotype" w:cs="Arial"/>
          <w:bCs/>
          <w:iCs/>
          <w:color w:val="000000" w:themeColor="text1"/>
        </w:rPr>
        <w:t>SAIMEX</w:t>
      </w:r>
      <w:r w:rsidR="00740BA4" w:rsidRPr="00EA641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EA641D">
        <w:rPr>
          <w:rFonts w:ascii="Palatino Linotype" w:eastAsia="Calibri" w:hAnsi="Palatino Linotype" w:cs="Arial"/>
          <w:b/>
          <w:color w:val="000000" w:themeColor="text1"/>
        </w:rPr>
        <w:t>SUJETO OBLIGADO</w:t>
      </w:r>
      <w:r w:rsidR="00740BA4" w:rsidRPr="00EA641D">
        <w:rPr>
          <w:rFonts w:ascii="Palatino Linotype" w:eastAsia="Calibri" w:hAnsi="Palatino Linotype" w:cs="Arial"/>
          <w:color w:val="000000" w:themeColor="text1"/>
        </w:rPr>
        <w:t xml:space="preserve"> entregó respuesta el </w:t>
      </w:r>
      <w:r w:rsidR="00E139E9" w:rsidRPr="00EA641D">
        <w:rPr>
          <w:rFonts w:ascii="Palatino Linotype" w:eastAsia="Calibri" w:hAnsi="Palatino Linotype" w:cs="Arial"/>
          <w:color w:val="000000" w:themeColor="text1"/>
        </w:rPr>
        <w:t>diecisiete</w:t>
      </w:r>
      <w:r w:rsidR="00F778B2" w:rsidRPr="00EA641D">
        <w:rPr>
          <w:rFonts w:ascii="Palatino Linotype" w:eastAsia="Calibri" w:hAnsi="Palatino Linotype" w:cs="Arial"/>
          <w:color w:val="000000" w:themeColor="text1"/>
        </w:rPr>
        <w:t xml:space="preserve"> (</w:t>
      </w:r>
      <w:r w:rsidR="00E139E9" w:rsidRPr="00EA641D">
        <w:rPr>
          <w:rFonts w:ascii="Palatino Linotype" w:eastAsia="Calibri" w:hAnsi="Palatino Linotype" w:cs="Arial"/>
          <w:color w:val="000000" w:themeColor="text1"/>
        </w:rPr>
        <w:t>17</w:t>
      </w:r>
      <w:r w:rsidR="00F778B2" w:rsidRPr="00EA641D">
        <w:rPr>
          <w:rFonts w:ascii="Palatino Linotype" w:eastAsia="Calibri" w:hAnsi="Palatino Linotype" w:cs="Arial"/>
          <w:color w:val="000000" w:themeColor="text1"/>
        </w:rPr>
        <w:t>) d</w:t>
      </w:r>
      <w:r w:rsidR="00921375" w:rsidRPr="00EA641D">
        <w:rPr>
          <w:rFonts w:ascii="Palatino Linotype" w:eastAsia="Calibri" w:hAnsi="Palatino Linotype" w:cs="Arial"/>
          <w:color w:val="000000" w:themeColor="text1"/>
        </w:rPr>
        <w:t xml:space="preserve">e </w:t>
      </w:r>
      <w:r w:rsidR="00E139E9" w:rsidRPr="00EA641D">
        <w:rPr>
          <w:rFonts w:ascii="Palatino Linotype" w:eastAsia="Calibri" w:hAnsi="Palatino Linotype" w:cs="Arial"/>
          <w:color w:val="000000" w:themeColor="text1"/>
        </w:rPr>
        <w:t>mayo</w:t>
      </w:r>
      <w:r w:rsidR="007F372C" w:rsidRPr="00EA641D">
        <w:rPr>
          <w:rFonts w:ascii="Palatino Linotype" w:eastAsia="Calibri" w:hAnsi="Palatino Linotype" w:cs="Arial"/>
          <w:color w:val="000000" w:themeColor="text1"/>
        </w:rPr>
        <w:t xml:space="preserve"> </w:t>
      </w:r>
      <w:r w:rsidR="00740BA4" w:rsidRPr="00EA641D">
        <w:rPr>
          <w:rFonts w:ascii="Palatino Linotype" w:eastAsia="Calibri" w:hAnsi="Palatino Linotype" w:cs="Arial"/>
          <w:color w:val="000000" w:themeColor="text1"/>
        </w:rPr>
        <w:t>de dos mil veinti</w:t>
      </w:r>
      <w:r w:rsidR="001B32B2" w:rsidRPr="00EA641D">
        <w:rPr>
          <w:rFonts w:ascii="Palatino Linotype" w:eastAsia="Calibri" w:hAnsi="Palatino Linotype" w:cs="Arial"/>
          <w:color w:val="000000" w:themeColor="text1"/>
        </w:rPr>
        <w:t>dós</w:t>
      </w:r>
      <w:r w:rsidR="00740BA4" w:rsidRPr="00EA641D">
        <w:rPr>
          <w:rFonts w:ascii="Palatino Linotype" w:eastAsia="Calibri" w:hAnsi="Palatino Linotype" w:cs="Arial"/>
          <w:color w:val="000000" w:themeColor="text1"/>
        </w:rPr>
        <w:t>, de tal forma que el plazo para interponer el recurso de revisión transcurrió del</w:t>
      </w:r>
      <w:r w:rsidR="005A3F61" w:rsidRPr="00EA641D">
        <w:rPr>
          <w:rFonts w:ascii="Palatino Linotype" w:eastAsia="Calibri" w:hAnsi="Palatino Linotype" w:cs="Arial"/>
          <w:color w:val="000000" w:themeColor="text1"/>
        </w:rPr>
        <w:t xml:space="preserve"> </w:t>
      </w:r>
      <w:r w:rsidR="00E139E9" w:rsidRPr="00EA641D">
        <w:rPr>
          <w:rFonts w:ascii="Palatino Linotype" w:eastAsia="Calibri" w:hAnsi="Palatino Linotype" w:cs="Arial"/>
          <w:color w:val="000000" w:themeColor="text1"/>
        </w:rPr>
        <w:t>dieciocho</w:t>
      </w:r>
      <w:r w:rsidR="009A3B2B" w:rsidRPr="00EA641D">
        <w:rPr>
          <w:rFonts w:ascii="Palatino Linotype" w:eastAsia="Calibri" w:hAnsi="Palatino Linotype" w:cs="Arial"/>
          <w:color w:val="000000" w:themeColor="text1"/>
        </w:rPr>
        <w:t xml:space="preserve"> </w:t>
      </w:r>
      <w:r w:rsidR="00921375" w:rsidRPr="00EA641D">
        <w:rPr>
          <w:rFonts w:ascii="Palatino Linotype" w:eastAsia="Calibri" w:hAnsi="Palatino Linotype" w:cs="Arial"/>
          <w:color w:val="000000" w:themeColor="text1"/>
        </w:rPr>
        <w:t>(</w:t>
      </w:r>
      <w:r w:rsidR="00E139E9" w:rsidRPr="00EA641D">
        <w:rPr>
          <w:rFonts w:ascii="Palatino Linotype" w:eastAsia="Calibri" w:hAnsi="Palatino Linotype" w:cs="Arial"/>
          <w:color w:val="000000" w:themeColor="text1"/>
        </w:rPr>
        <w:t>18</w:t>
      </w:r>
      <w:r w:rsidR="00921375" w:rsidRPr="00EA641D">
        <w:rPr>
          <w:rFonts w:ascii="Palatino Linotype" w:eastAsia="Calibri" w:hAnsi="Palatino Linotype" w:cs="Arial"/>
          <w:color w:val="000000" w:themeColor="text1"/>
        </w:rPr>
        <w:t xml:space="preserve">) </w:t>
      </w:r>
      <w:r w:rsidR="00E139E9" w:rsidRPr="00EA641D">
        <w:rPr>
          <w:rFonts w:ascii="Palatino Linotype" w:eastAsia="Calibri" w:hAnsi="Palatino Linotype" w:cs="Arial"/>
          <w:color w:val="000000" w:themeColor="text1"/>
        </w:rPr>
        <w:t xml:space="preserve">de mayo </w:t>
      </w:r>
      <w:r w:rsidR="00CC63CB" w:rsidRPr="00EA641D">
        <w:rPr>
          <w:rFonts w:ascii="Palatino Linotype" w:eastAsia="Calibri" w:hAnsi="Palatino Linotype" w:cs="Arial"/>
          <w:color w:val="000000" w:themeColor="text1"/>
        </w:rPr>
        <w:t xml:space="preserve">al </w:t>
      </w:r>
      <w:r w:rsidR="00E139E9" w:rsidRPr="00EA641D">
        <w:rPr>
          <w:rFonts w:ascii="Palatino Linotype" w:eastAsia="Calibri" w:hAnsi="Palatino Linotype" w:cs="Arial"/>
          <w:color w:val="000000" w:themeColor="text1"/>
        </w:rPr>
        <w:t>siete</w:t>
      </w:r>
      <w:r w:rsidR="00CC63CB" w:rsidRPr="00EA641D">
        <w:rPr>
          <w:rFonts w:ascii="Palatino Linotype" w:eastAsia="Calibri" w:hAnsi="Palatino Linotype" w:cs="Arial"/>
          <w:color w:val="000000" w:themeColor="text1"/>
        </w:rPr>
        <w:t xml:space="preserve"> (</w:t>
      </w:r>
      <w:r w:rsidR="00E139E9" w:rsidRPr="00EA641D">
        <w:rPr>
          <w:rFonts w:ascii="Palatino Linotype" w:eastAsia="Calibri" w:hAnsi="Palatino Linotype" w:cs="Arial"/>
          <w:color w:val="000000" w:themeColor="text1"/>
        </w:rPr>
        <w:t>7</w:t>
      </w:r>
      <w:r w:rsidR="00CC63CB" w:rsidRPr="00EA641D">
        <w:rPr>
          <w:rFonts w:ascii="Palatino Linotype" w:eastAsia="Calibri" w:hAnsi="Palatino Linotype" w:cs="Arial"/>
          <w:color w:val="000000" w:themeColor="text1"/>
        </w:rPr>
        <w:t>) de junio d</w:t>
      </w:r>
      <w:r w:rsidR="00921375" w:rsidRPr="00EA641D">
        <w:rPr>
          <w:rFonts w:ascii="Palatino Linotype" w:eastAsia="Calibri" w:hAnsi="Palatino Linotype" w:cs="Arial"/>
          <w:color w:val="000000" w:themeColor="text1"/>
        </w:rPr>
        <w:t xml:space="preserve">e dos mil </w:t>
      </w:r>
      <w:r w:rsidR="00AA37A7" w:rsidRPr="00EA641D">
        <w:rPr>
          <w:rFonts w:ascii="Palatino Linotype" w:eastAsia="Calibri" w:hAnsi="Palatino Linotype" w:cs="Arial"/>
          <w:color w:val="000000" w:themeColor="text1"/>
        </w:rPr>
        <w:t>veintidós</w:t>
      </w:r>
      <w:r w:rsidR="00CE035D" w:rsidRPr="00EA641D">
        <w:rPr>
          <w:rFonts w:ascii="Palatino Linotype" w:eastAsia="Calibri" w:hAnsi="Palatino Linotype" w:cs="Arial"/>
          <w:color w:val="000000" w:themeColor="text1"/>
        </w:rPr>
        <w:t xml:space="preserve">, el recurso de revisión </w:t>
      </w:r>
      <w:r w:rsidR="00E95534" w:rsidRPr="00EA641D">
        <w:rPr>
          <w:rFonts w:ascii="Palatino Linotype" w:hAnsi="Palatino Linotype"/>
          <w:color w:val="000000" w:themeColor="text1"/>
        </w:rPr>
        <w:t xml:space="preserve">fue interpuesto el </w:t>
      </w:r>
      <w:r w:rsidR="00E139E9" w:rsidRPr="00EA641D">
        <w:rPr>
          <w:rFonts w:ascii="Palatino Linotype" w:hAnsi="Palatino Linotype"/>
          <w:color w:val="000000" w:themeColor="text1"/>
        </w:rPr>
        <w:t>seis</w:t>
      </w:r>
      <w:r w:rsidR="00CE035D" w:rsidRPr="00EA641D">
        <w:rPr>
          <w:rFonts w:ascii="Palatino Linotype" w:hAnsi="Palatino Linotype"/>
          <w:color w:val="000000" w:themeColor="text1"/>
        </w:rPr>
        <w:t xml:space="preserve"> </w:t>
      </w:r>
      <w:r w:rsidR="00921375" w:rsidRPr="00EA641D">
        <w:rPr>
          <w:rFonts w:ascii="Palatino Linotype" w:hAnsi="Palatino Linotype"/>
          <w:color w:val="000000" w:themeColor="text1"/>
        </w:rPr>
        <w:t>(</w:t>
      </w:r>
      <w:r w:rsidR="00E139E9" w:rsidRPr="00EA641D">
        <w:rPr>
          <w:rFonts w:ascii="Palatino Linotype" w:hAnsi="Palatino Linotype"/>
          <w:color w:val="000000" w:themeColor="text1"/>
        </w:rPr>
        <w:t>6</w:t>
      </w:r>
      <w:r w:rsidR="00921375" w:rsidRPr="00EA641D">
        <w:rPr>
          <w:rFonts w:ascii="Palatino Linotype" w:hAnsi="Palatino Linotype"/>
          <w:color w:val="000000" w:themeColor="text1"/>
        </w:rPr>
        <w:t xml:space="preserve">) de </w:t>
      </w:r>
      <w:r w:rsidR="00E139E9" w:rsidRPr="00EA641D">
        <w:rPr>
          <w:rFonts w:ascii="Palatino Linotype" w:hAnsi="Palatino Linotype"/>
          <w:color w:val="000000" w:themeColor="text1"/>
        </w:rPr>
        <w:t>junio</w:t>
      </w:r>
      <w:r w:rsidR="00061A86" w:rsidRPr="00EA641D">
        <w:rPr>
          <w:rFonts w:ascii="Palatino Linotype" w:hAnsi="Palatino Linotype"/>
          <w:color w:val="000000" w:themeColor="text1"/>
        </w:rPr>
        <w:t xml:space="preserve"> de dos mil veintidós</w:t>
      </w:r>
      <w:r w:rsidR="00E95534" w:rsidRPr="00EA641D">
        <w:rPr>
          <w:rFonts w:ascii="Palatino Linotype" w:hAnsi="Palatino Linotype"/>
          <w:color w:val="000000" w:themeColor="text1"/>
        </w:rPr>
        <w:t>, éste</w:t>
      </w:r>
      <w:r w:rsidR="00E95534" w:rsidRPr="00EA641D">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EA641D">
        <w:rPr>
          <w:rFonts w:ascii="Palatino Linotype" w:hAnsi="Palatino Linotype" w:cs="Arial"/>
          <w:b/>
          <w:color w:val="000000" w:themeColor="text1"/>
        </w:rPr>
        <w:t xml:space="preserve"> </w:t>
      </w:r>
      <w:r w:rsidR="00E95534" w:rsidRPr="00EA641D">
        <w:rPr>
          <w:rFonts w:ascii="Palatino Linotype" w:hAnsi="Palatino Linotype" w:cs="Arial"/>
          <w:color w:val="000000" w:themeColor="text1"/>
        </w:rPr>
        <w:t>vigente.</w:t>
      </w:r>
    </w:p>
    <w:p w14:paraId="5CB8FFBB" w14:textId="77777777" w:rsidR="00D91544" w:rsidRPr="00EA641D"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EA641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EA641D">
        <w:rPr>
          <w:rFonts w:ascii="Palatino Linotype" w:eastAsia="Calibri" w:hAnsi="Palatino Linotype" w:cs="Arial"/>
          <w:color w:val="000000" w:themeColor="text1"/>
        </w:rPr>
        <w:t>C</w:t>
      </w:r>
      <w:r w:rsidR="00AF6795" w:rsidRPr="00EA641D">
        <w:rPr>
          <w:rFonts w:ascii="Palatino Linotype" w:eastAsia="Calibri" w:hAnsi="Palatino Linotype" w:cs="Arial"/>
          <w:color w:val="000000" w:themeColor="text1"/>
        </w:rPr>
        <w:t>onsecuencia de lo anterior, este</w:t>
      </w:r>
      <w:r w:rsidRPr="00EA641D">
        <w:rPr>
          <w:rFonts w:ascii="Palatino Linotype" w:eastAsia="Calibri" w:hAnsi="Palatino Linotype" w:cs="Arial"/>
          <w:color w:val="000000" w:themeColor="text1"/>
        </w:rPr>
        <w:t xml:space="preserve"> </w:t>
      </w:r>
      <w:r w:rsidR="00AF6795" w:rsidRPr="00EA641D">
        <w:rPr>
          <w:rFonts w:ascii="Palatino Linotype" w:eastAsia="Calibri" w:hAnsi="Palatino Linotype" w:cs="Arial"/>
          <w:color w:val="000000" w:themeColor="text1"/>
        </w:rPr>
        <w:t>Órgano Garante</w:t>
      </w:r>
      <w:r w:rsidRPr="00EA641D">
        <w:rPr>
          <w:rFonts w:ascii="Palatino Linotype" w:eastAsia="Calibri" w:hAnsi="Palatino Linotype" w:cs="Arial"/>
          <w:color w:val="000000" w:themeColor="text1"/>
        </w:rPr>
        <w:t xml:space="preserve"> advierte que </w:t>
      </w:r>
      <w:r w:rsidR="00540208" w:rsidRPr="00EA641D">
        <w:rPr>
          <w:rFonts w:ascii="Palatino Linotype" w:eastAsia="Calibri" w:hAnsi="Palatino Linotype" w:cs="Arial"/>
          <w:color w:val="000000" w:themeColor="text1"/>
        </w:rPr>
        <w:t xml:space="preserve">el escrito contiene las formalidades previstas por el artículo 180 último párrafo de la Ley </w:t>
      </w:r>
      <w:r w:rsidR="004911B6" w:rsidRPr="00EA641D">
        <w:rPr>
          <w:rFonts w:ascii="Palatino Linotype" w:eastAsia="Calibri" w:hAnsi="Palatino Linotype" w:cs="Arial"/>
          <w:color w:val="000000" w:themeColor="text1"/>
        </w:rPr>
        <w:t>de Transparencia y Acceso a la Información Pública del Estado de México y Municipios</w:t>
      </w:r>
      <w:r w:rsidR="00540208" w:rsidRPr="00EA641D">
        <w:rPr>
          <w:rFonts w:ascii="Palatino Linotype" w:eastAsia="Calibri" w:hAnsi="Palatino Linotype" w:cs="Arial"/>
          <w:color w:val="000000" w:themeColor="text1"/>
        </w:rPr>
        <w:t xml:space="preserve">, por lo que es procedente que </w:t>
      </w:r>
      <w:r w:rsidR="004911B6" w:rsidRPr="00EA641D">
        <w:rPr>
          <w:rFonts w:ascii="Palatino Linotype" w:eastAsia="Calibri" w:hAnsi="Palatino Linotype" w:cs="Arial"/>
          <w:color w:val="000000" w:themeColor="text1"/>
        </w:rPr>
        <w:t>e</w:t>
      </w:r>
      <w:r w:rsidR="00540208" w:rsidRPr="00EA641D">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Pr="00EA641D" w:rsidRDefault="00262C1D" w:rsidP="00262C1D">
      <w:pPr>
        <w:pStyle w:val="Prrafodelista"/>
        <w:rPr>
          <w:rFonts w:ascii="Palatino Linotype" w:eastAsia="Times New Roman" w:hAnsi="Palatino Linotype" w:cs="Arial"/>
          <w:bCs/>
          <w:color w:val="000000" w:themeColor="text1"/>
          <w:lang w:eastAsia="es-MX"/>
        </w:rPr>
      </w:pPr>
    </w:p>
    <w:p w14:paraId="08C30485" w14:textId="77777777" w:rsidR="00E23CA4" w:rsidRPr="00EA641D" w:rsidRDefault="00E23CA4" w:rsidP="00262C1D">
      <w:pPr>
        <w:pStyle w:val="Prrafodelista"/>
        <w:rPr>
          <w:rFonts w:ascii="Palatino Linotype" w:eastAsia="Times New Roman" w:hAnsi="Palatino Linotype" w:cs="Arial"/>
          <w:bCs/>
          <w:color w:val="000000" w:themeColor="text1"/>
          <w:lang w:eastAsia="es-MX"/>
        </w:rPr>
      </w:pPr>
    </w:p>
    <w:p w14:paraId="15661DD9" w14:textId="2CDF4EE3" w:rsidR="00540208" w:rsidRPr="00EA641D"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EA641D">
        <w:rPr>
          <w:rFonts w:ascii="Palatino Linotype" w:hAnsi="Palatino Linotype"/>
          <w:b/>
          <w:color w:val="000000" w:themeColor="text1"/>
          <w:sz w:val="24"/>
          <w:szCs w:val="24"/>
        </w:rPr>
        <w:t>TERCERO</w:t>
      </w:r>
      <w:r w:rsidR="00C50A2B" w:rsidRPr="00EA641D">
        <w:rPr>
          <w:rFonts w:ascii="Palatino Linotype" w:hAnsi="Palatino Linotype"/>
          <w:b/>
          <w:color w:val="000000" w:themeColor="text1"/>
          <w:sz w:val="24"/>
          <w:szCs w:val="24"/>
        </w:rPr>
        <w:t>. De</w:t>
      </w:r>
      <w:r w:rsidR="00AD76A1" w:rsidRPr="00EA641D">
        <w:rPr>
          <w:rFonts w:ascii="Palatino Linotype" w:hAnsi="Palatino Linotype"/>
          <w:b/>
          <w:color w:val="000000" w:themeColor="text1"/>
          <w:sz w:val="24"/>
          <w:szCs w:val="24"/>
        </w:rPr>
        <w:t xml:space="preserve">l planteamiento de la </w:t>
      </w:r>
      <w:r w:rsidR="00AD76A1" w:rsidRPr="00EA641D">
        <w:rPr>
          <w:rFonts w:ascii="Palatino Linotype" w:hAnsi="Palatino Linotype"/>
          <w:b/>
          <w:i/>
          <w:color w:val="000000" w:themeColor="text1"/>
          <w:sz w:val="24"/>
          <w:szCs w:val="24"/>
        </w:rPr>
        <w:t>Litis</w:t>
      </w:r>
      <w:r w:rsidR="00C50A2B" w:rsidRPr="00EA641D">
        <w:rPr>
          <w:rFonts w:ascii="Palatino Linotype" w:hAnsi="Palatino Linotype"/>
          <w:b/>
          <w:color w:val="000000" w:themeColor="text1"/>
          <w:sz w:val="24"/>
          <w:szCs w:val="24"/>
        </w:rPr>
        <w:t>.</w:t>
      </w:r>
      <w:bookmarkEnd w:id="12"/>
      <w:bookmarkEnd w:id="13"/>
      <w:bookmarkEnd w:id="14"/>
    </w:p>
    <w:p w14:paraId="4231B8D5" w14:textId="77777777" w:rsidR="00540208" w:rsidRPr="00EA641D" w:rsidRDefault="00540208" w:rsidP="00B31E90">
      <w:pPr>
        <w:rPr>
          <w:rFonts w:ascii="Palatino Linotype" w:hAnsi="Palatino Linotype"/>
          <w:color w:val="000000" w:themeColor="text1"/>
          <w:lang w:eastAsia="en-US"/>
        </w:rPr>
      </w:pPr>
    </w:p>
    <w:bookmarkEnd w:id="15"/>
    <w:bookmarkEnd w:id="16"/>
    <w:p w14:paraId="34E542D1" w14:textId="6FF88359" w:rsidR="00F778B2" w:rsidRPr="00EA641D"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A641D">
        <w:rPr>
          <w:rFonts w:ascii="Palatino Linotype" w:hAnsi="Palatino Linotype" w:cs="Arial"/>
          <w:color w:val="000000" w:themeColor="text1"/>
        </w:rPr>
        <w:t>El Recurrente solicitó</w:t>
      </w:r>
      <w:r w:rsidR="00F778B2" w:rsidRPr="00EA641D">
        <w:rPr>
          <w:rFonts w:ascii="Palatino Linotype" w:hAnsi="Palatino Linotype" w:cs="Arial"/>
          <w:color w:val="000000" w:themeColor="text1"/>
        </w:rPr>
        <w:t xml:space="preserve"> lo siguiente:</w:t>
      </w:r>
    </w:p>
    <w:p w14:paraId="71226947" w14:textId="77777777" w:rsidR="009A3B2B" w:rsidRPr="00EA641D"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2FE7BEA1" w14:textId="77777777" w:rsidR="00E139E9" w:rsidRPr="00EA641D" w:rsidRDefault="00E139E9" w:rsidP="00E139E9">
      <w:pPr>
        <w:pStyle w:val="Prrafodelista"/>
        <w:numPr>
          <w:ilvl w:val="0"/>
          <w:numId w:val="18"/>
        </w:num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lastRenderedPageBreak/>
        <w:t>CON RESPECTO A LA CONVOCATORIA PÚBLICA AL CONCURSO ABIERTO DE OPOSICIÓN PARA LA SELECCIÓN DE DEFENSORAS Y DEFENSORES PÚBLICOS CON ESPECIALIZACIÓN EN LAS RAMAS DE DERECHO PENAL, CIVIL, FAMILIAR, MERCANTIL Y DE RESPONSABILIDADES ADMINISTRATIVAS PARA EL VALLE DE TOLUCA, VALLE DE MÉXICO ZONA NORORIENTE Y VALLE DE MÉXICO ZONA ORIENTE DEL ESTADO DE MÉXICO DE FECHA 15 DE MARZO DE 2022 EMITIDA POR ESTE SUJETO OBLIGADO ME PERMITO SOLICITAR LA SIGUIENTE INFORMACIÓN PÚBLICA:</w:t>
      </w:r>
    </w:p>
    <w:p w14:paraId="66831A5D" w14:textId="77777777" w:rsidR="00E139E9" w:rsidRPr="00EA641D" w:rsidRDefault="00E139E9" w:rsidP="00E139E9">
      <w:pPr>
        <w:pStyle w:val="Prrafodelista"/>
        <w:spacing w:line="360" w:lineRule="auto"/>
        <w:ind w:right="49"/>
        <w:jc w:val="both"/>
        <w:rPr>
          <w:rFonts w:ascii="Palatino Linotype" w:eastAsia="Times New Roman" w:hAnsi="Palatino Linotype" w:cs="Times New Roman"/>
          <w:szCs w:val="22"/>
          <w:lang w:eastAsia="es-MX"/>
        </w:rPr>
      </w:pPr>
    </w:p>
    <w:p w14:paraId="4E975540" w14:textId="1FEFD11E" w:rsidR="00E139E9" w:rsidRPr="00EA641D" w:rsidRDefault="00E139E9" w:rsidP="00E139E9">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t xml:space="preserve"> NOMBRE DE LOS ASPIRANTES QUE CUMPLIERON CON TODOS LOS REQUISITOS.</w:t>
      </w:r>
    </w:p>
    <w:p w14:paraId="2008F41C" w14:textId="77777777" w:rsidR="00E139E9" w:rsidRPr="00EA641D" w:rsidRDefault="00E139E9" w:rsidP="00E139E9">
      <w:pPr>
        <w:pStyle w:val="Prrafodelista"/>
        <w:rPr>
          <w:rFonts w:ascii="Palatino Linotype" w:eastAsia="Times New Roman" w:hAnsi="Palatino Linotype" w:cs="Times New Roman"/>
          <w:szCs w:val="22"/>
          <w:lang w:eastAsia="es-MX"/>
        </w:rPr>
      </w:pPr>
    </w:p>
    <w:p w14:paraId="28E09C65" w14:textId="49EDCE9B" w:rsidR="00E139E9" w:rsidRPr="00EA641D" w:rsidRDefault="00E139E9" w:rsidP="00E139E9">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t xml:space="preserve">LISTADO DE LOS ASPIRANTES QUE FUERON CONTACTADOS MEDIANTE LLAMADAS TELÉFONICAS PARA PRESENTAR EL EXAMEN DE OPOSICIÓN. </w:t>
      </w:r>
    </w:p>
    <w:p w14:paraId="664973FB" w14:textId="77777777" w:rsidR="00E139E9" w:rsidRPr="00EA641D" w:rsidRDefault="00E139E9" w:rsidP="00E139E9">
      <w:pPr>
        <w:pStyle w:val="Prrafodelista"/>
        <w:rPr>
          <w:rFonts w:ascii="Palatino Linotype" w:eastAsia="Times New Roman" w:hAnsi="Palatino Linotype" w:cs="Times New Roman"/>
          <w:szCs w:val="22"/>
          <w:lang w:eastAsia="es-MX"/>
        </w:rPr>
      </w:pPr>
    </w:p>
    <w:p w14:paraId="341AC266" w14:textId="58F85550" w:rsidR="00E139E9" w:rsidRPr="00EA641D" w:rsidRDefault="00E139E9" w:rsidP="00E139E9">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t xml:space="preserve">CRITERIOS PARA DECIDIR QUÉ ASPIRANTES PODÍAN PRESENTAR EL EXAMEN DE OPOSICIÓN, PUES ALGUNOS ASPIRANTES A PESAR DE CUBRIR CON LOS REQUISITOS NO FUERON CONTACTADOS. </w:t>
      </w:r>
    </w:p>
    <w:p w14:paraId="06FDEDE8" w14:textId="77777777" w:rsidR="00E139E9" w:rsidRPr="00EA641D" w:rsidRDefault="00E139E9" w:rsidP="00E139E9">
      <w:pPr>
        <w:pStyle w:val="Prrafodelista"/>
        <w:rPr>
          <w:rFonts w:ascii="Palatino Linotype" w:eastAsia="Times New Roman" w:hAnsi="Palatino Linotype" w:cs="Times New Roman"/>
          <w:szCs w:val="22"/>
          <w:lang w:eastAsia="es-MX"/>
        </w:rPr>
      </w:pPr>
    </w:p>
    <w:p w14:paraId="052094B1" w14:textId="63CD6068" w:rsidR="00E139E9" w:rsidRPr="00EA641D" w:rsidRDefault="00E139E9" w:rsidP="00E139E9">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t xml:space="preserve">FECHAS Y LISTAS DE ASISTENCIA DE LOS ASPIRANTES QUE ACUDIERON A LA PRESENTACIÓN DEL EXAMEN DE OPOSICIÓN. </w:t>
      </w:r>
    </w:p>
    <w:p w14:paraId="47FB2C85" w14:textId="77777777" w:rsidR="00E139E9" w:rsidRPr="00EA641D" w:rsidRDefault="00E139E9" w:rsidP="00E139E9">
      <w:pPr>
        <w:pStyle w:val="Prrafodelista"/>
        <w:rPr>
          <w:rFonts w:ascii="Palatino Linotype" w:eastAsia="Times New Roman" w:hAnsi="Palatino Linotype" w:cs="Times New Roman"/>
          <w:szCs w:val="22"/>
          <w:lang w:eastAsia="es-MX"/>
        </w:rPr>
      </w:pPr>
    </w:p>
    <w:p w14:paraId="51DBD8CB" w14:textId="062C1279" w:rsidR="00E139E9" w:rsidRPr="00EA641D" w:rsidRDefault="00E139E9" w:rsidP="00E139E9">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t xml:space="preserve">TOTAL DE PREGUNTAS DEL EXAMEN DE OPOSICIÓN POR CADA RAMA DE DERECHO Y TIEMPO DE APLICACIÓN. </w:t>
      </w:r>
    </w:p>
    <w:p w14:paraId="26192808" w14:textId="77777777" w:rsidR="00E139E9" w:rsidRPr="00EA641D" w:rsidRDefault="00E139E9" w:rsidP="00E139E9">
      <w:pPr>
        <w:pStyle w:val="Prrafodelista"/>
        <w:rPr>
          <w:rFonts w:ascii="Palatino Linotype" w:eastAsia="Times New Roman" w:hAnsi="Palatino Linotype" w:cs="Times New Roman"/>
          <w:szCs w:val="22"/>
          <w:lang w:eastAsia="es-MX"/>
        </w:rPr>
      </w:pPr>
    </w:p>
    <w:p w14:paraId="15075649" w14:textId="334200F9" w:rsidR="00E139E9" w:rsidRPr="00EA641D" w:rsidRDefault="00E139E9" w:rsidP="009929C5">
      <w:pPr>
        <w:pStyle w:val="Prrafodelista"/>
        <w:numPr>
          <w:ilvl w:val="0"/>
          <w:numId w:val="6"/>
        </w:num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t xml:space="preserve">LISTADO DE LOS ASPIRANTES ENTREVISTADOS POR EL PERSONAL DEL INSTITUTO DE LA DEFENSORÍA PÚBLICA SEGÚN LO SEÑALADO EN EL INCISO D DEL COMUNICADO. </w:t>
      </w:r>
    </w:p>
    <w:p w14:paraId="0D6997BC" w14:textId="77777777" w:rsidR="00E139E9" w:rsidRPr="00EA641D" w:rsidRDefault="00E139E9" w:rsidP="00E139E9">
      <w:pPr>
        <w:pStyle w:val="Prrafodelista"/>
        <w:spacing w:line="360" w:lineRule="auto"/>
        <w:ind w:right="49"/>
        <w:jc w:val="both"/>
        <w:rPr>
          <w:rFonts w:ascii="Palatino Linotype" w:eastAsia="Times New Roman" w:hAnsi="Palatino Linotype" w:cs="Times New Roman"/>
          <w:szCs w:val="22"/>
          <w:lang w:eastAsia="es-MX"/>
        </w:rPr>
      </w:pPr>
    </w:p>
    <w:p w14:paraId="08E5166D" w14:textId="20659071" w:rsidR="00E139E9" w:rsidRPr="00EA641D"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A641D">
        <w:rPr>
          <w:rFonts w:ascii="Palatino Linotype" w:hAnsi="Palatino Linotype" w:cs="Arial"/>
          <w:color w:val="000000" w:themeColor="text1"/>
        </w:rPr>
        <w:t xml:space="preserve">El Sujeto Obligado </w:t>
      </w:r>
      <w:r w:rsidR="00E139E9" w:rsidRPr="00EA641D">
        <w:rPr>
          <w:rFonts w:ascii="Palatino Linotype" w:hAnsi="Palatino Linotype" w:cs="Arial"/>
          <w:color w:val="000000" w:themeColor="text1"/>
        </w:rPr>
        <w:t xml:space="preserve">entregó parte de la información, clasificó el listado de aspirantes y </w:t>
      </w:r>
      <w:r w:rsidR="00ED4D3F" w:rsidRPr="00EA641D">
        <w:rPr>
          <w:rFonts w:ascii="Palatino Linotype" w:hAnsi="Palatino Linotype" w:cs="Arial"/>
          <w:color w:val="000000" w:themeColor="text1"/>
        </w:rPr>
        <w:t>declaró</w:t>
      </w:r>
      <w:r w:rsidR="00E139E9" w:rsidRPr="00EA641D">
        <w:rPr>
          <w:rFonts w:ascii="Palatino Linotype" w:hAnsi="Palatino Linotype" w:cs="Arial"/>
          <w:color w:val="000000" w:themeColor="text1"/>
        </w:rPr>
        <w:t xml:space="preserve"> </w:t>
      </w:r>
      <w:r w:rsidR="00ED4D3F" w:rsidRPr="00EA641D">
        <w:rPr>
          <w:rFonts w:ascii="Palatino Linotype" w:hAnsi="Palatino Linotype" w:cs="Arial"/>
          <w:color w:val="000000" w:themeColor="text1"/>
        </w:rPr>
        <w:t>incom</w:t>
      </w:r>
      <w:r w:rsidR="00E139E9" w:rsidRPr="00EA641D">
        <w:rPr>
          <w:rFonts w:ascii="Palatino Linotype" w:hAnsi="Palatino Linotype" w:cs="Arial"/>
          <w:color w:val="000000" w:themeColor="text1"/>
        </w:rPr>
        <w:t>petencia sobre listas de asistencia, total de preguntas del examen de oposición.</w:t>
      </w:r>
    </w:p>
    <w:p w14:paraId="49F7707F" w14:textId="77777777" w:rsidR="00E139E9" w:rsidRPr="00EA641D" w:rsidRDefault="00E139E9" w:rsidP="00E139E9">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01E0AB23" w:rsidR="00CC63CB" w:rsidRPr="00EA641D"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A641D">
        <w:rPr>
          <w:rFonts w:ascii="Palatino Linotype" w:eastAsia="Calibri" w:hAnsi="Palatino Linotype" w:cs="Tahoma"/>
          <w:color w:val="000000"/>
          <w:lang w:val="es-ES" w:eastAsia="es-MX"/>
        </w:rPr>
        <w:t>El Particular se inconformó</w:t>
      </w:r>
      <w:r w:rsidR="00CC63CB" w:rsidRPr="00EA641D">
        <w:rPr>
          <w:rFonts w:ascii="Palatino Linotype" w:eastAsia="Calibri" w:hAnsi="Palatino Linotype" w:cs="Tahoma"/>
          <w:color w:val="000000"/>
          <w:lang w:val="es-ES" w:eastAsia="es-MX"/>
        </w:rPr>
        <w:t xml:space="preserve"> por</w:t>
      </w:r>
      <w:r w:rsidR="00E139E9" w:rsidRPr="00EA641D">
        <w:rPr>
          <w:rFonts w:ascii="Palatino Linotype" w:eastAsia="Calibri" w:hAnsi="Palatino Linotype" w:cs="Tahoma"/>
          <w:color w:val="000000"/>
          <w:lang w:val="es-ES" w:eastAsia="es-MX"/>
        </w:rPr>
        <w:t xml:space="preserve"> la clasificación de la información y la declaración de incompetencia.</w:t>
      </w:r>
      <w:r w:rsidR="00CC63CB" w:rsidRPr="00EA641D">
        <w:rPr>
          <w:rFonts w:ascii="Palatino Linotype" w:eastAsia="Calibri" w:hAnsi="Palatino Linotype" w:cs="Tahoma"/>
          <w:color w:val="000000"/>
          <w:lang w:val="es-ES" w:eastAsia="es-MX"/>
        </w:rPr>
        <w:t xml:space="preserve"> </w:t>
      </w:r>
    </w:p>
    <w:p w14:paraId="49E3C58D" w14:textId="77777777" w:rsidR="00CC63CB" w:rsidRPr="00EA641D" w:rsidRDefault="00CC63CB" w:rsidP="00CC63CB">
      <w:pPr>
        <w:pStyle w:val="Prrafodelista"/>
        <w:rPr>
          <w:rFonts w:ascii="Palatino Linotype" w:eastAsia="Calibri" w:hAnsi="Palatino Linotype" w:cs="Tahoma"/>
          <w:color w:val="000000"/>
          <w:lang w:val="es-ES" w:eastAsia="es-MX"/>
        </w:rPr>
      </w:pPr>
    </w:p>
    <w:p w14:paraId="1C5AB6B5" w14:textId="49C11C59" w:rsidR="009F1566" w:rsidRPr="00EA641D"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A641D">
        <w:rPr>
          <w:rFonts w:ascii="Palatino Linotype" w:hAnsi="Palatino Linotype" w:cs="Arial"/>
          <w:color w:val="000000" w:themeColor="text1"/>
          <w:szCs w:val="23"/>
        </w:rPr>
        <w:t xml:space="preserve">Por lo anterior, la </w:t>
      </w:r>
      <w:r w:rsidRPr="00EA641D">
        <w:rPr>
          <w:rFonts w:ascii="Palatino Linotype" w:hAnsi="Palatino Linotype" w:cs="Arial"/>
          <w:i/>
          <w:color w:val="000000" w:themeColor="text1"/>
          <w:szCs w:val="23"/>
        </w:rPr>
        <w:t>Litis</w:t>
      </w:r>
      <w:r w:rsidRPr="00EA641D">
        <w:rPr>
          <w:rFonts w:ascii="Palatino Linotype" w:hAnsi="Palatino Linotype" w:cs="Arial"/>
          <w:color w:val="000000" w:themeColor="text1"/>
          <w:szCs w:val="23"/>
        </w:rPr>
        <w:t xml:space="preserve"> a resolver en el presente recurso se circunscribe en determinar si</w:t>
      </w:r>
      <w:r w:rsidR="002C6561" w:rsidRPr="00EA641D">
        <w:rPr>
          <w:rFonts w:ascii="Palatino Linotype" w:hAnsi="Palatino Linotype" w:cs="Arial"/>
          <w:color w:val="000000" w:themeColor="text1"/>
          <w:szCs w:val="23"/>
        </w:rPr>
        <w:t xml:space="preserve"> </w:t>
      </w:r>
      <w:r w:rsidR="004B0EB6" w:rsidRPr="00EA641D">
        <w:rPr>
          <w:rFonts w:ascii="Palatino Linotype" w:hAnsi="Palatino Linotype" w:cs="Arial"/>
          <w:color w:val="000000" w:themeColor="text1"/>
          <w:szCs w:val="23"/>
        </w:rPr>
        <w:t>la respuesta del</w:t>
      </w:r>
      <w:r w:rsidR="002C6561" w:rsidRPr="00EA641D">
        <w:rPr>
          <w:rFonts w:ascii="Palatino Linotype" w:hAnsi="Palatino Linotype" w:cs="Arial"/>
          <w:color w:val="000000" w:themeColor="text1"/>
          <w:szCs w:val="23"/>
        </w:rPr>
        <w:t xml:space="preserve"> </w:t>
      </w:r>
      <w:r w:rsidR="002C6561" w:rsidRPr="00EA641D">
        <w:rPr>
          <w:rFonts w:ascii="Palatino Linotype" w:hAnsi="Palatino Linotype" w:cs="Arial"/>
          <w:b/>
          <w:bCs/>
          <w:color w:val="000000" w:themeColor="text1"/>
          <w:szCs w:val="23"/>
        </w:rPr>
        <w:t>SUJETO OBLIGADO</w:t>
      </w:r>
      <w:r w:rsidR="002C6561" w:rsidRPr="00EA641D">
        <w:rPr>
          <w:rFonts w:ascii="Palatino Linotype" w:hAnsi="Palatino Linotype" w:cs="Arial"/>
          <w:color w:val="000000" w:themeColor="text1"/>
          <w:szCs w:val="23"/>
        </w:rPr>
        <w:t xml:space="preserve"> </w:t>
      </w:r>
      <w:r w:rsidR="004B0EB6" w:rsidRPr="00EA641D">
        <w:rPr>
          <w:rFonts w:ascii="Palatino Linotype" w:hAnsi="Palatino Linotype" w:cs="Arial"/>
          <w:color w:val="000000" w:themeColor="text1"/>
          <w:szCs w:val="23"/>
        </w:rPr>
        <w:t xml:space="preserve">colma el derecho de acceso a la información ejercido por el </w:t>
      </w:r>
      <w:r w:rsidR="004B0EB6" w:rsidRPr="00EA641D">
        <w:rPr>
          <w:rFonts w:ascii="Palatino Linotype" w:hAnsi="Palatino Linotype" w:cs="Arial"/>
          <w:b/>
          <w:bCs/>
          <w:color w:val="000000" w:themeColor="text1"/>
          <w:szCs w:val="23"/>
        </w:rPr>
        <w:t>RECURRENTE</w:t>
      </w:r>
      <w:r w:rsidR="002C6561" w:rsidRPr="00EA641D">
        <w:rPr>
          <w:rFonts w:ascii="Palatino Linotype" w:hAnsi="Palatino Linotype" w:cs="Arial"/>
          <w:color w:val="000000" w:themeColor="text1"/>
          <w:szCs w:val="23"/>
        </w:rPr>
        <w:t>; o si, por el contrario, se</w:t>
      </w:r>
      <w:r w:rsidR="00E32652" w:rsidRPr="00EA641D">
        <w:rPr>
          <w:rFonts w:ascii="Palatino Linotype" w:hAnsi="Palatino Linotype" w:cs="Arial"/>
          <w:color w:val="000000" w:themeColor="text1"/>
          <w:szCs w:val="23"/>
        </w:rPr>
        <w:t xml:space="preserve"> </w:t>
      </w:r>
      <w:r w:rsidR="0028248C" w:rsidRPr="00EA641D">
        <w:rPr>
          <w:rFonts w:ascii="Palatino Linotype" w:hAnsi="Palatino Linotype"/>
          <w:color w:val="000000" w:themeColor="text1"/>
        </w:rPr>
        <w:t>actualiza la causal de procedencia</w:t>
      </w:r>
      <w:r w:rsidR="00E66A80" w:rsidRPr="00EA641D">
        <w:rPr>
          <w:rFonts w:ascii="Palatino Linotype" w:hAnsi="Palatino Linotype" w:cs="Arial"/>
          <w:color w:val="000000" w:themeColor="text1"/>
          <w:szCs w:val="23"/>
        </w:rPr>
        <w:t xml:space="preserve"> del recurso de revisión establecida</w:t>
      </w:r>
      <w:r w:rsidR="00A42161" w:rsidRPr="00EA641D">
        <w:rPr>
          <w:rFonts w:ascii="Palatino Linotype" w:hAnsi="Palatino Linotype" w:cs="Arial"/>
          <w:color w:val="000000" w:themeColor="text1"/>
          <w:szCs w:val="23"/>
        </w:rPr>
        <w:t xml:space="preserve"> en la fracci</w:t>
      </w:r>
      <w:r w:rsidR="00765786" w:rsidRPr="00EA641D">
        <w:rPr>
          <w:rFonts w:ascii="Palatino Linotype" w:hAnsi="Palatino Linotype" w:cs="Arial"/>
          <w:color w:val="000000" w:themeColor="text1"/>
          <w:szCs w:val="23"/>
        </w:rPr>
        <w:t>ón</w:t>
      </w:r>
      <w:r w:rsidR="00A42161" w:rsidRPr="00EA641D">
        <w:rPr>
          <w:rFonts w:ascii="Palatino Linotype" w:hAnsi="Palatino Linotype" w:cs="Arial"/>
          <w:color w:val="000000" w:themeColor="text1"/>
          <w:szCs w:val="23"/>
        </w:rPr>
        <w:t xml:space="preserve"> </w:t>
      </w:r>
      <w:r w:rsidR="00ED4D3F" w:rsidRPr="00EA641D">
        <w:rPr>
          <w:rFonts w:ascii="Palatino Linotype" w:hAnsi="Palatino Linotype" w:cs="Arial"/>
          <w:color w:val="000000" w:themeColor="text1"/>
          <w:szCs w:val="23"/>
        </w:rPr>
        <w:t>II y IV</w:t>
      </w:r>
      <w:r w:rsidR="00E66A80" w:rsidRPr="00EA641D">
        <w:rPr>
          <w:rFonts w:ascii="Palatino Linotype" w:hAnsi="Palatino Linotype" w:cs="Arial"/>
          <w:color w:val="000000" w:themeColor="text1"/>
          <w:szCs w:val="23"/>
        </w:rPr>
        <w:t xml:space="preserve"> </w:t>
      </w:r>
      <w:r w:rsidR="00A42161" w:rsidRPr="00EA641D">
        <w:rPr>
          <w:rFonts w:ascii="Palatino Linotype" w:hAnsi="Palatino Linotype" w:cs="Arial"/>
          <w:color w:val="000000" w:themeColor="text1"/>
          <w:szCs w:val="23"/>
        </w:rPr>
        <w:t>de</w:t>
      </w:r>
      <w:r w:rsidR="00E66A80" w:rsidRPr="00EA641D">
        <w:rPr>
          <w:rFonts w:ascii="Palatino Linotype" w:hAnsi="Palatino Linotype" w:cs="Arial"/>
          <w:color w:val="000000" w:themeColor="text1"/>
          <w:szCs w:val="23"/>
        </w:rPr>
        <w:t>l artículo 179</w:t>
      </w:r>
      <w:r w:rsidR="008E4483" w:rsidRPr="00EA641D">
        <w:rPr>
          <w:rFonts w:ascii="Palatino Linotype" w:hAnsi="Palatino Linotype" w:cs="Arial"/>
          <w:color w:val="000000" w:themeColor="text1"/>
          <w:szCs w:val="23"/>
        </w:rPr>
        <w:t xml:space="preserve"> </w:t>
      </w:r>
      <w:r w:rsidR="00E66A80" w:rsidRPr="00EA641D">
        <w:rPr>
          <w:rFonts w:ascii="Palatino Linotype" w:hAnsi="Palatino Linotype" w:cs="Arial"/>
          <w:color w:val="000000" w:themeColor="text1"/>
          <w:szCs w:val="23"/>
        </w:rPr>
        <w:t xml:space="preserve">de la Ley de Transparencia y Acceso a la Información Pública del Estado de México y Municipios, </w:t>
      </w:r>
      <w:r w:rsidR="004364EE" w:rsidRPr="00EA641D">
        <w:rPr>
          <w:rFonts w:ascii="Palatino Linotype" w:hAnsi="Palatino Linotype" w:cs="Arial"/>
          <w:color w:val="000000" w:themeColor="text1"/>
          <w:szCs w:val="23"/>
        </w:rPr>
        <w:t>misma</w:t>
      </w:r>
      <w:r w:rsidR="00C51671" w:rsidRPr="00EA641D">
        <w:rPr>
          <w:rFonts w:ascii="Palatino Linotype" w:hAnsi="Palatino Linotype" w:cs="Arial"/>
          <w:color w:val="000000" w:themeColor="text1"/>
          <w:szCs w:val="23"/>
        </w:rPr>
        <w:t xml:space="preserve"> </w:t>
      </w:r>
      <w:r w:rsidR="00E66A80" w:rsidRPr="00EA641D">
        <w:rPr>
          <w:rFonts w:ascii="Palatino Linotype" w:hAnsi="Palatino Linotype" w:cs="Arial"/>
          <w:color w:val="000000" w:themeColor="text1"/>
          <w:szCs w:val="23"/>
        </w:rPr>
        <w:t>que se transcribe a continuación:</w:t>
      </w:r>
    </w:p>
    <w:p w14:paraId="0F0C773B" w14:textId="77777777" w:rsidR="005946F4" w:rsidRPr="00EA641D" w:rsidRDefault="005946F4" w:rsidP="005946F4">
      <w:pPr>
        <w:pStyle w:val="Prrafodelista"/>
        <w:rPr>
          <w:rFonts w:ascii="Palatino Linotype" w:hAnsi="Palatino Linotype" w:cs="Arial"/>
          <w:color w:val="000000" w:themeColor="text1"/>
        </w:rPr>
      </w:pPr>
    </w:p>
    <w:p w14:paraId="31379DA7" w14:textId="77777777" w:rsidR="005946F4" w:rsidRPr="00EA641D" w:rsidRDefault="005946F4" w:rsidP="005946F4">
      <w:pPr>
        <w:tabs>
          <w:tab w:val="left" w:pos="426"/>
        </w:tabs>
        <w:spacing w:line="360" w:lineRule="auto"/>
        <w:ind w:left="567" w:right="616"/>
        <w:jc w:val="both"/>
        <w:rPr>
          <w:rFonts w:ascii="Palatino Linotype" w:hAnsi="Palatino Linotype"/>
          <w:i/>
          <w:iCs/>
        </w:rPr>
      </w:pPr>
      <w:r w:rsidRPr="00EA641D">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9113C16" w:rsidR="000152B8" w:rsidRPr="00EA641D" w:rsidRDefault="00445CA7" w:rsidP="005946F4">
      <w:pPr>
        <w:tabs>
          <w:tab w:val="left" w:pos="426"/>
        </w:tabs>
        <w:spacing w:line="360" w:lineRule="auto"/>
        <w:ind w:left="567" w:right="616"/>
        <w:jc w:val="both"/>
        <w:rPr>
          <w:rFonts w:ascii="Palatino Linotype" w:hAnsi="Palatino Linotype"/>
          <w:i/>
          <w:iCs/>
        </w:rPr>
      </w:pPr>
      <w:r w:rsidRPr="00EA641D">
        <w:rPr>
          <w:rFonts w:ascii="Palatino Linotype" w:hAnsi="Palatino Linotype"/>
          <w:i/>
          <w:iCs/>
        </w:rPr>
        <w:t>…</w:t>
      </w:r>
    </w:p>
    <w:p w14:paraId="70F6CE1A" w14:textId="77777777" w:rsidR="00ED4D3F" w:rsidRPr="00EA641D" w:rsidRDefault="00ED4D3F" w:rsidP="00ED4D3F">
      <w:pPr>
        <w:tabs>
          <w:tab w:val="left" w:pos="426"/>
        </w:tabs>
        <w:spacing w:line="360" w:lineRule="auto"/>
        <w:ind w:left="567" w:right="616"/>
        <w:jc w:val="both"/>
        <w:rPr>
          <w:rFonts w:ascii="Palatino Linotype" w:hAnsi="Palatino Linotype"/>
          <w:i/>
          <w:sz w:val="22"/>
        </w:rPr>
      </w:pPr>
      <w:r w:rsidRPr="00EA641D">
        <w:rPr>
          <w:rFonts w:ascii="Palatino Linotype" w:hAnsi="Palatino Linotype"/>
          <w:i/>
          <w:sz w:val="22"/>
        </w:rPr>
        <w:t>II. La clasificación de la información;</w:t>
      </w:r>
    </w:p>
    <w:p w14:paraId="7CD7C930" w14:textId="5766082D" w:rsidR="00ED4D3F" w:rsidRPr="00EA641D" w:rsidRDefault="00ED4D3F" w:rsidP="00ED4D3F">
      <w:pPr>
        <w:tabs>
          <w:tab w:val="left" w:pos="426"/>
        </w:tabs>
        <w:spacing w:line="360" w:lineRule="auto"/>
        <w:ind w:left="567" w:right="616"/>
        <w:jc w:val="both"/>
        <w:rPr>
          <w:rFonts w:ascii="Palatino Linotype" w:hAnsi="Palatino Linotype"/>
          <w:i/>
          <w:sz w:val="22"/>
        </w:rPr>
      </w:pPr>
      <w:r w:rsidRPr="00EA641D">
        <w:rPr>
          <w:rFonts w:ascii="Palatino Linotype" w:hAnsi="Palatino Linotype"/>
          <w:i/>
          <w:sz w:val="22"/>
        </w:rPr>
        <w:t>…</w:t>
      </w:r>
    </w:p>
    <w:p w14:paraId="649824E1" w14:textId="07EBD1AF" w:rsidR="00445CA7" w:rsidRPr="00EA641D" w:rsidRDefault="00ED4D3F" w:rsidP="00ED4D3F">
      <w:pPr>
        <w:tabs>
          <w:tab w:val="left" w:pos="426"/>
        </w:tabs>
        <w:spacing w:line="360" w:lineRule="auto"/>
        <w:ind w:left="567" w:right="616"/>
        <w:jc w:val="both"/>
        <w:rPr>
          <w:rFonts w:ascii="Palatino Linotype" w:hAnsi="Palatino Linotype"/>
          <w:i/>
          <w:sz w:val="22"/>
        </w:rPr>
      </w:pPr>
      <w:r w:rsidRPr="00EA641D">
        <w:rPr>
          <w:rFonts w:ascii="Palatino Linotype" w:hAnsi="Palatino Linotype"/>
          <w:i/>
          <w:sz w:val="22"/>
        </w:rPr>
        <w:lastRenderedPageBreak/>
        <w:t>IV. La declaración de incompetencia por el sujeto obligado;</w:t>
      </w:r>
      <w:r w:rsidRPr="00EA641D">
        <w:rPr>
          <w:rFonts w:ascii="Palatino Linotype" w:hAnsi="Palatino Linotype"/>
          <w:i/>
          <w:sz w:val="22"/>
        </w:rPr>
        <w:cr/>
      </w:r>
      <w:r w:rsidR="00445CA7" w:rsidRPr="00EA641D">
        <w:rPr>
          <w:rFonts w:ascii="Palatino Linotype" w:hAnsi="Palatino Linotype"/>
          <w:i/>
          <w:sz w:val="22"/>
        </w:rPr>
        <w:t>…</w:t>
      </w:r>
    </w:p>
    <w:p w14:paraId="26AD5E23" w14:textId="77777777" w:rsidR="008E4483" w:rsidRPr="00EA641D" w:rsidRDefault="008E4483" w:rsidP="008E4483">
      <w:pPr>
        <w:pStyle w:val="Prrafodelista"/>
        <w:rPr>
          <w:rFonts w:ascii="Palatino Linotype" w:hAnsi="Palatino Linotype" w:cs="Arial"/>
          <w:color w:val="000000" w:themeColor="text1"/>
        </w:rPr>
      </w:pPr>
    </w:p>
    <w:p w14:paraId="5CEC2F48" w14:textId="1B05DC04" w:rsidR="00EF014A" w:rsidRPr="00EA641D" w:rsidRDefault="00273D1A" w:rsidP="00F96156">
      <w:pPr>
        <w:pStyle w:val="Ttulo2"/>
        <w:tabs>
          <w:tab w:val="left" w:pos="426"/>
        </w:tabs>
        <w:rPr>
          <w:rFonts w:ascii="Palatino Linotype" w:hAnsi="Palatino Linotype" w:cs="Arial"/>
          <w:b/>
          <w:color w:val="000000" w:themeColor="text1"/>
          <w:sz w:val="24"/>
        </w:rPr>
      </w:pPr>
      <w:bookmarkStart w:id="22" w:name="_Toc87456489"/>
      <w:r w:rsidRPr="00EA641D">
        <w:rPr>
          <w:rFonts w:ascii="Palatino Linotype" w:hAnsi="Palatino Linotype" w:cs="Arial"/>
          <w:b/>
          <w:color w:val="000000" w:themeColor="text1"/>
          <w:sz w:val="24"/>
        </w:rPr>
        <w:t>CUARTO</w:t>
      </w:r>
      <w:r w:rsidR="00EF014A" w:rsidRPr="00EA641D">
        <w:rPr>
          <w:rFonts w:ascii="Palatino Linotype" w:hAnsi="Palatino Linotype" w:cs="Arial"/>
          <w:b/>
          <w:color w:val="000000" w:themeColor="text1"/>
          <w:sz w:val="24"/>
        </w:rPr>
        <w:t>. Estudio y Resolución del asunto.</w:t>
      </w:r>
      <w:bookmarkEnd w:id="22"/>
    </w:p>
    <w:p w14:paraId="6E979250" w14:textId="2A34D6B5" w:rsidR="00A55D2B" w:rsidRPr="00EA641D"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EA641D"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EA641D">
        <w:rPr>
          <w:rFonts w:ascii="Palatino Linotype" w:hAnsi="Palatino Linotype"/>
          <w:b/>
          <w:bCs/>
          <w:color w:val="000000" w:themeColor="text1"/>
        </w:rPr>
        <w:t xml:space="preserve">I. De la </w:t>
      </w:r>
      <w:r w:rsidR="00167813" w:rsidRPr="00EA641D">
        <w:rPr>
          <w:rFonts w:ascii="Palatino Linotype" w:hAnsi="Palatino Linotype"/>
          <w:b/>
          <w:bCs/>
          <w:color w:val="000000" w:themeColor="text1"/>
        </w:rPr>
        <w:t>atención</w:t>
      </w:r>
      <w:r w:rsidR="00D00269" w:rsidRPr="00EA641D">
        <w:rPr>
          <w:rFonts w:ascii="Palatino Linotype" w:hAnsi="Palatino Linotype"/>
          <w:b/>
          <w:bCs/>
          <w:color w:val="000000" w:themeColor="text1"/>
        </w:rPr>
        <w:t xml:space="preserve"> a la solicitud de información</w:t>
      </w:r>
      <w:r w:rsidRPr="00EA641D">
        <w:rPr>
          <w:rFonts w:ascii="Palatino Linotype" w:hAnsi="Palatino Linotype"/>
          <w:b/>
          <w:bCs/>
          <w:color w:val="000000" w:themeColor="text1"/>
        </w:rPr>
        <w:t>.</w:t>
      </w:r>
      <w:bookmarkEnd w:id="25"/>
    </w:p>
    <w:p w14:paraId="4AC32336" w14:textId="77777777" w:rsidR="008E4483" w:rsidRPr="00EA641D"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EA641D">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EA641D" w:rsidRDefault="008E4483" w:rsidP="008E4483">
      <w:pPr>
        <w:rPr>
          <w:lang w:val="es-ES"/>
        </w:rPr>
      </w:pPr>
    </w:p>
    <w:p w14:paraId="7178C08C" w14:textId="77777777" w:rsidR="008E4483" w:rsidRPr="00EA641D" w:rsidRDefault="008E4483" w:rsidP="008E4483">
      <w:pPr>
        <w:numPr>
          <w:ilvl w:val="0"/>
          <w:numId w:val="1"/>
        </w:numPr>
        <w:spacing w:line="360" w:lineRule="auto"/>
        <w:ind w:right="34"/>
        <w:contextualSpacing/>
        <w:jc w:val="both"/>
        <w:rPr>
          <w:rFonts w:ascii="Palatino Linotype" w:eastAsia="MS Mincho" w:hAnsi="Palatino Linotype" w:cs="Arial"/>
        </w:rPr>
      </w:pPr>
      <w:r w:rsidRPr="00EA641D">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A641D">
        <w:rPr>
          <w:rFonts w:ascii="Palatino Linotype" w:hAnsi="Palatino Linotype" w:cs="Arial"/>
          <w:color w:val="000000"/>
        </w:rPr>
        <w:t xml:space="preserve"> </w:t>
      </w:r>
      <w:r w:rsidRPr="00EA641D">
        <w:rPr>
          <w:rFonts w:ascii="Palatino Linotype" w:hAnsi="Palatino Linotype" w:cs="Arial"/>
          <w:b/>
          <w:color w:val="000000"/>
        </w:rPr>
        <w:t>SUJETO OBLIGADO</w:t>
      </w:r>
      <w:r w:rsidRPr="00EA641D">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A641D">
        <w:rPr>
          <w:rFonts w:ascii="Palatino Linotype" w:hAnsi="Palatino Linotype" w:cs="Arial"/>
          <w:b/>
          <w:color w:val="000000"/>
        </w:rPr>
        <w:t xml:space="preserve">Constitución Política de los Estados Unidos Mexicanos </w:t>
      </w:r>
      <w:r w:rsidRPr="00EA641D">
        <w:rPr>
          <w:rFonts w:ascii="Palatino Linotype" w:hAnsi="Palatino Linotype" w:cs="Arial"/>
          <w:color w:val="000000"/>
        </w:rPr>
        <w:t xml:space="preserve">al señalar la obligación de “promover, </w:t>
      </w:r>
      <w:r w:rsidRPr="00EA641D">
        <w:rPr>
          <w:rFonts w:ascii="Palatino Linotype" w:hAnsi="Palatino Linotype" w:cs="Arial"/>
          <w:b/>
          <w:color w:val="000000"/>
        </w:rPr>
        <w:t>respetar</w:t>
      </w:r>
      <w:r w:rsidRPr="00EA641D">
        <w:rPr>
          <w:rFonts w:ascii="Palatino Linotype" w:hAnsi="Palatino Linotype" w:cs="Arial"/>
          <w:color w:val="000000"/>
        </w:rPr>
        <w:t xml:space="preserve">, proteger y </w:t>
      </w:r>
      <w:r w:rsidRPr="00EA641D">
        <w:rPr>
          <w:rFonts w:ascii="Palatino Linotype" w:hAnsi="Palatino Linotype" w:cs="Arial"/>
          <w:b/>
          <w:color w:val="000000"/>
        </w:rPr>
        <w:t>garantizar</w:t>
      </w:r>
      <w:r w:rsidRPr="00EA641D">
        <w:rPr>
          <w:rFonts w:ascii="Palatino Linotype" w:hAnsi="Palatino Linotype" w:cs="Arial"/>
          <w:color w:val="000000"/>
        </w:rPr>
        <w:t xml:space="preserve"> los derechos humanos”, entre los cuales se encuentra dicho derecho. </w:t>
      </w:r>
    </w:p>
    <w:p w14:paraId="407FBD4F" w14:textId="77777777" w:rsidR="008E4483" w:rsidRPr="00EA641D"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EA641D"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EA641D">
        <w:rPr>
          <w:rFonts w:ascii="Palatino Linotype" w:hAnsi="Palatino Linotype"/>
        </w:rPr>
        <w:t xml:space="preserve">Definiendo el Derecho de Acceso a la Información Pública como: </w:t>
      </w:r>
      <w:r w:rsidRPr="00EA641D">
        <w:rPr>
          <w:rFonts w:ascii="Palatino Linotype" w:hAnsi="Palatino Linotype"/>
          <w:i/>
          <w:color w:val="000000"/>
          <w:sz w:val="22"/>
        </w:rPr>
        <w:t>La igualdad de oportunidades para recibir, buscar e impartir información</w:t>
      </w:r>
      <w:r w:rsidRPr="00EA641D">
        <w:rPr>
          <w:rFonts w:ascii="Palatino Linotype" w:hAnsi="Palatino Linotype"/>
          <w:i/>
          <w:color w:val="000000"/>
          <w:sz w:val="22"/>
          <w:vertAlign w:val="superscript"/>
        </w:rPr>
        <w:footnoteReference w:id="1"/>
      </w:r>
      <w:r w:rsidRPr="00EA641D">
        <w:rPr>
          <w:rFonts w:ascii="Palatino Linotype" w:hAnsi="Palatino Linotype"/>
          <w:i/>
          <w:color w:val="000000"/>
          <w:sz w:val="22"/>
        </w:rPr>
        <w:t xml:space="preserve">en posesión de cualquier autoridad, entidad, órgano y organismo de los poderes Ejecutivo, Legislativo y Judicial, órganos autónomos, partidos políticos, fideicomisos y fondos públicos, así como de cualquier persona física, moral o </w:t>
      </w:r>
      <w:r w:rsidRPr="00EA641D">
        <w:rPr>
          <w:rFonts w:ascii="Palatino Linotype" w:hAnsi="Palatino Linotype"/>
          <w:i/>
          <w:color w:val="000000"/>
          <w:sz w:val="22"/>
        </w:rPr>
        <w:lastRenderedPageBreak/>
        <w:t>sindicato que reciba y ejerza recursos públicos o realice actos de autoridad en el ámbito federal, estatal y municipal,</w:t>
      </w:r>
      <w:r w:rsidRPr="00EA641D">
        <w:rPr>
          <w:rFonts w:ascii="Palatino Linotype" w:hAnsi="Palatino Linotype"/>
          <w:i/>
          <w:color w:val="000000"/>
          <w:sz w:val="22"/>
          <w:vertAlign w:val="superscript"/>
        </w:rPr>
        <w:footnoteReference w:id="2"/>
      </w:r>
      <w:r w:rsidRPr="00EA641D">
        <w:rPr>
          <w:rFonts w:ascii="Palatino Linotype" w:hAnsi="Palatino Linotype"/>
          <w:color w:val="000000"/>
          <w:sz w:val="22"/>
        </w:rPr>
        <w:t>que se constituye como una herramienta fundamental para ejercer</w:t>
      </w:r>
      <w:r w:rsidRPr="00EA641D">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EA641D">
        <w:rPr>
          <w:rFonts w:ascii="Palatino Linotype" w:hAnsi="Palatino Linotype"/>
          <w:i/>
          <w:color w:val="000000"/>
          <w:sz w:val="22"/>
          <w:vertAlign w:val="superscript"/>
        </w:rPr>
        <w:footnoteReference w:id="3"/>
      </w:r>
      <w:r w:rsidRPr="00EA641D">
        <w:rPr>
          <w:rFonts w:ascii="Palatino Linotype" w:hAnsi="Palatino Linotype"/>
          <w:color w:val="000000"/>
          <w:sz w:val="22"/>
        </w:rPr>
        <w:t>fomentando</w:t>
      </w:r>
      <w:r w:rsidRPr="00EA641D">
        <w:rPr>
          <w:rFonts w:ascii="Palatino Linotype" w:hAnsi="Palatino Linotype"/>
          <w:i/>
          <w:color w:val="000000"/>
          <w:sz w:val="22"/>
        </w:rPr>
        <w:t xml:space="preserve"> la transparencia de las actividades estatales y </w:t>
      </w:r>
      <w:r w:rsidRPr="00EA641D">
        <w:rPr>
          <w:rFonts w:ascii="Palatino Linotype" w:hAnsi="Palatino Linotype"/>
          <w:color w:val="000000"/>
          <w:sz w:val="22"/>
        </w:rPr>
        <w:t>promoviendo</w:t>
      </w:r>
      <w:r w:rsidRPr="00EA641D">
        <w:rPr>
          <w:rFonts w:ascii="Palatino Linotype" w:hAnsi="Palatino Linotype"/>
          <w:i/>
          <w:color w:val="000000"/>
          <w:sz w:val="22"/>
        </w:rPr>
        <w:t xml:space="preserve"> la responsabilidad de los funcionarios sobre su gestión pública,</w:t>
      </w:r>
      <w:r w:rsidRPr="00EA641D">
        <w:rPr>
          <w:rFonts w:ascii="Palatino Linotype" w:hAnsi="Palatino Linotype"/>
          <w:i/>
          <w:color w:val="000000"/>
          <w:sz w:val="22"/>
          <w:vertAlign w:val="superscript"/>
        </w:rPr>
        <w:footnoteReference w:id="4"/>
      </w:r>
      <w:r w:rsidRPr="00EA641D">
        <w:rPr>
          <w:rFonts w:ascii="Palatino Linotype" w:hAnsi="Palatino Linotype"/>
          <w:color w:val="000000"/>
          <w:sz w:val="22"/>
        </w:rPr>
        <w:t>que permite</w:t>
      </w:r>
      <w:r w:rsidRPr="00EA641D">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EA641D" w:rsidRDefault="008E4483" w:rsidP="008E4483">
      <w:pPr>
        <w:tabs>
          <w:tab w:val="left" w:pos="284"/>
        </w:tabs>
        <w:contextualSpacing/>
        <w:rPr>
          <w:rFonts w:ascii="Palatino Linotype" w:hAnsi="Palatino Linotype"/>
        </w:rPr>
      </w:pPr>
    </w:p>
    <w:p w14:paraId="223832E3" w14:textId="3A93AA98" w:rsidR="008E4483" w:rsidRPr="00EA641D"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EA641D">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EA641D" w:rsidRDefault="008E4483" w:rsidP="008E4483">
      <w:pPr>
        <w:tabs>
          <w:tab w:val="left" w:pos="284"/>
        </w:tabs>
        <w:spacing w:before="240" w:after="240" w:line="360" w:lineRule="auto"/>
        <w:contextualSpacing/>
        <w:jc w:val="both"/>
        <w:rPr>
          <w:rFonts w:ascii="Palatino Linotype" w:hAnsi="Palatino Linotype"/>
          <w:i/>
        </w:rPr>
      </w:pPr>
      <w:r w:rsidRPr="00EA641D">
        <w:rPr>
          <w:rFonts w:ascii="Palatino Linotype" w:hAnsi="Palatino Linotype"/>
          <w:i/>
        </w:rPr>
        <w:t xml:space="preserve"> </w:t>
      </w:r>
    </w:p>
    <w:p w14:paraId="18789162" w14:textId="77777777" w:rsidR="008E4483" w:rsidRPr="00EA641D" w:rsidRDefault="008E4483" w:rsidP="008E4483">
      <w:pPr>
        <w:numPr>
          <w:ilvl w:val="0"/>
          <w:numId w:val="1"/>
        </w:numPr>
        <w:tabs>
          <w:tab w:val="left" w:pos="284"/>
        </w:tabs>
        <w:spacing w:before="240" w:line="360" w:lineRule="auto"/>
        <w:contextualSpacing/>
        <w:jc w:val="both"/>
        <w:rPr>
          <w:rFonts w:ascii="Palatino Linotype" w:hAnsi="Palatino Linotype"/>
        </w:rPr>
      </w:pPr>
      <w:r w:rsidRPr="00EA641D">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EA641D">
        <w:rPr>
          <w:rFonts w:ascii="Palatino Linotype" w:hAnsi="Palatino Linotype" w:cs="Arial"/>
          <w:i/>
          <w:sz w:val="22"/>
        </w:rPr>
        <w:t>por los principios de simplicidad, rapidez gratuidad del procedimiento, auxilio y orientación a los particulares</w:t>
      </w:r>
      <w:r w:rsidRPr="00EA641D">
        <w:rPr>
          <w:rFonts w:ascii="Palatino Linotype" w:hAnsi="Palatino Linotype" w:cs="Arial"/>
          <w:sz w:val="22"/>
        </w:rPr>
        <w:t xml:space="preserve">, contemplando el derecho de las personas con discapacidad y hablantes de lengua indígena. </w:t>
      </w:r>
    </w:p>
    <w:p w14:paraId="646E1459" w14:textId="77777777" w:rsidR="008E4483" w:rsidRPr="00EA641D"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EA641D"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EA641D">
        <w:rPr>
          <w:rFonts w:ascii="Palatino Linotype" w:hAnsi="Palatino Linotype"/>
        </w:rPr>
        <w:t xml:space="preserve">Es así que la </w:t>
      </w:r>
      <w:r w:rsidRPr="00EA641D">
        <w:rPr>
          <w:rFonts w:ascii="Palatino Linotype" w:hAnsi="Palatino Linotype"/>
          <w:b/>
        </w:rPr>
        <w:t xml:space="preserve">Ley de Transparencia y Acceso a la Información Pública del Estado de México y Municipios, </w:t>
      </w:r>
      <w:r w:rsidRPr="00EA641D">
        <w:rPr>
          <w:rFonts w:ascii="Palatino Linotype" w:hAnsi="Palatino Linotype"/>
        </w:rPr>
        <w:t xml:space="preserve">cuyo objeto es establecer principios, bases generales y procedimientos para tutelar y garantizar la transparencia y el derecho </w:t>
      </w:r>
      <w:r w:rsidRPr="00EA641D">
        <w:rPr>
          <w:rFonts w:ascii="Palatino Linotype" w:hAnsi="Palatino Linotype"/>
        </w:rPr>
        <w:lastRenderedPageBreak/>
        <w:t>humano de acceso a la información pública en posesión de los sujetos obligados; en su artículo 176</w:t>
      </w:r>
      <w:r w:rsidRPr="00EA641D">
        <w:rPr>
          <w:rFonts w:ascii="Palatino Linotype" w:hAnsi="Palatino Linotype"/>
          <w:b/>
        </w:rPr>
        <w:t xml:space="preserve"> </w:t>
      </w:r>
      <w:r w:rsidRPr="00EA641D">
        <w:rPr>
          <w:rFonts w:ascii="Palatino Linotype" w:hAnsi="Palatino Linotype"/>
        </w:rPr>
        <w:t xml:space="preserve">establece que </w:t>
      </w:r>
      <w:r w:rsidRPr="00EA641D">
        <w:rPr>
          <w:rFonts w:ascii="Palatino Linotype" w:hAnsi="Palatino Linotype"/>
          <w:b/>
          <w:i/>
          <w:sz w:val="22"/>
          <w:u w:val="single"/>
        </w:rPr>
        <w:t>el recurso de revisión es la garantía secundaria</w:t>
      </w:r>
      <w:r w:rsidRPr="00EA641D">
        <w:rPr>
          <w:rFonts w:ascii="Palatino Linotype" w:hAnsi="Palatino Linotype"/>
          <w:b/>
          <w:i/>
          <w:sz w:val="22"/>
        </w:rPr>
        <w:t xml:space="preserve"> mediante la cual se pretende reparar cualquier posible afectación al derecho de acceso a la información pública</w:t>
      </w:r>
      <w:r w:rsidRPr="00EA641D">
        <w:rPr>
          <w:rFonts w:ascii="Palatino Linotype" w:hAnsi="Palatino Linotype"/>
          <w:b/>
          <w:sz w:val="22"/>
        </w:rPr>
        <w:t>, s</w:t>
      </w:r>
      <w:r w:rsidRPr="00EA641D">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EA641D">
        <w:rPr>
          <w:rFonts w:ascii="Palatino Linotype" w:hAnsi="Palatino Linotype"/>
          <w:sz w:val="22"/>
        </w:rPr>
        <w:t xml:space="preserve"> </w:t>
      </w:r>
    </w:p>
    <w:p w14:paraId="62B78458" w14:textId="77777777" w:rsidR="008E4483" w:rsidRPr="00EA641D" w:rsidRDefault="008E4483" w:rsidP="008E4483">
      <w:pPr>
        <w:tabs>
          <w:tab w:val="left" w:pos="284"/>
        </w:tabs>
        <w:rPr>
          <w:rFonts w:ascii="Palatino Linotype" w:eastAsia="MS Mincho" w:hAnsi="Palatino Linotype" w:cs="Arial"/>
        </w:rPr>
      </w:pPr>
    </w:p>
    <w:p w14:paraId="355D07B3" w14:textId="77777777" w:rsidR="008E4483" w:rsidRPr="00EA641D"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EA641D">
        <w:rPr>
          <w:rFonts w:ascii="Palatino Linotype" w:eastAsia="Calibri" w:hAnsi="Palatino Linotype"/>
        </w:rPr>
        <w:t xml:space="preserve">Establecido lo anterior, resulta evidente que las razones o motivos de inconformidad hechos valer en el recurso de revisión resultan </w:t>
      </w:r>
      <w:r w:rsidRPr="00EA641D">
        <w:rPr>
          <w:rFonts w:ascii="Palatino Linotype" w:eastAsia="Calibri" w:hAnsi="Palatino Linotype"/>
          <w:b/>
        </w:rPr>
        <w:t>fundadas y procedentes</w:t>
      </w:r>
      <w:r w:rsidRPr="00EA641D">
        <w:rPr>
          <w:rFonts w:ascii="Palatino Linotype" w:eastAsia="Calibri" w:hAnsi="Palatino Linotype"/>
        </w:rPr>
        <w:t xml:space="preserve">, debido a que el </w:t>
      </w:r>
      <w:r w:rsidRPr="00EA641D">
        <w:rPr>
          <w:rFonts w:ascii="Palatino Linotype" w:eastAsia="Calibri" w:hAnsi="Palatino Linotype"/>
          <w:b/>
        </w:rPr>
        <w:t>SUJETO OBLIGADO</w:t>
      </w:r>
      <w:r w:rsidRPr="00EA641D">
        <w:rPr>
          <w:rFonts w:ascii="Palatino Linotype" w:eastAsia="Calibri" w:hAnsi="Palatino Linotype"/>
        </w:rPr>
        <w:t xml:space="preserve"> proporcionó información que no corresponde con lo solicitado.</w:t>
      </w:r>
    </w:p>
    <w:p w14:paraId="4CFD2ECD" w14:textId="0AA5462A" w:rsidR="008E4483" w:rsidRPr="00EA641D"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EA641D">
        <w:rPr>
          <w:rFonts w:ascii="Palatino Linotype" w:hAnsi="Palatino Linotype" w:cs="Arial"/>
        </w:rPr>
        <w:t xml:space="preserve">Ahora bien, para entender los alcances de la información pública se considera importante citar el criterio </w:t>
      </w:r>
      <w:r w:rsidRPr="00EA641D">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EA641D">
        <w:rPr>
          <w:rFonts w:ascii="Palatino Linotype" w:hAnsi="Palatino Linotype" w:cs="Arial"/>
        </w:rPr>
        <w:t>cuyo rubro y texto dispone:</w:t>
      </w:r>
    </w:p>
    <w:p w14:paraId="27F940F8" w14:textId="77777777" w:rsidR="008E4483" w:rsidRPr="00EA641D"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EA641D"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EA641D">
        <w:rPr>
          <w:rFonts w:ascii="Palatino Linotype" w:hAnsi="Palatino Linotype" w:cs="Arial"/>
          <w:b/>
          <w:i/>
          <w:sz w:val="22"/>
          <w:szCs w:val="22"/>
          <w:lang w:eastAsia="es-MX"/>
        </w:rPr>
        <w:t>“CRITERIO 0002-11</w:t>
      </w:r>
    </w:p>
    <w:p w14:paraId="0FACDA68" w14:textId="77777777" w:rsidR="008E4483" w:rsidRPr="00EA641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A641D">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EA641D">
        <w:rPr>
          <w:rFonts w:ascii="Palatino Linotype" w:hAnsi="Palatino Linotype" w:cs="Arial"/>
          <w:b/>
          <w:bCs/>
          <w:i/>
          <w:sz w:val="22"/>
          <w:szCs w:val="22"/>
          <w:lang w:eastAsia="es-MX"/>
        </w:rPr>
        <w:t xml:space="preserve">V, XV, Y XVI, </w:t>
      </w:r>
      <w:r w:rsidRPr="00EA641D">
        <w:rPr>
          <w:rFonts w:ascii="Palatino Linotype" w:hAnsi="Palatino Linotype" w:cs="Arial"/>
          <w:b/>
          <w:i/>
          <w:sz w:val="22"/>
          <w:szCs w:val="22"/>
          <w:lang w:eastAsia="es-MX"/>
        </w:rPr>
        <w:t>3, 4,11 Y 41.</w:t>
      </w:r>
      <w:r w:rsidRPr="00EA641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EA641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A641D">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EA641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A641D">
        <w:rPr>
          <w:rFonts w:ascii="Palatino Linotype" w:hAnsi="Palatino Linotype" w:cs="Arial"/>
          <w:i/>
          <w:sz w:val="22"/>
          <w:szCs w:val="22"/>
          <w:lang w:eastAsia="es-MX"/>
        </w:rPr>
        <w:lastRenderedPageBreak/>
        <w:t>Que se trate de información registrada en cualquier soporte documental, que en ejercicio de las atribuciones conferidas, sea generada por los Sujetos Obligados;</w:t>
      </w:r>
    </w:p>
    <w:p w14:paraId="2F790A50" w14:textId="77777777" w:rsidR="008E4483" w:rsidRPr="00EA641D"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EA641D">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EA641D" w:rsidRDefault="008E4483" w:rsidP="008E4483">
      <w:pPr>
        <w:ind w:left="567" w:right="567"/>
        <w:jc w:val="both"/>
        <w:rPr>
          <w:rFonts w:ascii="Palatino Linotype" w:hAnsi="Palatino Linotype" w:cs="Arial"/>
          <w:i/>
          <w:color w:val="000000" w:themeColor="text1"/>
          <w:sz w:val="22"/>
          <w:szCs w:val="22"/>
        </w:rPr>
      </w:pPr>
      <w:r w:rsidRPr="00EA641D">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EA641D"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EA641D"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EA641D">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EA641D">
        <w:rPr>
          <w:rFonts w:ascii="Palatino Linotype" w:eastAsiaTheme="minorHAnsi" w:hAnsi="Palatino Linotype" w:cs="Bookman Old Style,Bold"/>
          <w:b/>
          <w:bCs/>
          <w:i/>
          <w:sz w:val="22"/>
          <w:lang w:eastAsia="en-US"/>
        </w:rPr>
        <w:t xml:space="preserve">XI. Documento: </w:t>
      </w:r>
      <w:r w:rsidRPr="00EA641D">
        <w:rPr>
          <w:rFonts w:ascii="Palatino Linotype" w:eastAsiaTheme="minorHAnsi" w:hAnsi="Palatino Linotype" w:cs="Bookman Old Style"/>
          <w:i/>
          <w:sz w:val="22"/>
          <w:lang w:eastAsia="en-US"/>
        </w:rPr>
        <w:t xml:space="preserve">Los expedientes, reportes, estudios, actas, resoluciones, </w:t>
      </w:r>
      <w:r w:rsidRPr="00EA641D">
        <w:rPr>
          <w:rFonts w:ascii="Palatino Linotype" w:eastAsiaTheme="minorHAnsi" w:hAnsi="Palatino Linotype" w:cs="Bookman Old Style"/>
          <w:b/>
          <w:i/>
          <w:sz w:val="22"/>
          <w:lang w:eastAsia="en-US"/>
        </w:rPr>
        <w:t>oficios,</w:t>
      </w:r>
      <w:r w:rsidRPr="00EA641D">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EA641D">
        <w:rPr>
          <w:rFonts w:ascii="Palatino Linotype" w:eastAsiaTheme="minorHAnsi" w:hAnsi="Palatino Linotype" w:cs="Bookman Old Style"/>
          <w:b/>
          <w:i/>
          <w:sz w:val="22"/>
          <w:lang w:eastAsia="en-US"/>
        </w:rPr>
        <w:t>cualquier otro registro</w:t>
      </w:r>
      <w:r w:rsidRPr="00EA641D">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EA641D"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EA641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EA641D">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EA641D"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EA641D" w:rsidRDefault="008E4483" w:rsidP="003B5FD2">
      <w:pPr>
        <w:pStyle w:val="Prrafodelista"/>
        <w:numPr>
          <w:ilvl w:val="0"/>
          <w:numId w:val="4"/>
        </w:numPr>
        <w:spacing w:line="360" w:lineRule="auto"/>
        <w:jc w:val="both"/>
        <w:rPr>
          <w:rFonts w:ascii="Palatino Linotype" w:eastAsia="Calibri" w:hAnsi="Palatino Linotype" w:cs="Arial"/>
        </w:rPr>
      </w:pPr>
      <w:r w:rsidRPr="00EA641D">
        <w:rPr>
          <w:rFonts w:ascii="Palatino Linotype" w:hAnsi="Palatino Linotype"/>
          <w:color w:val="000000" w:themeColor="text1"/>
        </w:rPr>
        <w:t xml:space="preserve">Resulta necesario referir que, el </w:t>
      </w:r>
      <w:r w:rsidRPr="00EA641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w:t>
      </w:r>
      <w:r w:rsidRPr="00EA641D">
        <w:rPr>
          <w:rFonts w:ascii="Palatino Linotype" w:eastAsia="Calibri" w:hAnsi="Palatino Linotype" w:cs="Arial"/>
        </w:rPr>
        <w:lastRenderedPageBreak/>
        <w:t xml:space="preserve">Municipios, guardan una estrecha relación, puesto que los ordenamientos citados concurren refiriendo que </w:t>
      </w:r>
      <w:r w:rsidRPr="00EA641D">
        <w:rPr>
          <w:rFonts w:ascii="Palatino Linotype" w:eastAsia="Calibri" w:hAnsi="Palatino Linotype" w:cs="Arial"/>
          <w:b/>
        </w:rPr>
        <w:t>los Sujetos Obligados deberán documentar todo acto que se derive del ejercicio de sus facultades, competencias o funciones,</w:t>
      </w:r>
      <w:r w:rsidRPr="00EA641D">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EA641D" w:rsidRDefault="008E4483" w:rsidP="008E4483">
      <w:pPr>
        <w:pStyle w:val="Prrafodelista"/>
        <w:rPr>
          <w:rFonts w:ascii="Palatino Linotype" w:eastAsia="Calibri" w:hAnsi="Palatino Linotype" w:cs="Arial"/>
        </w:rPr>
      </w:pPr>
    </w:p>
    <w:p w14:paraId="308FCB42" w14:textId="77777777" w:rsidR="008E4483" w:rsidRPr="00EA641D" w:rsidRDefault="008E4483" w:rsidP="003B5FD2">
      <w:pPr>
        <w:pStyle w:val="Prrafodelista"/>
        <w:numPr>
          <w:ilvl w:val="0"/>
          <w:numId w:val="4"/>
        </w:numPr>
        <w:spacing w:line="360" w:lineRule="auto"/>
        <w:jc w:val="both"/>
        <w:rPr>
          <w:rFonts w:ascii="Palatino Linotype" w:eastAsia="Calibri" w:hAnsi="Palatino Linotype" w:cs="Arial"/>
        </w:rPr>
      </w:pPr>
      <w:r w:rsidRPr="00EA641D">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EA641D" w:rsidRDefault="008E4483" w:rsidP="008E4483">
      <w:pPr>
        <w:pStyle w:val="Prrafodelista"/>
        <w:spacing w:line="360" w:lineRule="auto"/>
        <w:rPr>
          <w:rFonts w:ascii="Palatino Linotype" w:hAnsi="Palatino Linotype" w:cs="Arial"/>
          <w:color w:val="000000"/>
        </w:rPr>
      </w:pPr>
    </w:p>
    <w:p w14:paraId="0DE0F687"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EA641D">
        <w:rPr>
          <w:rFonts w:ascii="Palatino Linotype" w:hAnsi="Palatino Linotype" w:cs="Bookman Old Style,Bold"/>
          <w:b/>
          <w:bCs/>
          <w:i/>
          <w:sz w:val="22"/>
        </w:rPr>
        <w:t xml:space="preserve">Artículo 4. </w:t>
      </w:r>
      <w:r w:rsidRPr="00EA641D">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EA641D">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EA641D">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EA641D">
        <w:rPr>
          <w:rFonts w:ascii="Palatino Linotype" w:hAnsi="Palatino Linotype" w:cs="Bookman Old Style,Bold"/>
          <w:b/>
          <w:bCs/>
          <w:i/>
          <w:sz w:val="22"/>
        </w:rPr>
        <w:lastRenderedPageBreak/>
        <w:t xml:space="preserve">Artículo 12. </w:t>
      </w:r>
      <w:r w:rsidRPr="00EA641D">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EA641D"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EA641D">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EA641D">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EA641D"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EA641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EA641D">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EA641D">
        <w:rPr>
          <w:rStyle w:val="Refdenotaalpie"/>
          <w:lang w:val="es-ES"/>
        </w:rPr>
        <w:footnoteReference w:id="5"/>
      </w:r>
      <w:r w:rsidRPr="00EA641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EA641D"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EA641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EA641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EA641D" w:rsidRDefault="008E4483" w:rsidP="001636EB">
      <w:pPr>
        <w:pStyle w:val="Prrafodelista"/>
        <w:tabs>
          <w:tab w:val="left" w:pos="851"/>
        </w:tabs>
        <w:spacing w:line="360" w:lineRule="auto"/>
        <w:ind w:left="567" w:right="567"/>
        <w:jc w:val="both"/>
        <w:rPr>
          <w:rFonts w:ascii="Palatino Linotype" w:hAnsi="Palatino Linotype"/>
          <w:i/>
          <w:sz w:val="22"/>
        </w:rPr>
      </w:pPr>
      <w:r w:rsidRPr="00EA641D">
        <w:rPr>
          <w:rFonts w:ascii="Palatino Linotype" w:hAnsi="Palatino Linotype"/>
          <w:b/>
          <w:i/>
          <w:sz w:val="22"/>
        </w:rPr>
        <w:lastRenderedPageBreak/>
        <w:t>ACCESO A LA INFORMACIÓN. IMPLICACIÓN DEL PRINCIPIO DE MÁXIMA PUBLICIDAD EN EL DERECHO FUNDAMENTAL RELATIVO.</w:t>
      </w:r>
      <w:r w:rsidRPr="00EA641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EA641D"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EA641D" w:rsidRDefault="008E4483" w:rsidP="001636EB">
      <w:pPr>
        <w:pStyle w:val="Prrafodelista"/>
        <w:tabs>
          <w:tab w:val="left" w:pos="851"/>
        </w:tabs>
        <w:spacing w:line="360" w:lineRule="auto"/>
        <w:ind w:left="567" w:right="567"/>
        <w:jc w:val="both"/>
        <w:rPr>
          <w:rFonts w:ascii="Palatino Linotype" w:hAnsi="Palatino Linotype"/>
          <w:i/>
          <w:sz w:val="22"/>
        </w:rPr>
      </w:pPr>
      <w:r w:rsidRPr="00EA641D">
        <w:rPr>
          <w:rFonts w:ascii="Palatino Linotype" w:hAnsi="Palatino Linotype"/>
          <w:i/>
          <w:sz w:val="22"/>
        </w:rPr>
        <w:t xml:space="preserve">CUARTO TRIBUNAL COLEGIADO EN MATERIA ADMINISTRATIVA DEL PRIMER CIRCUITO. </w:t>
      </w:r>
    </w:p>
    <w:p w14:paraId="31A63FA8" w14:textId="77777777" w:rsidR="008E4483" w:rsidRPr="00EA641D"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EA641D" w:rsidRDefault="008E4483" w:rsidP="001636EB">
      <w:pPr>
        <w:pStyle w:val="Prrafodelista"/>
        <w:tabs>
          <w:tab w:val="left" w:pos="851"/>
        </w:tabs>
        <w:spacing w:line="360" w:lineRule="auto"/>
        <w:ind w:left="567" w:right="567"/>
        <w:jc w:val="both"/>
        <w:rPr>
          <w:rFonts w:ascii="Palatino Linotype" w:hAnsi="Palatino Linotype"/>
          <w:i/>
          <w:sz w:val="22"/>
        </w:rPr>
      </w:pPr>
      <w:r w:rsidRPr="00EA641D">
        <w:rPr>
          <w:rFonts w:ascii="Palatino Linotype" w:hAnsi="Palatino Linotype"/>
          <w:i/>
          <w:sz w:val="22"/>
        </w:rPr>
        <w:lastRenderedPageBreak/>
        <w:t>Amparo en revisión 257/2012. Ruth Corona Muñoz. 6 de diciembre de 2012. Unanimidad de votos. Ponente: Jean Claude Tron Petit. Secretaria: Mayra Susana Martínez López.</w:t>
      </w:r>
    </w:p>
    <w:p w14:paraId="5662BC61" w14:textId="77777777" w:rsidR="008E4483" w:rsidRPr="00EA641D"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EA641D"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EA641D">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EA641D"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EA641D"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EA641D">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61E5DFB2"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b/>
          <w:i/>
          <w:sz w:val="22"/>
        </w:rPr>
        <w:t>“Artículo 6o.</w:t>
      </w:r>
      <w:r w:rsidRPr="00EA641D">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A641D">
        <w:rPr>
          <w:rFonts w:ascii="Palatino Linotype" w:hAnsi="Palatino Linotype" w:cs="Arial"/>
          <w:b/>
          <w:i/>
          <w:sz w:val="22"/>
        </w:rPr>
        <w:t>El derecho a la información será garantizado por el Estado.</w:t>
      </w:r>
      <w:r w:rsidRPr="00EA641D">
        <w:rPr>
          <w:rFonts w:ascii="Palatino Linotype" w:hAnsi="Palatino Linotype" w:cs="Arial"/>
          <w:i/>
          <w:sz w:val="22"/>
        </w:rPr>
        <w:t xml:space="preserve"> </w:t>
      </w:r>
    </w:p>
    <w:p w14:paraId="4AC38F1F" w14:textId="77777777" w:rsidR="008E4483" w:rsidRPr="00EA641D" w:rsidRDefault="008E4483" w:rsidP="001636EB">
      <w:pPr>
        <w:spacing w:line="360" w:lineRule="auto"/>
        <w:ind w:left="567" w:right="567"/>
        <w:jc w:val="both"/>
        <w:rPr>
          <w:rFonts w:ascii="Palatino Linotype" w:hAnsi="Palatino Linotype" w:cs="Arial"/>
          <w:i/>
          <w:sz w:val="22"/>
        </w:rPr>
      </w:pPr>
    </w:p>
    <w:p w14:paraId="4B5681D6"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EA641D" w:rsidRDefault="008E4483" w:rsidP="001636EB">
      <w:pPr>
        <w:spacing w:line="360" w:lineRule="auto"/>
        <w:ind w:left="567" w:right="567"/>
        <w:jc w:val="both"/>
        <w:rPr>
          <w:rFonts w:ascii="Palatino Linotype" w:hAnsi="Palatino Linotype" w:cs="Arial"/>
          <w:i/>
          <w:sz w:val="22"/>
        </w:rPr>
      </w:pPr>
    </w:p>
    <w:p w14:paraId="681A3253"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Para efectos de lo dispuesto en el presente artículo se observará lo siguiente:</w:t>
      </w:r>
    </w:p>
    <w:p w14:paraId="500990B0" w14:textId="77777777" w:rsidR="008E4483" w:rsidRPr="00EA641D" w:rsidRDefault="008E4483" w:rsidP="001636EB">
      <w:pPr>
        <w:spacing w:line="360" w:lineRule="auto"/>
        <w:ind w:left="567" w:right="567"/>
        <w:jc w:val="both"/>
        <w:rPr>
          <w:rFonts w:ascii="Palatino Linotype" w:hAnsi="Palatino Linotype" w:cs="Arial"/>
          <w:i/>
          <w:sz w:val="22"/>
        </w:rPr>
      </w:pPr>
    </w:p>
    <w:p w14:paraId="1A00976B"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EA641D" w:rsidRDefault="008E4483" w:rsidP="001636EB">
      <w:pPr>
        <w:spacing w:line="360" w:lineRule="auto"/>
        <w:ind w:left="567" w:right="567"/>
        <w:jc w:val="both"/>
        <w:rPr>
          <w:rFonts w:ascii="Palatino Linotype" w:hAnsi="Palatino Linotype" w:cs="Arial"/>
          <w:b/>
          <w:i/>
          <w:sz w:val="22"/>
        </w:rPr>
      </w:pPr>
    </w:p>
    <w:p w14:paraId="3A80ED39"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b/>
          <w:i/>
          <w:sz w:val="22"/>
        </w:rPr>
        <w:t>I. Toda la información en posesión de</w:t>
      </w:r>
      <w:r w:rsidRPr="00EA641D">
        <w:rPr>
          <w:rFonts w:ascii="Palatino Linotype" w:hAnsi="Palatino Linotype" w:cs="Arial"/>
          <w:i/>
          <w:sz w:val="22"/>
        </w:rPr>
        <w:t xml:space="preserve"> </w:t>
      </w:r>
      <w:r w:rsidRPr="00EA641D">
        <w:rPr>
          <w:rFonts w:ascii="Palatino Linotype" w:hAnsi="Palatino Linotype" w:cs="Arial"/>
          <w:b/>
          <w:i/>
          <w:sz w:val="22"/>
        </w:rPr>
        <w:t>cualquier autoridad</w:t>
      </w:r>
      <w:r w:rsidRPr="00EA641D">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A641D">
        <w:rPr>
          <w:rFonts w:ascii="Palatino Linotype" w:hAnsi="Palatino Linotype" w:cs="Arial"/>
          <w:b/>
          <w:i/>
          <w:sz w:val="22"/>
        </w:rPr>
        <w:t>es pública</w:t>
      </w:r>
      <w:r w:rsidRPr="00EA641D">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EA641D">
        <w:rPr>
          <w:rFonts w:ascii="Palatino Linotype" w:hAnsi="Palatino Linotype" w:cs="Arial"/>
          <w:b/>
          <w:i/>
          <w:sz w:val="22"/>
        </w:rPr>
        <w:t>Los sujetos obligados deberán documentar todo acto que derive del ejercicio de sus facultades, competencias o funciones</w:t>
      </w:r>
      <w:r w:rsidRPr="00EA641D">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EA641D" w:rsidRDefault="008E4483" w:rsidP="001636EB">
      <w:pPr>
        <w:spacing w:line="360" w:lineRule="auto"/>
        <w:ind w:left="567" w:right="567"/>
        <w:jc w:val="both"/>
        <w:rPr>
          <w:rFonts w:ascii="Palatino Linotype" w:hAnsi="Palatino Linotype" w:cs="Arial"/>
          <w:i/>
          <w:sz w:val="22"/>
        </w:rPr>
      </w:pPr>
    </w:p>
    <w:p w14:paraId="0CECF853"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EA641D" w:rsidRDefault="008E4483" w:rsidP="001636EB">
      <w:pPr>
        <w:spacing w:line="360" w:lineRule="auto"/>
        <w:ind w:left="567" w:right="567"/>
        <w:jc w:val="both"/>
        <w:rPr>
          <w:rFonts w:ascii="Palatino Linotype" w:hAnsi="Palatino Linotype" w:cs="Arial"/>
          <w:i/>
          <w:sz w:val="22"/>
        </w:rPr>
      </w:pPr>
    </w:p>
    <w:p w14:paraId="4EF8A8A9"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EA641D" w:rsidRDefault="008E4483" w:rsidP="001636EB">
      <w:pPr>
        <w:spacing w:line="360" w:lineRule="auto"/>
        <w:ind w:left="567" w:right="567"/>
        <w:jc w:val="both"/>
        <w:rPr>
          <w:rFonts w:ascii="Palatino Linotype" w:hAnsi="Palatino Linotype" w:cs="Arial"/>
          <w:i/>
          <w:sz w:val="22"/>
        </w:rPr>
      </w:pPr>
    </w:p>
    <w:p w14:paraId="112801FD"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EA641D" w:rsidRDefault="008E4483" w:rsidP="001636EB">
      <w:pPr>
        <w:spacing w:line="360" w:lineRule="auto"/>
        <w:ind w:left="567" w:right="567"/>
        <w:jc w:val="both"/>
        <w:rPr>
          <w:rFonts w:ascii="Palatino Linotype" w:hAnsi="Palatino Linotype" w:cs="Arial"/>
          <w:b/>
          <w:i/>
          <w:sz w:val="22"/>
        </w:rPr>
      </w:pPr>
    </w:p>
    <w:p w14:paraId="3FB33C7B"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b/>
          <w:i/>
          <w:sz w:val="22"/>
        </w:rPr>
        <w:t>V. Los sujetos obligados deberán preservar sus documentos en archivos administrativos actualizados y publicarán, a través de los medios electrónicos disponibles</w:t>
      </w:r>
      <w:r w:rsidRPr="00EA641D">
        <w:rPr>
          <w:rFonts w:ascii="Palatino Linotype" w:hAnsi="Palatino Linotype" w:cs="Arial"/>
          <w:i/>
          <w:sz w:val="22"/>
        </w:rPr>
        <w:t xml:space="preserve">, la información completa y actualizada sobre el ejercicio de los recursos </w:t>
      </w:r>
      <w:r w:rsidRPr="00EA641D">
        <w:rPr>
          <w:rFonts w:ascii="Palatino Linotype" w:hAnsi="Palatino Linotype" w:cs="Arial"/>
          <w:i/>
          <w:sz w:val="22"/>
        </w:rPr>
        <w:lastRenderedPageBreak/>
        <w:t>públicos y los indicadores que permitan rendir cuenta del cumplimiento de sus objetivos y de los resultados obtenidos.</w:t>
      </w:r>
    </w:p>
    <w:p w14:paraId="5A242202" w14:textId="77777777" w:rsidR="008E4483" w:rsidRPr="00EA641D" w:rsidRDefault="008E4483" w:rsidP="001636EB">
      <w:pPr>
        <w:spacing w:line="360" w:lineRule="auto"/>
        <w:ind w:left="567" w:right="567"/>
        <w:jc w:val="both"/>
        <w:rPr>
          <w:rFonts w:ascii="Palatino Linotype" w:hAnsi="Palatino Linotype" w:cs="Arial"/>
          <w:i/>
          <w:sz w:val="22"/>
        </w:rPr>
      </w:pPr>
    </w:p>
    <w:p w14:paraId="37399313"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EA641D" w:rsidRDefault="008E4483" w:rsidP="001636EB">
      <w:pPr>
        <w:spacing w:line="360" w:lineRule="auto"/>
        <w:ind w:left="567" w:right="567"/>
        <w:jc w:val="both"/>
        <w:rPr>
          <w:rFonts w:ascii="Palatino Linotype" w:hAnsi="Palatino Linotype" w:cs="Arial"/>
          <w:i/>
          <w:sz w:val="22"/>
        </w:rPr>
      </w:pPr>
    </w:p>
    <w:p w14:paraId="4D04B6B7"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EA641D" w:rsidRDefault="008E4483" w:rsidP="001636EB">
      <w:pPr>
        <w:spacing w:line="360" w:lineRule="auto"/>
        <w:ind w:left="567" w:right="567"/>
        <w:jc w:val="both"/>
        <w:rPr>
          <w:rFonts w:ascii="Palatino Linotype" w:hAnsi="Palatino Linotype" w:cs="Arial"/>
          <w:i/>
          <w:sz w:val="22"/>
        </w:rPr>
      </w:pPr>
    </w:p>
    <w:p w14:paraId="30D06838"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w:t>
      </w:r>
    </w:p>
    <w:p w14:paraId="6140CC8E"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cs="Arial"/>
          <w:i/>
          <w:sz w:val="22"/>
        </w:rPr>
        <w:t>La ley establecerá aquella información que se considere reservada o confidencial.”</w:t>
      </w:r>
    </w:p>
    <w:p w14:paraId="0DF4504F" w14:textId="77777777" w:rsidR="008E4483" w:rsidRPr="00EA641D" w:rsidRDefault="008E4483" w:rsidP="001636EB">
      <w:pPr>
        <w:spacing w:line="360" w:lineRule="auto"/>
        <w:ind w:left="567" w:right="567"/>
        <w:jc w:val="both"/>
        <w:rPr>
          <w:rFonts w:ascii="Palatino Linotype" w:hAnsi="Palatino Linotype"/>
          <w:i/>
          <w:sz w:val="22"/>
        </w:rPr>
      </w:pPr>
    </w:p>
    <w:p w14:paraId="70B9AFAD"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i/>
          <w:sz w:val="22"/>
        </w:rPr>
        <w:t>(Énfasis añadido)</w:t>
      </w:r>
    </w:p>
    <w:p w14:paraId="1E957CE8" w14:textId="77777777" w:rsidR="008E4483" w:rsidRPr="00EA641D" w:rsidRDefault="008E4483" w:rsidP="008E4483">
      <w:pPr>
        <w:spacing w:line="360" w:lineRule="auto"/>
        <w:ind w:left="709" w:right="757"/>
        <w:jc w:val="both"/>
        <w:rPr>
          <w:rFonts w:ascii="Palatino Linotype" w:hAnsi="Palatino Linotype"/>
        </w:rPr>
      </w:pPr>
    </w:p>
    <w:p w14:paraId="67E589E6" w14:textId="77777777" w:rsidR="008E4483" w:rsidRPr="00EA641D" w:rsidRDefault="008E4483" w:rsidP="008E4483">
      <w:pPr>
        <w:pStyle w:val="Prrafodelista"/>
        <w:numPr>
          <w:ilvl w:val="0"/>
          <w:numId w:val="1"/>
        </w:numPr>
        <w:spacing w:line="360" w:lineRule="auto"/>
        <w:jc w:val="both"/>
        <w:rPr>
          <w:rFonts w:ascii="Palatino Linotype" w:hAnsi="Palatino Linotype" w:cs="Arial"/>
        </w:rPr>
      </w:pPr>
      <w:r w:rsidRPr="00EA641D">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EA641D" w:rsidRDefault="008E4483" w:rsidP="008E4483">
      <w:pPr>
        <w:spacing w:line="360" w:lineRule="auto"/>
        <w:ind w:left="709" w:right="757"/>
        <w:jc w:val="both"/>
        <w:rPr>
          <w:rFonts w:ascii="Palatino Linotype" w:hAnsi="Palatino Linotype" w:cs="Arial"/>
        </w:rPr>
      </w:pPr>
    </w:p>
    <w:p w14:paraId="459B253A" w14:textId="77777777" w:rsidR="008E4483" w:rsidRPr="00EA641D" w:rsidRDefault="008E4483" w:rsidP="001636EB">
      <w:pPr>
        <w:spacing w:line="360" w:lineRule="auto"/>
        <w:ind w:left="567" w:right="567"/>
        <w:jc w:val="both"/>
        <w:rPr>
          <w:rFonts w:ascii="Palatino Linotype" w:hAnsi="Palatino Linotype" w:cs="Arial"/>
          <w:b/>
          <w:i/>
          <w:sz w:val="22"/>
        </w:rPr>
      </w:pPr>
      <w:r w:rsidRPr="00EA641D">
        <w:rPr>
          <w:rFonts w:ascii="Palatino Linotype" w:hAnsi="Palatino Linotype" w:cs="Arial"/>
          <w:b/>
          <w:i/>
          <w:sz w:val="22"/>
        </w:rPr>
        <w:t xml:space="preserve">“Artículo 5. … </w:t>
      </w:r>
    </w:p>
    <w:p w14:paraId="6BF00F17"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b/>
          <w:i/>
          <w:sz w:val="22"/>
        </w:rPr>
        <w:t>El derecho a la información será garantizado por el Estado</w:t>
      </w:r>
      <w:r w:rsidRPr="00EA641D">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EA641D" w:rsidRDefault="008E4483" w:rsidP="001636EB">
      <w:pPr>
        <w:spacing w:line="360" w:lineRule="auto"/>
        <w:ind w:left="567" w:right="567"/>
        <w:jc w:val="both"/>
        <w:rPr>
          <w:rFonts w:ascii="Palatino Linotype" w:hAnsi="Palatino Linotype"/>
          <w:i/>
          <w:sz w:val="22"/>
        </w:rPr>
      </w:pPr>
    </w:p>
    <w:p w14:paraId="480C22E0"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i/>
          <w:sz w:val="22"/>
        </w:rPr>
        <w:t>Este derecho se regirá por los principios y bases siguientes:</w:t>
      </w:r>
    </w:p>
    <w:p w14:paraId="14A2C90A" w14:textId="77777777" w:rsidR="008E4483" w:rsidRPr="00EA641D" w:rsidRDefault="008E4483" w:rsidP="001636EB">
      <w:pPr>
        <w:spacing w:line="360" w:lineRule="auto"/>
        <w:ind w:left="567" w:right="567"/>
        <w:jc w:val="both"/>
        <w:rPr>
          <w:rFonts w:ascii="Palatino Linotype" w:hAnsi="Palatino Linotype"/>
          <w:b/>
          <w:i/>
          <w:sz w:val="22"/>
        </w:rPr>
      </w:pPr>
    </w:p>
    <w:p w14:paraId="44073A0F"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b/>
          <w:i/>
          <w:sz w:val="22"/>
        </w:rPr>
        <w:t xml:space="preserve">I. Toda la información en posesión </w:t>
      </w:r>
      <w:r w:rsidRPr="00EA641D">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EA641D">
        <w:rPr>
          <w:rFonts w:ascii="Palatino Linotype" w:hAnsi="Palatino Linotype"/>
          <w:b/>
          <w:i/>
          <w:sz w:val="22"/>
        </w:rPr>
        <w:t>del gobierno y de la administración pública municipal y sus organismos descentralizados</w:t>
      </w:r>
      <w:r w:rsidRPr="00EA641D">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EA641D">
        <w:rPr>
          <w:rFonts w:ascii="Palatino Linotype" w:hAnsi="Palatino Linotype"/>
          <w:b/>
          <w:i/>
          <w:sz w:val="22"/>
        </w:rPr>
        <w:t>es pública</w:t>
      </w:r>
      <w:r w:rsidRPr="00EA641D">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EA641D" w:rsidRDefault="008E4483" w:rsidP="001636EB">
      <w:pPr>
        <w:spacing w:line="360" w:lineRule="auto"/>
        <w:ind w:left="567" w:right="567"/>
        <w:jc w:val="both"/>
        <w:rPr>
          <w:rFonts w:ascii="Palatino Linotype" w:hAnsi="Palatino Linotype"/>
          <w:i/>
          <w:sz w:val="22"/>
        </w:rPr>
      </w:pPr>
    </w:p>
    <w:p w14:paraId="2FF70804"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EA641D" w:rsidRDefault="008E4483" w:rsidP="001636EB">
      <w:pPr>
        <w:spacing w:line="360" w:lineRule="auto"/>
        <w:ind w:left="567" w:right="567"/>
        <w:jc w:val="both"/>
        <w:rPr>
          <w:rFonts w:ascii="Palatino Linotype" w:hAnsi="Palatino Linotype"/>
          <w:i/>
          <w:sz w:val="22"/>
        </w:rPr>
      </w:pPr>
    </w:p>
    <w:p w14:paraId="6FA24126"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i/>
          <w:sz w:val="22"/>
        </w:rPr>
        <w:lastRenderedPageBreak/>
        <w:t>III. Toda persona, sin necesidad de acreditar interés alguno o justificar su utilización, tendrá acceso gratuito a la información pública, a sus datos personales o a la rectificación de éstos.</w:t>
      </w:r>
    </w:p>
    <w:p w14:paraId="3EAA427F" w14:textId="77777777" w:rsidR="008E4483" w:rsidRPr="00EA641D" w:rsidRDefault="008E4483" w:rsidP="001636EB">
      <w:pPr>
        <w:spacing w:line="360" w:lineRule="auto"/>
        <w:ind w:left="567" w:right="567"/>
        <w:jc w:val="both"/>
        <w:rPr>
          <w:rFonts w:ascii="Palatino Linotype" w:hAnsi="Palatino Linotype"/>
          <w:i/>
          <w:sz w:val="22"/>
        </w:rPr>
      </w:pPr>
    </w:p>
    <w:p w14:paraId="24C5C6FF"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EA641D" w:rsidRDefault="008E4483" w:rsidP="001636EB">
      <w:pPr>
        <w:spacing w:line="360" w:lineRule="auto"/>
        <w:ind w:left="567" w:right="567"/>
        <w:jc w:val="both"/>
        <w:rPr>
          <w:rFonts w:ascii="Palatino Linotype" w:hAnsi="Palatino Linotype"/>
          <w:i/>
          <w:sz w:val="22"/>
        </w:rPr>
      </w:pPr>
    </w:p>
    <w:p w14:paraId="2D1804C7"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EA641D" w:rsidRDefault="008E4483" w:rsidP="001636EB">
      <w:pPr>
        <w:spacing w:line="360" w:lineRule="auto"/>
        <w:ind w:left="567" w:right="567"/>
        <w:jc w:val="both"/>
        <w:rPr>
          <w:rFonts w:ascii="Palatino Linotype" w:hAnsi="Palatino Linotype"/>
          <w:b/>
          <w:i/>
          <w:sz w:val="22"/>
        </w:rPr>
      </w:pPr>
    </w:p>
    <w:p w14:paraId="6DB2EC7A" w14:textId="77777777" w:rsidR="008E4483" w:rsidRPr="00EA641D" w:rsidRDefault="008E4483" w:rsidP="001636EB">
      <w:pPr>
        <w:spacing w:line="360" w:lineRule="auto"/>
        <w:ind w:left="567" w:right="567"/>
        <w:jc w:val="both"/>
        <w:rPr>
          <w:rFonts w:ascii="Palatino Linotype" w:hAnsi="Palatino Linotype"/>
          <w:i/>
          <w:sz w:val="22"/>
        </w:rPr>
      </w:pPr>
      <w:r w:rsidRPr="00EA641D">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EA641D">
        <w:rPr>
          <w:rFonts w:ascii="Palatino Linotype" w:hAnsi="Palatino Linotype"/>
          <w:i/>
          <w:sz w:val="22"/>
        </w:rPr>
        <w:t xml:space="preserve"> y los indicadores que permitan rendir cuenta del cumplimiento de sus objetivos y los resultados obtenidos.</w:t>
      </w:r>
    </w:p>
    <w:p w14:paraId="042705A7" w14:textId="77777777" w:rsidR="008E4483" w:rsidRPr="00EA641D" w:rsidRDefault="008E4483" w:rsidP="001636EB">
      <w:pPr>
        <w:spacing w:line="360" w:lineRule="auto"/>
        <w:ind w:left="567" w:right="567"/>
        <w:jc w:val="both"/>
        <w:rPr>
          <w:rFonts w:ascii="Palatino Linotype" w:hAnsi="Palatino Linotype"/>
          <w:i/>
          <w:sz w:val="22"/>
        </w:rPr>
      </w:pPr>
    </w:p>
    <w:p w14:paraId="6810788F" w14:textId="77777777" w:rsidR="008E4483" w:rsidRPr="00EA641D" w:rsidRDefault="008E4483" w:rsidP="001636EB">
      <w:pPr>
        <w:spacing w:line="360" w:lineRule="auto"/>
        <w:ind w:left="567" w:right="567"/>
        <w:jc w:val="both"/>
        <w:rPr>
          <w:rFonts w:ascii="Palatino Linotype" w:hAnsi="Palatino Linotype" w:cs="Arial"/>
          <w:i/>
          <w:sz w:val="22"/>
        </w:rPr>
      </w:pPr>
      <w:r w:rsidRPr="00EA641D">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EA641D" w:rsidRDefault="008E4483" w:rsidP="001636EB">
      <w:pPr>
        <w:spacing w:line="360" w:lineRule="auto"/>
        <w:ind w:left="567" w:right="567"/>
        <w:jc w:val="both"/>
        <w:rPr>
          <w:rFonts w:ascii="Palatino Linotype" w:hAnsi="Palatino Linotype"/>
          <w:sz w:val="22"/>
        </w:rPr>
      </w:pPr>
    </w:p>
    <w:p w14:paraId="76F0890A" w14:textId="77777777" w:rsidR="008E4483" w:rsidRPr="00EA641D" w:rsidRDefault="008E4483" w:rsidP="001636EB">
      <w:pPr>
        <w:spacing w:line="360" w:lineRule="auto"/>
        <w:ind w:left="567" w:right="567"/>
        <w:jc w:val="both"/>
        <w:rPr>
          <w:rFonts w:ascii="Palatino Linotype" w:hAnsi="Palatino Linotype"/>
          <w:sz w:val="22"/>
        </w:rPr>
      </w:pPr>
      <w:r w:rsidRPr="00EA641D">
        <w:rPr>
          <w:rFonts w:ascii="Palatino Linotype" w:hAnsi="Palatino Linotype"/>
          <w:sz w:val="22"/>
        </w:rPr>
        <w:t>(Énfasis añadido)</w:t>
      </w:r>
    </w:p>
    <w:p w14:paraId="04C6290A" w14:textId="77777777" w:rsidR="008E4483" w:rsidRPr="00EA641D" w:rsidRDefault="008E4483" w:rsidP="008E4483">
      <w:pPr>
        <w:spacing w:line="360" w:lineRule="auto"/>
        <w:ind w:left="567" w:right="567"/>
        <w:jc w:val="both"/>
        <w:rPr>
          <w:rFonts w:ascii="Palatino Linotype" w:hAnsi="Palatino Linotype"/>
          <w:sz w:val="22"/>
        </w:rPr>
      </w:pPr>
    </w:p>
    <w:p w14:paraId="41212765" w14:textId="6239A0F6" w:rsidR="008E4483" w:rsidRPr="00EA641D" w:rsidRDefault="008E4483" w:rsidP="008E4483">
      <w:pPr>
        <w:pStyle w:val="Prrafodelista"/>
        <w:numPr>
          <w:ilvl w:val="0"/>
          <w:numId w:val="1"/>
        </w:numPr>
        <w:spacing w:line="360" w:lineRule="auto"/>
        <w:jc w:val="both"/>
        <w:rPr>
          <w:rFonts w:ascii="Palatino Linotype" w:hAnsi="Palatino Linotype" w:cs="Arial"/>
        </w:rPr>
      </w:pPr>
      <w:r w:rsidRPr="00EA641D">
        <w:rPr>
          <w:rFonts w:ascii="Palatino Linotype" w:hAnsi="Palatino Linotype" w:cs="Arial"/>
        </w:rPr>
        <w:lastRenderedPageBreak/>
        <w:t>Adicional, tenemos que la Ley de Transparencia y Acceso a la Información Pública del Estado de México y Municipios, prevé en su artículo 23 fracción I</w:t>
      </w:r>
      <w:r w:rsidR="00E00CF8" w:rsidRPr="00EA641D">
        <w:rPr>
          <w:rFonts w:ascii="Palatino Linotype" w:hAnsi="Palatino Linotype" w:cs="Arial"/>
        </w:rPr>
        <w:t>V</w:t>
      </w:r>
      <w:r w:rsidRPr="00EA641D">
        <w:rPr>
          <w:rFonts w:ascii="Palatino Linotype" w:hAnsi="Palatino Linotype" w:cs="Arial"/>
        </w:rPr>
        <w:t>, lo siguiente:</w:t>
      </w:r>
    </w:p>
    <w:p w14:paraId="2FF12176" w14:textId="77777777" w:rsidR="008E4483" w:rsidRPr="00EA641D" w:rsidRDefault="008E4483" w:rsidP="008E4483">
      <w:pPr>
        <w:spacing w:line="360" w:lineRule="auto"/>
        <w:jc w:val="both"/>
        <w:rPr>
          <w:rFonts w:ascii="Palatino Linotype" w:hAnsi="Palatino Linotype" w:cs="Arial"/>
        </w:rPr>
      </w:pPr>
    </w:p>
    <w:p w14:paraId="509D888E" w14:textId="77777777" w:rsidR="008E4483" w:rsidRPr="00EA641D" w:rsidRDefault="008E4483" w:rsidP="001636EB">
      <w:pPr>
        <w:spacing w:line="360" w:lineRule="auto"/>
        <w:ind w:left="567" w:right="822"/>
        <w:jc w:val="both"/>
        <w:rPr>
          <w:rFonts w:ascii="Palatino Linotype" w:eastAsia="MS Mincho" w:hAnsi="Palatino Linotype" w:cs="Arial"/>
          <w:i/>
          <w:sz w:val="22"/>
          <w:szCs w:val="22"/>
        </w:rPr>
      </w:pPr>
      <w:r w:rsidRPr="00EA641D">
        <w:rPr>
          <w:rFonts w:ascii="Palatino Linotype" w:eastAsia="MS Mincho" w:hAnsi="Palatino Linotype" w:cs="Arial"/>
          <w:b/>
          <w:i/>
          <w:sz w:val="22"/>
          <w:szCs w:val="22"/>
        </w:rPr>
        <w:t xml:space="preserve">“Artículo 23. Son sujetos obligados a transparentar y permitir el acceso a su información y </w:t>
      </w:r>
      <w:r w:rsidRPr="00EA641D">
        <w:rPr>
          <w:rFonts w:ascii="Palatino Linotype" w:eastAsia="MS Mincho" w:hAnsi="Palatino Linotype"/>
          <w:b/>
          <w:i/>
          <w:sz w:val="22"/>
          <w:szCs w:val="22"/>
        </w:rPr>
        <w:t>proteger</w:t>
      </w:r>
      <w:r w:rsidRPr="00EA641D">
        <w:rPr>
          <w:rFonts w:ascii="Palatino Linotype" w:eastAsia="MS Mincho" w:hAnsi="Palatino Linotype" w:cs="Arial"/>
          <w:b/>
          <w:i/>
          <w:sz w:val="22"/>
          <w:szCs w:val="22"/>
        </w:rPr>
        <w:t xml:space="preserve"> los datos personales que obren en su poder</w:t>
      </w:r>
      <w:r w:rsidRPr="00EA641D">
        <w:rPr>
          <w:rFonts w:ascii="Palatino Linotype" w:eastAsia="MS Mincho" w:hAnsi="Palatino Linotype" w:cs="Arial"/>
          <w:i/>
          <w:sz w:val="22"/>
          <w:szCs w:val="22"/>
        </w:rPr>
        <w:t>:</w:t>
      </w:r>
    </w:p>
    <w:p w14:paraId="468C7D83" w14:textId="042810AB" w:rsidR="008E4483" w:rsidRPr="00EA641D" w:rsidRDefault="00E00CF8" w:rsidP="001636EB">
      <w:pPr>
        <w:spacing w:line="360" w:lineRule="auto"/>
        <w:ind w:left="567" w:right="822"/>
        <w:jc w:val="both"/>
        <w:rPr>
          <w:rFonts w:ascii="Palatino Linotype" w:eastAsia="MS Mincho" w:hAnsi="Palatino Linotype" w:cs="Arial"/>
          <w:i/>
          <w:sz w:val="22"/>
          <w:szCs w:val="22"/>
        </w:rPr>
      </w:pPr>
      <w:r w:rsidRPr="00EA641D">
        <w:rPr>
          <w:rFonts w:ascii="Palatino Linotype" w:eastAsia="MS Mincho" w:hAnsi="Palatino Linotype" w:cs="Arial"/>
          <w:i/>
          <w:sz w:val="22"/>
          <w:szCs w:val="22"/>
        </w:rPr>
        <w:t>…</w:t>
      </w:r>
    </w:p>
    <w:p w14:paraId="16B7E0D6" w14:textId="56029346" w:rsidR="008E4483" w:rsidRPr="00EA641D" w:rsidRDefault="00E00CF8" w:rsidP="001636EB">
      <w:pPr>
        <w:spacing w:line="360" w:lineRule="auto"/>
        <w:ind w:left="567" w:right="822"/>
        <w:jc w:val="both"/>
        <w:rPr>
          <w:rFonts w:ascii="Palatino Linotype" w:eastAsia="MS Mincho" w:hAnsi="Palatino Linotype" w:cs="Arial"/>
          <w:b/>
          <w:i/>
          <w:iCs/>
          <w:sz w:val="22"/>
          <w:szCs w:val="22"/>
        </w:rPr>
      </w:pPr>
      <w:r w:rsidRPr="00EA641D">
        <w:rPr>
          <w:rFonts w:ascii="Palatino Linotype" w:hAnsi="Palatino Linotype"/>
          <w:i/>
          <w:iCs/>
        </w:rPr>
        <w:t>IV. Los ayuntamientos y las dependencias, organismos, órganos y entidades de la administración municipal;</w:t>
      </w:r>
      <w:r w:rsidR="008E4483" w:rsidRPr="00EA641D">
        <w:rPr>
          <w:rFonts w:ascii="Palatino Linotype" w:eastAsia="MS Mincho" w:hAnsi="Palatino Linotype" w:cs="Arial"/>
          <w:b/>
          <w:i/>
          <w:iCs/>
          <w:sz w:val="22"/>
          <w:szCs w:val="22"/>
        </w:rPr>
        <w:t xml:space="preserve"> </w:t>
      </w:r>
    </w:p>
    <w:p w14:paraId="273927D8" w14:textId="77777777" w:rsidR="008E4483" w:rsidRPr="00EA641D" w:rsidRDefault="008E4483" w:rsidP="001636EB">
      <w:pPr>
        <w:spacing w:line="360" w:lineRule="auto"/>
        <w:ind w:left="567" w:right="822"/>
        <w:jc w:val="both"/>
        <w:rPr>
          <w:rFonts w:ascii="Palatino Linotype" w:eastAsia="MS Mincho" w:hAnsi="Palatino Linotype" w:cs="Arial"/>
          <w:b/>
          <w:i/>
          <w:sz w:val="22"/>
          <w:szCs w:val="22"/>
        </w:rPr>
      </w:pPr>
      <w:r w:rsidRPr="00EA641D">
        <w:rPr>
          <w:rFonts w:ascii="Palatino Linotype" w:eastAsia="MS Mincho" w:hAnsi="Palatino Linotype" w:cs="Arial"/>
          <w:b/>
          <w:i/>
          <w:sz w:val="22"/>
          <w:szCs w:val="22"/>
        </w:rPr>
        <w:t>…</w:t>
      </w:r>
    </w:p>
    <w:p w14:paraId="56BA427D" w14:textId="77777777" w:rsidR="008E4483" w:rsidRPr="00EA641D" w:rsidRDefault="008E4483" w:rsidP="001636EB">
      <w:pPr>
        <w:spacing w:line="360" w:lineRule="auto"/>
        <w:ind w:left="567" w:right="822"/>
        <w:jc w:val="both"/>
        <w:rPr>
          <w:rFonts w:ascii="Palatino Linotype" w:eastAsia="MS Mincho" w:hAnsi="Palatino Linotype"/>
          <w:b/>
          <w:i/>
          <w:sz w:val="22"/>
          <w:szCs w:val="22"/>
        </w:rPr>
      </w:pPr>
      <w:r w:rsidRPr="00EA641D">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EA641D">
        <w:rPr>
          <w:rFonts w:ascii="Palatino Linotype" w:eastAsia="MS Mincho" w:hAnsi="Palatino Linotype"/>
          <w:i/>
          <w:sz w:val="22"/>
          <w:szCs w:val="22"/>
        </w:rPr>
        <w:t xml:space="preserve">, </w:t>
      </w:r>
      <w:r w:rsidRPr="00EA641D">
        <w:rPr>
          <w:rFonts w:ascii="Palatino Linotype" w:eastAsia="MS Mincho" w:hAnsi="Palatino Linotype"/>
          <w:b/>
          <w:i/>
          <w:sz w:val="22"/>
          <w:szCs w:val="22"/>
        </w:rPr>
        <w:t>así como</w:t>
      </w:r>
      <w:r w:rsidRPr="00EA641D">
        <w:rPr>
          <w:rFonts w:ascii="Palatino Linotype" w:eastAsia="MS Mincho" w:hAnsi="Palatino Linotype"/>
          <w:i/>
          <w:sz w:val="22"/>
          <w:szCs w:val="22"/>
        </w:rPr>
        <w:t xml:space="preserve"> </w:t>
      </w:r>
      <w:r w:rsidRPr="00EA641D">
        <w:rPr>
          <w:rFonts w:ascii="Palatino Linotype" w:eastAsia="MS Mincho" w:hAnsi="Palatino Linotype"/>
          <w:b/>
          <w:i/>
          <w:sz w:val="22"/>
          <w:szCs w:val="22"/>
        </w:rPr>
        <w:t>los informes que dichas personas les entreguen sobre el uso y destino de dichos recursos.</w:t>
      </w:r>
    </w:p>
    <w:p w14:paraId="42959804" w14:textId="77777777" w:rsidR="008E4483" w:rsidRPr="00EA641D"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EA641D" w:rsidRDefault="008E4483" w:rsidP="001636EB">
      <w:pPr>
        <w:spacing w:line="360" w:lineRule="auto"/>
        <w:ind w:left="567" w:right="822"/>
        <w:jc w:val="both"/>
        <w:rPr>
          <w:rFonts w:ascii="Palatino Linotype" w:eastAsia="MS Mincho" w:hAnsi="Palatino Linotype" w:cs="Arial"/>
          <w:i/>
          <w:sz w:val="22"/>
          <w:szCs w:val="22"/>
        </w:rPr>
      </w:pPr>
      <w:r w:rsidRPr="00EA641D">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EA641D" w:rsidRDefault="008E4483" w:rsidP="001636EB">
      <w:pPr>
        <w:spacing w:line="360" w:lineRule="auto"/>
        <w:ind w:left="567" w:right="822"/>
        <w:jc w:val="both"/>
        <w:rPr>
          <w:rFonts w:ascii="Palatino Linotype" w:eastAsia="MS Mincho" w:hAnsi="Palatino Linotype" w:cs="Arial"/>
          <w:i/>
          <w:sz w:val="22"/>
          <w:szCs w:val="22"/>
        </w:rPr>
      </w:pPr>
      <w:r w:rsidRPr="00EA641D">
        <w:rPr>
          <w:rFonts w:ascii="Palatino Linotype" w:eastAsia="MS Mincho" w:hAnsi="Palatino Linotype" w:cs="Arial"/>
          <w:i/>
          <w:sz w:val="22"/>
          <w:szCs w:val="22"/>
        </w:rPr>
        <w:t>(Énfasis añadido)</w:t>
      </w:r>
    </w:p>
    <w:p w14:paraId="0EA3AFBA" w14:textId="77777777" w:rsidR="008E4483" w:rsidRPr="00EA641D" w:rsidRDefault="008E4483" w:rsidP="001636EB">
      <w:pPr>
        <w:spacing w:line="360" w:lineRule="auto"/>
        <w:jc w:val="both"/>
        <w:rPr>
          <w:rFonts w:ascii="Palatino Linotype" w:hAnsi="Palatino Linotype" w:cs="Arial"/>
        </w:rPr>
      </w:pPr>
    </w:p>
    <w:p w14:paraId="38992FDD" w14:textId="77777777" w:rsidR="008E4483" w:rsidRPr="00EA641D" w:rsidRDefault="008E4483" w:rsidP="008E4483">
      <w:pPr>
        <w:pStyle w:val="Prrafodelista"/>
        <w:numPr>
          <w:ilvl w:val="0"/>
          <w:numId w:val="1"/>
        </w:numPr>
        <w:spacing w:line="360" w:lineRule="auto"/>
        <w:jc w:val="both"/>
        <w:rPr>
          <w:rFonts w:ascii="Palatino Linotype" w:hAnsi="Palatino Linotype" w:cs="Arial"/>
        </w:rPr>
      </w:pPr>
      <w:r w:rsidRPr="00EA641D">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EA641D" w:rsidRDefault="008E4483" w:rsidP="008E4483">
      <w:pPr>
        <w:pStyle w:val="Prrafodelista"/>
        <w:spacing w:line="360" w:lineRule="auto"/>
        <w:ind w:left="0"/>
        <w:jc w:val="both"/>
        <w:rPr>
          <w:rFonts w:ascii="Palatino Linotype" w:hAnsi="Palatino Linotype" w:cs="Arial"/>
        </w:rPr>
      </w:pPr>
    </w:p>
    <w:p w14:paraId="642677F8" w14:textId="3418C9E6" w:rsidR="008E4483" w:rsidRPr="00EA641D" w:rsidRDefault="008E4483" w:rsidP="008E4483">
      <w:pPr>
        <w:pStyle w:val="Prrafodelista"/>
        <w:numPr>
          <w:ilvl w:val="0"/>
          <w:numId w:val="1"/>
        </w:numPr>
        <w:spacing w:line="360" w:lineRule="auto"/>
        <w:jc w:val="both"/>
        <w:rPr>
          <w:rFonts w:ascii="Palatino Linotype" w:hAnsi="Palatino Linotype" w:cs="Arial"/>
        </w:rPr>
      </w:pPr>
      <w:r w:rsidRPr="00EA641D">
        <w:rPr>
          <w:rFonts w:ascii="Palatino Linotype" w:hAnsi="Palatino Linotype" w:cs="Arial"/>
        </w:rPr>
        <w:lastRenderedPageBreak/>
        <w:t>Por lo anterior, es de referir que,</w:t>
      </w:r>
      <w:r w:rsidRPr="00EA641D">
        <w:rPr>
          <w:rFonts w:ascii="Palatino Linotype" w:hAnsi="Palatino Linotype" w:cs="Arial"/>
          <w:b/>
        </w:rPr>
        <w:t xml:space="preserve"> </w:t>
      </w:r>
      <w:r w:rsidR="003E2DCB" w:rsidRPr="00EA641D">
        <w:rPr>
          <w:rFonts w:ascii="Palatino Linotype" w:hAnsi="Palatino Linotype" w:cs="Arial"/>
          <w:b/>
        </w:rPr>
        <w:t>la</w:t>
      </w:r>
      <w:r w:rsidRPr="00EA641D">
        <w:rPr>
          <w:rFonts w:ascii="Palatino Linotype" w:hAnsi="Palatino Linotype"/>
          <w:b/>
          <w:bCs/>
        </w:rPr>
        <w:t xml:space="preserve"> </w:t>
      </w:r>
      <w:r w:rsidR="003E2DCB" w:rsidRPr="00EA641D">
        <w:rPr>
          <w:rFonts w:ascii="Palatino Linotype" w:eastAsia="Calibri" w:hAnsi="Palatino Linotype" w:cs="Arial"/>
          <w:b/>
          <w:bCs/>
          <w:lang w:val="es-ES"/>
        </w:rPr>
        <w:t>Secretaría de Justicia y Derechos Humanos</w:t>
      </w:r>
      <w:r w:rsidRPr="00EA641D">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6677E903" w14:textId="77777777" w:rsidR="00D47015" w:rsidRPr="00EA641D" w:rsidRDefault="00D47015" w:rsidP="00D47015">
      <w:pPr>
        <w:pStyle w:val="Prrafodelista"/>
        <w:rPr>
          <w:rFonts w:ascii="Palatino Linotype" w:hAnsi="Palatino Linotype" w:cs="Arial"/>
        </w:rPr>
      </w:pPr>
    </w:p>
    <w:p w14:paraId="12CB4493" w14:textId="133B409B" w:rsidR="00671FDF" w:rsidRPr="00EA641D"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EA641D">
        <w:rPr>
          <w:rFonts w:ascii="Palatino Linotype" w:hAnsi="Palatino Linotype"/>
          <w:b/>
          <w:color w:val="000000" w:themeColor="text1"/>
        </w:rPr>
        <w:t xml:space="preserve">II. </w:t>
      </w:r>
      <w:r w:rsidR="00FD0BDD" w:rsidRPr="00EA641D">
        <w:rPr>
          <w:rFonts w:ascii="Palatino Linotype" w:hAnsi="Palatino Linotype"/>
          <w:b/>
          <w:color w:val="000000" w:themeColor="text1"/>
        </w:rPr>
        <w:t>De</w:t>
      </w:r>
      <w:r w:rsidR="00765786" w:rsidRPr="00EA641D">
        <w:rPr>
          <w:rFonts w:ascii="Palatino Linotype" w:hAnsi="Palatino Linotype"/>
          <w:b/>
          <w:color w:val="000000" w:themeColor="text1"/>
        </w:rPr>
        <w:t xml:space="preserve"> l</w:t>
      </w:r>
      <w:r w:rsidR="000128B5" w:rsidRPr="00EA641D">
        <w:rPr>
          <w:rFonts w:ascii="Palatino Linotype" w:hAnsi="Palatino Linotype"/>
          <w:b/>
          <w:color w:val="000000" w:themeColor="text1"/>
        </w:rPr>
        <w:t xml:space="preserve">os </w:t>
      </w:r>
      <w:r w:rsidR="00CC63CB" w:rsidRPr="00EA641D">
        <w:rPr>
          <w:rFonts w:ascii="Palatino Linotype" w:hAnsi="Palatino Linotype"/>
          <w:b/>
          <w:color w:val="000000" w:themeColor="text1"/>
        </w:rPr>
        <w:t>motivos de inconformidad del particular.</w:t>
      </w:r>
      <w:bookmarkEnd w:id="31"/>
    </w:p>
    <w:p w14:paraId="2DECDC75" w14:textId="77777777" w:rsidR="00E44438" w:rsidRPr="00EA641D" w:rsidRDefault="00E44438" w:rsidP="00E44438">
      <w:pPr>
        <w:pStyle w:val="Prrafodelista"/>
        <w:spacing w:line="360" w:lineRule="auto"/>
        <w:ind w:left="0"/>
        <w:jc w:val="both"/>
        <w:rPr>
          <w:rFonts w:ascii="Palatino Linotype" w:eastAsia="MS Mincho" w:hAnsi="Palatino Linotype"/>
        </w:rPr>
      </w:pPr>
    </w:p>
    <w:p w14:paraId="721615A2" w14:textId="77777777" w:rsidR="00ED4D3F" w:rsidRPr="00EA641D" w:rsidRDefault="00ED4D3F" w:rsidP="00333A85">
      <w:pPr>
        <w:pStyle w:val="Prrafodelista"/>
        <w:numPr>
          <w:ilvl w:val="0"/>
          <w:numId w:val="1"/>
        </w:numPr>
        <w:tabs>
          <w:tab w:val="left" w:pos="567"/>
        </w:tabs>
        <w:spacing w:line="360" w:lineRule="auto"/>
        <w:jc w:val="both"/>
        <w:rPr>
          <w:rFonts w:ascii="Palatino Linotype" w:eastAsia="Calibri" w:hAnsi="Palatino Linotype" w:cs="Arial"/>
        </w:rPr>
      </w:pPr>
      <w:r w:rsidRPr="00EA641D">
        <w:rPr>
          <w:rFonts w:ascii="Palatino Linotype" w:eastAsia="Calibri" w:hAnsi="Palatino Linotype" w:cs="Arial"/>
        </w:rPr>
        <w:t>Para una mejor representación entre la información requerida y la información proporcionada, es necesario realizar el siguiente recuadro:</w:t>
      </w:r>
    </w:p>
    <w:p w14:paraId="1892D90D" w14:textId="77777777"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2280"/>
        <w:gridCol w:w="4661"/>
        <w:gridCol w:w="1762"/>
      </w:tblGrid>
      <w:tr w:rsidR="00ED4D3F" w:rsidRPr="00EA641D" w14:paraId="41A3BA58" w14:textId="77777777" w:rsidTr="00D92F3D">
        <w:tc>
          <w:tcPr>
            <w:tcW w:w="2280" w:type="dxa"/>
          </w:tcPr>
          <w:p w14:paraId="1C7EF789" w14:textId="1DCA86B4"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Información requerida</w:t>
            </w:r>
          </w:p>
        </w:tc>
        <w:tc>
          <w:tcPr>
            <w:tcW w:w="4661" w:type="dxa"/>
          </w:tcPr>
          <w:p w14:paraId="4DEB0B00" w14:textId="5A14D3F6"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Información proporcionada</w:t>
            </w:r>
          </w:p>
        </w:tc>
        <w:tc>
          <w:tcPr>
            <w:tcW w:w="1762" w:type="dxa"/>
          </w:tcPr>
          <w:p w14:paraId="4D11DCBC" w14:textId="3AF16D37"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¿Colma?</w:t>
            </w:r>
          </w:p>
        </w:tc>
      </w:tr>
      <w:tr w:rsidR="00ED4D3F" w:rsidRPr="00EA641D" w14:paraId="04C28ED8" w14:textId="77777777" w:rsidTr="00D92F3D">
        <w:tc>
          <w:tcPr>
            <w:tcW w:w="2280" w:type="dxa"/>
          </w:tcPr>
          <w:p w14:paraId="4130966A" w14:textId="36C25AAD"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Times New Roman" w:hAnsi="Palatino Linotype" w:cs="Times New Roman"/>
                <w:szCs w:val="22"/>
                <w:lang w:eastAsia="es-MX"/>
              </w:rPr>
              <w:t>NOMBRE DE LOS ASPIRANTES QUE CUMPLIERON CON TODOS LOS REQUISITOS.</w:t>
            </w:r>
          </w:p>
        </w:tc>
        <w:tc>
          <w:tcPr>
            <w:tcW w:w="4661" w:type="dxa"/>
          </w:tcPr>
          <w:p w14:paraId="00072F30" w14:textId="1AB7A513"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Se clasificó la información como confidencial</w:t>
            </w:r>
          </w:p>
        </w:tc>
        <w:tc>
          <w:tcPr>
            <w:tcW w:w="1762" w:type="dxa"/>
          </w:tcPr>
          <w:p w14:paraId="2EA9ED46" w14:textId="6C8735FF"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Parcialmente</w:t>
            </w:r>
          </w:p>
        </w:tc>
      </w:tr>
      <w:tr w:rsidR="00ED4D3F" w:rsidRPr="00EA641D" w14:paraId="7A5D4051" w14:textId="77777777" w:rsidTr="00D92F3D">
        <w:tc>
          <w:tcPr>
            <w:tcW w:w="2280" w:type="dxa"/>
          </w:tcPr>
          <w:p w14:paraId="36EEAC71" w14:textId="48E54049"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Times New Roman" w:hAnsi="Palatino Linotype" w:cs="Times New Roman"/>
                <w:szCs w:val="22"/>
                <w:lang w:eastAsia="es-MX"/>
              </w:rPr>
              <w:t xml:space="preserve">LISTADO DE LOS ASPIRANTES QUE FUERON CONTACTADOS MEDIANTE LLAMADAS </w:t>
            </w:r>
            <w:r w:rsidRPr="00EA641D">
              <w:rPr>
                <w:rFonts w:ascii="Palatino Linotype" w:eastAsia="Times New Roman" w:hAnsi="Palatino Linotype" w:cs="Times New Roman"/>
                <w:szCs w:val="22"/>
                <w:lang w:eastAsia="es-MX"/>
              </w:rPr>
              <w:lastRenderedPageBreak/>
              <w:t>TELÉFONICAS PARA PRESENTAR EL EXAMEN DE OPOSICIÓN</w:t>
            </w:r>
          </w:p>
        </w:tc>
        <w:tc>
          <w:tcPr>
            <w:tcW w:w="4661" w:type="dxa"/>
          </w:tcPr>
          <w:p w14:paraId="7D5A38D3" w14:textId="51940B97"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lastRenderedPageBreak/>
              <w:t>Se clasificó la información como confidencial.</w:t>
            </w:r>
          </w:p>
        </w:tc>
        <w:tc>
          <w:tcPr>
            <w:tcW w:w="1762" w:type="dxa"/>
          </w:tcPr>
          <w:p w14:paraId="0942E553" w14:textId="4C7C3110"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Parcialmente.</w:t>
            </w:r>
          </w:p>
        </w:tc>
      </w:tr>
      <w:tr w:rsidR="00ED4D3F" w:rsidRPr="00EA641D" w14:paraId="57C192E6" w14:textId="77777777" w:rsidTr="00D92F3D">
        <w:tc>
          <w:tcPr>
            <w:tcW w:w="2280" w:type="dxa"/>
          </w:tcPr>
          <w:p w14:paraId="4E6EDC3D" w14:textId="77777777" w:rsidR="00ED4D3F" w:rsidRPr="00EA641D" w:rsidRDefault="00ED4D3F" w:rsidP="00ED4D3F">
            <w:p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lastRenderedPageBreak/>
              <w:t xml:space="preserve">CRITERIOS PARA DECIDIR QUÉ ASPIRANTES PODÍAN PRESENTAR EL EXAMEN DE OPOSICIÓN, PUES ALGUNOS ASPIRANTES A PESAR DE CUBRIR CON LOS REQUISITOS NO FUERON CONTACTADOS. </w:t>
            </w:r>
          </w:p>
          <w:p w14:paraId="66796859" w14:textId="77777777"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p>
        </w:tc>
        <w:tc>
          <w:tcPr>
            <w:tcW w:w="4661" w:type="dxa"/>
          </w:tcPr>
          <w:p w14:paraId="5067854D" w14:textId="2017A84D" w:rsidR="00D92F3D" w:rsidRPr="00EA641D" w:rsidRDefault="00D92F3D" w:rsidP="00D92F3D">
            <w:pPr>
              <w:tabs>
                <w:tab w:val="left" w:pos="284"/>
                <w:tab w:val="left" w:pos="426"/>
              </w:tabs>
              <w:spacing w:line="360" w:lineRule="auto"/>
              <w:jc w:val="both"/>
              <w:rPr>
                <w:rFonts w:ascii="Palatino Linotype" w:hAnsi="Palatino Linotype"/>
                <w:color w:val="000000" w:themeColor="text1"/>
                <w:szCs w:val="22"/>
              </w:rPr>
            </w:pPr>
            <w:r w:rsidRPr="00EA641D">
              <w:rPr>
                <w:rFonts w:ascii="Palatino Linotype" w:hAnsi="Palatino Linotype"/>
                <w:color w:val="000000" w:themeColor="text1"/>
                <w:szCs w:val="22"/>
              </w:rPr>
              <w:t>Los criterios tomados para la selección de candidatos fueron los tendientes a verificar las aptitudes del perfil laboral precisado en la Base Tercera de la Convocatoria publicada el 15 de marzo de 2022, a través de la verificación y análisis de todos y cada uno de los requisitos establecidos en la Base Quinta de la misma Convocatoria, precisando que tales criterios son:</w:t>
            </w:r>
          </w:p>
          <w:p w14:paraId="3401E0C0" w14:textId="23EA9180" w:rsidR="00D92F3D" w:rsidRPr="00EA641D" w:rsidRDefault="00D92F3D" w:rsidP="00D92F3D">
            <w:pPr>
              <w:pStyle w:val="Prrafodelista"/>
              <w:numPr>
                <w:ilvl w:val="0"/>
                <w:numId w:val="19"/>
              </w:numPr>
              <w:tabs>
                <w:tab w:val="left" w:pos="284"/>
                <w:tab w:val="left" w:pos="426"/>
              </w:tabs>
              <w:spacing w:line="360" w:lineRule="auto"/>
              <w:ind w:left="301"/>
              <w:jc w:val="both"/>
              <w:rPr>
                <w:rFonts w:ascii="Palatino Linotype" w:hAnsi="Palatino Linotype"/>
                <w:color w:val="000000" w:themeColor="text1"/>
                <w:szCs w:val="22"/>
              </w:rPr>
            </w:pPr>
            <w:r w:rsidRPr="00EA641D">
              <w:rPr>
                <w:rFonts w:ascii="Palatino Linotype" w:hAnsi="Palatino Linotype"/>
                <w:color w:val="000000" w:themeColor="text1"/>
                <w:szCs w:val="22"/>
              </w:rPr>
              <w:t>Que se hubiesen remitido todos los documentos en el correo que se solicitó en la base de datos;</w:t>
            </w:r>
          </w:p>
          <w:p w14:paraId="5ADE5481" w14:textId="01B64408" w:rsidR="00D92F3D" w:rsidRPr="00EA641D" w:rsidRDefault="00D92F3D" w:rsidP="00D92F3D">
            <w:pPr>
              <w:pStyle w:val="Prrafodelista"/>
              <w:numPr>
                <w:ilvl w:val="0"/>
                <w:numId w:val="19"/>
              </w:numPr>
              <w:tabs>
                <w:tab w:val="left" w:pos="284"/>
                <w:tab w:val="left" w:pos="426"/>
              </w:tabs>
              <w:spacing w:line="360" w:lineRule="auto"/>
              <w:ind w:left="301"/>
              <w:jc w:val="both"/>
              <w:rPr>
                <w:rFonts w:ascii="Palatino Linotype" w:hAnsi="Palatino Linotype"/>
                <w:color w:val="000000" w:themeColor="text1"/>
                <w:szCs w:val="22"/>
              </w:rPr>
            </w:pPr>
            <w:r w:rsidRPr="00EA641D">
              <w:rPr>
                <w:rFonts w:ascii="Palatino Linotype" w:hAnsi="Palatino Linotype"/>
                <w:color w:val="000000" w:themeColor="text1"/>
                <w:szCs w:val="22"/>
              </w:rPr>
              <w:t>Que se corroborara la entrega de documentos complementarios y éstos coincidieran con los remitidos mediante correo electrónico;</w:t>
            </w:r>
          </w:p>
          <w:p w14:paraId="485C8F98" w14:textId="17E42A9E" w:rsidR="00D92F3D" w:rsidRPr="00EA641D" w:rsidRDefault="00D92F3D" w:rsidP="00D92F3D">
            <w:pPr>
              <w:pStyle w:val="Prrafodelista"/>
              <w:numPr>
                <w:ilvl w:val="0"/>
                <w:numId w:val="19"/>
              </w:numPr>
              <w:tabs>
                <w:tab w:val="left" w:pos="284"/>
                <w:tab w:val="left" w:pos="426"/>
              </w:tabs>
              <w:spacing w:line="360" w:lineRule="auto"/>
              <w:ind w:left="301"/>
              <w:jc w:val="both"/>
              <w:rPr>
                <w:rFonts w:ascii="Palatino Linotype" w:hAnsi="Palatino Linotype"/>
                <w:color w:val="000000" w:themeColor="text1"/>
                <w:szCs w:val="22"/>
              </w:rPr>
            </w:pPr>
            <w:r w:rsidRPr="00EA641D">
              <w:rPr>
                <w:rFonts w:ascii="Palatino Linotype" w:hAnsi="Palatino Linotype"/>
                <w:color w:val="000000" w:themeColor="text1"/>
                <w:szCs w:val="22"/>
              </w:rPr>
              <w:lastRenderedPageBreak/>
              <w:t>Que se hayan dado cumplimiento a los requisitos legales de acuerdo a la convocatoria;</w:t>
            </w:r>
          </w:p>
          <w:p w14:paraId="27439E01" w14:textId="4B5E2A1B" w:rsidR="00D92F3D" w:rsidRPr="00EA641D" w:rsidRDefault="00D92F3D" w:rsidP="00D92F3D">
            <w:pPr>
              <w:pStyle w:val="Prrafodelista"/>
              <w:numPr>
                <w:ilvl w:val="0"/>
                <w:numId w:val="19"/>
              </w:numPr>
              <w:tabs>
                <w:tab w:val="left" w:pos="284"/>
                <w:tab w:val="left" w:pos="426"/>
              </w:tabs>
              <w:spacing w:line="360" w:lineRule="auto"/>
              <w:ind w:left="301"/>
              <w:jc w:val="both"/>
              <w:rPr>
                <w:rFonts w:ascii="Palatino Linotype" w:hAnsi="Palatino Linotype"/>
                <w:color w:val="000000" w:themeColor="text1"/>
                <w:szCs w:val="22"/>
              </w:rPr>
            </w:pPr>
            <w:r w:rsidRPr="00EA641D">
              <w:rPr>
                <w:rFonts w:ascii="Palatino Linotype" w:hAnsi="Palatino Linotype"/>
                <w:color w:val="000000" w:themeColor="text1"/>
                <w:szCs w:val="22"/>
              </w:rPr>
              <w:t>Que existieran constancias idóneas y suficientes para comprobar la experiencia profesional de los aspirantes;</w:t>
            </w:r>
          </w:p>
          <w:p w14:paraId="5AA50129" w14:textId="71E0A5D9" w:rsidR="00ED4D3F" w:rsidRPr="00EA641D" w:rsidRDefault="00D92F3D" w:rsidP="00D92F3D">
            <w:pPr>
              <w:pStyle w:val="Prrafodelista"/>
              <w:numPr>
                <w:ilvl w:val="0"/>
                <w:numId w:val="19"/>
              </w:numPr>
              <w:tabs>
                <w:tab w:val="left" w:pos="284"/>
                <w:tab w:val="left" w:pos="426"/>
              </w:tabs>
              <w:spacing w:line="360" w:lineRule="auto"/>
              <w:ind w:left="301"/>
              <w:jc w:val="both"/>
              <w:rPr>
                <w:rFonts w:ascii="Palatino Linotype" w:eastAsia="Calibri" w:hAnsi="Palatino Linotype" w:cs="Arial"/>
              </w:rPr>
            </w:pPr>
            <w:r w:rsidRPr="00EA641D">
              <w:rPr>
                <w:rFonts w:ascii="Palatino Linotype" w:hAnsi="Palatino Linotype"/>
                <w:color w:val="000000" w:themeColor="text1"/>
                <w:szCs w:val="22"/>
              </w:rPr>
              <w:t>Que se acreditara el nivel de estudios y estudios extracurriculares, necesarios para el puesto.</w:t>
            </w:r>
          </w:p>
        </w:tc>
        <w:tc>
          <w:tcPr>
            <w:tcW w:w="1762" w:type="dxa"/>
          </w:tcPr>
          <w:p w14:paraId="072A7224" w14:textId="056ED75B" w:rsidR="00ED4D3F"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lastRenderedPageBreak/>
              <w:t xml:space="preserve">Si colma. (actos consentidos) </w:t>
            </w:r>
          </w:p>
        </w:tc>
      </w:tr>
      <w:tr w:rsidR="00ED4D3F" w:rsidRPr="00EA641D" w14:paraId="22B2CDE6" w14:textId="77777777" w:rsidTr="00D92F3D">
        <w:tc>
          <w:tcPr>
            <w:tcW w:w="2280" w:type="dxa"/>
          </w:tcPr>
          <w:p w14:paraId="382D7984" w14:textId="33F0E03D"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Times New Roman" w:hAnsi="Palatino Linotype" w:cs="Times New Roman"/>
                <w:szCs w:val="22"/>
                <w:lang w:eastAsia="es-MX"/>
              </w:rPr>
              <w:lastRenderedPageBreak/>
              <w:t>FECHAS Y LISTAS DE ASISTENCIA DE LOS ASPIRANTES QUE ACUDIERON A LA PRESENTACIÓN DEL EXAMEN DE OPOSICIÓN</w:t>
            </w:r>
          </w:p>
        </w:tc>
        <w:tc>
          <w:tcPr>
            <w:tcW w:w="4661" w:type="dxa"/>
          </w:tcPr>
          <w:p w14:paraId="3CF8A090" w14:textId="77777777" w:rsidR="00ED4D3F"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Las fechas corresponden a los días 20, 21 y 22 de abril.</w:t>
            </w:r>
          </w:p>
          <w:p w14:paraId="439B8F60" w14:textId="79DCE525" w:rsidR="00D92F3D"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Las listas de asistencia están en posesión de la Dirección de Capital Humano y Escalafón de la Secretaría de Finanzas.</w:t>
            </w:r>
          </w:p>
        </w:tc>
        <w:tc>
          <w:tcPr>
            <w:tcW w:w="1762" w:type="dxa"/>
          </w:tcPr>
          <w:p w14:paraId="41D82839" w14:textId="516387E9" w:rsidR="00ED4D3F"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Parcialmente</w:t>
            </w:r>
          </w:p>
        </w:tc>
      </w:tr>
      <w:tr w:rsidR="00ED4D3F" w:rsidRPr="00EA641D" w14:paraId="4443697E" w14:textId="77777777" w:rsidTr="00D92F3D">
        <w:tc>
          <w:tcPr>
            <w:tcW w:w="2280" w:type="dxa"/>
          </w:tcPr>
          <w:p w14:paraId="4091C333" w14:textId="293481F1" w:rsidR="00ED4D3F" w:rsidRPr="00EA641D" w:rsidRDefault="00ED4D3F"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Times New Roman" w:hAnsi="Palatino Linotype" w:cs="Times New Roman"/>
                <w:szCs w:val="22"/>
                <w:lang w:eastAsia="es-MX"/>
              </w:rPr>
              <w:t xml:space="preserve">TOTAL DE PREGUNTAS DEL EXAMEN DE OPOSICIÓN POR </w:t>
            </w:r>
            <w:r w:rsidRPr="00EA641D">
              <w:rPr>
                <w:rFonts w:ascii="Palatino Linotype" w:eastAsia="Times New Roman" w:hAnsi="Palatino Linotype" w:cs="Times New Roman"/>
                <w:szCs w:val="22"/>
                <w:lang w:eastAsia="es-MX"/>
              </w:rPr>
              <w:lastRenderedPageBreak/>
              <w:t>CADA RAMA DE DERECHO Y TIEMPO DE APLICACIÓN</w:t>
            </w:r>
          </w:p>
        </w:tc>
        <w:tc>
          <w:tcPr>
            <w:tcW w:w="4661" w:type="dxa"/>
          </w:tcPr>
          <w:p w14:paraId="32FA62C8" w14:textId="7A690405" w:rsidR="00ED4D3F"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lastRenderedPageBreak/>
              <w:t>Está a cargo de la Secretaría de Finanzas.</w:t>
            </w:r>
          </w:p>
        </w:tc>
        <w:tc>
          <w:tcPr>
            <w:tcW w:w="1762" w:type="dxa"/>
          </w:tcPr>
          <w:p w14:paraId="4AAC51AC" w14:textId="1711B6E1" w:rsidR="00ED4D3F"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Parcialmente.</w:t>
            </w:r>
          </w:p>
        </w:tc>
      </w:tr>
      <w:tr w:rsidR="00ED4D3F" w:rsidRPr="00EA641D" w14:paraId="3FDC4A4E" w14:textId="77777777" w:rsidTr="00D92F3D">
        <w:tc>
          <w:tcPr>
            <w:tcW w:w="2280" w:type="dxa"/>
          </w:tcPr>
          <w:p w14:paraId="6932CD6E" w14:textId="7D4A253E" w:rsidR="00ED4D3F" w:rsidRPr="00EA641D" w:rsidRDefault="00ED4D3F" w:rsidP="00ED4D3F">
            <w:pPr>
              <w:spacing w:line="360" w:lineRule="auto"/>
              <w:ind w:right="49"/>
              <w:jc w:val="both"/>
              <w:rPr>
                <w:rFonts w:ascii="Palatino Linotype" w:eastAsia="Times New Roman" w:hAnsi="Palatino Linotype" w:cs="Times New Roman"/>
                <w:szCs w:val="22"/>
                <w:lang w:eastAsia="es-MX"/>
              </w:rPr>
            </w:pPr>
            <w:r w:rsidRPr="00EA641D">
              <w:rPr>
                <w:rFonts w:ascii="Palatino Linotype" w:eastAsia="Times New Roman" w:hAnsi="Palatino Linotype" w:cs="Times New Roman"/>
                <w:szCs w:val="22"/>
                <w:lang w:eastAsia="es-MX"/>
              </w:rPr>
              <w:lastRenderedPageBreak/>
              <w:t>LISTADO DE LOS ASPIRANTES ENTREVISTADOS POR EL PERSONAL DEL INSTITUTO DE LA DEFENSORÍA PÚBLICA SEGÚN LO SEÑALADO EN EL INCISO D DEL COMUNICADO.</w:t>
            </w:r>
          </w:p>
        </w:tc>
        <w:tc>
          <w:tcPr>
            <w:tcW w:w="4661" w:type="dxa"/>
          </w:tcPr>
          <w:p w14:paraId="5CFFD9D0" w14:textId="049A4D6C" w:rsidR="00ED4D3F"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Se clasificó como información confidencial.</w:t>
            </w:r>
          </w:p>
        </w:tc>
        <w:tc>
          <w:tcPr>
            <w:tcW w:w="1762" w:type="dxa"/>
          </w:tcPr>
          <w:p w14:paraId="5E53ED22" w14:textId="36AAE3E3" w:rsidR="00ED4D3F" w:rsidRPr="00EA641D" w:rsidRDefault="00D92F3D" w:rsidP="00ED4D3F">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rPr>
              <w:t>Parcialmente.</w:t>
            </w:r>
          </w:p>
        </w:tc>
      </w:tr>
    </w:tbl>
    <w:p w14:paraId="00EC1E2E" w14:textId="77777777" w:rsidR="00402F25" w:rsidRPr="00EA641D" w:rsidRDefault="00402F25" w:rsidP="00402F25">
      <w:pPr>
        <w:pStyle w:val="Prrafodelista"/>
        <w:tabs>
          <w:tab w:val="left" w:pos="567"/>
        </w:tabs>
        <w:spacing w:line="360" w:lineRule="auto"/>
        <w:ind w:left="0"/>
        <w:jc w:val="both"/>
        <w:rPr>
          <w:rFonts w:ascii="Palatino Linotype" w:eastAsia="Calibri" w:hAnsi="Palatino Linotype" w:cs="Arial"/>
        </w:rPr>
      </w:pPr>
    </w:p>
    <w:p w14:paraId="1A1859FF" w14:textId="77777777" w:rsidR="00D92F3D" w:rsidRPr="00EA641D" w:rsidRDefault="00D92F3D" w:rsidP="00402F25">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EA641D">
        <w:rPr>
          <w:rFonts w:ascii="Palatino Linotype" w:hAnsi="Palatino Linotype"/>
          <w:lang w:val="es-ES"/>
        </w:rPr>
        <w:t>El Recurrente se inconformó por lo siguiente:</w:t>
      </w:r>
    </w:p>
    <w:p w14:paraId="6B6F3290" w14:textId="77777777" w:rsidR="00D92F3D" w:rsidRPr="00EA641D" w:rsidRDefault="00D92F3D" w:rsidP="00D92F3D">
      <w:pPr>
        <w:pStyle w:val="Prrafodelista"/>
        <w:tabs>
          <w:tab w:val="left" w:pos="851"/>
        </w:tabs>
        <w:spacing w:before="240" w:after="240" w:line="360" w:lineRule="auto"/>
        <w:ind w:left="0" w:right="49"/>
        <w:jc w:val="both"/>
        <w:rPr>
          <w:rFonts w:ascii="Palatino Linotype" w:hAnsi="Palatino Linotype"/>
          <w:lang w:val="es-ES"/>
        </w:rPr>
      </w:pPr>
    </w:p>
    <w:p w14:paraId="23F3B91F" w14:textId="0E901AED" w:rsidR="00D92F3D" w:rsidRPr="00EA641D" w:rsidRDefault="00D92F3D" w:rsidP="00D13EAA">
      <w:pPr>
        <w:pStyle w:val="Prrafodelista"/>
        <w:numPr>
          <w:ilvl w:val="0"/>
          <w:numId w:val="18"/>
        </w:numPr>
        <w:tabs>
          <w:tab w:val="left" w:pos="851"/>
        </w:tabs>
        <w:spacing w:before="240" w:after="240" w:line="360" w:lineRule="auto"/>
        <w:ind w:right="49"/>
        <w:jc w:val="both"/>
        <w:rPr>
          <w:rFonts w:ascii="Palatino Linotype" w:hAnsi="Palatino Linotype"/>
          <w:lang w:val="es-ES"/>
        </w:rPr>
      </w:pPr>
      <w:r w:rsidRPr="00EA641D">
        <w:rPr>
          <w:rFonts w:ascii="Palatino Linotype" w:hAnsi="Palatino Linotype"/>
          <w:lang w:val="es-ES"/>
        </w:rPr>
        <w:t>La clasificación de la información sin realizar la prueba de daño;</w:t>
      </w:r>
    </w:p>
    <w:p w14:paraId="4965A7ED" w14:textId="5527E5E5" w:rsidR="00D92F3D" w:rsidRPr="00EA641D" w:rsidRDefault="00D92F3D" w:rsidP="00D13EAA">
      <w:pPr>
        <w:pStyle w:val="Prrafodelista"/>
        <w:numPr>
          <w:ilvl w:val="0"/>
          <w:numId w:val="18"/>
        </w:numPr>
        <w:tabs>
          <w:tab w:val="left" w:pos="851"/>
        </w:tabs>
        <w:spacing w:before="240" w:after="240" w:line="360" w:lineRule="auto"/>
        <w:ind w:right="49"/>
        <w:jc w:val="both"/>
        <w:rPr>
          <w:rFonts w:ascii="Palatino Linotype" w:hAnsi="Palatino Linotype"/>
          <w:lang w:val="es-ES"/>
        </w:rPr>
      </w:pPr>
      <w:r w:rsidRPr="00EA641D">
        <w:rPr>
          <w:rFonts w:ascii="Palatino Linotype" w:hAnsi="Palatino Linotype"/>
          <w:lang w:val="es-ES"/>
        </w:rPr>
        <w:t>No entregaron la información por contener datos personales y genera suspicacia sobre la designación;</w:t>
      </w:r>
    </w:p>
    <w:p w14:paraId="76AB57FB" w14:textId="396EB0E0" w:rsidR="00D92F3D" w:rsidRPr="00EA641D" w:rsidRDefault="00D92F3D" w:rsidP="00D13EAA">
      <w:pPr>
        <w:pStyle w:val="Prrafodelista"/>
        <w:numPr>
          <w:ilvl w:val="0"/>
          <w:numId w:val="18"/>
        </w:numPr>
        <w:tabs>
          <w:tab w:val="left" w:pos="851"/>
        </w:tabs>
        <w:spacing w:before="240" w:after="240" w:line="360" w:lineRule="auto"/>
        <w:ind w:right="49"/>
        <w:jc w:val="both"/>
        <w:rPr>
          <w:rFonts w:ascii="Palatino Linotype" w:hAnsi="Palatino Linotype"/>
          <w:lang w:val="es-ES"/>
        </w:rPr>
      </w:pPr>
      <w:r w:rsidRPr="00EA641D">
        <w:rPr>
          <w:rFonts w:ascii="Palatino Linotype" w:hAnsi="Palatino Linotype"/>
          <w:lang w:val="es-ES"/>
        </w:rPr>
        <w:t>Los numerales 4 y 5, no realizaron la declaración de incompetencia dentro del plazo de 3 día</w:t>
      </w:r>
      <w:r w:rsidR="00D13EAA" w:rsidRPr="00EA641D">
        <w:rPr>
          <w:rFonts w:ascii="Palatino Linotype" w:hAnsi="Palatino Linotype"/>
          <w:lang w:val="es-ES"/>
        </w:rPr>
        <w:t>s</w:t>
      </w:r>
      <w:r w:rsidRPr="00EA641D">
        <w:rPr>
          <w:rFonts w:ascii="Palatino Linotype" w:hAnsi="Palatino Linotype"/>
          <w:lang w:val="es-ES"/>
        </w:rPr>
        <w:t>, debiendo canalizar la solicitud ante el Sujeto Obligado competente.</w:t>
      </w:r>
    </w:p>
    <w:p w14:paraId="5811A903" w14:textId="77777777" w:rsidR="00D92F3D" w:rsidRPr="00EA641D" w:rsidRDefault="00D92F3D" w:rsidP="00D92F3D">
      <w:pPr>
        <w:pStyle w:val="Prrafodelista"/>
        <w:tabs>
          <w:tab w:val="left" w:pos="851"/>
        </w:tabs>
        <w:spacing w:before="240" w:after="240" w:line="360" w:lineRule="auto"/>
        <w:ind w:left="0" w:right="49"/>
        <w:jc w:val="both"/>
        <w:rPr>
          <w:rFonts w:ascii="Palatino Linotype" w:hAnsi="Palatino Linotype"/>
          <w:lang w:val="es-ES"/>
        </w:rPr>
      </w:pPr>
    </w:p>
    <w:p w14:paraId="7A4C1438" w14:textId="421F7C92" w:rsidR="00402F25" w:rsidRPr="00EA641D" w:rsidRDefault="00402F25" w:rsidP="00D13EAA">
      <w:pPr>
        <w:pStyle w:val="Prrafodelista"/>
        <w:numPr>
          <w:ilvl w:val="0"/>
          <w:numId w:val="1"/>
        </w:numPr>
        <w:tabs>
          <w:tab w:val="left" w:pos="567"/>
        </w:tabs>
        <w:spacing w:line="360" w:lineRule="auto"/>
        <w:jc w:val="both"/>
        <w:rPr>
          <w:rFonts w:ascii="Palatino Linotype" w:eastAsia="Calibri" w:hAnsi="Palatino Linotype" w:cs="Arial"/>
        </w:rPr>
      </w:pPr>
      <w:r w:rsidRPr="00EA641D">
        <w:rPr>
          <w:rFonts w:ascii="Palatino Linotype" w:eastAsia="MS Mincho" w:hAnsi="Palatino Linotype"/>
        </w:rPr>
        <w:t xml:space="preserve">El Particular no mostró inconformidad </w:t>
      </w:r>
      <w:r w:rsidR="00D13EAA" w:rsidRPr="00EA641D">
        <w:rPr>
          <w:rFonts w:ascii="Palatino Linotype" w:eastAsia="MS Mincho" w:hAnsi="Palatino Linotype"/>
        </w:rPr>
        <w:t>por el resto de la información, es decir, las fechas de aplicación de examen, criterios para decidir que aspirantes presentaban el examen de oposición;</w:t>
      </w:r>
      <w:r w:rsidRPr="00EA641D">
        <w:rPr>
          <w:rFonts w:ascii="Palatino Linotype" w:eastAsia="MS Mincho" w:hAnsi="Palatino Linotype"/>
        </w:rPr>
        <w:t xml:space="preserve"> en consecuencia, los rubros que no fueron motivo de inconformidad d</w:t>
      </w:r>
      <w:r w:rsidRPr="00EA641D">
        <w:rPr>
          <w:rFonts w:ascii="Palatino Linotype" w:eastAsia="Calibri" w:hAnsi="Palatino Linotype" w:cs="Arial"/>
        </w:rPr>
        <w:t>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3B0912B" w14:textId="77777777" w:rsidR="00402F25" w:rsidRPr="00EA641D" w:rsidRDefault="00402F25" w:rsidP="00402F25">
      <w:pPr>
        <w:autoSpaceDE w:val="0"/>
        <w:autoSpaceDN w:val="0"/>
        <w:adjustRightInd w:val="0"/>
        <w:spacing w:before="240" w:after="360"/>
        <w:ind w:left="851" w:right="900"/>
        <w:jc w:val="both"/>
        <w:rPr>
          <w:rFonts w:ascii="Palatino Linotype" w:eastAsia="Calibri" w:hAnsi="Palatino Linotype" w:cs="Arial"/>
          <w:i/>
          <w:sz w:val="22"/>
        </w:rPr>
      </w:pPr>
      <w:r w:rsidRPr="00EA641D">
        <w:rPr>
          <w:rFonts w:ascii="Palatino Linotype" w:eastAsia="Calibri" w:hAnsi="Palatino Linotype" w:cs="Arial"/>
          <w:b/>
          <w:i/>
          <w:sz w:val="22"/>
        </w:rPr>
        <w:t xml:space="preserve">“REVISIÓN EN AMPARO. LOS RESOLUTIVOS NO COMBATIDOS DEBEN DECLARARSE FIRMES. </w:t>
      </w:r>
      <w:r w:rsidRPr="00EA641D">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7BDFCF5" w14:textId="77777777" w:rsidR="00402F25" w:rsidRPr="00EA641D" w:rsidRDefault="00402F25" w:rsidP="00402F25">
      <w:pPr>
        <w:pStyle w:val="Prrafodelista"/>
        <w:numPr>
          <w:ilvl w:val="0"/>
          <w:numId w:val="1"/>
        </w:numPr>
        <w:spacing w:before="240" w:after="240" w:line="360" w:lineRule="auto"/>
        <w:jc w:val="both"/>
        <w:rPr>
          <w:rFonts w:ascii="Palatino Linotype" w:eastAsia="Arial Unicode MS" w:hAnsi="Palatino Linotype" w:cs="Arial"/>
        </w:rPr>
      </w:pPr>
      <w:r w:rsidRPr="00EA641D">
        <w:rPr>
          <w:rFonts w:ascii="Palatino Linotype" w:eastAsia="Arial Unicode MS" w:hAnsi="Palatino Linotype" w:cs="Arial"/>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0E9E10C8" w14:textId="77777777" w:rsidR="00402F25" w:rsidRPr="00EA641D" w:rsidRDefault="00402F25" w:rsidP="00402F25">
      <w:pPr>
        <w:pStyle w:val="Prrafodelista"/>
        <w:spacing w:before="240" w:after="240" w:line="360" w:lineRule="auto"/>
        <w:ind w:left="0"/>
        <w:jc w:val="both"/>
        <w:rPr>
          <w:rFonts w:ascii="Palatino Linotype" w:eastAsia="Arial Unicode MS" w:hAnsi="Palatino Linotype" w:cs="Arial"/>
        </w:rPr>
      </w:pPr>
    </w:p>
    <w:p w14:paraId="60F690F6" w14:textId="77777777" w:rsidR="00402F25" w:rsidRPr="00EA641D" w:rsidRDefault="00402F25" w:rsidP="00402F25">
      <w:pPr>
        <w:pStyle w:val="Prrafodelista"/>
        <w:numPr>
          <w:ilvl w:val="0"/>
          <w:numId w:val="1"/>
        </w:numPr>
        <w:spacing w:before="240" w:after="240" w:line="360" w:lineRule="auto"/>
        <w:jc w:val="both"/>
        <w:rPr>
          <w:rFonts w:ascii="Palatino Linotype" w:eastAsia="Arial Unicode MS" w:hAnsi="Palatino Linotype" w:cs="Arial"/>
        </w:rPr>
      </w:pPr>
      <w:r w:rsidRPr="00EA641D">
        <w:rPr>
          <w:rFonts w:ascii="Palatino Linotype" w:eastAsia="Arial Unicode MS" w:hAnsi="Palatino Linotype" w:cs="Arial"/>
        </w:rPr>
        <w:t xml:space="preserve">Sirve de sustento a lo anterior por analogía la tesis jurisprudencial número </w:t>
      </w:r>
      <w:r w:rsidRPr="00EA641D">
        <w:rPr>
          <w:rFonts w:ascii="Palatino Linotype" w:eastAsia="Calibri" w:hAnsi="Palatino Linotype" w:cs="Arial"/>
        </w:rPr>
        <w:t>VI.3o.C. J/60, publicada en el Semanario Judicial de la Federación y su Gaceta bajo el número de registro 176,608 que a la letra dice:</w:t>
      </w:r>
    </w:p>
    <w:p w14:paraId="6E241211" w14:textId="77777777" w:rsidR="00402F25" w:rsidRPr="00EA641D" w:rsidRDefault="00402F25" w:rsidP="00402F25">
      <w:pPr>
        <w:pStyle w:val="Prrafodelista"/>
        <w:rPr>
          <w:rFonts w:ascii="Palatino Linotype" w:eastAsia="Arial Unicode MS" w:hAnsi="Palatino Linotype" w:cs="Arial"/>
        </w:rPr>
      </w:pPr>
    </w:p>
    <w:p w14:paraId="78D61B2C" w14:textId="77777777" w:rsidR="00402F25" w:rsidRPr="00EA641D" w:rsidRDefault="00402F25" w:rsidP="00402F25">
      <w:pPr>
        <w:pStyle w:val="Prrafodelista"/>
        <w:spacing w:line="360" w:lineRule="auto"/>
        <w:ind w:left="567" w:right="616"/>
        <w:jc w:val="both"/>
        <w:rPr>
          <w:rFonts w:ascii="Palatino Linotype" w:hAnsi="Palatino Linotype" w:cs="Arial"/>
          <w:i/>
        </w:rPr>
      </w:pPr>
      <w:r w:rsidRPr="00EA641D">
        <w:rPr>
          <w:rFonts w:ascii="Palatino Linotype" w:hAnsi="Palatino Linotype" w:cs="Arial"/>
          <w:b/>
          <w:bCs/>
          <w:i/>
          <w:caps/>
        </w:rPr>
        <w:t xml:space="preserve">“ACTOS CONSENTIDOS. SON LOS QUE NO SE IMPUGNAN MEDIANTE EL RECURSO IDÓNEO. </w:t>
      </w:r>
      <w:r w:rsidRPr="00EA641D">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8DD50B5" w14:textId="77777777" w:rsidR="00402F25" w:rsidRPr="00EA641D" w:rsidRDefault="00402F25" w:rsidP="00402F25">
      <w:pPr>
        <w:pStyle w:val="Prrafodelista"/>
        <w:tabs>
          <w:tab w:val="left" w:pos="567"/>
        </w:tabs>
        <w:spacing w:line="360" w:lineRule="auto"/>
        <w:ind w:left="0"/>
        <w:jc w:val="both"/>
        <w:rPr>
          <w:rFonts w:ascii="Palatino Linotype" w:eastAsia="Calibri" w:hAnsi="Palatino Linotype" w:cs="Arial"/>
        </w:rPr>
      </w:pPr>
    </w:p>
    <w:p w14:paraId="562C5F06" w14:textId="77777777" w:rsidR="00D13EAA" w:rsidRPr="00EA641D" w:rsidRDefault="00402F25" w:rsidP="00D13EAA">
      <w:pPr>
        <w:pStyle w:val="Prrafodelista"/>
        <w:numPr>
          <w:ilvl w:val="0"/>
          <w:numId w:val="1"/>
        </w:numPr>
        <w:tabs>
          <w:tab w:val="left" w:pos="567"/>
        </w:tabs>
        <w:spacing w:line="360" w:lineRule="auto"/>
        <w:jc w:val="both"/>
        <w:rPr>
          <w:rFonts w:ascii="Palatino Linotype" w:eastAsia="Calibri" w:hAnsi="Palatino Linotype" w:cs="Arial"/>
        </w:rPr>
      </w:pPr>
      <w:r w:rsidRPr="00EA641D">
        <w:rPr>
          <w:rFonts w:ascii="Palatino Linotype" w:eastAsia="Calibri" w:hAnsi="Palatino Linotype" w:cs="Arial"/>
        </w:rPr>
        <w:t>Por lo que el análisis y estudio se centrará en los requerimientos por los que se in</w:t>
      </w:r>
      <w:r w:rsidR="00D13EAA" w:rsidRPr="00EA641D">
        <w:rPr>
          <w:rFonts w:ascii="Palatino Linotype" w:eastAsia="Calibri" w:hAnsi="Palatino Linotype" w:cs="Arial"/>
        </w:rPr>
        <w:t>conformó el particular y que son relativos a la clasificación de la información y la declaración de incompetencia.</w:t>
      </w:r>
    </w:p>
    <w:p w14:paraId="3324A791" w14:textId="77777777" w:rsidR="00C15F56" w:rsidRPr="00EA641D" w:rsidRDefault="00C15F56" w:rsidP="00C15F56">
      <w:pPr>
        <w:pStyle w:val="Prrafodelista"/>
        <w:tabs>
          <w:tab w:val="left" w:pos="567"/>
        </w:tabs>
        <w:spacing w:line="360" w:lineRule="auto"/>
        <w:ind w:left="0"/>
        <w:jc w:val="both"/>
        <w:rPr>
          <w:rFonts w:ascii="Palatino Linotype" w:eastAsia="Calibri" w:hAnsi="Palatino Linotype" w:cs="Arial"/>
        </w:rPr>
      </w:pPr>
    </w:p>
    <w:p w14:paraId="58F52646" w14:textId="3F477372" w:rsidR="00CA46BF" w:rsidRPr="00EA641D" w:rsidRDefault="00D13EAA" w:rsidP="00C15F56">
      <w:pPr>
        <w:pStyle w:val="Prrafodelista"/>
        <w:tabs>
          <w:tab w:val="left" w:pos="567"/>
        </w:tabs>
        <w:spacing w:line="360" w:lineRule="auto"/>
        <w:ind w:left="0"/>
        <w:jc w:val="both"/>
        <w:rPr>
          <w:rFonts w:ascii="Palatino Linotype" w:hAnsi="Palatino Linotype"/>
          <w:b/>
        </w:rPr>
      </w:pPr>
      <w:r w:rsidRPr="00EA641D">
        <w:rPr>
          <w:rFonts w:ascii="Palatino Linotype" w:eastAsia="Calibri" w:hAnsi="Palatino Linotype" w:cs="Arial"/>
        </w:rPr>
        <w:t xml:space="preserve"> </w:t>
      </w:r>
      <w:r w:rsidR="00C074D9" w:rsidRPr="00EA641D">
        <w:rPr>
          <w:rFonts w:ascii="Palatino Linotype" w:hAnsi="Palatino Linotype"/>
          <w:b/>
        </w:rPr>
        <w:t xml:space="preserve">III. </w:t>
      </w:r>
      <w:r w:rsidR="00CA46BF" w:rsidRPr="00EA641D">
        <w:rPr>
          <w:rFonts w:ascii="Palatino Linotype" w:hAnsi="Palatino Linotype"/>
          <w:b/>
        </w:rPr>
        <w:t xml:space="preserve">De la clasificación de la información </w:t>
      </w:r>
    </w:p>
    <w:p w14:paraId="4FCA245E" w14:textId="77777777" w:rsidR="00CA46BF" w:rsidRPr="00EA641D" w:rsidRDefault="00CA46BF" w:rsidP="00CA46BF">
      <w:pPr>
        <w:pStyle w:val="Prrafodelista"/>
        <w:rPr>
          <w:rFonts w:ascii="Palatino Linotype" w:eastAsia="Calibri" w:hAnsi="Palatino Linotype" w:cs="Arial"/>
        </w:rPr>
      </w:pPr>
    </w:p>
    <w:p w14:paraId="6265BA5D" w14:textId="7D179033"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El </w:t>
      </w:r>
      <w:r w:rsidRPr="00EA641D">
        <w:rPr>
          <w:rFonts w:ascii="Palatino Linotype" w:eastAsia="MS Mincho" w:hAnsi="Palatino Linotype" w:cs="Times New Roman"/>
          <w:b/>
        </w:rPr>
        <w:t xml:space="preserve">Sujeto Obligado </w:t>
      </w:r>
      <w:r w:rsidRPr="00EA641D">
        <w:rPr>
          <w:rFonts w:ascii="Palatino Linotype" w:eastAsia="MS Mincho" w:hAnsi="Palatino Linotype" w:cs="Times New Roman"/>
        </w:rPr>
        <w:t xml:space="preserve">en respuesta refirió que la información requerida, debe ser protegida por corresponder a datos personal, toda vez que de que se trata de información privada y a datos personales concernientes a una persona física identificada o identificable. </w:t>
      </w:r>
    </w:p>
    <w:p w14:paraId="73AB7E63"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151C9ECB"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Ante tal situación, es necesario referir que la clasificación total o parcial de la información, mediante solicitud de acceso a la información pública, constituye una </w:t>
      </w:r>
      <w:r w:rsidRPr="00EA641D">
        <w:rPr>
          <w:rFonts w:ascii="Palatino Linotype" w:eastAsia="MS Mincho" w:hAnsi="Palatino Linotype" w:cs="Times New Roman"/>
        </w:rPr>
        <w:lastRenderedPageBreak/>
        <w:t>restricción al derecho humano de acceso a la información, como reiteradamente han dicho diversos órganos jurisdiccionales, ningún derecho es absoluto</w:t>
      </w:r>
      <w:r w:rsidRPr="00EA641D">
        <w:rPr>
          <w:rStyle w:val="Refdenotaalpie"/>
          <w:rFonts w:ascii="Palatino Linotype" w:hAnsi="Palatino Linotype"/>
        </w:rPr>
        <w:footnoteReference w:id="6"/>
      </w:r>
      <w:r w:rsidRPr="00EA641D">
        <w:rPr>
          <w:rFonts w:ascii="Palatino Linotype" w:eastAsia="MS Mincho" w:hAnsi="Palatino Linotype" w:cs="Times New Roman"/>
        </w:rPr>
        <w:t xml:space="preserve">. </w:t>
      </w:r>
    </w:p>
    <w:p w14:paraId="11A9EF21" w14:textId="77777777" w:rsidR="00C15F56" w:rsidRPr="00EA641D" w:rsidRDefault="00C15F56" w:rsidP="00C15F56">
      <w:pPr>
        <w:pStyle w:val="Prrafodelista"/>
        <w:rPr>
          <w:rFonts w:ascii="Palatino Linotype" w:eastAsia="MS Mincho" w:hAnsi="Palatino Linotype" w:cs="Times New Roman"/>
        </w:rPr>
      </w:pPr>
    </w:p>
    <w:p w14:paraId="06048AEC"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Por lo que, cualquier límite o restricción, para ser legítimo, debe reunir con tres requisitos: primero, debe estar establecida en un ordenamiento legal, antes de su aplicación; debe corresponder a un fin legítimo y ser estrictamente proporcional con el principio o valor que se pretende </w:t>
      </w:r>
      <w:r w:rsidRPr="00EA641D">
        <w:rPr>
          <w:rFonts w:ascii="Palatino Linotype" w:hAnsi="Palatino Linotype"/>
        </w:rPr>
        <w:t>preservar.</w:t>
      </w:r>
      <w:r w:rsidRPr="00EA641D">
        <w:rPr>
          <w:rStyle w:val="Refdenotaalpie"/>
          <w:rFonts w:ascii="Palatino Linotype" w:hAnsi="Palatino Linotype"/>
        </w:rPr>
        <w:footnoteReference w:id="7"/>
      </w:r>
      <w:r w:rsidRPr="00EA641D">
        <w:rPr>
          <w:rFonts w:ascii="Palatino Linotype" w:hAnsi="Palatino Linotype"/>
        </w:rPr>
        <w:t xml:space="preserve"> En este caso, la clasificación total </w:t>
      </w:r>
      <w:r w:rsidRPr="00EA641D">
        <w:rPr>
          <w:rFonts w:ascii="Palatino Linotype" w:hAnsi="Palatino Linotype"/>
        </w:rPr>
        <w:lastRenderedPageBreak/>
        <w:t xml:space="preserve">o parcial de la información es un supuesto que tanto la Ley General de Transparencia y Acceso a la Información Pública, como la Ley de Transparencia y Acceso a la Información Pública del Estado de México y Municipios establecen, y agotar el procedimiento legalmente establecido, es precisamente lo que permite acreditar el cumplimiento de los otros dos requisitos. </w:t>
      </w:r>
    </w:p>
    <w:p w14:paraId="7752238C"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6F01D125" w14:textId="77777777" w:rsidR="009929C5" w:rsidRPr="00EA641D" w:rsidRDefault="009929C5" w:rsidP="009929C5">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32" w:name="_Toc4073619"/>
      <w:bookmarkStart w:id="33" w:name="_Toc4078182"/>
      <w:bookmarkStart w:id="34" w:name="_Toc34158053"/>
      <w:bookmarkStart w:id="35" w:name="_Toc34910489"/>
      <w:bookmarkStart w:id="36" w:name="_Toc34936178"/>
      <w:r w:rsidRPr="00EA641D">
        <w:rPr>
          <w:rFonts w:ascii="Palatino Linotype" w:eastAsiaTheme="majorEastAsia" w:hAnsi="Palatino Linotype" w:cstheme="majorBidi"/>
          <w:b/>
          <w:color w:val="000000" w:themeColor="text1"/>
        </w:rPr>
        <w:t>a) Requisitos previos.</w:t>
      </w:r>
      <w:bookmarkEnd w:id="32"/>
      <w:bookmarkEnd w:id="33"/>
      <w:bookmarkEnd w:id="34"/>
      <w:bookmarkEnd w:id="35"/>
      <w:bookmarkEnd w:id="36"/>
    </w:p>
    <w:p w14:paraId="33C16D8E"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1E94B6D5"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Los artículos 122 y 100 de la Ley Estatal y la Ley General, respectivamente señalan que los </w:t>
      </w:r>
      <w:r w:rsidRPr="00EA641D">
        <w:rPr>
          <w:rFonts w:ascii="Palatino Linotype" w:eastAsia="MS Mincho" w:hAnsi="Palatino Linotype" w:cs="Times New Roman"/>
          <w:b/>
        </w:rPr>
        <w:t xml:space="preserve">Sujetos Obligados </w:t>
      </w:r>
      <w:r w:rsidRPr="00EA641D">
        <w:rPr>
          <w:rFonts w:ascii="Palatino Linotype" w:eastAsia="MS Mincho" w:hAnsi="Palatino Linotype" w:cs="Times New Roman"/>
        </w:rPr>
        <w:t xml:space="preserve">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w:t>
      </w:r>
      <w:r w:rsidRPr="00EA641D">
        <w:rPr>
          <w:rFonts w:ascii="Palatino Linotype" w:eastAsia="MS Mincho" w:hAnsi="Palatino Linotype" w:cs="Times New Roman"/>
          <w:b/>
        </w:rPr>
        <w:t>confidencialidad o reserva.</w:t>
      </w:r>
    </w:p>
    <w:p w14:paraId="4A36BF7A"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315C8AB5"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Aunado a ello,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 </w:t>
      </w:r>
    </w:p>
    <w:p w14:paraId="4641FDFF"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6CB9FAF9"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lastRenderedPageBreak/>
        <w:t xml:space="preserve">El último de estos requisitos previos consiste en que no se pueden emitir acuerdos de carácter general ni particular, de acuerdo con lo que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 </w:t>
      </w:r>
    </w:p>
    <w:p w14:paraId="35DE0C68"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228EC5A1" w14:textId="77777777" w:rsidR="009929C5" w:rsidRPr="00EA641D" w:rsidRDefault="009929C5" w:rsidP="009929C5">
      <w:pPr>
        <w:keepNext/>
        <w:keepLines/>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rPr>
      </w:pPr>
      <w:bookmarkStart w:id="37" w:name="_Toc34158054"/>
      <w:bookmarkStart w:id="38" w:name="_Toc34910490"/>
      <w:bookmarkStart w:id="39" w:name="_Toc34936179"/>
      <w:r w:rsidRPr="00EA641D">
        <w:rPr>
          <w:rFonts w:ascii="Palatino Linotype" w:eastAsiaTheme="majorEastAsia" w:hAnsi="Palatino Linotype" w:cstheme="majorBidi"/>
          <w:b/>
          <w:color w:val="000000" w:themeColor="text1"/>
        </w:rPr>
        <w:t>b) Supuestos de clasificación.</w:t>
      </w:r>
      <w:bookmarkEnd w:id="37"/>
      <w:bookmarkEnd w:id="38"/>
      <w:bookmarkEnd w:id="39"/>
      <w:r w:rsidRPr="00EA641D">
        <w:rPr>
          <w:rFonts w:ascii="Palatino Linotype" w:eastAsiaTheme="majorEastAsia" w:hAnsi="Palatino Linotype" w:cstheme="majorBidi"/>
          <w:b/>
          <w:color w:val="000000" w:themeColor="text1"/>
        </w:rPr>
        <w:t xml:space="preserve"> </w:t>
      </w:r>
    </w:p>
    <w:p w14:paraId="5A406EC7"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74E6B875"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Ahora bien, las disposiciones constitucionales y legales en la materia establecen los dos supuestos generales para clasificar la información: </w:t>
      </w:r>
      <w:r w:rsidRPr="00EA641D">
        <w:rPr>
          <w:rFonts w:ascii="Palatino Linotype" w:eastAsia="MS Mincho" w:hAnsi="Palatino Linotype" w:cs="Times New Roman"/>
          <w:b/>
        </w:rPr>
        <w:t xml:space="preserve">por reserva y por confidencialidad. </w:t>
      </w:r>
      <w:r w:rsidRPr="00EA641D">
        <w:rPr>
          <w:rFonts w:ascii="Palatino Linotype" w:eastAsia="MS Mincho" w:hAnsi="Palatino Linotype" w:cs="Times New Roman"/>
        </w:rPr>
        <w:t xml:space="preserve">Siendo los artículos 140 y 113 de la Ley Estatal y de la Ley General, los que enmarcan los supuestos para que la información pueda considerarse como </w:t>
      </w:r>
      <w:r w:rsidRPr="00EA641D">
        <w:rPr>
          <w:rFonts w:ascii="Palatino Linotype" w:eastAsia="MS Mincho" w:hAnsi="Palatino Linotype" w:cs="Times New Roman"/>
          <w:b/>
        </w:rPr>
        <w:t>reservada</w:t>
      </w:r>
      <w:r w:rsidRPr="00EA641D">
        <w:rPr>
          <w:rFonts w:ascii="Palatino Linotype" w:eastAsia="MS Mincho" w:hAnsi="Palatino Linotype" w:cs="Times New Roman"/>
        </w:rPr>
        <w:t xml:space="preserve">, y los artículos 143 y 116 de la Ley Estatal y de la Ley General, los supuestos para que la información pueda ser clasificada como </w:t>
      </w:r>
      <w:r w:rsidRPr="00EA641D">
        <w:rPr>
          <w:rFonts w:ascii="Palatino Linotype" w:eastAsia="MS Mincho" w:hAnsi="Palatino Linotype" w:cs="Times New Roman"/>
          <w:b/>
        </w:rPr>
        <w:t xml:space="preserve">confidencial. </w:t>
      </w:r>
    </w:p>
    <w:p w14:paraId="523F5D7C"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63F236FC"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En el mismo sentido, el artículo 105 de la Ley General y el artículo 130 de la Ley Estatal, establecen medularmente que </w:t>
      </w:r>
      <w:r w:rsidRPr="00EA641D">
        <w:rPr>
          <w:rFonts w:ascii="Palatino Linotype" w:eastAsia="MS Mincho" w:hAnsi="Palatino Linotype" w:cs="Times New Roman"/>
          <w:b/>
        </w:rPr>
        <w:t xml:space="preserve">los sujetos obligados deberán aplicar, de manera restrictiva y limitada los supuestos de clasificación, debiendo acreditarse que se cumple con dicha condición y no se pueden ampliar las excepciones o supuestos de clasificación aduciendo analogía o mayoría de razón. </w:t>
      </w:r>
    </w:p>
    <w:p w14:paraId="5E3452B0"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18550E6B"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lastRenderedPageBreak/>
        <w:t xml:space="preserve">Como consecuencia de lo anterior, el </w:t>
      </w:r>
      <w:r w:rsidRPr="00EA641D">
        <w:rPr>
          <w:rFonts w:ascii="Palatino Linotype" w:eastAsia="MS Mincho" w:hAnsi="Palatino Linotype" w:cs="Times New Roman"/>
          <w:b/>
        </w:rPr>
        <w:t xml:space="preserve">Sujeto Obligado </w:t>
      </w:r>
      <w:r w:rsidRPr="00EA641D">
        <w:rPr>
          <w:rFonts w:ascii="Palatino Linotype" w:eastAsia="MS Mincho" w:hAnsi="Palatino Linotype" w:cs="Times New Roman"/>
        </w:rPr>
        <w:t xml:space="preserve">debe identificar claramente el tipo de información y hacer un juicio de subsunción o encaje, para acreditar que el supuesto de hecho corresponde estrictamente con la hipótesis jurídica, esto también lo debe realizar el servidor público habilitado y el titular del área que administra la información. </w:t>
      </w:r>
    </w:p>
    <w:p w14:paraId="1216E89B"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13E62B99"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Una vez realizado, se remite la información al Titular de la Unidad de Transparencia, con el acuerdo de clasificación correspondiente, para que sea sometido al conocimiento del Comité de Transparencia. </w:t>
      </w:r>
    </w:p>
    <w:p w14:paraId="00234349"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63D8EB8F" w14:textId="77777777" w:rsidR="009929C5" w:rsidRPr="00EA641D" w:rsidRDefault="009929C5" w:rsidP="009929C5">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rPr>
      </w:pPr>
      <w:bookmarkStart w:id="40" w:name="_Toc34158055"/>
      <w:bookmarkStart w:id="41" w:name="_Toc34910491"/>
      <w:bookmarkStart w:id="42" w:name="_Toc34936180"/>
      <w:r w:rsidRPr="00EA641D">
        <w:rPr>
          <w:rFonts w:ascii="Palatino Linotype" w:eastAsiaTheme="majorEastAsia" w:hAnsi="Palatino Linotype" w:cstheme="majorBidi"/>
          <w:b/>
          <w:color w:val="000000" w:themeColor="text1"/>
        </w:rPr>
        <w:t>c) La intervención del Comité de Transparencia.</w:t>
      </w:r>
      <w:bookmarkEnd w:id="40"/>
      <w:bookmarkEnd w:id="41"/>
      <w:bookmarkEnd w:id="42"/>
    </w:p>
    <w:p w14:paraId="6F17BAFF" w14:textId="77777777" w:rsidR="009929C5" w:rsidRPr="00EA641D" w:rsidRDefault="009929C5" w:rsidP="009929C5">
      <w:pPr>
        <w:keepNext/>
        <w:keepLines/>
        <w:numPr>
          <w:ilvl w:val="0"/>
          <w:numId w:val="24"/>
        </w:numPr>
        <w:pBdr>
          <w:top w:val="nil"/>
          <w:left w:val="nil"/>
          <w:bottom w:val="nil"/>
          <w:right w:val="nil"/>
          <w:between w:val="nil"/>
          <w:bar w:val="nil"/>
        </w:pBdr>
        <w:spacing w:line="360" w:lineRule="auto"/>
        <w:contextualSpacing/>
        <w:outlineLvl w:val="1"/>
        <w:rPr>
          <w:rFonts w:ascii="Palatino Linotype" w:eastAsiaTheme="majorEastAsia" w:hAnsi="Palatino Linotype" w:cstheme="majorBidi"/>
          <w:b/>
          <w:color w:val="000000" w:themeColor="text1"/>
        </w:rPr>
      </w:pPr>
      <w:bookmarkStart w:id="43" w:name="_Toc4073623"/>
      <w:bookmarkStart w:id="44" w:name="_Toc4078186"/>
      <w:bookmarkStart w:id="45" w:name="_Toc34158056"/>
      <w:bookmarkStart w:id="46" w:name="_Toc34910492"/>
      <w:bookmarkStart w:id="47" w:name="_Toc34936181"/>
      <w:r w:rsidRPr="00EA641D">
        <w:rPr>
          <w:rFonts w:ascii="Palatino Linotype" w:eastAsiaTheme="majorEastAsia" w:hAnsi="Palatino Linotype" w:cstheme="majorBidi"/>
          <w:b/>
          <w:color w:val="000000" w:themeColor="text1"/>
        </w:rPr>
        <w:t>Formalidades para emitir el acuerdo de clasificación.</w:t>
      </w:r>
      <w:bookmarkEnd w:id="43"/>
      <w:bookmarkEnd w:id="44"/>
      <w:bookmarkEnd w:id="45"/>
      <w:bookmarkEnd w:id="46"/>
      <w:bookmarkEnd w:id="47"/>
    </w:p>
    <w:p w14:paraId="7C6DB7FA"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1837EF07"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El Comité de Transparencia, </w:t>
      </w:r>
      <w:r w:rsidRPr="00EA641D">
        <w:rPr>
          <w:rFonts w:ascii="Palatino Linotype" w:eastAsia="MS Mincho" w:hAnsi="Palatino Linotype" w:cs="Arial"/>
          <w:color w:val="000000"/>
        </w:rPr>
        <w:t xml:space="preserve">según lo dispuesto en los artículos 128 y 103 de la Ley Estatal y de la Ley General, respectivamente, y </w:t>
      </w:r>
      <w:r w:rsidRPr="00EA641D">
        <w:rPr>
          <w:rFonts w:ascii="Palatino Linotype" w:eastAsia="MS Mincho" w:hAnsi="Palatino Linotype" w:cs="Times New Roman"/>
          <w:color w:val="000000"/>
        </w:rPr>
        <w:t xml:space="preserve">la fracción III del numeral Segundo de los </w:t>
      </w:r>
      <w:r w:rsidRPr="00EA641D">
        <w:rPr>
          <w:rFonts w:ascii="Palatino Linotype" w:eastAsia="MS Mincho" w:hAnsi="Palatino Linotype" w:cs="Arial"/>
          <w:color w:val="000000"/>
        </w:rPr>
        <w:t>Lineamientos generales en materia de clasificación y desclasificación de la información, así como para la elaboración de versiones públicas,</w:t>
      </w:r>
      <w:r w:rsidRPr="00EA641D">
        <w:rPr>
          <w:rFonts w:ascii="Palatino Linotype" w:eastAsia="MS Mincho" w:hAnsi="Palatino Linotype" w:cs="Times New Roman"/>
          <w:color w:val="000000"/>
        </w:rPr>
        <w:t xml:space="preserve"> </w:t>
      </w:r>
      <w:r w:rsidRPr="00EA641D">
        <w:rPr>
          <w:rFonts w:ascii="Palatino Linotype" w:eastAsia="MS Mincho" w:hAnsi="Palatino Linotype" w:cs="Arial"/>
          <w:color w:val="000000"/>
        </w:rPr>
        <w:t xml:space="preserve">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 </w:t>
      </w:r>
    </w:p>
    <w:p w14:paraId="34D9A71A"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1CEC55D5" w14:textId="77777777" w:rsidR="009929C5" w:rsidRPr="00EA641D" w:rsidRDefault="009929C5" w:rsidP="009929C5">
      <w:pPr>
        <w:numPr>
          <w:ilvl w:val="0"/>
          <w:numId w:val="1"/>
        </w:numPr>
        <w:spacing w:line="360" w:lineRule="auto"/>
        <w:contextualSpacing/>
        <w:jc w:val="both"/>
        <w:rPr>
          <w:rFonts w:ascii="Palatino Linotype" w:hAnsi="Palatino Linotype" w:cs="Arial"/>
          <w:color w:val="000000" w:themeColor="text1"/>
        </w:rPr>
      </w:pPr>
      <w:r w:rsidRPr="00EA641D">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w:t>
      </w:r>
      <w:r w:rsidRPr="00EA641D">
        <w:rPr>
          <w:rFonts w:ascii="Palatino Linotype" w:hAnsi="Palatino Linotype" w:cs="Arial"/>
          <w:color w:val="000000" w:themeColor="text1"/>
        </w:rPr>
        <w:lastRenderedPageBreak/>
        <w:t>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1A58780"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364BF90A"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sz w:val="28"/>
        </w:rPr>
      </w:pPr>
      <w:r w:rsidRPr="00EA641D">
        <w:rPr>
          <w:rFonts w:ascii="Palatino Linotype" w:hAnsi="Palatino Linotype"/>
          <w:color w:val="000000" w:themeColor="text1"/>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B9DCFAC" w14:textId="77777777" w:rsidR="009929C5" w:rsidRPr="00EA641D" w:rsidRDefault="009929C5" w:rsidP="009929C5">
      <w:pPr>
        <w:pStyle w:val="Prrafodelista"/>
        <w:spacing w:line="360" w:lineRule="auto"/>
        <w:ind w:left="360" w:right="49"/>
        <w:jc w:val="both"/>
        <w:rPr>
          <w:rFonts w:ascii="Palatino Linotype" w:eastAsia="MS Mincho" w:hAnsi="Palatino Linotype" w:cs="Times New Roman"/>
          <w:sz w:val="28"/>
        </w:rPr>
      </w:pPr>
    </w:p>
    <w:p w14:paraId="1034C790" w14:textId="77777777" w:rsidR="009929C5" w:rsidRPr="00EA641D" w:rsidRDefault="009929C5" w:rsidP="009929C5">
      <w:pPr>
        <w:pStyle w:val="Prrafodelista"/>
        <w:keepNext/>
        <w:keepLines/>
        <w:numPr>
          <w:ilvl w:val="0"/>
          <w:numId w:val="24"/>
        </w:numPr>
        <w:pBdr>
          <w:top w:val="nil"/>
          <w:left w:val="nil"/>
          <w:bottom w:val="nil"/>
          <w:right w:val="nil"/>
          <w:between w:val="nil"/>
          <w:bar w:val="nil"/>
        </w:pBdr>
        <w:spacing w:line="360" w:lineRule="auto"/>
        <w:outlineLvl w:val="1"/>
        <w:rPr>
          <w:rFonts w:ascii="Palatino Linotype" w:eastAsiaTheme="majorEastAsia" w:hAnsi="Palatino Linotype" w:cstheme="majorBidi"/>
          <w:b/>
          <w:color w:val="000000" w:themeColor="text1"/>
        </w:rPr>
      </w:pPr>
      <w:bookmarkStart w:id="48" w:name="_Toc34158057"/>
      <w:bookmarkStart w:id="49" w:name="_Toc34910493"/>
      <w:bookmarkStart w:id="50" w:name="_Toc34936182"/>
      <w:r w:rsidRPr="00EA641D">
        <w:rPr>
          <w:rFonts w:ascii="Palatino Linotype" w:eastAsiaTheme="majorEastAsia" w:hAnsi="Palatino Linotype" w:cstheme="majorBidi"/>
          <w:b/>
          <w:color w:val="000000" w:themeColor="text1"/>
        </w:rPr>
        <w:t>Requisitos de fondo del acuerdo de clasificación.</w:t>
      </w:r>
      <w:bookmarkEnd w:id="48"/>
      <w:bookmarkEnd w:id="49"/>
      <w:bookmarkEnd w:id="50"/>
      <w:r w:rsidRPr="00EA641D">
        <w:rPr>
          <w:rFonts w:ascii="Palatino Linotype" w:eastAsiaTheme="majorEastAsia" w:hAnsi="Palatino Linotype" w:cstheme="majorBidi"/>
          <w:b/>
          <w:color w:val="000000" w:themeColor="text1"/>
        </w:rPr>
        <w:t xml:space="preserve"> </w:t>
      </w:r>
    </w:p>
    <w:p w14:paraId="3810CF35" w14:textId="77777777" w:rsidR="009929C5" w:rsidRPr="00EA641D" w:rsidRDefault="009929C5" w:rsidP="009929C5">
      <w:pPr>
        <w:numPr>
          <w:ilvl w:val="0"/>
          <w:numId w:val="1"/>
        </w:numPr>
        <w:spacing w:line="360" w:lineRule="auto"/>
        <w:contextualSpacing/>
        <w:jc w:val="both"/>
        <w:rPr>
          <w:rFonts w:ascii="Palatino Linotype" w:hAnsi="Palatino Linotype" w:cs="Arial"/>
          <w:color w:val="000000" w:themeColor="text1"/>
        </w:rPr>
      </w:pPr>
      <w:r w:rsidRPr="00EA641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EA641D">
        <w:rPr>
          <w:rFonts w:ascii="Palatino Linotype" w:hAnsi="Palatino Linotype" w:cs="Arial"/>
          <w:color w:val="000000" w:themeColor="text1"/>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7EA0462" w14:textId="77777777" w:rsidR="009929C5" w:rsidRPr="00EA641D" w:rsidRDefault="009929C5" w:rsidP="009929C5">
      <w:pPr>
        <w:spacing w:line="360" w:lineRule="auto"/>
        <w:contextualSpacing/>
        <w:jc w:val="both"/>
        <w:rPr>
          <w:rFonts w:ascii="Palatino Linotype" w:hAnsi="Palatino Linotype"/>
          <w:color w:val="000000" w:themeColor="text1"/>
        </w:rPr>
      </w:pPr>
    </w:p>
    <w:p w14:paraId="67B72586" w14:textId="77777777" w:rsidR="009929C5" w:rsidRPr="00EA641D" w:rsidRDefault="009929C5" w:rsidP="009929C5">
      <w:pPr>
        <w:numPr>
          <w:ilvl w:val="0"/>
          <w:numId w:val="1"/>
        </w:numPr>
        <w:spacing w:line="360" w:lineRule="auto"/>
        <w:contextualSpacing/>
        <w:jc w:val="both"/>
        <w:rPr>
          <w:rFonts w:ascii="Palatino Linotype" w:hAnsi="Palatino Linotype"/>
          <w:color w:val="000000" w:themeColor="text1"/>
        </w:rPr>
      </w:pPr>
      <w:r w:rsidRPr="00EA641D">
        <w:rPr>
          <w:rFonts w:ascii="Palatino Linotype" w:hAnsi="Palatino Linotype"/>
          <w:color w:val="000000" w:themeColor="text1"/>
        </w:rPr>
        <w:t xml:space="preserve">De lo anterior, se desprende que para una correcta clasificación total o parcial, esto es, determinar los datos que se suprimen en las versiones públicas, </w:t>
      </w:r>
      <w:r w:rsidRPr="00EA641D">
        <w:rPr>
          <w:rFonts w:ascii="Palatino Linotype" w:hAnsi="Palatino Linotype"/>
          <w:b/>
          <w:color w:val="000000" w:themeColor="text1"/>
        </w:rPr>
        <w:t>es necesario fundar y motivar</w:t>
      </w:r>
      <w:r w:rsidRPr="00EA641D">
        <w:rPr>
          <w:rFonts w:ascii="Palatino Linotype" w:hAnsi="Palatino Linotype"/>
          <w:color w:val="000000" w:themeColor="text1"/>
        </w:rPr>
        <w:t xml:space="preserve">, de manera correcta la clasificación; considerando que todo acto que la autoridad pronuncie en el ejercicio de sus atribuciones, debe expresar los fundamentos legales que le dieron origen y las razones por las que se deben aplicar al caso concreto, por lo que debe </w:t>
      </w:r>
      <w:r w:rsidRPr="00EA641D">
        <w:rPr>
          <w:rFonts w:ascii="Palatino Linotype" w:eastAsia="Times New Roman" w:hAnsi="Palatino Linotype" w:cs="Arial"/>
          <w:color w:val="000000" w:themeColor="text1"/>
          <w:lang w:eastAsia="es-MX"/>
        </w:rPr>
        <w:t>entenderse por fundamentación y motivación, lo siguiente:</w:t>
      </w:r>
    </w:p>
    <w:p w14:paraId="782784AE" w14:textId="77777777" w:rsidR="009929C5" w:rsidRPr="00EA641D" w:rsidRDefault="009929C5" w:rsidP="009929C5">
      <w:pPr>
        <w:spacing w:line="360" w:lineRule="auto"/>
        <w:ind w:right="618"/>
        <w:contextualSpacing/>
        <w:jc w:val="both"/>
        <w:rPr>
          <w:rFonts w:ascii="Palatino Linotype" w:hAnsi="Palatino Linotype" w:cs="Arial"/>
          <w:color w:val="000000" w:themeColor="text1"/>
        </w:rPr>
      </w:pPr>
    </w:p>
    <w:p w14:paraId="1F1A02D8" w14:textId="77777777" w:rsidR="009929C5" w:rsidRPr="00EA641D" w:rsidRDefault="009929C5" w:rsidP="009929C5">
      <w:pPr>
        <w:spacing w:line="360" w:lineRule="auto"/>
        <w:ind w:left="567" w:right="618"/>
        <w:contextualSpacing/>
        <w:jc w:val="both"/>
        <w:rPr>
          <w:rFonts w:ascii="Palatino Linotype" w:hAnsi="Palatino Linotype" w:cs="Arial"/>
          <w:i/>
          <w:color w:val="000000" w:themeColor="text1"/>
          <w:sz w:val="22"/>
        </w:rPr>
      </w:pPr>
      <w:r w:rsidRPr="00EA641D">
        <w:rPr>
          <w:rFonts w:ascii="Palatino Linotype" w:hAnsi="Palatino Linotype" w:cs="Arial"/>
          <w:b/>
          <w:i/>
          <w:color w:val="000000" w:themeColor="text1"/>
          <w:sz w:val="22"/>
        </w:rPr>
        <w:t>FUNDAMENTACIÓN Y MOTIVACIÓN.</w:t>
      </w:r>
      <w:r w:rsidRPr="00EA641D">
        <w:rPr>
          <w:rFonts w:ascii="Palatino Linotype" w:hAnsi="Palatino Linotype" w:cs="Arial"/>
          <w:i/>
          <w:color w:val="000000" w:themeColor="text1"/>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3EBE738" w14:textId="77777777" w:rsidR="009929C5" w:rsidRPr="00EA641D" w:rsidRDefault="009929C5" w:rsidP="009929C5">
      <w:pPr>
        <w:spacing w:line="360" w:lineRule="auto"/>
        <w:ind w:right="618"/>
        <w:contextualSpacing/>
        <w:jc w:val="both"/>
        <w:rPr>
          <w:rFonts w:ascii="Palatino Linotype" w:hAnsi="Palatino Linotype" w:cs="Arial"/>
          <w:i/>
          <w:color w:val="000000" w:themeColor="text1"/>
          <w:sz w:val="22"/>
        </w:rPr>
      </w:pPr>
    </w:p>
    <w:p w14:paraId="4C122583" w14:textId="77777777" w:rsidR="009929C5" w:rsidRPr="00EA641D" w:rsidRDefault="009929C5" w:rsidP="009929C5">
      <w:pPr>
        <w:spacing w:line="360" w:lineRule="auto"/>
        <w:ind w:left="567" w:right="618"/>
        <w:contextualSpacing/>
        <w:jc w:val="both"/>
        <w:rPr>
          <w:rFonts w:ascii="Palatino Linotype" w:hAnsi="Palatino Linotype" w:cs="Arial"/>
          <w:i/>
          <w:color w:val="000000" w:themeColor="text1"/>
          <w:sz w:val="22"/>
        </w:rPr>
      </w:pPr>
      <w:r w:rsidRPr="00EA641D">
        <w:rPr>
          <w:rFonts w:ascii="Palatino Linotype" w:hAnsi="Palatino Linotype" w:cs="Arial"/>
          <w:i/>
          <w:color w:val="000000" w:themeColor="text1"/>
          <w:sz w:val="22"/>
        </w:rPr>
        <w:t xml:space="preserve">SEGUNDO TRIBUNAL COLEGIADO DEL SEXTO CIRCUITO. Amparo directo 194/88. Bufete Industrial Construcciones, S.A. de C.V. 28 de junio de 1988. Unanimidad de votos. Ponente: Gustavo Calvillo Rangel. Secretario: Jorge Alberto González Álvarez. Revisión fiscal 103/88. Instituto Mexicano del Seguro Social. 18 de octubre de 1988. Unanimidad de votos. Ponente: Arnoldo Nájera Virgen. Secretario: Alejandro Esponda Rincón. Amparo en revisión 333/88. Adilia Romero. 26 de octubre </w:t>
      </w:r>
      <w:r w:rsidRPr="00EA641D">
        <w:rPr>
          <w:rFonts w:ascii="Palatino Linotype" w:hAnsi="Palatino Linotype" w:cs="Arial"/>
          <w:i/>
          <w:color w:val="000000" w:themeColor="text1"/>
          <w:sz w:val="22"/>
        </w:rPr>
        <w:lastRenderedPageBreak/>
        <w:t>de 1988. Unanimidad de votos. Ponente: Arnoldo Nájera Virgen. Secretario: Enrique Crispín Campos Ramírez. Amparo en revisión 597/95. Emilio Maurer Bretón. 15 de noviembre de 1995. Unanimidad de votos. Ponente: Clementina Ramírez Moguel Goyzueta. Secretario: Gonzalo Carrera Molina. Amparo directo 7/96. Pedro Vicente López Miro. 21 de febrero de 1996. Unanimidad de votos. Ponente: María Eugenia Estela Martínez Cardiel. Secretario: Enrique Baigts Muñoz.</w:t>
      </w:r>
      <w:r w:rsidRPr="00EA641D">
        <w:rPr>
          <w:rFonts w:ascii="Palatino Linotype" w:hAnsi="Palatino Linotype" w:cs="Arial"/>
          <w:i/>
          <w:color w:val="000000" w:themeColor="text1"/>
          <w:sz w:val="22"/>
          <w:vertAlign w:val="superscript"/>
        </w:rPr>
        <w:footnoteReference w:id="8"/>
      </w:r>
    </w:p>
    <w:p w14:paraId="6F35E815" w14:textId="77777777" w:rsidR="009929C5" w:rsidRPr="00EA641D" w:rsidRDefault="009929C5" w:rsidP="009929C5">
      <w:pPr>
        <w:spacing w:line="360" w:lineRule="auto"/>
        <w:ind w:left="567"/>
        <w:contextualSpacing/>
        <w:jc w:val="both"/>
        <w:rPr>
          <w:rFonts w:ascii="Palatino Linotype" w:hAnsi="Palatino Linotype" w:cs="Arial"/>
          <w:color w:val="000000" w:themeColor="text1"/>
          <w:lang w:val="es-ES"/>
        </w:rPr>
      </w:pPr>
    </w:p>
    <w:p w14:paraId="02155123" w14:textId="77777777" w:rsidR="009929C5" w:rsidRPr="00EA641D" w:rsidRDefault="009929C5" w:rsidP="009929C5">
      <w:pPr>
        <w:numPr>
          <w:ilvl w:val="0"/>
          <w:numId w:val="1"/>
        </w:numPr>
        <w:shd w:val="clear" w:color="auto" w:fill="FFFFFF"/>
        <w:spacing w:line="360" w:lineRule="auto"/>
        <w:contextualSpacing/>
        <w:jc w:val="both"/>
        <w:rPr>
          <w:rFonts w:ascii="Palatino Linotype" w:eastAsia="Times New Roman" w:hAnsi="Palatino Linotype" w:cs="Arial"/>
          <w:color w:val="000000" w:themeColor="text1"/>
          <w:lang w:eastAsia="es-MX"/>
        </w:rPr>
      </w:pPr>
      <w:r w:rsidRPr="00EA641D">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6D66796" w14:textId="77777777" w:rsidR="009929C5" w:rsidRPr="00EA641D" w:rsidRDefault="009929C5" w:rsidP="009929C5">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6A509DFD" w14:textId="77777777" w:rsidR="009929C5" w:rsidRPr="00EA641D" w:rsidRDefault="009929C5" w:rsidP="009929C5">
      <w:pPr>
        <w:numPr>
          <w:ilvl w:val="0"/>
          <w:numId w:val="1"/>
        </w:numPr>
        <w:shd w:val="clear" w:color="auto" w:fill="FFFFFF"/>
        <w:spacing w:line="360" w:lineRule="auto"/>
        <w:contextualSpacing/>
        <w:jc w:val="both"/>
        <w:rPr>
          <w:rFonts w:ascii="Palatino Linotype" w:eastAsia="Times New Roman" w:hAnsi="Palatino Linotype" w:cs="Arial"/>
          <w:color w:val="000000" w:themeColor="text1"/>
          <w:lang w:eastAsia="es-MX"/>
        </w:rPr>
      </w:pPr>
      <w:r w:rsidRPr="00EA641D">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1C9E218"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28F3928E"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 xml:space="preserve">Los elementos que brevemente se han señalado, deben integrar el proceso de clasificación total o parcial de la información, siendo que la falta de cualquiera de ellos puede provocar que el acto que limita o restringe el derecho de acceso a la información sea considerado </w:t>
      </w:r>
      <w:r w:rsidRPr="00EA641D">
        <w:rPr>
          <w:rFonts w:ascii="Palatino Linotype" w:eastAsia="MS Mincho" w:hAnsi="Palatino Linotype" w:cs="Times New Roman"/>
          <w:b/>
        </w:rPr>
        <w:t xml:space="preserve">infundado y se proceda a ordenar la desclasificación de la información por el incumplimiento de las formalidades, es decir, por vicios de legalidad o a la reposición del acto. </w:t>
      </w:r>
    </w:p>
    <w:p w14:paraId="234A1147" w14:textId="77777777" w:rsidR="009929C5" w:rsidRPr="00EA641D" w:rsidRDefault="009929C5" w:rsidP="009929C5">
      <w:pPr>
        <w:spacing w:line="360" w:lineRule="auto"/>
        <w:ind w:right="49"/>
        <w:contextualSpacing/>
        <w:jc w:val="both"/>
        <w:rPr>
          <w:rFonts w:ascii="Palatino Linotype" w:eastAsia="MS Mincho" w:hAnsi="Palatino Linotype" w:cs="Times New Roman"/>
        </w:rPr>
      </w:pPr>
    </w:p>
    <w:p w14:paraId="12CF84DD" w14:textId="77777777" w:rsidR="009929C5" w:rsidRPr="00EA641D" w:rsidRDefault="009929C5" w:rsidP="009929C5">
      <w:pPr>
        <w:numPr>
          <w:ilvl w:val="0"/>
          <w:numId w:val="1"/>
        </w:numPr>
        <w:spacing w:line="360" w:lineRule="auto"/>
        <w:ind w:right="49"/>
        <w:contextualSpacing/>
        <w:jc w:val="both"/>
        <w:rPr>
          <w:rFonts w:ascii="Palatino Linotype" w:eastAsia="MS Mincho" w:hAnsi="Palatino Linotype" w:cs="Times New Roman"/>
        </w:rPr>
      </w:pPr>
      <w:r w:rsidRPr="00EA641D">
        <w:rPr>
          <w:rFonts w:ascii="Palatino Linotype" w:eastAsia="MS Mincho" w:hAnsi="Palatino Linotype" w:cs="Times New Roman"/>
        </w:rPr>
        <w:t>Por lo anterior, si la información con la que se pueda responder a una solicitud de información, encuadra en algún supuesto de clasificación, se procederá a la misma, en términos de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incurrirían en responsabilidad.</w:t>
      </w:r>
    </w:p>
    <w:p w14:paraId="08498EC5" w14:textId="77777777" w:rsidR="009929C5" w:rsidRPr="00EA641D" w:rsidRDefault="009929C5" w:rsidP="009929C5">
      <w:pPr>
        <w:pStyle w:val="Prrafodelista"/>
        <w:tabs>
          <w:tab w:val="left" w:pos="567"/>
        </w:tabs>
        <w:spacing w:line="360" w:lineRule="auto"/>
        <w:ind w:left="0"/>
        <w:jc w:val="both"/>
        <w:rPr>
          <w:rFonts w:ascii="Palatino Linotype" w:eastAsia="Calibri" w:hAnsi="Palatino Linotype" w:cs="Arial"/>
        </w:rPr>
      </w:pPr>
    </w:p>
    <w:p w14:paraId="7A78DC13" w14:textId="6AA7A84D" w:rsidR="009929C5" w:rsidRPr="00EA641D" w:rsidRDefault="009929C5" w:rsidP="00333A85">
      <w:pPr>
        <w:pStyle w:val="Prrafodelista"/>
        <w:numPr>
          <w:ilvl w:val="0"/>
          <w:numId w:val="1"/>
        </w:numPr>
        <w:tabs>
          <w:tab w:val="left" w:pos="567"/>
        </w:tabs>
        <w:spacing w:line="360" w:lineRule="auto"/>
        <w:jc w:val="both"/>
        <w:rPr>
          <w:rFonts w:ascii="Palatino Linotype" w:eastAsia="Calibri" w:hAnsi="Palatino Linotype" w:cs="Arial"/>
        </w:rPr>
      </w:pPr>
      <w:r w:rsidRPr="00EA641D">
        <w:rPr>
          <w:rFonts w:ascii="Palatino Linotype" w:eastAsia="Calibri" w:hAnsi="Palatino Linotype" w:cs="Arial"/>
        </w:rPr>
        <w:t>En el presente asunto en particular, el Sujeto Obligado fue muy enfático en señalar que la información requerida por el particular debe ser clasificada como confidencial, puesto que, los aspirantes a ocupar un cargo de</w:t>
      </w:r>
      <w:r w:rsidR="00216865" w:rsidRPr="00EA641D">
        <w:rPr>
          <w:rFonts w:ascii="Palatino Linotype" w:eastAsia="Calibri" w:hAnsi="Palatino Linotype" w:cs="Arial"/>
        </w:rPr>
        <w:t xml:space="preserve"> Defensores y Defensoras para el Valle de Toluca, Valle de México, Zona Nororiente y Valle de México Zona Oriente del Estado de México, conforme a la Convocatoria de fecha quince (15) de marzo de dos mil veintidós, bajo los siguientes argumentos:</w:t>
      </w:r>
    </w:p>
    <w:p w14:paraId="3CF07195" w14:textId="520DC4D6" w:rsidR="00216865" w:rsidRPr="00EA641D" w:rsidRDefault="00216865" w:rsidP="00C15F56">
      <w:pPr>
        <w:pStyle w:val="Prrafodelista"/>
        <w:tabs>
          <w:tab w:val="left" w:pos="567"/>
        </w:tabs>
        <w:spacing w:line="360" w:lineRule="auto"/>
        <w:ind w:left="0"/>
        <w:jc w:val="center"/>
        <w:rPr>
          <w:rFonts w:ascii="Palatino Linotype" w:eastAsia="Calibri" w:hAnsi="Palatino Linotype" w:cs="Arial"/>
        </w:rPr>
      </w:pPr>
      <w:r w:rsidRPr="00EA641D">
        <w:rPr>
          <w:rFonts w:ascii="Palatino Linotype" w:eastAsia="Calibri" w:hAnsi="Palatino Linotype" w:cs="Arial"/>
          <w:noProof/>
          <w:lang w:eastAsia="es-MX"/>
        </w:rPr>
        <w:drawing>
          <wp:inline distT="0" distB="0" distL="0" distR="0" wp14:anchorId="754526FF" wp14:editId="1B2710E5">
            <wp:extent cx="4476997" cy="3291135"/>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2218" cy="3302324"/>
                    </a:xfrm>
                    <a:prstGeom prst="rect">
                      <a:avLst/>
                    </a:prstGeom>
                  </pic:spPr>
                </pic:pic>
              </a:graphicData>
            </a:graphic>
          </wp:inline>
        </w:drawing>
      </w:r>
    </w:p>
    <w:p w14:paraId="6EF037C6" w14:textId="719F3664" w:rsidR="00216865" w:rsidRPr="00EA641D" w:rsidRDefault="00216865" w:rsidP="00216865">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noProof/>
          <w:lang w:eastAsia="es-MX"/>
        </w:rPr>
        <w:lastRenderedPageBreak/>
        <w:drawing>
          <wp:inline distT="0" distB="0" distL="0" distR="0" wp14:anchorId="03F69357" wp14:editId="70D0BC81">
            <wp:extent cx="5612130" cy="202692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026920"/>
                    </a:xfrm>
                    <a:prstGeom prst="rect">
                      <a:avLst/>
                    </a:prstGeom>
                  </pic:spPr>
                </pic:pic>
              </a:graphicData>
            </a:graphic>
          </wp:inline>
        </w:drawing>
      </w:r>
    </w:p>
    <w:p w14:paraId="52A6DF8E" w14:textId="77777777" w:rsidR="009929C5" w:rsidRPr="00EA641D" w:rsidRDefault="009929C5" w:rsidP="009929C5">
      <w:pPr>
        <w:pStyle w:val="Prrafodelista"/>
        <w:rPr>
          <w:rFonts w:ascii="Palatino Linotype" w:eastAsia="Calibri" w:hAnsi="Palatino Linotype" w:cs="Arial"/>
        </w:rPr>
      </w:pPr>
    </w:p>
    <w:p w14:paraId="508DD452" w14:textId="470355F3" w:rsidR="009929C5" w:rsidRPr="00EA641D" w:rsidRDefault="00216865" w:rsidP="00216865">
      <w:pPr>
        <w:pStyle w:val="Prrafodelista"/>
        <w:tabs>
          <w:tab w:val="left" w:pos="567"/>
        </w:tabs>
        <w:spacing w:line="360" w:lineRule="auto"/>
        <w:ind w:left="0"/>
        <w:jc w:val="both"/>
        <w:rPr>
          <w:rFonts w:ascii="Palatino Linotype" w:eastAsia="Calibri" w:hAnsi="Palatino Linotype" w:cs="Arial"/>
        </w:rPr>
      </w:pPr>
      <w:r w:rsidRPr="00EA641D">
        <w:rPr>
          <w:rFonts w:ascii="Palatino Linotype" w:eastAsia="Calibri" w:hAnsi="Palatino Linotype" w:cs="Arial"/>
          <w:noProof/>
          <w:lang w:eastAsia="es-MX"/>
        </w:rPr>
        <w:drawing>
          <wp:inline distT="0" distB="0" distL="0" distR="0" wp14:anchorId="66051AA0" wp14:editId="5F43C666">
            <wp:extent cx="5612130" cy="119570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195705"/>
                    </a:xfrm>
                    <a:prstGeom prst="rect">
                      <a:avLst/>
                    </a:prstGeom>
                  </pic:spPr>
                </pic:pic>
              </a:graphicData>
            </a:graphic>
          </wp:inline>
        </w:drawing>
      </w:r>
    </w:p>
    <w:p w14:paraId="6C171C16" w14:textId="77777777" w:rsidR="009929C5" w:rsidRPr="00EA641D" w:rsidRDefault="009929C5" w:rsidP="009929C5">
      <w:pPr>
        <w:pStyle w:val="Prrafodelista"/>
        <w:rPr>
          <w:rFonts w:ascii="Palatino Linotype" w:eastAsia="Calibri" w:hAnsi="Palatino Linotype" w:cs="Arial"/>
        </w:rPr>
      </w:pPr>
    </w:p>
    <w:p w14:paraId="711AA530" w14:textId="1C1BB343" w:rsidR="001C55E7" w:rsidRPr="00EA641D" w:rsidRDefault="001C55E7" w:rsidP="001C55E7">
      <w:pPr>
        <w:pStyle w:val="Prrafodelista"/>
        <w:numPr>
          <w:ilvl w:val="0"/>
          <w:numId w:val="1"/>
        </w:numPr>
        <w:tabs>
          <w:tab w:val="left" w:pos="567"/>
        </w:tabs>
        <w:spacing w:line="360" w:lineRule="auto"/>
        <w:jc w:val="both"/>
        <w:rPr>
          <w:rFonts w:ascii="Palatino Linotype" w:eastAsia="Calibri" w:hAnsi="Palatino Linotype" w:cs="Arial"/>
        </w:rPr>
      </w:pPr>
      <w:r w:rsidRPr="00EA641D">
        <w:rPr>
          <w:rFonts w:ascii="Palatino Linotype" w:eastAsia="Calibri" w:hAnsi="Palatino Linotype" w:cs="Arial"/>
        </w:rPr>
        <w:t>El particular en todos los requerimientos pide el nombre de los participantes, ya sea aquellos que cumplieron los requisitos de la Convocatoria, los que fueron contactados mediante llamadas telefónicas para presentar el examen de oposición y los entrevistados por personal del Instituto de la Defensoría Pública; no obstante, tal y como lo señaló el Sujeto Obligado los aspirantes, en ese momento, todos tenían la calidad de ciudadanos, es decir, no eran servidores públicos. Que si bien es cierto, están en un proceso de selección, también lo es que no todos fueron seleccionados y más aún, a la fecha de la solicitud aún no se conocían los aspirantes seleccionados, toda vez que, de acuerdo a la página oficial del Instituto de la Defensoría Pública</w:t>
      </w:r>
      <w:r w:rsidRPr="00EA641D">
        <w:rPr>
          <w:rStyle w:val="Refdenotaalpie"/>
          <w:rFonts w:ascii="Palatino Linotype" w:eastAsia="Calibri" w:hAnsi="Palatino Linotype" w:cs="Arial"/>
        </w:rPr>
        <w:footnoteReference w:id="9"/>
      </w:r>
      <w:r w:rsidRPr="00EA641D">
        <w:rPr>
          <w:rFonts w:ascii="Palatino Linotype" w:eastAsia="Calibri" w:hAnsi="Palatino Linotype" w:cs="Arial"/>
        </w:rPr>
        <w:t xml:space="preserve"> </w:t>
      </w:r>
      <w:r w:rsidRPr="00EA641D">
        <w:rPr>
          <w:rFonts w:ascii="Palatino Linotype" w:eastAsia="Calibri" w:hAnsi="Palatino Linotype" w:cs="Arial"/>
        </w:rPr>
        <w:lastRenderedPageBreak/>
        <w:t xml:space="preserve">los resultados se dieron a conocer el 17 de agosto de 2022, dando a conocer el nombre de los aspirantes que concluyeron todas y cada una de las etapas de la convocatoria </w:t>
      </w:r>
      <w:r w:rsidRPr="00EA641D">
        <w:rPr>
          <w:rFonts w:ascii="Palatino Linotype" w:hAnsi="Palatino Linotype"/>
        </w:rPr>
        <w:t>Pública al Concurso Abierto de Oposición para la selección de Defensoras y Defensores Públicos con especialización en las ramas de Derecho Penal, Civil, Familiar, Mercantil y de Responsabilidades Administrativas para el Valle de Toluca, Valle de México Zona Nororiente y Valle de México Zona Oriente del Estado de México.</w:t>
      </w:r>
    </w:p>
    <w:p w14:paraId="56944FD4" w14:textId="77777777" w:rsidR="001C55E7" w:rsidRPr="00EA641D" w:rsidRDefault="001C55E7" w:rsidP="001C55E7">
      <w:pPr>
        <w:pStyle w:val="Prrafodelista"/>
        <w:tabs>
          <w:tab w:val="left" w:pos="567"/>
        </w:tabs>
        <w:spacing w:line="360" w:lineRule="auto"/>
        <w:ind w:left="0"/>
        <w:jc w:val="both"/>
        <w:rPr>
          <w:rFonts w:ascii="Palatino Linotype" w:eastAsia="Calibri" w:hAnsi="Palatino Linotype" w:cs="Arial"/>
        </w:rPr>
      </w:pPr>
    </w:p>
    <w:p w14:paraId="4F231674" w14:textId="46B9A97D" w:rsidR="009929C5" w:rsidRPr="00EA641D" w:rsidRDefault="001C55E7" w:rsidP="00333A85">
      <w:pPr>
        <w:pStyle w:val="Prrafodelista"/>
        <w:numPr>
          <w:ilvl w:val="0"/>
          <w:numId w:val="1"/>
        </w:numPr>
        <w:tabs>
          <w:tab w:val="left" w:pos="567"/>
        </w:tabs>
        <w:spacing w:line="360" w:lineRule="auto"/>
        <w:jc w:val="both"/>
        <w:rPr>
          <w:rFonts w:ascii="Palatino Linotype" w:eastAsia="Calibri" w:hAnsi="Palatino Linotype" w:cs="Arial"/>
        </w:rPr>
      </w:pPr>
      <w:r w:rsidRPr="00EA641D">
        <w:rPr>
          <w:rFonts w:ascii="Palatino Linotype" w:eastAsia="Calibri" w:hAnsi="Palatino Linotype" w:cs="Arial"/>
        </w:rPr>
        <w:t xml:space="preserve">Bajo dicha tesitura, los agravios referidos por el particular en cuanto a la clasificación de la información resultan infundados, pues se insiste, el nombre de los aspirantes al momento de que se formuló la solicitud actualiza la causal de clasificación de información por confidencialidad, pues no tenían la calidad de servidores públicos, entonces la esfera de protección </w:t>
      </w:r>
      <w:r w:rsidR="00776D56" w:rsidRPr="00EA641D">
        <w:rPr>
          <w:rFonts w:ascii="Palatino Linotype" w:eastAsia="Calibri" w:hAnsi="Palatino Linotype" w:cs="Arial"/>
        </w:rPr>
        <w:t>a sus datos personales es mayor y debe prevalecer su clasificación.</w:t>
      </w:r>
    </w:p>
    <w:p w14:paraId="2F1EB578" w14:textId="77777777" w:rsidR="001C55E7" w:rsidRPr="00EA641D" w:rsidRDefault="001C55E7" w:rsidP="001C55E7">
      <w:pPr>
        <w:pStyle w:val="Prrafodelista"/>
        <w:tabs>
          <w:tab w:val="left" w:pos="567"/>
        </w:tabs>
        <w:spacing w:line="360" w:lineRule="auto"/>
        <w:ind w:left="0"/>
        <w:jc w:val="both"/>
        <w:rPr>
          <w:rFonts w:ascii="Palatino Linotype" w:eastAsia="Calibri" w:hAnsi="Palatino Linotype" w:cs="Arial"/>
        </w:rPr>
      </w:pPr>
    </w:p>
    <w:p w14:paraId="5FD7A80C" w14:textId="148BD28A" w:rsidR="00776D56" w:rsidRPr="00EA641D" w:rsidRDefault="00C074D9" w:rsidP="00C074D9">
      <w:pPr>
        <w:pStyle w:val="Ttulo1"/>
        <w:rPr>
          <w:b/>
        </w:rPr>
      </w:pPr>
      <w:r w:rsidRPr="00EA641D">
        <w:rPr>
          <w:b/>
        </w:rPr>
        <w:t>IV. De la declaración de incompetencia</w:t>
      </w:r>
    </w:p>
    <w:p w14:paraId="5FED57EC" w14:textId="77777777" w:rsidR="00C074D9" w:rsidRPr="00EA641D" w:rsidRDefault="00C074D9" w:rsidP="00C074D9">
      <w:pPr>
        <w:rPr>
          <w:lang w:eastAsia="en-US"/>
        </w:rPr>
      </w:pPr>
    </w:p>
    <w:p w14:paraId="59BA84DA" w14:textId="77777777" w:rsidR="00C074D9" w:rsidRPr="00EA641D" w:rsidRDefault="00C074D9" w:rsidP="00C074D9">
      <w:pPr>
        <w:rPr>
          <w:lang w:eastAsia="en-US"/>
        </w:rPr>
      </w:pPr>
    </w:p>
    <w:p w14:paraId="03CD3706" w14:textId="77777777" w:rsidR="00776D56" w:rsidRPr="00EA641D" w:rsidRDefault="00776D56" w:rsidP="00776D56">
      <w:pPr>
        <w:pStyle w:val="Prrafodelista"/>
        <w:numPr>
          <w:ilvl w:val="0"/>
          <w:numId w:val="1"/>
        </w:numPr>
        <w:spacing w:line="360" w:lineRule="auto"/>
        <w:jc w:val="both"/>
        <w:rPr>
          <w:rFonts w:ascii="Palatino Linotype" w:eastAsia="MS Mincho" w:hAnsi="Palatino Linotype"/>
        </w:rPr>
      </w:pPr>
      <w:r w:rsidRPr="00EA641D">
        <w:rPr>
          <w:rFonts w:ascii="Palatino Linotype" w:eastAsia="MS Mincho" w:hAnsi="Palatino Linotype"/>
        </w:rPr>
        <w:t xml:space="preserve">Debemos mencionar que el acceso a la información es un derecho humano constitucional y convencionalmente reconocido y para tal efecto </w:t>
      </w:r>
      <w:r w:rsidRPr="00EA641D">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EA641D">
        <w:rPr>
          <w:rFonts w:ascii="Palatino Linotype" w:eastAsia="Calibri" w:hAnsi="Palatino Linotype"/>
          <w:i/>
          <w:lang w:val="es-ES"/>
        </w:rPr>
        <w:t xml:space="preserve">en el ámbito de sus atribuciones, de promover, respetar, proteger y </w:t>
      </w:r>
      <w:r w:rsidRPr="00EA641D">
        <w:rPr>
          <w:rFonts w:ascii="Palatino Linotype" w:eastAsia="Calibri" w:hAnsi="Palatino Linotype"/>
          <w:b/>
          <w:i/>
          <w:lang w:val="es-ES"/>
        </w:rPr>
        <w:t>garantizar</w:t>
      </w:r>
      <w:r w:rsidRPr="00EA641D">
        <w:rPr>
          <w:rFonts w:ascii="Palatino Linotype" w:eastAsia="Calibri" w:hAnsi="Palatino Linotype"/>
          <w:i/>
          <w:lang w:val="es-ES"/>
        </w:rPr>
        <w:t xml:space="preserve"> los derechos humanos. </w:t>
      </w:r>
      <w:r w:rsidRPr="00EA641D">
        <w:rPr>
          <w:rFonts w:ascii="Palatino Linotype" w:eastAsia="Calibri" w:hAnsi="Palatino Linotype"/>
          <w:b/>
          <w:i/>
          <w:lang w:val="es-ES"/>
        </w:rPr>
        <w:t>En cuanto al derecho de acceso a la información, la Ley de Transparencia y Acceso a la Información Pública del Estado de México y Municipios prevé establece que e</w:t>
      </w:r>
      <w:r w:rsidRPr="00EA641D">
        <w:rPr>
          <w:rFonts w:ascii="Palatino Linotype" w:hAnsi="Palatino Linotype"/>
          <w:i/>
        </w:rPr>
        <w:t xml:space="preserve">l procedimiento de acceso a la </w:t>
      </w:r>
      <w:r w:rsidRPr="00EA641D">
        <w:rPr>
          <w:rFonts w:ascii="Palatino Linotype" w:hAnsi="Palatino Linotype"/>
          <w:i/>
        </w:rPr>
        <w:lastRenderedPageBreak/>
        <w:t>información es la garantía primaria del derecho en cuestión y se rige por los principios de simplicidad, rapidez y gratuidad del procedimiento, auxilio y orientación a los particulares</w:t>
      </w:r>
      <w:r w:rsidRPr="00EA641D">
        <w:rPr>
          <w:rStyle w:val="Refdenotaalpie"/>
          <w:rFonts w:ascii="Palatino Linotype" w:hAnsi="Palatino Linotype"/>
          <w:i/>
        </w:rPr>
        <w:footnoteReference w:id="10"/>
      </w:r>
      <w:r w:rsidRPr="00EA641D">
        <w:rPr>
          <w:rFonts w:ascii="Palatino Linotype" w:hAnsi="Palatino Linotype"/>
          <w:i/>
        </w:rPr>
        <w:t xml:space="preserve">, </w:t>
      </w:r>
      <w:r w:rsidRPr="00EA641D">
        <w:rPr>
          <w:rFonts w:ascii="Palatino Linotype" w:hAnsi="Palatino Linotype"/>
        </w:rPr>
        <w:t>asimismo establece</w:t>
      </w:r>
      <w:r w:rsidRPr="00EA641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2C49CF8" w14:textId="77777777" w:rsidR="00776D56" w:rsidRPr="00EA641D" w:rsidRDefault="00776D56" w:rsidP="00776D56">
      <w:pPr>
        <w:pStyle w:val="Prrafodelista"/>
        <w:rPr>
          <w:rFonts w:ascii="Palatino Linotype" w:eastAsia="Calibri" w:hAnsi="Palatino Linotype" w:cs="Arial"/>
        </w:rPr>
      </w:pPr>
    </w:p>
    <w:p w14:paraId="7BC6D458" w14:textId="77777777" w:rsidR="00776D56" w:rsidRPr="00EA641D" w:rsidRDefault="00776D56" w:rsidP="00776D56">
      <w:pPr>
        <w:pStyle w:val="Prrafodelista"/>
        <w:numPr>
          <w:ilvl w:val="0"/>
          <w:numId w:val="1"/>
        </w:numPr>
        <w:spacing w:line="360" w:lineRule="auto"/>
        <w:jc w:val="both"/>
        <w:rPr>
          <w:rFonts w:ascii="Palatino Linotype" w:eastAsia="Calibri" w:hAnsi="Palatino Linotype" w:cs="Arial"/>
        </w:rPr>
      </w:pPr>
      <w:r w:rsidRPr="00EA641D">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15CD36B9" w14:textId="77777777" w:rsidR="00776D56" w:rsidRPr="00EA641D" w:rsidRDefault="00776D56" w:rsidP="00776D56">
      <w:pPr>
        <w:pStyle w:val="Prrafodelista"/>
        <w:rPr>
          <w:rFonts w:ascii="Palatino Linotype" w:hAnsi="Palatino Linotype"/>
        </w:rPr>
      </w:pPr>
    </w:p>
    <w:p w14:paraId="7CB90955" w14:textId="77777777" w:rsidR="00776D56" w:rsidRPr="00EA641D" w:rsidRDefault="00776D56" w:rsidP="00776D56">
      <w:pPr>
        <w:pStyle w:val="Prrafodelista"/>
        <w:numPr>
          <w:ilvl w:val="0"/>
          <w:numId w:val="1"/>
        </w:numPr>
        <w:spacing w:line="360" w:lineRule="auto"/>
        <w:jc w:val="both"/>
        <w:rPr>
          <w:rFonts w:ascii="Palatino Linotype" w:eastAsia="Calibri" w:hAnsi="Palatino Linotype" w:cs="Arial"/>
        </w:rPr>
      </w:pPr>
      <w:r w:rsidRPr="00EA641D">
        <w:rPr>
          <w:rFonts w:ascii="Palatino Linotype" w:hAnsi="Palatino Linotype"/>
        </w:rPr>
        <w:t xml:space="preserve">Es así que, su obligación es </w:t>
      </w:r>
      <w:r w:rsidRPr="00EA641D">
        <w:rPr>
          <w:rFonts w:ascii="Palatino Linotype" w:hAnsi="Palatino Linotype"/>
          <w:i/>
        </w:rPr>
        <w:t>realizar, con efectividad, los trámites internos necesarios para la atención de las solicitudes de información</w:t>
      </w:r>
      <w:r w:rsidRPr="00EA641D">
        <w:rPr>
          <w:rStyle w:val="Refdenotaalpie"/>
          <w:rFonts w:ascii="Palatino Linotype" w:hAnsi="Palatino Linotype"/>
        </w:rPr>
        <w:footnoteReference w:id="11"/>
      </w:r>
      <w:r w:rsidRPr="00EA641D">
        <w:rPr>
          <w:rFonts w:ascii="Palatino Linotype" w:hAnsi="Palatino Linotype"/>
        </w:rPr>
        <w:t>, es decir, deben otorgar respuestas concisas, contundentes y sobre todo que den la certeza de los actos que realizan.</w:t>
      </w:r>
    </w:p>
    <w:p w14:paraId="61A7EF92" w14:textId="77777777" w:rsidR="00776D56" w:rsidRPr="00EA641D" w:rsidRDefault="00776D56" w:rsidP="00776D56">
      <w:pPr>
        <w:pStyle w:val="Prrafodelista"/>
        <w:spacing w:line="360" w:lineRule="auto"/>
        <w:ind w:left="0"/>
        <w:jc w:val="both"/>
        <w:rPr>
          <w:rFonts w:ascii="Palatino Linotype" w:eastAsia="Calibri" w:hAnsi="Palatino Linotype" w:cs="Arial"/>
        </w:rPr>
      </w:pPr>
    </w:p>
    <w:p w14:paraId="029EB140" w14:textId="61804B9E" w:rsidR="00776D56" w:rsidRPr="00EA641D" w:rsidRDefault="00C074D9" w:rsidP="00776D56">
      <w:pPr>
        <w:pStyle w:val="Prrafodelista"/>
        <w:numPr>
          <w:ilvl w:val="0"/>
          <w:numId w:val="1"/>
        </w:numPr>
        <w:spacing w:line="360" w:lineRule="auto"/>
        <w:jc w:val="both"/>
        <w:rPr>
          <w:rFonts w:ascii="Palatino Linotype" w:eastAsia="Calibri" w:hAnsi="Palatino Linotype" w:cs="Arial"/>
        </w:rPr>
      </w:pPr>
      <w:r w:rsidRPr="00EA641D">
        <w:rPr>
          <w:rFonts w:ascii="Palatino Linotype" w:hAnsi="Palatino Linotype" w:cs="Arial"/>
          <w:bCs/>
        </w:rPr>
        <w:lastRenderedPageBreak/>
        <w:t>Dicho lo anterior, e</w:t>
      </w:r>
      <w:r w:rsidR="00776D56" w:rsidRPr="00EA641D">
        <w:rPr>
          <w:rFonts w:ascii="Palatino Linotype" w:hAnsi="Palatino Linotype" w:cs="Arial"/>
          <w:bCs/>
        </w:rPr>
        <w:t>s necesario traer a colación el artículo 167 de la Ley de Transparencia y Acceso a la Información Pública del Estado de México y Municipios, el cual establece lo siguiente:</w:t>
      </w:r>
    </w:p>
    <w:p w14:paraId="1D02855F" w14:textId="77777777" w:rsidR="00776D56" w:rsidRPr="00EA641D" w:rsidRDefault="00776D56" w:rsidP="00776D56">
      <w:pPr>
        <w:pStyle w:val="Prrafodelista"/>
        <w:spacing w:line="360" w:lineRule="auto"/>
        <w:ind w:left="0"/>
        <w:jc w:val="both"/>
        <w:rPr>
          <w:rFonts w:ascii="Palatino Linotype" w:eastAsia="Calibri" w:hAnsi="Palatino Linotype" w:cs="Arial"/>
        </w:rPr>
      </w:pPr>
    </w:p>
    <w:p w14:paraId="04C34BEF" w14:textId="77777777" w:rsidR="00776D56" w:rsidRPr="00EA641D" w:rsidRDefault="00776D56" w:rsidP="00776D56">
      <w:pPr>
        <w:autoSpaceDE w:val="0"/>
        <w:autoSpaceDN w:val="0"/>
        <w:adjustRightInd w:val="0"/>
        <w:spacing w:line="360" w:lineRule="auto"/>
        <w:ind w:left="567" w:right="567"/>
        <w:jc w:val="both"/>
        <w:rPr>
          <w:rFonts w:ascii="Palatino Linotype" w:hAnsi="Palatino Linotype" w:cs="Bookman Old Style"/>
          <w:i/>
          <w:sz w:val="22"/>
          <w:szCs w:val="20"/>
        </w:rPr>
      </w:pPr>
      <w:r w:rsidRPr="00EA641D">
        <w:rPr>
          <w:rFonts w:ascii="Palatino Linotype" w:hAnsi="Palatino Linotype" w:cs="Bookman Old Style,Bold"/>
          <w:b/>
          <w:bCs/>
          <w:i/>
          <w:sz w:val="22"/>
          <w:szCs w:val="20"/>
        </w:rPr>
        <w:t xml:space="preserve">Artículo 167. </w:t>
      </w:r>
      <w:r w:rsidRPr="00EA641D">
        <w:rPr>
          <w:rFonts w:ascii="Palatino Linotype" w:hAnsi="Palatino Linotype" w:cs="Bookman Old Style"/>
          <w:i/>
          <w:sz w:val="22"/>
          <w:szCs w:val="20"/>
        </w:rPr>
        <w:t xml:space="preserve">Cuando las </w:t>
      </w:r>
      <w:r w:rsidRPr="00EA641D">
        <w:rPr>
          <w:rFonts w:ascii="Palatino Linotype" w:hAnsi="Palatino Linotype" w:cs="Bookman Old Style"/>
          <w:b/>
          <w:i/>
          <w:sz w:val="22"/>
          <w:szCs w:val="20"/>
        </w:rPr>
        <w:t>unidades de transparencia determinen la notoria incompetencia por parte de los sujetos obligado</w:t>
      </w:r>
      <w:r w:rsidRPr="00EA641D">
        <w:rPr>
          <w:rFonts w:ascii="Palatino Linotype" w:hAnsi="Palatino Linotype" w:cs="Bookman Old Style"/>
          <w:i/>
          <w:sz w:val="22"/>
          <w:szCs w:val="20"/>
        </w:rPr>
        <w:t xml:space="preserve">s, dentro del ámbito de aplicación, para atender la solicitud de acceso a la información, deberán comunicarlo al solicitante, dentro de los </w:t>
      </w:r>
      <w:r w:rsidRPr="00EA641D">
        <w:rPr>
          <w:rFonts w:ascii="Palatino Linotype" w:hAnsi="Palatino Linotype" w:cs="Bookman Old Style"/>
          <w:b/>
          <w:i/>
          <w:sz w:val="22"/>
          <w:szCs w:val="20"/>
          <w:u w:val="single"/>
        </w:rPr>
        <w:t>tres días hábiles posteriores a la recepción de la solicitud</w:t>
      </w:r>
      <w:r w:rsidRPr="00EA641D">
        <w:rPr>
          <w:rFonts w:ascii="Palatino Linotype" w:hAnsi="Palatino Linotype" w:cs="Bookman Old Style"/>
          <w:i/>
          <w:sz w:val="22"/>
          <w:szCs w:val="20"/>
        </w:rPr>
        <w:t xml:space="preserve"> y, en su caso orientar al solicitante, el o los sujetos obligados competentes. </w:t>
      </w:r>
    </w:p>
    <w:p w14:paraId="5344BFB4" w14:textId="77777777" w:rsidR="00776D56" w:rsidRPr="00EA641D" w:rsidRDefault="00776D56" w:rsidP="00776D56">
      <w:pPr>
        <w:pStyle w:val="Prrafodelista"/>
        <w:spacing w:line="360" w:lineRule="auto"/>
        <w:ind w:left="0"/>
        <w:jc w:val="both"/>
        <w:rPr>
          <w:rFonts w:ascii="Palatino Linotype" w:eastAsia="Calibri" w:hAnsi="Palatino Linotype" w:cs="Arial"/>
        </w:rPr>
      </w:pPr>
    </w:p>
    <w:p w14:paraId="0F7B38DB" w14:textId="77777777" w:rsidR="00776D56" w:rsidRPr="00EA641D" w:rsidRDefault="00776D56" w:rsidP="00776D5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EA641D">
        <w:rPr>
          <w:rFonts w:ascii="Palatino Linotype" w:eastAsia="Calibri" w:hAnsi="Palatino Linotype" w:cs="Arial"/>
        </w:rPr>
        <w:t xml:space="preserve">Tal y como se aprecia, los Sujetos Obligados al detectar qué una solicitud de acceso a la información </w:t>
      </w:r>
      <w:r w:rsidRPr="00EA641D">
        <w:rPr>
          <w:rFonts w:ascii="Palatino Linotype" w:eastAsia="Calibri" w:hAnsi="Palatino Linotype" w:cs="Arial"/>
          <w:b/>
        </w:rPr>
        <w:t>NO</w:t>
      </w:r>
      <w:r w:rsidRPr="00EA641D">
        <w:rPr>
          <w:rFonts w:ascii="Palatino Linotype" w:eastAsia="Calibri" w:hAnsi="Palatino Linotype" w:cs="Arial"/>
        </w:rPr>
        <w:t xml:space="preserve"> es de su competencia, dentro de los 3 días posteriores a su recepción, deberán de comunicar tal situación al recurrente </w:t>
      </w:r>
      <w:r w:rsidRPr="00EA641D">
        <w:rPr>
          <w:rFonts w:ascii="Palatino Linotype" w:eastAsia="Calibri" w:hAnsi="Palatino Linotype" w:cs="Arial"/>
          <w:u w:val="single"/>
        </w:rPr>
        <w:t>y, en su caso</w:t>
      </w:r>
      <w:r w:rsidRPr="00EA641D">
        <w:rPr>
          <w:rFonts w:ascii="Palatino Linotype" w:eastAsia="Calibri" w:hAnsi="Palatino Linotype" w:cs="Arial"/>
        </w:rPr>
        <w:t xml:space="preserve"> orientarlo al Sujeto Obligado correspondiente.</w:t>
      </w:r>
    </w:p>
    <w:p w14:paraId="0540E295" w14:textId="77777777" w:rsidR="00776D56" w:rsidRPr="00EA641D" w:rsidRDefault="00776D56" w:rsidP="00776D56">
      <w:pPr>
        <w:pStyle w:val="Prrafodelista"/>
        <w:spacing w:before="100" w:beforeAutospacing="1" w:after="100" w:afterAutospacing="1" w:line="360" w:lineRule="auto"/>
        <w:ind w:left="0"/>
        <w:jc w:val="both"/>
        <w:rPr>
          <w:rFonts w:ascii="Palatino Linotype" w:eastAsia="Calibri" w:hAnsi="Palatino Linotype" w:cs="Arial"/>
        </w:rPr>
      </w:pPr>
    </w:p>
    <w:p w14:paraId="25412A60" w14:textId="7700D95A" w:rsidR="00776D56" w:rsidRPr="00EA641D" w:rsidRDefault="00776D56" w:rsidP="00606682">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EA641D">
        <w:rPr>
          <w:rFonts w:ascii="Palatino Linotype" w:eastAsia="Calibri" w:hAnsi="Palatino Linotype" w:cs="Arial"/>
        </w:rPr>
        <w:t xml:space="preserve">En el presente asunto en particular, el recurrente presentó su solicitud de acceso a la información </w:t>
      </w:r>
      <w:r w:rsidR="00C074D9" w:rsidRPr="00EA641D">
        <w:rPr>
          <w:rFonts w:ascii="Palatino Linotype" w:eastAsia="Calibri" w:hAnsi="Palatino Linotype" w:cs="Arial"/>
        </w:rPr>
        <w:t>el día</w:t>
      </w:r>
      <w:r w:rsidR="00606682" w:rsidRPr="00EA641D">
        <w:rPr>
          <w:rFonts w:ascii="Palatino Linotype" w:eastAsia="Calibri" w:hAnsi="Palatino Linotype" w:cs="Arial"/>
        </w:rPr>
        <w:t xml:space="preserve"> veinticinco (25) de abril de dos mil veintidós, </w:t>
      </w:r>
      <w:r w:rsidRPr="00EA641D">
        <w:rPr>
          <w:rFonts w:ascii="Palatino Linotype" w:eastAsia="Calibri" w:hAnsi="Palatino Linotype" w:cs="Arial"/>
        </w:rPr>
        <w:t xml:space="preserve">por su parte, el Sujeto Obligado manifestó su incompetencia el día </w:t>
      </w:r>
      <w:r w:rsidR="00606682" w:rsidRPr="00EA641D">
        <w:rPr>
          <w:rFonts w:ascii="Palatino Linotype" w:eastAsia="Calibri" w:hAnsi="Palatino Linotype" w:cs="Arial"/>
        </w:rPr>
        <w:t>diecisiete</w:t>
      </w:r>
      <w:r w:rsidRPr="00EA641D">
        <w:rPr>
          <w:rFonts w:ascii="Palatino Linotype" w:eastAsia="Calibri" w:hAnsi="Palatino Linotype" w:cs="Arial"/>
        </w:rPr>
        <w:t xml:space="preserve"> (</w:t>
      </w:r>
      <w:r w:rsidR="00606682" w:rsidRPr="00EA641D">
        <w:rPr>
          <w:rFonts w:ascii="Palatino Linotype" w:eastAsia="Calibri" w:hAnsi="Palatino Linotype" w:cs="Arial"/>
        </w:rPr>
        <w:t>17</w:t>
      </w:r>
      <w:r w:rsidRPr="00EA641D">
        <w:rPr>
          <w:rFonts w:ascii="Palatino Linotype" w:eastAsia="Calibri" w:hAnsi="Palatino Linotype" w:cs="Arial"/>
        </w:rPr>
        <w:t xml:space="preserve">) de </w:t>
      </w:r>
      <w:r w:rsidR="00606682" w:rsidRPr="00EA641D">
        <w:rPr>
          <w:rFonts w:ascii="Palatino Linotype" w:eastAsia="Calibri" w:hAnsi="Palatino Linotype" w:cs="Arial"/>
        </w:rPr>
        <w:t>mayo</w:t>
      </w:r>
      <w:r w:rsidRPr="00EA641D">
        <w:rPr>
          <w:rFonts w:ascii="Palatino Linotype" w:eastAsia="Calibri" w:hAnsi="Palatino Linotype" w:cs="Arial"/>
        </w:rPr>
        <w:t xml:space="preserve"> del mismo año, por lo cual, evidentemente se encuentra fuera del plazo previamente determinado para decl</w:t>
      </w:r>
      <w:r w:rsidR="00606682" w:rsidRPr="00EA641D">
        <w:rPr>
          <w:rFonts w:ascii="Palatino Linotype" w:eastAsia="Calibri" w:hAnsi="Palatino Linotype" w:cs="Arial"/>
        </w:rPr>
        <w:t>arar la</w:t>
      </w:r>
      <w:r w:rsidRPr="00EA641D">
        <w:rPr>
          <w:rFonts w:ascii="Palatino Linotype" w:eastAsia="Calibri" w:hAnsi="Palatino Linotype" w:cs="Arial"/>
        </w:rPr>
        <w:t xml:space="preserve"> </w:t>
      </w:r>
      <w:r w:rsidR="00606682" w:rsidRPr="00EA641D">
        <w:rPr>
          <w:rFonts w:ascii="Palatino Linotype" w:eastAsia="Calibri" w:hAnsi="Palatino Linotype" w:cs="Arial"/>
        </w:rPr>
        <w:t>in</w:t>
      </w:r>
      <w:r w:rsidRPr="00EA641D">
        <w:rPr>
          <w:rFonts w:ascii="Palatino Linotype" w:eastAsia="Calibri" w:hAnsi="Palatino Linotype" w:cs="Arial"/>
        </w:rPr>
        <w:t>competencia.</w:t>
      </w:r>
    </w:p>
    <w:p w14:paraId="500359D9" w14:textId="77777777" w:rsidR="00776D56" w:rsidRPr="00EA641D" w:rsidRDefault="00776D56" w:rsidP="00776D56">
      <w:pPr>
        <w:pStyle w:val="Prrafodelista"/>
        <w:rPr>
          <w:rFonts w:ascii="Palatino Linotype" w:eastAsia="Calibri" w:hAnsi="Palatino Linotype" w:cs="Arial"/>
        </w:rPr>
      </w:pPr>
    </w:p>
    <w:p w14:paraId="2B9AC3C8" w14:textId="77777777" w:rsidR="00776D56" w:rsidRPr="00EA641D" w:rsidRDefault="00776D56" w:rsidP="00776D56">
      <w:pPr>
        <w:pStyle w:val="Prrafodelista"/>
        <w:numPr>
          <w:ilvl w:val="0"/>
          <w:numId w:val="1"/>
        </w:numPr>
        <w:spacing w:line="360" w:lineRule="auto"/>
        <w:jc w:val="both"/>
        <w:rPr>
          <w:rFonts w:ascii="Palatino Linotype" w:eastAsia="Calibri" w:hAnsi="Palatino Linotype" w:cs="Arial"/>
          <w:sz w:val="28"/>
        </w:rPr>
      </w:pPr>
      <w:r w:rsidRPr="00EA641D">
        <w:rPr>
          <w:rFonts w:ascii="Palatino Linotype" w:eastAsia="Calibri" w:hAnsi="Palatino Linotype" w:cs="Arial"/>
        </w:rPr>
        <w:t xml:space="preserve">Por lo anterior, debemos reiterar que la incompetencia que arguyó el Sujeto Obligado no es procedente en razón de que no cumplió con las formalidades </w:t>
      </w:r>
      <w:r w:rsidRPr="00EA641D">
        <w:rPr>
          <w:rFonts w:ascii="Palatino Linotype" w:eastAsia="Calibri" w:hAnsi="Palatino Linotype" w:cs="Arial"/>
        </w:rPr>
        <w:lastRenderedPageBreak/>
        <w:t xml:space="preserve">necesarias, incumpliendo con una primordial, que es </w:t>
      </w:r>
      <w:r w:rsidRPr="00EA641D">
        <w:rPr>
          <w:rFonts w:ascii="Palatino Linotype" w:hAnsi="Palatino Linotype" w:cs="Arial"/>
        </w:rPr>
        <w:t>brindar certeza</w:t>
      </w:r>
      <w:r w:rsidRPr="00EA641D">
        <w:rPr>
          <w:rStyle w:val="Refdenotaalpie"/>
          <w:rFonts w:ascii="Palatino Linotype" w:hAnsi="Palatino Linotype" w:cs="Arial"/>
        </w:rPr>
        <w:footnoteReference w:id="12"/>
      </w:r>
      <w:r w:rsidRPr="00EA641D">
        <w:rPr>
          <w:rFonts w:ascii="Palatino Linotype" w:hAnsi="Palatino Linotype" w:cs="Arial"/>
        </w:rPr>
        <w:t xml:space="preserve"> en las acciones tomadas en el tratamiento de la solicitud. Las declinaciones de competencia que realicen los Sujetos Obligados deben estar apegadas al artículo 49 fracciones I y II de la Ley de Transparencia y Acceso a la Información Pública del Estado de México y Municipios que dispone los siguiente:</w:t>
      </w:r>
    </w:p>
    <w:p w14:paraId="6B55A359" w14:textId="77777777" w:rsidR="00776D56" w:rsidRPr="00EA641D" w:rsidRDefault="00776D56" w:rsidP="00776D56">
      <w:pPr>
        <w:pStyle w:val="Prrafodelista"/>
        <w:rPr>
          <w:rFonts w:ascii="Palatino Linotype" w:hAnsi="Palatino Linotype" w:cs="Arial"/>
        </w:rPr>
      </w:pPr>
    </w:p>
    <w:p w14:paraId="4F68896A" w14:textId="77777777" w:rsidR="00776D56" w:rsidRPr="00EA641D" w:rsidRDefault="00776D56" w:rsidP="00776D56">
      <w:pPr>
        <w:spacing w:line="360" w:lineRule="auto"/>
        <w:ind w:left="567" w:right="757"/>
        <w:jc w:val="both"/>
        <w:rPr>
          <w:rFonts w:ascii="Palatino Linotype" w:eastAsia="Calibri" w:hAnsi="Palatino Linotype" w:cs="Arial"/>
          <w:i/>
          <w:sz w:val="22"/>
        </w:rPr>
      </w:pPr>
      <w:r w:rsidRPr="00EA641D">
        <w:rPr>
          <w:rFonts w:ascii="Palatino Linotype" w:eastAsia="Calibri" w:hAnsi="Palatino Linotype" w:cs="Arial"/>
          <w:b/>
          <w:i/>
          <w:sz w:val="22"/>
        </w:rPr>
        <w:t>Artículo 49</w:t>
      </w:r>
      <w:r w:rsidRPr="00EA641D">
        <w:rPr>
          <w:rFonts w:ascii="Palatino Linotype" w:eastAsia="Calibri" w:hAnsi="Palatino Linotype" w:cs="Arial"/>
          <w:i/>
          <w:sz w:val="22"/>
        </w:rPr>
        <w:t>. Los Comités de Transparencia tendrán las siguientes atribuciones:</w:t>
      </w:r>
    </w:p>
    <w:p w14:paraId="74801273" w14:textId="735F0C27" w:rsidR="00776D56" w:rsidRPr="00EA641D" w:rsidRDefault="00606682" w:rsidP="00776D56">
      <w:pPr>
        <w:spacing w:line="360" w:lineRule="auto"/>
        <w:ind w:left="567" w:right="757"/>
        <w:jc w:val="both"/>
        <w:rPr>
          <w:rFonts w:ascii="Palatino Linotype" w:eastAsia="Calibri" w:hAnsi="Palatino Linotype" w:cs="Arial"/>
          <w:i/>
          <w:sz w:val="22"/>
        </w:rPr>
      </w:pPr>
      <w:r w:rsidRPr="00EA641D">
        <w:rPr>
          <w:rFonts w:ascii="Palatino Linotype" w:eastAsia="Calibri" w:hAnsi="Palatino Linotype" w:cs="Arial"/>
          <w:b/>
          <w:i/>
          <w:sz w:val="22"/>
        </w:rPr>
        <w:t>…</w:t>
      </w:r>
    </w:p>
    <w:p w14:paraId="66B97511" w14:textId="77777777" w:rsidR="00776D56" w:rsidRPr="00EA641D" w:rsidRDefault="00776D56" w:rsidP="00776D56">
      <w:pPr>
        <w:spacing w:line="360" w:lineRule="auto"/>
        <w:ind w:left="567" w:right="757"/>
        <w:jc w:val="both"/>
        <w:rPr>
          <w:rFonts w:ascii="Palatino Linotype" w:eastAsia="Calibri" w:hAnsi="Palatino Linotype" w:cs="Arial"/>
          <w:b/>
          <w:i/>
          <w:sz w:val="22"/>
        </w:rPr>
      </w:pPr>
      <w:r w:rsidRPr="00EA641D">
        <w:rPr>
          <w:rFonts w:ascii="Palatino Linotype" w:eastAsia="Calibri" w:hAnsi="Palatino Linotype" w:cs="Arial"/>
          <w:b/>
          <w:i/>
          <w:sz w:val="22"/>
        </w:rPr>
        <w:t>II</w:t>
      </w:r>
      <w:r w:rsidRPr="00EA641D">
        <w:rPr>
          <w:rFonts w:ascii="Palatino Linotype" w:eastAsia="Calibri" w:hAnsi="Palatino Linotype" w:cs="Arial"/>
          <w:i/>
          <w:sz w:val="22"/>
        </w:rPr>
        <w:t xml:space="preserve">. </w:t>
      </w:r>
      <w:r w:rsidRPr="00EA641D">
        <w:rPr>
          <w:rFonts w:ascii="Palatino Linotype" w:eastAsia="Calibri" w:hAnsi="Palatino Linotype" w:cs="Arial"/>
          <w:b/>
          <w:i/>
          <w:sz w:val="22"/>
        </w:rPr>
        <w:t>Confirmar,</w:t>
      </w:r>
      <w:r w:rsidRPr="00EA641D">
        <w:rPr>
          <w:rFonts w:ascii="Palatino Linotype" w:eastAsia="Calibri" w:hAnsi="Palatino Linotype" w:cs="Arial"/>
          <w:i/>
          <w:sz w:val="22"/>
        </w:rPr>
        <w:t xml:space="preserve"> modificar o revocar </w:t>
      </w:r>
      <w:r w:rsidRPr="00EA641D">
        <w:rPr>
          <w:rFonts w:ascii="Palatino Linotype" w:eastAsia="Calibri" w:hAnsi="Palatino Linotype" w:cs="Arial"/>
          <w:b/>
          <w:i/>
          <w:sz w:val="22"/>
        </w:rPr>
        <w:t>las determinaciones que en materia</w:t>
      </w:r>
      <w:r w:rsidRPr="00EA641D">
        <w:rPr>
          <w:rFonts w:ascii="Palatino Linotype" w:eastAsia="Calibri" w:hAnsi="Palatino Linotype" w:cs="Arial"/>
          <w:i/>
          <w:sz w:val="22"/>
        </w:rPr>
        <w:t xml:space="preserve"> de ampliación del plazo de respuesta, clasificación de la información y declaración de inexistencia o de </w:t>
      </w:r>
      <w:r w:rsidRPr="00EA641D">
        <w:rPr>
          <w:rFonts w:ascii="Palatino Linotype" w:eastAsia="Calibri" w:hAnsi="Palatino Linotype" w:cs="Arial"/>
          <w:b/>
          <w:i/>
          <w:sz w:val="22"/>
        </w:rPr>
        <w:t>incompetencia realicen los titulares de las áreas de los sujetos obligados;</w:t>
      </w:r>
    </w:p>
    <w:p w14:paraId="73CCECB5" w14:textId="77777777" w:rsidR="00776D56" w:rsidRPr="00EA641D" w:rsidRDefault="00776D56" w:rsidP="00776D56">
      <w:pPr>
        <w:spacing w:line="360" w:lineRule="auto"/>
        <w:ind w:left="567" w:right="757"/>
        <w:jc w:val="both"/>
        <w:rPr>
          <w:rFonts w:ascii="Palatino Linotype" w:eastAsia="Calibri" w:hAnsi="Palatino Linotype" w:cs="Arial"/>
          <w:i/>
        </w:rPr>
      </w:pPr>
      <w:r w:rsidRPr="00EA641D">
        <w:rPr>
          <w:rFonts w:ascii="Palatino Linotype" w:eastAsia="Calibri" w:hAnsi="Palatino Linotype" w:cs="Arial"/>
          <w:i/>
          <w:sz w:val="22"/>
        </w:rPr>
        <w:t>…</w:t>
      </w:r>
    </w:p>
    <w:p w14:paraId="17A1CC4D" w14:textId="64146EC6" w:rsidR="00776D56" w:rsidRPr="00EA641D" w:rsidRDefault="00776D56" w:rsidP="00776D5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EA641D">
        <w:rPr>
          <w:rFonts w:ascii="Palatino Linotype" w:eastAsia="Calibri" w:hAnsi="Palatino Linotype" w:cs="Arial"/>
        </w:rPr>
        <w:t>En efecto, si bien el</w:t>
      </w:r>
      <w:r w:rsidRPr="00EA641D">
        <w:rPr>
          <w:rFonts w:ascii="Palatino Linotype" w:eastAsia="Calibri" w:hAnsi="Palatino Linotype" w:cs="Arial"/>
          <w:b/>
        </w:rPr>
        <w:t xml:space="preserve"> </w:t>
      </w:r>
      <w:r w:rsidRPr="00EA641D">
        <w:rPr>
          <w:rFonts w:ascii="Palatino Linotype" w:eastAsia="Calibri" w:hAnsi="Palatino Linotype" w:cs="Arial"/>
        </w:rPr>
        <w:t>Sujeto Obligado</w:t>
      </w:r>
      <w:r w:rsidRPr="00EA641D">
        <w:rPr>
          <w:rFonts w:ascii="Palatino Linotype" w:eastAsia="Calibri" w:hAnsi="Palatino Linotype" w:cs="Arial"/>
          <w:b/>
        </w:rPr>
        <w:t xml:space="preserve"> </w:t>
      </w:r>
      <w:r w:rsidRPr="00EA641D">
        <w:rPr>
          <w:rFonts w:ascii="Palatino Linotype" w:eastAsia="Calibri" w:hAnsi="Palatino Linotype" w:cs="Arial"/>
        </w:rPr>
        <w:t>no tiene competencia para administrar, generar o poseer la información solicitada en el presente asunto, en virtud de ser atribución de diverso Sujeto Obligado, denominado</w:t>
      </w:r>
      <w:r w:rsidRPr="00EA641D">
        <w:rPr>
          <w:rFonts w:ascii="Palatino Linotype" w:hAnsi="Palatino Linotype" w:cs="Arial"/>
          <w:lang w:eastAsia="es-MX"/>
        </w:rPr>
        <w:t xml:space="preserve"> </w:t>
      </w:r>
      <w:r w:rsidRPr="00EA641D">
        <w:rPr>
          <w:rFonts w:ascii="Palatino Linotype" w:hAnsi="Palatino Linotype" w:cs="Arial"/>
          <w:b/>
          <w:lang w:eastAsia="es-MX"/>
        </w:rPr>
        <w:t xml:space="preserve">Secretaría </w:t>
      </w:r>
      <w:r w:rsidR="00606682" w:rsidRPr="00EA641D">
        <w:rPr>
          <w:rFonts w:ascii="Palatino Linotype" w:hAnsi="Palatino Linotype" w:cs="Arial"/>
          <w:b/>
          <w:lang w:eastAsia="es-MX"/>
        </w:rPr>
        <w:t>de Finanzas</w:t>
      </w:r>
      <w:r w:rsidRPr="00EA641D">
        <w:rPr>
          <w:rFonts w:ascii="Palatino Linotype" w:hAnsi="Palatino Linotype" w:cs="Arial"/>
          <w:lang w:eastAsia="es-MX"/>
        </w:rPr>
        <w:t xml:space="preserve">, </w:t>
      </w:r>
      <w:r w:rsidRPr="00EA641D">
        <w:rPr>
          <w:rFonts w:ascii="Palatino Linotype" w:eastAsia="Calibri" w:hAnsi="Palatino Linotype" w:cs="Arial"/>
        </w:rPr>
        <w:t>como lo manifestó, tanto en respuesta como en informe justificado, también lo es que, dicha incompetencia debió haber sido confirmada, modificada o revocada por el Comité de Transparencia en términos del precepto legal referido.</w:t>
      </w:r>
    </w:p>
    <w:p w14:paraId="352752DB" w14:textId="77777777" w:rsidR="00776D56" w:rsidRPr="00EA641D" w:rsidRDefault="00776D56" w:rsidP="00776D56">
      <w:pPr>
        <w:pStyle w:val="Prrafodelista"/>
        <w:spacing w:before="100" w:beforeAutospacing="1" w:after="100" w:afterAutospacing="1" w:line="360" w:lineRule="auto"/>
        <w:ind w:left="0"/>
        <w:jc w:val="both"/>
        <w:rPr>
          <w:rFonts w:ascii="Palatino Linotype" w:eastAsia="Calibri" w:hAnsi="Palatino Linotype" w:cs="Arial"/>
        </w:rPr>
      </w:pPr>
    </w:p>
    <w:p w14:paraId="40A26DD5" w14:textId="77777777" w:rsidR="00776D56" w:rsidRPr="00EA641D" w:rsidRDefault="00776D56" w:rsidP="00776D5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EA641D">
        <w:rPr>
          <w:rFonts w:ascii="Palatino Linotype" w:eastAsia="Calibri" w:hAnsi="Palatino Linotype" w:cs="Arial"/>
        </w:rPr>
        <w:t xml:space="preserve">El hecho que el Comité de Transparencia emita un acuerdo en donde se plasmen los fundamentos y razones por las cuales no es competente para generar, </w:t>
      </w:r>
      <w:r w:rsidRPr="00EA641D">
        <w:rPr>
          <w:rFonts w:ascii="Palatino Linotype" w:eastAsia="Calibri" w:hAnsi="Palatino Linotype" w:cs="Arial"/>
        </w:rPr>
        <w:lastRenderedPageBreak/>
        <w:t>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325C48CA" w14:textId="77777777" w:rsidR="00776D56" w:rsidRPr="00EA641D" w:rsidRDefault="00776D56" w:rsidP="00776D56">
      <w:pPr>
        <w:pStyle w:val="Prrafodelista"/>
        <w:rPr>
          <w:rFonts w:ascii="Palatino Linotype" w:eastAsia="Calibri" w:hAnsi="Palatino Linotype" w:cs="Arial"/>
        </w:rPr>
      </w:pPr>
    </w:p>
    <w:p w14:paraId="19614101" w14:textId="77777777" w:rsidR="00776D56" w:rsidRPr="00EA641D" w:rsidRDefault="00776D56" w:rsidP="00776D5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EA641D">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EA641D">
        <w:rPr>
          <w:rFonts w:ascii="Palatino Linotype" w:eastAsia="Calibri" w:hAnsi="Palatino Linotype" w:cs="Arial"/>
          <w:i/>
          <w:sz w:val="22"/>
        </w:rPr>
        <w:t xml:space="preserve">en la tramitación del recurso de revisión se aplicarán supletoriamente las disposiciones contenidas en el Código de Procedimientos Administrativos del Estado de México, </w:t>
      </w:r>
      <w:r w:rsidRPr="00EA641D">
        <w:rPr>
          <w:rFonts w:ascii="Palatino Linotype" w:eastAsia="Calibri" w:hAnsi="Palatino Linotype" w:cs="Arial"/>
        </w:rPr>
        <w:t>luego entonces, en razón de que derivado de las manifestaciones vertidas por el Sujeto Obligado, tanto en respuesta como en informe justificado, se ordenará la entrega de un acuerdo emitido por el Comité de Transparencia mediante el cual se determine la incompetencia para atender la solicitud, lo cual, a su vez se constituirá como</w:t>
      </w:r>
      <w:r w:rsidRPr="00EA641D">
        <w:rPr>
          <w:rFonts w:ascii="Palatino Linotype" w:hAnsi="Palatino Linotype" w:cs="Arial"/>
          <w:b/>
          <w:color w:val="263238"/>
        </w:rPr>
        <w:t xml:space="preserve"> una confesión expresa</w:t>
      </w:r>
      <w:r w:rsidRPr="00EA641D">
        <w:rPr>
          <w:rFonts w:ascii="Palatino Linotype" w:hAnsi="Palatino Linotype" w:cs="Arial"/>
          <w:color w:val="263238"/>
        </w:rPr>
        <w:t xml:space="preserve"> en </w:t>
      </w:r>
      <w:r w:rsidRPr="00EA641D">
        <w:rPr>
          <w:rFonts w:ascii="Palatino Linotype" w:hAnsi="Palatino Linotype" w:cs="Arial"/>
        </w:rPr>
        <w:t>virtud de que concurren las circunstancia dispuestas en el numeral 97 fracción I del Código de Procedimientos Administrativos del Estado de México de aplicación supletoria a la ley de la materia, consistentes en que fue realizada por persona capacitada para obligarse, con pleno conocimiento</w:t>
      </w:r>
      <w:r w:rsidRPr="00EA641D">
        <w:rPr>
          <w:rFonts w:ascii="Palatino Linotype" w:hAnsi="Palatino Linotype" w:cs="Arial"/>
          <w:szCs w:val="20"/>
        </w:rPr>
        <w:t>, sin coacción ni violencia y respecto de un hecho propio.</w:t>
      </w:r>
    </w:p>
    <w:p w14:paraId="4307921D" w14:textId="77777777" w:rsidR="00776D56" w:rsidRPr="00EA641D" w:rsidRDefault="00776D56" w:rsidP="00776D56">
      <w:pPr>
        <w:pStyle w:val="Prrafodelista"/>
        <w:rPr>
          <w:rFonts w:ascii="Palatino Linotype" w:eastAsia="Calibri" w:hAnsi="Palatino Linotype" w:cs="Arial"/>
        </w:rPr>
      </w:pPr>
    </w:p>
    <w:p w14:paraId="147D38B5" w14:textId="77777777" w:rsidR="00776D56" w:rsidRPr="00EA641D" w:rsidRDefault="00776D56" w:rsidP="00776D5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EA641D">
        <w:rPr>
          <w:rFonts w:ascii="Palatino Linotype" w:eastAsia="Calibri" w:hAnsi="Palatino Linotype" w:cs="Arial"/>
        </w:rPr>
        <w:t xml:space="preserve">Esto es, que el hecho de que se manifieste, a través de un acuerdo emitido por el Comité de Transparencia, que no se cuenta con competencias para generar, administrar y/o poseer la información requerida, precisamente es parar brindar mayor seguridad al particular sobre lo dicho por el Sujeto Obligado, además, que si </w:t>
      </w:r>
      <w:r w:rsidRPr="00EA641D">
        <w:rPr>
          <w:rFonts w:ascii="Palatino Linotype" w:eastAsia="Calibri" w:hAnsi="Palatino Linotype" w:cs="Arial"/>
        </w:rPr>
        <w:lastRenderedPageBreak/>
        <w:t>en actos futuros se demuestra lo contrario, podría ser utilizado como medio probatorio.</w:t>
      </w:r>
    </w:p>
    <w:p w14:paraId="22F526E3" w14:textId="77777777" w:rsidR="00776D56" w:rsidRPr="00EA641D" w:rsidRDefault="00776D56" w:rsidP="00776D56">
      <w:pPr>
        <w:pStyle w:val="Prrafodelista"/>
        <w:rPr>
          <w:rFonts w:ascii="Palatino Linotype" w:eastAsia="Calibri" w:hAnsi="Palatino Linotype" w:cs="Arial"/>
        </w:rPr>
      </w:pPr>
    </w:p>
    <w:p w14:paraId="31E18F9C" w14:textId="4B2AB49D" w:rsidR="00776D56" w:rsidRPr="00EA641D" w:rsidRDefault="00606682" w:rsidP="00776D5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EA641D">
        <w:rPr>
          <w:rFonts w:ascii="Palatino Linotype" w:eastAsia="Calibri" w:hAnsi="Palatino Linotype" w:cs="Arial"/>
        </w:rPr>
        <w:t>En consecuencia, co</w:t>
      </w:r>
      <w:r w:rsidR="00776D56" w:rsidRPr="00EA641D">
        <w:rPr>
          <w:rFonts w:ascii="Palatino Linotype" w:eastAsia="Calibri" w:hAnsi="Palatino Linotype" w:cs="Arial"/>
        </w:rPr>
        <w:t>n la finalidad de brindar certeza al particular, como se ha dicho anteriormente, el Comité de Transparencia del Sujeto Obligado deberá emitir un acuerdo mediante el cual se sustente la declinación de competencia y ponerlo a disposición del particular.</w:t>
      </w:r>
    </w:p>
    <w:p w14:paraId="590C9A55" w14:textId="77777777" w:rsidR="00776D56" w:rsidRPr="00EA641D" w:rsidRDefault="00776D56" w:rsidP="00776D56">
      <w:pPr>
        <w:pStyle w:val="Prrafodelista"/>
        <w:rPr>
          <w:rFonts w:ascii="Palatino Linotype" w:eastAsia="Calibri" w:hAnsi="Palatino Linotype" w:cs="Arial"/>
        </w:rPr>
      </w:pPr>
    </w:p>
    <w:p w14:paraId="278A67F8" w14:textId="338B0ED5" w:rsidR="001C4F63" w:rsidRPr="00EA641D" w:rsidRDefault="001C4F63" w:rsidP="001C4F63">
      <w:pPr>
        <w:pStyle w:val="Prrafodelista"/>
        <w:numPr>
          <w:ilvl w:val="0"/>
          <w:numId w:val="1"/>
        </w:numPr>
        <w:spacing w:line="360" w:lineRule="auto"/>
        <w:jc w:val="both"/>
        <w:rPr>
          <w:rFonts w:ascii="Palatino Linotype" w:hAnsi="Palatino Linotype" w:cs="Arial"/>
        </w:rPr>
      </w:pPr>
      <w:r w:rsidRPr="00EA641D">
        <w:rPr>
          <w:rFonts w:ascii="Palatino Linotype" w:eastAsia="Times New Roman" w:hAnsi="Palatino Linotype" w:cs="Arial"/>
          <w:color w:val="222222"/>
          <w:lang w:eastAsia="es-MX"/>
        </w:rPr>
        <w:t xml:space="preserve">Por lo anteriormente expuesto y fundado, este </w:t>
      </w:r>
      <w:r w:rsidRPr="00EA641D">
        <w:rPr>
          <w:rFonts w:ascii="Palatino Linotype" w:eastAsia="Times New Roman" w:hAnsi="Palatino Linotype" w:cs="Arial"/>
          <w:b/>
          <w:bCs/>
          <w:color w:val="222222"/>
          <w:lang w:eastAsia="es-MX"/>
        </w:rPr>
        <w:t>ÓRGANO GARANTE</w:t>
      </w:r>
      <w:r w:rsidRPr="00EA641D">
        <w:rPr>
          <w:rFonts w:ascii="Palatino Linotype" w:eastAsia="Times New Roman" w:hAnsi="Palatino Linotype" w:cs="Arial"/>
          <w:color w:val="222222"/>
          <w:lang w:eastAsia="es-MX"/>
        </w:rPr>
        <w:t xml:space="preserve"> emite los siguientes:</w:t>
      </w:r>
    </w:p>
    <w:p w14:paraId="18C7D92B" w14:textId="77777777" w:rsidR="009959DB" w:rsidRPr="00EA641D" w:rsidRDefault="009959DB" w:rsidP="009959DB">
      <w:pPr>
        <w:pStyle w:val="Ttulo1"/>
        <w:spacing w:line="360" w:lineRule="auto"/>
        <w:jc w:val="center"/>
        <w:rPr>
          <w:b/>
          <w:color w:val="000000" w:themeColor="text1"/>
          <w:szCs w:val="24"/>
        </w:rPr>
      </w:pPr>
      <w:bookmarkStart w:id="51" w:name="_Toc495427547"/>
      <w:bookmarkStart w:id="52" w:name="_Toc497905366"/>
      <w:bookmarkStart w:id="53" w:name="_Toc87456497"/>
      <w:r w:rsidRPr="00EA641D">
        <w:rPr>
          <w:b/>
          <w:color w:val="000000" w:themeColor="text1"/>
          <w:szCs w:val="24"/>
        </w:rPr>
        <w:t>R E S O L U T I V O S</w:t>
      </w:r>
      <w:bookmarkEnd w:id="23"/>
      <w:bookmarkEnd w:id="24"/>
      <w:bookmarkEnd w:id="51"/>
      <w:bookmarkEnd w:id="52"/>
      <w:bookmarkEnd w:id="53"/>
    </w:p>
    <w:p w14:paraId="5DF7248B" w14:textId="7A6BBDA9" w:rsidR="00014006" w:rsidRPr="00EA641D" w:rsidRDefault="00014006" w:rsidP="00014006">
      <w:pPr>
        <w:spacing w:line="360" w:lineRule="auto"/>
        <w:jc w:val="both"/>
        <w:rPr>
          <w:rFonts w:ascii="Palatino Linotype" w:eastAsia="Times New Roman" w:hAnsi="Palatino Linotype" w:cs="Times New Roman"/>
        </w:rPr>
      </w:pPr>
      <w:r w:rsidRPr="00EA641D">
        <w:rPr>
          <w:rFonts w:ascii="Palatino Linotype" w:eastAsia="Times New Roman" w:hAnsi="Palatino Linotype" w:cs="Arial"/>
          <w:b/>
        </w:rPr>
        <w:t>PRIMERO.</w:t>
      </w:r>
      <w:r w:rsidRPr="00EA641D">
        <w:rPr>
          <w:rFonts w:ascii="Palatino Linotype" w:eastAsia="Times New Roman" w:hAnsi="Palatino Linotype" w:cs="Arial"/>
          <w:b/>
          <w:sz w:val="28"/>
        </w:rPr>
        <w:t xml:space="preserve"> </w:t>
      </w:r>
      <w:r w:rsidRPr="00EA641D">
        <w:rPr>
          <w:rFonts w:ascii="Palatino Linotype" w:eastAsia="Times New Roman" w:hAnsi="Palatino Linotype" w:cs="Arial"/>
        </w:rPr>
        <w:t xml:space="preserve">Resultan </w:t>
      </w:r>
      <w:r w:rsidR="005A1464" w:rsidRPr="00EA641D">
        <w:rPr>
          <w:rFonts w:ascii="Palatino Linotype" w:eastAsia="Times New Roman" w:hAnsi="Palatino Linotype" w:cs="Arial"/>
        </w:rPr>
        <w:t xml:space="preserve">parcialmente </w:t>
      </w:r>
      <w:r w:rsidR="00B87705" w:rsidRPr="00EA641D">
        <w:rPr>
          <w:rFonts w:ascii="Palatino Linotype" w:eastAsia="Times New Roman" w:hAnsi="Palatino Linotype" w:cs="Arial"/>
        </w:rPr>
        <w:t>fundadas</w:t>
      </w:r>
      <w:r w:rsidRPr="00EA641D">
        <w:rPr>
          <w:rFonts w:ascii="Palatino Linotype" w:eastAsia="Times New Roman" w:hAnsi="Palatino Linotype" w:cs="Arial"/>
        </w:rPr>
        <w:t xml:space="preserve"> las</w:t>
      </w:r>
      <w:r w:rsidRPr="00EA641D">
        <w:rPr>
          <w:rFonts w:ascii="Palatino Linotype" w:eastAsia="Times New Roman" w:hAnsi="Palatino Linotype" w:cs="Arial"/>
          <w:b/>
        </w:rPr>
        <w:t xml:space="preserve"> </w:t>
      </w:r>
      <w:r w:rsidRPr="00EA641D">
        <w:rPr>
          <w:rFonts w:ascii="Palatino Linotype" w:eastAsia="Times New Roman" w:hAnsi="Palatino Linotype" w:cs="Arial"/>
          <w:lang w:val="es-ES"/>
        </w:rPr>
        <w:t xml:space="preserve">razones o motivos de inconformidad hechos valer </w:t>
      </w:r>
      <w:r w:rsidRPr="00EA641D">
        <w:rPr>
          <w:rFonts w:ascii="Palatino Linotype" w:eastAsia="Calibri" w:hAnsi="Palatino Linotype" w:cs="Arial"/>
          <w:lang w:val="es-ES"/>
        </w:rPr>
        <w:t xml:space="preserve">en el recurso de revisión </w:t>
      </w:r>
      <w:r w:rsidR="003E2DCB" w:rsidRPr="00EA641D">
        <w:rPr>
          <w:rFonts w:ascii="Palatino Linotype" w:hAnsi="Palatino Linotype"/>
          <w:b/>
          <w:szCs w:val="22"/>
        </w:rPr>
        <w:t>10793/INFOEM/IP/RR/2022</w:t>
      </w:r>
      <w:r w:rsidRPr="00EA641D">
        <w:rPr>
          <w:rFonts w:ascii="Palatino Linotype" w:eastAsia="Times New Roman" w:hAnsi="Palatino Linotype" w:cs="Times New Roman"/>
          <w:b/>
          <w:sz w:val="32"/>
          <w:szCs w:val="28"/>
        </w:rPr>
        <w:t xml:space="preserve"> </w:t>
      </w:r>
      <w:r w:rsidRPr="00EA641D">
        <w:rPr>
          <w:rFonts w:ascii="Palatino Linotype" w:eastAsia="Times New Roman" w:hAnsi="Palatino Linotype" w:cs="Times New Roman"/>
        </w:rPr>
        <w:t>en términos del</w:t>
      </w:r>
      <w:r w:rsidRPr="00EA641D">
        <w:rPr>
          <w:rFonts w:ascii="Palatino Linotype" w:eastAsia="Times New Roman" w:hAnsi="Palatino Linotype" w:cs="Times New Roman"/>
          <w:b/>
          <w:bCs/>
        </w:rPr>
        <w:t xml:space="preserve"> Considerando</w:t>
      </w:r>
      <w:r w:rsidRPr="00EA641D">
        <w:rPr>
          <w:rFonts w:ascii="Palatino Linotype" w:eastAsia="Times New Roman" w:hAnsi="Palatino Linotype" w:cs="Times New Roman"/>
        </w:rPr>
        <w:t xml:space="preserve"> </w:t>
      </w:r>
      <w:r w:rsidRPr="00EA641D">
        <w:rPr>
          <w:rFonts w:ascii="Palatino Linotype" w:eastAsia="Times New Roman" w:hAnsi="Palatino Linotype" w:cs="Times New Roman"/>
          <w:b/>
        </w:rPr>
        <w:t xml:space="preserve">CUARTO </w:t>
      </w:r>
      <w:r w:rsidRPr="00EA641D">
        <w:rPr>
          <w:rFonts w:ascii="Palatino Linotype" w:eastAsia="Times New Roman" w:hAnsi="Palatino Linotype" w:cs="Times New Roman"/>
        </w:rPr>
        <w:t>de la presente resolución.</w:t>
      </w:r>
    </w:p>
    <w:p w14:paraId="6D41C51B" w14:textId="77777777" w:rsidR="00014006" w:rsidRPr="00EA641D" w:rsidRDefault="00014006" w:rsidP="00014006">
      <w:pPr>
        <w:spacing w:line="360" w:lineRule="auto"/>
        <w:contextualSpacing/>
        <w:jc w:val="both"/>
        <w:rPr>
          <w:rFonts w:ascii="Palatino Linotype" w:eastAsia="Calibri" w:hAnsi="Palatino Linotype" w:cs="Arial"/>
          <w:b/>
          <w:bCs/>
          <w:lang w:val="es-ES"/>
        </w:rPr>
      </w:pPr>
    </w:p>
    <w:p w14:paraId="0F338A22" w14:textId="60E2DD5C" w:rsidR="00014006" w:rsidRPr="00EA641D" w:rsidRDefault="00014006" w:rsidP="00014006">
      <w:pPr>
        <w:pStyle w:val="Sinespaciado"/>
        <w:spacing w:line="360" w:lineRule="auto"/>
        <w:jc w:val="both"/>
        <w:rPr>
          <w:rFonts w:ascii="Palatino Linotype" w:eastAsia="Calibri" w:hAnsi="Palatino Linotype" w:cs="Arial"/>
          <w:bCs/>
          <w:lang w:val="es-ES"/>
        </w:rPr>
      </w:pPr>
      <w:r w:rsidRPr="00EA641D">
        <w:rPr>
          <w:rFonts w:ascii="Palatino Linotype" w:eastAsia="Calibri" w:hAnsi="Palatino Linotype" w:cs="Arial"/>
          <w:b/>
          <w:bCs/>
          <w:lang w:val="es-ES"/>
        </w:rPr>
        <w:t xml:space="preserve">SEGUNDO. Se </w:t>
      </w:r>
      <w:r w:rsidR="005A1464" w:rsidRPr="00EA641D">
        <w:rPr>
          <w:rFonts w:ascii="Palatino Linotype" w:eastAsia="Calibri" w:hAnsi="Palatino Linotype" w:cs="Arial"/>
          <w:b/>
          <w:bCs/>
          <w:lang w:val="es-ES"/>
        </w:rPr>
        <w:t>MODIFICA</w:t>
      </w:r>
      <w:r w:rsidRPr="00EA641D">
        <w:rPr>
          <w:rFonts w:ascii="Palatino Linotype" w:eastAsia="Calibri" w:hAnsi="Palatino Linotype" w:cs="Arial"/>
          <w:b/>
          <w:bCs/>
          <w:lang w:val="es-ES"/>
        </w:rPr>
        <w:t xml:space="preserve"> </w:t>
      </w:r>
      <w:r w:rsidRPr="00EA641D">
        <w:rPr>
          <w:rFonts w:ascii="Palatino Linotype" w:eastAsia="Calibri" w:hAnsi="Palatino Linotype" w:cs="Arial"/>
          <w:bCs/>
          <w:lang w:val="es-ES"/>
        </w:rPr>
        <w:t>la respuesta emitida por</w:t>
      </w:r>
      <w:r w:rsidRPr="00EA641D">
        <w:rPr>
          <w:rFonts w:ascii="Palatino Linotype" w:eastAsia="Calibri" w:hAnsi="Palatino Linotype" w:cs="Arial"/>
          <w:b/>
          <w:bCs/>
          <w:lang w:val="es-ES"/>
        </w:rPr>
        <w:t xml:space="preserve"> </w:t>
      </w:r>
      <w:r w:rsidR="003E2DCB" w:rsidRPr="00EA641D">
        <w:rPr>
          <w:rFonts w:ascii="Palatino Linotype" w:eastAsia="Calibri" w:hAnsi="Palatino Linotype" w:cs="Arial"/>
          <w:b/>
          <w:bCs/>
          <w:lang w:val="es-ES"/>
        </w:rPr>
        <w:t>la</w:t>
      </w:r>
      <w:r w:rsidR="00B16954" w:rsidRPr="00EA641D">
        <w:rPr>
          <w:rFonts w:ascii="Palatino Linotype" w:eastAsia="Calibri" w:hAnsi="Palatino Linotype" w:cs="Arial"/>
          <w:b/>
          <w:bCs/>
          <w:lang w:val="es-ES"/>
        </w:rPr>
        <w:t xml:space="preserve"> </w:t>
      </w:r>
      <w:r w:rsidR="003E2DCB" w:rsidRPr="00EA641D">
        <w:rPr>
          <w:rFonts w:ascii="Palatino Linotype" w:eastAsia="Calibri" w:hAnsi="Palatino Linotype" w:cs="Arial"/>
          <w:b/>
          <w:bCs/>
          <w:lang w:val="es-ES"/>
        </w:rPr>
        <w:t>Secretaría de Justicia y Derechos Humanos</w:t>
      </w:r>
      <w:r w:rsidRPr="00EA641D">
        <w:rPr>
          <w:rFonts w:ascii="Palatino Linotype" w:hAnsi="Palatino Linotype"/>
          <w:b/>
          <w:bCs/>
          <w:color w:val="000000"/>
          <w:szCs w:val="22"/>
        </w:rPr>
        <w:t xml:space="preserve"> </w:t>
      </w:r>
      <w:r w:rsidRPr="00EA641D">
        <w:rPr>
          <w:rFonts w:ascii="Palatino Linotype" w:eastAsia="Calibri" w:hAnsi="Palatino Linotype" w:cs="Arial"/>
          <w:bCs/>
          <w:lang w:val="es-ES"/>
        </w:rPr>
        <w:t>y se</w:t>
      </w:r>
      <w:r w:rsidRPr="00EA641D">
        <w:rPr>
          <w:rFonts w:ascii="Palatino Linotype" w:eastAsia="Calibri" w:hAnsi="Palatino Linotype" w:cs="Arial"/>
          <w:b/>
          <w:bCs/>
          <w:lang w:val="es-ES"/>
        </w:rPr>
        <w:t xml:space="preserve"> ORDENA </w:t>
      </w:r>
      <w:r w:rsidRPr="00EA641D">
        <w:rPr>
          <w:rFonts w:ascii="Palatino Linotype" w:eastAsia="Calibri" w:hAnsi="Palatino Linotype" w:cs="Arial"/>
          <w:bCs/>
          <w:lang w:val="es-ES"/>
        </w:rPr>
        <w:t xml:space="preserve">entregar vía </w:t>
      </w:r>
      <w:r w:rsidRPr="00EA641D">
        <w:rPr>
          <w:rFonts w:ascii="Palatino Linotype" w:eastAsia="Calibri" w:hAnsi="Palatino Linotype" w:cs="Arial"/>
          <w:b/>
          <w:bCs/>
          <w:lang w:val="es-ES"/>
        </w:rPr>
        <w:t>Sistema de Acceso a la Información Mexiquense (SAIMEX</w:t>
      </w:r>
      <w:r w:rsidR="00606682" w:rsidRPr="00EA641D">
        <w:rPr>
          <w:rFonts w:ascii="Palatino Linotype" w:eastAsia="Calibri" w:hAnsi="Palatino Linotype" w:cs="Arial"/>
          <w:b/>
          <w:bCs/>
          <w:lang w:val="es-ES"/>
        </w:rPr>
        <w:t>)</w:t>
      </w:r>
      <w:r w:rsidR="0016383D" w:rsidRPr="00EA641D">
        <w:rPr>
          <w:rFonts w:ascii="Palatino Linotype" w:eastAsia="Calibri" w:hAnsi="Palatino Linotype" w:cs="Arial"/>
          <w:b/>
          <w:bCs/>
          <w:lang w:val="es-ES"/>
        </w:rPr>
        <w:t>,</w:t>
      </w:r>
      <w:r w:rsidRPr="00EA641D">
        <w:rPr>
          <w:rFonts w:ascii="Palatino Linotype" w:eastAsia="Calibri" w:hAnsi="Palatino Linotype" w:cs="Arial"/>
          <w:lang w:val="es-ES"/>
        </w:rPr>
        <w:t xml:space="preserve"> </w:t>
      </w:r>
      <w:r w:rsidR="00AF5DAA" w:rsidRPr="00EA641D">
        <w:rPr>
          <w:rFonts w:ascii="Palatino Linotype" w:eastAsia="Calibri" w:hAnsi="Palatino Linotype" w:cs="Arial"/>
          <w:lang w:val="es-ES"/>
        </w:rPr>
        <w:t>la</w:t>
      </w:r>
      <w:r w:rsidRPr="00EA641D">
        <w:rPr>
          <w:rFonts w:ascii="Palatino Linotype" w:eastAsia="Calibri" w:hAnsi="Palatino Linotype" w:cs="Arial"/>
          <w:bCs/>
          <w:lang w:val="es-ES"/>
        </w:rPr>
        <w:t xml:space="preserve"> siguiente información:</w:t>
      </w:r>
    </w:p>
    <w:p w14:paraId="2E227B13" w14:textId="77777777" w:rsidR="007469DE" w:rsidRPr="00EA641D" w:rsidRDefault="007469DE" w:rsidP="007469DE">
      <w:pPr>
        <w:spacing w:line="360" w:lineRule="auto"/>
        <w:ind w:right="-93"/>
        <w:jc w:val="both"/>
        <w:rPr>
          <w:rFonts w:ascii="Palatino Linotype" w:hAnsi="Palatino Linotype" w:cs="Tahoma"/>
          <w:sz w:val="22"/>
          <w:szCs w:val="22"/>
          <w:lang w:val="es-ES"/>
        </w:rPr>
      </w:pPr>
    </w:p>
    <w:p w14:paraId="49D87559" w14:textId="0BB1C4B9" w:rsidR="00D13EAA" w:rsidRPr="00EA641D" w:rsidRDefault="00D13EAA" w:rsidP="00606682">
      <w:pPr>
        <w:pStyle w:val="Prrafodelista"/>
        <w:numPr>
          <w:ilvl w:val="0"/>
          <w:numId w:val="25"/>
        </w:numPr>
        <w:spacing w:line="360" w:lineRule="auto"/>
        <w:ind w:left="567" w:hanging="371"/>
        <w:jc w:val="both"/>
        <w:rPr>
          <w:rFonts w:ascii="Palatino Linotype" w:eastAsia="Palatino Linotype" w:hAnsi="Palatino Linotype" w:cs="Palatino Linotype"/>
          <w:b/>
        </w:rPr>
      </w:pPr>
      <w:r w:rsidRPr="00EA641D">
        <w:rPr>
          <w:rFonts w:ascii="Palatino Linotype" w:eastAsia="Palatino Linotype" w:hAnsi="Palatino Linotype" w:cs="Palatino Linotype"/>
          <w:b/>
        </w:rPr>
        <w:t>Acuerdo emitido por el Comité de Transparencia mediante el cual se declare la incompetencia para contar con la información relativa a listas de asistencia de los aspirantes que acudieron a presentar el examen de oposición y el total de preguntas del examen de oposición por cada rama de</w:t>
      </w:r>
      <w:r w:rsidR="00606682" w:rsidRPr="00EA641D">
        <w:rPr>
          <w:rFonts w:ascii="Palatino Linotype" w:eastAsia="Palatino Linotype" w:hAnsi="Palatino Linotype" w:cs="Palatino Linotype"/>
          <w:b/>
        </w:rPr>
        <w:t xml:space="preserve"> derecho y tiempo de aplicación, correspondiente a la </w:t>
      </w:r>
      <w:r w:rsidR="00606682" w:rsidRPr="00EA641D">
        <w:rPr>
          <w:rFonts w:ascii="Palatino Linotype" w:hAnsi="Palatino Linotype" w:cs="Tahoma"/>
          <w:b/>
          <w:lang w:val="es-ES"/>
        </w:rPr>
        <w:t xml:space="preserve">Convocatoria Pública al Concurso Abierto de Oposición para la selección de Defensoras y Defensores Públicos con </w:t>
      </w:r>
      <w:r w:rsidR="00606682" w:rsidRPr="00EA641D">
        <w:rPr>
          <w:rFonts w:ascii="Palatino Linotype" w:hAnsi="Palatino Linotype" w:cs="Tahoma"/>
          <w:b/>
          <w:lang w:val="es-ES"/>
        </w:rPr>
        <w:lastRenderedPageBreak/>
        <w:t>especialización en las ramas de Derecho Penal, Civil, Familiar, Mercantil y de Responsabilidades Administrativas para el Valle de Toluca, Valle de México Zona Nororiente y Valle de México Zona Oriente del Estado de México de fecha quince de marzo de dos mil veintidós.</w:t>
      </w:r>
      <w:r w:rsidR="00606682" w:rsidRPr="00EA641D">
        <w:rPr>
          <w:rFonts w:ascii="Palatino Linotype" w:eastAsia="Palatino Linotype" w:hAnsi="Palatino Linotype" w:cs="Palatino Linotype"/>
          <w:b/>
        </w:rPr>
        <w:t xml:space="preserve"> </w:t>
      </w:r>
    </w:p>
    <w:p w14:paraId="69E683D8" w14:textId="77777777" w:rsidR="00D13EAA" w:rsidRPr="00EA641D" w:rsidRDefault="00D13EAA" w:rsidP="00D13EAA">
      <w:pPr>
        <w:pStyle w:val="Prrafodelista"/>
        <w:rPr>
          <w:rFonts w:ascii="Palatino Linotype" w:eastAsia="Palatino Linotype" w:hAnsi="Palatino Linotype" w:cs="Palatino Linotype"/>
          <w:b/>
        </w:rPr>
      </w:pPr>
    </w:p>
    <w:p w14:paraId="4CA3832E" w14:textId="77777777" w:rsidR="00014006" w:rsidRPr="00EA641D"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EA641D">
        <w:rPr>
          <w:rFonts w:ascii="Palatino Linotype" w:eastAsia="Palatino Linotype" w:hAnsi="Palatino Linotype" w:cs="Palatino Linotype"/>
          <w:b/>
        </w:rPr>
        <w:t xml:space="preserve">TERCERO. Notifíquese </w:t>
      </w:r>
      <w:r w:rsidRPr="00EA641D">
        <w:rPr>
          <w:rFonts w:ascii="Palatino Linotype" w:eastAsia="Palatino Linotype" w:hAnsi="Palatino Linotype" w:cs="Palatino Linotype"/>
        </w:rPr>
        <w:t xml:space="preserve">al Titular de la Unidad de Transparencia del </w:t>
      </w:r>
      <w:r w:rsidRPr="00EA641D">
        <w:rPr>
          <w:rFonts w:ascii="Palatino Linotype" w:eastAsia="Palatino Linotype" w:hAnsi="Palatino Linotype" w:cs="Palatino Linotype"/>
          <w:b/>
        </w:rPr>
        <w:t>SUJETO OBLIGADO</w:t>
      </w:r>
      <w:r w:rsidRPr="00EA641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A641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EA641D"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EA641D" w:rsidRDefault="00014006" w:rsidP="00014006">
      <w:pPr>
        <w:spacing w:line="360" w:lineRule="auto"/>
        <w:jc w:val="both"/>
        <w:rPr>
          <w:rFonts w:ascii="Palatino Linotype" w:eastAsia="Calibri" w:hAnsi="Palatino Linotype" w:cs="Arial"/>
          <w:bCs/>
        </w:rPr>
      </w:pPr>
      <w:r w:rsidRPr="00EA641D">
        <w:rPr>
          <w:rFonts w:ascii="Palatino Linotype" w:hAnsi="Palatino Linotype" w:cs="Arial"/>
          <w:b/>
        </w:rPr>
        <w:t xml:space="preserve">CUARTO. </w:t>
      </w:r>
      <w:r w:rsidRPr="00EA641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F5DAD6" w14:textId="77777777" w:rsidR="00014006" w:rsidRPr="00EA641D"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EA641D"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EA641D">
        <w:rPr>
          <w:rFonts w:ascii="Palatino Linotype" w:eastAsia="Times New Roman" w:hAnsi="Palatino Linotype" w:cs="Arial"/>
          <w:b/>
        </w:rPr>
        <w:t xml:space="preserve">QUINTO. </w:t>
      </w:r>
      <w:r w:rsidRPr="00EA641D">
        <w:rPr>
          <w:rFonts w:ascii="Palatino Linotype" w:eastAsia="Times New Roman" w:hAnsi="Palatino Linotype" w:cs="Times New Roman"/>
          <w:b/>
          <w:bCs/>
          <w:color w:val="222222"/>
          <w:lang w:val="es-ES"/>
        </w:rPr>
        <w:t xml:space="preserve">Notifíquese </w:t>
      </w:r>
      <w:r w:rsidRPr="00EA641D">
        <w:rPr>
          <w:rFonts w:ascii="Palatino Linotype" w:eastAsia="Times New Roman" w:hAnsi="Palatino Linotype" w:cs="Times New Roman"/>
          <w:bCs/>
          <w:color w:val="222222"/>
          <w:lang w:val="es-ES"/>
        </w:rPr>
        <w:t xml:space="preserve">al </w:t>
      </w:r>
      <w:r w:rsidRPr="00EA641D">
        <w:rPr>
          <w:rFonts w:ascii="Palatino Linotype" w:eastAsia="Times New Roman" w:hAnsi="Palatino Linotype" w:cs="Times New Roman"/>
          <w:b/>
          <w:color w:val="222222"/>
          <w:lang w:val="es-ES"/>
        </w:rPr>
        <w:t>RECURRENTE</w:t>
      </w:r>
      <w:r w:rsidRPr="00EA641D">
        <w:rPr>
          <w:rFonts w:ascii="Palatino Linotype" w:eastAsia="Times New Roman" w:hAnsi="Palatino Linotype" w:cs="Times New Roman"/>
          <w:color w:val="222222"/>
          <w:lang w:val="es-ES" w:eastAsia="es-MX"/>
        </w:rPr>
        <w:t xml:space="preserve"> la presente resolución vía SAIMEX</w:t>
      </w:r>
      <w:r w:rsidR="00396F3B" w:rsidRPr="00EA641D">
        <w:rPr>
          <w:rFonts w:ascii="Palatino Linotype" w:eastAsia="Times New Roman" w:hAnsi="Palatino Linotype" w:cs="Times New Roman"/>
          <w:color w:val="222222"/>
          <w:lang w:val="es-ES" w:eastAsia="es-MX"/>
        </w:rPr>
        <w:t>.</w:t>
      </w:r>
    </w:p>
    <w:p w14:paraId="7180F590" w14:textId="77777777" w:rsidR="00014006" w:rsidRPr="00EA641D"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Pr="00EA641D" w:rsidRDefault="00014006" w:rsidP="00930741">
      <w:pPr>
        <w:pStyle w:val="Sinespaciado"/>
        <w:spacing w:line="360" w:lineRule="auto"/>
        <w:jc w:val="both"/>
        <w:rPr>
          <w:rFonts w:ascii="Palatino Linotype" w:hAnsi="Palatino Linotype"/>
          <w:color w:val="222222"/>
          <w:shd w:val="clear" w:color="auto" w:fill="FFFFFF"/>
          <w:lang w:val="es-ES"/>
        </w:rPr>
      </w:pPr>
      <w:r w:rsidRPr="00EA641D">
        <w:rPr>
          <w:rFonts w:ascii="Palatino Linotype" w:hAnsi="Palatino Linotype"/>
          <w:b/>
        </w:rPr>
        <w:t>SEXTO.</w:t>
      </w:r>
      <w:r w:rsidRPr="00EA641D">
        <w:rPr>
          <w:rFonts w:ascii="Palatino Linotype" w:eastAsia="Times New Roman" w:hAnsi="Palatino Linotype" w:cs="Times New Roman"/>
          <w:color w:val="222222"/>
          <w:lang w:val="es-ES" w:eastAsia="es-MX"/>
        </w:rPr>
        <w:t xml:space="preserve"> Se hace del conocimiento del </w:t>
      </w:r>
      <w:r w:rsidRPr="00EA641D">
        <w:rPr>
          <w:rFonts w:ascii="Palatino Linotype" w:eastAsia="Times New Roman" w:hAnsi="Palatino Linotype" w:cs="Times New Roman"/>
          <w:b/>
          <w:bCs/>
          <w:color w:val="222222"/>
          <w:lang w:val="es-ES" w:eastAsia="es-MX"/>
        </w:rPr>
        <w:t>RECURRENTE</w:t>
      </w:r>
      <w:r w:rsidRPr="00EA641D">
        <w:rPr>
          <w:rFonts w:ascii="Palatino Linotype" w:eastAsia="Times New Roman" w:hAnsi="Palatino Linotype" w:cs="Times New Roman"/>
          <w:color w:val="222222"/>
          <w:lang w:eastAsia="es-MX"/>
        </w:rPr>
        <w:t xml:space="preserve"> que,</w:t>
      </w:r>
      <w:r w:rsidRPr="00EA641D">
        <w:rPr>
          <w:rFonts w:ascii="Palatino Linotype" w:eastAsia="Times New Roman" w:hAnsi="Palatino Linotype" w:cs="Arial"/>
          <w:b/>
          <w:lang w:val="es-ES"/>
        </w:rPr>
        <w:t xml:space="preserve"> </w:t>
      </w:r>
      <w:r w:rsidRPr="00EA641D">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sidRPr="00EA641D">
        <w:rPr>
          <w:rFonts w:ascii="Palatino Linotype" w:eastAsia="Times New Roman" w:hAnsi="Palatino Linotype" w:cs="Times New Roman"/>
          <w:color w:val="222222"/>
          <w:lang w:val="es-ES" w:eastAsia="es-MX"/>
        </w:rPr>
        <w:t xml:space="preserve"> </w:t>
      </w:r>
      <w:r w:rsidR="00930741" w:rsidRPr="00EA641D">
        <w:rPr>
          <w:rFonts w:ascii="Palatino Linotype" w:hAnsi="Palatino Linotype"/>
          <w:color w:val="000000"/>
          <w:shd w:val="clear" w:color="auto" w:fill="FFFFFF"/>
        </w:rPr>
        <w:t xml:space="preserve">en caso de que considere que la resolución le cause algún perjuicio podrá impugnarla vía </w:t>
      </w:r>
      <w:r w:rsidR="00930741" w:rsidRPr="00EA641D">
        <w:rPr>
          <w:rFonts w:ascii="Palatino Linotype" w:hAnsi="Palatino Linotype"/>
          <w:color w:val="222222"/>
          <w:shd w:val="clear" w:color="auto" w:fill="FFFFFF"/>
          <w:lang w:val="es-ES"/>
        </w:rPr>
        <w:t>juicio de amparo en los términos de las leyes aplicables.</w:t>
      </w:r>
    </w:p>
    <w:p w14:paraId="269D2EFB" w14:textId="77777777" w:rsidR="007E3BF9" w:rsidRDefault="007E3BF9" w:rsidP="007E3BF9">
      <w:pPr>
        <w:spacing w:before="240" w:after="240" w:line="360" w:lineRule="auto"/>
        <w:jc w:val="both"/>
        <w:rPr>
          <w:rFonts w:ascii="Palatino Linotype" w:hAnsi="Palatino Linotype"/>
        </w:rPr>
      </w:pPr>
      <w:r w:rsidRPr="00EA641D">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CATORCE (14) DE SEPTIEMBRE DE DOS MIL VEINTIDÓS, ANTE EL SECRETARIO TÉCNICO DEL PLENO ALEXIS TAPIA RAMÍREZ.</w:t>
      </w:r>
      <w:bookmarkStart w:id="54" w:name="_GoBack"/>
      <w:bookmarkEnd w:id="54"/>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1D623" w14:textId="77777777" w:rsidR="005042D9" w:rsidRDefault="005042D9" w:rsidP="00587366">
      <w:r>
        <w:separator/>
      </w:r>
    </w:p>
  </w:endnote>
  <w:endnote w:type="continuationSeparator" w:id="0">
    <w:p w14:paraId="457DDB74" w14:textId="77777777" w:rsidR="005042D9" w:rsidRDefault="005042D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3A93163" w:rsidR="009929C5" w:rsidRPr="00883450" w:rsidRDefault="009929C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A641D">
              <w:rPr>
                <w:rFonts w:ascii="Palatino Linotype" w:hAnsi="Palatino Linotype"/>
                <w:b/>
                <w:bCs/>
                <w:noProof/>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A641D">
              <w:rPr>
                <w:rFonts w:ascii="Palatino Linotype" w:hAnsi="Palatino Linotype"/>
                <w:b/>
                <w:bCs/>
                <w:noProof/>
                <w:sz w:val="22"/>
                <w:szCs w:val="20"/>
              </w:rPr>
              <w:t>51</w:t>
            </w:r>
            <w:r w:rsidRPr="00883450">
              <w:rPr>
                <w:rFonts w:ascii="Palatino Linotype" w:hAnsi="Palatino Linotype"/>
                <w:b/>
                <w:bCs/>
                <w:sz w:val="22"/>
                <w:szCs w:val="20"/>
              </w:rPr>
              <w:fldChar w:fldCharType="end"/>
            </w:r>
          </w:p>
        </w:sdtContent>
      </w:sdt>
    </w:sdtContent>
  </w:sdt>
  <w:p w14:paraId="6243EC1B" w14:textId="47B193F0" w:rsidR="009929C5" w:rsidRDefault="009929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9929C5" w:rsidRPr="00883450" w:rsidRDefault="009929C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A641D" w:rsidRPr="00EA641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A641D" w:rsidRPr="00EA641D">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0A9A2B26" w:rsidR="009929C5" w:rsidRPr="00883450" w:rsidRDefault="009929C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BF3DE" w14:textId="77777777" w:rsidR="005042D9" w:rsidRDefault="005042D9" w:rsidP="00587366">
      <w:r>
        <w:separator/>
      </w:r>
    </w:p>
  </w:footnote>
  <w:footnote w:type="continuationSeparator" w:id="0">
    <w:p w14:paraId="4301D98E" w14:textId="77777777" w:rsidR="005042D9" w:rsidRDefault="005042D9" w:rsidP="00587366">
      <w:r>
        <w:continuationSeparator/>
      </w:r>
    </w:p>
  </w:footnote>
  <w:footnote w:id="1">
    <w:p w14:paraId="32D56466" w14:textId="77777777" w:rsidR="009929C5" w:rsidRDefault="009929C5" w:rsidP="008E4483">
      <w:pPr>
        <w:pStyle w:val="Textonotapie"/>
      </w:pPr>
      <w:r>
        <w:rPr>
          <w:rStyle w:val="Refdenotaalpie"/>
        </w:rPr>
        <w:footnoteRef/>
      </w:r>
      <w:r>
        <w:t xml:space="preserve"> Convención Americana sobre Derechos Humanos. Artículo 13.</w:t>
      </w:r>
    </w:p>
  </w:footnote>
  <w:footnote w:id="2">
    <w:p w14:paraId="3F7967D5" w14:textId="77777777" w:rsidR="009929C5" w:rsidRDefault="009929C5"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9929C5" w:rsidRDefault="009929C5"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9929C5" w:rsidRDefault="009929C5" w:rsidP="008E4483">
      <w:pPr>
        <w:pStyle w:val="Textonotapie"/>
      </w:pPr>
      <w:r>
        <w:rPr>
          <w:rStyle w:val="Refdenotaalpie"/>
        </w:rPr>
        <w:footnoteRef/>
      </w:r>
      <w:r>
        <w:t xml:space="preserve"> Ibídem. Parr. 87.</w:t>
      </w:r>
    </w:p>
  </w:footnote>
  <w:footnote w:id="5">
    <w:p w14:paraId="1C437D52" w14:textId="77777777" w:rsidR="009929C5" w:rsidRDefault="009929C5"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9929C5" w:rsidRDefault="009929C5" w:rsidP="008E4483">
      <w:pPr>
        <w:pStyle w:val="Textonotapie"/>
      </w:pPr>
      <w:r>
        <w:t>II. Eficacia: Obligación del Instituto para tutelar, de manera efectiva, el derecho de acceso a la información;</w:t>
      </w:r>
    </w:p>
    <w:p w14:paraId="707D8AAF" w14:textId="77777777" w:rsidR="009929C5" w:rsidRDefault="009929C5" w:rsidP="008E4483">
      <w:pPr>
        <w:pStyle w:val="Textonotapie"/>
      </w:pPr>
      <w:r>
        <w:t xml:space="preserve">… </w:t>
      </w:r>
    </w:p>
  </w:footnote>
  <w:footnote w:id="6">
    <w:p w14:paraId="3E28CE14" w14:textId="77777777" w:rsidR="009929C5" w:rsidRDefault="009929C5" w:rsidP="009929C5">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E76AD28" w14:textId="77777777" w:rsidR="009929C5" w:rsidRPr="00266430" w:rsidRDefault="009929C5" w:rsidP="009929C5">
      <w:pPr>
        <w:pStyle w:val="Textonotapie"/>
        <w:jc w:val="both"/>
      </w:pPr>
      <w:r w:rsidRPr="00266430">
        <w:t xml:space="preserve">1a./J. 2/2012 (9a.). Primera Sala. Décima Época. Semanario Judicial de la Federación y su Gaceta. Libro V, Febrero de 2012, Pág. 533.  </w:t>
      </w:r>
    </w:p>
  </w:footnote>
  <w:footnote w:id="7">
    <w:p w14:paraId="69DDB3D7" w14:textId="77777777" w:rsidR="009929C5" w:rsidRPr="00A870EF" w:rsidRDefault="009929C5" w:rsidP="009929C5">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8">
    <w:p w14:paraId="794936EA" w14:textId="77777777" w:rsidR="009929C5" w:rsidRPr="0037004E" w:rsidRDefault="009929C5" w:rsidP="009929C5">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08CC99DC" w14:textId="77777777" w:rsidR="009929C5" w:rsidRDefault="009929C5" w:rsidP="009929C5">
      <w:pPr>
        <w:pStyle w:val="Textonotapie"/>
      </w:pPr>
    </w:p>
  </w:footnote>
  <w:footnote w:id="9">
    <w:p w14:paraId="02B4AAFF" w14:textId="61ABBD44" w:rsidR="001C55E7" w:rsidRDefault="001C55E7">
      <w:pPr>
        <w:pStyle w:val="Textonotapie"/>
      </w:pPr>
      <w:r>
        <w:rPr>
          <w:rStyle w:val="Refdenotaalpie"/>
        </w:rPr>
        <w:footnoteRef/>
      </w:r>
      <w:r>
        <w:t xml:space="preserve"> Disponible para su consulta en </w:t>
      </w:r>
      <w:hyperlink r:id="rId1" w:history="1">
        <w:r w:rsidRPr="004157BD">
          <w:rPr>
            <w:rStyle w:val="Hipervnculo"/>
          </w:rPr>
          <w:t>http://idp.edomex.gob.mx/sites/idp.edomex.gob.mx/files/files/Convocatorias/Comunicado%2017-08-2022%20ultima%20versi%C3%B3n.pdf</w:t>
        </w:r>
      </w:hyperlink>
    </w:p>
    <w:p w14:paraId="604A5AD9" w14:textId="77777777" w:rsidR="001C55E7" w:rsidRDefault="001C55E7">
      <w:pPr>
        <w:pStyle w:val="Textonotapie"/>
      </w:pPr>
    </w:p>
  </w:footnote>
  <w:footnote w:id="10">
    <w:p w14:paraId="354F0F8A" w14:textId="77777777" w:rsidR="00776D56" w:rsidRDefault="00776D56" w:rsidP="00776D56">
      <w:pPr>
        <w:pStyle w:val="Textonotapie"/>
      </w:pPr>
      <w:r>
        <w:rPr>
          <w:rStyle w:val="Refdenotaalpie"/>
        </w:rPr>
        <w:footnoteRef/>
      </w:r>
      <w:r>
        <w:t xml:space="preserve"> Artículo 150. Ley de Transparencia y Acceso a la Información Pública del Estado de México y Municipios.</w:t>
      </w:r>
    </w:p>
    <w:p w14:paraId="3513FFFE" w14:textId="77777777" w:rsidR="00776D56" w:rsidRDefault="00776D56" w:rsidP="00776D56">
      <w:pPr>
        <w:pStyle w:val="Textonotapie"/>
      </w:pPr>
      <w:r>
        <w:t>Artículo 151. Ibídem.</w:t>
      </w:r>
    </w:p>
  </w:footnote>
  <w:footnote w:id="11">
    <w:p w14:paraId="5B508B76" w14:textId="77777777" w:rsidR="00776D56" w:rsidRDefault="00776D56" w:rsidP="00776D56">
      <w:pPr>
        <w:pStyle w:val="Textonotapie"/>
      </w:pPr>
      <w:r>
        <w:rPr>
          <w:rStyle w:val="Refdenotaalpie"/>
        </w:rPr>
        <w:footnoteRef/>
      </w:r>
      <w:r>
        <w:t xml:space="preserve"> Fracción IV. Artículo 53. Ibídem.</w:t>
      </w:r>
    </w:p>
  </w:footnote>
  <w:footnote w:id="12">
    <w:p w14:paraId="3C03260D" w14:textId="77777777" w:rsidR="00776D56" w:rsidRPr="007E4F02" w:rsidRDefault="00776D56" w:rsidP="00776D56">
      <w:pPr>
        <w:autoSpaceDE w:val="0"/>
        <w:autoSpaceDN w:val="0"/>
        <w:adjustRightInd w:val="0"/>
        <w:jc w:val="both"/>
      </w:pPr>
      <w:r>
        <w:rPr>
          <w:rStyle w:val="Refdenotaalpie"/>
        </w:rPr>
        <w:footnoteRef/>
      </w:r>
      <w:r>
        <w:t xml:space="preserve"> </w:t>
      </w:r>
      <w:r w:rsidRPr="007E4F02">
        <w:rPr>
          <w:sz w:val="20"/>
          <w:szCs w:val="20"/>
        </w:rPr>
        <w:t xml:space="preserve">Ley de Transparencia y Acceso a la Información Pública del Estado de México y Municipios, artículo 9, fracción </w:t>
      </w:r>
      <w:r w:rsidRPr="007E4F02">
        <w:rPr>
          <w:b/>
          <w:sz w:val="20"/>
          <w:szCs w:val="20"/>
        </w:rPr>
        <w:t>I. Certeza:</w:t>
      </w:r>
      <w:r>
        <w:rPr>
          <w:sz w:val="20"/>
          <w:szCs w:val="20"/>
        </w:rPr>
        <w:t xml:space="preserve"> </w:t>
      </w:r>
      <w:r w:rsidRPr="007E4F02">
        <w:rPr>
          <w:rFonts w:cs="Bookman Old Style"/>
          <w:sz w:val="20"/>
          <w:szCs w:val="20"/>
        </w:rPr>
        <w:t>Principio que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9929C5" w:rsidRPr="00025127" w14:paraId="07F2896E" w14:textId="77777777" w:rsidTr="00FA0F09">
      <w:trPr>
        <w:trHeight w:val="138"/>
        <w:jc w:val="right"/>
      </w:trPr>
      <w:tc>
        <w:tcPr>
          <w:tcW w:w="3260" w:type="dxa"/>
          <w:vAlign w:val="center"/>
        </w:tcPr>
        <w:p w14:paraId="4A5B1974" w14:textId="44CA9AFE" w:rsidR="009929C5" w:rsidRPr="00025127" w:rsidRDefault="009929C5"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8347014" w:rsidR="009929C5" w:rsidRPr="00025127" w:rsidRDefault="009929C5" w:rsidP="00755146">
          <w:pPr>
            <w:pStyle w:val="Encabezado"/>
            <w:jc w:val="both"/>
            <w:rPr>
              <w:rFonts w:ascii="Palatino Linotype" w:hAnsi="Palatino Linotype"/>
              <w:b/>
              <w:sz w:val="22"/>
              <w:szCs w:val="22"/>
            </w:rPr>
          </w:pPr>
          <w:r>
            <w:rPr>
              <w:rFonts w:ascii="Palatino Linotype" w:hAnsi="Palatino Linotype"/>
              <w:b/>
              <w:sz w:val="22"/>
              <w:szCs w:val="22"/>
            </w:rPr>
            <w:t>10793</w:t>
          </w:r>
          <w:r w:rsidRPr="00994E0F">
            <w:rPr>
              <w:rFonts w:ascii="Palatino Linotype" w:hAnsi="Palatino Linotype"/>
              <w:b/>
              <w:sz w:val="22"/>
              <w:szCs w:val="22"/>
            </w:rPr>
            <w:t>/INFOEM/IP/RR/2022</w:t>
          </w:r>
        </w:p>
      </w:tc>
    </w:tr>
    <w:tr w:rsidR="009929C5" w:rsidRPr="00025127" w14:paraId="1B5D8690" w14:textId="77777777" w:rsidTr="00FA0F09">
      <w:trPr>
        <w:trHeight w:val="233"/>
        <w:jc w:val="right"/>
      </w:trPr>
      <w:tc>
        <w:tcPr>
          <w:tcW w:w="3260" w:type="dxa"/>
          <w:vAlign w:val="center"/>
        </w:tcPr>
        <w:p w14:paraId="3903F2C6" w14:textId="22D569F8" w:rsidR="009929C5" w:rsidRPr="00025127" w:rsidRDefault="009929C5"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F7CD025" w:rsidR="009929C5" w:rsidRPr="00025127" w:rsidRDefault="009929C5" w:rsidP="00FD2865">
          <w:pPr>
            <w:pStyle w:val="Encabezado"/>
            <w:jc w:val="both"/>
            <w:rPr>
              <w:rFonts w:ascii="Palatino Linotype" w:hAnsi="Palatino Linotype"/>
              <w:b/>
              <w:sz w:val="22"/>
              <w:szCs w:val="22"/>
            </w:rPr>
          </w:pPr>
          <w:r>
            <w:rPr>
              <w:rFonts w:ascii="Palatino Linotype" w:eastAsia="Calibri" w:hAnsi="Palatino Linotype" w:cs="Arial"/>
              <w:b/>
              <w:bCs/>
              <w:sz w:val="22"/>
              <w:lang w:val="es-ES"/>
            </w:rPr>
            <w:t>Secretaría de Justicia y Derechos Humanos</w:t>
          </w:r>
        </w:p>
      </w:tc>
    </w:tr>
    <w:tr w:rsidR="009929C5" w:rsidRPr="00025127" w14:paraId="095EB01B" w14:textId="77777777" w:rsidTr="00FA0F09">
      <w:trPr>
        <w:trHeight w:val="321"/>
        <w:jc w:val="right"/>
      </w:trPr>
      <w:tc>
        <w:tcPr>
          <w:tcW w:w="3260" w:type="dxa"/>
          <w:vAlign w:val="center"/>
        </w:tcPr>
        <w:p w14:paraId="6E000A51" w14:textId="05E1861A" w:rsidR="009929C5" w:rsidRPr="00025127" w:rsidRDefault="009929C5"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9929C5" w:rsidRPr="00025127" w:rsidRDefault="009929C5"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9929C5" w:rsidRDefault="009929C5"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9929C5" w:rsidRDefault="005042D9"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9929C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929C5" w:rsidRPr="00025127" w14:paraId="0A3256F2" w14:textId="77777777" w:rsidTr="006E6B65">
      <w:trPr>
        <w:trHeight w:val="138"/>
        <w:jc w:val="right"/>
      </w:trPr>
      <w:tc>
        <w:tcPr>
          <w:tcW w:w="3261" w:type="dxa"/>
          <w:vAlign w:val="center"/>
        </w:tcPr>
        <w:p w14:paraId="3D80769D" w14:textId="316F11F8" w:rsidR="009929C5" w:rsidRPr="00025127" w:rsidRDefault="009929C5"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E252DDC" w:rsidR="009929C5" w:rsidRPr="00025127" w:rsidRDefault="009929C5" w:rsidP="003E2DCB">
          <w:pPr>
            <w:pStyle w:val="Encabezado"/>
            <w:rPr>
              <w:rFonts w:ascii="Palatino Linotype" w:hAnsi="Palatino Linotype"/>
              <w:b/>
              <w:sz w:val="22"/>
              <w:szCs w:val="22"/>
            </w:rPr>
          </w:pPr>
          <w:r>
            <w:rPr>
              <w:rFonts w:ascii="Palatino Linotype" w:hAnsi="Palatino Linotype"/>
              <w:b/>
              <w:sz w:val="22"/>
              <w:szCs w:val="22"/>
            </w:rPr>
            <w:t>10793</w:t>
          </w:r>
          <w:r w:rsidRPr="00994E0F">
            <w:rPr>
              <w:rFonts w:ascii="Palatino Linotype" w:hAnsi="Palatino Linotype"/>
              <w:b/>
              <w:sz w:val="22"/>
              <w:szCs w:val="22"/>
            </w:rPr>
            <w:t>/INFOEM/IP/RR/2022</w:t>
          </w:r>
        </w:p>
      </w:tc>
    </w:tr>
    <w:tr w:rsidR="009929C5" w:rsidRPr="00025127" w14:paraId="128C8B3C" w14:textId="77777777" w:rsidTr="006E6B65">
      <w:trPr>
        <w:trHeight w:val="233"/>
        <w:jc w:val="right"/>
      </w:trPr>
      <w:tc>
        <w:tcPr>
          <w:tcW w:w="3261" w:type="dxa"/>
          <w:vAlign w:val="center"/>
        </w:tcPr>
        <w:p w14:paraId="483E3371" w14:textId="66B1BC74" w:rsidR="009929C5" w:rsidRPr="00025127" w:rsidRDefault="009929C5"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5A179D47" w:rsidR="009929C5" w:rsidRPr="0035066B" w:rsidRDefault="00EA641D" w:rsidP="00B87705">
          <w:pPr>
            <w:pStyle w:val="Encabezado"/>
            <w:rPr>
              <w:rFonts w:ascii="Palatino Linotype" w:hAnsi="Palatino Linotype"/>
              <w:b/>
              <w:sz w:val="22"/>
              <w:szCs w:val="22"/>
            </w:rPr>
          </w:pPr>
          <w:r>
            <w:rPr>
              <w:rFonts w:ascii="Palatino Linotype" w:hAnsi="Palatino Linotype"/>
              <w:b/>
              <w:sz w:val="22"/>
              <w:szCs w:val="22"/>
            </w:rPr>
            <w:t>XXXX XXXX XXXX</w:t>
          </w:r>
        </w:p>
      </w:tc>
    </w:tr>
    <w:tr w:rsidR="009929C5" w:rsidRPr="00025127" w14:paraId="41BE0704" w14:textId="77777777" w:rsidTr="006E6B65">
      <w:trPr>
        <w:trHeight w:val="321"/>
        <w:jc w:val="right"/>
      </w:trPr>
      <w:tc>
        <w:tcPr>
          <w:tcW w:w="3261" w:type="dxa"/>
          <w:vAlign w:val="center"/>
        </w:tcPr>
        <w:p w14:paraId="34C64148" w14:textId="10C6C8A9" w:rsidR="009929C5" w:rsidRPr="00025127" w:rsidRDefault="009929C5"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BCFB1B6" w:rsidR="009929C5" w:rsidRPr="00025127" w:rsidRDefault="009929C5" w:rsidP="003E2DCB">
          <w:pPr>
            <w:pStyle w:val="Encabezado"/>
            <w:jc w:val="both"/>
            <w:rPr>
              <w:rFonts w:ascii="Palatino Linotype" w:hAnsi="Palatino Linotype"/>
              <w:b/>
              <w:sz w:val="22"/>
              <w:szCs w:val="22"/>
            </w:rPr>
          </w:pPr>
          <w:r>
            <w:rPr>
              <w:rFonts w:ascii="Palatino Linotype" w:eastAsia="Calibri" w:hAnsi="Palatino Linotype" w:cs="Arial"/>
              <w:b/>
              <w:bCs/>
              <w:sz w:val="22"/>
              <w:lang w:val="es-ES"/>
            </w:rPr>
            <w:t>Secretaría de Justicia y Derechos Humanos</w:t>
          </w:r>
        </w:p>
      </w:tc>
    </w:tr>
    <w:tr w:rsidR="009929C5" w:rsidRPr="00025127" w14:paraId="0C8B6193" w14:textId="77777777" w:rsidTr="006E6B65">
      <w:trPr>
        <w:trHeight w:val="321"/>
        <w:jc w:val="right"/>
      </w:trPr>
      <w:tc>
        <w:tcPr>
          <w:tcW w:w="3261" w:type="dxa"/>
          <w:vAlign w:val="center"/>
        </w:tcPr>
        <w:p w14:paraId="321FFAFF" w14:textId="0E8C2CE7" w:rsidR="009929C5" w:rsidRPr="00025127" w:rsidRDefault="009929C5"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9929C5" w:rsidRPr="00025127" w:rsidRDefault="009929C5"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9929C5" w:rsidRDefault="009929C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4B4443"/>
    <w:multiLevelType w:val="hybridMultilevel"/>
    <w:tmpl w:val="AD3679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A4BB3"/>
    <w:multiLevelType w:val="hybridMultilevel"/>
    <w:tmpl w:val="98487F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FB4647C"/>
    <w:multiLevelType w:val="hybridMultilevel"/>
    <w:tmpl w:val="6AC2EA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9920CA"/>
    <w:multiLevelType w:val="hybridMultilevel"/>
    <w:tmpl w:val="16EA9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B915C4"/>
    <w:multiLevelType w:val="hybridMultilevel"/>
    <w:tmpl w:val="4698A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D42435"/>
    <w:multiLevelType w:val="hybridMultilevel"/>
    <w:tmpl w:val="5060E85A"/>
    <w:lvl w:ilvl="0" w:tplc="1CEE38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55F11E5"/>
    <w:multiLevelType w:val="hybridMultilevel"/>
    <w:tmpl w:val="66902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B554601"/>
    <w:multiLevelType w:val="hybridMultilevel"/>
    <w:tmpl w:val="CD06FC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A3560C"/>
    <w:multiLevelType w:val="hybridMultilevel"/>
    <w:tmpl w:val="C144F6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53BA5D70"/>
    <w:multiLevelType w:val="hybridMultilevel"/>
    <w:tmpl w:val="DC566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nsid w:val="5E6934F4"/>
    <w:multiLevelType w:val="hybridMultilevel"/>
    <w:tmpl w:val="67FCB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2">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8"/>
  </w:num>
  <w:num w:numId="2">
    <w:abstractNumId w:val="15"/>
  </w:num>
  <w:num w:numId="3">
    <w:abstractNumId w:val="0"/>
  </w:num>
  <w:num w:numId="4">
    <w:abstractNumId w:val="8"/>
  </w:num>
  <w:num w:numId="5">
    <w:abstractNumId w:val="3"/>
  </w:num>
  <w:num w:numId="6">
    <w:abstractNumId w:val="10"/>
  </w:num>
  <w:num w:numId="7">
    <w:abstractNumId w:val="22"/>
  </w:num>
  <w:num w:numId="8">
    <w:abstractNumId w:val="9"/>
  </w:num>
  <w:num w:numId="9">
    <w:abstractNumId w:val="21"/>
  </w:num>
  <w:num w:numId="10">
    <w:abstractNumId w:val="23"/>
  </w:num>
  <w:num w:numId="11">
    <w:abstractNumId w:val="18"/>
  </w:num>
  <w:num w:numId="12">
    <w:abstractNumId w:val="1"/>
  </w:num>
  <w:num w:numId="13">
    <w:abstractNumId w:val="12"/>
  </w:num>
  <w:num w:numId="14">
    <w:abstractNumId w:val="17"/>
  </w:num>
  <w:num w:numId="15">
    <w:abstractNumId w:val="5"/>
  </w:num>
  <w:num w:numId="16">
    <w:abstractNumId w:val="2"/>
  </w:num>
  <w:num w:numId="17">
    <w:abstractNumId w:val="7"/>
  </w:num>
  <w:num w:numId="18">
    <w:abstractNumId w:val="13"/>
  </w:num>
  <w:num w:numId="19">
    <w:abstractNumId w:val="19"/>
  </w:num>
  <w:num w:numId="20">
    <w:abstractNumId w:val="14"/>
  </w:num>
  <w:num w:numId="21">
    <w:abstractNumId w:val="20"/>
  </w:num>
  <w:num w:numId="22">
    <w:abstractNumId w:val="16"/>
  </w:num>
  <w:num w:numId="23">
    <w:abstractNumId w:val="4"/>
  </w:num>
  <w:num w:numId="24">
    <w:abstractNumId w:val="6"/>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28B5"/>
    <w:rsid w:val="0001398B"/>
    <w:rsid w:val="00014006"/>
    <w:rsid w:val="000152B8"/>
    <w:rsid w:val="0001539E"/>
    <w:rsid w:val="000160F8"/>
    <w:rsid w:val="000170F8"/>
    <w:rsid w:val="000203D3"/>
    <w:rsid w:val="000204A6"/>
    <w:rsid w:val="000211F8"/>
    <w:rsid w:val="0002146F"/>
    <w:rsid w:val="0002239D"/>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EDD"/>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55E7"/>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865"/>
    <w:rsid w:val="00216B8B"/>
    <w:rsid w:val="00216D2F"/>
    <w:rsid w:val="002179AC"/>
    <w:rsid w:val="00220ADB"/>
    <w:rsid w:val="002217BA"/>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3AD9"/>
    <w:rsid w:val="00286DDB"/>
    <w:rsid w:val="002871EB"/>
    <w:rsid w:val="00293711"/>
    <w:rsid w:val="002948C4"/>
    <w:rsid w:val="00294B11"/>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DCB"/>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F25"/>
    <w:rsid w:val="00403249"/>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4CC4"/>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42D9"/>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0828"/>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396F"/>
    <w:rsid w:val="005F487C"/>
    <w:rsid w:val="005F53A4"/>
    <w:rsid w:val="005F5FE1"/>
    <w:rsid w:val="005F62B2"/>
    <w:rsid w:val="005F715E"/>
    <w:rsid w:val="006010DA"/>
    <w:rsid w:val="006017AB"/>
    <w:rsid w:val="00604AC3"/>
    <w:rsid w:val="00605865"/>
    <w:rsid w:val="00606682"/>
    <w:rsid w:val="006079AA"/>
    <w:rsid w:val="00607B9A"/>
    <w:rsid w:val="006113D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ED0"/>
    <w:rsid w:val="00692D5E"/>
    <w:rsid w:val="00693427"/>
    <w:rsid w:val="00693FA4"/>
    <w:rsid w:val="006942FD"/>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6D56"/>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3BF9"/>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3390"/>
    <w:rsid w:val="00824C4E"/>
    <w:rsid w:val="00826125"/>
    <w:rsid w:val="00826F38"/>
    <w:rsid w:val="00830D70"/>
    <w:rsid w:val="00831969"/>
    <w:rsid w:val="0083380F"/>
    <w:rsid w:val="00833E4C"/>
    <w:rsid w:val="00834316"/>
    <w:rsid w:val="00834CD3"/>
    <w:rsid w:val="008359FB"/>
    <w:rsid w:val="00836224"/>
    <w:rsid w:val="00836FF4"/>
    <w:rsid w:val="008374E9"/>
    <w:rsid w:val="008376CD"/>
    <w:rsid w:val="00837BE4"/>
    <w:rsid w:val="00840559"/>
    <w:rsid w:val="00840DAB"/>
    <w:rsid w:val="00841C21"/>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5CF5"/>
    <w:rsid w:val="008A6581"/>
    <w:rsid w:val="008A7536"/>
    <w:rsid w:val="008A7F7D"/>
    <w:rsid w:val="008B1A5A"/>
    <w:rsid w:val="008B2913"/>
    <w:rsid w:val="008B382F"/>
    <w:rsid w:val="008B38BC"/>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68A1"/>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51C"/>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29C5"/>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DA0"/>
    <w:rsid w:val="00A073A0"/>
    <w:rsid w:val="00A07D84"/>
    <w:rsid w:val="00A07F09"/>
    <w:rsid w:val="00A10336"/>
    <w:rsid w:val="00A10CE2"/>
    <w:rsid w:val="00A13703"/>
    <w:rsid w:val="00A13811"/>
    <w:rsid w:val="00A15C42"/>
    <w:rsid w:val="00A1658E"/>
    <w:rsid w:val="00A16D17"/>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B0D"/>
    <w:rsid w:val="00A77F48"/>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19F"/>
    <w:rsid w:val="00BA6D15"/>
    <w:rsid w:val="00BA7987"/>
    <w:rsid w:val="00BA7CFA"/>
    <w:rsid w:val="00BB1309"/>
    <w:rsid w:val="00BB2522"/>
    <w:rsid w:val="00BB2592"/>
    <w:rsid w:val="00BB3156"/>
    <w:rsid w:val="00BB5CA9"/>
    <w:rsid w:val="00BB6662"/>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074D9"/>
    <w:rsid w:val="00C11482"/>
    <w:rsid w:val="00C1254E"/>
    <w:rsid w:val="00C12A1B"/>
    <w:rsid w:val="00C12E38"/>
    <w:rsid w:val="00C14CDF"/>
    <w:rsid w:val="00C150E0"/>
    <w:rsid w:val="00C150F6"/>
    <w:rsid w:val="00C15F5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5593"/>
    <w:rsid w:val="00C967DD"/>
    <w:rsid w:val="00CA0640"/>
    <w:rsid w:val="00CA2022"/>
    <w:rsid w:val="00CA46BF"/>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D32FE"/>
    <w:rsid w:val="00CD3E7D"/>
    <w:rsid w:val="00CD5036"/>
    <w:rsid w:val="00CD6866"/>
    <w:rsid w:val="00CD6D7D"/>
    <w:rsid w:val="00CD76D4"/>
    <w:rsid w:val="00CD7893"/>
    <w:rsid w:val="00CD7911"/>
    <w:rsid w:val="00CE035D"/>
    <w:rsid w:val="00CE03CC"/>
    <w:rsid w:val="00CE1B43"/>
    <w:rsid w:val="00CE2885"/>
    <w:rsid w:val="00CE3655"/>
    <w:rsid w:val="00CE7D15"/>
    <w:rsid w:val="00CE7E6A"/>
    <w:rsid w:val="00CF030B"/>
    <w:rsid w:val="00CF23A2"/>
    <w:rsid w:val="00CF4218"/>
    <w:rsid w:val="00CF4D2B"/>
    <w:rsid w:val="00CF5D77"/>
    <w:rsid w:val="00CF6EB2"/>
    <w:rsid w:val="00D00269"/>
    <w:rsid w:val="00D007D1"/>
    <w:rsid w:val="00D02F72"/>
    <w:rsid w:val="00D0377B"/>
    <w:rsid w:val="00D06772"/>
    <w:rsid w:val="00D07CFB"/>
    <w:rsid w:val="00D10889"/>
    <w:rsid w:val="00D10AB0"/>
    <w:rsid w:val="00D12402"/>
    <w:rsid w:val="00D12EE7"/>
    <w:rsid w:val="00D1373C"/>
    <w:rsid w:val="00D13EAA"/>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015"/>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2F3D"/>
    <w:rsid w:val="00D931C8"/>
    <w:rsid w:val="00D9372E"/>
    <w:rsid w:val="00D938BE"/>
    <w:rsid w:val="00D9392E"/>
    <w:rsid w:val="00D947F0"/>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39E9"/>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6D97"/>
    <w:rsid w:val="00E97D83"/>
    <w:rsid w:val="00EA0CA1"/>
    <w:rsid w:val="00EA1D8B"/>
    <w:rsid w:val="00EA3158"/>
    <w:rsid w:val="00EA3249"/>
    <w:rsid w:val="00EA3C59"/>
    <w:rsid w:val="00EA4CEB"/>
    <w:rsid w:val="00EA5118"/>
    <w:rsid w:val="00EA641D"/>
    <w:rsid w:val="00EA6C56"/>
    <w:rsid w:val="00EB02F9"/>
    <w:rsid w:val="00EB0C63"/>
    <w:rsid w:val="00EB0DF0"/>
    <w:rsid w:val="00EB1A2C"/>
    <w:rsid w:val="00EB2513"/>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4D3F"/>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4F56"/>
    <w:rsid w:val="00F953AB"/>
    <w:rsid w:val="00F96156"/>
    <w:rsid w:val="00F96460"/>
    <w:rsid w:val="00F9742A"/>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96787599">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07087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8513450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06695257">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785960">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idp.edomex.gob.mx/sites/idp.edomex.gob.mx/files/files/Convocatorias/Comunicado%2017-08-2022%20ultima%20versi%C3%B3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F950F-4DBA-420C-B5B7-4A64CA1F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51</Pages>
  <Words>10455</Words>
  <Characters>57508</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2019-12-11T01:19:00Z</cp:lastPrinted>
  <dcterms:created xsi:type="dcterms:W3CDTF">2022-09-06T19:21:00Z</dcterms:created>
  <dcterms:modified xsi:type="dcterms:W3CDTF">2022-10-12T20:00:00Z</dcterms:modified>
</cp:coreProperties>
</file>