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CF09CB" w:rsidR="007E363C" w:rsidP="0019462A" w:rsidRDefault="007E363C" w14:paraId="75F1A75D" w14:textId="04F34084">
      <w:pPr>
        <w:spacing w:line="360" w:lineRule="auto"/>
        <w:jc w:val="both"/>
        <w:rPr>
          <w:rFonts w:ascii="Palatino Linotype" w:hAnsi="Palatino Linotype" w:cs="Tahoma"/>
          <w:bCs/>
          <w:sz w:val="22"/>
          <w:szCs w:val="22"/>
        </w:rPr>
      </w:pPr>
      <w:r w:rsidRPr="00CF09CB">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Pr="00CF09CB" w:rsidR="00647CA4">
        <w:rPr>
          <w:rFonts w:ascii="Palatino Linotype" w:hAnsi="Palatino Linotype" w:cs="Tahoma"/>
          <w:bCs/>
          <w:sz w:val="22"/>
          <w:szCs w:val="22"/>
        </w:rPr>
        <w:t xml:space="preserve">seis de julio </w:t>
      </w:r>
      <w:r w:rsidRPr="00CF09CB" w:rsidR="003C449B">
        <w:rPr>
          <w:rFonts w:ascii="Palatino Linotype" w:hAnsi="Palatino Linotype" w:cs="Tahoma"/>
          <w:bCs/>
          <w:sz w:val="22"/>
          <w:szCs w:val="22"/>
        </w:rPr>
        <w:t>de dos mil veintidós.</w:t>
      </w:r>
    </w:p>
    <w:p w:rsidRPr="00CF09CB" w:rsidR="00D83309" w:rsidP="0019462A" w:rsidRDefault="00D83309" w14:paraId="69684B8C" w14:textId="77777777">
      <w:pPr>
        <w:spacing w:line="360" w:lineRule="auto"/>
        <w:jc w:val="both"/>
        <w:rPr>
          <w:rFonts w:ascii="Palatino Linotype" w:hAnsi="Palatino Linotype" w:cs="Tahoma"/>
          <w:bCs/>
          <w:sz w:val="22"/>
          <w:szCs w:val="22"/>
        </w:rPr>
      </w:pPr>
    </w:p>
    <w:p w:rsidRPr="00CF09CB" w:rsidR="007E363C" w:rsidP="24761E0F" w:rsidRDefault="007E363C" w14:paraId="52AE8B8D" w14:textId="5B690E13">
      <w:pPr>
        <w:spacing w:line="360" w:lineRule="auto"/>
        <w:jc w:val="both"/>
        <w:rPr>
          <w:rFonts w:ascii="Palatino Linotype" w:hAnsi="Palatino Linotype" w:cs="Tahoma"/>
          <w:color w:val="0D0D0D"/>
          <w:sz w:val="22"/>
          <w:szCs w:val="22"/>
        </w:rPr>
      </w:pPr>
      <w:r w:rsidRPr="24761E0F" w:rsidR="24761E0F">
        <w:rPr>
          <w:rFonts w:ascii="Palatino Linotype" w:hAnsi="Palatino Linotype" w:cs="Tahoma"/>
          <w:b w:val="1"/>
          <w:bCs w:val="1"/>
          <w:color w:val="0D0D0D" w:themeColor="text1" w:themeTint="F2" w:themeShade="FF"/>
          <w:sz w:val="22"/>
          <w:szCs w:val="22"/>
        </w:rPr>
        <w:t xml:space="preserve">VISTO </w:t>
      </w:r>
      <w:r w:rsidRPr="24761E0F" w:rsidR="24761E0F">
        <w:rPr>
          <w:rFonts w:ascii="Palatino Linotype" w:hAnsi="Palatino Linotype" w:cs="Tahoma"/>
          <w:color w:val="0D0D0D" w:themeColor="text1" w:themeTint="F2" w:themeShade="FF"/>
          <w:sz w:val="22"/>
          <w:szCs w:val="22"/>
        </w:rPr>
        <w:t xml:space="preserve">el expediente conformado con motivo del Recurso de Revisión 3441/INFOEM/IP/RR/2022, interpuesto </w:t>
      </w:r>
      <w:r w:rsidRPr="24761E0F" w:rsidR="24761E0F">
        <w:rPr>
          <w:rFonts w:ascii="Palatino Linotype" w:hAnsi="Palatino Linotype" w:cs="Tahoma"/>
          <w:color w:val="0D0D0D" w:themeColor="text1" w:themeTint="F2" w:themeShade="FF"/>
          <w:sz w:val="22"/>
          <w:szCs w:val="22"/>
          <w:highlight w:val="black"/>
        </w:rPr>
        <w:t>XXXXXXXX</w:t>
      </w:r>
      <w:r w:rsidRPr="24761E0F" w:rsidR="24761E0F">
        <w:rPr>
          <w:rFonts w:ascii="Palatino Linotype" w:hAnsi="Palatino Linotype" w:cs="Tahoma"/>
          <w:color w:val="0D0D0D" w:themeColor="text1" w:themeTint="F2" w:themeShade="FF"/>
          <w:sz w:val="22"/>
          <w:szCs w:val="22"/>
        </w:rPr>
        <w:t>, en adelante Recurrente o Particular,</w:t>
      </w:r>
      <w:r w:rsidRPr="24761E0F" w:rsidR="24761E0F">
        <w:rPr>
          <w:rFonts w:ascii="Palatino Linotype" w:hAnsi="Palatino Linotype" w:cs="Tahoma"/>
          <w:color w:val="0D0D0D" w:themeColor="text1" w:themeTint="F2" w:themeShade="FF"/>
          <w:sz w:val="22"/>
          <w:szCs w:val="22"/>
          <w:lang w:val="es-ES"/>
        </w:rPr>
        <w:t xml:space="preserve"> en contra de la respuesta del Sujeto Obligado</w:t>
      </w:r>
      <w:r w:rsidRPr="24761E0F" w:rsidR="24761E0F">
        <w:rPr>
          <w:rFonts w:ascii="Palatino Linotype" w:hAnsi="Palatino Linotype" w:cs="Tahoma"/>
          <w:color w:val="0D0D0D" w:themeColor="text1" w:themeTint="F2" w:themeShade="FF"/>
          <w:sz w:val="22"/>
          <w:szCs w:val="22"/>
        </w:rPr>
        <w:t>, Ayuntamiento de Nezahualcóyotl, a la solicitud de información pública 00054/NEZA/IP/2022</w:t>
      </w:r>
      <w:r w:rsidRPr="24761E0F" w:rsidR="24761E0F">
        <w:rPr>
          <w:rFonts w:ascii="Palatino Linotype" w:hAnsi="Palatino Linotype" w:cs="Tahoma"/>
          <w:b w:val="1"/>
          <w:bCs w:val="1"/>
          <w:color w:val="0D0D0D" w:themeColor="text1" w:themeTint="F2" w:themeShade="FF"/>
          <w:sz w:val="22"/>
          <w:szCs w:val="22"/>
        </w:rPr>
        <w:t xml:space="preserve">, </w:t>
      </w:r>
      <w:r w:rsidRPr="24761E0F" w:rsidR="24761E0F">
        <w:rPr>
          <w:rFonts w:ascii="Palatino Linotype" w:hAnsi="Palatino Linotype" w:cs="Tahoma"/>
          <w:color w:val="0D0D0D" w:themeColor="text1" w:themeTint="F2" w:themeShade="FF"/>
          <w:sz w:val="22"/>
          <w:szCs w:val="22"/>
        </w:rPr>
        <w:t>se emite la presente Resolución, con base en los Antecedentes y C</w:t>
      </w:r>
      <w:r w:rsidRPr="24761E0F" w:rsidR="24761E0F">
        <w:rPr>
          <w:rFonts w:ascii="Palatino Linotype" w:hAnsi="Palatino Linotype" w:cs="Tahoma"/>
          <w:sz w:val="22"/>
          <w:szCs w:val="22"/>
        </w:rPr>
        <w:t>onsiderandos que a continuación se exponen:</w:t>
      </w:r>
    </w:p>
    <w:p w:rsidRPr="00CF09CB" w:rsidR="006E55D9" w:rsidP="0019462A" w:rsidRDefault="006E55D9" w14:paraId="20ECEFE9" w14:textId="77777777">
      <w:pPr>
        <w:tabs>
          <w:tab w:val="center" w:pos="4522"/>
          <w:tab w:val="left" w:pos="7245"/>
        </w:tabs>
        <w:spacing w:line="360" w:lineRule="auto"/>
        <w:jc w:val="center"/>
        <w:rPr>
          <w:rFonts w:ascii="Palatino Linotype" w:hAnsi="Palatino Linotype" w:cs="Tahoma"/>
          <w:b/>
          <w:sz w:val="22"/>
          <w:szCs w:val="22"/>
        </w:rPr>
      </w:pPr>
    </w:p>
    <w:p w:rsidRPr="00CF09CB" w:rsidR="007E363C" w:rsidP="0019462A" w:rsidRDefault="007E363C" w14:paraId="0075B0EB" w14:textId="06D47DDB">
      <w:pPr>
        <w:tabs>
          <w:tab w:val="center" w:pos="4522"/>
          <w:tab w:val="left" w:pos="7245"/>
        </w:tabs>
        <w:spacing w:line="360" w:lineRule="auto"/>
        <w:jc w:val="center"/>
        <w:rPr>
          <w:rFonts w:ascii="Palatino Linotype" w:hAnsi="Palatino Linotype" w:cs="Tahoma"/>
          <w:b/>
          <w:sz w:val="22"/>
          <w:szCs w:val="22"/>
        </w:rPr>
      </w:pPr>
      <w:r w:rsidRPr="00CF09CB">
        <w:rPr>
          <w:rFonts w:ascii="Palatino Linotype" w:hAnsi="Palatino Linotype" w:cs="Tahoma"/>
          <w:b/>
          <w:sz w:val="22"/>
          <w:szCs w:val="22"/>
        </w:rPr>
        <w:t>A N T E C E D E N T E S:</w:t>
      </w:r>
    </w:p>
    <w:p w:rsidRPr="00CF09CB" w:rsidR="000F585E" w:rsidP="0019462A" w:rsidRDefault="000F585E" w14:paraId="3DABB258" w14:textId="77777777">
      <w:pPr>
        <w:pStyle w:val="Prrafodelista"/>
        <w:tabs>
          <w:tab w:val="left" w:pos="567"/>
        </w:tabs>
        <w:spacing w:line="360" w:lineRule="auto"/>
        <w:ind w:left="0"/>
        <w:contextualSpacing w:val="0"/>
        <w:rPr>
          <w:rFonts w:cs="Tahoma"/>
          <w:b/>
          <w:szCs w:val="22"/>
        </w:rPr>
      </w:pPr>
    </w:p>
    <w:p w:rsidRPr="00CF09CB" w:rsidR="007E363C" w:rsidP="0019462A" w:rsidRDefault="00966ED6" w14:paraId="253BA471" w14:textId="4D333D94">
      <w:pPr>
        <w:pStyle w:val="Prrafodelista"/>
        <w:tabs>
          <w:tab w:val="left" w:pos="567"/>
        </w:tabs>
        <w:spacing w:line="360" w:lineRule="auto"/>
        <w:ind w:left="0"/>
        <w:contextualSpacing w:val="0"/>
        <w:rPr>
          <w:rFonts w:cs="Tahoma"/>
          <w:b/>
          <w:szCs w:val="22"/>
        </w:rPr>
      </w:pPr>
      <w:r w:rsidRPr="00CF09CB">
        <w:rPr>
          <w:rFonts w:cs="Tahoma"/>
          <w:b/>
          <w:szCs w:val="22"/>
        </w:rPr>
        <w:t>I. Presentación de la solicitud</w:t>
      </w:r>
      <w:r w:rsidRPr="00CF09CB" w:rsidR="007E363C">
        <w:rPr>
          <w:rFonts w:cs="Tahoma"/>
          <w:b/>
          <w:szCs w:val="22"/>
        </w:rPr>
        <w:t xml:space="preserve"> de información. </w:t>
      </w:r>
    </w:p>
    <w:p w:rsidRPr="00CF09CB" w:rsidR="007E363C" w:rsidP="0019462A" w:rsidRDefault="007E363C" w14:paraId="7C204955" w14:textId="4333875D">
      <w:pPr>
        <w:pStyle w:val="Prrafodelista"/>
        <w:tabs>
          <w:tab w:val="left" w:pos="567"/>
        </w:tabs>
        <w:spacing w:line="360" w:lineRule="auto"/>
        <w:ind w:left="0"/>
        <w:contextualSpacing w:val="0"/>
        <w:rPr>
          <w:rFonts w:cs="Tahoma"/>
          <w:szCs w:val="22"/>
        </w:rPr>
      </w:pPr>
    </w:p>
    <w:p w:rsidRPr="00CF09CB" w:rsidR="007E363C" w:rsidP="0019462A" w:rsidRDefault="007E363C" w14:paraId="7DAA2A40" w14:textId="733C3497">
      <w:pPr>
        <w:pStyle w:val="Prrafodelista"/>
        <w:tabs>
          <w:tab w:val="left" w:pos="567"/>
        </w:tabs>
        <w:spacing w:line="360" w:lineRule="auto"/>
        <w:ind w:left="0"/>
        <w:contextualSpacing w:val="0"/>
        <w:rPr>
          <w:rFonts w:cs="Tahoma"/>
          <w:szCs w:val="22"/>
        </w:rPr>
      </w:pPr>
      <w:r w:rsidRPr="00CF09CB">
        <w:rPr>
          <w:rFonts w:cs="Tahoma"/>
          <w:szCs w:val="22"/>
        </w:rPr>
        <w:t>Con fecha</w:t>
      </w:r>
      <w:r w:rsidRPr="00CF09CB" w:rsidR="000175EE">
        <w:rPr>
          <w:rFonts w:cs="Tahoma"/>
          <w:szCs w:val="22"/>
        </w:rPr>
        <w:t xml:space="preserve"> </w:t>
      </w:r>
      <w:r w:rsidRPr="00CF09CB" w:rsidR="006E0A42">
        <w:rPr>
          <w:rFonts w:cs="Tahoma"/>
          <w:szCs w:val="22"/>
        </w:rPr>
        <w:t>treinta y uno</w:t>
      </w:r>
      <w:r w:rsidRPr="00CF09CB" w:rsidR="000175EE">
        <w:rPr>
          <w:rFonts w:cs="Tahoma"/>
          <w:szCs w:val="22"/>
        </w:rPr>
        <w:t xml:space="preserve"> de enero de dos mil veintidós, el Particular, presento </w:t>
      </w:r>
      <w:r w:rsidRPr="00CF09CB" w:rsidR="00966ED6">
        <w:rPr>
          <w:rFonts w:cs="Tahoma"/>
          <w:szCs w:val="22"/>
        </w:rPr>
        <w:t>una solicitud</w:t>
      </w:r>
      <w:r w:rsidRPr="00CF09CB" w:rsidR="000175EE">
        <w:rPr>
          <w:rFonts w:cs="Tahoma"/>
          <w:szCs w:val="22"/>
        </w:rPr>
        <w:t xml:space="preserve"> de acceso a la información</w:t>
      </w:r>
      <w:r w:rsidRPr="00CF09CB">
        <w:rPr>
          <w:rFonts w:cs="Tahoma"/>
          <w:szCs w:val="22"/>
        </w:rPr>
        <w:t xml:space="preserve">, a través </w:t>
      </w:r>
      <w:r w:rsidRPr="00CF09CB" w:rsidR="00EC12E5">
        <w:rPr>
          <w:rFonts w:cs="Tahoma"/>
          <w:szCs w:val="22"/>
        </w:rPr>
        <w:t xml:space="preserve">de la </w:t>
      </w:r>
      <w:r w:rsidRPr="00CF09CB" w:rsidR="00EC12E5">
        <w:rPr>
          <w:rFonts w:cs="Tahoma"/>
          <w:color w:val="auto"/>
          <w:lang w:eastAsia="es-ES"/>
        </w:rPr>
        <w:t>Plataforma Nacional de Transparencia (PNT)</w:t>
      </w:r>
      <w:r w:rsidRPr="00CF09CB">
        <w:rPr>
          <w:rFonts w:cs="Tahoma"/>
          <w:szCs w:val="22"/>
        </w:rPr>
        <w:t xml:space="preserve">, ante el </w:t>
      </w:r>
      <w:r w:rsidRPr="00CF09CB" w:rsidR="00BC2952">
        <w:rPr>
          <w:rFonts w:cs="Tahoma"/>
          <w:szCs w:val="22"/>
        </w:rPr>
        <w:t>Ayuntamiento de Ixtlahuaca</w:t>
      </w:r>
      <w:r w:rsidRPr="00CF09CB">
        <w:rPr>
          <w:rFonts w:cs="Tahoma"/>
          <w:b/>
          <w:szCs w:val="22"/>
        </w:rPr>
        <w:t xml:space="preserve">, </w:t>
      </w:r>
      <w:r w:rsidRPr="00CF09CB">
        <w:rPr>
          <w:rFonts w:cs="Tahoma"/>
          <w:szCs w:val="22"/>
        </w:rPr>
        <w:t>en los siguientes términos:</w:t>
      </w:r>
    </w:p>
    <w:p w:rsidRPr="00CF09CB" w:rsidR="007E363C" w:rsidP="0019462A" w:rsidRDefault="007E363C" w14:paraId="0423DA81" w14:textId="46DE3B54">
      <w:pPr>
        <w:pStyle w:val="Prrafodelista"/>
        <w:tabs>
          <w:tab w:val="left" w:pos="567"/>
        </w:tabs>
        <w:spacing w:line="360" w:lineRule="auto"/>
        <w:ind w:left="0"/>
        <w:contextualSpacing w:val="0"/>
        <w:rPr>
          <w:rFonts w:cs="Tahoma"/>
          <w:szCs w:val="22"/>
        </w:rPr>
      </w:pPr>
    </w:p>
    <w:p w:rsidRPr="00CF09CB" w:rsidR="004A3BBB" w:rsidP="0019462A" w:rsidRDefault="004A3BBB" w14:paraId="3928E1B0" w14:textId="77777777">
      <w:pPr>
        <w:spacing w:line="360" w:lineRule="auto"/>
        <w:ind w:left="567" w:right="567"/>
        <w:contextualSpacing/>
        <w:rPr>
          <w:rFonts w:ascii="Palatino Linotype" w:hAnsi="Palatino Linotype" w:cs="Tahoma"/>
          <w:b/>
          <w:bCs/>
          <w:i/>
          <w:iCs/>
          <w:sz w:val="20"/>
          <w:szCs w:val="20"/>
        </w:rPr>
      </w:pPr>
      <w:r w:rsidRPr="00CF09CB">
        <w:rPr>
          <w:rFonts w:ascii="Palatino Linotype" w:hAnsi="Palatino Linotype" w:cs="Tahoma"/>
          <w:b/>
          <w:bCs/>
          <w:i/>
          <w:iCs/>
          <w:sz w:val="20"/>
          <w:szCs w:val="20"/>
        </w:rPr>
        <w:t>“DESCRIPCIÓN CLARA Y PRECISA DE LA INFORMACIÓN SOLICITADA</w:t>
      </w:r>
    </w:p>
    <w:p w:rsidRPr="00CF09CB" w:rsidR="004A3BBB" w:rsidP="0019462A" w:rsidRDefault="00966ED6" w14:paraId="7066F9C5" w14:textId="0CF2712A">
      <w:pPr>
        <w:spacing w:line="360" w:lineRule="auto"/>
        <w:ind w:left="567" w:right="567"/>
        <w:contextualSpacing/>
        <w:jc w:val="both"/>
        <w:rPr>
          <w:rFonts w:ascii="Palatino Linotype" w:hAnsi="Palatino Linotype"/>
          <w:i/>
          <w:sz w:val="20"/>
          <w:szCs w:val="20"/>
        </w:rPr>
      </w:pPr>
      <w:r w:rsidRPr="00CF09CB">
        <w:rPr>
          <w:rFonts w:ascii="Palatino Linotype" w:hAnsi="Palatino Linotype"/>
          <w:bCs/>
          <w:i/>
          <w:sz w:val="20"/>
          <w:szCs w:val="20"/>
        </w:rPr>
        <w:t>Solicito cada uno de los archivos denominados "Comprobante Bancario de la Dispersión de la Nómina", que se entregan como parte del módulo 4 de los informes trimestrales al Órgano Superior de Fiscalización del Estado de México, correspondientes al periodo de enero a diciembre de 2021. Como lo especifica el Instructivo para la "Integración del Informe Trimestral de los Sujetos de Fiscalización MUNICIPALES para el Ejercicio 2021", la información deberá contener, al menos, "No. progresivo", "No. de quincena", "No. de empleado", "Nombre completo del empleado", "Fecha de transacción", "Fecha de aplicación", e "Importe pagado". Solicito cada uno de los archivos, no una relación de los mismos.</w:t>
      </w:r>
      <w:r w:rsidRPr="00CF09CB" w:rsidR="004A3BBB">
        <w:rPr>
          <w:rFonts w:ascii="Palatino Linotype" w:hAnsi="Palatino Linotype"/>
          <w:i/>
          <w:sz w:val="20"/>
          <w:szCs w:val="20"/>
        </w:rPr>
        <w:t xml:space="preserve">” (Sic) </w:t>
      </w:r>
    </w:p>
    <w:p w:rsidRPr="00CF09CB" w:rsidR="00EC12E5" w:rsidP="0019462A" w:rsidRDefault="00EC12E5" w14:paraId="78AC4C56" w14:textId="77777777">
      <w:pPr>
        <w:tabs>
          <w:tab w:val="left" w:pos="4667"/>
        </w:tabs>
        <w:spacing w:line="360" w:lineRule="auto"/>
        <w:ind w:left="567" w:right="567"/>
        <w:jc w:val="both"/>
        <w:rPr>
          <w:rFonts w:ascii="Palatino Linotype" w:hAnsi="Palatino Linotype" w:cs="Tahoma"/>
          <w:b/>
          <w:bCs/>
          <w:i/>
          <w:sz w:val="20"/>
          <w:szCs w:val="20"/>
          <w:lang w:val="es-ES_tradnl" w:eastAsia="es-ES"/>
        </w:rPr>
      </w:pPr>
    </w:p>
    <w:p w:rsidRPr="00CF09CB" w:rsidR="00EC12E5" w:rsidP="0019462A" w:rsidRDefault="00EC12E5" w14:paraId="262BFC03" w14:textId="67BA7F23">
      <w:pPr>
        <w:tabs>
          <w:tab w:val="left" w:pos="4667"/>
        </w:tabs>
        <w:spacing w:line="360" w:lineRule="auto"/>
        <w:ind w:left="567" w:right="567"/>
        <w:jc w:val="both"/>
        <w:rPr>
          <w:rFonts w:ascii="Palatino Linotype" w:hAnsi="Palatino Linotype" w:cs="Tahoma"/>
          <w:bCs/>
          <w:i/>
          <w:sz w:val="20"/>
          <w:szCs w:val="20"/>
          <w:lang w:val="es-ES_tradnl" w:eastAsia="es-ES"/>
        </w:rPr>
      </w:pPr>
      <w:r w:rsidRPr="00CF09CB">
        <w:rPr>
          <w:rFonts w:ascii="Palatino Linotype" w:hAnsi="Palatino Linotype" w:cs="Tahoma"/>
          <w:b/>
          <w:bCs/>
          <w:i/>
          <w:sz w:val="20"/>
          <w:szCs w:val="20"/>
          <w:lang w:val="es-ES_tradnl" w:eastAsia="es-ES"/>
        </w:rPr>
        <w:lastRenderedPageBreak/>
        <w:t>“MODALIDAD DE ENTREGA:</w:t>
      </w:r>
    </w:p>
    <w:p w:rsidRPr="00CF09CB" w:rsidR="00EC12E5" w:rsidP="0019462A" w:rsidRDefault="00EC12E5" w14:paraId="006FD7BC" w14:textId="77777777">
      <w:pPr>
        <w:tabs>
          <w:tab w:val="left" w:pos="4667"/>
        </w:tabs>
        <w:spacing w:line="360" w:lineRule="auto"/>
        <w:ind w:left="567" w:right="567"/>
        <w:jc w:val="both"/>
        <w:rPr>
          <w:rFonts w:ascii="Palatino Linotype" w:hAnsi="Palatino Linotype" w:cs="Tahoma"/>
          <w:b/>
          <w:bCs/>
          <w:i/>
          <w:sz w:val="20"/>
          <w:szCs w:val="20"/>
          <w:lang w:val="es-ES_tradnl" w:eastAsia="es-ES"/>
        </w:rPr>
      </w:pPr>
      <w:r w:rsidRPr="00CF09CB">
        <w:rPr>
          <w:rFonts w:ascii="Palatino Linotype" w:hAnsi="Palatino Linotype" w:cs="Tahoma"/>
          <w:b/>
          <w:bCs/>
          <w:i/>
          <w:sz w:val="20"/>
          <w:szCs w:val="20"/>
          <w:lang w:val="es-ES_tradnl" w:eastAsia="es-ES"/>
        </w:rPr>
        <w:t>Medio para recibir información o notificaciones</w:t>
      </w:r>
    </w:p>
    <w:p w:rsidRPr="00CF09CB" w:rsidR="00EC12E5" w:rsidP="0019462A" w:rsidRDefault="00EC12E5" w14:paraId="5DB3F633" w14:textId="77777777">
      <w:pPr>
        <w:tabs>
          <w:tab w:val="left" w:pos="567"/>
        </w:tabs>
        <w:spacing w:line="360" w:lineRule="auto"/>
        <w:ind w:left="567"/>
        <w:jc w:val="both"/>
        <w:rPr>
          <w:rFonts w:ascii="Palatino Linotype" w:hAnsi="Palatino Linotype" w:cs="Tahoma"/>
          <w:bCs/>
          <w:i/>
          <w:sz w:val="20"/>
          <w:szCs w:val="20"/>
          <w:lang w:val="es-ES_tradnl" w:eastAsia="es-ES"/>
        </w:rPr>
      </w:pPr>
      <w:r w:rsidRPr="00CF09CB">
        <w:rPr>
          <w:rFonts w:ascii="Palatino Linotype" w:hAnsi="Palatino Linotype" w:cs="Tahoma"/>
          <w:bCs/>
          <w:i/>
          <w:sz w:val="20"/>
          <w:szCs w:val="20"/>
          <w:lang w:val="es-ES_tradnl" w:eastAsia="es-ES"/>
        </w:rPr>
        <w:t>Correo electrónico</w:t>
      </w:r>
    </w:p>
    <w:p w:rsidRPr="00CF09CB" w:rsidR="00EC12E5" w:rsidP="0019462A" w:rsidRDefault="00EC12E5" w14:paraId="5BF8F77D" w14:textId="77777777">
      <w:pPr>
        <w:tabs>
          <w:tab w:val="left" w:pos="567"/>
        </w:tabs>
        <w:spacing w:line="360" w:lineRule="auto"/>
        <w:ind w:left="567"/>
        <w:jc w:val="both"/>
        <w:rPr>
          <w:rFonts w:ascii="Palatino Linotype" w:hAnsi="Palatino Linotype" w:cs="Tahoma"/>
          <w:bCs/>
          <w:i/>
          <w:sz w:val="20"/>
          <w:szCs w:val="20"/>
          <w:lang w:val="es-ES_tradnl" w:eastAsia="es-ES"/>
        </w:rPr>
      </w:pPr>
    </w:p>
    <w:p w:rsidRPr="00CF09CB" w:rsidR="00EC12E5" w:rsidP="0019462A" w:rsidRDefault="00EC12E5" w14:paraId="793B7077" w14:textId="77777777">
      <w:pPr>
        <w:tabs>
          <w:tab w:val="left" w:pos="4667"/>
        </w:tabs>
        <w:spacing w:line="360" w:lineRule="auto"/>
        <w:ind w:left="567" w:right="567"/>
        <w:jc w:val="both"/>
        <w:rPr>
          <w:rFonts w:ascii="Palatino Linotype" w:hAnsi="Palatino Linotype" w:cs="Tahoma"/>
          <w:b/>
          <w:bCs/>
          <w:i/>
          <w:sz w:val="20"/>
          <w:szCs w:val="20"/>
          <w:lang w:eastAsia="es-ES"/>
        </w:rPr>
      </w:pPr>
      <w:r w:rsidRPr="00CF09CB">
        <w:rPr>
          <w:rFonts w:ascii="Palatino Linotype" w:hAnsi="Palatino Linotype" w:cs="Tahoma"/>
          <w:b/>
          <w:bCs/>
          <w:i/>
          <w:sz w:val="20"/>
          <w:szCs w:val="20"/>
          <w:lang w:val="es-ES_tradnl" w:eastAsia="es-ES"/>
        </w:rPr>
        <w:t>Indique cómo desea recibir la información</w:t>
      </w:r>
    </w:p>
    <w:p w:rsidRPr="00CF09CB" w:rsidR="00EC12E5" w:rsidP="0019462A" w:rsidRDefault="00EC12E5" w14:paraId="7856814F" w14:textId="77777777">
      <w:pPr>
        <w:tabs>
          <w:tab w:val="left" w:pos="567"/>
        </w:tabs>
        <w:spacing w:line="360" w:lineRule="auto"/>
        <w:ind w:left="567"/>
        <w:jc w:val="both"/>
        <w:rPr>
          <w:rFonts w:ascii="Palatino Linotype" w:hAnsi="Palatino Linotype" w:cs="Tahoma"/>
          <w:sz w:val="22"/>
          <w:szCs w:val="22"/>
          <w:lang w:val="es-ES_tradnl" w:eastAsia="es-ES"/>
        </w:rPr>
      </w:pPr>
      <w:r w:rsidRPr="00CF09CB">
        <w:rPr>
          <w:rFonts w:ascii="Palatino Linotype" w:hAnsi="Palatino Linotype" w:cs="Tahoma"/>
          <w:i/>
          <w:sz w:val="20"/>
          <w:szCs w:val="20"/>
          <w:lang w:val="es-ES_tradnl" w:eastAsia="es-ES"/>
        </w:rPr>
        <w:t>Electrónico a través del sistema de solicitudes de acceso la</w:t>
      </w:r>
    </w:p>
    <w:p w:rsidRPr="00CF09CB" w:rsidR="00EC12E5" w:rsidP="0019462A" w:rsidRDefault="00EC12E5" w14:paraId="29ABAC1C" w14:textId="77777777">
      <w:pPr>
        <w:tabs>
          <w:tab w:val="left" w:pos="567"/>
        </w:tabs>
        <w:spacing w:line="360" w:lineRule="auto"/>
        <w:ind w:left="567" w:hanging="567"/>
        <w:jc w:val="both"/>
        <w:rPr>
          <w:rFonts w:ascii="Palatino Linotype" w:hAnsi="Palatino Linotype" w:cs="Tahoma"/>
          <w:sz w:val="22"/>
          <w:szCs w:val="22"/>
          <w:lang w:val="es-ES_tradnl" w:eastAsia="es-ES"/>
        </w:rPr>
      </w:pPr>
    </w:p>
    <w:p w:rsidRPr="00CF09CB" w:rsidR="00EC12E5" w:rsidP="0019462A" w:rsidRDefault="00EC12E5" w14:paraId="39F6841E" w14:textId="77777777">
      <w:pPr>
        <w:tabs>
          <w:tab w:val="left" w:pos="567"/>
        </w:tabs>
        <w:spacing w:line="360" w:lineRule="auto"/>
        <w:jc w:val="both"/>
        <w:rPr>
          <w:rFonts w:ascii="Palatino Linotype" w:hAnsi="Palatino Linotype" w:cs="Tahoma"/>
          <w:sz w:val="22"/>
          <w:szCs w:val="22"/>
          <w:lang w:eastAsia="es-ES"/>
        </w:rPr>
      </w:pPr>
      <w:r w:rsidRPr="00CF09CB">
        <w:rPr>
          <w:rFonts w:ascii="Palatino Linotype" w:hAnsi="Palatino Linotype" w:cs="Tahoma"/>
          <w:sz w:val="22"/>
          <w:szCs w:val="22"/>
          <w:lang w:val="es-ES_tradnl" w:eastAsia="es-ES"/>
        </w:rPr>
        <w:t xml:space="preserve">Cabe señalar que el sistema de solicitudes de acceso a la información de la Plataforma Nacional de Transparencia (PNT), se encuentra vinculado al Sistema de Acceso a la Información Mexiquense (SAIMEX), por lo que, se tiene como modalidad de recibir notificaciones, así como, para entrega de la información </w:t>
      </w:r>
      <w:r w:rsidRPr="00CF09CB">
        <w:rPr>
          <w:rFonts w:ascii="Palatino Linotype" w:hAnsi="Palatino Linotype" w:cs="Tahoma"/>
          <w:i/>
          <w:sz w:val="22"/>
          <w:szCs w:val="22"/>
          <w:lang w:val="es-ES_tradnl" w:eastAsia="es-ES"/>
        </w:rPr>
        <w:t xml:space="preserve">“A través del SAIMEX” </w:t>
      </w:r>
      <w:r w:rsidRPr="00CF09CB">
        <w:rPr>
          <w:rFonts w:ascii="Palatino Linotype" w:hAnsi="Palatino Linotype" w:cs="Tahoma"/>
          <w:sz w:val="22"/>
          <w:szCs w:val="22"/>
          <w:lang w:val="es-ES_tradnl" w:eastAsia="es-ES"/>
        </w:rPr>
        <w:t>y el correo electrónico indicado</w:t>
      </w:r>
      <w:r w:rsidRPr="00CF09CB">
        <w:rPr>
          <w:rFonts w:ascii="Palatino Linotype" w:hAnsi="Palatino Linotype" w:cs="Tahoma"/>
          <w:i/>
          <w:sz w:val="22"/>
          <w:szCs w:val="22"/>
          <w:lang w:val="es-ES_tradnl" w:eastAsia="es-ES"/>
        </w:rPr>
        <w:t>.</w:t>
      </w:r>
    </w:p>
    <w:p w:rsidRPr="00CF09CB" w:rsidR="00EC12E5" w:rsidP="0019462A" w:rsidRDefault="00EC12E5" w14:paraId="5DC3463E" w14:textId="77777777">
      <w:pPr>
        <w:pStyle w:val="Prrafodelista"/>
        <w:tabs>
          <w:tab w:val="left" w:pos="567"/>
        </w:tabs>
        <w:spacing w:line="360" w:lineRule="auto"/>
        <w:ind w:left="0"/>
        <w:contextualSpacing w:val="0"/>
        <w:rPr>
          <w:rFonts w:cs="Tahoma"/>
          <w:szCs w:val="22"/>
        </w:rPr>
      </w:pPr>
    </w:p>
    <w:p w:rsidRPr="00CF09CB" w:rsidR="007E363C" w:rsidP="0019462A" w:rsidRDefault="007E363C" w14:paraId="6D85CAFF" w14:textId="61F3A192">
      <w:pPr>
        <w:pStyle w:val="Prrafodelista"/>
        <w:tabs>
          <w:tab w:val="left" w:pos="567"/>
        </w:tabs>
        <w:spacing w:line="360" w:lineRule="auto"/>
        <w:ind w:left="0"/>
        <w:contextualSpacing w:val="0"/>
        <w:rPr>
          <w:rFonts w:cs="Tahoma"/>
          <w:b/>
          <w:szCs w:val="22"/>
        </w:rPr>
      </w:pPr>
      <w:r w:rsidRPr="00CF09CB">
        <w:rPr>
          <w:rFonts w:cs="Tahoma"/>
          <w:b/>
          <w:szCs w:val="22"/>
        </w:rPr>
        <w:t>II. Respuesta del Sujeto Obligado.</w:t>
      </w:r>
    </w:p>
    <w:p w:rsidRPr="00CF09CB" w:rsidR="007E363C" w:rsidP="0019462A" w:rsidRDefault="007E363C" w14:paraId="40C99A1D" w14:textId="77777777">
      <w:pPr>
        <w:pStyle w:val="Prrafodelista"/>
        <w:tabs>
          <w:tab w:val="left" w:pos="567"/>
        </w:tabs>
        <w:spacing w:line="360" w:lineRule="auto"/>
        <w:ind w:left="0"/>
        <w:contextualSpacing w:val="0"/>
        <w:rPr>
          <w:rFonts w:eastAsia="Calibri" w:cs="Tahoma"/>
          <w:b/>
          <w:szCs w:val="22"/>
          <w:lang w:eastAsia="en-US"/>
        </w:rPr>
      </w:pPr>
    </w:p>
    <w:p w:rsidRPr="00CF09CB" w:rsidR="001A2CB1" w:rsidP="0019462A" w:rsidRDefault="007E363C" w14:paraId="41465E73" w14:textId="3BA4A862">
      <w:pPr>
        <w:autoSpaceDE w:val="0"/>
        <w:autoSpaceDN w:val="0"/>
        <w:adjustRightInd w:val="0"/>
        <w:spacing w:line="360" w:lineRule="auto"/>
        <w:jc w:val="both"/>
        <w:rPr>
          <w:rFonts w:ascii="Palatino Linotype" w:hAnsi="Palatino Linotype" w:cs="Tahoma"/>
          <w:sz w:val="22"/>
          <w:szCs w:val="22"/>
        </w:rPr>
      </w:pPr>
      <w:r w:rsidRPr="00CF09CB">
        <w:rPr>
          <w:rFonts w:ascii="Palatino Linotype" w:hAnsi="Palatino Linotype" w:cs="Tahoma"/>
          <w:sz w:val="22"/>
          <w:szCs w:val="22"/>
        </w:rPr>
        <w:t>Con fecha</w:t>
      </w:r>
      <w:r w:rsidRPr="00CF09CB" w:rsidR="00CF4850">
        <w:rPr>
          <w:rFonts w:ascii="Palatino Linotype" w:hAnsi="Palatino Linotype" w:cs="Tahoma"/>
          <w:sz w:val="22"/>
          <w:szCs w:val="22"/>
        </w:rPr>
        <w:t xml:space="preserve"> </w:t>
      </w:r>
      <w:r w:rsidRPr="00CF09CB" w:rsidR="00966ED6">
        <w:rPr>
          <w:rFonts w:ascii="Palatino Linotype" w:hAnsi="Palatino Linotype" w:cs="Tahoma"/>
          <w:sz w:val="22"/>
          <w:szCs w:val="22"/>
        </w:rPr>
        <w:t>catorce</w:t>
      </w:r>
      <w:r w:rsidRPr="00CF09CB" w:rsidR="00CF4850">
        <w:rPr>
          <w:rFonts w:ascii="Palatino Linotype" w:hAnsi="Palatino Linotype" w:cs="Tahoma"/>
          <w:sz w:val="22"/>
          <w:szCs w:val="22"/>
        </w:rPr>
        <w:t xml:space="preserve"> de febrero de dos mil veintidós, </w:t>
      </w:r>
      <w:r w:rsidRPr="00CF09CB" w:rsidR="00966ED6">
        <w:rPr>
          <w:rFonts w:ascii="Palatino Linotype" w:hAnsi="Palatino Linotype" w:cs="Tahoma"/>
          <w:sz w:val="22"/>
          <w:szCs w:val="22"/>
        </w:rPr>
        <w:t>la</w:t>
      </w:r>
      <w:r w:rsidRPr="00CF09CB">
        <w:rPr>
          <w:rFonts w:ascii="Palatino Linotype" w:hAnsi="Palatino Linotype" w:cs="Tahoma"/>
          <w:sz w:val="22"/>
          <w:szCs w:val="22"/>
        </w:rPr>
        <w:t xml:space="preserve"> Titular de la Unidad de Transparencia</w:t>
      </w:r>
      <w:r w:rsidRPr="00CF09CB" w:rsidR="00F21B7E">
        <w:rPr>
          <w:rFonts w:ascii="Palatino Linotype" w:hAnsi="Palatino Linotype" w:cs="Tahoma"/>
          <w:sz w:val="22"/>
          <w:szCs w:val="22"/>
        </w:rPr>
        <w:t xml:space="preserve"> del</w:t>
      </w:r>
      <w:r w:rsidRPr="00CF09CB" w:rsidR="00F21B7E">
        <w:rPr>
          <w:rFonts w:ascii="Palatino Linotype" w:hAnsi="Palatino Linotype" w:eastAsia="Calibri" w:cs="Tahoma"/>
          <w:sz w:val="22"/>
          <w:szCs w:val="22"/>
          <w:lang w:eastAsia="en-US"/>
        </w:rPr>
        <w:t xml:space="preserve"> </w:t>
      </w:r>
      <w:r w:rsidRPr="00CF09CB" w:rsidR="00BC2952">
        <w:rPr>
          <w:rFonts w:ascii="Palatino Linotype" w:hAnsi="Palatino Linotype" w:cs="Tahoma"/>
          <w:sz w:val="22"/>
          <w:szCs w:val="22"/>
        </w:rPr>
        <w:t xml:space="preserve">Ayuntamiento de </w:t>
      </w:r>
      <w:r w:rsidRPr="00CF09CB" w:rsidR="00966ED6">
        <w:rPr>
          <w:rFonts w:ascii="Palatino Linotype" w:hAnsi="Palatino Linotype" w:cs="Tahoma"/>
          <w:sz w:val="22"/>
          <w:szCs w:val="22"/>
        </w:rPr>
        <w:t>Nezahualcóyotl, notifico al Solicitante, la respuesta a su solicitud</w:t>
      </w:r>
      <w:r w:rsidRPr="00CF09CB">
        <w:rPr>
          <w:rFonts w:ascii="Palatino Linotype" w:hAnsi="Palatino Linotype" w:cs="Tahoma"/>
          <w:sz w:val="22"/>
          <w:szCs w:val="22"/>
        </w:rPr>
        <w:t xml:space="preserve"> de información, mediante el Sistema de Acceso a la Información Mexiquense (SAIMEX), </w:t>
      </w:r>
      <w:r w:rsidRPr="00CF09CB" w:rsidR="00EC12E5">
        <w:rPr>
          <w:rFonts w:ascii="Palatino Linotype" w:hAnsi="Palatino Linotype" w:cs="Tahoma"/>
          <w:sz w:val="22"/>
          <w:szCs w:val="22"/>
        </w:rPr>
        <w:t xml:space="preserve">por medio del oficio </w:t>
      </w:r>
      <w:r w:rsidRPr="00CF09CB" w:rsidR="00680E80">
        <w:rPr>
          <w:rFonts w:ascii="Palatino Linotype" w:hAnsi="Palatino Linotype" w:cs="Tahoma"/>
          <w:sz w:val="22"/>
          <w:szCs w:val="22"/>
        </w:rPr>
        <w:t xml:space="preserve">número </w:t>
      </w:r>
      <w:r w:rsidRPr="00CF09CB" w:rsidR="00691BEF">
        <w:rPr>
          <w:rFonts w:ascii="Palatino Linotype" w:hAnsi="Palatino Linotype" w:cs="Tahoma"/>
          <w:sz w:val="22"/>
          <w:szCs w:val="22"/>
        </w:rPr>
        <w:t>HA/TM/SJ/789/2022</w:t>
      </w:r>
      <w:r w:rsidRPr="00CF09CB" w:rsidR="00413B05">
        <w:rPr>
          <w:rFonts w:ascii="Palatino Linotype" w:hAnsi="Palatino Linotype" w:cs="Tahoma"/>
          <w:sz w:val="22"/>
          <w:szCs w:val="22"/>
        </w:rPr>
        <w:t xml:space="preserve">, del </w:t>
      </w:r>
      <w:r w:rsidRPr="00CF09CB" w:rsidR="00691BEF">
        <w:rPr>
          <w:rFonts w:ascii="Palatino Linotype" w:hAnsi="Palatino Linotype" w:cs="Tahoma"/>
          <w:sz w:val="22"/>
          <w:szCs w:val="22"/>
        </w:rPr>
        <w:t>once</w:t>
      </w:r>
      <w:r w:rsidRPr="00CF09CB" w:rsidR="00D335A7">
        <w:rPr>
          <w:rFonts w:ascii="Palatino Linotype" w:hAnsi="Palatino Linotype" w:cs="Tahoma"/>
          <w:sz w:val="22"/>
          <w:szCs w:val="22"/>
        </w:rPr>
        <w:t xml:space="preserve"> de febrero de dos mil veintidós, suscrito por l</w:t>
      </w:r>
      <w:r w:rsidRPr="00CF09CB" w:rsidR="00413B05">
        <w:rPr>
          <w:rFonts w:ascii="Palatino Linotype" w:hAnsi="Palatino Linotype" w:cs="Tahoma"/>
          <w:sz w:val="22"/>
          <w:szCs w:val="22"/>
        </w:rPr>
        <w:t xml:space="preserve">a </w:t>
      </w:r>
      <w:r w:rsidRPr="00CF09CB" w:rsidR="00691BEF">
        <w:rPr>
          <w:rFonts w:ascii="Palatino Linotype" w:hAnsi="Palatino Linotype" w:cs="Tahoma"/>
          <w:sz w:val="22"/>
          <w:szCs w:val="22"/>
        </w:rPr>
        <w:t>Tesorera Municipal</w:t>
      </w:r>
      <w:r w:rsidRPr="00CF09CB" w:rsidR="00413B05">
        <w:rPr>
          <w:rFonts w:ascii="Palatino Linotype" w:hAnsi="Palatino Linotype" w:cs="Tahoma"/>
          <w:sz w:val="22"/>
          <w:szCs w:val="22"/>
        </w:rPr>
        <w:t xml:space="preserve"> y</w:t>
      </w:r>
      <w:r w:rsidRPr="00CF09CB" w:rsidR="00D335A7">
        <w:rPr>
          <w:rFonts w:ascii="Palatino Linotype" w:hAnsi="Palatino Linotype" w:cs="Tahoma"/>
          <w:sz w:val="22"/>
          <w:szCs w:val="22"/>
        </w:rPr>
        <w:t xml:space="preserve"> dirigido a la Titular de la Unidad de Transparencia por medio del cual </w:t>
      </w:r>
      <w:r w:rsidRPr="00CF09CB" w:rsidR="00691BEF">
        <w:rPr>
          <w:rFonts w:ascii="Palatino Linotype" w:hAnsi="Palatino Linotype" w:cs="Tahoma"/>
          <w:sz w:val="22"/>
          <w:szCs w:val="22"/>
        </w:rPr>
        <w:t>precisa lo siguiente:</w:t>
      </w:r>
    </w:p>
    <w:p w:rsidRPr="00CF09CB" w:rsidR="00EC12E5" w:rsidP="0019462A" w:rsidRDefault="00EC12E5" w14:paraId="36DC9AE2" w14:textId="77777777">
      <w:pPr>
        <w:autoSpaceDE w:val="0"/>
        <w:autoSpaceDN w:val="0"/>
        <w:adjustRightInd w:val="0"/>
        <w:spacing w:line="360" w:lineRule="auto"/>
        <w:jc w:val="both"/>
        <w:rPr>
          <w:rFonts w:ascii="Palatino Linotype" w:hAnsi="Palatino Linotype" w:cs="Tahoma"/>
          <w:i/>
          <w:iCs/>
          <w:sz w:val="20"/>
          <w:szCs w:val="20"/>
        </w:rPr>
      </w:pPr>
    </w:p>
    <w:p w:rsidRPr="00CF09CB" w:rsidR="00FF0A29" w:rsidP="0019462A" w:rsidRDefault="00691BEF" w14:paraId="506B0D0C" w14:textId="076F840F">
      <w:pPr>
        <w:autoSpaceDE w:val="0"/>
        <w:autoSpaceDN w:val="0"/>
        <w:adjustRightInd w:val="0"/>
        <w:spacing w:line="360" w:lineRule="auto"/>
        <w:ind w:left="567" w:right="539"/>
        <w:jc w:val="both"/>
        <w:rPr>
          <w:rFonts w:ascii="Palatino Linotype" w:hAnsi="Palatino Linotype" w:cs="Tahoma"/>
          <w:i/>
          <w:sz w:val="20"/>
          <w:szCs w:val="22"/>
        </w:rPr>
      </w:pPr>
      <w:r w:rsidRPr="00CF09CB">
        <w:rPr>
          <w:rFonts w:ascii="Palatino Linotype" w:hAnsi="Palatino Linotype" w:cs="Tahoma"/>
          <w:i/>
          <w:sz w:val="20"/>
          <w:szCs w:val="22"/>
        </w:rPr>
        <w:t>“…</w:t>
      </w:r>
    </w:p>
    <w:p w:rsidRPr="00CF09CB" w:rsidR="00691BEF" w:rsidP="0019462A" w:rsidRDefault="00691BEF" w14:paraId="5C29F4B6" w14:textId="27028189">
      <w:pPr>
        <w:autoSpaceDE w:val="0"/>
        <w:autoSpaceDN w:val="0"/>
        <w:adjustRightInd w:val="0"/>
        <w:spacing w:line="360" w:lineRule="auto"/>
        <w:ind w:left="567" w:right="539"/>
        <w:jc w:val="both"/>
        <w:rPr>
          <w:rFonts w:ascii="Palatino Linotype" w:hAnsi="Palatino Linotype" w:cs="Tahoma"/>
          <w:i/>
          <w:sz w:val="20"/>
          <w:szCs w:val="22"/>
        </w:rPr>
      </w:pPr>
      <w:r w:rsidRPr="00CF09CB">
        <w:rPr>
          <w:rFonts w:ascii="Palatino Linotype" w:hAnsi="Palatino Linotype" w:cs="Tahoma"/>
          <w:i/>
          <w:sz w:val="20"/>
          <w:szCs w:val="22"/>
        </w:rPr>
        <w:t>…el subdirector de Contabilidad General y Presupuesto, informó lo siguiente:</w:t>
      </w:r>
    </w:p>
    <w:p w:rsidRPr="00CF09CB" w:rsidR="00DF462B" w:rsidP="0019462A" w:rsidRDefault="00DF462B" w14:paraId="26303159" w14:textId="77777777">
      <w:pPr>
        <w:autoSpaceDE w:val="0"/>
        <w:autoSpaceDN w:val="0"/>
        <w:adjustRightInd w:val="0"/>
        <w:spacing w:line="360" w:lineRule="auto"/>
        <w:ind w:left="567" w:right="539"/>
        <w:jc w:val="both"/>
        <w:rPr>
          <w:rFonts w:ascii="Palatino Linotype" w:hAnsi="Palatino Linotype" w:cs="Tahoma"/>
          <w:i/>
          <w:sz w:val="20"/>
          <w:szCs w:val="22"/>
        </w:rPr>
      </w:pPr>
    </w:p>
    <w:p w:rsidRPr="00CF09CB" w:rsidR="00691BEF" w:rsidP="0019462A" w:rsidRDefault="00691BEF" w14:paraId="22F4BD1D" w14:textId="68AC8111">
      <w:pPr>
        <w:autoSpaceDE w:val="0"/>
        <w:autoSpaceDN w:val="0"/>
        <w:adjustRightInd w:val="0"/>
        <w:spacing w:line="360" w:lineRule="auto"/>
        <w:ind w:left="567" w:right="539"/>
        <w:jc w:val="both"/>
        <w:rPr>
          <w:rFonts w:ascii="Palatino Linotype" w:hAnsi="Palatino Linotype" w:cs="Tahoma"/>
          <w:i/>
          <w:sz w:val="20"/>
          <w:szCs w:val="22"/>
        </w:rPr>
      </w:pPr>
      <w:r w:rsidRPr="00CF09CB">
        <w:rPr>
          <w:rFonts w:ascii="Palatino Linotype" w:hAnsi="Palatino Linotype" w:cs="Tahoma"/>
          <w:i/>
          <w:sz w:val="20"/>
          <w:szCs w:val="22"/>
        </w:rPr>
        <w:t>Al respecto informo a usted que dicha información ya fue enviada al Órgano Superior de fiscalización del Estado de México (OSFEM).</w:t>
      </w:r>
    </w:p>
    <w:p w:rsidRPr="00CF09CB" w:rsidR="00691BEF" w:rsidP="0019462A" w:rsidRDefault="00691BEF" w14:paraId="27ADF0FA" w14:textId="47B14D9E">
      <w:pPr>
        <w:autoSpaceDE w:val="0"/>
        <w:autoSpaceDN w:val="0"/>
        <w:adjustRightInd w:val="0"/>
        <w:spacing w:line="360" w:lineRule="auto"/>
        <w:jc w:val="both"/>
        <w:rPr>
          <w:rFonts w:ascii="Palatino Linotype" w:hAnsi="Palatino Linotype"/>
          <w:noProof/>
        </w:rPr>
      </w:pPr>
      <w:r w:rsidRPr="00CF09CB">
        <w:rPr>
          <w:rFonts w:ascii="Palatino Linotype" w:hAnsi="Palatino Linotype"/>
          <w:noProof/>
        </w:rPr>
        <w:t xml:space="preserve"> </w:t>
      </w:r>
    </w:p>
    <w:p w:rsidRPr="00CF09CB" w:rsidR="008F48B3" w:rsidP="0019462A" w:rsidRDefault="00691BEF" w14:paraId="4F6EEBEC" w14:textId="57027711">
      <w:pPr>
        <w:autoSpaceDE w:val="0"/>
        <w:autoSpaceDN w:val="0"/>
        <w:adjustRightInd w:val="0"/>
        <w:spacing w:line="360" w:lineRule="auto"/>
        <w:jc w:val="center"/>
        <w:rPr>
          <w:rFonts w:ascii="Palatino Linotype" w:hAnsi="Palatino Linotype" w:cs="Tahoma"/>
          <w:sz w:val="22"/>
          <w:szCs w:val="22"/>
        </w:rPr>
      </w:pPr>
      <w:r w:rsidRPr="00CF09CB">
        <w:rPr>
          <w:rFonts w:ascii="Palatino Linotype" w:hAnsi="Palatino Linotype"/>
          <w:noProof/>
        </w:rPr>
        <w:lastRenderedPageBreak/>
        <w:drawing>
          <wp:inline distT="0" distB="0" distL="0" distR="0" wp14:anchorId="6EA99161" wp14:editId="305F00E0">
            <wp:extent cx="4121543" cy="73147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360" t="40343" r="23084" b="44440"/>
                    <a:stretch/>
                  </pic:blipFill>
                  <pic:spPr bwMode="auto">
                    <a:xfrm>
                      <a:off x="0" y="0"/>
                      <a:ext cx="4136272" cy="734086"/>
                    </a:xfrm>
                    <a:prstGeom prst="rect">
                      <a:avLst/>
                    </a:prstGeom>
                    <a:ln>
                      <a:noFill/>
                    </a:ln>
                    <a:extLst>
                      <a:ext uri="{53640926-AAD7-44D8-BBD7-CCE9431645EC}">
                        <a14:shadowObscured xmlns:a14="http://schemas.microsoft.com/office/drawing/2010/main"/>
                      </a:ext>
                    </a:extLst>
                  </pic:spPr>
                </pic:pic>
              </a:graphicData>
            </a:graphic>
          </wp:inline>
        </w:drawing>
      </w:r>
    </w:p>
    <w:p w:rsidRPr="00CF09CB" w:rsidR="00DF462B" w:rsidP="0019462A" w:rsidRDefault="00DF462B" w14:paraId="73A3AAB5" w14:textId="77777777">
      <w:pPr>
        <w:autoSpaceDE w:val="0"/>
        <w:autoSpaceDN w:val="0"/>
        <w:adjustRightInd w:val="0"/>
        <w:spacing w:line="360" w:lineRule="auto"/>
        <w:ind w:left="567" w:right="539"/>
        <w:jc w:val="both"/>
        <w:rPr>
          <w:rFonts w:ascii="Palatino Linotype" w:hAnsi="Palatino Linotype" w:cs="Tahoma"/>
          <w:i/>
          <w:sz w:val="20"/>
          <w:szCs w:val="22"/>
        </w:rPr>
      </w:pPr>
    </w:p>
    <w:p w:rsidRPr="00CF09CB" w:rsidR="00DF462B" w:rsidP="0019462A" w:rsidRDefault="00691BEF" w14:paraId="633347D1" w14:textId="77777777">
      <w:pPr>
        <w:autoSpaceDE w:val="0"/>
        <w:autoSpaceDN w:val="0"/>
        <w:adjustRightInd w:val="0"/>
        <w:spacing w:line="360" w:lineRule="auto"/>
        <w:ind w:left="567" w:right="539"/>
        <w:jc w:val="both"/>
        <w:rPr>
          <w:rFonts w:ascii="Palatino Linotype" w:hAnsi="Palatino Linotype" w:cs="Tahoma"/>
          <w:i/>
          <w:sz w:val="20"/>
          <w:szCs w:val="22"/>
        </w:rPr>
      </w:pPr>
      <w:r w:rsidRPr="00CF09CB">
        <w:rPr>
          <w:rFonts w:ascii="Palatino Linotype" w:hAnsi="Palatino Linotype" w:cs="Tahoma"/>
          <w:i/>
          <w:sz w:val="20"/>
          <w:szCs w:val="22"/>
        </w:rPr>
        <w:t>De los cuales anexo copia simple señalando que en términos de los lineamientos que emite el Órgano Superior de Fiscalización, la integración de la información del Disco 4 es preparado a efecto de que este Órgano realice las funciones de fiscalización que tiene asignadas, dado lo anterior y toda vez que es información en uso y perteneciente al OSFEM, se debe solicitar ante dicha autoridad.</w:t>
      </w:r>
    </w:p>
    <w:p w:rsidRPr="00CF09CB" w:rsidR="0076106D" w:rsidP="0019462A" w:rsidRDefault="00DF462B" w14:paraId="5A43C482" w14:textId="57FB699B">
      <w:pPr>
        <w:autoSpaceDE w:val="0"/>
        <w:autoSpaceDN w:val="0"/>
        <w:adjustRightInd w:val="0"/>
        <w:spacing w:line="360" w:lineRule="auto"/>
        <w:ind w:left="567" w:right="539"/>
        <w:jc w:val="both"/>
        <w:rPr>
          <w:rFonts w:ascii="Palatino Linotype" w:hAnsi="Palatino Linotype" w:cs="Tahoma"/>
          <w:i/>
          <w:sz w:val="20"/>
          <w:szCs w:val="22"/>
        </w:rPr>
      </w:pPr>
      <w:r w:rsidRPr="00CF09CB">
        <w:rPr>
          <w:rFonts w:ascii="Palatino Linotype" w:hAnsi="Palatino Linotype" w:cs="Tahoma"/>
          <w:i/>
          <w:sz w:val="20"/>
          <w:szCs w:val="22"/>
        </w:rPr>
        <w:t>…</w:t>
      </w:r>
      <w:r w:rsidRPr="00CF09CB" w:rsidR="00025A17">
        <w:rPr>
          <w:rFonts w:ascii="Palatino Linotype" w:hAnsi="Palatino Linotype" w:cs="Tahoma"/>
          <w:i/>
          <w:sz w:val="20"/>
          <w:szCs w:val="22"/>
        </w:rPr>
        <w:t>”</w:t>
      </w:r>
    </w:p>
    <w:p w:rsidRPr="00CF09CB" w:rsidR="00691BEF" w:rsidP="0019462A" w:rsidRDefault="00691BEF" w14:paraId="3A2866B7" w14:textId="77777777">
      <w:pPr>
        <w:autoSpaceDE w:val="0"/>
        <w:autoSpaceDN w:val="0"/>
        <w:adjustRightInd w:val="0"/>
        <w:spacing w:line="360" w:lineRule="auto"/>
        <w:jc w:val="both"/>
        <w:rPr>
          <w:rFonts w:ascii="Palatino Linotype" w:hAnsi="Palatino Linotype" w:cs="Tahoma"/>
          <w:sz w:val="22"/>
          <w:szCs w:val="22"/>
        </w:rPr>
      </w:pPr>
    </w:p>
    <w:p w:rsidRPr="00CF09CB" w:rsidR="007E363C" w:rsidP="0019462A" w:rsidRDefault="007E363C" w14:paraId="22B4E5C2" w14:textId="65428E19">
      <w:pPr>
        <w:autoSpaceDE w:val="0"/>
        <w:autoSpaceDN w:val="0"/>
        <w:adjustRightInd w:val="0"/>
        <w:spacing w:line="360" w:lineRule="auto"/>
        <w:jc w:val="both"/>
        <w:rPr>
          <w:rFonts w:ascii="Palatino Linotype" w:hAnsi="Palatino Linotype" w:cs="Tahoma"/>
          <w:b/>
          <w:sz w:val="22"/>
          <w:szCs w:val="22"/>
        </w:rPr>
      </w:pPr>
      <w:r w:rsidRPr="00CF09CB">
        <w:rPr>
          <w:rFonts w:ascii="Palatino Linotype" w:hAnsi="Palatino Linotype" w:cs="Tahoma"/>
          <w:b/>
          <w:sz w:val="22"/>
        </w:rPr>
        <w:t>III</w:t>
      </w:r>
      <w:r w:rsidRPr="00CF09CB" w:rsidR="00691BEF">
        <w:rPr>
          <w:rFonts w:ascii="Palatino Linotype" w:hAnsi="Palatino Linotype" w:cs="Tahoma"/>
          <w:b/>
          <w:sz w:val="22"/>
          <w:szCs w:val="22"/>
        </w:rPr>
        <w:t>. Interposición del</w:t>
      </w:r>
      <w:r w:rsidRPr="00CF09CB" w:rsidR="002C4442">
        <w:rPr>
          <w:rFonts w:ascii="Palatino Linotype" w:hAnsi="Palatino Linotype" w:cs="Tahoma"/>
          <w:b/>
          <w:sz w:val="22"/>
          <w:szCs w:val="22"/>
        </w:rPr>
        <w:t xml:space="preserve"> Recurso</w:t>
      </w:r>
      <w:r w:rsidRPr="00CF09CB">
        <w:rPr>
          <w:rFonts w:ascii="Palatino Linotype" w:hAnsi="Palatino Linotype" w:cs="Tahoma"/>
          <w:b/>
          <w:sz w:val="22"/>
          <w:szCs w:val="22"/>
        </w:rPr>
        <w:t xml:space="preserve"> de Revisión. </w:t>
      </w:r>
    </w:p>
    <w:p w:rsidRPr="00CF09CB" w:rsidR="008F48B3" w:rsidP="0019462A" w:rsidRDefault="008F48B3" w14:paraId="71E2C109" w14:textId="77777777">
      <w:pPr>
        <w:autoSpaceDE w:val="0"/>
        <w:autoSpaceDN w:val="0"/>
        <w:adjustRightInd w:val="0"/>
        <w:spacing w:line="360" w:lineRule="auto"/>
        <w:jc w:val="both"/>
        <w:rPr>
          <w:rFonts w:ascii="Palatino Linotype" w:hAnsi="Palatino Linotype" w:cs="Tahoma"/>
          <w:b/>
          <w:sz w:val="22"/>
          <w:szCs w:val="22"/>
        </w:rPr>
      </w:pPr>
    </w:p>
    <w:p w:rsidRPr="00CF09CB" w:rsidR="00DF462B" w:rsidP="0019462A" w:rsidRDefault="00DF462B" w14:paraId="716D9BE6" w14:textId="67B991A1">
      <w:pPr>
        <w:spacing w:line="360" w:lineRule="auto"/>
        <w:jc w:val="both"/>
        <w:rPr>
          <w:rFonts w:ascii="Palatino Linotype" w:hAnsi="Palatino Linotype" w:eastAsia="Calibri"/>
          <w:color w:val="000000" w:themeColor="text1"/>
          <w:sz w:val="22"/>
          <w:szCs w:val="22"/>
          <w:lang w:eastAsia="en-US"/>
        </w:rPr>
      </w:pPr>
      <w:r w:rsidRPr="00CF09CB">
        <w:rPr>
          <w:rFonts w:ascii="Palatino Linotype" w:hAnsi="Palatino Linotype" w:cs="Tahoma"/>
          <w:sz w:val="22"/>
          <w:szCs w:val="22"/>
          <w:lang w:eastAsia="es-ES"/>
        </w:rPr>
        <w:t xml:space="preserve">Con fecha siete de marzo de dos mil veintidós, </w:t>
      </w:r>
      <w:r w:rsidRPr="00CF09CB">
        <w:rPr>
          <w:rFonts w:ascii="Palatino Linotype" w:hAnsi="Palatino Linotype" w:eastAsia="Calibri"/>
          <w:color w:val="000000" w:themeColor="text1"/>
          <w:sz w:val="22"/>
          <w:szCs w:val="22"/>
          <w:lang w:eastAsia="en-US"/>
        </w:rPr>
        <w:t>se tuvo por recibido en este Instituto, a través del Sistema</w:t>
      </w:r>
      <w:r w:rsidRPr="00CF09CB">
        <w:rPr>
          <w:rFonts w:ascii="Palatino Linotype" w:hAnsi="Palatino Linotype" w:eastAsia="Calibri"/>
          <w:color w:val="000000" w:themeColor="text1"/>
          <w:sz w:val="22"/>
          <w:szCs w:val="22"/>
          <w:lang w:val="es-ES" w:eastAsia="en-US"/>
        </w:rPr>
        <w:t xml:space="preserve"> de Acceso a la Información Mexiquense (SAIMEX)</w:t>
      </w:r>
      <w:r w:rsidRPr="00CF09CB">
        <w:rPr>
          <w:rFonts w:ascii="Palatino Linotype" w:hAnsi="Palatino Linotype" w:eastAsia="Calibri"/>
          <w:color w:val="000000" w:themeColor="text1"/>
          <w:sz w:val="22"/>
          <w:szCs w:val="22"/>
          <w:lang w:eastAsia="en-US"/>
        </w:rPr>
        <w:t>, el Recurso de Revisión interpuesto por la parte Recurrente</w:t>
      </w:r>
      <w:r w:rsidRPr="00CF09CB">
        <w:rPr>
          <w:rFonts w:ascii="Palatino Linotype" w:hAnsi="Palatino Linotype" w:eastAsia="Batang" w:cs="Tahoma"/>
          <w:sz w:val="22"/>
          <w:szCs w:val="22"/>
          <w:lang w:val="es-ES" w:eastAsia="es-ES"/>
        </w:rPr>
        <w:t xml:space="preserve">, </w:t>
      </w:r>
      <w:r w:rsidRPr="00CF09CB">
        <w:rPr>
          <w:rFonts w:ascii="Palatino Linotype" w:hAnsi="Palatino Linotype" w:eastAsia="Calibri"/>
          <w:color w:val="000000" w:themeColor="text1"/>
          <w:sz w:val="22"/>
          <w:szCs w:val="22"/>
          <w:lang w:eastAsia="en-US"/>
        </w:rPr>
        <w:t xml:space="preserve">en contra de la respuesta del Sujeto Obligado, </w:t>
      </w:r>
      <w:r w:rsidRPr="00CF09CB">
        <w:rPr>
          <w:rFonts w:ascii="Palatino Linotype" w:hAnsi="Palatino Linotype" w:eastAsia="Calibri"/>
          <w:b/>
          <w:color w:val="000000" w:themeColor="text1"/>
          <w:sz w:val="22"/>
          <w:szCs w:val="22"/>
          <w:lang w:eastAsia="en-US"/>
        </w:rPr>
        <w:t>ya que si bien, se registró el seis de dicho mes y año, lo cierto es</w:t>
      </w:r>
      <w:r w:rsidRPr="00CF09CB">
        <w:rPr>
          <w:rFonts w:ascii="Palatino Linotype" w:hAnsi="Palatino Linotype" w:eastAsia="Calibri"/>
          <w:b/>
          <w:color w:val="000000" w:themeColor="text1"/>
          <w:sz w:val="22"/>
          <w:szCs w:val="22"/>
          <w:lang w:val="es-ES" w:eastAsia="en-US"/>
        </w:rPr>
        <w:t xml:space="preserve"> q</w:t>
      </w:r>
      <w:r w:rsidRPr="00CF09CB">
        <w:rPr>
          <w:rFonts w:ascii="Palatino Linotype" w:hAnsi="Palatino Linotype" w:eastAsia="Calibri"/>
          <w:b/>
          <w:bCs/>
          <w:color w:val="000000" w:themeColor="text1"/>
          <w:sz w:val="22"/>
          <w:szCs w:val="22"/>
          <w:lang w:val="es-ES" w:eastAsia="en-US"/>
        </w:rPr>
        <w:t xml:space="preserve">ue fue inhábil, de conformidad con el artículo 3°, fracción X de la Ley de Transparencia y Acceso a la Información Pública del Estado de México y Municipios y el Calendario Oficial en Materia de Transparencia, Acceso a la Información Pública y Protección de Datos Personales del Estado de México y Municipios, así como de laborales del Instituto, para el año dos mil veintidós y enero dos mil veintitrés, por lo que, se tuvo por presentado, el día hábil subsecuente, </w:t>
      </w:r>
      <w:r w:rsidRPr="00CF09CB">
        <w:rPr>
          <w:rFonts w:ascii="Palatino Linotype" w:hAnsi="Palatino Linotype" w:eastAsia="Calibri" w:cs="Tahoma"/>
          <w:color w:val="000000" w:themeColor="text1"/>
          <w:sz w:val="22"/>
          <w:szCs w:val="22"/>
          <w:lang w:val="es-ES" w:eastAsia="en-US"/>
        </w:rPr>
        <w:t xml:space="preserve">en los siguientes términos: </w:t>
      </w:r>
    </w:p>
    <w:p w:rsidRPr="00CF09CB" w:rsidR="008F48B3" w:rsidP="0019462A" w:rsidRDefault="008F48B3" w14:paraId="231465C4" w14:textId="77777777">
      <w:pPr>
        <w:autoSpaceDE w:val="0"/>
        <w:autoSpaceDN w:val="0"/>
        <w:adjustRightInd w:val="0"/>
        <w:spacing w:line="360" w:lineRule="auto"/>
        <w:jc w:val="both"/>
        <w:rPr>
          <w:rFonts w:ascii="Palatino Linotype" w:hAnsi="Palatino Linotype" w:cs="Tahoma"/>
          <w:bCs/>
          <w:sz w:val="22"/>
          <w:szCs w:val="22"/>
        </w:rPr>
      </w:pPr>
    </w:p>
    <w:p w:rsidRPr="00CF09CB" w:rsidR="005A4EDE" w:rsidP="0019462A" w:rsidRDefault="005A4EDE" w14:paraId="67BAFD56" w14:textId="77777777">
      <w:pPr>
        <w:spacing w:line="360" w:lineRule="auto"/>
        <w:ind w:left="567" w:right="567"/>
        <w:jc w:val="both"/>
        <w:rPr>
          <w:rFonts w:ascii="Palatino Linotype" w:hAnsi="Palatino Linotype" w:cs="Tahoma"/>
          <w:b/>
          <w:bCs/>
          <w:i/>
          <w:sz w:val="20"/>
          <w:szCs w:val="20"/>
          <w:lang w:eastAsia="es-ES"/>
        </w:rPr>
      </w:pPr>
      <w:r w:rsidRPr="00CF09CB">
        <w:rPr>
          <w:rFonts w:ascii="Palatino Linotype" w:hAnsi="Palatino Linotype" w:cs="Tahoma"/>
          <w:b/>
          <w:bCs/>
          <w:i/>
          <w:sz w:val="20"/>
          <w:szCs w:val="20"/>
          <w:lang w:eastAsia="es-ES"/>
        </w:rPr>
        <w:t>“ACTO IMPUGNADO</w:t>
      </w:r>
    </w:p>
    <w:p w:rsidRPr="00CF09CB" w:rsidR="005A4EDE" w:rsidP="0019462A" w:rsidRDefault="002C4442" w14:paraId="0B95B3B9" w14:textId="690197E9">
      <w:pPr>
        <w:spacing w:line="360" w:lineRule="auto"/>
        <w:ind w:left="567" w:right="567"/>
        <w:jc w:val="both"/>
        <w:rPr>
          <w:rFonts w:ascii="Palatino Linotype" w:hAnsi="Palatino Linotype" w:cs="Tahoma"/>
          <w:bCs/>
          <w:i/>
          <w:sz w:val="20"/>
          <w:szCs w:val="20"/>
          <w:lang w:eastAsia="es-ES"/>
        </w:rPr>
      </w:pPr>
      <w:r w:rsidRPr="00CF09CB">
        <w:rPr>
          <w:rFonts w:ascii="Palatino Linotype" w:hAnsi="Palatino Linotype" w:cs="Tahoma"/>
          <w:bCs/>
          <w:i/>
          <w:sz w:val="20"/>
          <w:szCs w:val="20"/>
          <w:lang w:eastAsia="es-ES"/>
        </w:rPr>
        <w:t>La información solicitada debe permanecer en la dependencia, toda vez que corresponde a una comprobación de egreso.</w:t>
      </w:r>
      <w:r w:rsidRPr="00CF09CB" w:rsidR="005A4EDE">
        <w:rPr>
          <w:rFonts w:ascii="Palatino Linotype" w:hAnsi="Palatino Linotype" w:cs="Tahoma"/>
          <w:bCs/>
          <w:i/>
          <w:sz w:val="20"/>
          <w:szCs w:val="20"/>
          <w:lang w:eastAsia="es-ES"/>
        </w:rPr>
        <w:t>” (Sic.)</w:t>
      </w:r>
    </w:p>
    <w:p w:rsidRPr="00CF09CB" w:rsidR="005A4EDE" w:rsidP="0019462A" w:rsidRDefault="005A4EDE" w14:paraId="091C6DC4" w14:textId="77777777">
      <w:pPr>
        <w:spacing w:line="360" w:lineRule="auto"/>
        <w:ind w:left="567" w:right="567"/>
        <w:jc w:val="both"/>
        <w:rPr>
          <w:rFonts w:ascii="Palatino Linotype" w:hAnsi="Palatino Linotype" w:cs="Tahoma"/>
          <w:bCs/>
          <w:i/>
          <w:sz w:val="20"/>
          <w:szCs w:val="20"/>
          <w:lang w:eastAsia="es-ES"/>
        </w:rPr>
      </w:pPr>
    </w:p>
    <w:p w:rsidRPr="00CF09CB" w:rsidR="007E363C" w:rsidP="0019462A" w:rsidRDefault="007E363C" w14:paraId="01D042E7" w14:textId="5514CA05">
      <w:pPr>
        <w:spacing w:line="360" w:lineRule="auto"/>
        <w:jc w:val="both"/>
        <w:rPr>
          <w:rFonts w:ascii="Palatino Linotype" w:hAnsi="Palatino Linotype" w:eastAsia="Batang" w:cs="Tahoma"/>
          <w:b/>
          <w:bCs/>
          <w:sz w:val="22"/>
          <w:szCs w:val="22"/>
        </w:rPr>
      </w:pPr>
      <w:r w:rsidRPr="00CF09CB">
        <w:rPr>
          <w:rFonts w:ascii="Palatino Linotype" w:hAnsi="Palatino Linotype" w:cs="Tahoma"/>
          <w:b/>
          <w:sz w:val="22"/>
          <w:szCs w:val="22"/>
        </w:rPr>
        <w:t xml:space="preserve">IV. </w:t>
      </w:r>
      <w:r w:rsidRPr="00CF09CB" w:rsidR="002C4442">
        <w:rPr>
          <w:rFonts w:ascii="Palatino Linotype" w:hAnsi="Palatino Linotype" w:eastAsia="Batang" w:cs="Tahoma"/>
          <w:b/>
          <w:bCs/>
          <w:sz w:val="22"/>
          <w:szCs w:val="22"/>
        </w:rPr>
        <w:t xml:space="preserve">Trámite del </w:t>
      </w:r>
      <w:r w:rsidRPr="00CF09CB" w:rsidR="002C4442">
        <w:rPr>
          <w:rFonts w:ascii="Palatino Linotype" w:hAnsi="Palatino Linotype" w:cs="Tahoma"/>
          <w:b/>
          <w:sz w:val="22"/>
          <w:szCs w:val="22"/>
        </w:rPr>
        <w:t>Recurso</w:t>
      </w:r>
      <w:r w:rsidRPr="00CF09CB">
        <w:rPr>
          <w:rFonts w:ascii="Palatino Linotype" w:hAnsi="Palatino Linotype" w:cs="Tahoma"/>
          <w:b/>
          <w:sz w:val="22"/>
          <w:szCs w:val="22"/>
        </w:rPr>
        <w:t xml:space="preserve"> de Revisión </w:t>
      </w:r>
      <w:r w:rsidRPr="00CF09CB">
        <w:rPr>
          <w:rFonts w:ascii="Palatino Linotype" w:hAnsi="Palatino Linotype" w:eastAsia="Batang" w:cs="Tahoma"/>
          <w:b/>
          <w:bCs/>
          <w:sz w:val="22"/>
          <w:szCs w:val="22"/>
        </w:rPr>
        <w:t>ante este Instituto.</w:t>
      </w:r>
    </w:p>
    <w:p w:rsidRPr="00CF09CB" w:rsidR="007E363C" w:rsidP="0019462A" w:rsidRDefault="002C4442" w14:paraId="6C9BB2D9" w14:textId="0749A4F1">
      <w:pPr>
        <w:spacing w:line="360" w:lineRule="auto"/>
        <w:ind w:right="-28"/>
        <w:contextualSpacing/>
        <w:jc w:val="both"/>
        <w:rPr>
          <w:rFonts w:ascii="Palatino Linotype" w:hAnsi="Palatino Linotype" w:eastAsia="Batang" w:cs="Tahoma"/>
          <w:bCs/>
          <w:sz w:val="22"/>
          <w:szCs w:val="22"/>
        </w:rPr>
      </w:pPr>
      <w:r w:rsidRPr="00CF09CB">
        <w:rPr>
          <w:rFonts w:ascii="Palatino Linotype" w:hAnsi="Palatino Linotype" w:eastAsia="Batang" w:cs="Tahoma"/>
          <w:b/>
          <w:bCs/>
          <w:sz w:val="22"/>
          <w:szCs w:val="22"/>
        </w:rPr>
        <w:lastRenderedPageBreak/>
        <w:t xml:space="preserve">a) Turno del </w:t>
      </w:r>
      <w:r w:rsidRPr="00CF09CB">
        <w:rPr>
          <w:rFonts w:ascii="Palatino Linotype" w:hAnsi="Palatino Linotype" w:cs="Tahoma"/>
          <w:b/>
          <w:sz w:val="22"/>
          <w:szCs w:val="22"/>
        </w:rPr>
        <w:t>Recurso</w:t>
      </w:r>
      <w:r w:rsidRPr="00CF09CB" w:rsidR="007E363C">
        <w:rPr>
          <w:rFonts w:ascii="Palatino Linotype" w:hAnsi="Palatino Linotype" w:cs="Tahoma"/>
          <w:b/>
          <w:sz w:val="22"/>
          <w:szCs w:val="22"/>
        </w:rPr>
        <w:t xml:space="preserve"> de Revisión</w:t>
      </w:r>
      <w:r w:rsidRPr="00CF09CB" w:rsidR="007E363C">
        <w:rPr>
          <w:rFonts w:ascii="Palatino Linotype" w:hAnsi="Palatino Linotype" w:eastAsia="Batang" w:cs="Tahoma"/>
          <w:b/>
          <w:bCs/>
          <w:sz w:val="22"/>
          <w:szCs w:val="22"/>
        </w:rPr>
        <w:t xml:space="preserve">. </w:t>
      </w:r>
      <w:r w:rsidRPr="00CF09CB" w:rsidR="00DF462B">
        <w:rPr>
          <w:rFonts w:ascii="Palatino Linotype" w:hAnsi="Palatino Linotype" w:cs="Tahoma"/>
          <w:sz w:val="22"/>
          <w:szCs w:val="22"/>
        </w:rPr>
        <w:t>El s</w:t>
      </w:r>
      <w:r w:rsidRPr="00CF09CB" w:rsidR="00DF462B">
        <w:rPr>
          <w:rFonts w:ascii="Palatino Linotype" w:hAnsi="Palatino Linotype" w:cs="Tahoma"/>
          <w:bCs/>
          <w:sz w:val="22"/>
          <w:szCs w:val="22"/>
        </w:rPr>
        <w:t>iete</w:t>
      </w:r>
      <w:r w:rsidRPr="00CF09CB">
        <w:rPr>
          <w:rFonts w:ascii="Palatino Linotype" w:hAnsi="Palatino Linotype" w:cs="Tahoma"/>
          <w:bCs/>
          <w:sz w:val="22"/>
          <w:szCs w:val="22"/>
        </w:rPr>
        <w:t xml:space="preserve"> de marzo</w:t>
      </w:r>
      <w:r w:rsidRPr="00CF09CB" w:rsidR="00A1736A">
        <w:rPr>
          <w:rFonts w:ascii="Palatino Linotype" w:hAnsi="Palatino Linotype" w:cs="Tahoma"/>
          <w:bCs/>
          <w:sz w:val="22"/>
          <w:szCs w:val="22"/>
        </w:rPr>
        <w:t xml:space="preserve"> de dos mil veintidós</w:t>
      </w:r>
      <w:r w:rsidRPr="00CF09CB" w:rsidR="007E363C">
        <w:rPr>
          <w:rFonts w:ascii="Palatino Linotype" w:hAnsi="Palatino Linotype" w:eastAsia="Batang" w:cs="Tahoma"/>
          <w:bCs/>
          <w:sz w:val="22"/>
          <w:szCs w:val="22"/>
        </w:rPr>
        <w:t xml:space="preserve">, el </w:t>
      </w:r>
      <w:r w:rsidRPr="00CF09CB" w:rsidR="007E363C">
        <w:rPr>
          <w:rFonts w:ascii="Palatino Linotype" w:hAnsi="Palatino Linotype" w:cs="Tahoma"/>
          <w:sz w:val="22"/>
          <w:szCs w:val="22"/>
        </w:rPr>
        <w:t>Sistema de Acceso a la Información Mexiquense (SAIMEX),</w:t>
      </w:r>
      <w:r w:rsidRPr="00CF09CB">
        <w:rPr>
          <w:rFonts w:ascii="Palatino Linotype" w:hAnsi="Palatino Linotype" w:eastAsia="Batang" w:cs="Tahoma"/>
          <w:bCs/>
          <w:sz w:val="22"/>
          <w:szCs w:val="22"/>
        </w:rPr>
        <w:t xml:space="preserve"> asignó el Recurso</w:t>
      </w:r>
      <w:r w:rsidRPr="00CF09CB" w:rsidR="007E363C">
        <w:rPr>
          <w:rFonts w:ascii="Palatino Linotype" w:hAnsi="Palatino Linotype" w:eastAsia="Batang" w:cs="Tahoma"/>
          <w:bCs/>
          <w:sz w:val="22"/>
          <w:szCs w:val="22"/>
        </w:rPr>
        <w:t xml:space="preserve"> de Revisión con base en el sistema aprobado por el Pl</w:t>
      </w:r>
      <w:r w:rsidRPr="00CF09CB">
        <w:rPr>
          <w:rFonts w:ascii="Palatino Linotype" w:hAnsi="Palatino Linotype" w:eastAsia="Batang" w:cs="Tahoma"/>
          <w:bCs/>
          <w:sz w:val="22"/>
          <w:szCs w:val="22"/>
        </w:rPr>
        <w:t>eno de este Órgano Garante y lo</w:t>
      </w:r>
      <w:r w:rsidRPr="00CF09CB" w:rsidR="007E363C">
        <w:rPr>
          <w:rFonts w:ascii="Palatino Linotype" w:hAnsi="Palatino Linotype" w:eastAsia="Batang" w:cs="Tahoma"/>
          <w:bCs/>
          <w:sz w:val="22"/>
          <w:szCs w:val="22"/>
        </w:rPr>
        <w:t xml:space="preserve"> turnó para los efectos del artículo 185, fracción I, de la Ley de Transparencia y Acceso a la Información Pública del Estado de México y Municipios, </w:t>
      </w:r>
      <w:r w:rsidRPr="00CF09CB">
        <w:rPr>
          <w:rFonts w:ascii="Palatino Linotype" w:hAnsi="Palatino Linotype" w:eastAsia="Batang" w:cs="Tahoma"/>
          <w:bCs/>
          <w:sz w:val="22"/>
          <w:szCs w:val="22"/>
        </w:rPr>
        <w:t>al Comisionado Luis Gustavo Parra N</w:t>
      </w:r>
      <w:r w:rsidRPr="00CF09CB" w:rsidR="007104D1">
        <w:rPr>
          <w:rFonts w:ascii="Palatino Linotype" w:hAnsi="Palatino Linotype" w:eastAsia="Batang" w:cs="Tahoma"/>
          <w:bCs/>
          <w:sz w:val="22"/>
          <w:szCs w:val="22"/>
        </w:rPr>
        <w:t>oriega.</w:t>
      </w:r>
    </w:p>
    <w:p w:rsidRPr="00CF09CB" w:rsidR="008A55DB" w:rsidP="0019462A" w:rsidRDefault="008A55DB" w14:paraId="12E7CAA7" w14:textId="61562090">
      <w:pPr>
        <w:autoSpaceDE w:val="0"/>
        <w:autoSpaceDN w:val="0"/>
        <w:adjustRightInd w:val="0"/>
        <w:spacing w:line="360" w:lineRule="auto"/>
        <w:ind w:right="-28"/>
        <w:contextualSpacing/>
        <w:jc w:val="both"/>
        <w:rPr>
          <w:rFonts w:ascii="Palatino Linotype" w:hAnsi="Palatino Linotype" w:eastAsia="Batang" w:cs="Tahoma"/>
          <w:b/>
          <w:bCs/>
          <w:sz w:val="22"/>
          <w:szCs w:val="22"/>
        </w:rPr>
      </w:pPr>
    </w:p>
    <w:p w:rsidRPr="00CF09CB" w:rsidR="007E363C" w:rsidP="0019462A" w:rsidRDefault="007104D1" w14:paraId="2E3341BD" w14:textId="2B7E8E5D">
      <w:pPr>
        <w:autoSpaceDE w:val="0"/>
        <w:autoSpaceDN w:val="0"/>
        <w:adjustRightInd w:val="0"/>
        <w:spacing w:line="360" w:lineRule="auto"/>
        <w:ind w:right="-28"/>
        <w:contextualSpacing/>
        <w:jc w:val="both"/>
        <w:rPr>
          <w:rFonts w:ascii="Palatino Linotype" w:hAnsi="Palatino Linotype" w:eastAsia="Batang" w:cs="Tahoma"/>
          <w:bCs/>
          <w:sz w:val="22"/>
          <w:szCs w:val="22"/>
        </w:rPr>
      </w:pPr>
      <w:r w:rsidRPr="00CF09CB">
        <w:rPr>
          <w:rFonts w:ascii="Palatino Linotype" w:hAnsi="Palatino Linotype" w:eastAsia="Batang" w:cs="Tahoma"/>
          <w:b/>
          <w:bCs/>
          <w:sz w:val="22"/>
          <w:szCs w:val="22"/>
        </w:rPr>
        <w:t>b) Admisión del</w:t>
      </w:r>
      <w:r w:rsidRPr="00CF09CB" w:rsidR="007E363C">
        <w:rPr>
          <w:rFonts w:ascii="Palatino Linotype" w:hAnsi="Palatino Linotype" w:eastAsia="Batang" w:cs="Tahoma"/>
          <w:b/>
          <w:bCs/>
          <w:sz w:val="22"/>
          <w:szCs w:val="22"/>
        </w:rPr>
        <w:t xml:space="preserve"> </w:t>
      </w:r>
      <w:r w:rsidRPr="00CF09CB" w:rsidR="007E363C">
        <w:rPr>
          <w:rFonts w:ascii="Palatino Linotype" w:hAnsi="Palatino Linotype" w:cs="Tahoma"/>
          <w:b/>
          <w:sz w:val="22"/>
          <w:szCs w:val="22"/>
        </w:rPr>
        <w:t>Recurso de Revisión</w:t>
      </w:r>
      <w:r w:rsidRPr="00CF09CB" w:rsidR="007E363C">
        <w:rPr>
          <w:rFonts w:ascii="Palatino Linotype" w:hAnsi="Palatino Linotype" w:eastAsia="Batang" w:cs="Tahoma"/>
          <w:b/>
          <w:bCs/>
          <w:sz w:val="22"/>
          <w:szCs w:val="22"/>
          <w:lang w:val="es-ES_tradnl"/>
        </w:rPr>
        <w:t xml:space="preserve">. </w:t>
      </w:r>
      <w:r w:rsidRPr="00CF09CB" w:rsidR="007E363C">
        <w:rPr>
          <w:rFonts w:ascii="Palatino Linotype" w:hAnsi="Palatino Linotype" w:eastAsia="Batang" w:cs="Tahoma"/>
          <w:bCs/>
          <w:sz w:val="22"/>
          <w:szCs w:val="22"/>
        </w:rPr>
        <w:t>El</w:t>
      </w:r>
      <w:r w:rsidRPr="00CF09CB" w:rsidR="00717A67">
        <w:rPr>
          <w:rFonts w:ascii="Palatino Linotype" w:hAnsi="Palatino Linotype" w:eastAsia="Batang" w:cs="Tahoma"/>
          <w:bCs/>
          <w:sz w:val="22"/>
          <w:szCs w:val="22"/>
        </w:rPr>
        <w:t xml:space="preserve"> </w:t>
      </w:r>
      <w:r w:rsidRPr="00CF09CB">
        <w:rPr>
          <w:rFonts w:ascii="Palatino Linotype" w:hAnsi="Palatino Linotype" w:eastAsia="Batang" w:cs="Tahoma"/>
          <w:bCs/>
          <w:sz w:val="22"/>
          <w:szCs w:val="22"/>
        </w:rPr>
        <w:t xml:space="preserve">catorce de marzo </w:t>
      </w:r>
      <w:r w:rsidRPr="00CF09CB" w:rsidR="00783599">
        <w:rPr>
          <w:rFonts w:ascii="Palatino Linotype" w:hAnsi="Palatino Linotype" w:eastAsia="Batang" w:cs="Tahoma"/>
          <w:bCs/>
          <w:sz w:val="22"/>
          <w:szCs w:val="22"/>
        </w:rPr>
        <w:t xml:space="preserve"> </w:t>
      </w:r>
      <w:r w:rsidRPr="00CF09CB" w:rsidR="00B87EC4">
        <w:rPr>
          <w:rFonts w:ascii="Palatino Linotype" w:hAnsi="Palatino Linotype" w:eastAsia="Batang" w:cs="Tahoma"/>
          <w:bCs/>
          <w:sz w:val="22"/>
          <w:szCs w:val="22"/>
        </w:rPr>
        <w:t xml:space="preserve">de dos mil veintidós, se acordó </w:t>
      </w:r>
      <w:r w:rsidRPr="00CF09CB">
        <w:rPr>
          <w:rFonts w:ascii="Palatino Linotype" w:hAnsi="Palatino Linotype" w:eastAsia="Batang" w:cs="Tahoma"/>
          <w:bCs/>
          <w:sz w:val="22"/>
          <w:szCs w:val="22"/>
        </w:rPr>
        <w:t>la admisión del  Medio</w:t>
      </w:r>
      <w:r w:rsidRPr="00CF09CB" w:rsidR="007E363C">
        <w:rPr>
          <w:rFonts w:ascii="Palatino Linotype" w:hAnsi="Palatino Linotype" w:eastAsia="Batang" w:cs="Tahoma"/>
          <w:bCs/>
          <w:sz w:val="22"/>
          <w:szCs w:val="22"/>
        </w:rPr>
        <w:t xml:space="preserve"> de Impugnación previamente referido, interpuesto por la Particular en contra del Sujeto Obligado, en términos del artículo 185, fracciones I, II y IV de la Ley de Transparencia y Acceso a la Información Pública del Estado de México y Municipios, los cuales fueron notificados a las partes </w:t>
      </w:r>
      <w:r w:rsidRPr="00CF09CB" w:rsidR="0002206C">
        <w:rPr>
          <w:rFonts w:ascii="Palatino Linotype" w:hAnsi="Palatino Linotype" w:eastAsia="Batang" w:cs="Tahoma"/>
          <w:bCs/>
          <w:sz w:val="22"/>
          <w:szCs w:val="22"/>
        </w:rPr>
        <w:t xml:space="preserve">el </w:t>
      </w:r>
      <w:r w:rsidRPr="00CF09CB" w:rsidR="0015427C">
        <w:rPr>
          <w:rFonts w:ascii="Palatino Linotype" w:hAnsi="Palatino Linotype" w:eastAsia="Batang" w:cs="Tahoma"/>
          <w:bCs/>
          <w:sz w:val="22"/>
          <w:szCs w:val="22"/>
        </w:rPr>
        <w:t xml:space="preserve">veintitrés </w:t>
      </w:r>
      <w:r w:rsidRPr="00CF09CB" w:rsidR="00F909C0">
        <w:rPr>
          <w:rFonts w:ascii="Palatino Linotype" w:hAnsi="Palatino Linotype" w:eastAsia="Batang" w:cs="Tahoma"/>
          <w:bCs/>
          <w:sz w:val="22"/>
          <w:szCs w:val="22"/>
        </w:rPr>
        <w:t xml:space="preserve">y veintiocho </w:t>
      </w:r>
      <w:r w:rsidRPr="00CF09CB" w:rsidR="007E363C">
        <w:rPr>
          <w:rFonts w:ascii="Palatino Linotype" w:hAnsi="Palatino Linotype" w:eastAsia="Batang" w:cs="Tahoma"/>
          <w:bCs/>
          <w:sz w:val="22"/>
          <w:szCs w:val="22"/>
        </w:rPr>
        <w:t>del mes y año referidos, respectivamente, a través del Sistema de Acceso a la Información Mexiquense (SAIMEX), en el que se les otorgó un plazo de siete días hábiles posteriores a la misma, para que manifestaran lo que a su derecho conviniera y formularan alegatos.</w:t>
      </w:r>
    </w:p>
    <w:p w:rsidRPr="00CF09CB" w:rsidR="007E363C" w:rsidP="0019462A" w:rsidRDefault="007E363C" w14:paraId="7F6DC5AD" w14:textId="77777777">
      <w:pPr>
        <w:autoSpaceDE w:val="0"/>
        <w:autoSpaceDN w:val="0"/>
        <w:adjustRightInd w:val="0"/>
        <w:spacing w:line="360" w:lineRule="auto"/>
        <w:ind w:right="-28"/>
        <w:contextualSpacing/>
        <w:jc w:val="both"/>
        <w:rPr>
          <w:rFonts w:ascii="Palatino Linotype" w:hAnsi="Palatino Linotype" w:cs="Tahoma"/>
          <w:b/>
          <w:sz w:val="22"/>
          <w:szCs w:val="22"/>
        </w:rPr>
      </w:pPr>
    </w:p>
    <w:p w:rsidRPr="00CF09CB" w:rsidR="00A51B9E" w:rsidP="0019462A" w:rsidRDefault="007104D1" w14:paraId="060658D8" w14:textId="6E650FE5">
      <w:pPr>
        <w:spacing w:line="360" w:lineRule="auto"/>
        <w:jc w:val="both"/>
        <w:rPr>
          <w:rFonts w:ascii="Palatino Linotype" w:hAnsi="Palatino Linotype" w:cs="Tahoma"/>
          <w:bCs/>
          <w:iCs/>
          <w:color w:val="0D0D0D" w:themeColor="text1" w:themeTint="F2"/>
          <w:szCs w:val="22"/>
        </w:rPr>
      </w:pPr>
      <w:r w:rsidRPr="00CF09CB">
        <w:rPr>
          <w:rFonts w:ascii="Palatino Linotype" w:hAnsi="Palatino Linotype" w:cs="Tahoma"/>
          <w:b/>
          <w:bCs/>
          <w:color w:val="0D0D0D" w:themeColor="text1" w:themeTint="F2"/>
          <w:sz w:val="22"/>
          <w:szCs w:val="22"/>
        </w:rPr>
        <w:t>c</w:t>
      </w:r>
      <w:r w:rsidRPr="00CF09CB" w:rsidR="007E363C">
        <w:rPr>
          <w:rFonts w:ascii="Palatino Linotype" w:hAnsi="Palatino Linotype" w:cs="Tahoma"/>
          <w:b/>
          <w:bCs/>
          <w:color w:val="0D0D0D" w:themeColor="text1" w:themeTint="F2"/>
          <w:sz w:val="22"/>
          <w:szCs w:val="22"/>
        </w:rPr>
        <w:t xml:space="preserve">) </w:t>
      </w:r>
      <w:r w:rsidRPr="00CF09CB" w:rsidR="00E179BD">
        <w:rPr>
          <w:rFonts w:ascii="Palatino Linotype" w:hAnsi="Palatino Linotype" w:cs="Tahoma"/>
          <w:b/>
          <w:bCs/>
          <w:color w:val="0D0D0D" w:themeColor="text1" w:themeTint="F2"/>
          <w:sz w:val="22"/>
          <w:szCs w:val="22"/>
        </w:rPr>
        <w:t>Informe</w:t>
      </w:r>
      <w:r w:rsidRPr="00CF09CB">
        <w:rPr>
          <w:rFonts w:ascii="Palatino Linotype" w:hAnsi="Palatino Linotype" w:cs="Tahoma"/>
          <w:b/>
          <w:bCs/>
          <w:color w:val="0D0D0D" w:themeColor="text1" w:themeTint="F2"/>
          <w:sz w:val="22"/>
          <w:szCs w:val="22"/>
        </w:rPr>
        <w:t xml:space="preserve"> </w:t>
      </w:r>
      <w:r w:rsidRPr="00CF09CB" w:rsidR="00E179BD">
        <w:rPr>
          <w:rFonts w:ascii="Palatino Linotype" w:hAnsi="Palatino Linotype" w:cs="Tahoma"/>
          <w:b/>
          <w:bCs/>
          <w:color w:val="0D0D0D" w:themeColor="text1" w:themeTint="F2"/>
          <w:sz w:val="22"/>
          <w:szCs w:val="22"/>
        </w:rPr>
        <w:t>Justificado o Manifestaciones</w:t>
      </w:r>
      <w:r w:rsidRPr="00CF09CB" w:rsidR="007E363C">
        <w:rPr>
          <w:rFonts w:ascii="Palatino Linotype" w:hAnsi="Palatino Linotype" w:cs="Tahoma"/>
          <w:b/>
          <w:bCs/>
          <w:color w:val="0D0D0D" w:themeColor="text1" w:themeTint="F2"/>
          <w:sz w:val="22"/>
          <w:szCs w:val="22"/>
        </w:rPr>
        <w:t xml:space="preserve">. </w:t>
      </w:r>
      <w:r w:rsidRPr="00CF09CB" w:rsidR="006226E2">
        <w:rPr>
          <w:rFonts w:ascii="Palatino Linotype" w:hAnsi="Palatino Linotype" w:cs="Tahoma"/>
          <w:color w:val="0D0D0D" w:themeColor="text1" w:themeTint="F2"/>
          <w:sz w:val="22"/>
          <w:szCs w:val="22"/>
        </w:rPr>
        <w:t xml:space="preserve">El </w:t>
      </w:r>
      <w:r w:rsidRPr="00CF09CB">
        <w:rPr>
          <w:rFonts w:ascii="Palatino Linotype" w:hAnsi="Palatino Linotype" w:cs="Tahoma"/>
          <w:color w:val="0D0D0D" w:themeColor="text1" w:themeTint="F2"/>
          <w:sz w:val="22"/>
          <w:szCs w:val="22"/>
        </w:rPr>
        <w:t xml:space="preserve">catorce de </w:t>
      </w:r>
      <w:r w:rsidRPr="00CF09CB" w:rsidR="006226E2">
        <w:rPr>
          <w:rFonts w:ascii="Palatino Linotype" w:hAnsi="Palatino Linotype" w:cs="Tahoma"/>
          <w:color w:val="0D0D0D" w:themeColor="text1" w:themeTint="F2"/>
          <w:sz w:val="22"/>
          <w:szCs w:val="22"/>
        </w:rPr>
        <w:t>marzo</w:t>
      </w:r>
      <w:r w:rsidRPr="00CF09CB" w:rsidR="00A81031">
        <w:rPr>
          <w:rFonts w:ascii="Palatino Linotype" w:hAnsi="Palatino Linotype" w:cs="Tahoma"/>
          <w:color w:val="0D0D0D" w:themeColor="text1" w:themeTint="F2"/>
          <w:sz w:val="22"/>
          <w:szCs w:val="22"/>
        </w:rPr>
        <w:t xml:space="preserve"> de dos mil veintidós</w:t>
      </w:r>
      <w:r w:rsidRPr="00CF09CB" w:rsidR="006226E2">
        <w:rPr>
          <w:rFonts w:ascii="Palatino Linotype" w:hAnsi="Palatino Linotype" w:cs="Tahoma"/>
          <w:color w:val="0D0D0D" w:themeColor="text1" w:themeTint="F2"/>
          <w:sz w:val="22"/>
          <w:szCs w:val="22"/>
        </w:rPr>
        <w:t>, se recibió a través del Sistema de Acceso a la Inf</w:t>
      </w:r>
      <w:r w:rsidRPr="00CF09CB">
        <w:rPr>
          <w:rFonts w:ascii="Palatino Linotype" w:hAnsi="Palatino Linotype" w:cs="Tahoma"/>
          <w:color w:val="0D0D0D" w:themeColor="text1" w:themeTint="F2"/>
          <w:sz w:val="22"/>
          <w:szCs w:val="22"/>
        </w:rPr>
        <w:t>ormación Mexiquense (SAIMEX), el Informe Justificado</w:t>
      </w:r>
      <w:r w:rsidRPr="00CF09CB" w:rsidR="006226E2">
        <w:rPr>
          <w:rFonts w:ascii="Palatino Linotype" w:hAnsi="Palatino Linotype" w:cs="Tahoma"/>
          <w:color w:val="0D0D0D" w:themeColor="text1" w:themeTint="F2"/>
          <w:sz w:val="22"/>
          <w:szCs w:val="22"/>
        </w:rPr>
        <w:t xml:space="preserve">, del Sujeto Obligado, </w:t>
      </w:r>
      <w:r w:rsidRPr="00CF09CB" w:rsidR="00DF462B">
        <w:rPr>
          <w:rFonts w:ascii="Palatino Linotype" w:hAnsi="Palatino Linotype" w:cs="Tahoma"/>
          <w:color w:val="0D0D0D" w:themeColor="text1" w:themeTint="F2"/>
          <w:sz w:val="22"/>
          <w:szCs w:val="22"/>
        </w:rPr>
        <w:t>por medio del o</w:t>
      </w:r>
      <w:r w:rsidRPr="00CF09CB" w:rsidR="00A51B9E">
        <w:rPr>
          <w:rFonts w:ascii="Palatino Linotype" w:hAnsi="Palatino Linotype" w:cs="Tahoma"/>
          <w:bCs/>
          <w:iCs/>
          <w:color w:val="0D0D0D" w:themeColor="text1" w:themeTint="F2"/>
          <w:sz w:val="22"/>
          <w:szCs w:val="22"/>
        </w:rPr>
        <w:t xml:space="preserve">ficio </w:t>
      </w:r>
      <w:r w:rsidRPr="00CF09CB" w:rsidR="002A5D54">
        <w:rPr>
          <w:rFonts w:ascii="Palatino Linotype" w:hAnsi="Palatino Linotype" w:cs="Tahoma"/>
          <w:bCs/>
          <w:iCs/>
          <w:color w:val="0D0D0D" w:themeColor="text1" w:themeTint="F2"/>
          <w:sz w:val="22"/>
          <w:szCs w:val="22"/>
        </w:rPr>
        <w:t>HA/TM/SJ/1306/2022</w:t>
      </w:r>
      <w:r w:rsidRPr="00CF09CB" w:rsidR="00E82DBD">
        <w:rPr>
          <w:rFonts w:ascii="Palatino Linotype" w:hAnsi="Palatino Linotype" w:cs="Tahoma"/>
          <w:bCs/>
          <w:iCs/>
          <w:color w:val="0D0D0D" w:themeColor="text1" w:themeTint="F2"/>
          <w:sz w:val="22"/>
          <w:szCs w:val="22"/>
        </w:rPr>
        <w:t>,</w:t>
      </w:r>
      <w:r w:rsidRPr="00CF09CB" w:rsidR="00A51B9E">
        <w:rPr>
          <w:rFonts w:ascii="Palatino Linotype" w:hAnsi="Palatino Linotype" w:cs="Tahoma"/>
          <w:bCs/>
          <w:iCs/>
          <w:color w:val="0D0D0D" w:themeColor="text1" w:themeTint="F2"/>
          <w:sz w:val="22"/>
          <w:szCs w:val="22"/>
        </w:rPr>
        <w:t xml:space="preserve"> </w:t>
      </w:r>
      <w:r w:rsidRPr="00CF09CB" w:rsidR="00E82DBD">
        <w:rPr>
          <w:rFonts w:ascii="Palatino Linotype" w:hAnsi="Palatino Linotype" w:cs="Tahoma"/>
          <w:bCs/>
          <w:iCs/>
          <w:color w:val="0D0D0D" w:themeColor="text1" w:themeTint="F2"/>
          <w:sz w:val="22"/>
          <w:szCs w:val="22"/>
        </w:rPr>
        <w:t>del</w:t>
      </w:r>
      <w:r w:rsidRPr="00CF09CB" w:rsidR="002A5D54">
        <w:rPr>
          <w:rFonts w:ascii="Palatino Linotype" w:hAnsi="Palatino Linotype" w:cs="Tahoma"/>
          <w:bCs/>
          <w:iCs/>
          <w:color w:val="0D0D0D" w:themeColor="text1" w:themeTint="F2"/>
          <w:sz w:val="22"/>
          <w:szCs w:val="22"/>
        </w:rPr>
        <w:t xml:space="preserve"> ocho</w:t>
      </w:r>
      <w:r w:rsidRPr="00CF09CB" w:rsidR="00A51B9E">
        <w:rPr>
          <w:rFonts w:ascii="Palatino Linotype" w:hAnsi="Palatino Linotype" w:cs="Tahoma"/>
          <w:bCs/>
          <w:iCs/>
          <w:color w:val="0D0D0D" w:themeColor="text1" w:themeTint="F2"/>
          <w:sz w:val="22"/>
          <w:szCs w:val="22"/>
        </w:rPr>
        <w:t xml:space="preserve"> </w:t>
      </w:r>
      <w:r w:rsidRPr="00CF09CB" w:rsidR="00DF462B">
        <w:rPr>
          <w:rFonts w:ascii="Palatino Linotype" w:hAnsi="Palatino Linotype" w:cs="Tahoma"/>
          <w:bCs/>
          <w:iCs/>
          <w:color w:val="0D0D0D" w:themeColor="text1" w:themeTint="F2"/>
          <w:sz w:val="22"/>
          <w:szCs w:val="22"/>
        </w:rPr>
        <w:t>de dicho mes y año</w:t>
      </w:r>
      <w:r w:rsidRPr="00CF09CB" w:rsidR="00A51B9E">
        <w:rPr>
          <w:rFonts w:ascii="Palatino Linotype" w:hAnsi="Palatino Linotype" w:cs="Tahoma"/>
          <w:bCs/>
          <w:iCs/>
          <w:color w:val="0D0D0D" w:themeColor="text1" w:themeTint="F2"/>
          <w:sz w:val="22"/>
          <w:szCs w:val="22"/>
        </w:rPr>
        <w:t xml:space="preserve">, suscrito por </w:t>
      </w:r>
      <w:r w:rsidRPr="00CF09CB" w:rsidR="002A5D54">
        <w:rPr>
          <w:rFonts w:ascii="Palatino Linotype" w:hAnsi="Palatino Linotype" w:cs="Tahoma"/>
          <w:bCs/>
          <w:iCs/>
          <w:color w:val="0D0D0D" w:themeColor="text1" w:themeTint="F2"/>
          <w:sz w:val="22"/>
          <w:szCs w:val="22"/>
        </w:rPr>
        <w:t>la Tesorera Municipal, donde confirma su respuesta primigenia de la siguiente manera:</w:t>
      </w:r>
      <w:r w:rsidRPr="00CF09CB" w:rsidR="002A5D54">
        <w:rPr>
          <w:rFonts w:ascii="Palatino Linotype" w:hAnsi="Palatino Linotype" w:cs="Tahoma"/>
          <w:bCs/>
          <w:iCs/>
          <w:color w:val="0D0D0D" w:themeColor="text1" w:themeTint="F2"/>
          <w:szCs w:val="22"/>
        </w:rPr>
        <w:t xml:space="preserve"> </w:t>
      </w:r>
    </w:p>
    <w:p w:rsidRPr="00CF09CB" w:rsidR="00A51B9E" w:rsidP="0019462A" w:rsidRDefault="00A51B9E" w14:paraId="02654EB9" w14:textId="77777777">
      <w:pPr>
        <w:spacing w:line="360" w:lineRule="auto"/>
        <w:jc w:val="both"/>
        <w:rPr>
          <w:rFonts w:ascii="Palatino Linotype" w:hAnsi="Palatino Linotype" w:cs="Tahoma"/>
          <w:bCs/>
          <w:iCs/>
          <w:color w:val="0D0D0D" w:themeColor="text1" w:themeTint="F2"/>
          <w:sz w:val="22"/>
          <w:szCs w:val="22"/>
        </w:rPr>
      </w:pPr>
    </w:p>
    <w:p w:rsidRPr="00CF09CB" w:rsidR="00A51B9E" w:rsidP="0019462A" w:rsidRDefault="00A51B9E" w14:paraId="58D0304C" w14:textId="0CD5B775">
      <w:pPr>
        <w:spacing w:line="360" w:lineRule="auto"/>
        <w:ind w:left="567" w:right="567"/>
        <w:jc w:val="both"/>
        <w:rPr>
          <w:rFonts w:ascii="Palatino Linotype" w:hAnsi="Palatino Linotype" w:cs="Tahoma"/>
          <w:bCs/>
          <w:i/>
          <w:iCs/>
          <w:color w:val="0D0D0D" w:themeColor="text1" w:themeTint="F2"/>
          <w:sz w:val="20"/>
          <w:szCs w:val="20"/>
        </w:rPr>
      </w:pPr>
      <w:r w:rsidRPr="00CF09CB">
        <w:rPr>
          <w:rFonts w:ascii="Palatino Linotype" w:hAnsi="Palatino Linotype" w:cs="Tahoma"/>
          <w:bCs/>
          <w:i/>
          <w:iCs/>
          <w:color w:val="0D0D0D" w:themeColor="text1" w:themeTint="F2"/>
          <w:sz w:val="20"/>
          <w:szCs w:val="20"/>
        </w:rPr>
        <w:t>“…</w:t>
      </w:r>
    </w:p>
    <w:p w:rsidRPr="00CF09CB" w:rsidR="002A5D54" w:rsidP="0019462A" w:rsidRDefault="002A5D54" w14:paraId="01CE4757" w14:textId="560151FD">
      <w:pPr>
        <w:spacing w:line="360" w:lineRule="auto"/>
        <w:ind w:left="567" w:right="567"/>
        <w:jc w:val="both"/>
        <w:rPr>
          <w:rFonts w:ascii="Palatino Linotype" w:hAnsi="Palatino Linotype" w:cs="Tahoma"/>
          <w:bCs/>
          <w:i/>
          <w:iCs/>
          <w:color w:val="0D0D0D" w:themeColor="text1" w:themeTint="F2"/>
          <w:sz w:val="20"/>
          <w:szCs w:val="20"/>
        </w:rPr>
      </w:pPr>
      <w:r w:rsidRPr="00CF09CB">
        <w:rPr>
          <w:rFonts w:ascii="Palatino Linotype" w:hAnsi="Palatino Linotype" w:cs="Tahoma"/>
          <w:bCs/>
          <w:i/>
          <w:iCs/>
          <w:color w:val="0D0D0D" w:themeColor="text1" w:themeTint="F2"/>
          <w:sz w:val="20"/>
          <w:szCs w:val="20"/>
        </w:rPr>
        <w:t>…se dio contestación a esta solicitud informando que le fue enviada al órgano superior de fiscalización del Estado de México (OSFEM), de igual forma se anexaron los oficios del primer, segundo, tercer y cuarto trimestre con los que fue entregada la información…</w:t>
      </w:r>
    </w:p>
    <w:p w:rsidRPr="00CF09CB" w:rsidR="00197109" w:rsidP="0019462A" w:rsidRDefault="00197109" w14:paraId="7ED1C769" w14:textId="6144ECED">
      <w:pPr>
        <w:spacing w:line="360" w:lineRule="auto"/>
        <w:ind w:left="567" w:right="567"/>
        <w:jc w:val="both"/>
        <w:rPr>
          <w:rFonts w:ascii="Palatino Linotype" w:hAnsi="Palatino Linotype" w:cs="Tahoma"/>
          <w:bCs/>
          <w:i/>
          <w:iCs/>
          <w:color w:val="0D0D0D" w:themeColor="text1" w:themeTint="F2"/>
          <w:sz w:val="20"/>
          <w:szCs w:val="20"/>
        </w:rPr>
      </w:pPr>
      <w:r w:rsidRPr="00CF09CB">
        <w:rPr>
          <w:rFonts w:ascii="Palatino Linotype" w:hAnsi="Palatino Linotype" w:cs="Tahoma"/>
          <w:bCs/>
          <w:i/>
          <w:iCs/>
          <w:color w:val="0D0D0D" w:themeColor="text1" w:themeTint="F2"/>
          <w:sz w:val="20"/>
          <w:szCs w:val="20"/>
        </w:rPr>
        <w:t xml:space="preserve">…” (Sic) </w:t>
      </w:r>
    </w:p>
    <w:p w:rsidRPr="00CF09CB" w:rsidR="00A51B9E" w:rsidP="0019462A" w:rsidRDefault="00A51B9E" w14:paraId="0DC21764" w14:textId="77777777">
      <w:pPr>
        <w:spacing w:line="360" w:lineRule="auto"/>
        <w:jc w:val="both"/>
        <w:rPr>
          <w:rFonts w:ascii="Palatino Linotype" w:hAnsi="Palatino Linotype" w:cs="Tahoma"/>
          <w:bCs/>
          <w:iCs/>
          <w:color w:val="0D0D0D" w:themeColor="text1" w:themeTint="F2"/>
          <w:sz w:val="22"/>
          <w:szCs w:val="22"/>
        </w:rPr>
      </w:pPr>
    </w:p>
    <w:p w:rsidRPr="00CF09CB" w:rsidR="0054272A" w:rsidP="0019462A" w:rsidRDefault="00D37A85" w14:paraId="3B3C3C47" w14:textId="4D10738E">
      <w:pPr>
        <w:spacing w:line="360" w:lineRule="auto"/>
        <w:jc w:val="both"/>
        <w:rPr>
          <w:rFonts w:ascii="Palatino Linotype" w:hAnsi="Palatino Linotype" w:eastAsia="Palatino Linotype" w:cs="Palatino Linotype"/>
          <w:b/>
          <w:bCs/>
          <w:sz w:val="22"/>
          <w:szCs w:val="22"/>
          <w:lang w:val="es-ES"/>
        </w:rPr>
      </w:pPr>
      <w:r w:rsidRPr="00CF09CB">
        <w:rPr>
          <w:rFonts w:ascii="Palatino Linotype" w:hAnsi="Palatino Linotype" w:eastAsia="Palatino Linotype" w:cs="Palatino Linotype"/>
          <w:b/>
          <w:bCs/>
          <w:sz w:val="22"/>
          <w:szCs w:val="22"/>
          <w:lang w:val="es-ES"/>
        </w:rPr>
        <w:lastRenderedPageBreak/>
        <w:t>d</w:t>
      </w:r>
      <w:r w:rsidRPr="00CF09CB" w:rsidR="0054272A">
        <w:rPr>
          <w:rFonts w:ascii="Palatino Linotype" w:hAnsi="Palatino Linotype" w:eastAsia="Palatino Linotype" w:cs="Palatino Linotype"/>
          <w:b/>
          <w:bCs/>
          <w:sz w:val="22"/>
          <w:szCs w:val="22"/>
          <w:lang w:val="es-ES"/>
        </w:rPr>
        <w:t xml:space="preserve">) </w:t>
      </w:r>
      <w:r w:rsidRPr="00CF09CB" w:rsidR="0054272A">
        <w:rPr>
          <w:rFonts w:ascii="Palatino Linotype" w:hAnsi="Palatino Linotype" w:eastAsia="Palatino Linotype" w:cs="Palatino Linotype"/>
          <w:b/>
          <w:bCs/>
          <w:iCs/>
          <w:sz w:val="22"/>
          <w:szCs w:val="22"/>
          <w:lang w:val="es-ES_tradnl"/>
        </w:rPr>
        <w:t>Vista</w:t>
      </w:r>
      <w:r w:rsidRPr="00CF09CB" w:rsidR="0054272A">
        <w:rPr>
          <w:rFonts w:ascii="Palatino Linotype" w:hAnsi="Palatino Linotype" w:eastAsia="Palatino Linotype" w:cs="Palatino Linotype"/>
          <w:b/>
          <w:sz w:val="22"/>
          <w:szCs w:val="22"/>
        </w:rPr>
        <w:t xml:space="preserve"> del Informe Justificado: </w:t>
      </w:r>
      <w:r w:rsidRPr="00CF09CB" w:rsidR="0054272A">
        <w:rPr>
          <w:rFonts w:ascii="Palatino Linotype" w:hAnsi="Palatino Linotype" w:eastAsia="Palatino Linotype" w:cs="Palatino Linotype"/>
          <w:sz w:val="22"/>
          <w:szCs w:val="22"/>
        </w:rPr>
        <w:t xml:space="preserve">El </w:t>
      </w:r>
      <w:r w:rsidRPr="00CF09CB" w:rsidR="002A5D54">
        <w:rPr>
          <w:rFonts w:ascii="Palatino Linotype" w:hAnsi="Palatino Linotype" w:eastAsia="Palatino Linotype" w:cs="Palatino Linotype"/>
          <w:sz w:val="22"/>
          <w:szCs w:val="22"/>
        </w:rPr>
        <w:t xml:space="preserve">primero de junio </w:t>
      </w:r>
      <w:r w:rsidRPr="00CF09CB" w:rsidR="0054272A">
        <w:rPr>
          <w:rFonts w:ascii="Palatino Linotype" w:hAnsi="Palatino Linotype" w:eastAsia="Palatino Linotype" w:cs="Palatino Linotype"/>
          <w:sz w:val="22"/>
          <w:szCs w:val="22"/>
        </w:rPr>
        <w:t xml:space="preserve">de dos mil veintidós, se dictó acuerdo mediante el cual </w:t>
      </w:r>
      <w:r w:rsidRPr="00CF09CB" w:rsidR="0054272A">
        <w:rPr>
          <w:rFonts w:ascii="Palatino Linotype" w:hAnsi="Palatino Linotype" w:eastAsia="Palatino Linotype" w:cs="Palatino Linotype"/>
          <w:bCs/>
          <w:sz w:val="22"/>
          <w:szCs w:val="22"/>
        </w:rPr>
        <w:t>se pu</w:t>
      </w:r>
      <w:r w:rsidRPr="00CF09CB" w:rsidR="002A5D54">
        <w:rPr>
          <w:rFonts w:ascii="Palatino Linotype" w:hAnsi="Palatino Linotype" w:eastAsia="Palatino Linotype" w:cs="Palatino Linotype"/>
          <w:bCs/>
          <w:sz w:val="22"/>
          <w:szCs w:val="22"/>
        </w:rPr>
        <w:t>so</w:t>
      </w:r>
      <w:r w:rsidRPr="00CF09CB" w:rsidR="0054272A">
        <w:rPr>
          <w:rFonts w:ascii="Palatino Linotype" w:hAnsi="Palatino Linotype" w:eastAsia="Palatino Linotype" w:cs="Palatino Linotype"/>
          <w:bCs/>
          <w:sz w:val="22"/>
          <w:szCs w:val="22"/>
        </w:rPr>
        <w:t xml:space="preserve"> a la vista del Particular </w:t>
      </w:r>
      <w:r w:rsidRPr="00CF09CB" w:rsidR="002A5D54">
        <w:rPr>
          <w:rFonts w:ascii="Palatino Linotype" w:hAnsi="Palatino Linotype" w:eastAsia="Palatino Linotype" w:cs="Palatino Linotype"/>
          <w:bCs/>
          <w:sz w:val="22"/>
          <w:szCs w:val="22"/>
        </w:rPr>
        <w:t>el</w:t>
      </w:r>
      <w:r w:rsidRPr="00CF09CB" w:rsidR="0054272A">
        <w:rPr>
          <w:rFonts w:ascii="Palatino Linotype" w:hAnsi="Palatino Linotype" w:eastAsia="Palatino Linotype" w:cs="Palatino Linotype"/>
          <w:bCs/>
          <w:sz w:val="22"/>
          <w:szCs w:val="22"/>
        </w:rPr>
        <w:t xml:space="preserve"> Informe Justificado,</w:t>
      </w:r>
      <w:r w:rsidRPr="00CF09CB" w:rsidR="0054272A">
        <w:rPr>
          <w:rFonts w:ascii="Palatino Linotype" w:hAnsi="Palatino Linotype" w:eastAsia="Palatino Linotype" w:cs="Palatino Linotype"/>
          <w:sz w:val="22"/>
          <w:szCs w:val="22"/>
        </w:rPr>
        <w:t xml:space="preserve"> entregado por el Sujeto Obligado, el cual fue notificado a las partes, a través del Sistema de Acceso a la Información Mexiquense (SAIMEX). </w:t>
      </w:r>
      <w:r w:rsidRPr="00CF09CB" w:rsidR="0054272A">
        <w:rPr>
          <w:rFonts w:ascii="Palatino Linotype" w:hAnsi="Palatino Linotype" w:eastAsia="Palatino Linotype" w:cs="Palatino Linotype"/>
          <w:b/>
          <w:sz w:val="22"/>
          <w:szCs w:val="22"/>
        </w:rPr>
        <w:t>No obstante</w:t>
      </w:r>
      <w:r w:rsidRPr="00CF09CB" w:rsidR="0054272A">
        <w:rPr>
          <w:rFonts w:ascii="Palatino Linotype" w:hAnsi="Palatino Linotype" w:eastAsia="Palatino Linotype" w:cs="Palatino Linotype"/>
          <w:b/>
          <w:bCs/>
          <w:iCs/>
          <w:sz w:val="22"/>
          <w:szCs w:val="22"/>
          <w:lang w:val="es-ES_tradnl"/>
        </w:rPr>
        <w:t>, el Recurrente omitió realizar manifestación alguna que a su derecho conviniera y asistiera</w:t>
      </w:r>
      <w:r w:rsidRPr="00CF09CB" w:rsidR="0054272A">
        <w:rPr>
          <w:rFonts w:ascii="Palatino Linotype" w:hAnsi="Palatino Linotype" w:eastAsia="Palatino Linotype" w:cs="Palatino Linotype"/>
          <w:b/>
          <w:bCs/>
          <w:iCs/>
          <w:sz w:val="22"/>
          <w:szCs w:val="22"/>
        </w:rPr>
        <w:t>.</w:t>
      </w:r>
    </w:p>
    <w:p w:rsidRPr="00CF09CB" w:rsidR="0054272A" w:rsidP="0019462A" w:rsidRDefault="0054272A" w14:paraId="10E15313" w14:textId="77777777">
      <w:pPr>
        <w:spacing w:line="360" w:lineRule="auto"/>
        <w:jc w:val="both"/>
        <w:rPr>
          <w:rFonts w:ascii="Palatino Linotype" w:hAnsi="Palatino Linotype" w:eastAsia="Palatino Linotype" w:cs="Palatino Linotype"/>
          <w:b/>
          <w:bCs/>
          <w:sz w:val="22"/>
          <w:szCs w:val="22"/>
          <w:lang w:val="es-ES"/>
        </w:rPr>
      </w:pPr>
    </w:p>
    <w:p w:rsidRPr="00CF09CB" w:rsidR="0054272A" w:rsidP="0019462A" w:rsidRDefault="00D37A85" w14:paraId="2F3CCD3B" w14:textId="23FE305A">
      <w:pPr>
        <w:spacing w:line="360" w:lineRule="auto"/>
        <w:jc w:val="both"/>
        <w:rPr>
          <w:rFonts w:ascii="Palatino Linotype" w:hAnsi="Palatino Linotype" w:eastAsia="Palatino Linotype" w:cs="Palatino Linotype"/>
          <w:sz w:val="22"/>
          <w:szCs w:val="22"/>
          <w:lang w:val="es-ES"/>
        </w:rPr>
      </w:pPr>
      <w:r w:rsidRPr="00CF09CB">
        <w:rPr>
          <w:rFonts w:ascii="Palatino Linotype" w:hAnsi="Palatino Linotype" w:eastAsia="Palatino Linotype" w:cs="Palatino Linotype"/>
          <w:b/>
          <w:bCs/>
          <w:sz w:val="22"/>
          <w:szCs w:val="22"/>
          <w:lang w:val="es-ES"/>
        </w:rPr>
        <w:t>e</w:t>
      </w:r>
      <w:r w:rsidRPr="00CF09CB" w:rsidR="0054272A">
        <w:rPr>
          <w:rFonts w:ascii="Palatino Linotype" w:hAnsi="Palatino Linotype" w:eastAsia="Palatino Linotype" w:cs="Palatino Linotype"/>
          <w:b/>
          <w:bCs/>
          <w:sz w:val="22"/>
          <w:szCs w:val="22"/>
          <w:lang w:val="es-ES"/>
        </w:rPr>
        <w:t xml:space="preserve">) Ampliación de plazo para resolver. </w:t>
      </w:r>
      <w:r w:rsidRPr="00CF09CB" w:rsidR="0054272A">
        <w:rPr>
          <w:rFonts w:ascii="Palatino Linotype" w:hAnsi="Palatino Linotype" w:eastAsia="Palatino Linotype" w:cs="Palatino Linotype"/>
          <w:sz w:val="22"/>
          <w:szCs w:val="22"/>
          <w:lang w:val="es-ES"/>
        </w:rPr>
        <w:t xml:space="preserve">El </w:t>
      </w:r>
      <w:r w:rsidRPr="00CF09CB" w:rsidR="002A5D54">
        <w:rPr>
          <w:rFonts w:ascii="Palatino Linotype" w:hAnsi="Palatino Linotype" w:eastAsia="Palatino Linotype" w:cs="Palatino Linotype"/>
          <w:sz w:val="22"/>
          <w:szCs w:val="22"/>
        </w:rPr>
        <w:t xml:space="preserve">primero de junio </w:t>
      </w:r>
      <w:r w:rsidRPr="00CF09CB" w:rsidR="00E020AE">
        <w:rPr>
          <w:rFonts w:ascii="Palatino Linotype" w:hAnsi="Palatino Linotype" w:eastAsia="Palatino Linotype" w:cs="Palatino Linotype"/>
          <w:sz w:val="22"/>
          <w:szCs w:val="22"/>
        </w:rPr>
        <w:t>de dos mil veintidós</w:t>
      </w:r>
      <w:r w:rsidRPr="00CF09CB" w:rsidR="0054272A">
        <w:rPr>
          <w:rFonts w:ascii="Palatino Linotype" w:hAnsi="Palatino Linotype" w:eastAsia="Palatino Linotype" w:cs="Palatino Linotype"/>
          <w:sz w:val="22"/>
          <w:szCs w:val="22"/>
          <w:lang w:val="es-ES"/>
        </w:rPr>
        <w:t>, el Comisionado Ponente, con fundamento en lo dispuesto por el artículo 181, párrafo tercero, de la Ley de Transparencia y Acceso a la Información Pública del Estado de México y Municipios, acordó ampliar el plazo para resolver el Recurso de Revisión que nos ocupa; acto que fue notificado a las partes, mediante el Sistema de Acceso a la Información Mexiquense (SAIMEX).</w:t>
      </w:r>
    </w:p>
    <w:p w:rsidRPr="00CF09CB" w:rsidR="00235E66" w:rsidP="0019462A" w:rsidRDefault="00235E66" w14:paraId="602A2E0D" w14:textId="77777777">
      <w:pPr>
        <w:spacing w:line="360" w:lineRule="auto"/>
        <w:jc w:val="both"/>
        <w:rPr>
          <w:rFonts w:ascii="Palatino Linotype" w:hAnsi="Palatino Linotype" w:eastAsia="Palatino Linotype" w:cs="Palatino Linotype"/>
          <w:sz w:val="22"/>
          <w:szCs w:val="22"/>
          <w:lang w:val="es-ES"/>
        </w:rPr>
      </w:pPr>
    </w:p>
    <w:p w:rsidRPr="00CF09CB" w:rsidR="00235E66" w:rsidP="0019462A" w:rsidRDefault="00235E66" w14:paraId="66060FC1" w14:textId="3F49A777">
      <w:pPr>
        <w:spacing w:line="360" w:lineRule="auto"/>
        <w:jc w:val="both"/>
        <w:rPr>
          <w:rFonts w:ascii="Palatino Linotype" w:hAnsi="Palatino Linotype"/>
          <w:sz w:val="22"/>
          <w:szCs w:val="22"/>
        </w:rPr>
      </w:pPr>
      <w:r w:rsidRPr="00CF09CB">
        <w:rPr>
          <w:rFonts w:ascii="Palatino Linotype" w:hAnsi="Palatino Linotype"/>
          <w:sz w:val="22"/>
          <w:szCs w:val="22"/>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Pr="00CF09CB" w:rsidR="002332CA" w:rsidP="0019462A" w:rsidRDefault="002332CA" w14:paraId="07AA646A" w14:textId="77777777">
      <w:pPr>
        <w:spacing w:line="360" w:lineRule="auto"/>
        <w:jc w:val="both"/>
        <w:rPr>
          <w:rFonts w:ascii="Palatino Linotype" w:hAnsi="Palatino Linotype"/>
          <w:sz w:val="22"/>
          <w:szCs w:val="22"/>
        </w:rPr>
      </w:pPr>
    </w:p>
    <w:p w:rsidRPr="00CF09CB" w:rsidR="00235E66" w:rsidP="0019462A" w:rsidRDefault="00235E66" w14:paraId="119747CB" w14:textId="7A992E50">
      <w:pPr>
        <w:spacing w:line="360" w:lineRule="auto"/>
        <w:jc w:val="both"/>
        <w:rPr>
          <w:rFonts w:ascii="Palatino Linotype" w:hAnsi="Palatino Linotype"/>
          <w:sz w:val="22"/>
          <w:szCs w:val="22"/>
        </w:rPr>
      </w:pPr>
      <w:r w:rsidRPr="00CF09CB">
        <w:rPr>
          <w:rFonts w:ascii="Palatino Linotype" w:hAnsi="Palatino Linotype"/>
          <w:sz w:val="22"/>
          <w:szCs w:val="22"/>
        </w:rPr>
        <w:t xml:space="preserve"> Por ello, es menester precisar </w:t>
      </w:r>
      <w:r w:rsidRPr="00CF09CB" w:rsidR="002332CA">
        <w:rPr>
          <w:rFonts w:ascii="Palatino Linotype" w:hAnsi="Palatino Linotype"/>
          <w:sz w:val="22"/>
          <w:szCs w:val="22"/>
        </w:rPr>
        <w:t>que,</w:t>
      </w:r>
      <w:r w:rsidRPr="00CF09CB">
        <w:rPr>
          <w:rFonts w:ascii="Palatino Linotype" w:hAnsi="Palatino Linotype"/>
          <w:sz w:val="22"/>
          <w:szCs w:val="22"/>
        </w:rPr>
        <w:t xml:space="preserv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Pr="00CF09CB" w:rsidR="002332CA" w:rsidP="0019462A" w:rsidRDefault="002332CA" w14:paraId="6192A0D5" w14:textId="77777777">
      <w:pPr>
        <w:spacing w:line="360" w:lineRule="auto"/>
        <w:jc w:val="both"/>
        <w:rPr>
          <w:rFonts w:ascii="Palatino Linotype" w:hAnsi="Palatino Linotype"/>
          <w:sz w:val="22"/>
          <w:szCs w:val="22"/>
        </w:rPr>
      </w:pPr>
    </w:p>
    <w:p w:rsidRPr="00CF09CB" w:rsidR="00235E66" w:rsidP="0019462A" w:rsidRDefault="00235E66" w14:paraId="73A9E0B4" w14:textId="77777777">
      <w:pPr>
        <w:spacing w:line="360" w:lineRule="auto"/>
        <w:jc w:val="both"/>
        <w:rPr>
          <w:rFonts w:ascii="Palatino Linotype" w:hAnsi="Palatino Linotype"/>
          <w:sz w:val="22"/>
          <w:szCs w:val="22"/>
        </w:rPr>
      </w:pPr>
      <w:r w:rsidRPr="00CF09CB">
        <w:rPr>
          <w:rFonts w:ascii="Palatino Linotype" w:hAnsi="Palatino Linotype"/>
          <w:sz w:val="22"/>
          <w:szCs w:val="22"/>
        </w:rPr>
        <w:lastRenderedPageBreak/>
        <w:t xml:space="preserve"> 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Pr="00CF09CB" w:rsidR="00235E66" w:rsidP="0019462A" w:rsidRDefault="00235E66" w14:paraId="571E4ECD" w14:textId="5130E943">
      <w:pPr>
        <w:spacing w:line="360" w:lineRule="auto"/>
        <w:jc w:val="both"/>
        <w:rPr>
          <w:rFonts w:ascii="Palatino Linotype" w:hAnsi="Palatino Linotype"/>
          <w:sz w:val="22"/>
          <w:szCs w:val="22"/>
        </w:rPr>
      </w:pPr>
      <w:r w:rsidRPr="00CF09CB">
        <w:rPr>
          <w:rFonts w:ascii="Palatino Linotype" w:hAnsi="Palatino Linotype"/>
          <w:sz w:val="22"/>
          <w:szCs w:val="22"/>
        </w:rPr>
        <w:t xml:space="preserve"> 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Pr="00CF09CB" w:rsidR="002332CA" w:rsidP="0019462A" w:rsidRDefault="002332CA" w14:paraId="5C71A008" w14:textId="77777777">
      <w:pPr>
        <w:spacing w:line="360" w:lineRule="auto"/>
        <w:jc w:val="both"/>
        <w:rPr>
          <w:rFonts w:ascii="Palatino Linotype" w:hAnsi="Palatino Linotype"/>
          <w:sz w:val="22"/>
          <w:szCs w:val="22"/>
        </w:rPr>
      </w:pPr>
    </w:p>
    <w:p w:rsidRPr="00CF09CB" w:rsidR="00235E66" w:rsidP="0019462A" w:rsidRDefault="00235E66" w14:paraId="40C20097" w14:textId="77777777">
      <w:pPr>
        <w:spacing w:line="360" w:lineRule="auto"/>
        <w:jc w:val="both"/>
        <w:rPr>
          <w:rFonts w:ascii="Palatino Linotype" w:hAnsi="Palatino Linotype"/>
          <w:sz w:val="22"/>
          <w:szCs w:val="22"/>
        </w:rPr>
      </w:pPr>
      <w:r w:rsidRPr="00CF09CB">
        <w:rPr>
          <w:rFonts w:ascii="Palatino Linotype" w:hAnsi="Palatino Linotype"/>
          <w:sz w:val="22"/>
          <w:szCs w:val="22"/>
        </w:rPr>
        <w:t xml:space="preserve"> Por ello, excepcionalmente, si un asunto es resuelto con posterioridad a los plazos señalados por la norma debe analizarse la razonabilidad del tiempo necesario para su resolución, atentos a los siguientes criterios:  </w:t>
      </w:r>
    </w:p>
    <w:p w:rsidRPr="00CF09CB" w:rsidR="002332CA" w:rsidP="0019462A" w:rsidRDefault="002332CA" w14:paraId="63FA3C1A" w14:textId="77777777">
      <w:pPr>
        <w:spacing w:line="360" w:lineRule="auto"/>
        <w:jc w:val="both"/>
        <w:rPr>
          <w:rFonts w:ascii="Palatino Linotype" w:hAnsi="Palatino Linotype" w:eastAsia="Calibri" w:cs="Tahoma"/>
          <w:bCs/>
          <w:color w:val="000000" w:themeColor="text1"/>
          <w:sz w:val="22"/>
          <w:szCs w:val="22"/>
          <w:lang w:eastAsia="en-US"/>
        </w:rPr>
      </w:pPr>
    </w:p>
    <w:p w:rsidRPr="00CF09CB" w:rsidR="002332CA" w:rsidP="0019462A" w:rsidRDefault="002332CA" w14:paraId="11E0AAC2" w14:textId="77777777">
      <w:pPr>
        <w:numPr>
          <w:ilvl w:val="0"/>
          <w:numId w:val="39"/>
        </w:numPr>
        <w:spacing w:line="360" w:lineRule="auto"/>
        <w:contextualSpacing/>
        <w:jc w:val="both"/>
        <w:rPr>
          <w:rFonts w:ascii="Palatino Linotype" w:hAnsi="Palatino Linotype" w:eastAsia="Calibri" w:cs="Tahoma"/>
          <w:bCs/>
          <w:sz w:val="22"/>
          <w:lang w:eastAsia="es-ES"/>
        </w:rPr>
      </w:pPr>
      <w:r w:rsidRPr="00CF09CB">
        <w:rPr>
          <w:rFonts w:ascii="Palatino Linotype" w:hAnsi="Palatino Linotype" w:eastAsia="Calibri" w:cs="Tahoma"/>
          <w:b/>
          <w:sz w:val="22"/>
          <w:lang w:eastAsia="es-ES"/>
        </w:rPr>
        <w:t xml:space="preserve">Complejidad del asunto: </w:t>
      </w:r>
      <w:r w:rsidRPr="00CF09CB">
        <w:rPr>
          <w:rFonts w:ascii="Palatino Linotype" w:hAnsi="Palatino Linotype" w:eastAsia="Calibri" w:cs="Tahoma"/>
          <w:bCs/>
          <w:sz w:val="22"/>
          <w:lang w:eastAsia="es-ES"/>
        </w:rPr>
        <w:t>La complejidad de la prueba, la pluralidad de sujetos procesales, el tiempo transcurrido, las características y contexto del recurso.</w:t>
      </w:r>
    </w:p>
    <w:p w:rsidRPr="00CF09CB" w:rsidR="002332CA" w:rsidP="0019462A" w:rsidRDefault="002332CA" w14:paraId="73038ADF" w14:textId="77777777">
      <w:pPr>
        <w:spacing w:line="360" w:lineRule="auto"/>
        <w:jc w:val="both"/>
        <w:rPr>
          <w:rFonts w:ascii="Palatino Linotype" w:hAnsi="Palatino Linotype" w:eastAsia="Calibri" w:cs="Tahoma"/>
          <w:bCs/>
          <w:color w:val="000000" w:themeColor="text1"/>
          <w:sz w:val="22"/>
          <w:szCs w:val="22"/>
          <w:lang w:eastAsia="en-US"/>
        </w:rPr>
      </w:pPr>
    </w:p>
    <w:p w:rsidRPr="00CF09CB" w:rsidR="002332CA" w:rsidP="0019462A" w:rsidRDefault="002332CA" w14:paraId="69F38844" w14:textId="77777777">
      <w:pPr>
        <w:numPr>
          <w:ilvl w:val="0"/>
          <w:numId w:val="39"/>
        </w:numPr>
        <w:spacing w:line="360" w:lineRule="auto"/>
        <w:contextualSpacing/>
        <w:jc w:val="both"/>
        <w:rPr>
          <w:rFonts w:ascii="Palatino Linotype" w:hAnsi="Palatino Linotype" w:eastAsia="Calibri" w:cs="Tahoma"/>
          <w:bCs/>
          <w:sz w:val="22"/>
          <w:lang w:eastAsia="es-ES"/>
        </w:rPr>
      </w:pPr>
      <w:r w:rsidRPr="00CF09CB">
        <w:rPr>
          <w:rFonts w:ascii="Palatino Linotype" w:hAnsi="Palatino Linotype" w:eastAsia="Calibri" w:cs="Tahoma"/>
          <w:b/>
          <w:sz w:val="22"/>
          <w:lang w:eastAsia="es-ES"/>
        </w:rPr>
        <w:t>Actividad Procesal del interesado:</w:t>
      </w:r>
      <w:r w:rsidRPr="00CF09CB">
        <w:rPr>
          <w:rFonts w:ascii="Palatino Linotype" w:hAnsi="Palatino Linotype" w:eastAsia="Calibri" w:cs="Tahoma"/>
          <w:bCs/>
          <w:sz w:val="22"/>
          <w:lang w:eastAsia="es-ES"/>
        </w:rPr>
        <w:t xml:space="preserve"> Acciones u omisiones del interesado.</w:t>
      </w:r>
    </w:p>
    <w:p w:rsidRPr="00CF09CB" w:rsidR="002332CA" w:rsidP="0019462A" w:rsidRDefault="002332CA" w14:paraId="3EBF9143" w14:textId="77777777">
      <w:pPr>
        <w:spacing w:line="360" w:lineRule="auto"/>
        <w:jc w:val="both"/>
        <w:rPr>
          <w:rFonts w:ascii="Palatino Linotype" w:hAnsi="Palatino Linotype" w:eastAsia="Calibri" w:cs="Tahoma"/>
          <w:b/>
          <w:color w:val="000000" w:themeColor="text1"/>
          <w:sz w:val="22"/>
          <w:szCs w:val="22"/>
          <w:lang w:eastAsia="en-US"/>
        </w:rPr>
      </w:pPr>
    </w:p>
    <w:p w:rsidRPr="00CF09CB" w:rsidR="002332CA" w:rsidP="0019462A" w:rsidRDefault="002332CA" w14:paraId="56349B25" w14:textId="77777777">
      <w:pPr>
        <w:numPr>
          <w:ilvl w:val="0"/>
          <w:numId w:val="39"/>
        </w:numPr>
        <w:spacing w:line="360" w:lineRule="auto"/>
        <w:contextualSpacing/>
        <w:jc w:val="both"/>
        <w:rPr>
          <w:rFonts w:ascii="Palatino Linotype" w:hAnsi="Palatino Linotype" w:eastAsia="Calibri" w:cs="Tahoma"/>
          <w:bCs/>
          <w:sz w:val="22"/>
          <w:lang w:eastAsia="es-ES"/>
        </w:rPr>
      </w:pPr>
      <w:r w:rsidRPr="00CF09CB">
        <w:rPr>
          <w:rFonts w:ascii="Palatino Linotype" w:hAnsi="Palatino Linotype" w:eastAsia="Calibri" w:cs="Tahoma"/>
          <w:b/>
          <w:sz w:val="22"/>
          <w:lang w:eastAsia="es-ES"/>
        </w:rPr>
        <w:t>Conducta de la Autoridad:</w:t>
      </w:r>
      <w:r w:rsidRPr="00CF09CB">
        <w:rPr>
          <w:rFonts w:ascii="Palatino Linotype" w:hAnsi="Palatino Linotype" w:eastAsia="Calibri" w:cs="Tahoma"/>
          <w:bCs/>
          <w:sz w:val="22"/>
          <w:lang w:eastAsia="es-ES"/>
        </w:rPr>
        <w:t xml:space="preserve"> Las Acciones u omisiones realizadas en el procedimiento. Así como si la autoridad actuó con la debida diligencia.</w:t>
      </w:r>
    </w:p>
    <w:p w:rsidRPr="00CF09CB" w:rsidR="002332CA" w:rsidP="0019462A" w:rsidRDefault="002332CA" w14:paraId="3B30B22F" w14:textId="77777777">
      <w:pPr>
        <w:spacing w:line="360" w:lineRule="auto"/>
        <w:jc w:val="both"/>
        <w:rPr>
          <w:rFonts w:ascii="Palatino Linotype" w:hAnsi="Palatino Linotype" w:eastAsia="Calibri" w:cs="Tahoma"/>
          <w:b/>
          <w:color w:val="000000" w:themeColor="text1"/>
          <w:sz w:val="22"/>
          <w:szCs w:val="22"/>
          <w:lang w:eastAsia="en-US"/>
        </w:rPr>
      </w:pPr>
    </w:p>
    <w:p w:rsidRPr="00CF09CB" w:rsidR="002332CA" w:rsidP="0019462A" w:rsidRDefault="002332CA" w14:paraId="56308373" w14:textId="77777777">
      <w:pPr>
        <w:numPr>
          <w:ilvl w:val="0"/>
          <w:numId w:val="39"/>
        </w:numPr>
        <w:spacing w:line="360" w:lineRule="auto"/>
        <w:contextualSpacing/>
        <w:jc w:val="both"/>
        <w:rPr>
          <w:rFonts w:ascii="Palatino Linotype" w:hAnsi="Palatino Linotype" w:eastAsia="Calibri" w:cs="Tahoma"/>
          <w:bCs/>
          <w:sz w:val="22"/>
          <w:lang w:eastAsia="es-ES"/>
        </w:rPr>
      </w:pPr>
      <w:r w:rsidRPr="00CF09CB">
        <w:rPr>
          <w:rFonts w:ascii="Palatino Linotype" w:hAnsi="Palatino Linotype" w:eastAsia="Calibri" w:cs="Tahoma"/>
          <w:b/>
          <w:sz w:val="22"/>
          <w:lang w:eastAsia="es-ES"/>
        </w:rPr>
        <w:t xml:space="preserve">La afectación generada en la situación jurídica de la persona involucrada en el proceso: </w:t>
      </w:r>
      <w:r w:rsidRPr="00CF09CB">
        <w:rPr>
          <w:rFonts w:ascii="Palatino Linotype" w:hAnsi="Palatino Linotype" w:eastAsia="Calibri" w:cs="Tahoma"/>
          <w:bCs/>
          <w:sz w:val="22"/>
          <w:lang w:eastAsia="es-ES"/>
        </w:rPr>
        <w:t>Violación a sus derechos humanos.</w:t>
      </w:r>
    </w:p>
    <w:p w:rsidRPr="00CF09CB" w:rsidR="002332CA" w:rsidP="0019462A" w:rsidRDefault="002332CA" w14:paraId="5B42A5BA" w14:textId="77777777">
      <w:pPr>
        <w:spacing w:line="360" w:lineRule="auto"/>
        <w:jc w:val="both"/>
        <w:rPr>
          <w:rFonts w:ascii="Palatino Linotype" w:hAnsi="Palatino Linotype"/>
          <w:sz w:val="22"/>
          <w:szCs w:val="22"/>
        </w:rPr>
      </w:pPr>
    </w:p>
    <w:p w:rsidRPr="00CF09CB" w:rsidR="00235E66" w:rsidP="0019462A" w:rsidRDefault="00235E66" w14:paraId="7D8DDEA4" w14:textId="0F965312">
      <w:pPr>
        <w:spacing w:line="360" w:lineRule="auto"/>
        <w:jc w:val="both"/>
        <w:rPr>
          <w:rFonts w:ascii="Palatino Linotype" w:hAnsi="Palatino Linotype"/>
          <w:sz w:val="22"/>
          <w:szCs w:val="22"/>
        </w:rPr>
      </w:pPr>
      <w:r w:rsidRPr="00CF09CB">
        <w:rPr>
          <w:rFonts w:ascii="Palatino Linotype" w:hAnsi="Palatino Linotype"/>
          <w:sz w:val="22"/>
          <w:szCs w:val="22"/>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w:t>
      </w:r>
      <w:r w:rsidRPr="00CF09CB">
        <w:rPr>
          <w:rFonts w:ascii="Palatino Linotype" w:hAnsi="Palatino Linotype"/>
          <w:sz w:val="22"/>
          <w:szCs w:val="22"/>
        </w:rPr>
        <w:lastRenderedPageBreak/>
        <w:t>concluirse que es una excluyente de responsabilidad en relación con la actuación del funcionario, como ha acontecido en el caso que nos ocupa.</w:t>
      </w:r>
    </w:p>
    <w:p w:rsidRPr="00CF09CB" w:rsidR="002332CA" w:rsidP="0019462A" w:rsidRDefault="002332CA" w14:paraId="14FD94BC" w14:textId="77777777">
      <w:pPr>
        <w:spacing w:line="360" w:lineRule="auto"/>
        <w:jc w:val="both"/>
        <w:rPr>
          <w:rFonts w:ascii="Palatino Linotype" w:hAnsi="Palatino Linotype"/>
          <w:sz w:val="22"/>
          <w:szCs w:val="22"/>
        </w:rPr>
      </w:pPr>
    </w:p>
    <w:p w:rsidRPr="00CF09CB" w:rsidR="00235E66" w:rsidP="0019462A" w:rsidRDefault="00235E66" w14:paraId="46A33A4E" w14:textId="5FEA5E0B">
      <w:pPr>
        <w:spacing w:line="360" w:lineRule="auto"/>
        <w:jc w:val="both"/>
        <w:rPr>
          <w:rFonts w:ascii="Palatino Linotype" w:hAnsi="Palatino Linotype"/>
          <w:sz w:val="22"/>
          <w:szCs w:val="22"/>
        </w:rPr>
      </w:pPr>
      <w:r w:rsidRPr="00CF09CB">
        <w:rPr>
          <w:rFonts w:ascii="Palatino Linotype" w:hAnsi="Palatino Linotype"/>
          <w:sz w:val="22"/>
          <w:szCs w:val="22"/>
        </w:rPr>
        <w:t xml:space="preserve"> Argumento que encuentra sustento en la jurisprudencia P./J. 32/92 emitida por el Pleno de la Suprema Corte de Justicia de la Nación de rubro </w:t>
      </w:r>
      <w:r w:rsidRPr="00CF09CB">
        <w:rPr>
          <w:rFonts w:ascii="Palatino Linotype" w:hAnsi="Palatino Linotype"/>
          <w:b/>
          <w:bCs/>
          <w:sz w:val="22"/>
          <w:szCs w:val="22"/>
        </w:rPr>
        <w:t>“TÉRMINOS PROCESALES. PARA DETERMINAR SI UN FUNCIONARIO JUDICIAL ACTUÓ INDEBIDAMENTE POR NO RESPETARLOS SE DEBE ATENDER AL PRESUPUESTO QUE CONSIDERÓ EL LEGISLADOR AL FIJARLOS Y LAS CARACTERÍSTICAS DEL CASO.”,</w:t>
      </w:r>
      <w:r w:rsidRPr="00CF09CB">
        <w:rPr>
          <w:rFonts w:ascii="Palatino Linotype" w:hAnsi="Palatino Linotype"/>
          <w:sz w:val="22"/>
          <w:szCs w:val="22"/>
        </w:rPr>
        <w:t xml:space="preserve"> visible en la Gaceta del Seminario Judicial de la Federación con el registro digital 205635.</w:t>
      </w:r>
    </w:p>
    <w:p w:rsidRPr="00CF09CB" w:rsidR="008E3EA7" w:rsidP="0019462A" w:rsidRDefault="008E3EA7" w14:paraId="3D26C66E" w14:textId="77777777">
      <w:pPr>
        <w:spacing w:line="360" w:lineRule="auto"/>
        <w:jc w:val="both"/>
        <w:rPr>
          <w:rFonts w:ascii="Palatino Linotype" w:hAnsi="Palatino Linotype"/>
          <w:sz w:val="22"/>
          <w:szCs w:val="22"/>
        </w:rPr>
      </w:pPr>
    </w:p>
    <w:p w:rsidRPr="00CF09CB" w:rsidR="00235E66" w:rsidP="0019462A" w:rsidRDefault="00235E66" w14:paraId="7F009E92" w14:textId="2BEBAE56">
      <w:pPr>
        <w:spacing w:line="360" w:lineRule="auto"/>
        <w:jc w:val="both"/>
        <w:rPr>
          <w:rFonts w:ascii="Palatino Linotype" w:hAnsi="Palatino Linotype"/>
          <w:sz w:val="22"/>
          <w:szCs w:val="22"/>
        </w:rPr>
      </w:pPr>
      <w:r w:rsidRPr="00CF09CB">
        <w:rPr>
          <w:rFonts w:ascii="Palatino Linotype" w:hAnsi="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Pr="00CF09CB" w:rsidR="008E3EA7" w:rsidP="0019462A" w:rsidRDefault="008E3EA7" w14:paraId="0B8BF0FD" w14:textId="77777777">
      <w:pPr>
        <w:spacing w:line="360" w:lineRule="auto"/>
        <w:jc w:val="both"/>
        <w:rPr>
          <w:rFonts w:ascii="Palatino Linotype" w:hAnsi="Palatino Linotype"/>
          <w:sz w:val="22"/>
          <w:szCs w:val="22"/>
        </w:rPr>
      </w:pPr>
    </w:p>
    <w:p w:rsidRPr="00CF09CB" w:rsidR="00235E66" w:rsidP="0019462A" w:rsidRDefault="00235E66" w14:paraId="55D037E1" w14:textId="77777777">
      <w:pPr>
        <w:spacing w:line="360" w:lineRule="auto"/>
        <w:jc w:val="both"/>
        <w:rPr>
          <w:rFonts w:ascii="Palatino Linotype" w:hAnsi="Palatino Linotype"/>
          <w:sz w:val="22"/>
          <w:szCs w:val="22"/>
        </w:rPr>
      </w:pPr>
      <w:r w:rsidRPr="00CF09CB">
        <w:rPr>
          <w:rFonts w:ascii="Palatino Linotype" w:hAnsi="Palatino Linotype"/>
          <w:sz w:val="22"/>
          <w:szCs w:val="22"/>
        </w:rPr>
        <w:t>Al respecto, también son de considerar los criterios sostenidos por el Cuarto Tribunal Colegiado en Materia Administrativa del Primer Circuito, cuyos rubros y datos de identificación son los siguientes:</w:t>
      </w:r>
    </w:p>
    <w:p w:rsidRPr="00CF09CB" w:rsidR="00235E66" w:rsidP="0019462A" w:rsidRDefault="00235E66" w14:paraId="2FFCA1DC" w14:textId="77777777">
      <w:pPr>
        <w:spacing w:line="360" w:lineRule="auto"/>
        <w:jc w:val="both"/>
        <w:rPr>
          <w:rFonts w:ascii="Palatino Linotype" w:hAnsi="Palatino Linotype"/>
          <w:sz w:val="22"/>
          <w:szCs w:val="22"/>
        </w:rPr>
      </w:pPr>
      <w:r w:rsidRPr="00CF09CB">
        <w:rPr>
          <w:rFonts w:ascii="Palatino Linotype" w:hAnsi="Palatino Linotype"/>
          <w:sz w:val="22"/>
          <w:szCs w:val="22"/>
        </w:rPr>
        <w:t xml:space="preserve"> </w:t>
      </w:r>
    </w:p>
    <w:p w:rsidRPr="00CF09CB" w:rsidR="00235E66" w:rsidP="0019462A" w:rsidRDefault="00235E66" w14:paraId="09DA36B6" w14:textId="77777777">
      <w:pPr>
        <w:spacing w:line="360" w:lineRule="auto"/>
        <w:jc w:val="both"/>
        <w:rPr>
          <w:rFonts w:ascii="Palatino Linotype" w:hAnsi="Palatino Linotype"/>
          <w:sz w:val="22"/>
          <w:szCs w:val="22"/>
        </w:rPr>
      </w:pPr>
      <w:r w:rsidRPr="00CF09CB">
        <w:rPr>
          <w:rFonts w:ascii="Palatino Linotype" w:hAnsi="Palatino Linotype"/>
          <w:sz w:val="22"/>
          <w:szCs w:val="22"/>
        </w:rPr>
        <w:t xml:space="preserve"> </w:t>
      </w:r>
      <w:r w:rsidRPr="00CF09CB">
        <w:rPr>
          <w:rFonts w:ascii="Palatino Linotype" w:hAnsi="Palatino Linotype"/>
          <w:b/>
          <w:bCs/>
          <w:sz w:val="22"/>
          <w:szCs w:val="22"/>
        </w:rPr>
        <w:t>“PLAZO RAZONABLE PARA RESOLVER. DIMENSIÓN Y EFECTOS DE ESTE CONCEPTO CUANDO SE ADUCE EXCESIVA CARGA DE TRABAJO.”</w:t>
      </w:r>
      <w:r w:rsidRPr="00CF09CB">
        <w:rPr>
          <w:rFonts w:ascii="Palatino Linotype" w:hAnsi="Palatino Linotype"/>
          <w:sz w:val="22"/>
          <w:szCs w:val="22"/>
        </w:rPr>
        <w:t xml:space="preserve"> consultable en el Seminario Judicial de la Federación y su gaceta, con el registro digital 2002351.</w:t>
      </w:r>
    </w:p>
    <w:p w:rsidRPr="00CF09CB" w:rsidR="00235E66" w:rsidP="0019462A" w:rsidRDefault="00235E66" w14:paraId="0A949414" w14:textId="5FC79D55">
      <w:pPr>
        <w:spacing w:line="360" w:lineRule="auto"/>
        <w:jc w:val="both"/>
        <w:rPr>
          <w:rFonts w:ascii="Palatino Linotype" w:hAnsi="Palatino Linotype"/>
          <w:sz w:val="22"/>
          <w:szCs w:val="22"/>
        </w:rPr>
      </w:pPr>
      <w:r w:rsidRPr="00CF09CB">
        <w:rPr>
          <w:rFonts w:ascii="Palatino Linotype" w:hAnsi="Palatino Linotype"/>
          <w:b/>
          <w:bCs/>
          <w:sz w:val="22"/>
          <w:szCs w:val="22"/>
        </w:rPr>
        <w:lastRenderedPageBreak/>
        <w:t>“PLAZO RAZONABLE PARA RESOLVER. CONCEPTO Y ELEMENTOS QUE LO INTEGRAN A LA LUZ DEL DERECHO INTERNACIONAL DE LOS DERECHOS HUMANOS.”,</w:t>
      </w:r>
      <w:r w:rsidRPr="00CF09CB">
        <w:rPr>
          <w:rFonts w:ascii="Palatino Linotype" w:hAnsi="Palatino Linotype"/>
          <w:sz w:val="22"/>
          <w:szCs w:val="22"/>
        </w:rPr>
        <w:t xml:space="preserve"> visible en el Seminario Judicial de la Federación y su gaceta, con el registro digital 2002350.</w:t>
      </w:r>
    </w:p>
    <w:p w:rsidRPr="00CF09CB" w:rsidR="008E3EA7" w:rsidP="0019462A" w:rsidRDefault="008E3EA7" w14:paraId="07EBA784" w14:textId="77777777">
      <w:pPr>
        <w:spacing w:line="360" w:lineRule="auto"/>
        <w:jc w:val="both"/>
        <w:rPr>
          <w:rFonts w:ascii="Palatino Linotype" w:hAnsi="Palatino Linotype"/>
          <w:sz w:val="22"/>
          <w:szCs w:val="22"/>
        </w:rPr>
      </w:pPr>
    </w:p>
    <w:p w:rsidRPr="00CF09CB" w:rsidR="00235E66" w:rsidP="0019462A" w:rsidRDefault="00235E66" w14:paraId="01018C53" w14:textId="77777777">
      <w:pPr>
        <w:spacing w:line="360" w:lineRule="auto"/>
        <w:jc w:val="both"/>
        <w:rPr>
          <w:rFonts w:ascii="Palatino Linotype" w:hAnsi="Palatino Linotype"/>
          <w:sz w:val="22"/>
          <w:szCs w:val="22"/>
        </w:rPr>
      </w:pPr>
      <w:r w:rsidRPr="00CF09CB">
        <w:rPr>
          <w:rFonts w:ascii="Palatino Linotype" w:hAnsi="Palatino Linotype"/>
          <w:sz w:val="22"/>
          <w:szCs w:val="22"/>
        </w:rPr>
        <w:t>Por ello, este organismo garante comprometido con la tutela de los derechos humanos confiados, señala que este exceso del plazo legal para resolver el presente asunto, resulta de carácter excepcional.</w:t>
      </w:r>
    </w:p>
    <w:p w:rsidRPr="00CF09CB" w:rsidR="00235E66" w:rsidP="0019462A" w:rsidRDefault="00235E66" w14:paraId="4D35808A" w14:textId="77777777">
      <w:pPr>
        <w:spacing w:line="360" w:lineRule="auto"/>
        <w:jc w:val="both"/>
        <w:rPr>
          <w:rFonts w:ascii="Palatino Linotype" w:hAnsi="Palatino Linotype" w:eastAsia="Palatino Linotype" w:cs="Palatino Linotype"/>
          <w:sz w:val="22"/>
          <w:szCs w:val="22"/>
          <w:lang w:val="es-ES"/>
        </w:rPr>
      </w:pPr>
    </w:p>
    <w:p w:rsidRPr="00CF09CB" w:rsidR="007E363C" w:rsidP="0019462A" w:rsidRDefault="00D37A85" w14:paraId="50EE013F" w14:textId="136FA183">
      <w:pPr>
        <w:spacing w:line="360" w:lineRule="auto"/>
        <w:jc w:val="both"/>
        <w:rPr>
          <w:rFonts w:ascii="Palatino Linotype" w:hAnsi="Palatino Linotype" w:eastAsia="Palatino Linotype" w:cs="Palatino Linotype"/>
          <w:sz w:val="22"/>
          <w:szCs w:val="22"/>
          <w:lang w:val="es-ES"/>
        </w:rPr>
      </w:pPr>
      <w:r w:rsidRPr="00CF09CB">
        <w:rPr>
          <w:rFonts w:ascii="Palatino Linotype" w:hAnsi="Palatino Linotype" w:eastAsia="Palatino Linotype" w:cs="Palatino Linotype"/>
          <w:b/>
          <w:bCs/>
          <w:sz w:val="22"/>
          <w:szCs w:val="22"/>
          <w:lang w:val="es-ES"/>
        </w:rPr>
        <w:t>f</w:t>
      </w:r>
      <w:r w:rsidRPr="00CF09CB" w:rsidR="007E363C">
        <w:rPr>
          <w:rFonts w:ascii="Palatino Linotype" w:hAnsi="Palatino Linotype" w:eastAsia="Palatino Linotype" w:cs="Palatino Linotype"/>
          <w:b/>
          <w:bCs/>
          <w:sz w:val="22"/>
          <w:szCs w:val="22"/>
          <w:lang w:val="es-ES"/>
        </w:rPr>
        <w:t xml:space="preserve">) Cierre de Instrucción: </w:t>
      </w:r>
      <w:r w:rsidRPr="00CF09CB" w:rsidR="007E363C">
        <w:rPr>
          <w:rFonts w:ascii="Palatino Linotype" w:hAnsi="Palatino Linotype" w:eastAsia="Palatino Linotype" w:cs="Palatino Linotype"/>
          <w:sz w:val="22"/>
          <w:szCs w:val="22"/>
        </w:rPr>
        <w:t xml:space="preserve">El </w:t>
      </w:r>
      <w:r w:rsidRPr="00CF09CB" w:rsidR="00235E66">
        <w:rPr>
          <w:rFonts w:ascii="Palatino Linotype" w:hAnsi="Palatino Linotype" w:eastAsia="Palatino Linotype" w:cs="Palatino Linotype"/>
          <w:sz w:val="22"/>
          <w:szCs w:val="22"/>
        </w:rPr>
        <w:t>veintiuno de junio</w:t>
      </w:r>
      <w:r w:rsidRPr="00CF09CB" w:rsidR="0004183B">
        <w:rPr>
          <w:rFonts w:ascii="Palatino Linotype" w:hAnsi="Palatino Linotype" w:eastAsia="Palatino Linotype" w:cs="Palatino Linotype"/>
          <w:sz w:val="22"/>
          <w:szCs w:val="22"/>
          <w:lang w:val="es-ES"/>
        </w:rPr>
        <w:t xml:space="preserve"> de dos mil veintidós</w:t>
      </w:r>
      <w:r w:rsidRPr="00CF09CB" w:rsidR="007E363C">
        <w:rPr>
          <w:rFonts w:ascii="Palatino Linotype" w:hAnsi="Palatino Linotype" w:eastAsia="Palatino Linotype" w:cs="Palatino Linotype"/>
          <w:sz w:val="22"/>
          <w:szCs w:val="22"/>
        </w:rPr>
        <w:t xml:space="preserv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mismo que fue notificado a las partes el mismo día, a través del </w:t>
      </w:r>
      <w:r w:rsidRPr="00CF09CB" w:rsidR="007E363C">
        <w:rPr>
          <w:rFonts w:ascii="Palatino Linotype" w:hAnsi="Palatino Linotype" w:eastAsia="Palatino Linotype" w:cs="Palatino Linotype"/>
          <w:sz w:val="22"/>
          <w:szCs w:val="22"/>
          <w:lang w:val="es-ES"/>
        </w:rPr>
        <w:t>Sistema de Acceso a la Información Mexiquense (SAIMEX)</w:t>
      </w:r>
      <w:r w:rsidRPr="00CF09CB" w:rsidR="007E363C">
        <w:rPr>
          <w:rFonts w:ascii="Palatino Linotype" w:hAnsi="Palatino Linotype" w:eastAsia="Palatino Linotype" w:cs="Palatino Linotype"/>
          <w:sz w:val="22"/>
          <w:szCs w:val="22"/>
        </w:rPr>
        <w:t>.</w:t>
      </w:r>
    </w:p>
    <w:p w:rsidRPr="00CF09CB" w:rsidR="00B811AA" w:rsidP="0019462A" w:rsidRDefault="00B811AA" w14:paraId="22CFDFB4" w14:textId="77777777">
      <w:pPr>
        <w:spacing w:line="360" w:lineRule="auto"/>
        <w:jc w:val="both"/>
        <w:rPr>
          <w:rFonts w:ascii="Palatino Linotype" w:hAnsi="Palatino Linotype" w:eastAsia="Palatino Linotype" w:cs="Palatino Linotype"/>
          <w:sz w:val="22"/>
          <w:szCs w:val="22"/>
        </w:rPr>
      </w:pPr>
    </w:p>
    <w:p w:rsidRPr="00CF09CB" w:rsidR="007E363C" w:rsidP="0019462A" w:rsidRDefault="007E363C" w14:paraId="42B3D26A" w14:textId="77777777">
      <w:pPr>
        <w:spacing w:line="360" w:lineRule="auto"/>
        <w:jc w:val="both"/>
        <w:rPr>
          <w:rFonts w:ascii="Palatino Linotype" w:hAnsi="Palatino Linotype" w:eastAsia="Palatino Linotype" w:cs="Palatino Linotype"/>
          <w:sz w:val="22"/>
          <w:szCs w:val="22"/>
        </w:rPr>
      </w:pPr>
      <w:r w:rsidRPr="00CF09CB">
        <w:rPr>
          <w:rFonts w:ascii="Palatino Linotype" w:hAnsi="Palatino Linotype" w:eastAsia="Palatino Linotype" w:cs="Palatino Linotype"/>
          <w:sz w:val="22"/>
          <w:szCs w:val="22"/>
        </w:rPr>
        <w:t xml:space="preserve">En razón de que fue debidamente sustanciado e integrado el expediente electrónico y no existe diligencia pendiente de desahogo, se emite la resolución que conforme a Derecho proceda, de acuerdo a los siguientes: </w:t>
      </w:r>
    </w:p>
    <w:p w:rsidRPr="00CF09CB" w:rsidR="007E363C" w:rsidP="0019462A" w:rsidRDefault="007E363C" w14:paraId="079BFF9B" w14:textId="77777777">
      <w:pPr>
        <w:spacing w:line="360" w:lineRule="auto"/>
        <w:jc w:val="both"/>
        <w:rPr>
          <w:rFonts w:ascii="Palatino Linotype" w:hAnsi="Palatino Linotype" w:eastAsia="Palatino Linotype" w:cs="Palatino Linotype"/>
          <w:b/>
          <w:bCs/>
          <w:sz w:val="22"/>
          <w:szCs w:val="22"/>
        </w:rPr>
      </w:pPr>
    </w:p>
    <w:p w:rsidRPr="00CF09CB" w:rsidR="007E363C" w:rsidP="0019462A" w:rsidRDefault="007E363C" w14:paraId="06A9A1A6" w14:textId="77777777">
      <w:pPr>
        <w:spacing w:line="360" w:lineRule="auto"/>
        <w:jc w:val="center"/>
        <w:rPr>
          <w:rFonts w:ascii="Palatino Linotype" w:hAnsi="Palatino Linotype" w:eastAsia="Palatino Linotype" w:cs="Palatino Linotype"/>
          <w:b/>
          <w:bCs/>
          <w:sz w:val="22"/>
          <w:szCs w:val="22"/>
          <w:lang w:val="es-ES"/>
        </w:rPr>
      </w:pPr>
      <w:r w:rsidRPr="00CF09CB">
        <w:rPr>
          <w:rFonts w:ascii="Palatino Linotype" w:hAnsi="Palatino Linotype" w:eastAsia="Palatino Linotype" w:cs="Palatino Linotype"/>
          <w:b/>
          <w:bCs/>
          <w:sz w:val="22"/>
          <w:szCs w:val="22"/>
          <w:lang w:val="es-ES"/>
        </w:rPr>
        <w:t>C O N S I D E R A N D O S:</w:t>
      </w:r>
    </w:p>
    <w:p w:rsidRPr="00CF09CB" w:rsidR="007E363C" w:rsidP="0019462A" w:rsidRDefault="007E363C" w14:paraId="34AB0398" w14:textId="77777777">
      <w:pPr>
        <w:spacing w:line="360" w:lineRule="auto"/>
        <w:jc w:val="both"/>
        <w:rPr>
          <w:rFonts w:ascii="Palatino Linotype" w:hAnsi="Palatino Linotype" w:eastAsia="Palatino Linotype" w:cs="Palatino Linotype"/>
          <w:b/>
          <w:bCs/>
          <w:sz w:val="22"/>
          <w:szCs w:val="22"/>
        </w:rPr>
      </w:pPr>
    </w:p>
    <w:p w:rsidRPr="00CF09CB" w:rsidR="00C33ADC" w:rsidP="0019462A" w:rsidRDefault="00C33ADC" w14:paraId="1F1F860D" w14:textId="77777777">
      <w:pPr>
        <w:spacing w:line="360" w:lineRule="auto"/>
        <w:jc w:val="both"/>
        <w:rPr>
          <w:rFonts w:ascii="Palatino Linotype" w:hAnsi="Palatino Linotype" w:eastAsia="Calibri" w:cs="Tahoma"/>
          <w:b/>
          <w:color w:val="000000"/>
          <w:sz w:val="22"/>
          <w:lang w:val="es-ES"/>
        </w:rPr>
      </w:pPr>
      <w:r w:rsidRPr="00CF09CB">
        <w:rPr>
          <w:rFonts w:ascii="Palatino Linotype" w:hAnsi="Palatino Linotype" w:eastAsia="Calibri" w:cs="Tahoma"/>
          <w:b/>
          <w:color w:val="000000"/>
          <w:sz w:val="22"/>
          <w:lang w:val="es-ES"/>
        </w:rPr>
        <w:t>PRIMERO. Competencia.</w:t>
      </w:r>
    </w:p>
    <w:p w:rsidRPr="00CF09CB" w:rsidR="00C33ADC" w:rsidP="0019462A" w:rsidRDefault="00C33ADC" w14:paraId="176665BC" w14:textId="77777777">
      <w:pPr>
        <w:spacing w:line="360" w:lineRule="auto"/>
        <w:jc w:val="both"/>
        <w:rPr>
          <w:rFonts w:ascii="Palatino Linotype" w:hAnsi="Palatino Linotype" w:eastAsia="Calibri" w:cs="Tahoma"/>
          <w:b/>
          <w:color w:val="000000"/>
          <w:sz w:val="22"/>
          <w:lang w:val="es-ES"/>
        </w:rPr>
      </w:pPr>
    </w:p>
    <w:p w:rsidRPr="00CF09CB" w:rsidR="00C33ADC" w:rsidP="0019462A" w:rsidRDefault="00C33ADC" w14:paraId="4E599BF0" w14:textId="77777777">
      <w:pPr>
        <w:spacing w:line="360" w:lineRule="auto"/>
        <w:jc w:val="both"/>
        <w:rPr>
          <w:rFonts w:ascii="Palatino Linotype" w:hAnsi="Palatino Linotype" w:eastAsia="Calibri" w:cs="Tahoma"/>
          <w:b/>
          <w:bCs/>
          <w:color w:val="000000"/>
          <w:sz w:val="22"/>
        </w:rPr>
      </w:pPr>
      <w:r w:rsidRPr="00CF09CB">
        <w:rPr>
          <w:rFonts w:ascii="Palatino Linotype" w:hAnsi="Palatino Linotype" w:eastAsia="Calibri" w:cs="Tahoma"/>
          <w:color w:val="000000"/>
          <w:sz w:val="22"/>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w:t>
      </w:r>
      <w:r w:rsidRPr="00CF09CB">
        <w:rPr>
          <w:rFonts w:ascii="Palatino Linotype" w:hAnsi="Palatino Linotype" w:eastAsia="Calibri" w:cs="Tahoma"/>
          <w:color w:val="000000"/>
          <w:sz w:val="22"/>
        </w:rPr>
        <w:lastRenderedPageBreak/>
        <w:t>los artículos 6°, apartado A, de la Constitución Política de los Estados Unidos Mexicanos; 5°, párrafos trigésimo</w:t>
      </w:r>
      <w:r w:rsidRPr="00CF09CB">
        <w:rPr>
          <w:rFonts w:ascii="Palatino Linotype" w:hAnsi="Palatino Linotype" w:eastAsia="Calibri" w:cs="Tahoma"/>
          <w:color w:val="000000"/>
          <w:sz w:val="22"/>
          <w:lang w:val="x-none"/>
        </w:rPr>
        <w:t>, trigésimo primero</w:t>
      </w:r>
      <w:r w:rsidRPr="00CF09CB">
        <w:rPr>
          <w:rFonts w:ascii="Palatino Linotype" w:hAnsi="Palatino Linotype" w:eastAsia="Calibri" w:cs="Tahoma"/>
          <w:color w:val="000000"/>
          <w:sz w:val="22"/>
        </w:rPr>
        <w:t xml:space="preserve">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w:t>
      </w:r>
      <w:r w:rsidRPr="00CF09CB">
        <w:rPr>
          <w:rFonts w:ascii="Palatino Linotype" w:hAnsi="Palatino Linotype" w:eastAsia="Calibri" w:cs="Tahoma"/>
          <w:b/>
          <w:bCs/>
          <w:color w:val="000000"/>
          <w:sz w:val="22"/>
        </w:rPr>
        <w:t xml:space="preserve"> </w:t>
      </w:r>
      <w:r w:rsidRPr="00CF09CB">
        <w:rPr>
          <w:rFonts w:ascii="Palatino Linotype" w:hAnsi="Palatino Linotype" w:eastAsia="Calibri" w:cs="Tahoma"/>
          <w:color w:val="000000"/>
          <w:sz w:val="22"/>
        </w:rPr>
        <w:t>Información Pública y Protección de Datos Personales del Estado de México y Municipios.</w:t>
      </w:r>
    </w:p>
    <w:p w:rsidRPr="00CF09CB" w:rsidR="00C33ADC" w:rsidP="0019462A" w:rsidRDefault="00C33ADC" w14:paraId="5EC01A55" w14:textId="77777777">
      <w:pPr>
        <w:spacing w:line="360" w:lineRule="auto"/>
        <w:jc w:val="both"/>
        <w:rPr>
          <w:rFonts w:ascii="Palatino Linotype" w:hAnsi="Palatino Linotype" w:eastAsia="Calibri" w:cs="Tahoma"/>
          <w:color w:val="000000"/>
          <w:sz w:val="22"/>
        </w:rPr>
      </w:pPr>
    </w:p>
    <w:p w:rsidRPr="00CF09CB" w:rsidR="006A79F2" w:rsidP="0019462A" w:rsidRDefault="006A79F2" w14:paraId="57B78F0B" w14:textId="77777777">
      <w:pPr>
        <w:spacing w:line="360" w:lineRule="auto"/>
        <w:jc w:val="both"/>
        <w:rPr>
          <w:rFonts w:ascii="Palatino Linotype" w:hAnsi="Palatino Linotype" w:cs="Tahoma"/>
          <w:b/>
          <w:bCs/>
          <w:sz w:val="22"/>
          <w:szCs w:val="22"/>
          <w:lang w:eastAsia="es-ES"/>
        </w:rPr>
      </w:pPr>
      <w:r w:rsidRPr="00CF09CB">
        <w:rPr>
          <w:rFonts w:ascii="Palatino Linotype" w:hAnsi="Palatino Linotype" w:cs="Tahoma"/>
          <w:b/>
          <w:bCs/>
          <w:sz w:val="22"/>
          <w:szCs w:val="22"/>
          <w:lang w:eastAsia="es-ES"/>
        </w:rPr>
        <w:t>SEGUNDO. Causales de procedencia.</w:t>
      </w:r>
    </w:p>
    <w:p w:rsidRPr="00CF09CB" w:rsidR="006A79F2" w:rsidP="0019462A" w:rsidRDefault="006A79F2" w14:paraId="37F78C9C" w14:textId="77777777">
      <w:pPr>
        <w:spacing w:line="360" w:lineRule="auto"/>
        <w:jc w:val="both"/>
        <w:rPr>
          <w:rFonts w:ascii="Palatino Linotype" w:hAnsi="Palatino Linotype" w:cs="Tahoma"/>
          <w:bCs/>
          <w:sz w:val="22"/>
          <w:szCs w:val="22"/>
          <w:lang w:eastAsia="es-ES"/>
        </w:rPr>
      </w:pPr>
    </w:p>
    <w:p w:rsidRPr="00CF09CB" w:rsidR="006A79F2" w:rsidP="0019462A" w:rsidRDefault="006A79F2" w14:paraId="2EDA20ED" w14:textId="77777777">
      <w:pPr>
        <w:spacing w:line="360" w:lineRule="auto"/>
        <w:jc w:val="both"/>
        <w:rPr>
          <w:rFonts w:ascii="Palatino Linotype" w:hAnsi="Palatino Linotype" w:cs="Tahoma"/>
          <w:bCs/>
          <w:sz w:val="22"/>
          <w:szCs w:val="22"/>
          <w:lang w:eastAsia="es-ES"/>
        </w:rPr>
      </w:pPr>
      <w:r w:rsidRPr="00CF09CB">
        <w:rPr>
          <w:rFonts w:ascii="Palatino Linotype" w:hAnsi="Palatino Linotype" w:cs="Tahoma"/>
          <w:bCs/>
          <w:sz w:val="22"/>
          <w:szCs w:val="22"/>
          <w:lang w:eastAsia="es-ES"/>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Pr="00CF09CB" w:rsidR="006A79F2" w:rsidP="0019462A" w:rsidRDefault="006A79F2" w14:paraId="012DFF4A" w14:textId="77777777">
      <w:pPr>
        <w:spacing w:line="360" w:lineRule="auto"/>
        <w:jc w:val="both"/>
        <w:rPr>
          <w:rFonts w:ascii="Palatino Linotype" w:hAnsi="Palatino Linotype" w:cs="Tahoma"/>
          <w:bCs/>
          <w:sz w:val="22"/>
          <w:szCs w:val="22"/>
          <w:lang w:eastAsia="es-ES"/>
        </w:rPr>
      </w:pPr>
    </w:p>
    <w:p w:rsidRPr="00CF09CB" w:rsidR="006A79F2" w:rsidP="0019462A" w:rsidRDefault="006A79F2" w14:paraId="5CA76F88" w14:textId="77777777">
      <w:pPr>
        <w:spacing w:line="360" w:lineRule="auto"/>
        <w:jc w:val="both"/>
        <w:rPr>
          <w:rFonts w:ascii="Palatino Linotype" w:hAnsi="Palatino Linotype" w:cs="Tahoma"/>
          <w:bCs/>
          <w:sz w:val="22"/>
          <w:szCs w:val="22"/>
          <w:lang w:eastAsia="es-ES"/>
        </w:rPr>
      </w:pPr>
      <w:r w:rsidRPr="00CF09CB">
        <w:rPr>
          <w:rFonts w:ascii="Palatino Linotype" w:hAnsi="Palatino Linotype" w:cs="Tahoma"/>
          <w:bCs/>
          <w:sz w:val="22"/>
          <w:szCs w:val="22"/>
          <w:lang w:eastAsia="es-ES"/>
        </w:rPr>
        <w:t xml:space="preserve">En el presente caso, </w:t>
      </w:r>
      <w:r w:rsidRPr="00CF09CB">
        <w:rPr>
          <w:rFonts w:ascii="Palatino Linotype" w:hAnsi="Palatino Linotype" w:cs="Tahoma"/>
          <w:b/>
          <w:sz w:val="22"/>
          <w:szCs w:val="22"/>
          <w:lang w:eastAsia="es-ES"/>
        </w:rPr>
        <w:t>no se actualiza alguna de las causales de improcedencia</w:t>
      </w:r>
      <w:r w:rsidRPr="00CF09CB">
        <w:rPr>
          <w:rFonts w:ascii="Palatino Linotype" w:hAnsi="Palatino Linotype" w:cs="Tahoma"/>
          <w:bCs/>
          <w:sz w:val="22"/>
          <w:szCs w:val="22"/>
          <w:lang w:eastAsia="es-ES"/>
        </w:rPr>
        <w:t xml:space="preserve">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la Recurrente ante otra instancia; no existió prevención alguna; la veracidad de la respuesta </w:t>
      </w:r>
      <w:r w:rsidRPr="00CF09CB">
        <w:rPr>
          <w:rFonts w:ascii="Palatino Linotype" w:hAnsi="Palatino Linotype" w:cs="Tahoma"/>
          <w:bCs/>
          <w:sz w:val="22"/>
          <w:szCs w:val="22"/>
          <w:lang w:eastAsia="es-ES"/>
        </w:rPr>
        <w:lastRenderedPageBreak/>
        <w:t>no formó parte del agravio; ni se realizó una ampliación a los alcances del requerimiento informativo.</w:t>
      </w:r>
    </w:p>
    <w:p w:rsidRPr="00CF09CB" w:rsidR="006A79F2" w:rsidP="0019462A" w:rsidRDefault="006A79F2" w14:paraId="1E6E9059" w14:textId="77777777">
      <w:pPr>
        <w:spacing w:line="360" w:lineRule="auto"/>
        <w:jc w:val="both"/>
        <w:rPr>
          <w:rFonts w:ascii="Palatino Linotype" w:hAnsi="Palatino Linotype" w:cs="Tahoma"/>
          <w:bCs/>
          <w:sz w:val="22"/>
          <w:szCs w:val="22"/>
          <w:lang w:eastAsia="es-ES"/>
        </w:rPr>
      </w:pPr>
    </w:p>
    <w:p w:rsidRPr="00CF09CB" w:rsidR="004A2A83" w:rsidP="0019462A" w:rsidRDefault="006A79F2" w14:paraId="6FDE6CAB" w14:textId="2AAF1F27">
      <w:pPr>
        <w:spacing w:line="360" w:lineRule="auto"/>
        <w:jc w:val="both"/>
        <w:rPr>
          <w:rFonts w:ascii="Palatino Linotype" w:hAnsi="Palatino Linotype" w:cs="Tahoma"/>
          <w:bCs/>
          <w:sz w:val="22"/>
          <w:szCs w:val="22"/>
          <w:lang w:eastAsia="es-ES"/>
        </w:rPr>
      </w:pPr>
      <w:r w:rsidRPr="00CF09CB">
        <w:rPr>
          <w:rFonts w:ascii="Palatino Linotype" w:hAnsi="Palatino Linotype" w:cs="Tahoma"/>
          <w:bCs/>
          <w:sz w:val="22"/>
          <w:szCs w:val="22"/>
          <w:lang w:eastAsia="es-ES"/>
        </w:rPr>
        <w:t>Asimismo, del análisis de las constancias del expediente electrónico, se advierte que se actualizan las causales de procedencia de los Recursos de Revisión señaladas en el artículo 179, fracciones I</w:t>
      </w:r>
      <w:r w:rsidRPr="00CF09CB" w:rsidR="008E3EA7">
        <w:rPr>
          <w:rFonts w:ascii="Palatino Linotype" w:hAnsi="Palatino Linotype" w:cs="Tahoma"/>
          <w:bCs/>
          <w:sz w:val="22"/>
          <w:szCs w:val="22"/>
          <w:lang w:eastAsia="es-ES"/>
        </w:rPr>
        <w:t>II,</w:t>
      </w:r>
      <w:r w:rsidRPr="00CF09CB">
        <w:rPr>
          <w:rFonts w:ascii="Palatino Linotype" w:hAnsi="Palatino Linotype" w:cs="Tahoma"/>
          <w:bCs/>
          <w:sz w:val="22"/>
          <w:szCs w:val="22"/>
          <w:lang w:eastAsia="es-ES"/>
        </w:rPr>
        <w:t xml:space="preserve"> </w:t>
      </w:r>
      <w:r w:rsidRPr="00CF09CB" w:rsidR="00A34D3C">
        <w:rPr>
          <w:rFonts w:ascii="Palatino Linotype" w:hAnsi="Palatino Linotype" w:cs="Tahoma"/>
          <w:bCs/>
          <w:sz w:val="22"/>
          <w:szCs w:val="22"/>
          <w:lang w:eastAsia="es-ES"/>
        </w:rPr>
        <w:t xml:space="preserve">de la Ley de Transparencia y Acceso a la Información Pública del </w:t>
      </w:r>
      <w:r w:rsidRPr="00CF09CB" w:rsidR="00CD7F3C">
        <w:rPr>
          <w:rFonts w:ascii="Palatino Linotype" w:hAnsi="Palatino Linotype" w:cs="Tahoma"/>
          <w:bCs/>
          <w:sz w:val="22"/>
          <w:szCs w:val="22"/>
          <w:lang w:eastAsia="es-ES"/>
        </w:rPr>
        <w:t>Estado</w:t>
      </w:r>
      <w:r w:rsidRPr="00CF09CB" w:rsidR="00A34D3C">
        <w:rPr>
          <w:rFonts w:ascii="Palatino Linotype" w:hAnsi="Palatino Linotype" w:cs="Tahoma"/>
          <w:bCs/>
          <w:sz w:val="22"/>
          <w:szCs w:val="22"/>
          <w:lang w:eastAsia="es-ES"/>
        </w:rPr>
        <w:t xml:space="preserve"> de </w:t>
      </w:r>
      <w:r w:rsidRPr="00CF09CB" w:rsidR="00CD7F3C">
        <w:rPr>
          <w:rFonts w:ascii="Palatino Linotype" w:hAnsi="Palatino Linotype" w:cs="Tahoma"/>
          <w:bCs/>
          <w:sz w:val="22"/>
          <w:szCs w:val="22"/>
          <w:lang w:eastAsia="es-ES"/>
        </w:rPr>
        <w:t xml:space="preserve">México y Municipios, pues el Recurrente </w:t>
      </w:r>
      <w:r w:rsidRPr="00CF09CB" w:rsidR="009C3361">
        <w:rPr>
          <w:rFonts w:ascii="Palatino Linotype" w:hAnsi="Palatino Linotype" w:cs="Tahoma"/>
          <w:bCs/>
          <w:sz w:val="22"/>
          <w:szCs w:val="22"/>
          <w:lang w:eastAsia="es-ES"/>
        </w:rPr>
        <w:t xml:space="preserve">se inconforma </w:t>
      </w:r>
      <w:r w:rsidRPr="00CF09CB" w:rsidR="008E3EA7">
        <w:rPr>
          <w:rFonts w:ascii="Palatino Linotype" w:hAnsi="Palatino Linotype" w:cs="Tahoma"/>
          <w:bCs/>
          <w:sz w:val="22"/>
          <w:szCs w:val="22"/>
          <w:lang w:eastAsia="es-ES"/>
        </w:rPr>
        <w:t>con la inexistencia de lo peticionado</w:t>
      </w:r>
      <w:r w:rsidRPr="00CF09CB" w:rsidR="009C3361">
        <w:rPr>
          <w:rFonts w:ascii="Palatino Linotype" w:hAnsi="Palatino Linotype" w:cs="Tahoma"/>
          <w:bCs/>
          <w:sz w:val="22"/>
          <w:szCs w:val="22"/>
          <w:lang w:eastAsia="es-ES"/>
        </w:rPr>
        <w:t>.</w:t>
      </w:r>
    </w:p>
    <w:p w:rsidRPr="00CF09CB" w:rsidR="00A34D3C" w:rsidP="0019462A" w:rsidRDefault="00A34D3C" w14:paraId="72A3211B" w14:textId="77777777">
      <w:pPr>
        <w:spacing w:line="360" w:lineRule="auto"/>
        <w:jc w:val="both"/>
        <w:rPr>
          <w:rFonts w:ascii="Palatino Linotype" w:hAnsi="Palatino Linotype" w:cs="Tahoma"/>
          <w:bCs/>
          <w:sz w:val="22"/>
          <w:szCs w:val="22"/>
          <w:lang w:eastAsia="es-ES"/>
        </w:rPr>
      </w:pPr>
    </w:p>
    <w:p w:rsidRPr="00CF09CB" w:rsidR="00C1584E" w:rsidP="0019462A" w:rsidRDefault="00C1584E" w14:paraId="0426D7EA" w14:textId="77777777">
      <w:pPr>
        <w:spacing w:line="360" w:lineRule="auto"/>
        <w:jc w:val="both"/>
        <w:rPr>
          <w:rFonts w:ascii="Palatino Linotype" w:hAnsi="Palatino Linotype" w:cs="Tahoma"/>
          <w:bCs/>
          <w:sz w:val="22"/>
          <w:szCs w:val="22"/>
          <w:lang w:eastAsia="es-ES"/>
        </w:rPr>
      </w:pPr>
      <w:r w:rsidRPr="00CF09CB">
        <w:rPr>
          <w:rFonts w:ascii="Palatino Linotype" w:hAnsi="Palatino Linotype" w:cs="Tahoma"/>
          <w:b/>
          <w:bCs/>
          <w:sz w:val="22"/>
          <w:szCs w:val="22"/>
          <w:lang w:eastAsia="es-ES"/>
        </w:rPr>
        <w:t>TERCERO. Causales de sobreseimiento.</w:t>
      </w:r>
    </w:p>
    <w:p w:rsidRPr="00CF09CB" w:rsidR="00C1584E" w:rsidP="0019462A" w:rsidRDefault="00C1584E" w14:paraId="6135E181" w14:textId="77777777">
      <w:pPr>
        <w:spacing w:line="360" w:lineRule="auto"/>
        <w:jc w:val="both"/>
        <w:rPr>
          <w:rFonts w:ascii="Palatino Linotype" w:hAnsi="Palatino Linotype" w:cs="Tahoma"/>
          <w:bCs/>
          <w:sz w:val="22"/>
          <w:szCs w:val="22"/>
          <w:lang w:val="es-ES" w:eastAsia="es-ES"/>
        </w:rPr>
      </w:pPr>
    </w:p>
    <w:p w:rsidRPr="00CF09CB" w:rsidR="00D1214A" w:rsidP="0019462A" w:rsidRDefault="00D1214A" w14:paraId="17DBA61A" w14:textId="77777777">
      <w:pPr>
        <w:spacing w:line="360" w:lineRule="auto"/>
        <w:jc w:val="both"/>
        <w:rPr>
          <w:rFonts w:ascii="Palatino Linotype" w:hAnsi="Palatino Linotype" w:cs="Tahoma"/>
          <w:sz w:val="22"/>
          <w:lang w:eastAsia="es-ES"/>
        </w:rPr>
      </w:pPr>
      <w:r w:rsidRPr="00CF09CB">
        <w:rPr>
          <w:rFonts w:ascii="Palatino Linotype" w:hAnsi="Palatino Linotype" w:cs="Tahoma"/>
          <w:sz w:val="22"/>
          <w:lang w:eastAsia="es-ES"/>
        </w:rPr>
        <w:t>Por ser de previo y especial pronunciamiento, este Instituto analiza si se actualiza alguna causal de sobreseimiento.</w:t>
      </w:r>
    </w:p>
    <w:p w:rsidRPr="00CF09CB" w:rsidR="00D1214A" w:rsidP="0019462A" w:rsidRDefault="00D1214A" w14:paraId="607FE7E5" w14:textId="77777777">
      <w:pPr>
        <w:spacing w:line="360" w:lineRule="auto"/>
        <w:jc w:val="both"/>
        <w:rPr>
          <w:rFonts w:ascii="Palatino Linotype" w:hAnsi="Palatino Linotype" w:cs="Tahoma"/>
          <w:sz w:val="22"/>
          <w:lang w:eastAsia="es-ES"/>
        </w:rPr>
      </w:pPr>
    </w:p>
    <w:p w:rsidRPr="00CF09CB" w:rsidR="00D1214A" w:rsidP="0019462A" w:rsidRDefault="00D1214A" w14:paraId="25F01BBA" w14:textId="77777777">
      <w:pPr>
        <w:spacing w:line="360" w:lineRule="auto"/>
        <w:jc w:val="both"/>
        <w:rPr>
          <w:rFonts w:ascii="Palatino Linotype" w:hAnsi="Palatino Linotype" w:cs="Tahoma"/>
          <w:sz w:val="22"/>
          <w:lang w:eastAsia="es-ES"/>
        </w:rPr>
      </w:pPr>
      <w:r w:rsidRPr="00CF09CB">
        <w:rPr>
          <w:rFonts w:ascii="Palatino Linotype" w:hAnsi="Palatino Linotype" w:cs="Tahoma"/>
          <w:sz w:val="22"/>
          <w:lang w:eastAsia="es-ES"/>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rsidRPr="00CF09CB" w:rsidR="00D1214A" w:rsidP="0019462A" w:rsidRDefault="00D1214A" w14:paraId="076478C1" w14:textId="77777777">
      <w:pPr>
        <w:spacing w:line="360" w:lineRule="auto"/>
        <w:jc w:val="both"/>
        <w:rPr>
          <w:rFonts w:ascii="Palatino Linotype" w:hAnsi="Palatino Linotype" w:cs="Tahoma"/>
          <w:sz w:val="22"/>
          <w:lang w:eastAsia="es-ES"/>
        </w:rPr>
      </w:pPr>
    </w:p>
    <w:p w:rsidRPr="00CF09CB" w:rsidR="00D1214A" w:rsidP="0019462A" w:rsidRDefault="00D1214A" w14:paraId="347930D9" w14:textId="77777777">
      <w:pPr>
        <w:spacing w:line="360" w:lineRule="auto"/>
        <w:jc w:val="both"/>
        <w:rPr>
          <w:rFonts w:ascii="Palatino Linotype" w:hAnsi="Palatino Linotype" w:cs="Tahoma"/>
          <w:sz w:val="22"/>
          <w:lang w:val="es-ES" w:eastAsia="es-ES"/>
        </w:rPr>
      </w:pPr>
      <w:r w:rsidRPr="00CF09CB">
        <w:rPr>
          <w:rFonts w:ascii="Palatino Linotype" w:hAnsi="Palatino Linotype" w:cs="Tahoma"/>
          <w:bCs/>
          <w:sz w:val="22"/>
          <w:lang w:val="es-ES" w:eastAsia="es-ES"/>
        </w:rPr>
        <w:t xml:space="preserve">Por tales motivos, </w:t>
      </w:r>
      <w:r w:rsidRPr="00CF09CB">
        <w:rPr>
          <w:rFonts w:ascii="Palatino Linotype" w:hAnsi="Palatino Linotype" w:cs="Tahoma"/>
          <w:sz w:val="22"/>
          <w:lang w:val="es-ES" w:eastAsia="es-ES"/>
        </w:rPr>
        <w:t>se considera procedente entrar al fondo del presente asunto.</w:t>
      </w:r>
    </w:p>
    <w:p w:rsidRPr="00CF09CB" w:rsidR="00D1214A" w:rsidP="0019462A" w:rsidRDefault="00D1214A" w14:paraId="2853B92B" w14:textId="77777777">
      <w:pPr>
        <w:spacing w:line="360" w:lineRule="auto"/>
        <w:jc w:val="both"/>
        <w:rPr>
          <w:rFonts w:ascii="Palatino Linotype" w:hAnsi="Palatino Linotype" w:eastAsiaTheme="minorHAnsi" w:cstheme="minorBidi"/>
          <w:color w:val="000000" w:themeColor="text1"/>
          <w:sz w:val="22"/>
          <w:szCs w:val="22"/>
          <w:lang w:eastAsia="en-US"/>
        </w:rPr>
      </w:pPr>
    </w:p>
    <w:p w:rsidRPr="00CF09CB" w:rsidR="00D1214A" w:rsidP="0019462A" w:rsidRDefault="00D1214A" w14:paraId="2EF37346" w14:textId="77777777">
      <w:pPr>
        <w:spacing w:line="360" w:lineRule="auto"/>
        <w:jc w:val="both"/>
        <w:rPr>
          <w:rFonts w:ascii="Palatino Linotype" w:hAnsi="Palatino Linotype" w:cs="Tahoma"/>
          <w:b/>
          <w:bCs/>
          <w:iCs/>
          <w:sz w:val="22"/>
          <w:szCs w:val="22"/>
          <w:lang w:val="es-ES" w:eastAsia="es-ES"/>
        </w:rPr>
      </w:pPr>
      <w:r w:rsidRPr="00CF09CB">
        <w:rPr>
          <w:rFonts w:ascii="Palatino Linotype" w:hAnsi="Palatino Linotype" w:cs="Tahoma"/>
          <w:b/>
          <w:bCs/>
          <w:iCs/>
          <w:sz w:val="22"/>
          <w:szCs w:val="22"/>
          <w:lang w:val="es-ES" w:eastAsia="es-ES"/>
        </w:rPr>
        <w:t xml:space="preserve">TERCERO. Determinación de la Controversia. </w:t>
      </w:r>
    </w:p>
    <w:p w:rsidRPr="00CF09CB" w:rsidR="00A34D3C" w:rsidP="0019462A" w:rsidRDefault="00A34D3C" w14:paraId="049BB654" w14:textId="77777777">
      <w:pPr>
        <w:spacing w:line="360" w:lineRule="auto"/>
        <w:jc w:val="both"/>
        <w:rPr>
          <w:rFonts w:ascii="Palatino Linotype" w:hAnsi="Palatino Linotype" w:cs="Tahoma"/>
          <w:bCs/>
          <w:sz w:val="22"/>
          <w:szCs w:val="22"/>
          <w:lang w:eastAsia="es-ES"/>
        </w:rPr>
      </w:pPr>
    </w:p>
    <w:p w:rsidRPr="00CF09CB" w:rsidR="009C3361" w:rsidP="0019462A" w:rsidRDefault="00E46946" w14:paraId="2C359792" w14:textId="64703F72">
      <w:pPr>
        <w:spacing w:line="360" w:lineRule="auto"/>
        <w:jc w:val="both"/>
        <w:rPr>
          <w:rFonts w:ascii="Palatino Linotype" w:hAnsi="Palatino Linotype" w:cs="Tahoma"/>
          <w:iCs/>
          <w:sz w:val="22"/>
          <w:lang w:eastAsia="es-ES"/>
        </w:rPr>
      </w:pPr>
      <w:r w:rsidRPr="00CF09CB">
        <w:rPr>
          <w:rFonts w:ascii="Palatino Linotype" w:hAnsi="Palatino Linotype" w:cs="Tahoma"/>
          <w:bCs/>
          <w:sz w:val="22"/>
          <w:szCs w:val="22"/>
          <w:lang w:val="es-ES" w:eastAsia="es-ES"/>
        </w:rPr>
        <w:lastRenderedPageBreak/>
        <w:t>Una vez realizado el estudio de las constancias que obran en el expediente electrónico en el que se actúa, se advierte que el Solicitante requirió</w:t>
      </w:r>
      <w:r w:rsidRPr="00CF09CB">
        <w:rPr>
          <w:rFonts w:ascii="Palatino Linotype" w:hAnsi="Palatino Linotype" w:cs="Tahoma"/>
          <w:iCs/>
          <w:sz w:val="22"/>
          <w:lang w:eastAsia="es-ES"/>
        </w:rPr>
        <w:t xml:space="preserve"> </w:t>
      </w:r>
      <w:r w:rsidRPr="00CF09CB" w:rsidR="008E3EA7">
        <w:rPr>
          <w:rFonts w:ascii="Palatino Linotype" w:hAnsi="Palatino Linotype" w:cs="Tahoma"/>
          <w:iCs/>
          <w:sz w:val="22"/>
          <w:lang w:eastAsia="es-ES"/>
        </w:rPr>
        <w:t>los Comprobantes Bancarios de la Dispersión de la Dispersión de la Nómina, de enero a diciembre de dos mil veintiuno.</w:t>
      </w:r>
    </w:p>
    <w:p w:rsidRPr="00CF09CB" w:rsidR="009C3361" w:rsidP="0019462A" w:rsidRDefault="009C3361" w14:paraId="0C6FBC00" w14:textId="77777777">
      <w:pPr>
        <w:spacing w:line="360" w:lineRule="auto"/>
        <w:jc w:val="both"/>
        <w:rPr>
          <w:rFonts w:ascii="Palatino Linotype" w:hAnsi="Palatino Linotype" w:cs="Tahoma"/>
          <w:iCs/>
          <w:sz w:val="22"/>
          <w:lang w:eastAsia="es-ES"/>
        </w:rPr>
      </w:pPr>
    </w:p>
    <w:p w:rsidRPr="00CF09CB" w:rsidR="006D7A8C" w:rsidP="0019462A" w:rsidRDefault="009C3361" w14:paraId="25A937C7" w14:textId="65CE55C9">
      <w:pPr>
        <w:spacing w:line="360" w:lineRule="auto"/>
        <w:jc w:val="both"/>
        <w:rPr>
          <w:rFonts w:ascii="Palatino Linotype" w:hAnsi="Palatino Linotype" w:cs="Tahoma"/>
          <w:iCs/>
          <w:sz w:val="22"/>
          <w:lang w:eastAsia="es-ES"/>
        </w:rPr>
      </w:pPr>
      <w:r w:rsidRPr="00CF09CB">
        <w:rPr>
          <w:rFonts w:ascii="Palatino Linotype" w:hAnsi="Palatino Linotype" w:eastAsia="Calibri" w:cs="Tahoma"/>
          <w:color w:val="000000"/>
          <w:sz w:val="22"/>
        </w:rPr>
        <w:t>En</w:t>
      </w:r>
      <w:r w:rsidRPr="00CF09CB" w:rsidR="00BC4291">
        <w:rPr>
          <w:rFonts w:ascii="Palatino Linotype" w:hAnsi="Palatino Linotype" w:eastAsia="Calibri" w:cs="Tahoma"/>
          <w:color w:val="000000"/>
          <w:sz w:val="22"/>
        </w:rPr>
        <w:t xml:space="preserve"> respuesta, </w:t>
      </w:r>
      <w:r w:rsidRPr="00CF09CB" w:rsidR="00B77178">
        <w:rPr>
          <w:rFonts w:ascii="Palatino Linotype" w:hAnsi="Palatino Linotype" w:eastAsia="Calibri" w:cs="Tahoma"/>
          <w:color w:val="000000"/>
          <w:sz w:val="22"/>
        </w:rPr>
        <w:t>el Ente Recurrid</w:t>
      </w:r>
      <w:r w:rsidRPr="00CF09CB" w:rsidR="00563892">
        <w:rPr>
          <w:rFonts w:ascii="Palatino Linotype" w:hAnsi="Palatino Linotype" w:eastAsia="Calibri" w:cs="Tahoma"/>
          <w:color w:val="000000"/>
          <w:sz w:val="22"/>
        </w:rPr>
        <w:t>o</w:t>
      </w:r>
      <w:r w:rsidRPr="00CF09CB" w:rsidR="000C0E00">
        <w:rPr>
          <w:rFonts w:ascii="Palatino Linotype" w:hAnsi="Palatino Linotype" w:eastAsia="Calibri" w:cs="Tahoma"/>
          <w:color w:val="000000"/>
          <w:sz w:val="22"/>
        </w:rPr>
        <w:t>, a</w:t>
      </w:r>
      <w:r w:rsidRPr="00CF09CB">
        <w:rPr>
          <w:rFonts w:ascii="Palatino Linotype" w:hAnsi="Palatino Linotype" w:eastAsia="Calibri" w:cs="Tahoma"/>
          <w:color w:val="000000"/>
          <w:sz w:val="22"/>
        </w:rPr>
        <w:t xml:space="preserve"> través</w:t>
      </w:r>
      <w:r w:rsidRPr="00CF09CB" w:rsidR="008E3EA7">
        <w:rPr>
          <w:rFonts w:ascii="Palatino Linotype" w:hAnsi="Palatino Linotype" w:eastAsia="Calibri" w:cs="Tahoma"/>
          <w:color w:val="000000"/>
          <w:sz w:val="22"/>
        </w:rPr>
        <w:t>,</w:t>
      </w:r>
      <w:r w:rsidRPr="00CF09CB" w:rsidR="000C0E00">
        <w:rPr>
          <w:rFonts w:ascii="Palatino Linotype" w:hAnsi="Palatino Linotype" w:eastAsia="Calibri" w:cs="Tahoma"/>
          <w:color w:val="000000"/>
          <w:sz w:val="22"/>
        </w:rPr>
        <w:t xml:space="preserve"> de la </w:t>
      </w:r>
      <w:r w:rsidRPr="00CF09CB">
        <w:rPr>
          <w:rFonts w:ascii="Palatino Linotype" w:hAnsi="Palatino Linotype" w:eastAsia="Calibri" w:cs="Tahoma"/>
          <w:color w:val="000000"/>
          <w:sz w:val="22"/>
        </w:rPr>
        <w:t>Tesorería Municipal</w:t>
      </w:r>
      <w:r w:rsidRPr="00CF09CB" w:rsidR="008E3EA7">
        <w:rPr>
          <w:rFonts w:ascii="Palatino Linotype" w:hAnsi="Palatino Linotype" w:eastAsia="Calibri" w:cs="Tahoma"/>
          <w:color w:val="000000"/>
          <w:sz w:val="22"/>
        </w:rPr>
        <w:t>,</w:t>
      </w:r>
      <w:r w:rsidRPr="00CF09CB">
        <w:rPr>
          <w:rFonts w:ascii="Palatino Linotype" w:hAnsi="Palatino Linotype" w:eastAsia="Calibri" w:cs="Tahoma"/>
          <w:color w:val="000000"/>
          <w:sz w:val="22"/>
        </w:rPr>
        <w:t xml:space="preserve"> comunicó que  dicha información fue enviada al Órgano Superior de fiscalización del Estado de México (OSFEM), por lo que se debía solicitar ante dicha autoridad</w:t>
      </w:r>
      <w:r w:rsidRPr="00CF09CB" w:rsidR="00DE0371">
        <w:rPr>
          <w:rFonts w:ascii="Palatino Linotype" w:hAnsi="Palatino Linotype" w:eastAsia="Calibri" w:cs="Tahoma"/>
          <w:color w:val="000000"/>
          <w:sz w:val="22"/>
        </w:rPr>
        <w:t xml:space="preserve">; ante tal circunstancia, </w:t>
      </w:r>
      <w:r w:rsidRPr="00CF09CB" w:rsidR="00DA7AA2">
        <w:rPr>
          <w:rFonts w:ascii="Palatino Linotype" w:hAnsi="Palatino Linotype" w:cs="Tahoma"/>
          <w:iCs/>
          <w:sz w:val="22"/>
          <w:lang w:eastAsia="es-ES"/>
        </w:rPr>
        <w:t xml:space="preserve">el Recurrente se </w:t>
      </w:r>
      <w:r w:rsidRPr="00CF09CB" w:rsidR="00A25CFD">
        <w:rPr>
          <w:rFonts w:ascii="Palatino Linotype" w:hAnsi="Palatino Linotype" w:cs="Tahoma"/>
          <w:iCs/>
          <w:sz w:val="22"/>
          <w:lang w:eastAsia="es-ES"/>
        </w:rPr>
        <w:t>inconform</w:t>
      </w:r>
      <w:r w:rsidRPr="00CF09CB" w:rsidR="00DE0371">
        <w:rPr>
          <w:rFonts w:ascii="Palatino Linotype" w:hAnsi="Palatino Linotype" w:cs="Tahoma"/>
          <w:iCs/>
          <w:sz w:val="22"/>
          <w:lang w:eastAsia="es-ES"/>
        </w:rPr>
        <w:t xml:space="preserve">ó </w:t>
      </w:r>
      <w:r w:rsidRPr="00CF09CB">
        <w:rPr>
          <w:rFonts w:ascii="Palatino Linotype" w:hAnsi="Palatino Linotype" w:cs="Tahoma"/>
          <w:iCs/>
          <w:sz w:val="22"/>
          <w:lang w:eastAsia="es-ES"/>
        </w:rPr>
        <w:t>manifestando que la información solicitada debía permanecer en la dependencia, toda vez que corresponde a una comprobación de egreso</w:t>
      </w:r>
      <w:r w:rsidRPr="00CF09CB" w:rsidR="008E3EA7">
        <w:rPr>
          <w:rFonts w:ascii="Palatino Linotype" w:hAnsi="Palatino Linotype" w:cs="Tahoma"/>
          <w:iCs/>
          <w:sz w:val="22"/>
          <w:lang w:eastAsia="es-ES"/>
        </w:rPr>
        <w:t>s</w:t>
      </w:r>
      <w:r w:rsidRPr="00CF09CB" w:rsidR="00A25CFD">
        <w:rPr>
          <w:rFonts w:ascii="Palatino Linotype" w:hAnsi="Palatino Linotype" w:cs="Tahoma"/>
          <w:iCs/>
          <w:sz w:val="22"/>
          <w:lang w:eastAsia="es-ES"/>
        </w:rPr>
        <w:t xml:space="preserve">, </w:t>
      </w:r>
      <w:r w:rsidRPr="00CF09CB" w:rsidR="00DE0371">
        <w:rPr>
          <w:rFonts w:ascii="Palatino Linotype" w:hAnsi="Palatino Linotype" w:cs="Tahoma"/>
          <w:iCs/>
          <w:sz w:val="22"/>
          <w:lang w:eastAsia="es-ES"/>
        </w:rPr>
        <w:t>lo cual</w:t>
      </w:r>
      <w:r w:rsidRPr="00CF09CB" w:rsidR="00A25CFD">
        <w:rPr>
          <w:rFonts w:ascii="Palatino Linotype" w:hAnsi="Palatino Linotype" w:cs="Tahoma"/>
          <w:iCs/>
          <w:sz w:val="22"/>
          <w:lang w:eastAsia="es-ES"/>
        </w:rPr>
        <w:t xml:space="preserve"> actualiza la causal de procedencia prevista en la fracción </w:t>
      </w:r>
      <w:r w:rsidRPr="00CF09CB" w:rsidR="008E3EA7">
        <w:rPr>
          <w:rFonts w:ascii="Palatino Linotype" w:hAnsi="Palatino Linotype" w:cs="Tahoma"/>
          <w:iCs/>
          <w:sz w:val="22"/>
          <w:lang w:eastAsia="es-ES"/>
        </w:rPr>
        <w:t>II</w:t>
      </w:r>
      <w:r w:rsidRPr="00CF09CB" w:rsidR="00144B8A">
        <w:rPr>
          <w:rFonts w:ascii="Palatino Linotype" w:hAnsi="Palatino Linotype" w:cs="Tahoma"/>
          <w:iCs/>
          <w:sz w:val="22"/>
          <w:lang w:eastAsia="es-ES"/>
        </w:rPr>
        <w:t>I</w:t>
      </w:r>
      <w:r w:rsidRPr="00CF09CB" w:rsidR="00DE0371">
        <w:rPr>
          <w:rFonts w:ascii="Palatino Linotype" w:hAnsi="Palatino Linotype" w:cs="Tahoma"/>
          <w:iCs/>
          <w:sz w:val="22"/>
          <w:lang w:eastAsia="es-ES"/>
        </w:rPr>
        <w:t>,</w:t>
      </w:r>
      <w:r w:rsidRPr="00CF09CB" w:rsidR="00A25CFD">
        <w:rPr>
          <w:rFonts w:ascii="Palatino Linotype" w:hAnsi="Palatino Linotype" w:cs="Tahoma"/>
          <w:iCs/>
          <w:sz w:val="22"/>
          <w:lang w:eastAsia="es-ES"/>
        </w:rPr>
        <w:t xml:space="preserve"> del artículo </w:t>
      </w:r>
      <w:r w:rsidRPr="00CF09CB" w:rsidR="006100EA">
        <w:rPr>
          <w:rFonts w:ascii="Palatino Linotype" w:hAnsi="Palatino Linotype" w:cs="Tahoma"/>
          <w:iCs/>
          <w:sz w:val="22"/>
          <w:lang w:eastAsia="es-ES"/>
        </w:rPr>
        <w:t>179 de la Ley de Transparencia y Acceso a la Información Pública del</w:t>
      </w:r>
      <w:r w:rsidRPr="00CF09CB">
        <w:rPr>
          <w:rFonts w:ascii="Palatino Linotype" w:hAnsi="Palatino Linotype" w:cs="Tahoma"/>
          <w:iCs/>
          <w:sz w:val="22"/>
          <w:lang w:eastAsia="es-ES"/>
        </w:rPr>
        <w:t xml:space="preserve"> Estado de México y Municipios</w:t>
      </w:r>
      <w:r w:rsidRPr="00CF09CB" w:rsidR="008E3EA7">
        <w:rPr>
          <w:rFonts w:ascii="Palatino Linotype" w:hAnsi="Palatino Linotype" w:cs="Tahoma"/>
          <w:iCs/>
          <w:sz w:val="22"/>
          <w:lang w:eastAsia="es-ES"/>
        </w:rPr>
        <w:t xml:space="preserve">. </w:t>
      </w:r>
      <w:r w:rsidRPr="00CF09CB" w:rsidR="00996599">
        <w:rPr>
          <w:rFonts w:ascii="Palatino Linotype" w:hAnsi="Palatino Linotype" w:eastAsia="Calibri" w:cs="Tahoma"/>
          <w:bCs/>
          <w:iCs/>
          <w:color w:val="000000"/>
          <w:sz w:val="22"/>
        </w:rPr>
        <w:t>Así las cosas, una vez interpuesto</w:t>
      </w:r>
      <w:r w:rsidRPr="00CF09CB" w:rsidR="00ED4C64">
        <w:rPr>
          <w:rFonts w:ascii="Palatino Linotype" w:hAnsi="Palatino Linotype" w:eastAsia="Calibri" w:cs="Tahoma"/>
          <w:bCs/>
          <w:iCs/>
          <w:color w:val="000000"/>
          <w:sz w:val="22"/>
        </w:rPr>
        <w:t>s</w:t>
      </w:r>
      <w:r w:rsidRPr="00CF09CB" w:rsidR="00996599">
        <w:rPr>
          <w:rFonts w:ascii="Palatino Linotype" w:hAnsi="Palatino Linotype" w:eastAsia="Calibri" w:cs="Tahoma"/>
          <w:bCs/>
          <w:iCs/>
          <w:color w:val="000000"/>
          <w:sz w:val="22"/>
        </w:rPr>
        <w:t xml:space="preserve"> y notificado</w:t>
      </w:r>
      <w:r w:rsidRPr="00CF09CB" w:rsidR="00ED4C64">
        <w:rPr>
          <w:rFonts w:ascii="Palatino Linotype" w:hAnsi="Palatino Linotype" w:eastAsia="Calibri" w:cs="Tahoma"/>
          <w:bCs/>
          <w:iCs/>
          <w:color w:val="000000"/>
          <w:sz w:val="22"/>
        </w:rPr>
        <w:t>s los</w:t>
      </w:r>
      <w:r w:rsidRPr="00CF09CB" w:rsidR="00996599">
        <w:rPr>
          <w:rFonts w:ascii="Palatino Linotype" w:hAnsi="Palatino Linotype" w:eastAsia="Calibri" w:cs="Tahoma"/>
          <w:bCs/>
          <w:iCs/>
          <w:color w:val="000000"/>
          <w:sz w:val="22"/>
        </w:rPr>
        <w:t xml:space="preserve"> Recurso</w:t>
      </w:r>
      <w:r w:rsidRPr="00CF09CB" w:rsidR="00ED4C64">
        <w:rPr>
          <w:rFonts w:ascii="Palatino Linotype" w:hAnsi="Palatino Linotype" w:eastAsia="Calibri" w:cs="Tahoma"/>
          <w:bCs/>
          <w:iCs/>
          <w:color w:val="000000"/>
          <w:sz w:val="22"/>
        </w:rPr>
        <w:t>s</w:t>
      </w:r>
      <w:r w:rsidRPr="00CF09CB" w:rsidR="00996599">
        <w:rPr>
          <w:rFonts w:ascii="Palatino Linotype" w:hAnsi="Palatino Linotype" w:eastAsia="Calibri" w:cs="Tahoma"/>
          <w:bCs/>
          <w:iCs/>
          <w:color w:val="000000"/>
          <w:sz w:val="22"/>
        </w:rPr>
        <w:t xml:space="preserve"> de Revisión a las partes, el Sujeto Obligado, mediante</w:t>
      </w:r>
      <w:r w:rsidRPr="00CF09CB" w:rsidR="006D7A8C">
        <w:rPr>
          <w:rFonts w:ascii="Palatino Linotype" w:hAnsi="Palatino Linotype" w:eastAsia="Calibri" w:cs="Tahoma"/>
          <w:bCs/>
          <w:iCs/>
          <w:color w:val="000000"/>
          <w:sz w:val="22"/>
        </w:rPr>
        <w:t xml:space="preserve"> </w:t>
      </w:r>
      <w:r w:rsidRPr="00CF09CB" w:rsidR="005B5BF8">
        <w:rPr>
          <w:rFonts w:ascii="Palatino Linotype" w:hAnsi="Palatino Linotype" w:eastAsia="Calibri" w:cs="Tahoma"/>
          <w:bCs/>
          <w:iCs/>
          <w:color w:val="000000"/>
          <w:sz w:val="22"/>
        </w:rPr>
        <w:t>su</w:t>
      </w:r>
      <w:r w:rsidRPr="00CF09CB" w:rsidR="00ED4C64">
        <w:rPr>
          <w:rFonts w:ascii="Palatino Linotype" w:hAnsi="Palatino Linotype" w:eastAsia="Calibri" w:cs="Tahoma"/>
          <w:bCs/>
          <w:iCs/>
          <w:color w:val="000000"/>
          <w:sz w:val="22"/>
        </w:rPr>
        <w:t xml:space="preserve"> </w:t>
      </w:r>
      <w:r w:rsidRPr="00CF09CB" w:rsidR="006D7A8C">
        <w:rPr>
          <w:rFonts w:ascii="Palatino Linotype" w:hAnsi="Palatino Linotype" w:eastAsia="Calibri" w:cs="Tahoma"/>
          <w:bCs/>
          <w:iCs/>
          <w:color w:val="000000"/>
          <w:sz w:val="22"/>
        </w:rPr>
        <w:t xml:space="preserve">Informe </w:t>
      </w:r>
      <w:r w:rsidRPr="00CF09CB" w:rsidR="00CF6BB6">
        <w:rPr>
          <w:rFonts w:ascii="Palatino Linotype" w:hAnsi="Palatino Linotype" w:eastAsia="Calibri" w:cs="Tahoma"/>
          <w:bCs/>
          <w:iCs/>
          <w:color w:val="000000"/>
          <w:sz w:val="22"/>
        </w:rPr>
        <w:t>Justificado</w:t>
      </w:r>
      <w:r w:rsidRPr="00CF09CB" w:rsidR="007C23D5">
        <w:rPr>
          <w:rFonts w:ascii="Palatino Linotype" w:hAnsi="Palatino Linotype" w:eastAsia="Calibri" w:cs="Tahoma"/>
          <w:bCs/>
          <w:iCs/>
          <w:color w:val="000000"/>
          <w:sz w:val="22"/>
        </w:rPr>
        <w:t xml:space="preserve"> </w:t>
      </w:r>
      <w:r w:rsidRPr="00CF09CB" w:rsidR="005B5BF8">
        <w:rPr>
          <w:rFonts w:ascii="Palatino Linotype" w:hAnsi="Palatino Linotype" w:eastAsia="Calibri" w:cs="Tahoma"/>
          <w:bCs/>
          <w:iCs/>
          <w:color w:val="000000"/>
          <w:sz w:val="22"/>
        </w:rPr>
        <w:t>ratificó su respuesta primigenia.</w:t>
      </w:r>
    </w:p>
    <w:p w:rsidRPr="00CF09CB" w:rsidR="006D7A8C" w:rsidP="0019462A" w:rsidRDefault="006D7A8C" w14:paraId="537E23F8" w14:textId="77777777">
      <w:pPr>
        <w:spacing w:line="360" w:lineRule="auto"/>
        <w:jc w:val="both"/>
        <w:rPr>
          <w:rFonts w:ascii="Palatino Linotype" w:hAnsi="Palatino Linotype" w:eastAsia="Calibri" w:cs="Tahoma"/>
          <w:bCs/>
          <w:iCs/>
          <w:color w:val="000000"/>
          <w:sz w:val="22"/>
        </w:rPr>
      </w:pPr>
    </w:p>
    <w:p w:rsidRPr="00CF09CB" w:rsidR="00151013" w:rsidP="0019462A" w:rsidRDefault="00151013" w14:paraId="1C7BBB1F" w14:textId="77777777">
      <w:pPr>
        <w:spacing w:line="360" w:lineRule="auto"/>
        <w:jc w:val="both"/>
        <w:rPr>
          <w:rFonts w:ascii="Palatino Linotype" w:hAnsi="Palatino Linotype" w:eastAsia="Calibri" w:cs="Tahoma"/>
          <w:bCs/>
          <w:iCs/>
          <w:color w:val="000000"/>
          <w:sz w:val="22"/>
        </w:rPr>
      </w:pPr>
      <w:r w:rsidRPr="00CF09CB">
        <w:rPr>
          <w:rFonts w:ascii="Palatino Linotype" w:hAnsi="Palatino Linotype" w:eastAsia="Calibri" w:cs="Tahoma"/>
          <w:bCs/>
          <w:iCs/>
          <w:color w:val="000000"/>
          <w:sz w:val="22"/>
        </w:rPr>
        <w:t xml:space="preserve">Lo anterior, se desprende de las documentales que obran en el expediente de referencia, materia de la presente resolución, consistente en: las solicitudes de acceso a la información; las respuestas proporcionadas; los escritos </w:t>
      </w:r>
      <w:proofErr w:type="spellStart"/>
      <w:r w:rsidRPr="00CF09CB">
        <w:rPr>
          <w:rFonts w:ascii="Palatino Linotype" w:hAnsi="Palatino Linotype" w:eastAsia="Calibri" w:cs="Tahoma"/>
          <w:bCs/>
          <w:iCs/>
          <w:color w:val="000000"/>
          <w:sz w:val="22"/>
        </w:rPr>
        <w:t>recursales</w:t>
      </w:r>
      <w:proofErr w:type="spellEnd"/>
      <w:r w:rsidRPr="00CF09CB">
        <w:rPr>
          <w:rFonts w:ascii="Palatino Linotype" w:hAnsi="Palatino Linotype" w:eastAsia="Calibri" w:cs="Tahoma"/>
          <w:bCs/>
          <w:iCs/>
          <w:color w:val="000000"/>
          <w:sz w:val="22"/>
        </w:rPr>
        <w:t xml:space="preserve"> y los Informes Justificados, instrumentales que se toman en cuenta a efecto de resolver el presente medio de impugnación, conforme a lo dispuesto por el artículo 185, fracción IV, de la Ley de Transparencia y Acceso a la Información Pública del Estado de México y Municipios.</w:t>
      </w:r>
    </w:p>
    <w:p w:rsidRPr="00CF09CB" w:rsidR="00F50462" w:rsidP="0019462A" w:rsidRDefault="00F50462" w14:paraId="2AAF72E7" w14:textId="77777777">
      <w:pPr>
        <w:spacing w:line="360" w:lineRule="auto"/>
        <w:jc w:val="both"/>
        <w:rPr>
          <w:rFonts w:ascii="Palatino Linotype" w:hAnsi="Palatino Linotype" w:eastAsia="Calibri" w:cs="Tahoma"/>
          <w:color w:val="000000"/>
          <w:sz w:val="22"/>
        </w:rPr>
      </w:pPr>
    </w:p>
    <w:p w:rsidRPr="00CF09CB" w:rsidR="00EB7ECA" w:rsidP="0019462A" w:rsidRDefault="00EB7ECA" w14:paraId="55796DA5" w14:textId="77777777">
      <w:pPr>
        <w:spacing w:line="360" w:lineRule="auto"/>
        <w:jc w:val="both"/>
        <w:rPr>
          <w:rFonts w:ascii="Palatino Linotype" w:hAnsi="Palatino Linotype" w:cs="Tahoma"/>
          <w:b/>
          <w:sz w:val="22"/>
          <w:szCs w:val="22"/>
        </w:rPr>
      </w:pPr>
      <w:r w:rsidRPr="00CF09CB">
        <w:rPr>
          <w:rFonts w:ascii="Palatino Linotype" w:hAnsi="Palatino Linotype" w:cs="Tahoma"/>
          <w:b/>
          <w:sz w:val="22"/>
          <w:szCs w:val="22"/>
          <w:lang w:val="es-ES"/>
        </w:rPr>
        <w:t xml:space="preserve">CUARTO. </w:t>
      </w:r>
      <w:r w:rsidRPr="00CF09CB">
        <w:rPr>
          <w:rFonts w:ascii="Palatino Linotype" w:hAnsi="Palatino Linotype" w:cs="Tahoma"/>
          <w:b/>
          <w:sz w:val="22"/>
          <w:szCs w:val="22"/>
        </w:rPr>
        <w:t>Marco normativo aplicable en materia de transparencia y acceso a la información pública.</w:t>
      </w:r>
    </w:p>
    <w:p w:rsidRPr="00CF09CB" w:rsidR="00EB7ECA" w:rsidP="0019462A" w:rsidRDefault="00EB7ECA" w14:paraId="2E70303B" w14:textId="77777777">
      <w:pPr>
        <w:spacing w:line="360" w:lineRule="auto"/>
        <w:jc w:val="both"/>
        <w:rPr>
          <w:rFonts w:ascii="Palatino Linotype" w:hAnsi="Palatino Linotype" w:cs="Tahoma"/>
          <w:b/>
          <w:sz w:val="22"/>
          <w:szCs w:val="22"/>
        </w:rPr>
      </w:pPr>
    </w:p>
    <w:p w:rsidRPr="00CF09CB" w:rsidR="00EB7ECA" w:rsidP="0019462A" w:rsidRDefault="00EB7ECA" w14:paraId="20F70062" w14:textId="77777777">
      <w:pPr>
        <w:spacing w:line="360" w:lineRule="auto"/>
        <w:jc w:val="both"/>
        <w:rPr>
          <w:rFonts w:ascii="Palatino Linotype" w:hAnsi="Palatino Linotype" w:cs="Tahoma"/>
          <w:sz w:val="22"/>
          <w:szCs w:val="22"/>
        </w:rPr>
      </w:pPr>
      <w:r w:rsidRPr="00CF09CB">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rsidRPr="00CF09CB" w:rsidR="00EB7ECA" w:rsidP="0019462A" w:rsidRDefault="00EB7ECA" w14:paraId="41E8C4D5" w14:textId="37BDDCA2">
      <w:pPr>
        <w:spacing w:line="360" w:lineRule="auto"/>
        <w:jc w:val="both"/>
        <w:rPr>
          <w:rFonts w:ascii="Palatino Linotype" w:hAnsi="Palatino Linotype" w:cs="Tahoma"/>
          <w:sz w:val="22"/>
          <w:szCs w:val="22"/>
        </w:rPr>
      </w:pPr>
      <w:r w:rsidRPr="00CF09CB">
        <w:rPr>
          <w:rFonts w:ascii="Palatino Linotype" w:hAnsi="Palatino Linotype" w:cs="Tahoma"/>
          <w:sz w:val="22"/>
          <w:szCs w:val="22"/>
        </w:rPr>
        <w:lastRenderedPageBreak/>
        <w:t>La Ley General de Transparencia y Acceso a la Información Pública, dispone en su artículo 70, la información que se considera corresponde a las Obligaciones de Transparencia, la cual debe estar disponible para cualquier persona de manera permanente y actualizada.</w:t>
      </w:r>
    </w:p>
    <w:p w:rsidRPr="00CF09CB" w:rsidR="008E3EA7" w:rsidP="0019462A" w:rsidRDefault="008E3EA7" w14:paraId="09C5F9D0" w14:textId="77777777">
      <w:pPr>
        <w:spacing w:line="360" w:lineRule="auto"/>
        <w:jc w:val="both"/>
        <w:rPr>
          <w:rFonts w:ascii="Palatino Linotype" w:hAnsi="Palatino Linotype" w:cs="Tahoma"/>
          <w:sz w:val="22"/>
          <w:szCs w:val="22"/>
        </w:rPr>
      </w:pPr>
    </w:p>
    <w:p w:rsidRPr="00CF09CB" w:rsidR="00EB7ECA" w:rsidP="0019462A" w:rsidRDefault="00EB7ECA" w14:paraId="76684FDB" w14:textId="77777777">
      <w:pPr>
        <w:spacing w:line="360" w:lineRule="auto"/>
        <w:jc w:val="both"/>
        <w:rPr>
          <w:rFonts w:ascii="Palatino Linotype" w:hAnsi="Palatino Linotype" w:cs="Tahoma"/>
          <w:sz w:val="22"/>
          <w:szCs w:val="22"/>
        </w:rPr>
      </w:pPr>
      <w:r w:rsidRPr="00CF09CB">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Pr="00CF09CB" w:rsidR="00EB7ECA" w:rsidP="0019462A" w:rsidRDefault="00EB7ECA" w14:paraId="1ACC6EE2" w14:textId="77777777">
      <w:pPr>
        <w:spacing w:line="360" w:lineRule="auto"/>
        <w:jc w:val="both"/>
        <w:rPr>
          <w:rFonts w:ascii="Palatino Linotype" w:hAnsi="Palatino Linotype" w:cs="Tahoma"/>
          <w:sz w:val="22"/>
          <w:szCs w:val="22"/>
        </w:rPr>
      </w:pPr>
    </w:p>
    <w:p w:rsidRPr="00CF09CB" w:rsidR="00EB7ECA" w:rsidP="0019462A" w:rsidRDefault="00EB7ECA" w14:paraId="2FC6A45A" w14:textId="77777777">
      <w:pPr>
        <w:spacing w:line="360" w:lineRule="auto"/>
        <w:jc w:val="both"/>
        <w:rPr>
          <w:rFonts w:ascii="Palatino Linotype" w:hAnsi="Palatino Linotype" w:cs="Tahoma"/>
          <w:sz w:val="22"/>
          <w:szCs w:val="22"/>
        </w:rPr>
      </w:pPr>
      <w:r w:rsidRPr="00CF09CB">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rsidRPr="00CF09CB" w:rsidR="00EB7ECA" w:rsidP="0019462A" w:rsidRDefault="00EB7ECA" w14:paraId="729BD8C6" w14:textId="77777777">
      <w:pPr>
        <w:spacing w:line="360" w:lineRule="auto"/>
        <w:jc w:val="both"/>
        <w:rPr>
          <w:rFonts w:ascii="Palatino Linotype" w:hAnsi="Palatino Linotype" w:cs="Tahoma"/>
          <w:sz w:val="22"/>
          <w:szCs w:val="22"/>
        </w:rPr>
      </w:pPr>
    </w:p>
    <w:p w:rsidRPr="00CF09CB" w:rsidR="00EB7ECA" w:rsidP="0019462A" w:rsidRDefault="00EB7ECA" w14:paraId="5FD81A17" w14:textId="77777777">
      <w:pPr>
        <w:spacing w:line="360" w:lineRule="auto"/>
        <w:jc w:val="both"/>
        <w:rPr>
          <w:rFonts w:ascii="Palatino Linotype" w:hAnsi="Palatino Linotype" w:cs="Tahoma"/>
          <w:sz w:val="22"/>
          <w:szCs w:val="22"/>
        </w:rPr>
      </w:pPr>
      <w:r w:rsidRPr="00CF09CB">
        <w:rPr>
          <w:rFonts w:ascii="Palatino Linotype" w:hAnsi="Palatino Linotype" w:cs="Tahoma"/>
          <w:sz w:val="22"/>
          <w:szCs w:val="22"/>
        </w:rPr>
        <w:t>El artículo 12, que, quienes generen, recopilen, administren, manejen, procesen, archiven o conserven información pública serán responsables de la misma.</w:t>
      </w:r>
    </w:p>
    <w:p w:rsidRPr="00CF09CB" w:rsidR="00EB7ECA" w:rsidP="0019462A" w:rsidRDefault="00EB7ECA" w14:paraId="006DCF6F" w14:textId="77777777">
      <w:pPr>
        <w:spacing w:line="360" w:lineRule="auto"/>
        <w:jc w:val="both"/>
        <w:rPr>
          <w:rFonts w:ascii="Palatino Linotype" w:hAnsi="Palatino Linotype" w:cs="Tahoma"/>
          <w:sz w:val="22"/>
          <w:szCs w:val="22"/>
        </w:rPr>
      </w:pPr>
    </w:p>
    <w:p w:rsidRPr="00CF09CB" w:rsidR="00EB7ECA" w:rsidP="0019462A" w:rsidRDefault="00EB7ECA" w14:paraId="0FBB7818" w14:textId="77777777">
      <w:pPr>
        <w:spacing w:line="360" w:lineRule="auto"/>
        <w:jc w:val="both"/>
        <w:rPr>
          <w:rFonts w:ascii="Palatino Linotype" w:hAnsi="Palatino Linotype" w:cs="Tahoma"/>
          <w:sz w:val="22"/>
          <w:szCs w:val="22"/>
        </w:rPr>
      </w:pPr>
      <w:r w:rsidRPr="00CF09CB">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rsidRPr="00CF09CB" w:rsidR="00EB7ECA" w:rsidP="0019462A" w:rsidRDefault="00EB7ECA" w14:paraId="25FAEEFD" w14:textId="77777777">
      <w:pPr>
        <w:spacing w:line="360" w:lineRule="auto"/>
        <w:jc w:val="both"/>
        <w:rPr>
          <w:rFonts w:ascii="Palatino Linotype" w:hAnsi="Palatino Linotype" w:cs="Tahoma"/>
          <w:sz w:val="22"/>
          <w:szCs w:val="22"/>
        </w:rPr>
      </w:pPr>
    </w:p>
    <w:p w:rsidRPr="00CF09CB" w:rsidR="00EB7ECA" w:rsidP="0019462A" w:rsidRDefault="00EB7ECA" w14:paraId="26AF1CB7" w14:textId="77777777">
      <w:pPr>
        <w:spacing w:line="360" w:lineRule="auto"/>
        <w:jc w:val="both"/>
        <w:rPr>
          <w:rFonts w:ascii="Palatino Linotype" w:hAnsi="Palatino Linotype" w:cs="Tahoma"/>
          <w:sz w:val="22"/>
          <w:szCs w:val="22"/>
        </w:rPr>
      </w:pPr>
      <w:r w:rsidRPr="00CF09CB">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Pr="00CF09CB" w:rsidR="00EB7ECA" w:rsidP="0019462A" w:rsidRDefault="00EB7ECA" w14:paraId="26ED6E8A" w14:textId="77777777">
      <w:pPr>
        <w:spacing w:line="360" w:lineRule="auto"/>
        <w:jc w:val="both"/>
        <w:rPr>
          <w:rFonts w:ascii="Palatino Linotype" w:hAnsi="Palatino Linotype" w:cs="Tahoma"/>
          <w:iCs/>
          <w:sz w:val="22"/>
          <w:szCs w:val="22"/>
          <w:lang w:val="es-ES"/>
        </w:rPr>
      </w:pPr>
      <w:r w:rsidRPr="00CF09CB">
        <w:rPr>
          <w:rFonts w:ascii="Palatino Linotype" w:hAnsi="Palatino Linotype" w:cs="Tahoma"/>
          <w:iCs/>
          <w:sz w:val="22"/>
          <w:szCs w:val="22"/>
          <w:lang w:val="es-ES"/>
        </w:rPr>
        <w:t xml:space="preserve"> </w:t>
      </w:r>
    </w:p>
    <w:p w:rsidRPr="00CF09CB" w:rsidR="00EB7ECA" w:rsidP="0019462A" w:rsidRDefault="00EB7ECA" w14:paraId="7DB65BFD" w14:textId="77777777">
      <w:pPr>
        <w:spacing w:line="360" w:lineRule="auto"/>
        <w:jc w:val="both"/>
        <w:rPr>
          <w:rFonts w:ascii="Palatino Linotype" w:hAnsi="Palatino Linotype" w:eastAsia="Calibri" w:cs="Tahoma"/>
          <w:sz w:val="22"/>
          <w:szCs w:val="22"/>
          <w:lang w:val="es-ES" w:eastAsia="es-ES_tradnl"/>
        </w:rPr>
      </w:pPr>
      <w:r w:rsidRPr="00CF09CB">
        <w:rPr>
          <w:rFonts w:ascii="Palatino Linotype" w:hAnsi="Palatino Linotype" w:cs="Tahoma"/>
          <w:sz w:val="22"/>
          <w:szCs w:val="22"/>
        </w:rPr>
        <w:lastRenderedPageBreak/>
        <w:t xml:space="preserve">El artículo 92, fracción VIII, </w:t>
      </w:r>
      <w:r w:rsidRPr="00CF09CB">
        <w:rPr>
          <w:rFonts w:ascii="Palatino Linotype" w:hAnsi="Palatino Linotype" w:eastAsia="Calibri" w:cs="Tahoma"/>
          <w:sz w:val="22"/>
          <w:szCs w:val="22"/>
          <w:lang w:val="es-ES" w:eastAsia="es-ES_tradnl"/>
        </w:rPr>
        <w:t xml:space="preserve">que, la información sobre las </w:t>
      </w:r>
      <w:r w:rsidRPr="00CF09CB">
        <w:rPr>
          <w:rFonts w:ascii="Palatino Linotype" w:hAnsi="Palatino Linotype" w:eastAsia="Calibri" w:cs="Tahoma"/>
          <w:bCs/>
          <w:sz w:val="22"/>
          <w:szCs w:val="22"/>
          <w:lang w:val="es-ES" w:eastAsia="es-ES_tradnl"/>
        </w:rPr>
        <w:t>remuneraciones de todos los servidores públicos de base o de confianza,</w:t>
      </w:r>
      <w:r w:rsidRPr="00CF09CB">
        <w:rPr>
          <w:rFonts w:ascii="Palatino Linotype" w:hAnsi="Palatino Linotype" w:eastAsia="Calibri" w:cs="Tahoma"/>
          <w:sz w:val="22"/>
          <w:szCs w:val="22"/>
          <w:lang w:val="es-ES" w:eastAsia="es-ES_tradnl"/>
        </w:rPr>
        <w:t xml:space="preserve"> corresponde a una Obligación Común de Transparencia para los Sujetos Obligados.</w:t>
      </w:r>
    </w:p>
    <w:p w:rsidRPr="00CF09CB" w:rsidR="00EB7ECA" w:rsidP="0019462A" w:rsidRDefault="00EB7ECA" w14:paraId="57F3F5C7" w14:textId="77777777">
      <w:pPr>
        <w:spacing w:line="360" w:lineRule="auto"/>
        <w:jc w:val="both"/>
        <w:rPr>
          <w:rFonts w:ascii="Palatino Linotype" w:hAnsi="Palatino Linotype" w:cs="Tahoma"/>
          <w:iCs/>
          <w:sz w:val="22"/>
          <w:szCs w:val="22"/>
          <w:lang w:val="es-ES"/>
        </w:rPr>
      </w:pPr>
    </w:p>
    <w:p w:rsidRPr="00CF09CB" w:rsidR="00EB7ECA" w:rsidP="0019462A" w:rsidRDefault="00EB7ECA" w14:paraId="4528B513" w14:textId="77777777">
      <w:pPr>
        <w:spacing w:line="360" w:lineRule="auto"/>
        <w:jc w:val="both"/>
        <w:rPr>
          <w:rFonts w:ascii="Palatino Linotype" w:hAnsi="Palatino Linotype" w:cs="Tahoma"/>
          <w:b/>
          <w:sz w:val="22"/>
          <w:szCs w:val="22"/>
          <w:lang w:val="es-ES"/>
        </w:rPr>
      </w:pPr>
      <w:r w:rsidRPr="00CF09CB">
        <w:rPr>
          <w:rFonts w:ascii="Palatino Linotype" w:hAnsi="Palatino Linotype" w:cs="Tahoma"/>
          <w:b/>
          <w:sz w:val="22"/>
          <w:szCs w:val="22"/>
          <w:lang w:val="es-ES"/>
        </w:rPr>
        <w:t>QUINTO. Estudio de Fondo.</w:t>
      </w:r>
    </w:p>
    <w:p w:rsidRPr="00CF09CB" w:rsidR="00EB7ECA" w:rsidP="0019462A" w:rsidRDefault="00EB7ECA" w14:paraId="45B77551" w14:textId="0A8AEBE7">
      <w:pPr>
        <w:spacing w:line="360" w:lineRule="auto"/>
        <w:jc w:val="both"/>
        <w:rPr>
          <w:rFonts w:ascii="Palatino Linotype" w:hAnsi="Palatino Linotype" w:cs="Tahoma"/>
          <w:b/>
          <w:sz w:val="22"/>
          <w:szCs w:val="22"/>
          <w:lang w:val="es-ES"/>
        </w:rPr>
      </w:pPr>
    </w:p>
    <w:p w:rsidRPr="00CF09CB" w:rsidR="00F615B2" w:rsidP="0019462A" w:rsidRDefault="00F615B2" w14:paraId="0E88A109" w14:textId="49CB299C">
      <w:pPr>
        <w:spacing w:line="360" w:lineRule="auto"/>
        <w:jc w:val="both"/>
        <w:rPr>
          <w:rFonts w:ascii="Palatino Linotype" w:hAnsi="Palatino Linotype"/>
          <w:lang w:eastAsia="es-ES"/>
        </w:rPr>
      </w:pPr>
      <w:r w:rsidRPr="00CF09CB">
        <w:rPr>
          <w:rFonts w:ascii="Palatino Linotype" w:hAnsi="Palatino Linotype" w:cs="Tahoma"/>
        </w:rPr>
        <w:t xml:space="preserve">Expuestas las posturas de las partes, se procede al análisis del agravio hecho valer por el ahora Recurrente, concerniente a la inexistencia de la información; </w:t>
      </w:r>
      <w:r w:rsidRPr="00CF09CB">
        <w:rPr>
          <w:rFonts w:ascii="Palatino Linotype" w:hAnsi="Palatino Linotype"/>
          <w:lang w:eastAsia="es-ES"/>
        </w:rPr>
        <w:t>para lo cual, en un principio es necesario contextualizar la solicitud de información, referente al Comprobante Bancario de la Dispersión de la Nómina.</w:t>
      </w:r>
    </w:p>
    <w:p w:rsidRPr="00CF09CB" w:rsidR="00F615B2" w:rsidP="0019462A" w:rsidRDefault="00F615B2" w14:paraId="120815D9" w14:textId="77777777">
      <w:pPr>
        <w:spacing w:line="360" w:lineRule="auto"/>
        <w:jc w:val="both"/>
        <w:rPr>
          <w:rFonts w:ascii="Palatino Linotype" w:hAnsi="Palatino Linotype" w:cs="Tahoma"/>
          <w:b/>
          <w:sz w:val="22"/>
          <w:szCs w:val="22"/>
          <w:lang w:val="es-ES"/>
        </w:rPr>
      </w:pPr>
    </w:p>
    <w:p w:rsidRPr="00CF09CB" w:rsidR="00EB7ECA" w:rsidP="0019462A" w:rsidRDefault="00F615B2" w14:paraId="180B8292" w14:textId="7DBAA5D5">
      <w:pPr>
        <w:spacing w:line="360" w:lineRule="auto"/>
        <w:jc w:val="both"/>
        <w:rPr>
          <w:rFonts w:ascii="Palatino Linotype" w:hAnsi="Palatino Linotype" w:eastAsia="Calibri"/>
          <w:bCs/>
          <w:color w:val="000000"/>
          <w:sz w:val="22"/>
          <w:szCs w:val="22"/>
          <w:lang w:eastAsia="en-US"/>
        </w:rPr>
      </w:pPr>
      <w:r w:rsidRPr="00CF09CB">
        <w:rPr>
          <w:rFonts w:ascii="Palatino Linotype" w:hAnsi="Palatino Linotype" w:cs="Tahoma"/>
          <w:bCs/>
          <w:iCs/>
          <w:sz w:val="22"/>
          <w:szCs w:val="22"/>
        </w:rPr>
        <w:t>A</w:t>
      </w:r>
      <w:r w:rsidRPr="00CF09CB" w:rsidR="006B4282">
        <w:rPr>
          <w:rFonts w:ascii="Palatino Linotype" w:hAnsi="Palatino Linotype" w:eastAsia="Calibri" w:cs="Tahoma"/>
          <w:iCs/>
          <w:sz w:val="22"/>
          <w:szCs w:val="22"/>
          <w:lang w:val="es-ES"/>
        </w:rPr>
        <w:t xml:space="preserve">l respecto, resulta </w:t>
      </w:r>
      <w:r w:rsidRPr="00CF09CB" w:rsidR="00EB7ECA">
        <w:rPr>
          <w:rFonts w:ascii="Palatino Linotype" w:hAnsi="Palatino Linotype" w:eastAsia="Calibri"/>
          <w:bCs/>
          <w:color w:val="000000"/>
          <w:sz w:val="22"/>
          <w:szCs w:val="22"/>
          <w:lang w:val="es-ES" w:eastAsia="en-US"/>
        </w:rPr>
        <w:t>necesario</w:t>
      </w:r>
      <w:r w:rsidRPr="00CF09CB" w:rsidR="00EB7ECA">
        <w:rPr>
          <w:rFonts w:ascii="Palatino Linotype" w:hAnsi="Palatino Linotype" w:eastAsia="Calibri"/>
          <w:bCs/>
          <w:color w:val="000000"/>
          <w:sz w:val="22"/>
          <w:szCs w:val="22"/>
          <w:lang w:eastAsia="en-US"/>
        </w:rPr>
        <w:t xml:space="preserve"> traer a colación, el artículo 147 de la Constitución Política del Estado Libre y Soberano de México, que establece que los trabajadores al servicio del Estado, como los miembros de los Ayuntamientos, recibirán una remuneración adecuada e irrenunciable por el desempeño de su empleo, cargo o comisión, que será determinada en el presupuesto de egresos que corresponda. </w:t>
      </w:r>
    </w:p>
    <w:p w:rsidRPr="00CF09CB" w:rsidR="00EB7ECA" w:rsidP="0019462A" w:rsidRDefault="00EB7ECA" w14:paraId="0C9CE991" w14:textId="77777777">
      <w:pPr>
        <w:spacing w:line="360" w:lineRule="auto"/>
        <w:jc w:val="both"/>
        <w:rPr>
          <w:rFonts w:ascii="Palatino Linotype" w:hAnsi="Palatino Linotype" w:eastAsia="Calibri"/>
          <w:color w:val="000000"/>
          <w:sz w:val="22"/>
          <w:szCs w:val="22"/>
          <w:lang w:eastAsia="en-US"/>
        </w:rPr>
      </w:pPr>
    </w:p>
    <w:p w:rsidRPr="00CF09CB" w:rsidR="00EB7ECA" w:rsidP="0019462A" w:rsidRDefault="00EB7ECA" w14:paraId="7AB920EF" w14:textId="77777777">
      <w:pPr>
        <w:spacing w:line="360" w:lineRule="auto"/>
        <w:jc w:val="both"/>
        <w:rPr>
          <w:rFonts w:ascii="Palatino Linotype" w:hAnsi="Palatino Linotype" w:eastAsia="Calibri"/>
          <w:bCs/>
          <w:color w:val="000000"/>
          <w:sz w:val="22"/>
          <w:szCs w:val="22"/>
          <w:lang w:eastAsia="en-US"/>
        </w:rPr>
      </w:pPr>
      <w:r w:rsidRPr="00CF09CB">
        <w:rPr>
          <w:rFonts w:ascii="Palatino Linotype" w:hAnsi="Palatino Linotype" w:eastAsia="Calibri"/>
          <w:bCs/>
          <w:color w:val="000000"/>
          <w:sz w:val="22"/>
          <w:szCs w:val="22"/>
          <w:lang w:eastAsia="en-US"/>
        </w:rPr>
        <w:t>En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rsidRPr="00CF09CB" w:rsidR="00EB7ECA" w:rsidP="0019462A" w:rsidRDefault="00EB7ECA" w14:paraId="2B31790C" w14:textId="77777777">
      <w:pPr>
        <w:spacing w:line="360" w:lineRule="auto"/>
        <w:jc w:val="both"/>
        <w:rPr>
          <w:rFonts w:ascii="Palatino Linotype" w:hAnsi="Palatino Linotype" w:eastAsia="Calibri"/>
          <w:bCs/>
          <w:color w:val="000000"/>
          <w:sz w:val="22"/>
          <w:szCs w:val="22"/>
          <w:lang w:eastAsia="en-US"/>
        </w:rPr>
      </w:pPr>
    </w:p>
    <w:p w:rsidRPr="00CF09CB" w:rsidR="00EB7ECA" w:rsidP="0019462A" w:rsidRDefault="00EB7ECA" w14:paraId="23FD7D87" w14:textId="77777777">
      <w:pPr>
        <w:spacing w:line="360" w:lineRule="auto"/>
        <w:jc w:val="both"/>
        <w:rPr>
          <w:rFonts w:ascii="Palatino Linotype" w:hAnsi="Palatino Linotype" w:eastAsia="Calibri"/>
          <w:bCs/>
          <w:color w:val="000000"/>
          <w:sz w:val="22"/>
          <w:szCs w:val="22"/>
          <w:lang w:eastAsia="en-US"/>
        </w:rPr>
      </w:pPr>
      <w:r w:rsidRPr="00CF09CB">
        <w:rPr>
          <w:rFonts w:ascii="Palatino Linotype" w:hAnsi="Palatino Linotype" w:eastAsia="Calibri"/>
          <w:bCs/>
          <w:color w:val="000000"/>
          <w:sz w:val="22"/>
          <w:szCs w:val="22"/>
          <w:lang w:eastAsia="en-US"/>
        </w:rPr>
        <w:t>Da la misma manera, el Anexo IV.5 Glosario de Términos, del Manual para la Planeación, Programación y Presupuesto de Egresos Municipal para el ejercicio fiscal dos mil veinte, establece que la remuneración es la percepción de un trabajador o retribución monetaria que se da en pago por su servicio o actividad desarrollada.</w:t>
      </w:r>
    </w:p>
    <w:p w:rsidRPr="00CF09CB" w:rsidR="00EB7ECA" w:rsidP="0019462A" w:rsidRDefault="00EB7ECA" w14:paraId="4EC57869" w14:textId="77777777">
      <w:pPr>
        <w:spacing w:line="360" w:lineRule="auto"/>
        <w:jc w:val="both"/>
        <w:rPr>
          <w:rFonts w:ascii="Palatino Linotype" w:hAnsi="Palatino Linotype" w:eastAsia="Calibri"/>
          <w:bCs/>
          <w:color w:val="000000"/>
          <w:sz w:val="22"/>
          <w:szCs w:val="22"/>
          <w:lang w:eastAsia="en-US"/>
        </w:rPr>
      </w:pPr>
    </w:p>
    <w:p w:rsidRPr="00CF09CB" w:rsidR="00EB7ECA" w:rsidP="0019462A" w:rsidRDefault="00EB7ECA" w14:paraId="08A94238" w14:textId="77777777">
      <w:pPr>
        <w:spacing w:line="360" w:lineRule="auto"/>
        <w:jc w:val="both"/>
        <w:rPr>
          <w:rFonts w:ascii="Palatino Linotype" w:hAnsi="Palatino Linotype" w:eastAsia="Calibri"/>
          <w:b/>
          <w:bCs/>
          <w:iCs/>
          <w:color w:val="000000"/>
          <w:sz w:val="22"/>
          <w:szCs w:val="22"/>
          <w:lang w:val="es-ES" w:eastAsia="en-US"/>
        </w:rPr>
      </w:pPr>
      <w:r w:rsidRPr="00CF09CB">
        <w:rPr>
          <w:rFonts w:ascii="Palatino Linotype" w:hAnsi="Palatino Linotype" w:eastAsia="Calibri"/>
          <w:bCs/>
          <w:iCs/>
          <w:color w:val="000000"/>
          <w:sz w:val="22"/>
          <w:szCs w:val="22"/>
          <w:lang w:val="es-ES" w:eastAsia="en-US"/>
        </w:rPr>
        <w:lastRenderedPageBreak/>
        <w:t xml:space="preserve">En ese contexto, el artículo 70, fracción VIII, de la Ley General de Transparencia y Acceso a la Información Pública y 92, fracción VIII, de la Ley de Transparencia y Acceso a la Información Pública del Estado de México y Municipios, establece que los Sujetos Obligados deberán poner a disposición del público de manera permanente y actualizada, </w:t>
      </w:r>
      <w:r w:rsidRPr="00CF09CB">
        <w:rPr>
          <w:rFonts w:ascii="Palatino Linotype" w:hAnsi="Palatino Linotype" w:eastAsia="Calibri"/>
          <w:b/>
          <w:bCs/>
          <w:iCs/>
          <w:color w:val="000000"/>
          <w:sz w:val="22"/>
          <w:szCs w:val="22"/>
          <w:lang w:val="es-ES" w:eastAsia="en-US"/>
        </w:rPr>
        <w:t>las remuneraciones brutas y netas de todos los servidores públicos, que incluya todas las percepciones, entre las cuales, se encuentran los sueldos, prestaciones, gratificaciones, primas, comisiones, dietas, bonos, estímulos, ingresos, entre otros.</w:t>
      </w:r>
    </w:p>
    <w:p w:rsidRPr="00CF09CB" w:rsidR="00EB7ECA" w:rsidP="0019462A" w:rsidRDefault="00EB7ECA" w14:paraId="605E0B4D" w14:textId="77777777">
      <w:pPr>
        <w:spacing w:line="360" w:lineRule="auto"/>
        <w:jc w:val="both"/>
        <w:rPr>
          <w:rFonts w:ascii="Palatino Linotype" w:hAnsi="Palatino Linotype" w:eastAsia="Calibri"/>
          <w:b/>
          <w:bCs/>
          <w:iCs/>
          <w:color w:val="000000"/>
          <w:sz w:val="22"/>
          <w:szCs w:val="22"/>
          <w:lang w:val="es-ES" w:eastAsia="en-US"/>
        </w:rPr>
      </w:pPr>
    </w:p>
    <w:p w:rsidRPr="00CF09CB" w:rsidR="00EB7ECA" w:rsidP="0019462A" w:rsidRDefault="00EB7ECA" w14:paraId="12E46237" w14:textId="77777777">
      <w:pPr>
        <w:spacing w:line="360" w:lineRule="auto"/>
        <w:jc w:val="both"/>
        <w:rPr>
          <w:rFonts w:ascii="Palatino Linotype" w:hAnsi="Palatino Linotype" w:eastAsia="Calibri"/>
          <w:b/>
          <w:bCs/>
          <w:iCs/>
          <w:color w:val="000000"/>
          <w:sz w:val="22"/>
          <w:szCs w:val="22"/>
          <w:lang w:val="es-ES" w:eastAsia="en-US"/>
        </w:rPr>
      </w:pPr>
      <w:r w:rsidRPr="00CF09CB">
        <w:rPr>
          <w:rFonts w:ascii="Palatino Linotype" w:hAnsi="Palatino Linotype" w:eastAsia="Calibri"/>
          <w:bCs/>
          <w:iCs/>
          <w:color w:val="000000"/>
          <w:sz w:val="22"/>
          <w:szCs w:val="22"/>
          <w:lang w:val="es-ES" w:eastAsia="en-US"/>
        </w:rPr>
        <w:t xml:space="preserve">Además, el Anexo IV.2 Clasificación por objeto del gasto, del Manual para la Planeación, Programación y Presupuesto de Egresos Municipal para el ejercicio fiscal dos mil veinte, establece que los Presupuestos de Egresos Municipales, se tendrán que generar, conforme al “Clasificador por Objeto del Gasto”, el cual se conforma de diversos capítulos, entre los cuales, se encuentra el </w:t>
      </w:r>
      <w:r w:rsidRPr="00CF09CB">
        <w:rPr>
          <w:rFonts w:ascii="Palatino Linotype" w:hAnsi="Palatino Linotype" w:eastAsia="Calibri"/>
          <w:b/>
          <w:bCs/>
          <w:iCs/>
          <w:color w:val="000000"/>
          <w:sz w:val="22"/>
          <w:szCs w:val="22"/>
          <w:lang w:val="es-ES" w:eastAsia="en-US"/>
        </w:rPr>
        <w:t>1000 Servicios Personales</w:t>
      </w:r>
      <w:r w:rsidRPr="00CF09CB">
        <w:rPr>
          <w:rFonts w:ascii="Palatino Linotype" w:hAnsi="Palatino Linotype" w:eastAsia="Calibri"/>
          <w:bCs/>
          <w:iCs/>
          <w:color w:val="000000"/>
          <w:sz w:val="22"/>
          <w:szCs w:val="22"/>
          <w:lang w:val="es-ES" w:eastAsia="en-US"/>
        </w:rPr>
        <w:t>,</w:t>
      </w:r>
      <w:r w:rsidRPr="00CF09CB">
        <w:rPr>
          <w:rFonts w:ascii="Palatino Linotype" w:hAnsi="Palatino Linotype" w:eastAsia="Calibri"/>
          <w:b/>
          <w:bCs/>
          <w:iCs/>
          <w:color w:val="000000"/>
          <w:sz w:val="22"/>
          <w:szCs w:val="22"/>
          <w:lang w:val="es-ES" w:eastAsia="en-US"/>
        </w:rPr>
        <w:t xml:space="preserve"> que agrupa las remuneraciones del personal al servicio de los entes públicos, tales como el sueldo, salarios, dietas, honorarios, prestaciones, obligaciones laborales, gratificaciones, entre otras.</w:t>
      </w:r>
    </w:p>
    <w:p w:rsidRPr="00CF09CB" w:rsidR="00EB7ECA" w:rsidP="0019462A" w:rsidRDefault="00EB7ECA" w14:paraId="5E989844" w14:textId="77777777">
      <w:pPr>
        <w:spacing w:line="360" w:lineRule="auto"/>
        <w:jc w:val="both"/>
        <w:rPr>
          <w:rFonts w:ascii="Palatino Linotype" w:hAnsi="Palatino Linotype" w:eastAsia="Calibri"/>
          <w:bCs/>
          <w:color w:val="000000"/>
          <w:sz w:val="22"/>
          <w:szCs w:val="22"/>
          <w:lang w:eastAsia="en-US"/>
        </w:rPr>
      </w:pPr>
    </w:p>
    <w:p w:rsidRPr="00CF09CB" w:rsidR="00EB7ECA" w:rsidP="0019462A" w:rsidRDefault="00EB7ECA" w14:paraId="1F166310" w14:textId="7C78C700">
      <w:pPr>
        <w:spacing w:line="360" w:lineRule="auto"/>
        <w:ind w:right="-93"/>
        <w:jc w:val="both"/>
        <w:rPr>
          <w:rFonts w:ascii="Palatino Linotype" w:hAnsi="Palatino Linotype" w:eastAsia="Calibri" w:cs="Tahoma"/>
          <w:b/>
          <w:bCs/>
          <w:color w:val="000000"/>
          <w:sz w:val="22"/>
          <w:szCs w:val="22"/>
          <w:lang w:eastAsia="en-US"/>
        </w:rPr>
      </w:pPr>
      <w:r w:rsidRPr="00CF09CB">
        <w:rPr>
          <w:rFonts w:ascii="Palatino Linotype" w:hAnsi="Palatino Linotype" w:eastAsia="Calibri" w:cs="Tahoma"/>
          <w:bCs/>
          <w:color w:val="000000"/>
          <w:sz w:val="22"/>
          <w:szCs w:val="22"/>
          <w:lang w:eastAsia="en-US"/>
        </w:rPr>
        <w:t>En ese orden de ideas, respecto a la nómina</w:t>
      </w:r>
      <w:r w:rsidRPr="00CF09CB">
        <w:rPr>
          <w:rFonts w:ascii="Palatino Linotype" w:hAnsi="Palatino Linotype" w:eastAsia="Calibri" w:cs="Tahoma"/>
          <w:b/>
          <w:bCs/>
          <w:color w:val="000000"/>
          <w:sz w:val="22"/>
          <w:szCs w:val="22"/>
          <w:lang w:eastAsia="en-US"/>
        </w:rPr>
        <w:t xml:space="preserve">, </w:t>
      </w:r>
      <w:r w:rsidRPr="00CF09CB">
        <w:rPr>
          <w:rFonts w:ascii="Palatino Linotype" w:hAnsi="Palatino Linotype" w:eastAsia="Calibri" w:cs="Tahoma"/>
          <w:bCs/>
          <w:color w:val="000000"/>
          <w:sz w:val="22"/>
          <w:szCs w:val="22"/>
          <w:lang w:eastAsia="en-US"/>
        </w:rPr>
        <w:t>el Glosario localizado en la página de Transparencia Presupuestaria de la Secretaría de Hacienda y Crédito Público (</w:t>
      </w:r>
      <w:hyperlink w:history="1" r:id="rId9">
        <w:r w:rsidRPr="00CF09CB">
          <w:rPr>
            <w:rFonts w:ascii="Palatino Linotype" w:hAnsi="Palatino Linotype" w:eastAsia="Calibri" w:cs="Tahoma"/>
            <w:bCs/>
            <w:color w:val="000000"/>
            <w:sz w:val="22"/>
            <w:szCs w:val="22"/>
            <w:u w:val="single"/>
            <w:lang w:eastAsia="en-US"/>
          </w:rPr>
          <w:t>http://www.transparenciapresupuestaria.gob.mx/es/PTP/Glosario</w:t>
        </w:r>
      </w:hyperlink>
      <w:r w:rsidRPr="00CF09CB">
        <w:rPr>
          <w:rFonts w:ascii="Palatino Linotype" w:hAnsi="Palatino Linotype" w:eastAsia="Calibri" w:cs="Tahoma"/>
          <w:bCs/>
          <w:color w:val="000000"/>
          <w:sz w:val="22"/>
          <w:szCs w:val="22"/>
          <w:lang w:eastAsia="en-US"/>
        </w:rPr>
        <w:t xml:space="preserve">, consultado el treinta de agosto de dos mil veintiuno, a las doce horas), establece que </w:t>
      </w:r>
      <w:r w:rsidRPr="00CF09CB">
        <w:rPr>
          <w:rFonts w:ascii="Palatino Linotype" w:hAnsi="Palatino Linotype" w:eastAsia="Calibri" w:cs="Tahoma"/>
          <w:b/>
          <w:bCs/>
          <w:color w:val="000000"/>
          <w:sz w:val="22"/>
          <w:szCs w:val="22"/>
          <w:lang w:eastAsia="en-US"/>
        </w:rPr>
        <w:t>es el documento contable que contiene la relación de los trabajadores con las percepciones monetarias de cada uno; además, que también se refiere al recibo individual y justificativo que indica los sueldos de los trabajadores, incluyendo las prestaciones y deducciones correspondientes.</w:t>
      </w:r>
    </w:p>
    <w:p w:rsidRPr="00CF09CB" w:rsidR="00F615B2" w:rsidP="0019462A" w:rsidRDefault="00F615B2" w14:paraId="4077371F" w14:textId="77777777">
      <w:pPr>
        <w:spacing w:line="360" w:lineRule="auto"/>
        <w:ind w:right="-93"/>
        <w:jc w:val="both"/>
        <w:rPr>
          <w:rFonts w:ascii="Palatino Linotype" w:hAnsi="Palatino Linotype" w:eastAsia="Calibri" w:cs="Tahoma"/>
          <w:b/>
          <w:bCs/>
          <w:color w:val="000000"/>
          <w:sz w:val="22"/>
          <w:szCs w:val="22"/>
          <w:lang w:eastAsia="en-US"/>
        </w:rPr>
      </w:pPr>
    </w:p>
    <w:p w:rsidRPr="00CF09CB" w:rsidR="00EB7ECA" w:rsidP="0019462A" w:rsidRDefault="00EB7ECA" w14:paraId="38E3280B" w14:textId="77777777">
      <w:pPr>
        <w:spacing w:line="360" w:lineRule="auto"/>
        <w:ind w:right="-93"/>
        <w:jc w:val="both"/>
        <w:rPr>
          <w:rFonts w:ascii="Palatino Linotype" w:hAnsi="Palatino Linotype" w:eastAsia="Calibri" w:cs="Tahoma"/>
          <w:b/>
          <w:bCs/>
          <w:color w:val="000000"/>
          <w:sz w:val="22"/>
          <w:szCs w:val="22"/>
          <w:lang w:eastAsia="en-US"/>
        </w:rPr>
      </w:pPr>
      <w:r w:rsidRPr="00CF09CB">
        <w:rPr>
          <w:rFonts w:ascii="Palatino Linotype" w:hAnsi="Palatino Linotype" w:eastAsia="Calibri" w:cs="Tahoma"/>
          <w:bCs/>
          <w:color w:val="000000"/>
          <w:sz w:val="22"/>
          <w:szCs w:val="22"/>
          <w:lang w:eastAsia="en-US"/>
        </w:rPr>
        <w:t>De la misma manera, el Glosario de términos más usuales en la Administración Pública Federal, emitido por la Secretaría de Hacienda y Crédito Público (</w:t>
      </w:r>
      <w:hyperlink w:history="1" r:id="rId10">
        <w:r w:rsidRPr="00CF09CB">
          <w:rPr>
            <w:rFonts w:ascii="Palatino Linotype" w:hAnsi="Palatino Linotype" w:eastAsia="Calibri" w:cs="Tahoma"/>
            <w:bCs/>
            <w:color w:val="000000"/>
            <w:sz w:val="22"/>
            <w:szCs w:val="22"/>
            <w:u w:val="single"/>
            <w:lang w:eastAsia="en-US"/>
          </w:rPr>
          <w:t>http://www.apartados.hacienda.gob.mx/contabilidad/documentos/informe_cuenta/1998/cue</w:t>
        </w:r>
        <w:r w:rsidRPr="00CF09CB">
          <w:rPr>
            <w:rFonts w:ascii="Palatino Linotype" w:hAnsi="Palatino Linotype" w:eastAsia="Calibri" w:cs="Tahoma"/>
            <w:bCs/>
            <w:color w:val="000000"/>
            <w:sz w:val="22"/>
            <w:szCs w:val="22"/>
            <w:u w:val="single"/>
            <w:lang w:eastAsia="en-US"/>
          </w:rPr>
          <w:lastRenderedPageBreak/>
          <w:t>nta_publica/Glosario/n.htm</w:t>
        </w:r>
      </w:hyperlink>
      <w:r w:rsidRPr="00CF09CB">
        <w:rPr>
          <w:rFonts w:ascii="Palatino Linotype" w:hAnsi="Palatino Linotype" w:eastAsia="Calibri" w:cs="Tahoma"/>
          <w:bCs/>
          <w:color w:val="000000"/>
          <w:sz w:val="22"/>
          <w:szCs w:val="22"/>
          <w:lang w:eastAsia="en-US"/>
        </w:rPr>
        <w:t xml:space="preserve">, consultada treinta de agosto de dos mil veintiuno, a las doce horas), establece que la </w:t>
      </w:r>
      <w:r w:rsidRPr="00CF09CB">
        <w:rPr>
          <w:rFonts w:ascii="Palatino Linotype" w:hAnsi="Palatino Linotype" w:eastAsia="Calibri" w:cs="Tahoma"/>
          <w:b/>
          <w:bCs/>
          <w:color w:val="000000"/>
          <w:sz w:val="22"/>
          <w:szCs w:val="22"/>
          <w:lang w:eastAsia="en-US"/>
        </w:rPr>
        <w:t>nómina es un listado general de los trabajadores de una institución, en el cual se asientan las percepciones brutas, deducciones y alcance neto de las mismas.</w:t>
      </w:r>
    </w:p>
    <w:p w:rsidRPr="00CF09CB" w:rsidR="00EB7ECA" w:rsidP="0019462A" w:rsidRDefault="00EB7ECA" w14:paraId="7D83EF8E" w14:textId="77777777">
      <w:pPr>
        <w:spacing w:line="360" w:lineRule="auto"/>
        <w:ind w:right="-93"/>
        <w:jc w:val="both"/>
        <w:rPr>
          <w:rFonts w:ascii="Palatino Linotype" w:hAnsi="Palatino Linotype" w:eastAsia="Calibri" w:cs="Tahoma"/>
          <w:bCs/>
          <w:color w:val="000000"/>
          <w:sz w:val="22"/>
          <w:szCs w:val="22"/>
          <w:lang w:eastAsia="en-US"/>
        </w:rPr>
      </w:pPr>
    </w:p>
    <w:p w:rsidRPr="00CF09CB" w:rsidR="00EB7ECA" w:rsidP="0019462A" w:rsidRDefault="00EB7ECA" w14:paraId="498A1851" w14:textId="77777777">
      <w:pPr>
        <w:spacing w:line="360" w:lineRule="auto"/>
        <w:ind w:right="-93"/>
        <w:jc w:val="both"/>
        <w:rPr>
          <w:rFonts w:ascii="Palatino Linotype" w:hAnsi="Palatino Linotype" w:eastAsia="Calibri" w:cs="Tahoma"/>
          <w:bCs/>
          <w:color w:val="000000"/>
          <w:sz w:val="22"/>
          <w:szCs w:val="22"/>
          <w:lang w:eastAsia="en-US"/>
        </w:rPr>
      </w:pPr>
      <w:r w:rsidRPr="00CF09CB">
        <w:rPr>
          <w:rFonts w:ascii="Palatino Linotype" w:hAnsi="Palatino Linotype" w:eastAsia="Calibri" w:cs="Tahoma"/>
          <w:bCs/>
          <w:color w:val="000000"/>
          <w:sz w:val="22"/>
          <w:szCs w:val="22"/>
          <w:lang w:eastAsia="en-US"/>
        </w:rPr>
        <w:t>Conforme a lo anterior, se puede advertir que la nómina se puede referir a lo siguiente:</w:t>
      </w:r>
    </w:p>
    <w:p w:rsidRPr="00CF09CB" w:rsidR="00EB7ECA" w:rsidP="0019462A" w:rsidRDefault="00EB7ECA" w14:paraId="51D3AD79" w14:textId="77777777">
      <w:pPr>
        <w:spacing w:line="360" w:lineRule="auto"/>
        <w:ind w:right="-93"/>
        <w:jc w:val="both"/>
        <w:rPr>
          <w:rFonts w:ascii="Palatino Linotype" w:hAnsi="Palatino Linotype" w:eastAsia="Calibri" w:cs="Tahoma"/>
          <w:bCs/>
          <w:color w:val="000000"/>
          <w:sz w:val="22"/>
          <w:szCs w:val="22"/>
          <w:lang w:eastAsia="en-US"/>
        </w:rPr>
      </w:pPr>
    </w:p>
    <w:p w:rsidRPr="00CF09CB" w:rsidR="00EB7ECA" w:rsidP="0019462A" w:rsidRDefault="00EB7ECA" w14:paraId="40B2D0D3" w14:textId="77777777">
      <w:pPr>
        <w:numPr>
          <w:ilvl w:val="0"/>
          <w:numId w:val="35"/>
        </w:numPr>
        <w:spacing w:line="360" w:lineRule="auto"/>
        <w:ind w:right="-93"/>
        <w:contextualSpacing/>
        <w:jc w:val="both"/>
        <w:rPr>
          <w:rFonts w:ascii="Palatino Linotype" w:hAnsi="Palatino Linotype" w:eastAsia="Calibri" w:cs="Tahoma"/>
          <w:bCs/>
          <w:color w:val="000000"/>
          <w:sz w:val="22"/>
          <w:szCs w:val="22"/>
          <w:lang w:eastAsia="en-US"/>
        </w:rPr>
      </w:pPr>
      <w:r w:rsidRPr="00CF09CB">
        <w:rPr>
          <w:rFonts w:ascii="Palatino Linotype" w:hAnsi="Palatino Linotype" w:eastAsia="Calibri" w:cs="Tahoma"/>
          <w:bCs/>
          <w:color w:val="000000"/>
          <w:sz w:val="22"/>
          <w:szCs w:val="22"/>
          <w:lang w:eastAsia="en-US"/>
        </w:rPr>
        <w:t>Relación de trabajadores con las percepciones monetarias de cada uno.</w:t>
      </w:r>
    </w:p>
    <w:p w:rsidRPr="00CF09CB" w:rsidR="00EB7ECA" w:rsidP="0019462A" w:rsidRDefault="00EB7ECA" w14:paraId="27020EA3" w14:textId="77777777">
      <w:pPr>
        <w:spacing w:line="360" w:lineRule="auto"/>
        <w:ind w:left="720" w:right="-93"/>
        <w:contextualSpacing/>
        <w:jc w:val="both"/>
        <w:rPr>
          <w:rFonts w:ascii="Palatino Linotype" w:hAnsi="Palatino Linotype" w:eastAsia="Calibri" w:cs="Tahoma"/>
          <w:b/>
          <w:bCs/>
          <w:color w:val="000000"/>
          <w:sz w:val="22"/>
          <w:szCs w:val="22"/>
          <w:lang w:eastAsia="en-US"/>
        </w:rPr>
      </w:pPr>
    </w:p>
    <w:p w:rsidRPr="00CF09CB" w:rsidR="00EB7ECA" w:rsidP="0019462A" w:rsidRDefault="00EB7ECA" w14:paraId="14F850D8" w14:textId="77777777">
      <w:pPr>
        <w:numPr>
          <w:ilvl w:val="0"/>
          <w:numId w:val="35"/>
        </w:numPr>
        <w:spacing w:line="360" w:lineRule="auto"/>
        <w:ind w:right="-93"/>
        <w:contextualSpacing/>
        <w:jc w:val="both"/>
        <w:rPr>
          <w:rFonts w:ascii="Palatino Linotype" w:hAnsi="Palatino Linotype" w:eastAsia="Calibri" w:cs="Tahoma"/>
          <w:bCs/>
          <w:color w:val="000000"/>
          <w:sz w:val="22"/>
          <w:szCs w:val="22"/>
          <w:lang w:eastAsia="en-US"/>
        </w:rPr>
      </w:pPr>
      <w:r w:rsidRPr="00CF09CB">
        <w:rPr>
          <w:rFonts w:ascii="Palatino Linotype" w:hAnsi="Palatino Linotype" w:eastAsia="Calibri" w:cs="Tahoma"/>
          <w:bCs/>
          <w:color w:val="000000"/>
          <w:sz w:val="22"/>
          <w:szCs w:val="22"/>
          <w:lang w:eastAsia="en-US"/>
        </w:rPr>
        <w:t>Recibo individual que contiene las prestaciones y deducciones de un trabajador.</w:t>
      </w:r>
    </w:p>
    <w:p w:rsidRPr="00CF09CB" w:rsidR="00EB7ECA" w:rsidP="0019462A" w:rsidRDefault="00EB7ECA" w14:paraId="154228D7" w14:textId="77777777">
      <w:pPr>
        <w:spacing w:line="360" w:lineRule="auto"/>
        <w:ind w:left="720"/>
        <w:contextualSpacing/>
        <w:rPr>
          <w:rFonts w:ascii="Palatino Linotype" w:hAnsi="Palatino Linotype" w:eastAsia="Calibri" w:cs="Tahoma"/>
          <w:b/>
          <w:bCs/>
          <w:color w:val="000000"/>
          <w:sz w:val="22"/>
          <w:szCs w:val="22"/>
          <w:lang w:eastAsia="en-US"/>
        </w:rPr>
      </w:pPr>
    </w:p>
    <w:p w:rsidRPr="00CF09CB" w:rsidR="00EB7ECA" w:rsidP="0019462A" w:rsidRDefault="00EB7ECA" w14:paraId="262586B1" w14:textId="77777777">
      <w:pPr>
        <w:numPr>
          <w:ilvl w:val="0"/>
          <w:numId w:val="35"/>
        </w:numPr>
        <w:spacing w:line="360" w:lineRule="auto"/>
        <w:ind w:right="-93"/>
        <w:contextualSpacing/>
        <w:jc w:val="both"/>
        <w:rPr>
          <w:rFonts w:ascii="Palatino Linotype" w:hAnsi="Palatino Linotype" w:eastAsia="Calibri" w:cs="Tahoma"/>
          <w:b/>
          <w:bCs/>
          <w:color w:val="000000"/>
          <w:sz w:val="22"/>
          <w:szCs w:val="22"/>
          <w:lang w:eastAsia="en-US"/>
        </w:rPr>
      </w:pPr>
      <w:r w:rsidRPr="00CF09CB">
        <w:rPr>
          <w:rFonts w:ascii="Palatino Linotype" w:hAnsi="Palatino Linotype" w:eastAsia="Calibri" w:cs="Tahoma"/>
          <w:b/>
          <w:bCs/>
          <w:color w:val="000000"/>
          <w:sz w:val="22"/>
          <w:szCs w:val="22"/>
          <w:lang w:eastAsia="en-US"/>
        </w:rPr>
        <w:t>Listado general de los servidores públicos de una institución o dependencia, en el cual se asientan las percepciones brutas, deducciones y alcance neto de las mismas.</w:t>
      </w:r>
    </w:p>
    <w:p w:rsidRPr="00CF09CB" w:rsidR="005B5BF8" w:rsidP="0019462A" w:rsidRDefault="005B5BF8" w14:paraId="04070B14" w14:textId="77777777">
      <w:pPr>
        <w:widowControl w:val="0"/>
        <w:spacing w:line="360" w:lineRule="auto"/>
        <w:jc w:val="both"/>
        <w:rPr>
          <w:rFonts w:ascii="Palatino Linotype" w:hAnsi="Palatino Linotype" w:cs="Tahoma"/>
          <w:color w:val="000000"/>
          <w:sz w:val="22"/>
          <w:szCs w:val="22"/>
        </w:rPr>
      </w:pPr>
    </w:p>
    <w:p w:rsidRPr="00CF09CB" w:rsidR="00EB7ECA" w:rsidP="0019462A" w:rsidRDefault="00EB7ECA" w14:paraId="23BF3313" w14:textId="3180C72B">
      <w:pPr>
        <w:spacing w:line="360" w:lineRule="auto"/>
        <w:jc w:val="both"/>
        <w:rPr>
          <w:rFonts w:ascii="Palatino Linotype" w:hAnsi="Palatino Linotype" w:cs="Tahoma"/>
          <w:bCs/>
          <w:color w:val="000000"/>
          <w:sz w:val="22"/>
          <w:szCs w:val="22"/>
        </w:rPr>
      </w:pPr>
      <w:r w:rsidRPr="00CF09CB">
        <w:rPr>
          <w:rFonts w:ascii="Palatino Linotype" w:hAnsi="Palatino Linotype" w:cs="Tahoma"/>
          <w:bCs/>
          <w:color w:val="000000"/>
          <w:sz w:val="22"/>
          <w:szCs w:val="22"/>
        </w:rPr>
        <w:t>E</w:t>
      </w:r>
      <w:r w:rsidRPr="00CF09CB" w:rsidR="00655563">
        <w:rPr>
          <w:rFonts w:ascii="Palatino Linotype" w:hAnsi="Palatino Linotype" w:cs="Tahoma"/>
          <w:bCs/>
          <w:color w:val="000000"/>
          <w:sz w:val="22"/>
          <w:szCs w:val="22"/>
        </w:rPr>
        <w:t>n ese orden de ideas, el numeral 8</w:t>
      </w:r>
      <w:r w:rsidRPr="00CF09CB" w:rsidR="00F615B2">
        <w:rPr>
          <w:rFonts w:ascii="Palatino Linotype" w:hAnsi="Palatino Linotype" w:cs="Tahoma"/>
          <w:bCs/>
          <w:color w:val="000000"/>
          <w:sz w:val="22"/>
          <w:szCs w:val="22"/>
        </w:rPr>
        <w:t>°</w:t>
      </w:r>
      <w:r w:rsidRPr="00CF09CB" w:rsidR="00655563">
        <w:rPr>
          <w:rFonts w:ascii="Palatino Linotype" w:hAnsi="Palatino Linotype" w:cs="Tahoma"/>
          <w:bCs/>
          <w:color w:val="000000"/>
          <w:sz w:val="22"/>
          <w:szCs w:val="22"/>
        </w:rPr>
        <w:t xml:space="preserve"> de la Ley de Fiscalización Superior del Estado de México</w:t>
      </w:r>
      <w:r w:rsidRPr="00CF09CB">
        <w:rPr>
          <w:rFonts w:ascii="Palatino Linotype" w:hAnsi="Palatino Linotype" w:cs="Tahoma"/>
          <w:bCs/>
          <w:color w:val="000000"/>
          <w:sz w:val="22"/>
          <w:szCs w:val="22"/>
        </w:rPr>
        <w:t xml:space="preserve">, fracciones XI y </w:t>
      </w:r>
      <w:proofErr w:type="gramStart"/>
      <w:r w:rsidRPr="00CF09CB">
        <w:rPr>
          <w:rFonts w:ascii="Palatino Linotype" w:hAnsi="Palatino Linotype" w:cs="Tahoma"/>
          <w:bCs/>
          <w:color w:val="000000"/>
          <w:sz w:val="22"/>
          <w:szCs w:val="22"/>
        </w:rPr>
        <w:t>XIV,  establece</w:t>
      </w:r>
      <w:proofErr w:type="gramEnd"/>
      <w:r w:rsidRPr="00CF09CB">
        <w:rPr>
          <w:rFonts w:ascii="Palatino Linotype" w:hAnsi="Palatino Linotype" w:cs="Tahoma"/>
          <w:bCs/>
          <w:color w:val="000000"/>
          <w:sz w:val="22"/>
          <w:szCs w:val="22"/>
        </w:rPr>
        <w:t xml:space="preserve"> que el Órgano Superior de Fiscalización del Estado de México, será el encargado de establecer los lineamientos necesarios para la elaboración de los informes mensuales; además que verificará que dichos informes hayan sido presentados conforme a la normatividad aplicable.</w:t>
      </w:r>
    </w:p>
    <w:p w:rsidRPr="00CF09CB" w:rsidR="00EB7ECA" w:rsidP="0019462A" w:rsidRDefault="00EB7ECA" w14:paraId="79173338" w14:textId="77777777">
      <w:pPr>
        <w:spacing w:line="360" w:lineRule="auto"/>
        <w:jc w:val="both"/>
        <w:rPr>
          <w:rFonts w:ascii="Palatino Linotype" w:hAnsi="Palatino Linotype" w:cs="Tahoma"/>
          <w:bCs/>
          <w:color w:val="000000"/>
          <w:sz w:val="22"/>
          <w:szCs w:val="22"/>
        </w:rPr>
      </w:pPr>
    </w:p>
    <w:p w:rsidRPr="00CF09CB" w:rsidR="00EB7ECA" w:rsidP="0019462A" w:rsidRDefault="00F615B2" w14:paraId="0A14EAF3" w14:textId="6603E678">
      <w:pPr>
        <w:spacing w:line="360" w:lineRule="auto"/>
        <w:jc w:val="both"/>
        <w:rPr>
          <w:rFonts w:ascii="Palatino Linotype" w:hAnsi="Palatino Linotype" w:cs="Tahoma"/>
          <w:bCs/>
          <w:color w:val="000000"/>
          <w:sz w:val="22"/>
          <w:szCs w:val="22"/>
        </w:rPr>
      </w:pPr>
      <w:r w:rsidRPr="00CF09CB">
        <w:rPr>
          <w:rFonts w:ascii="Palatino Linotype" w:hAnsi="Palatino Linotype" w:cs="Tahoma"/>
          <w:bCs/>
          <w:color w:val="000000"/>
          <w:sz w:val="22"/>
          <w:szCs w:val="22"/>
        </w:rPr>
        <w:t>Además</w:t>
      </w:r>
      <w:r w:rsidRPr="00CF09CB" w:rsidR="00EB7ECA">
        <w:rPr>
          <w:rFonts w:ascii="Palatino Linotype" w:hAnsi="Palatino Linotype" w:cs="Tahoma"/>
          <w:bCs/>
          <w:color w:val="000000"/>
          <w:sz w:val="22"/>
          <w:szCs w:val="22"/>
        </w:rPr>
        <w:t xml:space="preserve">, el artículo 350 del Código Financiero del Estado de México y Municipios, establece que, </w:t>
      </w:r>
      <w:r w:rsidRPr="00CF09CB" w:rsidR="00BD0C6C">
        <w:rPr>
          <w:rFonts w:ascii="Palatino Linotype" w:hAnsi="Palatino Linotype" w:cs="Tahoma"/>
          <w:bCs/>
          <w:color w:val="000000"/>
          <w:sz w:val="22"/>
          <w:szCs w:val="22"/>
        </w:rPr>
        <w:t xml:space="preserve">las tesorerías enviarán al Órgano Superior, de manera trimestral, dentro de los primeros veinte días hábiles posteriores al término del trimestre que se informa, para su análisis, </w:t>
      </w:r>
      <w:r w:rsidRPr="00CF09CB" w:rsidR="00EB7ECA">
        <w:rPr>
          <w:rFonts w:ascii="Palatino Linotype" w:hAnsi="Palatino Linotype" w:cs="Tahoma"/>
          <w:bCs/>
          <w:color w:val="000000"/>
          <w:sz w:val="22"/>
          <w:szCs w:val="22"/>
        </w:rPr>
        <w:t>la información Patrimonial, Presupuestal, de la Obra Pública y de Nómina.</w:t>
      </w:r>
    </w:p>
    <w:p w:rsidRPr="00CF09CB" w:rsidR="00EB7ECA" w:rsidP="0019462A" w:rsidRDefault="00EB7ECA" w14:paraId="5F862CA4" w14:textId="77777777">
      <w:pPr>
        <w:spacing w:line="360" w:lineRule="auto"/>
        <w:jc w:val="both"/>
        <w:rPr>
          <w:rFonts w:ascii="Palatino Linotype" w:hAnsi="Palatino Linotype" w:eastAsia="Calibri" w:cs="Tahoma"/>
          <w:iCs/>
          <w:color w:val="000000"/>
          <w:sz w:val="22"/>
          <w:szCs w:val="22"/>
          <w:lang w:val="es-ES" w:eastAsia="es-ES_tradnl"/>
        </w:rPr>
      </w:pPr>
    </w:p>
    <w:p w:rsidRPr="00CF09CB" w:rsidR="00EB7ECA" w:rsidP="0019462A" w:rsidRDefault="00F615B2" w14:paraId="396B6A8B" w14:textId="02DC16A0">
      <w:pPr>
        <w:spacing w:line="360" w:lineRule="auto"/>
        <w:jc w:val="both"/>
        <w:rPr>
          <w:rFonts w:ascii="Palatino Linotype" w:hAnsi="Palatino Linotype" w:eastAsia="MS Mincho" w:cs="Tahoma"/>
          <w:color w:val="000000"/>
          <w:sz w:val="22"/>
        </w:rPr>
      </w:pPr>
      <w:r w:rsidRPr="00CF09CB">
        <w:rPr>
          <w:rFonts w:ascii="Palatino Linotype" w:hAnsi="Palatino Linotype" w:cs="Tahoma"/>
          <w:bCs/>
          <w:sz w:val="22"/>
          <w:szCs w:val="22"/>
        </w:rPr>
        <w:t>En ese contexto</w:t>
      </w:r>
      <w:r w:rsidRPr="00CF09CB" w:rsidR="00EB7ECA">
        <w:rPr>
          <w:rFonts w:ascii="Palatino Linotype" w:hAnsi="Palatino Linotype" w:cs="Tahoma"/>
          <w:bCs/>
          <w:sz w:val="22"/>
          <w:szCs w:val="22"/>
        </w:rPr>
        <w:t xml:space="preserve">, las Políticas para la Integración del Informe Trimestral de los Sujetos de Fiscalización Estatales para el ejercicio fiscal dos mil veintiuno, entre los formatos que maneja </w:t>
      </w:r>
      <w:r w:rsidRPr="00CF09CB" w:rsidR="00EB7ECA">
        <w:rPr>
          <w:rFonts w:ascii="Palatino Linotype" w:hAnsi="Palatino Linotype" w:cs="Tahoma"/>
          <w:bCs/>
          <w:sz w:val="22"/>
          <w:szCs w:val="22"/>
        </w:rPr>
        <w:lastRenderedPageBreak/>
        <w:t xml:space="preserve">en el </w:t>
      </w:r>
      <w:r w:rsidRPr="00CF09CB" w:rsidR="00EB7ECA">
        <w:rPr>
          <w:rFonts w:ascii="Palatino Linotype" w:hAnsi="Palatino Linotype" w:cs="Tahoma"/>
          <w:b/>
          <w:sz w:val="22"/>
          <w:szCs w:val="22"/>
        </w:rPr>
        <w:t>Módulo 4</w:t>
      </w:r>
      <w:r w:rsidRPr="00CF09CB" w:rsidR="00EB7ECA">
        <w:rPr>
          <w:rFonts w:ascii="Palatino Linotype" w:hAnsi="Palatino Linotype" w:cs="Tahoma"/>
          <w:bCs/>
          <w:sz w:val="22"/>
          <w:szCs w:val="22"/>
        </w:rPr>
        <w:t xml:space="preserve">, se advierte que se encuentra </w:t>
      </w:r>
      <w:r w:rsidRPr="00CF09CB" w:rsidR="00BD0C6C">
        <w:rPr>
          <w:rFonts w:ascii="Palatino Linotype" w:hAnsi="Palatino Linotype" w:cs="Tahoma"/>
          <w:bCs/>
          <w:sz w:val="22"/>
          <w:szCs w:val="22"/>
        </w:rPr>
        <w:t xml:space="preserve">el Comprobante bancario de la dispersión de </w:t>
      </w:r>
      <w:r w:rsidRPr="00CF09CB">
        <w:rPr>
          <w:rFonts w:ascii="Palatino Linotype" w:hAnsi="Palatino Linotype" w:cs="Tahoma"/>
          <w:bCs/>
          <w:sz w:val="22"/>
          <w:szCs w:val="22"/>
        </w:rPr>
        <w:t>la nómina</w:t>
      </w:r>
      <w:r w:rsidRPr="00CF09CB" w:rsidR="00F66334">
        <w:rPr>
          <w:rFonts w:ascii="Palatino Linotype" w:hAnsi="Palatino Linotype" w:cs="Tahoma"/>
          <w:bCs/>
          <w:sz w:val="22"/>
          <w:szCs w:val="22"/>
        </w:rPr>
        <w:t>, generado de manera quincenal</w:t>
      </w:r>
      <w:r w:rsidRPr="00CF09CB" w:rsidR="00EB7ECA">
        <w:rPr>
          <w:rFonts w:ascii="Palatino Linotype" w:hAnsi="Palatino Linotype" w:eastAsia="Calibri" w:cs="Tahoma"/>
          <w:bCs/>
          <w:iCs/>
          <w:color w:val="000000"/>
          <w:sz w:val="22"/>
          <w:szCs w:val="22"/>
          <w:lang w:val="es-ES_tradnl" w:eastAsia="es-ES_tradnl"/>
        </w:rPr>
        <w:t>, tal como se muestra a continuación:</w:t>
      </w:r>
    </w:p>
    <w:p w:rsidRPr="00CF09CB" w:rsidR="00BD0C6C" w:rsidP="0019462A" w:rsidRDefault="00BD0C6C" w14:paraId="1DDA009F" w14:textId="77777777">
      <w:pPr>
        <w:tabs>
          <w:tab w:val="left" w:pos="4962"/>
        </w:tabs>
        <w:spacing w:line="360" w:lineRule="auto"/>
        <w:ind w:right="-28"/>
        <w:jc w:val="center"/>
        <w:rPr>
          <w:rFonts w:ascii="Palatino Linotype" w:hAnsi="Palatino Linotype"/>
          <w:noProof/>
        </w:rPr>
      </w:pPr>
    </w:p>
    <w:p w:rsidRPr="00CF09CB" w:rsidR="00655563" w:rsidP="0019462A" w:rsidRDefault="00655563" w14:paraId="0984CFEB" w14:textId="0E35D470">
      <w:pPr>
        <w:tabs>
          <w:tab w:val="left" w:pos="4962"/>
        </w:tabs>
        <w:spacing w:line="360" w:lineRule="auto"/>
        <w:ind w:right="-28"/>
        <w:jc w:val="center"/>
        <w:rPr>
          <w:rFonts w:ascii="Palatino Linotype" w:hAnsi="Palatino Linotype" w:eastAsia="Calibri" w:cs="Tahoma"/>
          <w:iCs/>
          <w:color w:val="000000"/>
          <w:sz w:val="22"/>
          <w:lang w:val="es-ES" w:eastAsia="es-ES_tradnl"/>
        </w:rPr>
      </w:pPr>
      <w:r w:rsidRPr="00CF09CB">
        <w:rPr>
          <w:rFonts w:ascii="Palatino Linotype" w:hAnsi="Palatino Linotype"/>
          <w:noProof/>
        </w:rPr>
        <w:drawing>
          <wp:inline distT="0" distB="0" distL="0" distR="0" wp14:anchorId="42237A05" wp14:editId="41BAD7D5">
            <wp:extent cx="3641778" cy="216066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885" t="16187" r="28923" b="19053"/>
                    <a:stretch/>
                  </pic:blipFill>
                  <pic:spPr bwMode="auto">
                    <a:xfrm>
                      <a:off x="0" y="0"/>
                      <a:ext cx="3654659" cy="2168306"/>
                    </a:xfrm>
                    <a:prstGeom prst="rect">
                      <a:avLst/>
                    </a:prstGeom>
                    <a:ln>
                      <a:noFill/>
                    </a:ln>
                    <a:extLst>
                      <a:ext uri="{53640926-AAD7-44D8-BBD7-CCE9431645EC}">
                        <a14:shadowObscured xmlns:a14="http://schemas.microsoft.com/office/drawing/2010/main"/>
                      </a:ext>
                    </a:extLst>
                  </pic:spPr>
                </pic:pic>
              </a:graphicData>
            </a:graphic>
          </wp:inline>
        </w:drawing>
      </w:r>
    </w:p>
    <w:p w:rsidRPr="00CF09CB" w:rsidR="00655563" w:rsidP="0019462A" w:rsidRDefault="00655563" w14:paraId="47290F9C" w14:textId="77777777">
      <w:pPr>
        <w:tabs>
          <w:tab w:val="left" w:pos="4962"/>
        </w:tabs>
        <w:spacing w:line="360" w:lineRule="auto"/>
        <w:ind w:right="-28"/>
        <w:jc w:val="both"/>
        <w:rPr>
          <w:rFonts w:ascii="Palatino Linotype" w:hAnsi="Palatino Linotype" w:eastAsia="Calibri" w:cs="Tahoma"/>
          <w:iCs/>
          <w:color w:val="000000"/>
          <w:sz w:val="22"/>
          <w:lang w:val="es-ES" w:eastAsia="es-ES_tradnl"/>
        </w:rPr>
      </w:pPr>
    </w:p>
    <w:p w:rsidRPr="00CF09CB" w:rsidR="00BD0C6C" w:rsidP="0019462A" w:rsidRDefault="00CA042D" w14:paraId="77967F5F" w14:textId="13E01095">
      <w:pPr>
        <w:spacing w:line="360" w:lineRule="auto"/>
        <w:jc w:val="both"/>
        <w:rPr>
          <w:rFonts w:ascii="Palatino Linotype" w:hAnsi="Palatino Linotype" w:cs="Tahoma"/>
          <w:color w:val="000000"/>
          <w:sz w:val="22"/>
          <w:szCs w:val="22"/>
        </w:rPr>
      </w:pPr>
      <w:r w:rsidRPr="00CF09CB">
        <w:rPr>
          <w:rFonts w:ascii="Palatino Linotype" w:hAnsi="Palatino Linotype" w:eastAsia="Calibri" w:cs="Tahoma"/>
          <w:bCs/>
          <w:sz w:val="22"/>
          <w:szCs w:val="22"/>
          <w:lang w:eastAsia="en-US"/>
        </w:rPr>
        <w:t>Así</w:t>
      </w:r>
      <w:r w:rsidRPr="00CF09CB" w:rsidR="00EB7ECA">
        <w:rPr>
          <w:rFonts w:ascii="Palatino Linotype" w:hAnsi="Palatino Linotype" w:eastAsia="Calibri" w:cs="Tahoma"/>
          <w:bCs/>
          <w:sz w:val="22"/>
          <w:szCs w:val="22"/>
          <w:lang w:eastAsia="en-US"/>
        </w:rPr>
        <w:t xml:space="preserve">, se observa que el Ayuntamiento de </w:t>
      </w:r>
      <w:r w:rsidRPr="00CF09CB" w:rsidR="00BD0C6C">
        <w:rPr>
          <w:rFonts w:ascii="Palatino Linotype" w:hAnsi="Palatino Linotype" w:eastAsia="Calibri" w:cs="Tahoma"/>
          <w:bCs/>
          <w:sz w:val="22"/>
          <w:szCs w:val="22"/>
          <w:lang w:eastAsia="en-US"/>
        </w:rPr>
        <w:t>Nezahualcóyotl</w:t>
      </w:r>
      <w:r w:rsidRPr="00CF09CB" w:rsidR="00EB7ECA">
        <w:rPr>
          <w:rFonts w:ascii="Palatino Linotype" w:hAnsi="Palatino Linotype" w:eastAsia="Calibri" w:cs="Tahoma"/>
          <w:bCs/>
          <w:sz w:val="22"/>
          <w:szCs w:val="22"/>
          <w:lang w:eastAsia="en-US"/>
        </w:rPr>
        <w:t xml:space="preserve">, tiene competencia para conocer de la información peticionada y que la pretensión del ahora Recurrente </w:t>
      </w:r>
      <w:r w:rsidRPr="00CF09CB" w:rsidR="00EB7ECA">
        <w:rPr>
          <w:rFonts w:ascii="Palatino Linotype" w:hAnsi="Palatino Linotype" w:cs="Tahoma"/>
          <w:color w:val="000000"/>
          <w:sz w:val="22"/>
          <w:szCs w:val="22"/>
        </w:rPr>
        <w:t xml:space="preserve">es obtener </w:t>
      </w:r>
      <w:r w:rsidRPr="00CF09CB" w:rsidR="00BD0C6C">
        <w:rPr>
          <w:rFonts w:ascii="Palatino Linotype" w:hAnsi="Palatino Linotype" w:cs="Tahoma"/>
          <w:color w:val="000000"/>
          <w:sz w:val="22"/>
          <w:szCs w:val="22"/>
        </w:rPr>
        <w:t xml:space="preserve">los comprobantes bancarios de la dispersión de la nómina </w:t>
      </w:r>
      <w:r w:rsidRPr="00CF09CB" w:rsidR="00F6179F">
        <w:rPr>
          <w:rFonts w:ascii="Palatino Linotype" w:hAnsi="Palatino Linotype" w:cs="Tahoma"/>
          <w:color w:val="000000"/>
          <w:sz w:val="22"/>
          <w:szCs w:val="22"/>
        </w:rPr>
        <w:t>de la primera quincena de enero de dos mil veintiuno a la segunda quincena de diciembre de dos mil veintiuno.</w:t>
      </w:r>
    </w:p>
    <w:p w:rsidRPr="00CF09CB" w:rsidR="00BD0C6C" w:rsidP="0019462A" w:rsidRDefault="00BD0C6C" w14:paraId="3FF32BE3" w14:textId="77777777">
      <w:pPr>
        <w:spacing w:line="360" w:lineRule="auto"/>
        <w:jc w:val="both"/>
        <w:rPr>
          <w:rFonts w:ascii="Palatino Linotype" w:hAnsi="Palatino Linotype" w:cs="Tahoma"/>
          <w:color w:val="000000"/>
          <w:sz w:val="22"/>
          <w:szCs w:val="22"/>
        </w:rPr>
      </w:pPr>
    </w:p>
    <w:p w:rsidRPr="00CF09CB" w:rsidR="00D72C7A" w:rsidP="0019462A" w:rsidRDefault="00C64957" w14:paraId="1AACC2BE" w14:textId="4D52E80D">
      <w:pPr>
        <w:spacing w:line="360" w:lineRule="auto"/>
        <w:jc w:val="both"/>
        <w:rPr>
          <w:rFonts w:ascii="Palatino Linotype" w:hAnsi="Palatino Linotype" w:eastAsia="Calibri" w:cs="Tahoma"/>
          <w:bCs/>
          <w:color w:val="000000"/>
          <w:sz w:val="22"/>
        </w:rPr>
      </w:pPr>
      <w:r w:rsidRPr="00CF09CB">
        <w:rPr>
          <w:rFonts w:ascii="Palatino Linotype" w:hAnsi="Palatino Linotype" w:eastAsia="Calibri" w:cs="Tahoma"/>
          <w:bCs/>
          <w:color w:val="000000"/>
          <w:sz w:val="22"/>
        </w:rPr>
        <w:t xml:space="preserve">Establecido lo anterior, </w:t>
      </w:r>
      <w:r w:rsidRPr="00CF09CB" w:rsidR="00CE482A">
        <w:rPr>
          <w:rFonts w:ascii="Palatino Linotype" w:hAnsi="Palatino Linotype" w:eastAsia="Calibri" w:cs="Tahoma"/>
          <w:bCs/>
          <w:color w:val="000000"/>
          <w:sz w:val="22"/>
        </w:rPr>
        <w:t>se procede a analizar la información proporcionada por el Sujeto Obligado, por lo que, en principio</w:t>
      </w:r>
      <w:r w:rsidRPr="00CF09CB" w:rsidR="00DA05B5">
        <w:rPr>
          <w:rFonts w:ascii="Palatino Linotype" w:hAnsi="Palatino Linotype" w:eastAsia="Calibri" w:cs="Tahoma"/>
          <w:bCs/>
          <w:color w:val="000000"/>
          <w:sz w:val="22"/>
        </w:rPr>
        <w:t xml:space="preserve">, cabe puntualizar que el Ente Recurrido turno </w:t>
      </w:r>
      <w:r w:rsidRPr="00CF09CB" w:rsidR="00F6179F">
        <w:rPr>
          <w:rFonts w:ascii="Palatino Linotype" w:hAnsi="Palatino Linotype" w:eastAsia="Calibri" w:cs="Tahoma"/>
          <w:bCs/>
          <w:color w:val="000000"/>
          <w:sz w:val="22"/>
        </w:rPr>
        <w:t>el requerimiento de información</w:t>
      </w:r>
      <w:r w:rsidRPr="00CF09CB" w:rsidR="00284966">
        <w:rPr>
          <w:rFonts w:ascii="Palatino Linotype" w:hAnsi="Palatino Linotype" w:eastAsia="Calibri" w:cs="Tahoma"/>
          <w:bCs/>
          <w:color w:val="000000"/>
          <w:sz w:val="22"/>
        </w:rPr>
        <w:t>, tanto en respuesta como en Informe Justificado</w:t>
      </w:r>
      <w:r w:rsidRPr="00CF09CB" w:rsidR="00BC12B5">
        <w:rPr>
          <w:rFonts w:ascii="Palatino Linotype" w:hAnsi="Palatino Linotype" w:eastAsia="Calibri" w:cs="Tahoma"/>
          <w:bCs/>
          <w:color w:val="000000"/>
          <w:sz w:val="22"/>
        </w:rPr>
        <w:t>,</w:t>
      </w:r>
      <w:r w:rsidRPr="00CF09CB" w:rsidR="00284966">
        <w:rPr>
          <w:rFonts w:ascii="Palatino Linotype" w:hAnsi="Palatino Linotype" w:eastAsia="Calibri" w:cs="Tahoma"/>
          <w:bCs/>
          <w:color w:val="000000"/>
          <w:sz w:val="22"/>
        </w:rPr>
        <w:t xml:space="preserve"> a la </w:t>
      </w:r>
      <w:r w:rsidRPr="00CF09CB" w:rsidR="00BD0C6C">
        <w:rPr>
          <w:rFonts w:ascii="Palatino Linotype" w:hAnsi="Palatino Linotype" w:eastAsia="Calibri" w:cs="Tahoma"/>
          <w:bCs/>
          <w:color w:val="000000"/>
          <w:sz w:val="22"/>
        </w:rPr>
        <w:t xml:space="preserve">Tesorería Municipal, </w:t>
      </w:r>
      <w:r w:rsidRPr="00CF09CB" w:rsidR="00D72C7A">
        <w:rPr>
          <w:rFonts w:ascii="Palatino Linotype" w:hAnsi="Palatino Linotype" w:eastAsia="Calibri" w:cs="Tahoma"/>
          <w:bCs/>
          <w:iCs/>
          <w:color w:val="000000"/>
          <w:sz w:val="22"/>
        </w:rPr>
        <w:t xml:space="preserve"> por lo que, es necesario hacer referencia al procedimiento de búsqueda </w:t>
      </w:r>
      <w:r w:rsidRPr="00CF09CB" w:rsidR="00D72C7A">
        <w:rPr>
          <w:rFonts w:ascii="Palatino Linotype" w:hAnsi="Palatino Linotype" w:eastAsia="Calibri" w:cs="Tahoma"/>
          <w:bCs/>
          <w:color w:val="000000"/>
          <w:sz w:val="22"/>
          <w:lang w:val="es-ES"/>
        </w:rPr>
        <w:t>que deben de seguir los Sujetos Obligados para localizar la información, el cual se encuentra previsto en los artículos 160 y 162 de la Ley de Transparencia y Acceso a la Información Pública del Estado de México y Municipios, mismo que es el siguiente:</w:t>
      </w:r>
    </w:p>
    <w:p w:rsidRPr="00CF09CB" w:rsidR="00D72C7A" w:rsidP="0019462A" w:rsidRDefault="00D72C7A" w14:paraId="70B7BF73" w14:textId="77777777">
      <w:pPr>
        <w:spacing w:line="360" w:lineRule="auto"/>
        <w:jc w:val="both"/>
        <w:rPr>
          <w:rFonts w:ascii="Palatino Linotype" w:hAnsi="Palatino Linotype" w:eastAsia="Calibri" w:cs="Tahoma"/>
          <w:bCs/>
          <w:color w:val="000000"/>
          <w:sz w:val="22"/>
          <w:lang w:val="es-ES"/>
        </w:rPr>
      </w:pPr>
    </w:p>
    <w:p w:rsidRPr="00CF09CB" w:rsidR="00D72C7A" w:rsidP="0019462A" w:rsidRDefault="00D72C7A" w14:paraId="5438831B" w14:textId="77777777">
      <w:pPr>
        <w:numPr>
          <w:ilvl w:val="0"/>
          <w:numId w:val="10"/>
        </w:numPr>
        <w:spacing w:line="360" w:lineRule="auto"/>
        <w:jc w:val="both"/>
        <w:rPr>
          <w:rFonts w:ascii="Palatino Linotype" w:hAnsi="Palatino Linotype" w:eastAsia="Calibri" w:cs="Tahoma"/>
          <w:bCs/>
          <w:color w:val="000000"/>
          <w:sz w:val="22"/>
          <w:lang w:val="es-ES"/>
        </w:rPr>
      </w:pPr>
      <w:r w:rsidRPr="00CF09CB">
        <w:rPr>
          <w:rFonts w:ascii="Palatino Linotype" w:hAnsi="Palatino Linotype" w:eastAsia="Calibri" w:cs="Tahoma"/>
          <w:bCs/>
          <w:color w:val="000000"/>
          <w:sz w:val="22"/>
          <w:lang w:val="es-ES"/>
        </w:rPr>
        <w:t xml:space="preserve">Las Unidades de Transparencia garantizarán que las solicitudes de acceso a la información se turnen a todas las áreas competentes que cuenten con la información o </w:t>
      </w:r>
      <w:r w:rsidRPr="00CF09CB">
        <w:rPr>
          <w:rFonts w:ascii="Palatino Linotype" w:hAnsi="Palatino Linotype" w:eastAsia="Calibri" w:cs="Tahoma"/>
          <w:bCs/>
          <w:color w:val="000000"/>
          <w:sz w:val="22"/>
          <w:lang w:val="es-ES"/>
        </w:rPr>
        <w:lastRenderedPageBreak/>
        <w:t>deban tenerla -de acuerdo a las facultades, competencias y funciones-, con el objeto de que dichas áreas realicen una búsqueda exhaustiva y razonable de la información requerida, y</w:t>
      </w:r>
    </w:p>
    <w:p w:rsidRPr="00CF09CB" w:rsidR="00D72C7A" w:rsidP="0019462A" w:rsidRDefault="00D72C7A" w14:paraId="170A850B" w14:textId="77777777">
      <w:pPr>
        <w:spacing w:line="360" w:lineRule="auto"/>
        <w:jc w:val="both"/>
        <w:rPr>
          <w:rFonts w:ascii="Palatino Linotype" w:hAnsi="Palatino Linotype" w:eastAsia="Calibri" w:cs="Tahoma"/>
          <w:bCs/>
          <w:color w:val="000000"/>
          <w:sz w:val="22"/>
          <w:lang w:val="es-ES"/>
        </w:rPr>
      </w:pPr>
    </w:p>
    <w:p w:rsidRPr="00CF09CB" w:rsidR="00D72C7A" w:rsidP="0019462A" w:rsidRDefault="00D72C7A" w14:paraId="099EAF7F" w14:textId="77777777">
      <w:pPr>
        <w:numPr>
          <w:ilvl w:val="0"/>
          <w:numId w:val="10"/>
        </w:numPr>
        <w:spacing w:line="360" w:lineRule="auto"/>
        <w:jc w:val="both"/>
        <w:rPr>
          <w:rFonts w:ascii="Palatino Linotype" w:hAnsi="Palatino Linotype" w:eastAsia="Calibri" w:cs="Tahoma"/>
          <w:bCs/>
          <w:color w:val="000000"/>
          <w:sz w:val="22"/>
          <w:lang w:val="es-ES"/>
        </w:rPr>
      </w:pPr>
      <w:r w:rsidRPr="00CF09CB">
        <w:rPr>
          <w:rFonts w:ascii="Palatino Linotype" w:hAnsi="Palatino Linotype" w:eastAsia="Calibri" w:cs="Tahoma"/>
          <w:bCs/>
          <w:color w:val="000000"/>
          <w:sz w:val="22"/>
          <w:lang w:val="es-ES"/>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rsidRPr="00CF09CB" w:rsidR="00D72C7A" w:rsidP="0019462A" w:rsidRDefault="00D72C7A" w14:paraId="27BF4CF7" w14:textId="77777777">
      <w:pPr>
        <w:spacing w:line="360" w:lineRule="auto"/>
        <w:jc w:val="both"/>
        <w:rPr>
          <w:rFonts w:ascii="Palatino Linotype" w:hAnsi="Palatino Linotype" w:eastAsia="Calibri" w:cs="Tahoma"/>
          <w:b/>
          <w:bCs/>
          <w:color w:val="000000"/>
          <w:sz w:val="22"/>
        </w:rPr>
      </w:pPr>
    </w:p>
    <w:p w:rsidRPr="00CF09CB" w:rsidR="00E85103" w:rsidP="0019462A" w:rsidRDefault="00BC12B5" w14:paraId="471AF6FD" w14:textId="2503FE01">
      <w:pPr>
        <w:spacing w:line="360" w:lineRule="auto"/>
        <w:jc w:val="both"/>
        <w:rPr>
          <w:rFonts w:ascii="Palatino Linotype" w:hAnsi="Palatino Linotype" w:eastAsia="Calibri" w:cs="Tahoma"/>
          <w:sz w:val="22"/>
          <w:szCs w:val="22"/>
          <w:lang w:eastAsia="en-US"/>
        </w:rPr>
      </w:pPr>
      <w:r w:rsidRPr="00CF09CB">
        <w:rPr>
          <w:rFonts w:ascii="Palatino Linotype" w:hAnsi="Palatino Linotype" w:eastAsia="Calibri" w:cs="Tahoma"/>
          <w:bCs/>
          <w:color w:val="000000"/>
          <w:sz w:val="22"/>
        </w:rPr>
        <w:t>Así</w:t>
      </w:r>
      <w:r w:rsidRPr="00CF09CB" w:rsidR="006C169B">
        <w:rPr>
          <w:rFonts w:ascii="Palatino Linotype" w:hAnsi="Palatino Linotype" w:eastAsia="Calibri" w:cs="Tahoma"/>
          <w:bCs/>
          <w:color w:val="000000"/>
          <w:sz w:val="22"/>
        </w:rPr>
        <w:t>, e</w:t>
      </w:r>
      <w:r w:rsidRPr="00CF09CB" w:rsidR="00EC6D51">
        <w:rPr>
          <w:rFonts w:ascii="Palatino Linotype" w:hAnsi="Palatino Linotype" w:eastAsia="Calibri" w:cs="Tahoma"/>
          <w:bCs/>
          <w:color w:val="000000"/>
          <w:sz w:val="22"/>
        </w:rPr>
        <w:t>s necesario traer al estudio el</w:t>
      </w:r>
      <w:r w:rsidRPr="00CF09CB" w:rsidR="006C169B">
        <w:rPr>
          <w:rFonts w:ascii="Palatino Linotype" w:hAnsi="Palatino Linotype" w:eastAsia="Calibri" w:cs="Tahoma"/>
          <w:bCs/>
          <w:color w:val="000000"/>
          <w:sz w:val="22"/>
        </w:rPr>
        <w:t xml:space="preserve"> artículos 4</w:t>
      </w:r>
      <w:r w:rsidRPr="00CF09CB" w:rsidR="00EC6D51">
        <w:rPr>
          <w:rFonts w:ascii="Palatino Linotype" w:hAnsi="Palatino Linotype" w:eastAsia="Calibri" w:cs="Tahoma"/>
          <w:bCs/>
          <w:color w:val="000000"/>
          <w:sz w:val="22"/>
        </w:rPr>
        <w:t>9</w:t>
      </w:r>
      <w:r w:rsidRPr="00CF09CB" w:rsidR="006C169B">
        <w:rPr>
          <w:rFonts w:ascii="Palatino Linotype" w:hAnsi="Palatino Linotype" w:eastAsia="Calibri" w:cs="Tahoma"/>
          <w:bCs/>
          <w:color w:val="000000"/>
          <w:sz w:val="22"/>
        </w:rPr>
        <w:t xml:space="preserve">, fracción </w:t>
      </w:r>
      <w:r w:rsidRPr="00CF09CB" w:rsidR="00EC6D51">
        <w:rPr>
          <w:rFonts w:ascii="Palatino Linotype" w:hAnsi="Palatino Linotype" w:eastAsia="Calibri" w:cs="Tahoma"/>
          <w:bCs/>
          <w:color w:val="000000"/>
          <w:sz w:val="22"/>
        </w:rPr>
        <w:t xml:space="preserve">III, </w:t>
      </w:r>
      <w:r w:rsidRPr="00CF09CB" w:rsidR="00A133A9">
        <w:rPr>
          <w:rFonts w:ascii="Palatino Linotype" w:hAnsi="Palatino Linotype" w:eastAsia="Calibri" w:cs="Tahoma"/>
          <w:bCs/>
          <w:color w:val="000000"/>
          <w:sz w:val="22"/>
        </w:rPr>
        <w:t xml:space="preserve"> del Bando Municipal del </w:t>
      </w:r>
      <w:r w:rsidRPr="00CF09CB" w:rsidR="00A133A9">
        <w:rPr>
          <w:rFonts w:ascii="Palatino Linotype" w:hAnsi="Palatino Linotype" w:eastAsia="Calibri" w:cs="Tahoma"/>
          <w:sz w:val="22"/>
          <w:szCs w:val="22"/>
          <w:lang w:eastAsia="en-US"/>
        </w:rPr>
        <w:t xml:space="preserve">Ayuntamiento de </w:t>
      </w:r>
      <w:r w:rsidRPr="00CF09CB" w:rsidR="00EC6D51">
        <w:rPr>
          <w:rFonts w:ascii="Palatino Linotype" w:hAnsi="Palatino Linotype" w:eastAsia="Calibri" w:cs="Tahoma"/>
          <w:sz w:val="22"/>
          <w:szCs w:val="22"/>
          <w:lang w:eastAsia="en-US"/>
        </w:rPr>
        <w:t>Nezahualcóyotl</w:t>
      </w:r>
      <w:r w:rsidRPr="00CF09CB">
        <w:rPr>
          <w:rFonts w:ascii="Palatino Linotype" w:hAnsi="Palatino Linotype" w:eastAsia="Calibri" w:cs="Tahoma"/>
          <w:sz w:val="22"/>
          <w:szCs w:val="22"/>
          <w:lang w:eastAsia="en-US"/>
        </w:rPr>
        <w:t>,</w:t>
      </w:r>
      <w:r w:rsidRPr="00CF09CB" w:rsidR="00EC6D51">
        <w:rPr>
          <w:rFonts w:ascii="Palatino Linotype" w:hAnsi="Palatino Linotype" w:eastAsia="Calibri" w:cs="Tahoma"/>
          <w:sz w:val="22"/>
          <w:szCs w:val="22"/>
          <w:lang w:eastAsia="en-US"/>
        </w:rPr>
        <w:t xml:space="preserve"> </w:t>
      </w:r>
      <w:r w:rsidRPr="00CF09CB" w:rsidR="00A133A9">
        <w:rPr>
          <w:rFonts w:ascii="Palatino Linotype" w:hAnsi="Palatino Linotype" w:eastAsia="Calibri" w:cs="Tahoma"/>
          <w:sz w:val="22"/>
          <w:szCs w:val="22"/>
          <w:lang w:eastAsia="en-US"/>
        </w:rPr>
        <w:t xml:space="preserve">de dos mil veintidós, </w:t>
      </w:r>
      <w:r w:rsidRPr="00CF09CB" w:rsidR="00E85103">
        <w:rPr>
          <w:rFonts w:ascii="Palatino Linotype" w:hAnsi="Palatino Linotype" w:eastAsia="Calibri" w:cs="Tahoma"/>
          <w:sz w:val="22"/>
          <w:szCs w:val="22"/>
          <w:lang w:eastAsia="en-US"/>
        </w:rPr>
        <w:t xml:space="preserve">así como el artículo 32 del Reglamento Orgánico de la Administración Pública Municipal de Nezahualcóyotl, que establecen que el Sujeto Obligado cuenta con la Tesorería Municipal, encargada de llevar los registros presupuestales y contables requeridos, consolidando el informe mensual que debe de ser enviado al </w:t>
      </w:r>
      <w:r w:rsidRPr="00CF09CB">
        <w:rPr>
          <w:rFonts w:ascii="Palatino Linotype" w:hAnsi="Palatino Linotype" w:eastAsia="Calibri" w:cs="Tahoma"/>
          <w:sz w:val="22"/>
          <w:szCs w:val="22"/>
          <w:lang w:eastAsia="en-US"/>
        </w:rPr>
        <w:t>Ó</w:t>
      </w:r>
      <w:r w:rsidRPr="00CF09CB" w:rsidR="00E85103">
        <w:rPr>
          <w:rFonts w:ascii="Palatino Linotype" w:hAnsi="Palatino Linotype" w:eastAsia="Calibri" w:cs="Tahoma"/>
          <w:sz w:val="22"/>
          <w:szCs w:val="22"/>
          <w:lang w:eastAsia="en-US"/>
        </w:rPr>
        <w:t>rgano Superior de Fiscalización del Estado de México.</w:t>
      </w:r>
    </w:p>
    <w:p w:rsidRPr="00CF09CB" w:rsidR="001D6CB2" w:rsidP="0019462A" w:rsidRDefault="001D6CB2" w14:paraId="0554C937" w14:textId="77777777">
      <w:pPr>
        <w:spacing w:line="360" w:lineRule="auto"/>
        <w:jc w:val="both"/>
        <w:rPr>
          <w:rFonts w:ascii="Palatino Linotype" w:hAnsi="Palatino Linotype" w:eastAsia="Calibri" w:cs="Tahoma"/>
          <w:sz w:val="22"/>
          <w:szCs w:val="22"/>
          <w:lang w:eastAsia="en-US"/>
        </w:rPr>
      </w:pPr>
    </w:p>
    <w:p w:rsidRPr="00CF09CB" w:rsidR="00980EF8" w:rsidP="0019462A" w:rsidRDefault="00BC12B5" w14:paraId="2FE4D859" w14:textId="2B185F3B">
      <w:pPr>
        <w:spacing w:line="360" w:lineRule="auto"/>
        <w:jc w:val="both"/>
        <w:rPr>
          <w:rFonts w:ascii="Palatino Linotype" w:hAnsi="Palatino Linotype" w:eastAsia="Calibri" w:cs="Tahoma"/>
          <w:bCs/>
          <w:iCs/>
          <w:color w:val="000000"/>
          <w:sz w:val="22"/>
        </w:rPr>
      </w:pPr>
      <w:r w:rsidRPr="00CF09CB">
        <w:rPr>
          <w:rFonts w:ascii="Palatino Linotype" w:hAnsi="Palatino Linotype" w:eastAsia="Calibri" w:cs="Tahoma"/>
          <w:bCs/>
          <w:iCs/>
          <w:color w:val="000000"/>
          <w:sz w:val="22"/>
        </w:rPr>
        <w:t>Por lo cual</w:t>
      </w:r>
      <w:r w:rsidRPr="00CF09CB" w:rsidR="00980EF8">
        <w:rPr>
          <w:rFonts w:ascii="Palatino Linotype" w:hAnsi="Palatino Linotype" w:eastAsia="Calibri" w:cs="Tahoma"/>
          <w:bCs/>
          <w:iCs/>
          <w:color w:val="000000"/>
          <w:sz w:val="22"/>
        </w:rPr>
        <w:t xml:space="preserve">, se advierte que el Sujeto Obligado turno la solicitud de información al área administrativa competente, a saber, la </w:t>
      </w:r>
      <w:r w:rsidRPr="00CF09CB" w:rsidR="00E85103">
        <w:rPr>
          <w:rFonts w:ascii="Palatino Linotype" w:hAnsi="Palatino Linotype" w:eastAsia="Calibri" w:cs="Tahoma"/>
          <w:bCs/>
          <w:iCs/>
          <w:color w:val="000000"/>
          <w:sz w:val="22"/>
        </w:rPr>
        <w:t>Tesorería Municipal</w:t>
      </w:r>
      <w:r w:rsidRPr="00CF09CB" w:rsidR="00025A17">
        <w:rPr>
          <w:rFonts w:ascii="Palatino Linotype" w:hAnsi="Palatino Linotype" w:eastAsia="Calibri" w:cs="Tahoma"/>
          <w:bCs/>
          <w:iCs/>
          <w:color w:val="000000"/>
          <w:sz w:val="22"/>
        </w:rPr>
        <w:t xml:space="preserve">, encargada </w:t>
      </w:r>
      <w:r w:rsidRPr="00CF09CB" w:rsidR="00E4424E">
        <w:rPr>
          <w:rFonts w:ascii="Palatino Linotype" w:hAnsi="Palatino Linotype" w:eastAsia="Calibri" w:cs="Tahoma"/>
          <w:bCs/>
          <w:iCs/>
          <w:color w:val="000000"/>
          <w:sz w:val="22"/>
        </w:rPr>
        <w:t xml:space="preserve">de ver todas las cuestiones relacionadas con </w:t>
      </w:r>
      <w:r w:rsidRPr="00CF09CB" w:rsidR="00E85103">
        <w:rPr>
          <w:rFonts w:ascii="Palatino Linotype" w:hAnsi="Palatino Linotype" w:eastAsia="Calibri" w:cs="Tahoma"/>
          <w:bCs/>
          <w:iCs/>
          <w:color w:val="000000"/>
          <w:sz w:val="22"/>
        </w:rPr>
        <w:t xml:space="preserve">el informe que se presenta al Órgano Superior de Fiscalización del Estado de </w:t>
      </w:r>
      <w:r w:rsidRPr="00CF09CB" w:rsidR="00F21E4F">
        <w:rPr>
          <w:rFonts w:ascii="Palatino Linotype" w:hAnsi="Palatino Linotype" w:eastAsia="Calibri" w:cs="Tahoma"/>
          <w:bCs/>
          <w:iCs/>
          <w:color w:val="000000"/>
          <w:sz w:val="22"/>
        </w:rPr>
        <w:t>México, con</w:t>
      </w:r>
      <w:r w:rsidRPr="00CF09CB">
        <w:rPr>
          <w:rFonts w:ascii="Palatino Linotype" w:hAnsi="Palatino Linotype" w:eastAsia="Calibri" w:cs="Tahoma"/>
          <w:bCs/>
          <w:iCs/>
          <w:color w:val="000000"/>
          <w:sz w:val="22"/>
        </w:rPr>
        <w:t xml:space="preserve"> lo cual,</w:t>
      </w:r>
      <w:r w:rsidRPr="00CF09CB" w:rsidR="00980EF8">
        <w:rPr>
          <w:rFonts w:ascii="Palatino Linotype" w:hAnsi="Palatino Linotype" w:eastAsia="Calibri" w:cs="Tahoma"/>
          <w:bCs/>
          <w:color w:val="000000"/>
          <w:sz w:val="22"/>
        </w:rPr>
        <w:t xml:space="preserve"> cumplió con lo </w:t>
      </w:r>
      <w:r w:rsidRPr="00CF09CB" w:rsidR="00980EF8">
        <w:rPr>
          <w:rFonts w:ascii="Palatino Linotype" w:hAnsi="Palatino Linotype" w:eastAsia="Calibri" w:cs="Tahoma"/>
          <w:bCs/>
          <w:iCs/>
          <w:color w:val="000000"/>
          <w:sz w:val="22"/>
        </w:rPr>
        <w:t xml:space="preserve">establecido </w:t>
      </w:r>
      <w:r w:rsidRPr="00CF09CB" w:rsidR="00980EF8">
        <w:rPr>
          <w:rFonts w:ascii="Palatino Linotype" w:hAnsi="Palatino Linotype" w:eastAsia="Calibri" w:cs="Tahoma"/>
          <w:bCs/>
          <w:color w:val="000000"/>
          <w:sz w:val="22"/>
        </w:rPr>
        <w:t>en el artículo 162 de la Ley de Transparencia y Acceso a la Información Pública del Estado de México y Municipios.</w:t>
      </w:r>
    </w:p>
    <w:p w:rsidRPr="00CF09CB" w:rsidR="00687920" w:rsidP="0019462A" w:rsidRDefault="00687920" w14:paraId="2B9A4842" w14:textId="77777777">
      <w:pPr>
        <w:spacing w:line="360" w:lineRule="auto"/>
        <w:jc w:val="both"/>
        <w:rPr>
          <w:rFonts w:ascii="Palatino Linotype" w:hAnsi="Palatino Linotype" w:eastAsia="Calibri" w:cs="Tahoma"/>
          <w:color w:val="000000"/>
          <w:sz w:val="22"/>
        </w:rPr>
      </w:pPr>
    </w:p>
    <w:p w:rsidRPr="00CF09CB" w:rsidR="00E85103" w:rsidP="0019462A" w:rsidRDefault="00E4424E" w14:paraId="4A9CC0BA" w14:textId="787CB3FD">
      <w:pPr>
        <w:spacing w:line="360" w:lineRule="auto"/>
        <w:jc w:val="both"/>
        <w:rPr>
          <w:rFonts w:ascii="Palatino Linotype" w:hAnsi="Palatino Linotype" w:eastAsia="Calibri" w:cs="Tahoma"/>
          <w:color w:val="000000"/>
          <w:sz w:val="22"/>
        </w:rPr>
      </w:pPr>
      <w:r w:rsidRPr="00CF09CB">
        <w:rPr>
          <w:rFonts w:ascii="Palatino Linotype" w:hAnsi="Palatino Linotype" w:eastAsia="Calibri" w:cs="Tahoma"/>
          <w:color w:val="000000"/>
          <w:sz w:val="22"/>
        </w:rPr>
        <w:t>Ahora bien,</w:t>
      </w:r>
      <w:r w:rsidRPr="00CF09CB" w:rsidR="00EB1E9B">
        <w:rPr>
          <w:rFonts w:ascii="Palatino Linotype" w:hAnsi="Palatino Linotype" w:eastAsia="Calibri" w:cs="Tahoma"/>
          <w:color w:val="000000"/>
          <w:sz w:val="22"/>
        </w:rPr>
        <w:t xml:space="preserve"> en respuesta</w:t>
      </w:r>
      <w:r w:rsidRPr="00CF09CB">
        <w:rPr>
          <w:rFonts w:ascii="Palatino Linotype" w:hAnsi="Palatino Linotype" w:eastAsia="Calibri" w:cs="Tahoma"/>
          <w:color w:val="000000"/>
          <w:sz w:val="22"/>
        </w:rPr>
        <w:t xml:space="preserve"> dicha área,</w:t>
      </w:r>
      <w:r w:rsidRPr="00CF09CB" w:rsidR="00EB1E9B">
        <w:rPr>
          <w:rFonts w:ascii="Palatino Linotype" w:hAnsi="Palatino Linotype" w:eastAsia="Calibri" w:cs="Tahoma"/>
          <w:color w:val="000000"/>
          <w:sz w:val="22"/>
        </w:rPr>
        <w:t xml:space="preserve"> </w:t>
      </w:r>
      <w:r w:rsidRPr="00CF09CB" w:rsidR="00E85103">
        <w:rPr>
          <w:rFonts w:ascii="Palatino Linotype" w:hAnsi="Palatino Linotype" w:eastAsia="Calibri" w:cs="Tahoma"/>
          <w:color w:val="000000"/>
          <w:sz w:val="22"/>
        </w:rPr>
        <w:t xml:space="preserve">manifestó que </w:t>
      </w:r>
      <w:r w:rsidRPr="00CF09CB" w:rsidR="00BC12B5">
        <w:rPr>
          <w:rFonts w:ascii="Palatino Linotype" w:hAnsi="Palatino Linotype" w:eastAsia="Calibri" w:cs="Tahoma"/>
          <w:color w:val="000000"/>
          <w:sz w:val="22"/>
        </w:rPr>
        <w:t>la información peticionada</w:t>
      </w:r>
      <w:r w:rsidRPr="00CF09CB" w:rsidR="00E85103">
        <w:rPr>
          <w:rFonts w:ascii="Palatino Linotype" w:hAnsi="Palatino Linotype" w:eastAsia="Calibri" w:cs="Tahoma"/>
          <w:color w:val="000000"/>
          <w:sz w:val="22"/>
        </w:rPr>
        <w:t>, fue enviada al Órgano Superior de fiscalización del Estado de México (OSFEM), por lo que se debía solicitar ante dicha autoridad</w:t>
      </w:r>
      <w:r w:rsidRPr="00CF09CB" w:rsidR="00BC12B5">
        <w:rPr>
          <w:rFonts w:ascii="Palatino Linotype" w:hAnsi="Palatino Linotype" w:eastAsia="Calibri" w:cs="Tahoma"/>
          <w:color w:val="000000"/>
          <w:sz w:val="22"/>
        </w:rPr>
        <w:t xml:space="preserve">; situación que fue ratificada en respuesta. Además, proporcionó los oficios de remisión </w:t>
      </w:r>
      <w:r w:rsidRPr="00CF09CB" w:rsidR="00F21E4F">
        <w:rPr>
          <w:rFonts w:ascii="Palatino Linotype" w:hAnsi="Palatino Linotype" w:eastAsia="Calibri" w:cs="Tahoma"/>
          <w:color w:val="000000"/>
          <w:sz w:val="22"/>
        </w:rPr>
        <w:t>de los Informes Trimestrales generados por el Ayuntamiento, al Órgano Superior de Fiscalización del Estado de México.</w:t>
      </w:r>
    </w:p>
    <w:p w:rsidRPr="00CF09CB" w:rsidR="00E85103" w:rsidP="0019462A" w:rsidRDefault="00847FE0" w14:paraId="6827390A" w14:textId="2AA12D3B">
      <w:pPr>
        <w:spacing w:line="360" w:lineRule="auto"/>
        <w:jc w:val="both"/>
        <w:rPr>
          <w:rFonts w:ascii="Palatino Linotype" w:hAnsi="Palatino Linotype" w:eastAsia="Calibri" w:cs="Tahoma"/>
          <w:color w:val="000000"/>
          <w:sz w:val="22"/>
        </w:rPr>
      </w:pPr>
      <w:r w:rsidRPr="00CF09CB">
        <w:rPr>
          <w:rFonts w:ascii="Palatino Linotype" w:hAnsi="Palatino Linotype" w:eastAsia="Calibri" w:cs="Tahoma"/>
          <w:color w:val="000000"/>
          <w:sz w:val="22"/>
        </w:rPr>
        <w:lastRenderedPageBreak/>
        <w:t xml:space="preserve">Al revisar dichos oficios, se logra vislumbrar que la Tesorería Municipal, únicamente proporcionó al ente fiscalizador, una copia fiel del documento original que obra en sus archivos, tal como se ve en </w:t>
      </w:r>
      <w:r w:rsidRPr="00CF09CB" w:rsidR="0051767C">
        <w:rPr>
          <w:rFonts w:ascii="Palatino Linotype" w:hAnsi="Palatino Linotype" w:eastAsia="Calibri" w:cs="Tahoma"/>
          <w:color w:val="000000"/>
          <w:sz w:val="22"/>
        </w:rPr>
        <w:t>los siguientes ejemplos:</w:t>
      </w:r>
    </w:p>
    <w:p w:rsidRPr="00CF09CB" w:rsidR="0051767C" w:rsidP="0019462A" w:rsidRDefault="0051767C" w14:paraId="04510794" w14:textId="339C75C2">
      <w:pPr>
        <w:spacing w:line="360" w:lineRule="auto"/>
        <w:jc w:val="both"/>
        <w:rPr>
          <w:rFonts w:ascii="Palatino Linotype" w:hAnsi="Palatino Linotype" w:eastAsia="Calibri" w:cs="Tahoma"/>
          <w:color w:val="000000"/>
          <w:sz w:val="22"/>
        </w:rPr>
      </w:pPr>
    </w:p>
    <w:p w:rsidRPr="00CF09CB" w:rsidR="0051767C" w:rsidP="0019462A" w:rsidRDefault="0051767C" w14:paraId="145E67C6" w14:textId="06A991A3">
      <w:pPr>
        <w:spacing w:line="360" w:lineRule="auto"/>
        <w:jc w:val="center"/>
        <w:rPr>
          <w:rFonts w:ascii="Palatino Linotype" w:hAnsi="Palatino Linotype" w:eastAsia="Calibri" w:cs="Tahoma"/>
          <w:color w:val="000000"/>
          <w:sz w:val="22"/>
        </w:rPr>
      </w:pPr>
      <w:r w:rsidRPr="00CF09CB">
        <w:rPr>
          <w:rFonts w:ascii="Palatino Linotype" w:hAnsi="Palatino Linotype"/>
          <w:noProof/>
        </w:rPr>
        <w:drawing>
          <wp:inline distT="0" distB="0" distL="0" distR="0" wp14:anchorId="3244CB08" wp14:editId="142DC591">
            <wp:extent cx="5029200" cy="25717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29200" cy="2571750"/>
                    </a:xfrm>
                    <a:prstGeom prst="rect">
                      <a:avLst/>
                    </a:prstGeom>
                  </pic:spPr>
                </pic:pic>
              </a:graphicData>
            </a:graphic>
          </wp:inline>
        </w:drawing>
      </w:r>
    </w:p>
    <w:p w:rsidRPr="00CF09CB" w:rsidR="00847FE0" w:rsidP="0019462A" w:rsidRDefault="00847FE0" w14:paraId="215ADD2E" w14:textId="7332CFF9">
      <w:pPr>
        <w:spacing w:line="360" w:lineRule="auto"/>
        <w:jc w:val="both"/>
        <w:rPr>
          <w:rFonts w:ascii="Palatino Linotype" w:hAnsi="Palatino Linotype" w:eastAsia="Calibri" w:cs="Tahoma"/>
          <w:color w:val="000000"/>
          <w:sz w:val="22"/>
        </w:rPr>
      </w:pPr>
    </w:p>
    <w:p w:rsidRPr="00CF09CB" w:rsidR="0051767C" w:rsidP="0019462A" w:rsidRDefault="0051767C" w14:paraId="18B19A5E" w14:textId="59A54F15">
      <w:pPr>
        <w:spacing w:line="360" w:lineRule="auto"/>
        <w:jc w:val="center"/>
        <w:rPr>
          <w:rFonts w:ascii="Palatino Linotype" w:hAnsi="Palatino Linotype" w:eastAsia="Calibri" w:cs="Tahoma"/>
          <w:color w:val="000000"/>
          <w:sz w:val="22"/>
        </w:rPr>
      </w:pPr>
      <w:r w:rsidRPr="00CF09CB">
        <w:rPr>
          <w:rFonts w:ascii="Palatino Linotype" w:hAnsi="Palatino Linotype"/>
          <w:noProof/>
        </w:rPr>
        <w:drawing>
          <wp:inline distT="0" distB="0" distL="0" distR="0" wp14:anchorId="4D7E2DA3" wp14:editId="645408C7">
            <wp:extent cx="5353050" cy="228770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59860" cy="2290616"/>
                    </a:xfrm>
                    <a:prstGeom prst="rect">
                      <a:avLst/>
                    </a:prstGeom>
                  </pic:spPr>
                </pic:pic>
              </a:graphicData>
            </a:graphic>
          </wp:inline>
        </w:drawing>
      </w:r>
    </w:p>
    <w:p w:rsidRPr="00CF09CB" w:rsidR="0051767C" w:rsidP="0019462A" w:rsidRDefault="0051767C" w14:paraId="35D7CC8B" w14:textId="32CECA43">
      <w:pPr>
        <w:spacing w:line="360" w:lineRule="auto"/>
        <w:jc w:val="center"/>
        <w:rPr>
          <w:rFonts w:ascii="Palatino Linotype" w:hAnsi="Palatino Linotype" w:eastAsia="Calibri" w:cs="Tahoma"/>
          <w:color w:val="000000"/>
          <w:sz w:val="22"/>
        </w:rPr>
      </w:pPr>
    </w:p>
    <w:p w:rsidRPr="00CF09CB" w:rsidR="0072183C" w:rsidP="0019462A" w:rsidRDefault="0051767C" w14:paraId="64BFED9E" w14:textId="41A4085D">
      <w:pPr>
        <w:spacing w:line="360" w:lineRule="auto"/>
        <w:jc w:val="both"/>
        <w:rPr>
          <w:rFonts w:ascii="Palatino Linotype" w:hAnsi="Palatino Linotype" w:cs="Tahoma"/>
          <w:sz w:val="22"/>
          <w:szCs w:val="22"/>
          <w:lang w:val="es-ES" w:eastAsia="es-ES"/>
        </w:rPr>
      </w:pPr>
      <w:r w:rsidRPr="00CF09CB">
        <w:rPr>
          <w:rFonts w:ascii="Palatino Linotype" w:hAnsi="Palatino Linotype" w:eastAsia="Calibri" w:cs="Tahoma"/>
          <w:color w:val="000000"/>
          <w:sz w:val="22"/>
        </w:rPr>
        <w:t xml:space="preserve">Conforme a lo anterior, se logra vislumbrar la respuesta proporcionada por la Tesorería Municipal, resulta ambigua e incongruente, </w:t>
      </w:r>
      <w:r w:rsidRPr="00CF09CB" w:rsidR="0072183C">
        <w:rPr>
          <w:rFonts w:ascii="Palatino Linotype" w:hAnsi="Palatino Linotype" w:eastAsia="Calibri" w:cs="Tahoma"/>
          <w:color w:val="000000"/>
          <w:sz w:val="22"/>
        </w:rPr>
        <w:t>pues,</w:t>
      </w:r>
      <w:r w:rsidRPr="00CF09CB">
        <w:rPr>
          <w:rFonts w:ascii="Palatino Linotype" w:hAnsi="Palatino Linotype" w:eastAsia="Calibri" w:cs="Tahoma"/>
          <w:color w:val="000000"/>
          <w:sz w:val="22"/>
        </w:rPr>
        <w:t xml:space="preserve"> por una parte, precisa que no cuenta con lo peticionado al ser enviado al ente fiscalizador, y</w:t>
      </w:r>
      <w:r w:rsidRPr="00CF09CB" w:rsidR="0072183C">
        <w:rPr>
          <w:rFonts w:ascii="Palatino Linotype" w:hAnsi="Palatino Linotype" w:eastAsia="Calibri" w:cs="Tahoma"/>
          <w:color w:val="000000"/>
          <w:sz w:val="22"/>
        </w:rPr>
        <w:t>,</w:t>
      </w:r>
      <w:r w:rsidRPr="00CF09CB">
        <w:rPr>
          <w:rFonts w:ascii="Palatino Linotype" w:hAnsi="Palatino Linotype" w:eastAsia="Calibri" w:cs="Tahoma"/>
          <w:color w:val="000000"/>
          <w:sz w:val="22"/>
        </w:rPr>
        <w:t xml:space="preserve"> por otra parte, proporciona los documentos </w:t>
      </w:r>
      <w:r w:rsidRPr="00CF09CB">
        <w:rPr>
          <w:rFonts w:ascii="Palatino Linotype" w:hAnsi="Palatino Linotype" w:eastAsia="Calibri" w:cs="Tahoma"/>
          <w:color w:val="000000"/>
          <w:sz w:val="22"/>
        </w:rPr>
        <w:lastRenderedPageBreak/>
        <w:t xml:space="preserve">por medio del cual informa al Órgano Superior de Fiscalización del Estado de México, que lo entregado corresponde a una copia del original localizado en sus archivos; </w:t>
      </w:r>
      <w:r w:rsidRPr="00CF09CB" w:rsidR="0072183C">
        <w:rPr>
          <w:rFonts w:ascii="Palatino Linotype" w:hAnsi="Palatino Linotype" w:eastAsia="Calibri"/>
          <w:color w:val="000000" w:themeColor="text1"/>
          <w:sz w:val="22"/>
          <w:szCs w:val="22"/>
          <w:lang w:eastAsia="en-US"/>
        </w:rPr>
        <w:t xml:space="preserve">al respecto, el </w:t>
      </w:r>
      <w:r w:rsidRPr="00CF09CB" w:rsidR="0072183C">
        <w:rPr>
          <w:rFonts w:ascii="Palatino Linotype" w:hAnsi="Palatino Linotype" w:cs="Tahoma"/>
          <w:sz w:val="22"/>
          <w:szCs w:val="22"/>
          <w:lang w:val="es-ES" w:eastAsia="es-ES"/>
        </w:rPr>
        <w:t>artículo 1.8, fracción IX, del Código Administrativo del Estado de México, establece que para que un acto administrativo tenga validez, deberá guardar congruencia con lo solicitado.</w:t>
      </w:r>
    </w:p>
    <w:p w:rsidRPr="00CF09CB" w:rsidR="0072183C" w:rsidP="0019462A" w:rsidRDefault="0072183C" w14:paraId="4CE1AF27" w14:textId="77777777">
      <w:pPr>
        <w:spacing w:line="360" w:lineRule="auto"/>
        <w:rPr>
          <w:rFonts w:ascii="Palatino Linotype" w:hAnsi="Palatino Linotype" w:cs="Tahoma"/>
          <w:sz w:val="22"/>
          <w:szCs w:val="22"/>
          <w:lang w:val="es-ES" w:eastAsia="es-ES"/>
        </w:rPr>
      </w:pPr>
    </w:p>
    <w:p w:rsidRPr="00CF09CB" w:rsidR="0072183C" w:rsidP="0019462A" w:rsidRDefault="0072183C" w14:paraId="320BB67E" w14:textId="77777777">
      <w:pPr>
        <w:spacing w:line="360" w:lineRule="auto"/>
        <w:jc w:val="both"/>
        <w:rPr>
          <w:rFonts w:ascii="Palatino Linotype" w:hAnsi="Palatino Linotype" w:eastAsia="Calibri" w:cs="Tahoma"/>
          <w:bCs/>
          <w:sz w:val="22"/>
          <w:szCs w:val="22"/>
          <w:lang w:val="es-ES" w:eastAsia="en-US"/>
        </w:rPr>
      </w:pPr>
      <w:r w:rsidRPr="00CF09CB">
        <w:rPr>
          <w:rFonts w:ascii="Palatino Linotype" w:hAnsi="Palatino Linotype" w:cs="Tahoma"/>
          <w:sz w:val="22"/>
          <w:szCs w:val="22"/>
          <w:lang w:val="es-ES" w:eastAsia="es-ES"/>
        </w:rPr>
        <w:t>As</w:t>
      </w:r>
      <w:r w:rsidRPr="00CF09CB">
        <w:rPr>
          <w:rFonts w:ascii="Palatino Linotype" w:hAnsi="Palatino Linotype"/>
          <w:sz w:val="22"/>
          <w:szCs w:val="22"/>
          <w:lang w:val="es-ES" w:eastAsia="es-ES"/>
        </w:rPr>
        <w:t>imismo,</w:t>
      </w:r>
      <w:r w:rsidRPr="00CF09CB">
        <w:rPr>
          <w:rFonts w:ascii="Palatino Linotype" w:hAnsi="Palatino Linotype" w:cs="Tahoma"/>
          <w:sz w:val="22"/>
          <w:szCs w:val="20"/>
        </w:rPr>
        <w:t xml:space="preserve"> resulta necesario traer</w:t>
      </w:r>
      <w:r w:rsidRPr="00CF09CB">
        <w:rPr>
          <w:rFonts w:ascii="Palatino Linotype" w:hAnsi="Palatino Linotype" w:eastAsia="Calibri" w:cs="Tahoma"/>
          <w:bCs/>
          <w:sz w:val="22"/>
          <w:szCs w:val="22"/>
          <w:lang w:val="es-ES" w:eastAsia="en-US"/>
        </w:rPr>
        <w:t xml:space="preserve"> por analogía, el Criterio 02/17, emitido por el Instituto Nacional de Transparencia, Acceso a la Información y Protección de Datos Personales, que señala lo siguiente:</w:t>
      </w:r>
    </w:p>
    <w:p w:rsidRPr="00CF09CB" w:rsidR="0072183C" w:rsidP="0019462A" w:rsidRDefault="0072183C" w14:paraId="0664CF6D" w14:textId="77777777">
      <w:pPr>
        <w:spacing w:line="360" w:lineRule="auto"/>
        <w:jc w:val="both"/>
        <w:rPr>
          <w:rFonts w:ascii="Palatino Linotype" w:hAnsi="Palatino Linotype" w:eastAsia="Calibri" w:cs="Tahoma"/>
          <w:bCs/>
          <w:sz w:val="22"/>
          <w:szCs w:val="22"/>
          <w:lang w:val="es-ES" w:eastAsia="en-US"/>
        </w:rPr>
      </w:pPr>
    </w:p>
    <w:p w:rsidRPr="00CF09CB" w:rsidR="0072183C" w:rsidP="0019462A" w:rsidRDefault="0072183C" w14:paraId="64763F4B" w14:textId="77777777">
      <w:pPr>
        <w:spacing w:line="360" w:lineRule="auto"/>
        <w:ind w:left="567" w:right="567"/>
        <w:jc w:val="both"/>
        <w:rPr>
          <w:rFonts w:ascii="Palatino Linotype" w:hAnsi="Palatino Linotype" w:eastAsia="Calibri" w:cs="Tahoma"/>
          <w:i/>
          <w:sz w:val="20"/>
          <w:szCs w:val="20"/>
          <w:lang w:eastAsia="en-US"/>
        </w:rPr>
      </w:pPr>
      <w:r w:rsidRPr="00CF09CB">
        <w:rPr>
          <w:rFonts w:ascii="Palatino Linotype" w:hAnsi="Palatino Linotype" w:eastAsia="Calibri" w:cs="Tahoma"/>
          <w:b/>
          <w:bCs/>
          <w:i/>
          <w:sz w:val="20"/>
          <w:szCs w:val="20"/>
          <w:lang w:eastAsia="en-US"/>
        </w:rPr>
        <w:t xml:space="preserve">“Congruencia y exhaustividad. Sus alcances para garantizar el derecho de acceso a la información. </w:t>
      </w:r>
      <w:r w:rsidRPr="00CF09CB">
        <w:rPr>
          <w:rFonts w:ascii="Palatino Linotype" w:hAnsi="Palatino Linotype" w:eastAsia="Calibri" w:cs="Tahoma"/>
          <w:bCs/>
          <w:i/>
          <w:sz w:val="20"/>
          <w:szCs w:val="20"/>
          <w:lang w:eastAsia="en-US"/>
        </w:rPr>
        <w:t xml:space="preserve">De conformidad con el artículo </w:t>
      </w:r>
      <w:r w:rsidRPr="00CF09CB">
        <w:rPr>
          <w:rFonts w:ascii="Palatino Linotype" w:hAnsi="Palatino Linotype" w:eastAsia="Calibri" w:cs="Tahoma"/>
          <w:bCs/>
          <w:i/>
          <w:sz w:val="20"/>
          <w:szCs w:val="20"/>
          <w:lang w:val="es-ES_tradnl" w:eastAsia="en-US"/>
        </w:rPr>
        <w:t>3 de la Ley Federal de Procedimiento Administrativo</w:t>
      </w:r>
      <w:r w:rsidRPr="00CF09CB">
        <w:rPr>
          <w:rFonts w:ascii="Palatino Linotype" w:hAnsi="Palatino Linotype" w:eastAsia="Calibri" w:cs="Tahoma"/>
          <w:bCs/>
          <w:i/>
          <w:sz w:val="20"/>
          <w:szCs w:val="20"/>
          <w:lang w:eastAsia="en-US"/>
        </w:rPr>
        <w:t>,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w:t>
      </w:r>
      <w:r w:rsidRPr="00CF09CB">
        <w:rPr>
          <w:rFonts w:ascii="Palatino Linotype" w:hAnsi="Palatino Linotype" w:eastAsia="Calibri" w:cs="Tahoma"/>
          <w:bCs/>
          <w:i/>
          <w:sz w:val="20"/>
          <w:szCs w:val="20"/>
          <w:u w:val="single"/>
          <w:lang w:eastAsia="en-US"/>
        </w:rPr>
        <w:t>a congruencia implica que exista concordancia entre el requerimiento formulado por el particular y la respuesta proporcionada por el sujeto obligado</w:t>
      </w:r>
      <w:r w:rsidRPr="00CF09CB">
        <w:rPr>
          <w:rFonts w:ascii="Palatino Linotype" w:hAnsi="Palatino Linotype" w:eastAsia="Calibri" w:cs="Tahoma"/>
          <w:bCs/>
          <w:i/>
          <w:sz w:val="20"/>
          <w:szCs w:val="20"/>
          <w:lang w:eastAsia="en-US"/>
        </w:rPr>
        <w:t xml:space="preserve">; mientras que </w:t>
      </w:r>
      <w:r w:rsidRPr="00CF09CB">
        <w:rPr>
          <w:rFonts w:ascii="Palatino Linotype" w:hAnsi="Palatino Linotype" w:eastAsia="Calibri" w:cs="Tahoma"/>
          <w:i/>
          <w:sz w:val="20"/>
          <w:szCs w:val="20"/>
          <w:lang w:eastAsia="en-US"/>
        </w:rPr>
        <w:t>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rsidRPr="00CF09CB" w:rsidR="0072183C" w:rsidP="0019462A" w:rsidRDefault="0072183C" w14:paraId="27671104" w14:textId="77777777">
      <w:pPr>
        <w:spacing w:line="360" w:lineRule="auto"/>
        <w:jc w:val="both"/>
        <w:rPr>
          <w:rFonts w:ascii="Palatino Linotype" w:hAnsi="Palatino Linotype" w:eastAsia="Calibri"/>
          <w:color w:val="000000" w:themeColor="text1"/>
          <w:sz w:val="22"/>
          <w:szCs w:val="22"/>
          <w:lang w:eastAsia="en-US"/>
        </w:rPr>
      </w:pPr>
    </w:p>
    <w:p w:rsidRPr="00CF09CB" w:rsidR="0072183C" w:rsidP="0019462A" w:rsidRDefault="0072183C" w14:paraId="38048817" w14:textId="77777777">
      <w:pPr>
        <w:spacing w:line="360" w:lineRule="auto"/>
        <w:jc w:val="both"/>
        <w:rPr>
          <w:rFonts w:ascii="Palatino Linotype" w:hAnsi="Palatino Linotype" w:eastAsia="Calibri"/>
          <w:color w:val="000000" w:themeColor="text1"/>
          <w:sz w:val="22"/>
          <w:szCs w:val="22"/>
          <w:lang w:val="es-ES" w:eastAsia="en-US"/>
        </w:rPr>
      </w:pPr>
      <w:r w:rsidRPr="00CF09CB">
        <w:rPr>
          <w:rFonts w:ascii="Palatino Linotype" w:hAnsi="Palatino Linotype" w:eastAsia="Calibri"/>
          <w:color w:val="000000" w:themeColor="text1"/>
          <w:sz w:val="22"/>
          <w:szCs w:val="22"/>
          <w:lang w:eastAsia="en-US"/>
        </w:rPr>
        <w:t xml:space="preserve">Del citado criterio, se desprende que </w:t>
      </w:r>
      <w:r w:rsidRPr="00CF09CB">
        <w:rPr>
          <w:rFonts w:ascii="Palatino Linotype" w:hAnsi="Palatino Linotype" w:eastAsia="Calibri"/>
          <w:bCs/>
          <w:color w:val="000000" w:themeColor="text1"/>
          <w:sz w:val="22"/>
          <w:szCs w:val="22"/>
          <w:lang w:eastAsia="en-US"/>
        </w:rPr>
        <w:t>todo acto administrativo debe apegarse al</w:t>
      </w:r>
      <w:r w:rsidRPr="00CF09CB">
        <w:rPr>
          <w:rFonts w:ascii="Palatino Linotype" w:hAnsi="Palatino Linotype" w:eastAsia="Calibri"/>
          <w:color w:val="000000" w:themeColor="text1"/>
          <w:sz w:val="22"/>
          <w:szCs w:val="22"/>
          <w:lang w:val="es-ES" w:eastAsia="en-US"/>
        </w:rPr>
        <w:t xml:space="preserve"> </w:t>
      </w:r>
      <w:r w:rsidRPr="00CF09CB">
        <w:rPr>
          <w:rFonts w:ascii="Palatino Linotype" w:hAnsi="Palatino Linotype" w:eastAsia="Calibri"/>
          <w:b/>
          <w:color w:val="000000" w:themeColor="text1"/>
          <w:sz w:val="22"/>
          <w:szCs w:val="22"/>
          <w:lang w:val="es-ES" w:eastAsia="en-US"/>
        </w:rPr>
        <w:t xml:space="preserve">Principio de Congruencia, </w:t>
      </w:r>
      <w:r w:rsidRPr="00CF09CB">
        <w:rPr>
          <w:rFonts w:ascii="Palatino Linotype" w:hAnsi="Palatino Linotype" w:eastAsia="Calibri"/>
          <w:color w:val="000000" w:themeColor="text1"/>
          <w:sz w:val="22"/>
          <w:szCs w:val="22"/>
          <w:lang w:val="es-ES" w:eastAsia="en-US"/>
        </w:rPr>
        <w:t>el cual</w:t>
      </w:r>
      <w:r w:rsidRPr="00CF09CB">
        <w:rPr>
          <w:rFonts w:ascii="Palatino Linotype" w:hAnsi="Palatino Linotype" w:eastAsia="Calibri"/>
          <w:b/>
          <w:color w:val="000000" w:themeColor="text1"/>
          <w:sz w:val="22"/>
          <w:szCs w:val="22"/>
          <w:lang w:val="es-ES" w:eastAsia="en-US"/>
        </w:rPr>
        <w:t xml:space="preserve"> </w:t>
      </w:r>
      <w:r w:rsidRPr="00CF09CB">
        <w:rPr>
          <w:rFonts w:ascii="Palatino Linotype" w:hAnsi="Palatino Linotype" w:eastAsia="Calibri"/>
          <w:color w:val="000000" w:themeColor="text1"/>
          <w:sz w:val="22"/>
          <w:szCs w:val="22"/>
          <w:lang w:val="es-ES" w:eastAsia="en-US"/>
        </w:rPr>
        <w:t>implica que exista concordancia entre el requerimiento formulado y la respuesta entregada.</w:t>
      </w:r>
    </w:p>
    <w:p w:rsidRPr="00CF09CB" w:rsidR="0072183C" w:rsidP="0019462A" w:rsidRDefault="0072183C" w14:paraId="20E5B8B1" w14:textId="77777777">
      <w:pPr>
        <w:spacing w:line="360" w:lineRule="auto"/>
        <w:jc w:val="both"/>
        <w:rPr>
          <w:rFonts w:ascii="Palatino Linotype" w:hAnsi="Palatino Linotype" w:eastAsia="Calibri"/>
          <w:bCs/>
          <w:color w:val="000000" w:themeColor="text1"/>
          <w:sz w:val="22"/>
          <w:szCs w:val="22"/>
          <w:lang w:val="es-ES_tradnl" w:eastAsia="en-US"/>
        </w:rPr>
      </w:pPr>
    </w:p>
    <w:p w:rsidRPr="00CF09CB" w:rsidR="0072183C" w:rsidP="0019462A" w:rsidRDefault="0072183C" w14:paraId="27EB2C14" w14:textId="1E27EF59">
      <w:pPr>
        <w:spacing w:line="360" w:lineRule="auto"/>
        <w:ind w:right="-28"/>
        <w:jc w:val="both"/>
        <w:rPr>
          <w:rFonts w:ascii="Palatino Linotype" w:hAnsi="Palatino Linotype" w:cs="Tahoma"/>
          <w:iCs/>
          <w:sz w:val="22"/>
          <w:szCs w:val="22"/>
          <w:lang w:val="es-ES" w:eastAsia="es-ES"/>
        </w:rPr>
      </w:pPr>
      <w:r w:rsidRPr="00CF09CB">
        <w:rPr>
          <w:rFonts w:ascii="Palatino Linotype" w:hAnsi="Palatino Linotype" w:cs="Tahoma"/>
          <w:iCs/>
          <w:sz w:val="22"/>
          <w:szCs w:val="22"/>
          <w:lang w:val="es-ES" w:eastAsia="es-ES"/>
        </w:rPr>
        <w:t xml:space="preserve">Conforme a lo expuesto, se considera que la respuesta proporcionada incumplió con el Principio mencionado, pues como se refirió la respuesta entregada no guarda congruencia, lo cual da como resultado que el agravio sea </w:t>
      </w:r>
      <w:r w:rsidRPr="00CF09CB">
        <w:rPr>
          <w:rFonts w:ascii="Palatino Linotype" w:hAnsi="Palatino Linotype" w:cs="Tahoma"/>
          <w:b/>
          <w:bCs/>
          <w:iCs/>
          <w:sz w:val="22"/>
          <w:szCs w:val="22"/>
          <w:lang w:val="es-ES" w:eastAsia="es-ES"/>
        </w:rPr>
        <w:t xml:space="preserve">FUNDADO. </w:t>
      </w:r>
      <w:r w:rsidRPr="00CF09CB">
        <w:rPr>
          <w:rFonts w:ascii="Palatino Linotype" w:hAnsi="Palatino Linotype" w:cs="Tahoma"/>
          <w:iCs/>
          <w:sz w:val="22"/>
          <w:szCs w:val="22"/>
          <w:lang w:val="es-ES" w:eastAsia="es-ES"/>
        </w:rPr>
        <w:t xml:space="preserve">Lo cual se robustece con el hecho de </w:t>
      </w:r>
      <w:r w:rsidRPr="00CF09CB">
        <w:rPr>
          <w:rFonts w:ascii="Palatino Linotype" w:hAnsi="Palatino Linotype" w:cs="Tahoma"/>
          <w:iCs/>
          <w:sz w:val="22"/>
          <w:szCs w:val="22"/>
          <w:lang w:val="es-ES" w:eastAsia="es-ES"/>
        </w:rPr>
        <w:lastRenderedPageBreak/>
        <w:t>que la propia Tesorería Municipal, afirma que tiene en sus archivos los documentos que integran el Informe Trimestral.</w:t>
      </w:r>
    </w:p>
    <w:p w:rsidRPr="00CF09CB" w:rsidR="0051767C" w:rsidP="0019462A" w:rsidRDefault="0051767C" w14:paraId="4232370B" w14:textId="0406C393">
      <w:pPr>
        <w:spacing w:line="360" w:lineRule="auto"/>
        <w:jc w:val="both"/>
        <w:rPr>
          <w:rFonts w:ascii="Palatino Linotype" w:hAnsi="Palatino Linotype" w:eastAsia="Calibri" w:cs="Tahoma"/>
          <w:color w:val="000000"/>
          <w:sz w:val="22"/>
        </w:rPr>
      </w:pPr>
    </w:p>
    <w:p w:rsidRPr="00CF09CB" w:rsidR="0072183C" w:rsidP="0019462A" w:rsidRDefault="0072183C" w14:paraId="1F3E3419" w14:textId="77777777">
      <w:pPr>
        <w:spacing w:line="360" w:lineRule="auto"/>
        <w:jc w:val="both"/>
        <w:rPr>
          <w:rFonts w:ascii="Palatino Linotype" w:hAnsi="Palatino Linotype" w:cs="Tahoma"/>
          <w:color w:val="000000"/>
          <w:sz w:val="22"/>
          <w:szCs w:val="22"/>
        </w:rPr>
      </w:pPr>
      <w:r w:rsidRPr="00CF09CB">
        <w:rPr>
          <w:rFonts w:ascii="Palatino Linotype" w:hAnsi="Palatino Linotype" w:cs="Tahoma"/>
          <w:bCs/>
          <w:iCs/>
          <w:color w:val="000000"/>
          <w:sz w:val="22"/>
          <w:szCs w:val="22"/>
          <w:lang w:val="es-ES"/>
        </w:rPr>
        <w:t xml:space="preserve">Conforme a lo anterior y para atender el requerimiento de información, el Sujeto Obligado deberá realizar una búsqueda exhaustiva y razonable en todas las unidades administrativas competentes, entre las cuales no podrá omitir a la Tesorería Municipal, a efecto de proporcionar </w:t>
      </w:r>
      <w:r w:rsidRPr="00CF09CB">
        <w:rPr>
          <w:rFonts w:ascii="Palatino Linotype" w:hAnsi="Palatino Linotype" w:cs="Tahoma"/>
          <w:color w:val="000000"/>
          <w:sz w:val="22"/>
          <w:szCs w:val="22"/>
        </w:rPr>
        <w:t>los comprobantes bancarios de la dispersión de la nómina de la primera quincena de enero de dos mil veintiuno a la segunda quincena de diciembre de dos mil veintiuno.</w:t>
      </w:r>
    </w:p>
    <w:p w:rsidRPr="00CF09CB" w:rsidR="0072183C" w:rsidP="0019462A" w:rsidRDefault="0072183C" w14:paraId="4B75945B" w14:textId="77777777">
      <w:pPr>
        <w:tabs>
          <w:tab w:val="left" w:pos="4962"/>
        </w:tabs>
        <w:spacing w:line="360" w:lineRule="auto"/>
        <w:jc w:val="both"/>
        <w:rPr>
          <w:rFonts w:ascii="Palatino Linotype" w:hAnsi="Palatino Linotype" w:cs="Tahoma"/>
          <w:bCs/>
          <w:sz w:val="22"/>
          <w:szCs w:val="22"/>
          <w:lang w:val="es-ES_tradnl" w:eastAsia="es-ES"/>
        </w:rPr>
      </w:pPr>
    </w:p>
    <w:p w:rsidRPr="00CF09CB" w:rsidR="0072183C" w:rsidP="0019462A" w:rsidRDefault="0072183C" w14:paraId="78C93C19" w14:textId="7B62F15F">
      <w:pPr>
        <w:tabs>
          <w:tab w:val="left" w:pos="4962"/>
        </w:tabs>
        <w:spacing w:line="360" w:lineRule="auto"/>
        <w:jc w:val="both"/>
        <w:rPr>
          <w:rFonts w:ascii="Palatino Linotype" w:hAnsi="Palatino Linotype" w:cs="Tahoma"/>
          <w:sz w:val="22"/>
          <w:szCs w:val="22"/>
          <w:lang w:eastAsia="es-ES"/>
        </w:rPr>
      </w:pPr>
      <w:r w:rsidRPr="00CF09CB">
        <w:rPr>
          <w:rFonts w:ascii="Palatino Linotype" w:hAnsi="Palatino Linotype" w:eastAsia="Calibri" w:cs="Tahoma"/>
          <w:bCs/>
          <w:iCs/>
          <w:sz w:val="22"/>
          <w:szCs w:val="22"/>
          <w:lang w:eastAsia="en-US"/>
        </w:rPr>
        <w:t>Dicha situación, toma sustento en</w:t>
      </w:r>
      <w:r w:rsidRPr="00CF09CB">
        <w:rPr>
          <w:rFonts w:ascii="Palatino Linotype" w:hAnsi="Palatino Linotype" w:eastAsia="Calibri" w:cs="Tahoma"/>
          <w:bCs/>
          <w:sz w:val="22"/>
          <w:szCs w:val="22"/>
          <w:lang w:eastAsia="en-US"/>
        </w:rPr>
        <w:t xml:space="preserve"> el</w:t>
      </w:r>
      <w:r w:rsidRPr="00CF09CB">
        <w:rPr>
          <w:rFonts w:ascii="Palatino Linotype" w:hAnsi="Palatino Linotype" w:cs="Tahoma"/>
          <w:sz w:val="22"/>
          <w:szCs w:val="22"/>
          <w:lang w:eastAsia="es-ES"/>
        </w:rPr>
        <w:t xml:space="preserve">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misma, ni presentarla conforme al interés del Solicitante.</w:t>
      </w:r>
    </w:p>
    <w:p w:rsidRPr="00CF09CB" w:rsidR="0072183C" w:rsidP="0019462A" w:rsidRDefault="0072183C" w14:paraId="1DD2B290" w14:textId="77777777">
      <w:pPr>
        <w:tabs>
          <w:tab w:val="left" w:pos="4962"/>
        </w:tabs>
        <w:spacing w:line="360" w:lineRule="auto"/>
        <w:jc w:val="both"/>
        <w:rPr>
          <w:rFonts w:ascii="Palatino Linotype" w:hAnsi="Palatino Linotype" w:cs="Tahoma"/>
          <w:sz w:val="22"/>
          <w:szCs w:val="22"/>
          <w:lang w:eastAsia="es-ES"/>
        </w:rPr>
      </w:pPr>
    </w:p>
    <w:p w:rsidRPr="00CF09CB" w:rsidR="0072183C" w:rsidP="0019462A" w:rsidRDefault="0072183C" w14:paraId="5B139181" w14:textId="77777777">
      <w:pPr>
        <w:tabs>
          <w:tab w:val="left" w:pos="4962"/>
        </w:tabs>
        <w:spacing w:line="360" w:lineRule="auto"/>
        <w:jc w:val="both"/>
        <w:rPr>
          <w:rFonts w:ascii="Palatino Linotype" w:hAnsi="Palatino Linotype" w:eastAsia="Calibri" w:cs="Tahoma"/>
          <w:iCs/>
          <w:sz w:val="22"/>
          <w:szCs w:val="22"/>
          <w:lang w:val="es-ES" w:eastAsia="es-ES_tradnl"/>
        </w:rPr>
      </w:pPr>
      <w:r w:rsidRPr="00CF09CB">
        <w:rPr>
          <w:rFonts w:ascii="Palatino Linotype" w:hAnsi="Palatino Linotype" w:cs="Tahoma"/>
          <w:sz w:val="22"/>
          <w:szCs w:val="22"/>
          <w:lang w:eastAsia="es-ES"/>
        </w:rPr>
        <w:t xml:space="preserve">De esta manera, </w:t>
      </w:r>
      <w:r w:rsidRPr="00CF09CB">
        <w:rPr>
          <w:rFonts w:ascii="Palatino Linotype" w:hAnsi="Palatino Linotype" w:cs="Tahoma"/>
          <w:sz w:val="22"/>
          <w:lang w:val="es-ES" w:eastAsia="es-ES"/>
        </w:rPr>
        <w:t xml:space="preserve">el derecho de acceso a la información pública se satisface en aquellos casos en que se entregue el soporte documental en el que conste la información solicitada, sin necesidad de elaborar documentos </w:t>
      </w:r>
      <w:r w:rsidRPr="00CF09CB">
        <w:rPr>
          <w:rFonts w:ascii="Palatino Linotype" w:hAnsi="Palatino Linotype" w:cs="Tahoma"/>
          <w:i/>
          <w:sz w:val="22"/>
          <w:szCs w:val="22"/>
          <w:lang w:eastAsia="es-ES"/>
        </w:rPr>
        <w:t>ad hoc</w:t>
      </w:r>
      <w:r w:rsidRPr="00CF09CB">
        <w:rPr>
          <w:rFonts w:ascii="Palatino Linotype" w:hAnsi="Palatino Linotype" w:cs="Tahoma"/>
          <w:sz w:val="22"/>
          <w:szCs w:val="22"/>
          <w:lang w:eastAsia="es-ES"/>
        </w:rPr>
        <w:t xml:space="preserve">; lo cual, de conformidad con en el artículo 160 de la Ley de Transparencia y Acceso a la Información Pública del Estado de México y Municipios, el cual refiere que los sujetos obligados deberán entregar la información que obre en sus archivos. Además, resulta aplicable </w:t>
      </w:r>
      <w:r w:rsidRPr="00CF09CB">
        <w:rPr>
          <w:rFonts w:ascii="Palatino Linotype" w:hAnsi="Palatino Linotype" w:eastAsia="Calibri" w:cs="Tahoma"/>
          <w:iCs/>
          <w:sz w:val="22"/>
          <w:szCs w:val="22"/>
          <w:lang w:val="es-ES" w:eastAsia="es-ES_tradnl"/>
        </w:rPr>
        <w:t>el Criterio 03/17 del Instituto Nacional de Transparencia, Acceso a la Información y Protección de Datos Personales que a continuación se cita:</w:t>
      </w:r>
    </w:p>
    <w:p w:rsidRPr="00CF09CB" w:rsidR="0072183C" w:rsidP="0019462A" w:rsidRDefault="0072183C" w14:paraId="18C1D69C" w14:textId="77777777">
      <w:pPr>
        <w:spacing w:line="360" w:lineRule="auto"/>
        <w:jc w:val="both"/>
        <w:rPr>
          <w:rFonts w:ascii="Palatino Linotype" w:hAnsi="Palatino Linotype" w:eastAsia="Arial" w:cs="Arial"/>
          <w:b/>
          <w:sz w:val="22"/>
          <w:szCs w:val="20"/>
          <w:lang w:eastAsia="es-ES"/>
        </w:rPr>
      </w:pPr>
    </w:p>
    <w:p w:rsidRPr="00CF09CB" w:rsidR="0072183C" w:rsidP="0019462A" w:rsidRDefault="0072183C" w14:paraId="5F52E2DB" w14:textId="77777777">
      <w:pPr>
        <w:spacing w:line="360" w:lineRule="auto"/>
        <w:ind w:left="567" w:right="567"/>
        <w:jc w:val="both"/>
        <w:rPr>
          <w:rFonts w:ascii="Palatino Linotype" w:hAnsi="Palatino Linotype" w:eastAsia="Arial" w:cs="Arial"/>
          <w:i/>
          <w:sz w:val="20"/>
          <w:szCs w:val="20"/>
          <w:lang w:eastAsia="es-ES"/>
        </w:rPr>
      </w:pPr>
      <w:r w:rsidRPr="00CF09CB">
        <w:rPr>
          <w:rFonts w:ascii="Palatino Linotype" w:hAnsi="Palatino Linotype" w:eastAsia="Arial" w:cs="Arial"/>
          <w:b/>
          <w:i/>
          <w:sz w:val="20"/>
          <w:szCs w:val="20"/>
          <w:lang w:eastAsia="es-ES"/>
        </w:rPr>
        <w:t xml:space="preserve">“No existe obligación de elaborar </w:t>
      </w:r>
      <w:r w:rsidRPr="00CF09CB">
        <w:rPr>
          <w:rFonts w:ascii="Palatino Linotype" w:hAnsi="Palatino Linotype" w:eastAsia="Arial" w:cs="Arial"/>
          <w:b/>
          <w:i/>
          <w:spacing w:val="-3"/>
          <w:sz w:val="20"/>
          <w:szCs w:val="20"/>
          <w:lang w:eastAsia="es-ES"/>
        </w:rPr>
        <w:t>d</w:t>
      </w:r>
      <w:r w:rsidRPr="00CF09CB">
        <w:rPr>
          <w:rFonts w:ascii="Palatino Linotype" w:hAnsi="Palatino Linotype" w:eastAsia="Arial" w:cs="Arial"/>
          <w:b/>
          <w:i/>
          <w:sz w:val="20"/>
          <w:szCs w:val="20"/>
          <w:lang w:eastAsia="es-ES"/>
        </w:rPr>
        <w:t>ocum</w:t>
      </w:r>
      <w:r w:rsidRPr="00CF09CB">
        <w:rPr>
          <w:rFonts w:ascii="Palatino Linotype" w:hAnsi="Palatino Linotype" w:eastAsia="Arial" w:cs="Arial"/>
          <w:b/>
          <w:i/>
          <w:spacing w:val="1"/>
          <w:sz w:val="20"/>
          <w:szCs w:val="20"/>
          <w:lang w:eastAsia="es-ES"/>
        </w:rPr>
        <w:t>e</w:t>
      </w:r>
      <w:r w:rsidRPr="00CF09CB">
        <w:rPr>
          <w:rFonts w:ascii="Palatino Linotype" w:hAnsi="Palatino Linotype" w:eastAsia="Arial" w:cs="Arial"/>
          <w:b/>
          <w:i/>
          <w:sz w:val="20"/>
          <w:szCs w:val="20"/>
          <w:lang w:eastAsia="es-ES"/>
        </w:rPr>
        <w:t>n</w:t>
      </w:r>
      <w:r w:rsidRPr="00CF09CB">
        <w:rPr>
          <w:rFonts w:ascii="Palatino Linotype" w:hAnsi="Palatino Linotype" w:eastAsia="Arial" w:cs="Arial"/>
          <w:b/>
          <w:i/>
          <w:spacing w:val="-1"/>
          <w:sz w:val="20"/>
          <w:szCs w:val="20"/>
          <w:lang w:eastAsia="es-ES"/>
        </w:rPr>
        <w:t>t</w:t>
      </w:r>
      <w:r w:rsidRPr="00CF09CB">
        <w:rPr>
          <w:rFonts w:ascii="Palatino Linotype" w:hAnsi="Palatino Linotype" w:eastAsia="Arial" w:cs="Arial"/>
          <w:b/>
          <w:i/>
          <w:sz w:val="20"/>
          <w:szCs w:val="20"/>
          <w:lang w:eastAsia="es-ES"/>
        </w:rPr>
        <w:t xml:space="preserve">os </w:t>
      </w:r>
      <w:r w:rsidRPr="00CF09CB">
        <w:rPr>
          <w:rFonts w:ascii="Palatino Linotype" w:hAnsi="Palatino Linotype" w:eastAsia="Arial" w:cs="Arial"/>
          <w:b/>
          <w:i/>
          <w:spacing w:val="-1"/>
          <w:sz w:val="20"/>
          <w:szCs w:val="20"/>
          <w:lang w:eastAsia="es-ES"/>
        </w:rPr>
        <w:t xml:space="preserve">ad </w:t>
      </w:r>
      <w:r w:rsidRPr="00CF09CB">
        <w:rPr>
          <w:rFonts w:ascii="Palatino Linotype" w:hAnsi="Palatino Linotype" w:eastAsia="Arial" w:cs="Arial"/>
          <w:b/>
          <w:i/>
          <w:sz w:val="20"/>
          <w:szCs w:val="20"/>
          <w:lang w:eastAsia="es-ES"/>
        </w:rPr>
        <w:t>hoc para atender las sol</w:t>
      </w:r>
      <w:r w:rsidRPr="00CF09CB">
        <w:rPr>
          <w:rFonts w:ascii="Palatino Linotype" w:hAnsi="Palatino Linotype" w:eastAsia="Arial" w:cs="Arial"/>
          <w:b/>
          <w:i/>
          <w:spacing w:val="-2"/>
          <w:sz w:val="20"/>
          <w:szCs w:val="20"/>
          <w:lang w:eastAsia="es-ES"/>
        </w:rPr>
        <w:t>i</w:t>
      </w:r>
      <w:r w:rsidRPr="00CF09CB">
        <w:rPr>
          <w:rFonts w:ascii="Palatino Linotype" w:hAnsi="Palatino Linotype" w:eastAsia="Arial" w:cs="Arial"/>
          <w:b/>
          <w:i/>
          <w:spacing w:val="1"/>
          <w:sz w:val="20"/>
          <w:szCs w:val="20"/>
          <w:lang w:eastAsia="es-ES"/>
        </w:rPr>
        <w:t>c</w:t>
      </w:r>
      <w:r w:rsidRPr="00CF09CB">
        <w:rPr>
          <w:rFonts w:ascii="Palatino Linotype" w:hAnsi="Palatino Linotype" w:eastAsia="Arial" w:cs="Arial"/>
          <w:b/>
          <w:i/>
          <w:sz w:val="20"/>
          <w:szCs w:val="20"/>
          <w:lang w:eastAsia="es-ES"/>
        </w:rPr>
        <w:t xml:space="preserve">itudes de </w:t>
      </w:r>
      <w:r w:rsidRPr="00CF09CB">
        <w:rPr>
          <w:rFonts w:ascii="Palatino Linotype" w:hAnsi="Palatino Linotype" w:eastAsia="Arial" w:cs="Arial"/>
          <w:b/>
          <w:i/>
          <w:spacing w:val="1"/>
          <w:sz w:val="20"/>
          <w:szCs w:val="20"/>
          <w:lang w:eastAsia="es-ES"/>
        </w:rPr>
        <w:t>ac</w:t>
      </w:r>
      <w:r w:rsidRPr="00CF09CB">
        <w:rPr>
          <w:rFonts w:ascii="Palatino Linotype" w:hAnsi="Palatino Linotype" w:eastAsia="Arial" w:cs="Arial"/>
          <w:b/>
          <w:i/>
          <w:spacing w:val="-1"/>
          <w:sz w:val="20"/>
          <w:szCs w:val="20"/>
          <w:lang w:eastAsia="es-ES"/>
        </w:rPr>
        <w:t>c</w:t>
      </w:r>
      <w:r w:rsidRPr="00CF09CB">
        <w:rPr>
          <w:rFonts w:ascii="Palatino Linotype" w:hAnsi="Palatino Linotype" w:eastAsia="Arial" w:cs="Arial"/>
          <w:b/>
          <w:i/>
          <w:spacing w:val="1"/>
          <w:sz w:val="20"/>
          <w:szCs w:val="20"/>
          <w:lang w:eastAsia="es-ES"/>
        </w:rPr>
        <w:t>es</w:t>
      </w:r>
      <w:r w:rsidRPr="00CF09CB">
        <w:rPr>
          <w:rFonts w:ascii="Palatino Linotype" w:hAnsi="Palatino Linotype" w:eastAsia="Arial" w:cs="Arial"/>
          <w:b/>
          <w:i/>
          <w:sz w:val="20"/>
          <w:szCs w:val="20"/>
          <w:lang w:eastAsia="es-ES"/>
        </w:rPr>
        <w:t>o a la informa</w:t>
      </w:r>
      <w:r w:rsidRPr="00CF09CB">
        <w:rPr>
          <w:rFonts w:ascii="Palatino Linotype" w:hAnsi="Palatino Linotype" w:eastAsia="Arial" w:cs="Arial"/>
          <w:b/>
          <w:i/>
          <w:spacing w:val="1"/>
          <w:sz w:val="20"/>
          <w:szCs w:val="20"/>
          <w:lang w:eastAsia="es-ES"/>
        </w:rPr>
        <w:t>c</w:t>
      </w:r>
      <w:r w:rsidRPr="00CF09CB">
        <w:rPr>
          <w:rFonts w:ascii="Palatino Linotype" w:hAnsi="Palatino Linotype" w:eastAsia="Arial" w:cs="Arial"/>
          <w:b/>
          <w:i/>
          <w:sz w:val="20"/>
          <w:szCs w:val="20"/>
          <w:lang w:eastAsia="es-ES"/>
        </w:rPr>
        <w:t>ió</w:t>
      </w:r>
      <w:r w:rsidRPr="00CF09CB">
        <w:rPr>
          <w:rFonts w:ascii="Palatino Linotype" w:hAnsi="Palatino Linotype" w:eastAsia="Arial" w:cs="Arial"/>
          <w:b/>
          <w:i/>
          <w:spacing w:val="-2"/>
          <w:sz w:val="20"/>
          <w:szCs w:val="20"/>
          <w:lang w:eastAsia="es-ES"/>
        </w:rPr>
        <w:t>n</w:t>
      </w:r>
      <w:r w:rsidRPr="00CF09CB">
        <w:rPr>
          <w:rFonts w:ascii="Palatino Linotype" w:hAnsi="Palatino Linotype" w:eastAsia="Arial" w:cs="Arial"/>
          <w:b/>
          <w:i/>
          <w:sz w:val="20"/>
          <w:szCs w:val="20"/>
          <w:lang w:eastAsia="es-ES"/>
        </w:rPr>
        <w:t xml:space="preserve">. </w:t>
      </w:r>
      <w:r w:rsidRPr="00CF09CB">
        <w:rPr>
          <w:rFonts w:ascii="Palatino Linotype" w:hAnsi="Palatino Linotype" w:eastAsia="Arial" w:cs="Arial"/>
          <w:i/>
          <w:spacing w:val="18"/>
          <w:sz w:val="20"/>
          <w:szCs w:val="20"/>
          <w:lang w:eastAsia="es-ES"/>
        </w:rPr>
        <w:t>L</w:t>
      </w:r>
      <w:r w:rsidRPr="00CF09CB">
        <w:rPr>
          <w:rFonts w:ascii="Palatino Linotype" w:hAnsi="Palatino Linotype" w:eastAsia="Arial" w:cs="Arial"/>
          <w:i/>
          <w:spacing w:val="-1"/>
          <w:sz w:val="20"/>
          <w:szCs w:val="20"/>
          <w:lang w:eastAsia="es-ES"/>
        </w:rPr>
        <w:t xml:space="preserve">os </w:t>
      </w:r>
      <w:r w:rsidRPr="00CF09CB">
        <w:rPr>
          <w:rFonts w:ascii="Palatino Linotype" w:hAnsi="Palatino Linotype" w:eastAsia="Arial" w:cs="Arial"/>
          <w:i/>
          <w:spacing w:val="1"/>
          <w:sz w:val="20"/>
          <w:szCs w:val="20"/>
          <w:lang w:eastAsia="es-ES"/>
        </w:rPr>
        <w:t>a</w:t>
      </w:r>
      <w:r w:rsidRPr="00CF09CB">
        <w:rPr>
          <w:rFonts w:ascii="Palatino Linotype" w:hAnsi="Palatino Linotype" w:eastAsia="Arial" w:cs="Arial"/>
          <w:i/>
          <w:sz w:val="20"/>
          <w:szCs w:val="20"/>
          <w:lang w:eastAsia="es-ES"/>
        </w:rPr>
        <w:t>rt</w:t>
      </w:r>
      <w:r w:rsidRPr="00CF09CB">
        <w:rPr>
          <w:rFonts w:ascii="Palatino Linotype" w:hAnsi="Palatino Linotype" w:eastAsia="Arial" w:cs="Arial"/>
          <w:i/>
          <w:spacing w:val="-2"/>
          <w:sz w:val="20"/>
          <w:szCs w:val="20"/>
          <w:lang w:eastAsia="es-ES"/>
        </w:rPr>
        <w:t>í</w:t>
      </w:r>
      <w:r w:rsidRPr="00CF09CB">
        <w:rPr>
          <w:rFonts w:ascii="Palatino Linotype" w:hAnsi="Palatino Linotype" w:eastAsia="Arial" w:cs="Arial"/>
          <w:i/>
          <w:sz w:val="20"/>
          <w:szCs w:val="20"/>
          <w:lang w:eastAsia="es-ES"/>
        </w:rPr>
        <w:t>c</w:t>
      </w:r>
      <w:r w:rsidRPr="00CF09CB">
        <w:rPr>
          <w:rFonts w:ascii="Palatino Linotype" w:hAnsi="Palatino Linotype" w:eastAsia="Arial" w:cs="Arial"/>
          <w:i/>
          <w:spacing w:val="1"/>
          <w:sz w:val="20"/>
          <w:szCs w:val="20"/>
          <w:lang w:eastAsia="es-ES"/>
        </w:rPr>
        <w:t>u</w:t>
      </w:r>
      <w:r w:rsidRPr="00CF09CB">
        <w:rPr>
          <w:rFonts w:ascii="Palatino Linotype" w:hAnsi="Palatino Linotype" w:eastAsia="Arial" w:cs="Arial"/>
          <w:i/>
          <w:sz w:val="20"/>
          <w:szCs w:val="20"/>
          <w:lang w:eastAsia="es-ES"/>
        </w:rPr>
        <w:t>los</w:t>
      </w:r>
      <w:r w:rsidRPr="00CF09CB">
        <w:rPr>
          <w:rFonts w:ascii="Palatino Linotype" w:hAnsi="Palatino Linotype" w:eastAsia="Arial" w:cs="Arial"/>
          <w:i/>
          <w:spacing w:val="8"/>
          <w:sz w:val="20"/>
          <w:szCs w:val="20"/>
          <w:lang w:eastAsia="es-ES"/>
        </w:rPr>
        <w:t xml:space="preserve"> 129 </w:t>
      </w:r>
      <w:r w:rsidRPr="00CF09CB">
        <w:rPr>
          <w:rFonts w:ascii="Palatino Linotype" w:hAnsi="Palatino Linotype" w:eastAsia="Arial" w:cs="Arial"/>
          <w:i/>
          <w:spacing w:val="1"/>
          <w:sz w:val="20"/>
          <w:szCs w:val="20"/>
          <w:lang w:eastAsia="es-ES"/>
        </w:rPr>
        <w:t>d</w:t>
      </w:r>
      <w:r w:rsidRPr="00CF09CB">
        <w:rPr>
          <w:rFonts w:ascii="Palatino Linotype" w:hAnsi="Palatino Linotype" w:eastAsia="Arial" w:cs="Arial"/>
          <w:i/>
          <w:sz w:val="20"/>
          <w:szCs w:val="20"/>
          <w:lang w:eastAsia="es-ES"/>
        </w:rPr>
        <w:t xml:space="preserve">e la </w:t>
      </w:r>
      <w:r w:rsidRPr="00CF09CB">
        <w:rPr>
          <w:rFonts w:ascii="Palatino Linotype" w:hAnsi="Palatino Linotype" w:eastAsia="Arial" w:cs="Arial"/>
          <w:i/>
          <w:spacing w:val="-1"/>
          <w:sz w:val="20"/>
          <w:szCs w:val="20"/>
          <w:lang w:eastAsia="es-ES"/>
        </w:rPr>
        <w:t>L</w:t>
      </w:r>
      <w:r w:rsidRPr="00CF09CB">
        <w:rPr>
          <w:rFonts w:ascii="Palatino Linotype" w:hAnsi="Palatino Linotype" w:eastAsia="Arial" w:cs="Arial"/>
          <w:i/>
          <w:spacing w:val="1"/>
          <w:sz w:val="20"/>
          <w:szCs w:val="20"/>
          <w:lang w:eastAsia="es-ES"/>
        </w:rPr>
        <w:t>e</w:t>
      </w:r>
      <w:r w:rsidRPr="00CF09CB">
        <w:rPr>
          <w:rFonts w:ascii="Palatino Linotype" w:hAnsi="Palatino Linotype" w:eastAsia="Arial" w:cs="Arial"/>
          <w:i/>
          <w:sz w:val="20"/>
          <w:szCs w:val="20"/>
          <w:lang w:eastAsia="es-ES"/>
        </w:rPr>
        <w:t xml:space="preserve">y General </w:t>
      </w:r>
      <w:r w:rsidRPr="00CF09CB">
        <w:rPr>
          <w:rFonts w:ascii="Palatino Linotype" w:hAnsi="Palatino Linotype" w:eastAsia="Arial" w:cs="Arial"/>
          <w:i/>
          <w:spacing w:val="-1"/>
          <w:sz w:val="20"/>
          <w:szCs w:val="20"/>
          <w:lang w:eastAsia="es-ES"/>
        </w:rPr>
        <w:t>d</w:t>
      </w:r>
      <w:r w:rsidRPr="00CF09CB">
        <w:rPr>
          <w:rFonts w:ascii="Palatino Linotype" w:hAnsi="Palatino Linotype" w:eastAsia="Arial" w:cs="Arial"/>
          <w:i/>
          <w:sz w:val="20"/>
          <w:szCs w:val="20"/>
          <w:lang w:eastAsia="es-ES"/>
        </w:rPr>
        <w:t xml:space="preserve">e </w:t>
      </w:r>
      <w:r w:rsidRPr="00CF09CB">
        <w:rPr>
          <w:rFonts w:ascii="Palatino Linotype" w:hAnsi="Palatino Linotype" w:eastAsia="Arial" w:cs="Arial"/>
          <w:i/>
          <w:spacing w:val="2"/>
          <w:sz w:val="20"/>
          <w:szCs w:val="20"/>
          <w:lang w:eastAsia="es-ES"/>
        </w:rPr>
        <w:t>T</w:t>
      </w:r>
      <w:r w:rsidRPr="00CF09CB">
        <w:rPr>
          <w:rFonts w:ascii="Palatino Linotype" w:hAnsi="Palatino Linotype" w:eastAsia="Arial" w:cs="Arial"/>
          <w:i/>
          <w:sz w:val="20"/>
          <w:szCs w:val="20"/>
          <w:lang w:eastAsia="es-ES"/>
        </w:rPr>
        <w:t>r</w:t>
      </w:r>
      <w:r w:rsidRPr="00CF09CB">
        <w:rPr>
          <w:rFonts w:ascii="Palatino Linotype" w:hAnsi="Palatino Linotype" w:eastAsia="Arial" w:cs="Arial"/>
          <w:i/>
          <w:spacing w:val="-2"/>
          <w:sz w:val="20"/>
          <w:szCs w:val="20"/>
          <w:lang w:eastAsia="es-ES"/>
        </w:rPr>
        <w:t>a</w:t>
      </w:r>
      <w:r w:rsidRPr="00CF09CB">
        <w:rPr>
          <w:rFonts w:ascii="Palatino Linotype" w:hAnsi="Palatino Linotype" w:eastAsia="Arial" w:cs="Arial"/>
          <w:i/>
          <w:spacing w:val="1"/>
          <w:sz w:val="20"/>
          <w:szCs w:val="20"/>
          <w:lang w:eastAsia="es-ES"/>
        </w:rPr>
        <w:t>n</w:t>
      </w:r>
      <w:r w:rsidRPr="00CF09CB">
        <w:rPr>
          <w:rFonts w:ascii="Palatino Linotype" w:hAnsi="Palatino Linotype" w:eastAsia="Arial" w:cs="Arial"/>
          <w:i/>
          <w:sz w:val="20"/>
          <w:szCs w:val="20"/>
          <w:lang w:eastAsia="es-ES"/>
        </w:rPr>
        <w:t>s</w:t>
      </w:r>
      <w:r w:rsidRPr="00CF09CB">
        <w:rPr>
          <w:rFonts w:ascii="Palatino Linotype" w:hAnsi="Palatino Linotype" w:eastAsia="Arial" w:cs="Arial"/>
          <w:i/>
          <w:spacing w:val="1"/>
          <w:sz w:val="20"/>
          <w:szCs w:val="20"/>
          <w:lang w:eastAsia="es-ES"/>
        </w:rPr>
        <w:t>pa</w:t>
      </w:r>
      <w:r w:rsidRPr="00CF09CB">
        <w:rPr>
          <w:rFonts w:ascii="Palatino Linotype" w:hAnsi="Palatino Linotype" w:eastAsia="Arial" w:cs="Arial"/>
          <w:i/>
          <w:sz w:val="20"/>
          <w:szCs w:val="20"/>
          <w:lang w:eastAsia="es-ES"/>
        </w:rPr>
        <w:t>r</w:t>
      </w:r>
      <w:r w:rsidRPr="00CF09CB">
        <w:rPr>
          <w:rFonts w:ascii="Palatino Linotype" w:hAnsi="Palatino Linotype" w:eastAsia="Arial" w:cs="Arial"/>
          <w:i/>
          <w:spacing w:val="-2"/>
          <w:sz w:val="20"/>
          <w:szCs w:val="20"/>
          <w:lang w:eastAsia="es-ES"/>
        </w:rPr>
        <w:t>e</w:t>
      </w:r>
      <w:r w:rsidRPr="00CF09CB">
        <w:rPr>
          <w:rFonts w:ascii="Palatino Linotype" w:hAnsi="Palatino Linotype" w:eastAsia="Arial" w:cs="Arial"/>
          <w:i/>
          <w:spacing w:val="1"/>
          <w:sz w:val="20"/>
          <w:szCs w:val="20"/>
          <w:lang w:eastAsia="es-ES"/>
        </w:rPr>
        <w:t>n</w:t>
      </w:r>
      <w:r w:rsidRPr="00CF09CB">
        <w:rPr>
          <w:rFonts w:ascii="Palatino Linotype" w:hAnsi="Palatino Linotype" w:eastAsia="Arial" w:cs="Arial"/>
          <w:i/>
          <w:sz w:val="20"/>
          <w:szCs w:val="20"/>
          <w:lang w:eastAsia="es-ES"/>
        </w:rPr>
        <w:t>cia y Acc</w:t>
      </w:r>
      <w:r w:rsidRPr="00CF09CB">
        <w:rPr>
          <w:rFonts w:ascii="Palatino Linotype" w:hAnsi="Palatino Linotype" w:eastAsia="Arial" w:cs="Arial"/>
          <w:i/>
          <w:spacing w:val="1"/>
          <w:sz w:val="20"/>
          <w:szCs w:val="20"/>
          <w:lang w:eastAsia="es-ES"/>
        </w:rPr>
        <w:t>e</w:t>
      </w:r>
      <w:r w:rsidRPr="00CF09CB">
        <w:rPr>
          <w:rFonts w:ascii="Palatino Linotype" w:hAnsi="Palatino Linotype" w:eastAsia="Arial" w:cs="Arial"/>
          <w:i/>
          <w:sz w:val="20"/>
          <w:szCs w:val="20"/>
          <w:lang w:eastAsia="es-ES"/>
        </w:rPr>
        <w:t>so a la I</w:t>
      </w:r>
      <w:r w:rsidRPr="00CF09CB">
        <w:rPr>
          <w:rFonts w:ascii="Palatino Linotype" w:hAnsi="Palatino Linotype" w:eastAsia="Arial" w:cs="Arial"/>
          <w:i/>
          <w:spacing w:val="-1"/>
          <w:sz w:val="20"/>
          <w:szCs w:val="20"/>
          <w:lang w:eastAsia="es-ES"/>
        </w:rPr>
        <w:t>n</w:t>
      </w:r>
      <w:r w:rsidRPr="00CF09CB">
        <w:rPr>
          <w:rFonts w:ascii="Palatino Linotype" w:hAnsi="Palatino Linotype" w:eastAsia="Arial" w:cs="Arial"/>
          <w:i/>
          <w:sz w:val="20"/>
          <w:szCs w:val="20"/>
          <w:lang w:eastAsia="es-ES"/>
        </w:rPr>
        <w:t>f</w:t>
      </w:r>
      <w:r w:rsidRPr="00CF09CB">
        <w:rPr>
          <w:rFonts w:ascii="Palatino Linotype" w:hAnsi="Palatino Linotype" w:eastAsia="Arial" w:cs="Arial"/>
          <w:i/>
          <w:spacing w:val="1"/>
          <w:sz w:val="20"/>
          <w:szCs w:val="20"/>
          <w:lang w:eastAsia="es-ES"/>
        </w:rPr>
        <w:t>o</w:t>
      </w:r>
      <w:r w:rsidRPr="00CF09CB">
        <w:rPr>
          <w:rFonts w:ascii="Palatino Linotype" w:hAnsi="Palatino Linotype" w:eastAsia="Arial" w:cs="Arial"/>
          <w:i/>
          <w:spacing w:val="-3"/>
          <w:sz w:val="20"/>
          <w:szCs w:val="20"/>
          <w:lang w:eastAsia="es-ES"/>
        </w:rPr>
        <w:t>r</w:t>
      </w:r>
      <w:r w:rsidRPr="00CF09CB">
        <w:rPr>
          <w:rFonts w:ascii="Palatino Linotype" w:hAnsi="Palatino Linotype" w:eastAsia="Arial" w:cs="Arial"/>
          <w:i/>
          <w:spacing w:val="1"/>
          <w:sz w:val="20"/>
          <w:szCs w:val="20"/>
          <w:lang w:eastAsia="es-ES"/>
        </w:rPr>
        <w:t>ma</w:t>
      </w:r>
      <w:r w:rsidRPr="00CF09CB">
        <w:rPr>
          <w:rFonts w:ascii="Palatino Linotype" w:hAnsi="Palatino Linotype" w:eastAsia="Arial" w:cs="Arial"/>
          <w:i/>
          <w:sz w:val="20"/>
          <w:szCs w:val="20"/>
          <w:lang w:eastAsia="es-ES"/>
        </w:rPr>
        <w:t>ci</w:t>
      </w:r>
      <w:r w:rsidRPr="00CF09CB">
        <w:rPr>
          <w:rFonts w:ascii="Palatino Linotype" w:hAnsi="Palatino Linotype" w:eastAsia="Arial" w:cs="Arial"/>
          <w:i/>
          <w:spacing w:val="-2"/>
          <w:sz w:val="20"/>
          <w:szCs w:val="20"/>
          <w:lang w:eastAsia="es-ES"/>
        </w:rPr>
        <w:t>ó</w:t>
      </w:r>
      <w:r w:rsidRPr="00CF09CB">
        <w:rPr>
          <w:rFonts w:ascii="Palatino Linotype" w:hAnsi="Palatino Linotype" w:eastAsia="Arial" w:cs="Arial"/>
          <w:i/>
          <w:sz w:val="20"/>
          <w:szCs w:val="20"/>
          <w:lang w:eastAsia="es-ES"/>
        </w:rPr>
        <w:t xml:space="preserve">n </w:t>
      </w:r>
      <w:r w:rsidRPr="00CF09CB">
        <w:rPr>
          <w:rFonts w:ascii="Palatino Linotype" w:hAnsi="Palatino Linotype" w:eastAsia="Arial" w:cs="Arial"/>
          <w:i/>
          <w:spacing w:val="-2"/>
          <w:sz w:val="20"/>
          <w:szCs w:val="20"/>
          <w:lang w:eastAsia="es-ES"/>
        </w:rPr>
        <w:t>P</w:t>
      </w:r>
      <w:r w:rsidRPr="00CF09CB">
        <w:rPr>
          <w:rFonts w:ascii="Palatino Linotype" w:hAnsi="Palatino Linotype" w:eastAsia="Arial" w:cs="Arial"/>
          <w:i/>
          <w:spacing w:val="1"/>
          <w:sz w:val="20"/>
          <w:szCs w:val="20"/>
          <w:lang w:eastAsia="es-ES"/>
        </w:rPr>
        <w:t>úb</w:t>
      </w:r>
      <w:r w:rsidRPr="00CF09CB">
        <w:rPr>
          <w:rFonts w:ascii="Palatino Linotype" w:hAnsi="Palatino Linotype" w:eastAsia="Arial" w:cs="Arial"/>
          <w:i/>
          <w:sz w:val="20"/>
          <w:szCs w:val="20"/>
          <w:lang w:eastAsia="es-ES"/>
        </w:rPr>
        <w:t>l</w:t>
      </w:r>
      <w:r w:rsidRPr="00CF09CB">
        <w:rPr>
          <w:rFonts w:ascii="Palatino Linotype" w:hAnsi="Palatino Linotype" w:eastAsia="Arial" w:cs="Arial"/>
          <w:i/>
          <w:spacing w:val="-1"/>
          <w:sz w:val="20"/>
          <w:szCs w:val="20"/>
          <w:lang w:eastAsia="es-ES"/>
        </w:rPr>
        <w:t>i</w:t>
      </w:r>
      <w:r w:rsidRPr="00CF09CB">
        <w:rPr>
          <w:rFonts w:ascii="Palatino Linotype" w:hAnsi="Palatino Linotype" w:eastAsia="Arial" w:cs="Arial"/>
          <w:i/>
          <w:sz w:val="20"/>
          <w:szCs w:val="20"/>
          <w:lang w:eastAsia="es-ES"/>
        </w:rPr>
        <w:t xml:space="preserve">ca y </w:t>
      </w:r>
      <w:r w:rsidRPr="00CF09CB">
        <w:rPr>
          <w:rFonts w:ascii="Palatino Linotype" w:hAnsi="Palatino Linotype" w:eastAsia="Arial" w:cs="Arial"/>
          <w:i/>
          <w:spacing w:val="8"/>
          <w:sz w:val="20"/>
          <w:szCs w:val="20"/>
          <w:lang w:eastAsia="es-ES"/>
        </w:rPr>
        <w:t xml:space="preserve">130, párrafo cuarto, </w:t>
      </w:r>
      <w:r w:rsidRPr="00CF09CB">
        <w:rPr>
          <w:rFonts w:ascii="Palatino Linotype" w:hAnsi="Palatino Linotype" w:eastAsia="Arial" w:cs="Arial"/>
          <w:i/>
          <w:spacing w:val="1"/>
          <w:sz w:val="20"/>
          <w:szCs w:val="20"/>
          <w:lang w:eastAsia="es-ES"/>
        </w:rPr>
        <w:t>d</w:t>
      </w:r>
      <w:r w:rsidRPr="00CF09CB">
        <w:rPr>
          <w:rFonts w:ascii="Palatino Linotype" w:hAnsi="Palatino Linotype" w:eastAsia="Arial" w:cs="Arial"/>
          <w:i/>
          <w:sz w:val="20"/>
          <w:szCs w:val="20"/>
          <w:lang w:eastAsia="es-ES"/>
        </w:rPr>
        <w:t xml:space="preserve">e la </w:t>
      </w:r>
      <w:r w:rsidRPr="00CF09CB">
        <w:rPr>
          <w:rFonts w:ascii="Palatino Linotype" w:hAnsi="Palatino Linotype" w:eastAsia="Arial" w:cs="Arial"/>
          <w:i/>
          <w:spacing w:val="-1"/>
          <w:sz w:val="20"/>
          <w:szCs w:val="20"/>
          <w:lang w:eastAsia="es-ES"/>
        </w:rPr>
        <w:t>L</w:t>
      </w:r>
      <w:r w:rsidRPr="00CF09CB">
        <w:rPr>
          <w:rFonts w:ascii="Palatino Linotype" w:hAnsi="Palatino Linotype" w:eastAsia="Arial" w:cs="Arial"/>
          <w:i/>
          <w:spacing w:val="1"/>
          <w:sz w:val="20"/>
          <w:szCs w:val="20"/>
          <w:lang w:eastAsia="es-ES"/>
        </w:rPr>
        <w:t>e</w:t>
      </w:r>
      <w:r w:rsidRPr="00CF09CB">
        <w:rPr>
          <w:rFonts w:ascii="Palatino Linotype" w:hAnsi="Palatino Linotype" w:eastAsia="Arial" w:cs="Arial"/>
          <w:i/>
          <w:sz w:val="20"/>
          <w:szCs w:val="20"/>
          <w:lang w:eastAsia="es-ES"/>
        </w:rPr>
        <w:t>y Fe</w:t>
      </w:r>
      <w:r w:rsidRPr="00CF09CB">
        <w:rPr>
          <w:rFonts w:ascii="Palatino Linotype" w:hAnsi="Palatino Linotype" w:eastAsia="Arial" w:cs="Arial"/>
          <w:i/>
          <w:spacing w:val="1"/>
          <w:sz w:val="20"/>
          <w:szCs w:val="20"/>
          <w:lang w:eastAsia="es-ES"/>
        </w:rPr>
        <w:t>de</w:t>
      </w:r>
      <w:r w:rsidRPr="00CF09CB">
        <w:rPr>
          <w:rFonts w:ascii="Palatino Linotype" w:hAnsi="Palatino Linotype" w:eastAsia="Arial" w:cs="Arial"/>
          <w:i/>
          <w:sz w:val="20"/>
          <w:szCs w:val="20"/>
          <w:lang w:eastAsia="es-ES"/>
        </w:rPr>
        <w:t xml:space="preserve">ral </w:t>
      </w:r>
      <w:r w:rsidRPr="00CF09CB">
        <w:rPr>
          <w:rFonts w:ascii="Palatino Linotype" w:hAnsi="Palatino Linotype" w:eastAsia="Arial" w:cs="Arial"/>
          <w:i/>
          <w:spacing w:val="-1"/>
          <w:sz w:val="20"/>
          <w:szCs w:val="20"/>
          <w:lang w:eastAsia="es-ES"/>
        </w:rPr>
        <w:t>d</w:t>
      </w:r>
      <w:r w:rsidRPr="00CF09CB">
        <w:rPr>
          <w:rFonts w:ascii="Palatino Linotype" w:hAnsi="Palatino Linotype" w:eastAsia="Arial" w:cs="Arial"/>
          <w:i/>
          <w:sz w:val="20"/>
          <w:szCs w:val="20"/>
          <w:lang w:eastAsia="es-ES"/>
        </w:rPr>
        <w:t xml:space="preserve">e </w:t>
      </w:r>
      <w:r w:rsidRPr="00CF09CB">
        <w:rPr>
          <w:rFonts w:ascii="Palatino Linotype" w:hAnsi="Palatino Linotype" w:eastAsia="Arial" w:cs="Arial"/>
          <w:i/>
          <w:spacing w:val="2"/>
          <w:sz w:val="20"/>
          <w:szCs w:val="20"/>
          <w:lang w:eastAsia="es-ES"/>
        </w:rPr>
        <w:t>T</w:t>
      </w:r>
      <w:r w:rsidRPr="00CF09CB">
        <w:rPr>
          <w:rFonts w:ascii="Palatino Linotype" w:hAnsi="Palatino Linotype" w:eastAsia="Arial" w:cs="Arial"/>
          <w:i/>
          <w:sz w:val="20"/>
          <w:szCs w:val="20"/>
          <w:lang w:eastAsia="es-ES"/>
        </w:rPr>
        <w:t>r</w:t>
      </w:r>
      <w:r w:rsidRPr="00CF09CB">
        <w:rPr>
          <w:rFonts w:ascii="Palatino Linotype" w:hAnsi="Palatino Linotype" w:eastAsia="Arial" w:cs="Arial"/>
          <w:i/>
          <w:spacing w:val="-2"/>
          <w:sz w:val="20"/>
          <w:szCs w:val="20"/>
          <w:lang w:eastAsia="es-ES"/>
        </w:rPr>
        <w:t>a</w:t>
      </w:r>
      <w:r w:rsidRPr="00CF09CB">
        <w:rPr>
          <w:rFonts w:ascii="Palatino Linotype" w:hAnsi="Palatino Linotype" w:eastAsia="Arial" w:cs="Arial"/>
          <w:i/>
          <w:spacing w:val="1"/>
          <w:sz w:val="20"/>
          <w:szCs w:val="20"/>
          <w:lang w:eastAsia="es-ES"/>
        </w:rPr>
        <w:t>n</w:t>
      </w:r>
      <w:r w:rsidRPr="00CF09CB">
        <w:rPr>
          <w:rFonts w:ascii="Palatino Linotype" w:hAnsi="Palatino Linotype" w:eastAsia="Arial" w:cs="Arial"/>
          <w:i/>
          <w:sz w:val="20"/>
          <w:szCs w:val="20"/>
          <w:lang w:eastAsia="es-ES"/>
        </w:rPr>
        <w:t>s</w:t>
      </w:r>
      <w:r w:rsidRPr="00CF09CB">
        <w:rPr>
          <w:rFonts w:ascii="Palatino Linotype" w:hAnsi="Palatino Linotype" w:eastAsia="Arial" w:cs="Arial"/>
          <w:i/>
          <w:spacing w:val="1"/>
          <w:sz w:val="20"/>
          <w:szCs w:val="20"/>
          <w:lang w:eastAsia="es-ES"/>
        </w:rPr>
        <w:t>pa</w:t>
      </w:r>
      <w:r w:rsidRPr="00CF09CB">
        <w:rPr>
          <w:rFonts w:ascii="Palatino Linotype" w:hAnsi="Palatino Linotype" w:eastAsia="Arial" w:cs="Arial"/>
          <w:i/>
          <w:sz w:val="20"/>
          <w:szCs w:val="20"/>
          <w:lang w:eastAsia="es-ES"/>
        </w:rPr>
        <w:t>r</w:t>
      </w:r>
      <w:r w:rsidRPr="00CF09CB">
        <w:rPr>
          <w:rFonts w:ascii="Palatino Linotype" w:hAnsi="Palatino Linotype" w:eastAsia="Arial" w:cs="Arial"/>
          <w:i/>
          <w:spacing w:val="-2"/>
          <w:sz w:val="20"/>
          <w:szCs w:val="20"/>
          <w:lang w:eastAsia="es-ES"/>
        </w:rPr>
        <w:t>e</w:t>
      </w:r>
      <w:r w:rsidRPr="00CF09CB">
        <w:rPr>
          <w:rFonts w:ascii="Palatino Linotype" w:hAnsi="Palatino Linotype" w:eastAsia="Arial" w:cs="Arial"/>
          <w:i/>
          <w:spacing w:val="1"/>
          <w:sz w:val="20"/>
          <w:szCs w:val="20"/>
          <w:lang w:eastAsia="es-ES"/>
        </w:rPr>
        <w:t>n</w:t>
      </w:r>
      <w:r w:rsidRPr="00CF09CB">
        <w:rPr>
          <w:rFonts w:ascii="Palatino Linotype" w:hAnsi="Palatino Linotype" w:eastAsia="Arial" w:cs="Arial"/>
          <w:i/>
          <w:sz w:val="20"/>
          <w:szCs w:val="20"/>
          <w:lang w:eastAsia="es-ES"/>
        </w:rPr>
        <w:t>cia y Acc</w:t>
      </w:r>
      <w:r w:rsidRPr="00CF09CB">
        <w:rPr>
          <w:rFonts w:ascii="Palatino Linotype" w:hAnsi="Palatino Linotype" w:eastAsia="Arial" w:cs="Arial"/>
          <w:i/>
          <w:spacing w:val="1"/>
          <w:sz w:val="20"/>
          <w:szCs w:val="20"/>
          <w:lang w:eastAsia="es-ES"/>
        </w:rPr>
        <w:t>e</w:t>
      </w:r>
      <w:r w:rsidRPr="00CF09CB">
        <w:rPr>
          <w:rFonts w:ascii="Palatino Linotype" w:hAnsi="Palatino Linotype" w:eastAsia="Arial" w:cs="Arial"/>
          <w:i/>
          <w:sz w:val="20"/>
          <w:szCs w:val="20"/>
          <w:lang w:eastAsia="es-ES"/>
        </w:rPr>
        <w:t xml:space="preserve">so a la </w:t>
      </w:r>
      <w:r w:rsidRPr="00CF09CB">
        <w:rPr>
          <w:rFonts w:ascii="Palatino Linotype" w:hAnsi="Palatino Linotype" w:eastAsia="Arial" w:cs="Arial"/>
          <w:i/>
          <w:sz w:val="20"/>
          <w:szCs w:val="20"/>
          <w:lang w:eastAsia="es-ES"/>
        </w:rPr>
        <w:lastRenderedPageBreak/>
        <w:t>I</w:t>
      </w:r>
      <w:r w:rsidRPr="00CF09CB">
        <w:rPr>
          <w:rFonts w:ascii="Palatino Linotype" w:hAnsi="Palatino Linotype" w:eastAsia="Arial" w:cs="Arial"/>
          <w:i/>
          <w:spacing w:val="-1"/>
          <w:sz w:val="20"/>
          <w:szCs w:val="20"/>
          <w:lang w:eastAsia="es-ES"/>
        </w:rPr>
        <w:t>n</w:t>
      </w:r>
      <w:r w:rsidRPr="00CF09CB">
        <w:rPr>
          <w:rFonts w:ascii="Palatino Linotype" w:hAnsi="Palatino Linotype" w:eastAsia="Arial" w:cs="Arial"/>
          <w:i/>
          <w:sz w:val="20"/>
          <w:szCs w:val="20"/>
          <w:lang w:eastAsia="es-ES"/>
        </w:rPr>
        <w:t>f</w:t>
      </w:r>
      <w:r w:rsidRPr="00CF09CB">
        <w:rPr>
          <w:rFonts w:ascii="Palatino Linotype" w:hAnsi="Palatino Linotype" w:eastAsia="Arial" w:cs="Arial"/>
          <w:i/>
          <w:spacing w:val="1"/>
          <w:sz w:val="20"/>
          <w:szCs w:val="20"/>
          <w:lang w:eastAsia="es-ES"/>
        </w:rPr>
        <w:t>o</w:t>
      </w:r>
      <w:r w:rsidRPr="00CF09CB">
        <w:rPr>
          <w:rFonts w:ascii="Palatino Linotype" w:hAnsi="Palatino Linotype" w:eastAsia="Arial" w:cs="Arial"/>
          <w:i/>
          <w:spacing w:val="-3"/>
          <w:sz w:val="20"/>
          <w:szCs w:val="20"/>
          <w:lang w:eastAsia="es-ES"/>
        </w:rPr>
        <w:t>r</w:t>
      </w:r>
      <w:r w:rsidRPr="00CF09CB">
        <w:rPr>
          <w:rFonts w:ascii="Palatino Linotype" w:hAnsi="Palatino Linotype" w:eastAsia="Arial" w:cs="Arial"/>
          <w:i/>
          <w:spacing w:val="1"/>
          <w:sz w:val="20"/>
          <w:szCs w:val="20"/>
          <w:lang w:eastAsia="es-ES"/>
        </w:rPr>
        <w:t>ma</w:t>
      </w:r>
      <w:r w:rsidRPr="00CF09CB">
        <w:rPr>
          <w:rFonts w:ascii="Palatino Linotype" w:hAnsi="Palatino Linotype" w:eastAsia="Arial" w:cs="Arial"/>
          <w:i/>
          <w:sz w:val="20"/>
          <w:szCs w:val="20"/>
          <w:lang w:eastAsia="es-ES"/>
        </w:rPr>
        <w:t>ci</w:t>
      </w:r>
      <w:r w:rsidRPr="00CF09CB">
        <w:rPr>
          <w:rFonts w:ascii="Palatino Linotype" w:hAnsi="Palatino Linotype" w:eastAsia="Arial" w:cs="Arial"/>
          <w:i/>
          <w:spacing w:val="-2"/>
          <w:sz w:val="20"/>
          <w:szCs w:val="20"/>
          <w:lang w:eastAsia="es-ES"/>
        </w:rPr>
        <w:t>ó</w:t>
      </w:r>
      <w:r w:rsidRPr="00CF09CB">
        <w:rPr>
          <w:rFonts w:ascii="Palatino Linotype" w:hAnsi="Palatino Linotype" w:eastAsia="Arial" w:cs="Arial"/>
          <w:i/>
          <w:sz w:val="20"/>
          <w:szCs w:val="20"/>
          <w:lang w:eastAsia="es-ES"/>
        </w:rPr>
        <w:t xml:space="preserve">n </w:t>
      </w:r>
      <w:r w:rsidRPr="00CF09CB">
        <w:rPr>
          <w:rFonts w:ascii="Palatino Linotype" w:hAnsi="Palatino Linotype" w:eastAsia="Arial" w:cs="Arial"/>
          <w:i/>
          <w:spacing w:val="-2"/>
          <w:sz w:val="20"/>
          <w:szCs w:val="20"/>
          <w:lang w:eastAsia="es-ES"/>
        </w:rPr>
        <w:t>P</w:t>
      </w:r>
      <w:r w:rsidRPr="00CF09CB">
        <w:rPr>
          <w:rFonts w:ascii="Palatino Linotype" w:hAnsi="Palatino Linotype" w:eastAsia="Arial" w:cs="Arial"/>
          <w:i/>
          <w:spacing w:val="1"/>
          <w:sz w:val="20"/>
          <w:szCs w:val="20"/>
          <w:lang w:eastAsia="es-ES"/>
        </w:rPr>
        <w:t>úb</w:t>
      </w:r>
      <w:r w:rsidRPr="00CF09CB">
        <w:rPr>
          <w:rFonts w:ascii="Palatino Linotype" w:hAnsi="Palatino Linotype" w:eastAsia="Arial" w:cs="Arial"/>
          <w:i/>
          <w:sz w:val="20"/>
          <w:szCs w:val="20"/>
          <w:lang w:eastAsia="es-ES"/>
        </w:rPr>
        <w:t>l</w:t>
      </w:r>
      <w:r w:rsidRPr="00CF09CB">
        <w:rPr>
          <w:rFonts w:ascii="Palatino Linotype" w:hAnsi="Palatino Linotype" w:eastAsia="Arial" w:cs="Arial"/>
          <w:i/>
          <w:spacing w:val="-1"/>
          <w:sz w:val="20"/>
          <w:szCs w:val="20"/>
          <w:lang w:eastAsia="es-ES"/>
        </w:rPr>
        <w:t>i</w:t>
      </w:r>
      <w:r w:rsidRPr="00CF09CB">
        <w:rPr>
          <w:rFonts w:ascii="Palatino Linotype" w:hAnsi="Palatino Linotype" w:eastAsia="Arial" w:cs="Arial"/>
          <w:i/>
          <w:sz w:val="20"/>
          <w:szCs w:val="20"/>
          <w:lang w:eastAsia="es-ES"/>
        </w:rPr>
        <w:t xml:space="preserve">ca, </w:t>
      </w:r>
      <w:r w:rsidRPr="00CF09CB">
        <w:rPr>
          <w:rFonts w:ascii="Palatino Linotype" w:hAnsi="Palatino Linotype" w:eastAsia="Arial" w:cs="Arial"/>
          <w:i/>
          <w:spacing w:val="-1"/>
          <w:sz w:val="20"/>
          <w:szCs w:val="20"/>
          <w:lang w:eastAsia="es-ES"/>
        </w:rPr>
        <w:t>señalan q</w:t>
      </w:r>
      <w:r w:rsidRPr="00CF09CB">
        <w:rPr>
          <w:rFonts w:ascii="Palatino Linotype" w:hAnsi="Palatino Linotype" w:eastAsia="Arial" w:cs="Arial"/>
          <w:i/>
          <w:spacing w:val="1"/>
          <w:sz w:val="20"/>
          <w:szCs w:val="20"/>
          <w:lang w:eastAsia="es-ES"/>
        </w:rPr>
        <w:t>u</w:t>
      </w:r>
      <w:r w:rsidRPr="00CF09CB">
        <w:rPr>
          <w:rFonts w:ascii="Palatino Linotype" w:hAnsi="Palatino Linotype" w:eastAsia="Arial" w:cs="Arial"/>
          <w:i/>
          <w:sz w:val="20"/>
          <w:szCs w:val="20"/>
          <w:lang w:eastAsia="es-ES"/>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CF09CB">
        <w:rPr>
          <w:rFonts w:ascii="Palatino Linotype" w:hAnsi="Palatino Linotype" w:eastAsia="Arial" w:cs="Arial"/>
          <w:i/>
          <w:spacing w:val="-1"/>
          <w:sz w:val="20"/>
          <w:szCs w:val="20"/>
          <w:lang w:eastAsia="es-ES"/>
        </w:rPr>
        <w:t xml:space="preserve"> sin necesidad de</w:t>
      </w:r>
      <w:r w:rsidRPr="00CF09CB">
        <w:rPr>
          <w:rFonts w:ascii="Palatino Linotype" w:hAnsi="Palatino Linotype" w:eastAsia="Arial" w:cs="Arial"/>
          <w:i/>
          <w:spacing w:val="1"/>
          <w:sz w:val="20"/>
          <w:szCs w:val="20"/>
          <w:lang w:eastAsia="es-ES"/>
        </w:rPr>
        <w:t xml:space="preserve"> e</w:t>
      </w:r>
      <w:r w:rsidRPr="00CF09CB">
        <w:rPr>
          <w:rFonts w:ascii="Palatino Linotype" w:hAnsi="Palatino Linotype" w:eastAsia="Arial" w:cs="Arial"/>
          <w:i/>
          <w:sz w:val="20"/>
          <w:szCs w:val="20"/>
          <w:lang w:eastAsia="es-ES"/>
        </w:rPr>
        <w:t>la</w:t>
      </w:r>
      <w:r w:rsidRPr="00CF09CB">
        <w:rPr>
          <w:rFonts w:ascii="Palatino Linotype" w:hAnsi="Palatino Linotype" w:eastAsia="Arial" w:cs="Arial"/>
          <w:i/>
          <w:spacing w:val="1"/>
          <w:sz w:val="20"/>
          <w:szCs w:val="20"/>
          <w:lang w:eastAsia="es-ES"/>
        </w:rPr>
        <w:t>bo</w:t>
      </w:r>
      <w:r w:rsidRPr="00CF09CB">
        <w:rPr>
          <w:rFonts w:ascii="Palatino Linotype" w:hAnsi="Palatino Linotype" w:eastAsia="Arial" w:cs="Arial"/>
          <w:i/>
          <w:sz w:val="20"/>
          <w:szCs w:val="20"/>
          <w:lang w:eastAsia="es-ES"/>
        </w:rPr>
        <w:t xml:space="preserve">rar </w:t>
      </w:r>
      <w:r w:rsidRPr="00CF09CB">
        <w:rPr>
          <w:rFonts w:ascii="Palatino Linotype" w:hAnsi="Palatino Linotype" w:eastAsia="Arial" w:cs="Arial"/>
          <w:i/>
          <w:spacing w:val="1"/>
          <w:sz w:val="20"/>
          <w:szCs w:val="20"/>
          <w:lang w:eastAsia="es-ES"/>
        </w:rPr>
        <w:t>do</w:t>
      </w:r>
      <w:r w:rsidRPr="00CF09CB">
        <w:rPr>
          <w:rFonts w:ascii="Palatino Linotype" w:hAnsi="Palatino Linotype" w:eastAsia="Arial" w:cs="Arial"/>
          <w:i/>
          <w:spacing w:val="-2"/>
          <w:sz w:val="20"/>
          <w:szCs w:val="20"/>
          <w:lang w:eastAsia="es-ES"/>
        </w:rPr>
        <w:t>c</w:t>
      </w:r>
      <w:r w:rsidRPr="00CF09CB">
        <w:rPr>
          <w:rFonts w:ascii="Palatino Linotype" w:hAnsi="Palatino Linotype" w:eastAsia="Arial" w:cs="Arial"/>
          <w:i/>
          <w:spacing w:val="1"/>
          <w:sz w:val="20"/>
          <w:szCs w:val="20"/>
          <w:lang w:eastAsia="es-ES"/>
        </w:rPr>
        <w:t>u</w:t>
      </w:r>
      <w:r w:rsidRPr="00CF09CB">
        <w:rPr>
          <w:rFonts w:ascii="Palatino Linotype" w:hAnsi="Palatino Linotype" w:eastAsia="Arial" w:cs="Arial"/>
          <w:i/>
          <w:spacing w:val="-1"/>
          <w:sz w:val="20"/>
          <w:szCs w:val="20"/>
          <w:lang w:eastAsia="es-ES"/>
        </w:rPr>
        <w:t>m</w:t>
      </w:r>
      <w:r w:rsidRPr="00CF09CB">
        <w:rPr>
          <w:rFonts w:ascii="Palatino Linotype" w:hAnsi="Palatino Linotype" w:eastAsia="Arial" w:cs="Arial"/>
          <w:i/>
          <w:spacing w:val="1"/>
          <w:sz w:val="20"/>
          <w:szCs w:val="20"/>
          <w:lang w:eastAsia="es-ES"/>
        </w:rPr>
        <w:t>en</w:t>
      </w:r>
      <w:r w:rsidRPr="00CF09CB">
        <w:rPr>
          <w:rFonts w:ascii="Palatino Linotype" w:hAnsi="Palatino Linotype" w:eastAsia="Arial" w:cs="Arial"/>
          <w:i/>
          <w:spacing w:val="-2"/>
          <w:sz w:val="20"/>
          <w:szCs w:val="20"/>
          <w:lang w:eastAsia="es-ES"/>
        </w:rPr>
        <w:t>t</w:t>
      </w:r>
      <w:r w:rsidRPr="00CF09CB">
        <w:rPr>
          <w:rFonts w:ascii="Palatino Linotype" w:hAnsi="Palatino Linotype" w:eastAsia="Arial" w:cs="Arial"/>
          <w:i/>
          <w:spacing w:val="1"/>
          <w:sz w:val="20"/>
          <w:szCs w:val="20"/>
          <w:lang w:eastAsia="es-ES"/>
        </w:rPr>
        <w:t>o</w:t>
      </w:r>
      <w:r w:rsidRPr="00CF09CB">
        <w:rPr>
          <w:rFonts w:ascii="Palatino Linotype" w:hAnsi="Palatino Linotype" w:eastAsia="Arial" w:cs="Arial"/>
          <w:i/>
          <w:sz w:val="20"/>
          <w:szCs w:val="20"/>
          <w:lang w:eastAsia="es-ES"/>
        </w:rPr>
        <w:t xml:space="preserve">s </w:t>
      </w:r>
      <w:r w:rsidRPr="00CF09CB">
        <w:rPr>
          <w:rFonts w:ascii="Palatino Linotype" w:hAnsi="Palatino Linotype" w:eastAsia="Arial" w:cs="Arial"/>
          <w:i/>
          <w:spacing w:val="1"/>
          <w:sz w:val="20"/>
          <w:szCs w:val="20"/>
          <w:lang w:eastAsia="es-ES"/>
        </w:rPr>
        <w:t>a</w:t>
      </w:r>
      <w:r w:rsidRPr="00CF09CB">
        <w:rPr>
          <w:rFonts w:ascii="Palatino Linotype" w:hAnsi="Palatino Linotype" w:eastAsia="Arial" w:cs="Arial"/>
          <w:i/>
          <w:sz w:val="20"/>
          <w:szCs w:val="20"/>
          <w:lang w:eastAsia="es-ES"/>
        </w:rPr>
        <w:t>d</w:t>
      </w:r>
      <w:r w:rsidRPr="00CF09CB">
        <w:rPr>
          <w:rFonts w:ascii="Palatino Linotype" w:hAnsi="Palatino Linotype" w:eastAsia="Arial" w:cs="Arial"/>
          <w:i/>
          <w:spacing w:val="1"/>
          <w:sz w:val="20"/>
          <w:szCs w:val="20"/>
          <w:lang w:eastAsia="es-ES"/>
        </w:rPr>
        <w:t xml:space="preserve"> ho</w:t>
      </w:r>
      <w:r w:rsidRPr="00CF09CB">
        <w:rPr>
          <w:rFonts w:ascii="Palatino Linotype" w:hAnsi="Palatino Linotype" w:eastAsia="Arial" w:cs="Arial"/>
          <w:i/>
          <w:sz w:val="20"/>
          <w:szCs w:val="20"/>
          <w:lang w:eastAsia="es-ES"/>
        </w:rPr>
        <w:t xml:space="preserve">c </w:t>
      </w:r>
      <w:r w:rsidRPr="00CF09CB">
        <w:rPr>
          <w:rFonts w:ascii="Palatino Linotype" w:hAnsi="Palatino Linotype" w:eastAsia="Arial" w:cs="Arial"/>
          <w:i/>
          <w:spacing w:val="1"/>
          <w:sz w:val="20"/>
          <w:szCs w:val="20"/>
          <w:lang w:eastAsia="es-ES"/>
        </w:rPr>
        <w:t>pa</w:t>
      </w:r>
      <w:r w:rsidRPr="00CF09CB">
        <w:rPr>
          <w:rFonts w:ascii="Palatino Linotype" w:hAnsi="Palatino Linotype" w:eastAsia="Arial" w:cs="Arial"/>
          <w:i/>
          <w:sz w:val="20"/>
          <w:szCs w:val="20"/>
          <w:lang w:eastAsia="es-ES"/>
        </w:rPr>
        <w:t xml:space="preserve">ra </w:t>
      </w:r>
      <w:r w:rsidRPr="00CF09CB">
        <w:rPr>
          <w:rFonts w:ascii="Palatino Linotype" w:hAnsi="Palatino Linotype" w:eastAsia="Arial" w:cs="Arial"/>
          <w:i/>
          <w:spacing w:val="1"/>
          <w:sz w:val="20"/>
          <w:szCs w:val="20"/>
          <w:lang w:eastAsia="es-ES"/>
        </w:rPr>
        <w:t>a</w:t>
      </w:r>
      <w:r w:rsidRPr="00CF09CB">
        <w:rPr>
          <w:rFonts w:ascii="Palatino Linotype" w:hAnsi="Palatino Linotype" w:eastAsia="Arial" w:cs="Arial"/>
          <w:i/>
          <w:sz w:val="20"/>
          <w:szCs w:val="20"/>
          <w:lang w:eastAsia="es-ES"/>
        </w:rPr>
        <w:t>t</w:t>
      </w:r>
      <w:r w:rsidRPr="00CF09CB">
        <w:rPr>
          <w:rFonts w:ascii="Palatino Linotype" w:hAnsi="Palatino Linotype" w:eastAsia="Arial" w:cs="Arial"/>
          <w:i/>
          <w:spacing w:val="-1"/>
          <w:sz w:val="20"/>
          <w:szCs w:val="20"/>
          <w:lang w:eastAsia="es-ES"/>
        </w:rPr>
        <w:t>e</w:t>
      </w:r>
      <w:r w:rsidRPr="00CF09CB">
        <w:rPr>
          <w:rFonts w:ascii="Palatino Linotype" w:hAnsi="Palatino Linotype" w:eastAsia="Arial" w:cs="Arial"/>
          <w:i/>
          <w:spacing w:val="1"/>
          <w:sz w:val="20"/>
          <w:szCs w:val="20"/>
          <w:lang w:eastAsia="es-ES"/>
        </w:rPr>
        <w:t>n</w:t>
      </w:r>
      <w:r w:rsidRPr="00CF09CB">
        <w:rPr>
          <w:rFonts w:ascii="Palatino Linotype" w:hAnsi="Palatino Linotype" w:eastAsia="Arial" w:cs="Arial"/>
          <w:i/>
          <w:spacing w:val="-1"/>
          <w:sz w:val="20"/>
          <w:szCs w:val="20"/>
          <w:lang w:eastAsia="es-ES"/>
        </w:rPr>
        <w:t>d</w:t>
      </w:r>
      <w:r w:rsidRPr="00CF09CB">
        <w:rPr>
          <w:rFonts w:ascii="Palatino Linotype" w:hAnsi="Palatino Linotype" w:eastAsia="Arial" w:cs="Arial"/>
          <w:i/>
          <w:spacing w:val="1"/>
          <w:sz w:val="20"/>
          <w:szCs w:val="20"/>
          <w:lang w:eastAsia="es-ES"/>
        </w:rPr>
        <w:t>e</w:t>
      </w:r>
      <w:r w:rsidRPr="00CF09CB">
        <w:rPr>
          <w:rFonts w:ascii="Palatino Linotype" w:hAnsi="Palatino Linotype" w:eastAsia="Arial" w:cs="Arial"/>
          <w:i/>
          <w:sz w:val="20"/>
          <w:szCs w:val="20"/>
          <w:lang w:eastAsia="es-ES"/>
        </w:rPr>
        <w:t>r l</w:t>
      </w:r>
      <w:r w:rsidRPr="00CF09CB">
        <w:rPr>
          <w:rFonts w:ascii="Palatino Linotype" w:hAnsi="Palatino Linotype" w:eastAsia="Arial" w:cs="Arial"/>
          <w:i/>
          <w:spacing w:val="-2"/>
          <w:sz w:val="20"/>
          <w:szCs w:val="20"/>
          <w:lang w:eastAsia="es-ES"/>
        </w:rPr>
        <w:t>a</w:t>
      </w:r>
      <w:r w:rsidRPr="00CF09CB">
        <w:rPr>
          <w:rFonts w:ascii="Palatino Linotype" w:hAnsi="Palatino Linotype" w:eastAsia="Arial" w:cs="Arial"/>
          <w:i/>
          <w:sz w:val="20"/>
          <w:szCs w:val="20"/>
          <w:lang w:eastAsia="es-ES"/>
        </w:rPr>
        <w:t>s s</w:t>
      </w:r>
      <w:r w:rsidRPr="00CF09CB">
        <w:rPr>
          <w:rFonts w:ascii="Palatino Linotype" w:hAnsi="Palatino Linotype" w:eastAsia="Arial" w:cs="Arial"/>
          <w:i/>
          <w:spacing w:val="1"/>
          <w:sz w:val="20"/>
          <w:szCs w:val="20"/>
          <w:lang w:eastAsia="es-ES"/>
        </w:rPr>
        <w:t>o</w:t>
      </w:r>
      <w:r w:rsidRPr="00CF09CB">
        <w:rPr>
          <w:rFonts w:ascii="Palatino Linotype" w:hAnsi="Palatino Linotype" w:eastAsia="Arial" w:cs="Arial"/>
          <w:i/>
          <w:sz w:val="20"/>
          <w:szCs w:val="20"/>
          <w:lang w:eastAsia="es-ES"/>
        </w:rPr>
        <w:t>l</w:t>
      </w:r>
      <w:r w:rsidRPr="00CF09CB">
        <w:rPr>
          <w:rFonts w:ascii="Palatino Linotype" w:hAnsi="Palatino Linotype" w:eastAsia="Arial" w:cs="Arial"/>
          <w:i/>
          <w:spacing w:val="-1"/>
          <w:sz w:val="20"/>
          <w:szCs w:val="20"/>
          <w:lang w:eastAsia="es-ES"/>
        </w:rPr>
        <w:t>i</w:t>
      </w:r>
      <w:r w:rsidRPr="00CF09CB">
        <w:rPr>
          <w:rFonts w:ascii="Palatino Linotype" w:hAnsi="Palatino Linotype" w:eastAsia="Arial" w:cs="Arial"/>
          <w:i/>
          <w:sz w:val="20"/>
          <w:szCs w:val="20"/>
          <w:lang w:eastAsia="es-ES"/>
        </w:rPr>
        <w:t>cit</w:t>
      </w:r>
      <w:r w:rsidRPr="00CF09CB">
        <w:rPr>
          <w:rFonts w:ascii="Palatino Linotype" w:hAnsi="Palatino Linotype" w:eastAsia="Arial" w:cs="Arial"/>
          <w:i/>
          <w:spacing w:val="1"/>
          <w:sz w:val="20"/>
          <w:szCs w:val="20"/>
          <w:lang w:eastAsia="es-ES"/>
        </w:rPr>
        <w:t>ude</w:t>
      </w:r>
      <w:r w:rsidRPr="00CF09CB">
        <w:rPr>
          <w:rFonts w:ascii="Palatino Linotype" w:hAnsi="Palatino Linotype" w:eastAsia="Arial" w:cs="Arial"/>
          <w:i/>
          <w:sz w:val="20"/>
          <w:szCs w:val="20"/>
          <w:lang w:eastAsia="es-ES"/>
        </w:rPr>
        <w:t xml:space="preserve">s </w:t>
      </w:r>
      <w:r w:rsidRPr="00CF09CB">
        <w:rPr>
          <w:rFonts w:ascii="Palatino Linotype" w:hAnsi="Palatino Linotype" w:eastAsia="Arial" w:cs="Arial"/>
          <w:i/>
          <w:spacing w:val="-1"/>
          <w:sz w:val="20"/>
          <w:szCs w:val="20"/>
          <w:lang w:eastAsia="es-ES"/>
        </w:rPr>
        <w:t>d</w:t>
      </w:r>
      <w:r w:rsidRPr="00CF09CB">
        <w:rPr>
          <w:rFonts w:ascii="Palatino Linotype" w:hAnsi="Palatino Linotype" w:eastAsia="Arial" w:cs="Arial"/>
          <w:i/>
          <w:sz w:val="20"/>
          <w:szCs w:val="20"/>
          <w:lang w:eastAsia="es-ES"/>
        </w:rPr>
        <w:t>e i</w:t>
      </w:r>
      <w:r w:rsidRPr="00CF09CB">
        <w:rPr>
          <w:rFonts w:ascii="Palatino Linotype" w:hAnsi="Palatino Linotype" w:eastAsia="Arial" w:cs="Arial"/>
          <w:i/>
          <w:spacing w:val="-2"/>
          <w:sz w:val="20"/>
          <w:szCs w:val="20"/>
          <w:lang w:eastAsia="es-ES"/>
        </w:rPr>
        <w:t>n</w:t>
      </w:r>
      <w:r w:rsidRPr="00CF09CB">
        <w:rPr>
          <w:rFonts w:ascii="Palatino Linotype" w:hAnsi="Palatino Linotype" w:eastAsia="Arial" w:cs="Arial"/>
          <w:i/>
          <w:sz w:val="20"/>
          <w:szCs w:val="20"/>
          <w:lang w:eastAsia="es-ES"/>
        </w:rPr>
        <w:t>f</w:t>
      </w:r>
      <w:r w:rsidRPr="00CF09CB">
        <w:rPr>
          <w:rFonts w:ascii="Palatino Linotype" w:hAnsi="Palatino Linotype" w:eastAsia="Arial" w:cs="Arial"/>
          <w:i/>
          <w:spacing w:val="1"/>
          <w:sz w:val="20"/>
          <w:szCs w:val="20"/>
          <w:lang w:eastAsia="es-ES"/>
        </w:rPr>
        <w:t>o</w:t>
      </w:r>
      <w:r w:rsidRPr="00CF09CB">
        <w:rPr>
          <w:rFonts w:ascii="Palatino Linotype" w:hAnsi="Palatino Linotype" w:eastAsia="Arial" w:cs="Arial"/>
          <w:i/>
          <w:sz w:val="20"/>
          <w:szCs w:val="20"/>
          <w:lang w:eastAsia="es-ES"/>
        </w:rPr>
        <w:t>r</w:t>
      </w:r>
      <w:r w:rsidRPr="00CF09CB">
        <w:rPr>
          <w:rFonts w:ascii="Palatino Linotype" w:hAnsi="Palatino Linotype" w:eastAsia="Arial" w:cs="Arial"/>
          <w:i/>
          <w:spacing w:val="-1"/>
          <w:sz w:val="20"/>
          <w:szCs w:val="20"/>
          <w:lang w:eastAsia="es-ES"/>
        </w:rPr>
        <w:t>m</w:t>
      </w:r>
      <w:r w:rsidRPr="00CF09CB">
        <w:rPr>
          <w:rFonts w:ascii="Palatino Linotype" w:hAnsi="Palatino Linotype" w:eastAsia="Arial" w:cs="Arial"/>
          <w:i/>
          <w:spacing w:val="1"/>
          <w:sz w:val="20"/>
          <w:szCs w:val="20"/>
          <w:lang w:eastAsia="es-ES"/>
        </w:rPr>
        <w:t>a</w:t>
      </w:r>
      <w:r w:rsidRPr="00CF09CB">
        <w:rPr>
          <w:rFonts w:ascii="Palatino Linotype" w:hAnsi="Palatino Linotype" w:eastAsia="Arial" w:cs="Arial"/>
          <w:i/>
          <w:sz w:val="20"/>
          <w:szCs w:val="20"/>
          <w:lang w:eastAsia="es-ES"/>
        </w:rPr>
        <w:t>ció</w:t>
      </w:r>
      <w:r w:rsidRPr="00CF09CB">
        <w:rPr>
          <w:rFonts w:ascii="Palatino Linotype" w:hAnsi="Palatino Linotype" w:eastAsia="Arial" w:cs="Arial"/>
          <w:i/>
          <w:spacing w:val="1"/>
          <w:sz w:val="20"/>
          <w:szCs w:val="20"/>
          <w:lang w:eastAsia="es-ES"/>
        </w:rPr>
        <w:t>n</w:t>
      </w:r>
      <w:r w:rsidRPr="00CF09CB">
        <w:rPr>
          <w:rFonts w:ascii="Palatino Linotype" w:hAnsi="Palatino Linotype" w:eastAsia="Arial" w:cs="Arial"/>
          <w:i/>
          <w:sz w:val="20"/>
          <w:szCs w:val="20"/>
          <w:lang w:eastAsia="es-ES"/>
        </w:rPr>
        <w:t>.”</w:t>
      </w:r>
    </w:p>
    <w:p w:rsidRPr="00CF09CB" w:rsidR="0072183C" w:rsidP="0019462A" w:rsidRDefault="0072183C" w14:paraId="09D5D0A4" w14:textId="77777777">
      <w:pPr>
        <w:spacing w:line="360" w:lineRule="auto"/>
        <w:jc w:val="both"/>
        <w:rPr>
          <w:rFonts w:ascii="Palatino Linotype" w:hAnsi="Palatino Linotype" w:cs="Tahoma"/>
          <w:sz w:val="22"/>
          <w:lang w:val="es-ES" w:eastAsia="es-ES"/>
        </w:rPr>
      </w:pPr>
    </w:p>
    <w:p w:rsidRPr="00CF09CB" w:rsidR="0072183C" w:rsidP="0019462A" w:rsidRDefault="0072183C" w14:paraId="546D0850" w14:textId="3A0803F5">
      <w:pPr>
        <w:spacing w:line="360" w:lineRule="auto"/>
        <w:jc w:val="both"/>
        <w:rPr>
          <w:rFonts w:ascii="Palatino Linotype" w:hAnsi="Palatino Linotype" w:cs="Tahoma"/>
          <w:color w:val="000000"/>
          <w:sz w:val="22"/>
          <w:szCs w:val="22"/>
        </w:rPr>
      </w:pPr>
      <w:r w:rsidRPr="00CF09CB">
        <w:rPr>
          <w:rFonts w:ascii="Palatino Linotype" w:hAnsi="Palatino Linotype" w:cs="Tahoma"/>
          <w:sz w:val="22"/>
          <w:szCs w:val="22"/>
          <w:lang w:val="es-ES" w:eastAsia="es-ES"/>
        </w:rPr>
        <w:t xml:space="preserve">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deberá proporcionar </w:t>
      </w:r>
      <w:r w:rsidRPr="00CF09CB">
        <w:rPr>
          <w:rFonts w:ascii="Palatino Linotype" w:hAnsi="Palatino Linotype" w:cs="Tahoma"/>
          <w:color w:val="000000"/>
          <w:sz w:val="22"/>
          <w:szCs w:val="22"/>
        </w:rPr>
        <w:t>los comprobantes bancarios de la dispersión de la nómina peticionados.</w:t>
      </w:r>
    </w:p>
    <w:p w:rsidRPr="00CF09CB" w:rsidR="0072183C" w:rsidP="0019462A" w:rsidRDefault="0072183C" w14:paraId="608C9483" w14:textId="0C2A3C83">
      <w:pPr>
        <w:spacing w:line="360" w:lineRule="auto"/>
        <w:jc w:val="both"/>
        <w:rPr>
          <w:rFonts w:ascii="Palatino Linotype" w:hAnsi="Palatino Linotype" w:cs="Tahoma"/>
          <w:color w:val="000000"/>
          <w:sz w:val="22"/>
          <w:szCs w:val="22"/>
        </w:rPr>
      </w:pPr>
    </w:p>
    <w:p w:rsidRPr="00CF09CB" w:rsidR="0072183C" w:rsidP="0019462A" w:rsidRDefault="0072183C" w14:paraId="4B6015AD" w14:textId="286F85BB">
      <w:pPr>
        <w:spacing w:line="360" w:lineRule="auto"/>
        <w:jc w:val="both"/>
        <w:rPr>
          <w:rFonts w:ascii="Palatino Linotype" w:hAnsi="Palatino Linotype" w:cs="Tahoma"/>
          <w:color w:val="000000"/>
          <w:sz w:val="22"/>
          <w:szCs w:val="22"/>
        </w:rPr>
      </w:pPr>
      <w:r w:rsidRPr="00CF09CB">
        <w:rPr>
          <w:rFonts w:ascii="Palatino Linotype" w:hAnsi="Palatino Linotype" w:cs="Tahoma"/>
          <w:color w:val="000000"/>
          <w:sz w:val="22"/>
          <w:szCs w:val="22"/>
        </w:rPr>
        <w:t>Ahora bien, no pasa desapercibido que de la revisión del formato respectivo, se logró desprender que contiene datos que pudieran considerarse confidenciales, a saber, el Registro Federal de Contribuyentes y el número de cuenta bancaria del servidor público, por lo que, se procede analizar si estos son públicos o privados.</w:t>
      </w:r>
    </w:p>
    <w:p w:rsidRPr="00CF09CB" w:rsidR="00931570" w:rsidP="0019462A" w:rsidRDefault="00931570" w14:paraId="596A10ED" w14:textId="55184490">
      <w:pPr>
        <w:spacing w:line="360" w:lineRule="auto"/>
        <w:jc w:val="both"/>
        <w:rPr>
          <w:rFonts w:ascii="Palatino Linotype" w:hAnsi="Palatino Linotype" w:cs="Tahoma"/>
          <w:color w:val="000000"/>
          <w:sz w:val="22"/>
          <w:szCs w:val="22"/>
        </w:rPr>
      </w:pPr>
    </w:p>
    <w:p w:rsidRPr="00CF09CB" w:rsidR="00931570" w:rsidP="0019462A" w:rsidRDefault="00931570" w14:paraId="0AC19C62" w14:textId="4A7C01FF">
      <w:pPr>
        <w:spacing w:line="360" w:lineRule="auto"/>
        <w:jc w:val="both"/>
        <w:rPr>
          <w:rFonts w:ascii="Palatino Linotype" w:hAnsi="Palatino Linotype" w:eastAsia="Calibri"/>
          <w:bCs/>
          <w:color w:val="000000" w:themeColor="text1"/>
          <w:sz w:val="22"/>
          <w:szCs w:val="22"/>
          <w:lang w:eastAsia="en-US"/>
        </w:rPr>
      </w:pPr>
      <w:r w:rsidRPr="00CF09CB">
        <w:rPr>
          <w:rFonts w:ascii="Palatino Linotype" w:hAnsi="Palatino Linotype" w:eastAsia="Calibri"/>
          <w:bCs/>
          <w:color w:val="000000" w:themeColor="text1"/>
          <w:sz w:val="22"/>
          <w:szCs w:val="22"/>
          <w:lang w:eastAsia="en-US"/>
        </w:rPr>
        <w:t>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dicho ordenamiento,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rsidRPr="00CF09CB" w:rsidR="00931570" w:rsidP="0019462A" w:rsidRDefault="00931570" w14:paraId="40990590" w14:textId="77777777">
      <w:pPr>
        <w:spacing w:line="360" w:lineRule="auto"/>
        <w:jc w:val="both"/>
        <w:rPr>
          <w:rFonts w:ascii="Palatino Linotype" w:hAnsi="Palatino Linotype" w:eastAsia="Calibri"/>
          <w:bCs/>
          <w:color w:val="000000" w:themeColor="text1"/>
          <w:sz w:val="22"/>
          <w:szCs w:val="22"/>
          <w:lang w:eastAsia="en-US"/>
        </w:rPr>
      </w:pPr>
    </w:p>
    <w:p w:rsidRPr="00CF09CB" w:rsidR="00931570" w:rsidP="0019462A" w:rsidRDefault="00931570" w14:paraId="4977345D" w14:textId="77777777">
      <w:pPr>
        <w:spacing w:line="360" w:lineRule="auto"/>
        <w:jc w:val="both"/>
        <w:rPr>
          <w:rFonts w:ascii="Palatino Linotype" w:hAnsi="Palatino Linotype" w:eastAsia="Calibri"/>
          <w:bCs/>
          <w:color w:val="000000" w:themeColor="text1"/>
          <w:sz w:val="22"/>
          <w:szCs w:val="22"/>
          <w:lang w:eastAsia="en-US"/>
        </w:rPr>
      </w:pPr>
      <w:r w:rsidRPr="00CF09CB">
        <w:rPr>
          <w:rFonts w:ascii="Palatino Linotype" w:hAnsi="Palatino Linotype" w:eastAsia="Calibri"/>
          <w:bCs/>
          <w:color w:val="000000" w:themeColor="text1"/>
          <w:sz w:val="22"/>
          <w:szCs w:val="22"/>
          <w:lang w:eastAsia="en-US"/>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rsidRPr="00CF09CB" w:rsidR="00931570" w:rsidP="0019462A" w:rsidRDefault="00931570" w14:paraId="7D209F76" w14:textId="77777777">
      <w:pPr>
        <w:spacing w:line="360" w:lineRule="auto"/>
        <w:jc w:val="both"/>
        <w:rPr>
          <w:rFonts w:ascii="Palatino Linotype" w:hAnsi="Palatino Linotype" w:eastAsia="Calibri"/>
          <w:bCs/>
          <w:color w:val="000000" w:themeColor="text1"/>
          <w:sz w:val="22"/>
          <w:szCs w:val="22"/>
          <w:lang w:eastAsia="en-US"/>
        </w:rPr>
      </w:pPr>
    </w:p>
    <w:p w:rsidRPr="00CF09CB" w:rsidR="00931570" w:rsidP="0019462A" w:rsidRDefault="00931570" w14:paraId="67925D3D" w14:textId="77777777">
      <w:pPr>
        <w:spacing w:line="360" w:lineRule="auto"/>
        <w:jc w:val="both"/>
        <w:rPr>
          <w:rFonts w:ascii="Palatino Linotype" w:hAnsi="Palatino Linotype" w:eastAsia="Calibri"/>
          <w:bCs/>
          <w:color w:val="000000" w:themeColor="text1"/>
          <w:sz w:val="22"/>
          <w:szCs w:val="22"/>
          <w:lang w:eastAsia="en-US"/>
        </w:rPr>
      </w:pPr>
      <w:r w:rsidRPr="00CF09CB">
        <w:rPr>
          <w:rFonts w:ascii="Palatino Linotype" w:hAnsi="Palatino Linotype" w:eastAsia="Calibri"/>
          <w:bCs/>
          <w:color w:val="000000" w:themeColor="text1"/>
          <w:sz w:val="22"/>
          <w:szCs w:val="22"/>
          <w:lang w:eastAsia="en-US"/>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rsidRPr="00CF09CB" w:rsidR="00931570" w:rsidP="0019462A" w:rsidRDefault="00931570" w14:paraId="750FD23C" w14:textId="77777777">
      <w:pPr>
        <w:spacing w:line="360" w:lineRule="auto"/>
        <w:jc w:val="both"/>
        <w:rPr>
          <w:rFonts w:ascii="Palatino Linotype" w:hAnsi="Palatino Linotype" w:eastAsia="Calibri"/>
          <w:bCs/>
          <w:color w:val="000000" w:themeColor="text1"/>
          <w:sz w:val="22"/>
          <w:szCs w:val="22"/>
          <w:lang w:eastAsia="en-US"/>
        </w:rPr>
      </w:pPr>
    </w:p>
    <w:p w:rsidRPr="00CF09CB" w:rsidR="00931570" w:rsidP="0019462A" w:rsidRDefault="00931570" w14:paraId="7B014945" w14:textId="77777777">
      <w:pPr>
        <w:spacing w:line="360" w:lineRule="auto"/>
        <w:jc w:val="both"/>
        <w:rPr>
          <w:rFonts w:ascii="Palatino Linotype" w:hAnsi="Palatino Linotype" w:eastAsia="Calibri"/>
          <w:bCs/>
          <w:color w:val="000000" w:themeColor="text1"/>
          <w:sz w:val="22"/>
          <w:szCs w:val="22"/>
          <w:lang w:eastAsia="en-US"/>
        </w:rPr>
      </w:pPr>
      <w:r w:rsidRPr="00CF09CB">
        <w:rPr>
          <w:rFonts w:ascii="Palatino Linotype" w:hAnsi="Palatino Linotype" w:eastAsia="Calibri"/>
          <w:bCs/>
          <w:color w:val="000000" w:themeColor="text1"/>
          <w:sz w:val="22"/>
          <w:szCs w:val="22"/>
          <w:lang w:eastAsia="en-US"/>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rsidRPr="00CF09CB" w:rsidR="00931570" w:rsidP="0019462A" w:rsidRDefault="00931570" w14:paraId="7B64D778" w14:textId="77777777">
      <w:pPr>
        <w:spacing w:line="360" w:lineRule="auto"/>
        <w:jc w:val="both"/>
        <w:rPr>
          <w:rFonts w:ascii="Palatino Linotype" w:hAnsi="Palatino Linotype" w:eastAsia="Calibri"/>
          <w:bCs/>
          <w:color w:val="000000" w:themeColor="text1"/>
          <w:sz w:val="22"/>
          <w:szCs w:val="22"/>
          <w:lang w:eastAsia="en-US"/>
        </w:rPr>
      </w:pPr>
    </w:p>
    <w:p w:rsidRPr="00CF09CB" w:rsidR="00931570" w:rsidP="0019462A" w:rsidRDefault="00931570" w14:paraId="66AB1D17" w14:textId="77777777">
      <w:pPr>
        <w:spacing w:line="360" w:lineRule="auto"/>
        <w:jc w:val="both"/>
        <w:rPr>
          <w:rFonts w:ascii="Palatino Linotype" w:hAnsi="Palatino Linotype" w:eastAsia="Calibri"/>
          <w:bCs/>
          <w:color w:val="000000" w:themeColor="text1"/>
          <w:sz w:val="22"/>
          <w:szCs w:val="22"/>
          <w:lang w:eastAsia="en-US"/>
        </w:rPr>
      </w:pPr>
      <w:r w:rsidRPr="00CF09CB">
        <w:rPr>
          <w:rFonts w:ascii="Palatino Linotype" w:hAnsi="Palatino Linotype" w:eastAsia="Calibri"/>
          <w:bCs/>
          <w:color w:val="000000" w:themeColor="text1"/>
          <w:sz w:val="22"/>
          <w:szCs w:val="22"/>
          <w:lang w:eastAsia="en-US"/>
        </w:rPr>
        <w:t>En concordancia con lo previo, el artículo 143, fracción I, de la Ley previamente citada, establece que la información privada y los datos personales, concernientes a una persona física o jurídica colectiva identificada o identificable son confidenciales.</w:t>
      </w:r>
    </w:p>
    <w:p w:rsidRPr="00CF09CB" w:rsidR="00931570" w:rsidP="0019462A" w:rsidRDefault="00931570" w14:paraId="4D87D6FE" w14:textId="77777777">
      <w:pPr>
        <w:spacing w:line="360" w:lineRule="auto"/>
        <w:jc w:val="both"/>
        <w:rPr>
          <w:rFonts w:ascii="Palatino Linotype" w:hAnsi="Palatino Linotype" w:eastAsia="Calibri"/>
          <w:bCs/>
          <w:color w:val="000000" w:themeColor="text1"/>
          <w:sz w:val="22"/>
          <w:szCs w:val="22"/>
          <w:lang w:eastAsia="en-US"/>
        </w:rPr>
      </w:pPr>
    </w:p>
    <w:p w:rsidRPr="00CF09CB" w:rsidR="00931570" w:rsidP="0019462A" w:rsidRDefault="00931570" w14:paraId="6F4FADBB" w14:textId="77777777">
      <w:pPr>
        <w:spacing w:line="360" w:lineRule="auto"/>
        <w:jc w:val="both"/>
        <w:rPr>
          <w:rFonts w:ascii="Palatino Linotype" w:hAnsi="Palatino Linotype" w:eastAsia="Calibri"/>
          <w:bCs/>
          <w:color w:val="000000" w:themeColor="text1"/>
          <w:sz w:val="22"/>
          <w:szCs w:val="22"/>
          <w:lang w:eastAsia="en-US"/>
        </w:rPr>
      </w:pPr>
      <w:r w:rsidRPr="00CF09CB">
        <w:rPr>
          <w:rFonts w:ascii="Palatino Linotype" w:hAnsi="Palatino Linotype" w:eastAsia="Calibri"/>
          <w:bCs/>
          <w:color w:val="000000" w:themeColor="text1"/>
          <w:sz w:val="22"/>
          <w:szCs w:val="22"/>
          <w:lang w:eastAsia="en-US"/>
        </w:rPr>
        <w:t xml:space="preserve">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w:t>
      </w:r>
      <w:proofErr w:type="spellStart"/>
      <w:r w:rsidRPr="00CF09CB">
        <w:rPr>
          <w:rFonts w:ascii="Palatino Linotype" w:hAnsi="Palatino Linotype" w:eastAsia="Calibri"/>
          <w:bCs/>
          <w:color w:val="000000" w:themeColor="text1"/>
          <w:sz w:val="22"/>
          <w:szCs w:val="22"/>
          <w:lang w:eastAsia="en-US"/>
        </w:rPr>
        <w:t>ii</w:t>
      </w:r>
      <w:proofErr w:type="spellEnd"/>
      <w:r w:rsidRPr="00CF09CB">
        <w:rPr>
          <w:rFonts w:ascii="Palatino Linotype" w:hAnsi="Palatino Linotype" w:eastAsia="Calibri"/>
          <w:bCs/>
          <w:color w:val="000000" w:themeColor="text1"/>
          <w:sz w:val="22"/>
          <w:szCs w:val="22"/>
          <w:lang w:eastAsia="en-US"/>
        </w:rPr>
        <w:t xml:space="preserve">) por ley tenga el carácter de pública, iii) exista una orden judicial, </w:t>
      </w:r>
      <w:proofErr w:type="spellStart"/>
      <w:r w:rsidRPr="00CF09CB">
        <w:rPr>
          <w:rFonts w:ascii="Palatino Linotype" w:hAnsi="Palatino Linotype" w:eastAsia="Calibri"/>
          <w:bCs/>
          <w:color w:val="000000" w:themeColor="text1"/>
          <w:sz w:val="22"/>
          <w:szCs w:val="22"/>
          <w:lang w:eastAsia="en-US"/>
        </w:rPr>
        <w:t>iv</w:t>
      </w:r>
      <w:proofErr w:type="spellEnd"/>
      <w:r w:rsidRPr="00CF09CB">
        <w:rPr>
          <w:rFonts w:ascii="Palatino Linotype" w:hAnsi="Palatino Linotype" w:eastAsia="Calibri"/>
          <w:bCs/>
          <w:color w:val="000000" w:themeColor="text1"/>
          <w:sz w:val="22"/>
          <w:szCs w:val="22"/>
          <w:lang w:eastAsia="en-US"/>
        </w:rPr>
        <w:t xml:space="preserve">) por razones de seguridad nacional y salubridad general o v) para proteger los </w:t>
      </w:r>
      <w:r w:rsidRPr="00CF09CB">
        <w:rPr>
          <w:rFonts w:ascii="Palatino Linotype" w:hAnsi="Palatino Linotype" w:eastAsia="Calibri"/>
          <w:bCs/>
          <w:color w:val="000000" w:themeColor="text1"/>
          <w:sz w:val="22"/>
          <w:szCs w:val="22"/>
          <w:lang w:eastAsia="en-US"/>
        </w:rPr>
        <w:lastRenderedPageBreak/>
        <w:t>derechos de terceros o cuando se transmita entre sujetos obligados en términos de los tratados y los acuerdos interinstitucionales.</w:t>
      </w:r>
    </w:p>
    <w:p w:rsidRPr="00CF09CB" w:rsidR="00931570" w:rsidP="0019462A" w:rsidRDefault="00931570" w14:paraId="5EC8C882" w14:textId="77777777">
      <w:pPr>
        <w:spacing w:line="360" w:lineRule="auto"/>
        <w:jc w:val="both"/>
        <w:rPr>
          <w:rFonts w:ascii="Palatino Linotype" w:hAnsi="Palatino Linotype" w:eastAsia="Calibri"/>
          <w:bCs/>
          <w:color w:val="000000" w:themeColor="text1"/>
          <w:sz w:val="22"/>
          <w:szCs w:val="22"/>
          <w:lang w:eastAsia="en-US"/>
        </w:rPr>
      </w:pPr>
    </w:p>
    <w:p w:rsidRPr="00CF09CB" w:rsidR="00931570" w:rsidP="0019462A" w:rsidRDefault="00931570" w14:paraId="57C0FA84" w14:textId="77777777">
      <w:pPr>
        <w:spacing w:line="360" w:lineRule="auto"/>
        <w:jc w:val="both"/>
        <w:rPr>
          <w:rFonts w:ascii="Palatino Linotype" w:hAnsi="Palatino Linotype" w:eastAsia="Calibri"/>
          <w:bCs/>
          <w:color w:val="000000" w:themeColor="text1"/>
          <w:sz w:val="22"/>
          <w:szCs w:val="22"/>
          <w:lang w:eastAsia="en-US"/>
        </w:rPr>
      </w:pPr>
      <w:r w:rsidRPr="00CF09CB">
        <w:rPr>
          <w:rFonts w:ascii="Palatino Linotype" w:hAnsi="Palatino Linotype" w:eastAsia="Calibri"/>
          <w:bCs/>
          <w:color w:val="000000" w:themeColor="text1"/>
          <w:sz w:val="22"/>
          <w:szCs w:val="22"/>
          <w:lang w:eastAsia="en-US"/>
        </w:rPr>
        <w:t>En términos de lo expuesto, la documentación y aquellos datos que se consideren confidenciales, serán una limitante del derecho de acceso a la información, siempre y cuando:</w:t>
      </w:r>
    </w:p>
    <w:p w:rsidRPr="00CF09CB" w:rsidR="00931570" w:rsidP="0019462A" w:rsidRDefault="00931570" w14:paraId="21578B3F" w14:textId="77777777">
      <w:pPr>
        <w:spacing w:line="360" w:lineRule="auto"/>
        <w:jc w:val="both"/>
        <w:rPr>
          <w:rFonts w:ascii="Palatino Linotype" w:hAnsi="Palatino Linotype" w:eastAsia="Calibri"/>
          <w:bCs/>
          <w:color w:val="000000" w:themeColor="text1"/>
          <w:sz w:val="22"/>
          <w:szCs w:val="22"/>
          <w:lang w:eastAsia="en-US"/>
        </w:rPr>
      </w:pPr>
    </w:p>
    <w:p w:rsidRPr="00CF09CB" w:rsidR="00931570" w:rsidP="0019462A" w:rsidRDefault="00931570" w14:paraId="3685BBF1" w14:textId="77777777">
      <w:pPr>
        <w:numPr>
          <w:ilvl w:val="0"/>
          <w:numId w:val="40"/>
        </w:numPr>
        <w:spacing w:line="360" w:lineRule="auto"/>
        <w:jc w:val="both"/>
        <w:rPr>
          <w:rFonts w:ascii="Palatino Linotype" w:hAnsi="Palatino Linotype" w:eastAsia="Calibri"/>
          <w:bCs/>
          <w:color w:val="000000" w:themeColor="text1"/>
          <w:sz w:val="22"/>
          <w:szCs w:val="22"/>
          <w:lang w:eastAsia="en-US"/>
        </w:rPr>
      </w:pPr>
      <w:r w:rsidRPr="00CF09CB">
        <w:rPr>
          <w:rFonts w:ascii="Palatino Linotype" w:hAnsi="Palatino Linotype" w:eastAsia="Calibri"/>
          <w:bCs/>
          <w:color w:val="000000" w:themeColor="text1"/>
          <w:sz w:val="22"/>
          <w:szCs w:val="22"/>
          <w:lang w:eastAsia="en-US"/>
        </w:rPr>
        <w:t xml:space="preserve">Se trate de datos personales o información privada; esto es, información concerniente a una persona física o jurídico colectiva y que esta sea identificada o identificable. </w:t>
      </w:r>
    </w:p>
    <w:p w:rsidRPr="00CF09CB" w:rsidR="00931570" w:rsidP="0019462A" w:rsidRDefault="00931570" w14:paraId="4387CE0A" w14:textId="77777777">
      <w:pPr>
        <w:spacing w:line="360" w:lineRule="auto"/>
        <w:jc w:val="both"/>
        <w:rPr>
          <w:rFonts w:ascii="Palatino Linotype" w:hAnsi="Palatino Linotype" w:eastAsia="Calibri"/>
          <w:bCs/>
          <w:color w:val="000000" w:themeColor="text1"/>
          <w:sz w:val="22"/>
          <w:szCs w:val="22"/>
          <w:lang w:eastAsia="en-US"/>
        </w:rPr>
      </w:pPr>
    </w:p>
    <w:p w:rsidRPr="00CF09CB" w:rsidR="00931570" w:rsidP="0019462A" w:rsidRDefault="00931570" w14:paraId="4BF82608" w14:textId="77777777">
      <w:pPr>
        <w:numPr>
          <w:ilvl w:val="0"/>
          <w:numId w:val="40"/>
        </w:numPr>
        <w:spacing w:line="360" w:lineRule="auto"/>
        <w:jc w:val="both"/>
        <w:rPr>
          <w:rFonts w:ascii="Palatino Linotype" w:hAnsi="Palatino Linotype" w:eastAsia="Calibri"/>
          <w:bCs/>
          <w:color w:val="000000" w:themeColor="text1"/>
          <w:sz w:val="22"/>
          <w:szCs w:val="22"/>
          <w:lang w:eastAsia="en-US"/>
        </w:rPr>
      </w:pPr>
      <w:r w:rsidRPr="00CF09CB">
        <w:rPr>
          <w:rFonts w:ascii="Palatino Linotype" w:hAnsi="Palatino Linotype" w:eastAsia="Calibri"/>
          <w:bCs/>
          <w:color w:val="000000" w:themeColor="text1"/>
          <w:sz w:val="22"/>
          <w:szCs w:val="22"/>
          <w:lang w:eastAsia="en-US"/>
        </w:rPr>
        <w:t xml:space="preserve">Para la difusión de los datos, se requiera el consentimiento del titular. </w:t>
      </w:r>
    </w:p>
    <w:p w:rsidRPr="00CF09CB" w:rsidR="00931570" w:rsidP="0019462A" w:rsidRDefault="00931570" w14:paraId="09D7D6ED" w14:textId="77777777">
      <w:pPr>
        <w:spacing w:line="360" w:lineRule="auto"/>
        <w:jc w:val="both"/>
        <w:rPr>
          <w:rFonts w:ascii="Palatino Linotype" w:hAnsi="Palatino Linotype" w:eastAsia="Calibri"/>
          <w:bCs/>
          <w:color w:val="000000" w:themeColor="text1"/>
          <w:sz w:val="22"/>
          <w:szCs w:val="22"/>
          <w:lang w:eastAsia="en-US"/>
        </w:rPr>
      </w:pPr>
    </w:p>
    <w:p w:rsidRPr="00CF09CB" w:rsidR="00931570" w:rsidP="0019462A" w:rsidRDefault="00931570" w14:paraId="385D09A8" w14:textId="77777777">
      <w:pPr>
        <w:spacing w:line="360" w:lineRule="auto"/>
        <w:jc w:val="both"/>
        <w:rPr>
          <w:rFonts w:ascii="Palatino Linotype" w:hAnsi="Palatino Linotype" w:eastAsia="Calibri"/>
          <w:bCs/>
          <w:color w:val="000000" w:themeColor="text1"/>
          <w:sz w:val="22"/>
          <w:szCs w:val="22"/>
          <w:lang w:eastAsia="en-US"/>
        </w:rPr>
      </w:pPr>
      <w:r w:rsidRPr="00CF09CB">
        <w:rPr>
          <w:rFonts w:ascii="Palatino Linotype" w:hAnsi="Palatino Linotype" w:eastAsia="Calibri"/>
          <w:bCs/>
          <w:color w:val="000000" w:themeColor="text1"/>
          <w:sz w:val="22"/>
          <w:szCs w:val="22"/>
          <w:lang w:eastAsia="en-US"/>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rsidRPr="00CF09CB" w:rsidR="00931570" w:rsidP="0019462A" w:rsidRDefault="00931570" w14:paraId="6448376A" w14:textId="77777777">
      <w:pPr>
        <w:spacing w:line="360" w:lineRule="auto"/>
        <w:jc w:val="both"/>
        <w:rPr>
          <w:rFonts w:ascii="Palatino Linotype" w:hAnsi="Palatino Linotype" w:eastAsia="Calibri"/>
          <w:bCs/>
          <w:color w:val="000000" w:themeColor="text1"/>
          <w:sz w:val="22"/>
          <w:szCs w:val="22"/>
          <w:lang w:eastAsia="en-US"/>
        </w:rPr>
      </w:pPr>
    </w:p>
    <w:p w:rsidRPr="00CF09CB" w:rsidR="00931570" w:rsidP="0019462A" w:rsidRDefault="00931570" w14:paraId="4182BEFD" w14:textId="77777777">
      <w:pPr>
        <w:spacing w:line="360" w:lineRule="auto"/>
        <w:jc w:val="both"/>
        <w:rPr>
          <w:rFonts w:ascii="Palatino Linotype" w:hAnsi="Palatino Linotype" w:eastAsia="Calibri"/>
          <w:bCs/>
          <w:color w:val="000000" w:themeColor="text1"/>
          <w:sz w:val="22"/>
          <w:szCs w:val="22"/>
          <w:lang w:eastAsia="en-US"/>
        </w:rPr>
      </w:pPr>
      <w:r w:rsidRPr="00CF09CB">
        <w:rPr>
          <w:rFonts w:ascii="Palatino Linotype" w:hAnsi="Palatino Linotype" w:eastAsia="Calibri"/>
          <w:bCs/>
          <w:color w:val="000000" w:themeColor="text1"/>
          <w:sz w:val="22"/>
          <w:szCs w:val="22"/>
          <w:lang w:eastAsia="en-US"/>
        </w:rPr>
        <w:t>Además, en el artículo 5° de dicho ordenamiento jurídico, establece que es la Ley aplicable para todo tratamiento de datos personales.</w:t>
      </w:r>
    </w:p>
    <w:p w:rsidRPr="00CF09CB" w:rsidR="00931570" w:rsidP="0019462A" w:rsidRDefault="00931570" w14:paraId="4FE5D5D0" w14:textId="77777777">
      <w:pPr>
        <w:spacing w:line="360" w:lineRule="auto"/>
        <w:jc w:val="both"/>
        <w:rPr>
          <w:rFonts w:ascii="Palatino Linotype" w:hAnsi="Palatino Linotype" w:eastAsia="Calibri"/>
          <w:bCs/>
          <w:color w:val="000000" w:themeColor="text1"/>
          <w:sz w:val="22"/>
          <w:szCs w:val="22"/>
          <w:lang w:eastAsia="en-US"/>
        </w:rPr>
      </w:pPr>
    </w:p>
    <w:p w:rsidRPr="00CF09CB" w:rsidR="00931570" w:rsidP="0019462A" w:rsidRDefault="00931570" w14:paraId="3F48679A" w14:textId="77777777">
      <w:pPr>
        <w:spacing w:line="360" w:lineRule="auto"/>
        <w:jc w:val="both"/>
        <w:rPr>
          <w:rFonts w:ascii="Palatino Linotype" w:hAnsi="Palatino Linotype" w:eastAsia="Calibri"/>
          <w:bCs/>
          <w:color w:val="000000" w:themeColor="text1"/>
          <w:sz w:val="22"/>
          <w:szCs w:val="22"/>
          <w:lang w:eastAsia="en-US"/>
        </w:rPr>
      </w:pPr>
      <w:r w:rsidRPr="00CF09CB">
        <w:rPr>
          <w:rFonts w:ascii="Palatino Linotype" w:hAnsi="Palatino Linotype" w:eastAsia="Calibri"/>
          <w:bCs/>
          <w:color w:val="000000" w:themeColor="text1"/>
          <w:sz w:val="22"/>
          <w:szCs w:val="22"/>
          <w:lang w:eastAsia="en-US"/>
        </w:rPr>
        <w:t xml:space="preserve">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w:t>
      </w:r>
      <w:r w:rsidRPr="00CF09CB">
        <w:rPr>
          <w:rFonts w:ascii="Palatino Linotype" w:hAnsi="Palatino Linotype" w:eastAsia="Calibri"/>
          <w:bCs/>
          <w:color w:val="000000" w:themeColor="text1"/>
          <w:sz w:val="22"/>
          <w:szCs w:val="22"/>
          <w:lang w:eastAsia="en-US"/>
        </w:rPr>
        <w:lastRenderedPageBreak/>
        <w:t>además, que dicho tratamiento deberá obedecer exclusivamente a sus atribuciones legales y con el consentimiento de su titular, además de que debe estar justificado en ley (principio de finalidad).</w:t>
      </w:r>
    </w:p>
    <w:p w:rsidRPr="00CF09CB" w:rsidR="00931570" w:rsidP="0019462A" w:rsidRDefault="00931570" w14:paraId="57BB4D05" w14:textId="77777777">
      <w:pPr>
        <w:spacing w:line="360" w:lineRule="auto"/>
        <w:jc w:val="both"/>
        <w:rPr>
          <w:rFonts w:ascii="Palatino Linotype" w:hAnsi="Palatino Linotype" w:eastAsia="Calibri"/>
          <w:bCs/>
          <w:color w:val="000000" w:themeColor="text1"/>
          <w:sz w:val="22"/>
          <w:szCs w:val="22"/>
          <w:lang w:eastAsia="en-US"/>
        </w:rPr>
      </w:pPr>
    </w:p>
    <w:p w:rsidRPr="00CF09CB" w:rsidR="00931570" w:rsidP="0019462A" w:rsidRDefault="00931570" w14:paraId="47869CFF" w14:textId="77777777">
      <w:pPr>
        <w:spacing w:line="360" w:lineRule="auto"/>
        <w:jc w:val="both"/>
        <w:rPr>
          <w:rFonts w:ascii="Palatino Linotype" w:hAnsi="Palatino Linotype" w:eastAsia="Calibri"/>
          <w:bCs/>
          <w:color w:val="000000" w:themeColor="text1"/>
          <w:sz w:val="22"/>
          <w:szCs w:val="22"/>
          <w:lang w:eastAsia="en-US"/>
        </w:rPr>
      </w:pPr>
      <w:r w:rsidRPr="00CF09CB">
        <w:rPr>
          <w:rFonts w:ascii="Palatino Linotype" w:hAnsi="Palatino Linotype" w:eastAsia="Calibri"/>
          <w:bCs/>
          <w:color w:val="000000" w:themeColor="text1"/>
          <w:sz w:val="22"/>
          <w:szCs w:val="22"/>
          <w:lang w:eastAsia="en-US"/>
        </w:rPr>
        <w:t>En este sentido, un dato personal es cualquier información que pueda hacer a una persona física o jurídica colectiva identificada e identificable.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rsidRPr="00CF09CB" w:rsidR="00931570" w:rsidP="0019462A" w:rsidRDefault="00931570" w14:paraId="1241B6DC" w14:textId="77777777">
      <w:pPr>
        <w:spacing w:line="360" w:lineRule="auto"/>
        <w:jc w:val="both"/>
        <w:rPr>
          <w:rFonts w:ascii="Palatino Linotype" w:hAnsi="Palatino Linotype" w:eastAsia="Calibri"/>
          <w:bCs/>
          <w:color w:val="000000" w:themeColor="text1"/>
          <w:sz w:val="22"/>
          <w:szCs w:val="22"/>
          <w:lang w:eastAsia="en-US"/>
        </w:rPr>
      </w:pPr>
    </w:p>
    <w:p w:rsidRPr="00CF09CB" w:rsidR="00931570" w:rsidP="0019462A" w:rsidRDefault="00931570" w14:paraId="7E10CFB0" w14:textId="77777777">
      <w:pPr>
        <w:spacing w:line="360" w:lineRule="auto"/>
        <w:jc w:val="both"/>
        <w:rPr>
          <w:rFonts w:ascii="Palatino Linotype" w:hAnsi="Palatino Linotype" w:eastAsia="Calibri"/>
          <w:bCs/>
          <w:color w:val="000000" w:themeColor="text1"/>
          <w:sz w:val="22"/>
          <w:szCs w:val="22"/>
          <w:lang w:eastAsia="en-US"/>
        </w:rPr>
      </w:pPr>
      <w:r w:rsidRPr="00CF09CB">
        <w:rPr>
          <w:rFonts w:ascii="Palatino Linotype" w:hAnsi="Palatino Linotype" w:eastAsia="Calibri"/>
          <w:bCs/>
          <w:color w:val="000000" w:themeColor="text1"/>
          <w:sz w:val="22"/>
          <w:szCs w:val="22"/>
          <w:lang w:eastAsia="en-US"/>
        </w:rPr>
        <w:t>Por lo cual,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rsidRPr="00CF09CB" w:rsidR="00931570" w:rsidP="0019462A" w:rsidRDefault="00931570" w14:paraId="65FC94DC" w14:textId="77777777">
      <w:pPr>
        <w:spacing w:line="360" w:lineRule="auto"/>
        <w:jc w:val="both"/>
        <w:rPr>
          <w:rFonts w:ascii="Palatino Linotype" w:hAnsi="Palatino Linotype" w:eastAsia="Calibri"/>
          <w:bCs/>
          <w:color w:val="000000" w:themeColor="text1"/>
          <w:sz w:val="22"/>
          <w:szCs w:val="22"/>
          <w:lang w:eastAsia="en-US"/>
        </w:rPr>
      </w:pPr>
    </w:p>
    <w:p w:rsidRPr="00CF09CB" w:rsidR="00931570" w:rsidP="0019462A" w:rsidRDefault="00931570" w14:paraId="25E7BAED" w14:textId="77777777">
      <w:pPr>
        <w:spacing w:line="360" w:lineRule="auto"/>
        <w:jc w:val="both"/>
        <w:rPr>
          <w:rFonts w:ascii="Palatino Linotype" w:hAnsi="Palatino Linotype" w:eastAsia="Calibri"/>
          <w:bCs/>
          <w:color w:val="000000" w:themeColor="text1"/>
          <w:sz w:val="22"/>
          <w:szCs w:val="22"/>
          <w:lang w:eastAsia="en-US"/>
        </w:rPr>
      </w:pPr>
      <w:r w:rsidRPr="00CF09CB">
        <w:rPr>
          <w:rFonts w:ascii="Palatino Linotype" w:hAnsi="Palatino Linotype" w:eastAsia="Calibri"/>
          <w:bCs/>
          <w:color w:val="000000" w:themeColor="text1"/>
          <w:sz w:val="22"/>
          <w:szCs w:val="22"/>
          <w:lang w:eastAsia="en-US"/>
        </w:rPr>
        <w:t>De tal suerte, las instituciones públicas tienen la doble responsabilidad, por un lado, de proteger los datos personales y por otro, darles publicidad cuando la relevancia de esos datos sea de interés público.</w:t>
      </w:r>
    </w:p>
    <w:p w:rsidRPr="00CF09CB" w:rsidR="00931570" w:rsidP="0019462A" w:rsidRDefault="00931570" w14:paraId="45FAEB5E" w14:textId="77777777">
      <w:pPr>
        <w:spacing w:line="360" w:lineRule="auto"/>
        <w:jc w:val="both"/>
        <w:rPr>
          <w:rFonts w:ascii="Palatino Linotype" w:hAnsi="Palatino Linotype" w:eastAsia="Calibri"/>
          <w:bCs/>
          <w:color w:val="000000" w:themeColor="text1"/>
          <w:sz w:val="22"/>
          <w:szCs w:val="22"/>
          <w:lang w:eastAsia="en-US"/>
        </w:rPr>
      </w:pPr>
    </w:p>
    <w:p w:rsidRPr="00CF09CB" w:rsidR="00931570" w:rsidP="0019462A" w:rsidRDefault="00931570" w14:paraId="462443C0" w14:textId="77777777">
      <w:pPr>
        <w:spacing w:line="360" w:lineRule="auto"/>
        <w:jc w:val="both"/>
        <w:rPr>
          <w:rFonts w:ascii="Palatino Linotype" w:hAnsi="Palatino Linotype" w:eastAsia="Calibri"/>
          <w:bCs/>
          <w:color w:val="000000" w:themeColor="text1"/>
          <w:sz w:val="22"/>
          <w:szCs w:val="22"/>
          <w:lang w:eastAsia="en-US"/>
        </w:rPr>
      </w:pPr>
      <w:r w:rsidRPr="00CF09CB">
        <w:rPr>
          <w:rFonts w:ascii="Palatino Linotype" w:hAnsi="Palatino Linotype" w:eastAsia="Calibri"/>
          <w:bCs/>
          <w:color w:val="000000" w:themeColor="text1"/>
          <w:sz w:val="22"/>
          <w:szCs w:val="22"/>
          <w:lang w:eastAsia="en-US"/>
        </w:rPr>
        <w:t xml:space="preserve">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w:t>
      </w:r>
      <w:r w:rsidRPr="00CF09CB">
        <w:rPr>
          <w:rFonts w:ascii="Palatino Linotype" w:hAnsi="Palatino Linotype" w:eastAsia="Calibri"/>
          <w:bCs/>
          <w:color w:val="000000" w:themeColor="text1"/>
          <w:sz w:val="22"/>
          <w:szCs w:val="22"/>
          <w:lang w:eastAsia="en-US"/>
        </w:rPr>
        <w:lastRenderedPageBreak/>
        <w:t>cumplimiento de atribuciones, entre otros; información que necesariamente está vinculada con datos personales, que pierden la protección en beneficio del interés público (no por eso dejan de ser datos personales, sólo que no están protegidos en la confidencialidad).</w:t>
      </w:r>
    </w:p>
    <w:p w:rsidRPr="00CF09CB" w:rsidR="00931570" w:rsidP="0019462A" w:rsidRDefault="00931570" w14:paraId="7847E4FA" w14:textId="77777777">
      <w:pPr>
        <w:spacing w:line="360" w:lineRule="auto"/>
        <w:jc w:val="both"/>
        <w:rPr>
          <w:rFonts w:ascii="Palatino Linotype" w:hAnsi="Palatino Linotype" w:eastAsia="Calibri"/>
          <w:bCs/>
          <w:color w:val="000000" w:themeColor="text1"/>
          <w:sz w:val="22"/>
          <w:szCs w:val="22"/>
          <w:lang w:eastAsia="en-US"/>
        </w:rPr>
      </w:pPr>
    </w:p>
    <w:p w:rsidRPr="00CF09CB" w:rsidR="00931570" w:rsidP="0019462A" w:rsidRDefault="00931570" w14:paraId="79284EEA" w14:textId="77777777">
      <w:pPr>
        <w:spacing w:line="360" w:lineRule="auto"/>
        <w:jc w:val="both"/>
        <w:rPr>
          <w:rFonts w:ascii="Palatino Linotype" w:hAnsi="Palatino Linotype" w:eastAsia="Calibri"/>
          <w:bCs/>
          <w:color w:val="000000" w:themeColor="text1"/>
          <w:sz w:val="22"/>
          <w:szCs w:val="22"/>
          <w:lang w:eastAsia="en-US"/>
        </w:rPr>
      </w:pPr>
      <w:r w:rsidRPr="00CF09CB">
        <w:rPr>
          <w:rFonts w:ascii="Palatino Linotype" w:hAnsi="Palatino Linotype" w:eastAsia="Calibri"/>
          <w:bCs/>
          <w:color w:val="000000" w:themeColor="text1"/>
          <w:sz w:val="22"/>
          <w:szCs w:val="22"/>
          <w:lang w:eastAsia="en-US"/>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rsidRPr="00CF09CB" w:rsidR="00931570" w:rsidP="0019462A" w:rsidRDefault="00931570" w14:paraId="1A687034" w14:textId="77777777">
      <w:pPr>
        <w:spacing w:line="360" w:lineRule="auto"/>
        <w:jc w:val="both"/>
        <w:rPr>
          <w:rFonts w:ascii="Palatino Linotype" w:hAnsi="Palatino Linotype" w:eastAsia="Calibri"/>
          <w:bCs/>
          <w:color w:val="000000" w:themeColor="text1"/>
          <w:sz w:val="22"/>
          <w:szCs w:val="22"/>
          <w:lang w:eastAsia="en-US"/>
        </w:rPr>
      </w:pPr>
    </w:p>
    <w:p w:rsidRPr="00CF09CB" w:rsidR="00931570" w:rsidP="0019462A" w:rsidRDefault="00931570" w14:paraId="33A544D9" w14:textId="77777777">
      <w:pPr>
        <w:spacing w:line="360" w:lineRule="auto"/>
        <w:jc w:val="both"/>
        <w:rPr>
          <w:rFonts w:ascii="Palatino Linotype" w:hAnsi="Palatino Linotype" w:eastAsia="Calibri"/>
          <w:bCs/>
          <w:color w:val="000000" w:themeColor="text1"/>
          <w:sz w:val="22"/>
          <w:szCs w:val="22"/>
          <w:lang w:eastAsia="en-US"/>
        </w:rPr>
      </w:pPr>
      <w:r w:rsidRPr="00CF09CB">
        <w:rPr>
          <w:rFonts w:ascii="Palatino Linotype" w:hAnsi="Palatino Linotype" w:eastAsia="Calibri"/>
          <w:bCs/>
          <w:color w:val="000000" w:themeColor="text1"/>
          <w:sz w:val="22"/>
          <w:szCs w:val="22"/>
          <w:lang w:eastAsia="en-US"/>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rsidRPr="00CF09CB" w:rsidR="00931570" w:rsidP="0019462A" w:rsidRDefault="00931570" w14:paraId="664EF705" w14:textId="77777777">
      <w:pPr>
        <w:spacing w:line="360" w:lineRule="auto"/>
        <w:jc w:val="both"/>
        <w:rPr>
          <w:rFonts w:ascii="Palatino Linotype" w:hAnsi="Palatino Linotype" w:eastAsia="Calibri"/>
          <w:bCs/>
          <w:color w:val="000000" w:themeColor="text1"/>
          <w:sz w:val="22"/>
          <w:szCs w:val="22"/>
          <w:lang w:eastAsia="en-US"/>
        </w:rPr>
      </w:pPr>
    </w:p>
    <w:p w:rsidRPr="00CF09CB" w:rsidR="00931570" w:rsidP="0019462A" w:rsidRDefault="00931570" w14:paraId="7E6771E0" w14:textId="77777777">
      <w:pPr>
        <w:spacing w:line="360" w:lineRule="auto"/>
        <w:jc w:val="both"/>
        <w:rPr>
          <w:rFonts w:ascii="Palatino Linotype" w:hAnsi="Palatino Linotype" w:eastAsia="Calibri"/>
          <w:bCs/>
          <w:color w:val="000000" w:themeColor="text1"/>
          <w:sz w:val="22"/>
          <w:szCs w:val="22"/>
          <w:lang w:eastAsia="en-US"/>
        </w:rPr>
      </w:pPr>
      <w:r w:rsidRPr="00CF09CB">
        <w:rPr>
          <w:rFonts w:ascii="Palatino Linotype" w:hAnsi="Palatino Linotype" w:eastAsia="Calibri"/>
          <w:bCs/>
          <w:color w:val="000000" w:themeColor="text1"/>
          <w:sz w:val="22"/>
          <w:szCs w:val="22"/>
          <w:lang w:eastAsia="en-US"/>
        </w:rPr>
        <w:t>Bajo ese contexto, se analizarán si los datos mencionados, deben ser considerados confidenciales, en términos del artículo 143, fracción I, de la Ley de Transparencia y Acceso a la Información Pública del Estado de México y Municipios, o públicos.</w:t>
      </w:r>
    </w:p>
    <w:p w:rsidRPr="00CF09CB" w:rsidR="00931570" w:rsidP="0019462A" w:rsidRDefault="00931570" w14:paraId="1F0B3ACE" w14:textId="77777777">
      <w:pPr>
        <w:spacing w:line="360" w:lineRule="auto"/>
        <w:jc w:val="both"/>
        <w:rPr>
          <w:rFonts w:ascii="Palatino Linotype" w:hAnsi="Palatino Linotype" w:cs="Tahoma"/>
          <w:color w:val="000000"/>
          <w:sz w:val="22"/>
          <w:szCs w:val="22"/>
        </w:rPr>
      </w:pPr>
    </w:p>
    <w:p w:rsidRPr="00CF09CB" w:rsidR="00931570" w:rsidP="0019462A" w:rsidRDefault="00931570" w14:paraId="0BDAD2A6" w14:textId="77777777">
      <w:pPr>
        <w:numPr>
          <w:ilvl w:val="0"/>
          <w:numId w:val="41"/>
        </w:numPr>
        <w:spacing w:line="360" w:lineRule="auto"/>
        <w:jc w:val="both"/>
        <w:rPr>
          <w:rFonts w:ascii="Palatino Linotype" w:hAnsi="Palatino Linotype" w:eastAsia="Calibri"/>
          <w:b/>
          <w:bCs/>
          <w:iCs/>
          <w:color w:val="000000" w:themeColor="text1"/>
          <w:sz w:val="22"/>
          <w:szCs w:val="22"/>
          <w:lang w:val="es-ES_tradnl" w:eastAsia="en-US"/>
        </w:rPr>
      </w:pPr>
      <w:r w:rsidRPr="00CF09CB">
        <w:rPr>
          <w:rFonts w:ascii="Palatino Linotype" w:hAnsi="Palatino Linotype" w:eastAsia="Calibri"/>
          <w:b/>
          <w:bCs/>
          <w:iCs/>
          <w:color w:val="000000" w:themeColor="text1"/>
          <w:sz w:val="22"/>
          <w:szCs w:val="22"/>
          <w:lang w:val="es-ES_tradnl" w:eastAsia="en-US"/>
        </w:rPr>
        <w:lastRenderedPageBreak/>
        <w:t>Registro Federal de Contribuyentes (RFC).</w:t>
      </w:r>
    </w:p>
    <w:p w:rsidRPr="00CF09CB" w:rsidR="00931570" w:rsidP="0019462A" w:rsidRDefault="00931570" w14:paraId="64CFE486" w14:textId="77777777">
      <w:pPr>
        <w:spacing w:line="360" w:lineRule="auto"/>
        <w:jc w:val="both"/>
        <w:rPr>
          <w:rFonts w:ascii="Palatino Linotype" w:hAnsi="Palatino Linotype" w:eastAsia="Calibri"/>
          <w:bCs/>
          <w:iCs/>
          <w:color w:val="000000" w:themeColor="text1"/>
          <w:sz w:val="22"/>
          <w:szCs w:val="22"/>
          <w:lang w:eastAsia="en-US"/>
        </w:rPr>
      </w:pPr>
    </w:p>
    <w:p w:rsidRPr="00CF09CB" w:rsidR="00931570" w:rsidP="0019462A" w:rsidRDefault="00931570" w14:paraId="167EC7B1" w14:textId="77777777">
      <w:pPr>
        <w:spacing w:line="360" w:lineRule="auto"/>
        <w:jc w:val="both"/>
        <w:rPr>
          <w:rFonts w:ascii="Palatino Linotype" w:hAnsi="Palatino Linotype" w:eastAsia="Calibri"/>
          <w:bCs/>
          <w:iCs/>
          <w:color w:val="000000" w:themeColor="text1"/>
          <w:sz w:val="22"/>
          <w:szCs w:val="22"/>
          <w:lang w:eastAsia="en-US"/>
        </w:rPr>
      </w:pPr>
      <w:r w:rsidRPr="00CF09CB">
        <w:rPr>
          <w:rFonts w:ascii="Palatino Linotype" w:hAnsi="Palatino Linotype" w:eastAsia="Calibri"/>
          <w:bCs/>
          <w:iCs/>
          <w:color w:val="000000" w:themeColor="text1"/>
          <w:sz w:val="22"/>
          <w:szCs w:val="22"/>
          <w:lang w:eastAsia="en-US"/>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rsidRPr="00CF09CB" w:rsidR="00931570" w:rsidP="0019462A" w:rsidRDefault="00931570" w14:paraId="18BF9111" w14:textId="77777777">
      <w:pPr>
        <w:spacing w:line="360" w:lineRule="auto"/>
        <w:jc w:val="both"/>
        <w:rPr>
          <w:rFonts w:ascii="Palatino Linotype" w:hAnsi="Palatino Linotype" w:eastAsia="Calibri"/>
          <w:bCs/>
          <w:iCs/>
          <w:color w:val="000000" w:themeColor="text1"/>
          <w:sz w:val="22"/>
          <w:szCs w:val="22"/>
          <w:lang w:eastAsia="en-US"/>
        </w:rPr>
      </w:pPr>
    </w:p>
    <w:p w:rsidRPr="00CF09CB" w:rsidR="00931570" w:rsidP="0019462A" w:rsidRDefault="00931570" w14:paraId="082D02C2" w14:textId="77777777">
      <w:pPr>
        <w:spacing w:line="360" w:lineRule="auto"/>
        <w:jc w:val="both"/>
        <w:rPr>
          <w:rFonts w:ascii="Palatino Linotype" w:hAnsi="Palatino Linotype" w:eastAsia="Calibri"/>
          <w:bCs/>
          <w:iCs/>
          <w:color w:val="000000" w:themeColor="text1"/>
          <w:sz w:val="22"/>
          <w:szCs w:val="22"/>
          <w:lang w:eastAsia="en-US"/>
        </w:rPr>
      </w:pPr>
      <w:r w:rsidRPr="00CF09CB">
        <w:rPr>
          <w:rFonts w:ascii="Palatino Linotype" w:hAnsi="Palatino Linotype" w:eastAsia="Calibri"/>
          <w:bCs/>
          <w:iCs/>
          <w:color w:val="000000" w:themeColor="text1"/>
          <w:sz w:val="22"/>
          <w:szCs w:val="22"/>
          <w:lang w:eastAsia="en-US"/>
        </w:rPr>
        <w:t xml:space="preserve">De acuerdo a lo establecido en el artículo en comento, esta clave se compone de trece caracteres alfanuméricos, con datos obtenidos de los apellidos, nombre(s), fecha de nacimiento del titular, más una </w:t>
      </w:r>
      <w:proofErr w:type="spellStart"/>
      <w:r w:rsidRPr="00CF09CB">
        <w:rPr>
          <w:rFonts w:ascii="Palatino Linotype" w:hAnsi="Palatino Linotype" w:eastAsia="Calibri"/>
          <w:bCs/>
          <w:iCs/>
          <w:color w:val="000000" w:themeColor="text1"/>
          <w:sz w:val="22"/>
          <w:szCs w:val="22"/>
          <w:lang w:eastAsia="en-US"/>
        </w:rPr>
        <w:t>homoclave</w:t>
      </w:r>
      <w:proofErr w:type="spellEnd"/>
      <w:r w:rsidRPr="00CF09CB">
        <w:rPr>
          <w:rFonts w:ascii="Palatino Linotype" w:hAnsi="Palatino Linotype" w:eastAsia="Calibri"/>
          <w:bCs/>
          <w:iCs/>
          <w:color w:val="000000" w:themeColor="text1"/>
          <w:sz w:val="22"/>
          <w:szCs w:val="22"/>
          <w:lang w:eastAsia="en-US"/>
        </w:rPr>
        <w:t xml:space="preserve"> que establece el sistema automático del Servicio de Administración Tributaria.</w:t>
      </w:r>
    </w:p>
    <w:p w:rsidRPr="00CF09CB" w:rsidR="00931570" w:rsidP="0019462A" w:rsidRDefault="00931570" w14:paraId="41CF8E30" w14:textId="77777777">
      <w:pPr>
        <w:spacing w:line="360" w:lineRule="auto"/>
        <w:jc w:val="both"/>
        <w:rPr>
          <w:rFonts w:ascii="Palatino Linotype" w:hAnsi="Palatino Linotype" w:eastAsia="Calibri"/>
          <w:bCs/>
          <w:iCs/>
          <w:color w:val="000000" w:themeColor="text1"/>
          <w:sz w:val="22"/>
          <w:szCs w:val="22"/>
          <w:lang w:eastAsia="en-US"/>
        </w:rPr>
      </w:pPr>
    </w:p>
    <w:p w:rsidRPr="00CF09CB" w:rsidR="00931570" w:rsidP="0019462A" w:rsidRDefault="00931570" w14:paraId="528EACBD" w14:textId="77777777">
      <w:pPr>
        <w:spacing w:line="360" w:lineRule="auto"/>
        <w:jc w:val="both"/>
        <w:rPr>
          <w:rFonts w:ascii="Palatino Linotype" w:hAnsi="Palatino Linotype" w:eastAsia="Calibri"/>
          <w:bCs/>
          <w:iCs/>
          <w:color w:val="000000" w:themeColor="text1"/>
          <w:sz w:val="22"/>
          <w:szCs w:val="22"/>
          <w:lang w:eastAsia="en-US"/>
        </w:rPr>
      </w:pPr>
      <w:r w:rsidRPr="00CF09CB">
        <w:rPr>
          <w:rFonts w:ascii="Palatino Linotype" w:hAnsi="Palatino Linotype" w:eastAsia="Calibri"/>
          <w:bCs/>
          <w:iCs/>
          <w:color w:val="000000" w:themeColor="text1"/>
          <w:sz w:val="22"/>
          <w:szCs w:val="22"/>
          <w:lang w:eastAsia="en-US"/>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rsidRPr="00CF09CB" w:rsidR="00931570" w:rsidP="0019462A" w:rsidRDefault="00931570" w14:paraId="4685BEAE" w14:textId="77777777">
      <w:pPr>
        <w:spacing w:line="360" w:lineRule="auto"/>
        <w:jc w:val="both"/>
        <w:rPr>
          <w:rFonts w:ascii="Palatino Linotype" w:hAnsi="Palatino Linotype" w:eastAsia="Calibri"/>
          <w:bCs/>
          <w:iCs/>
          <w:color w:val="000000" w:themeColor="text1"/>
          <w:sz w:val="22"/>
          <w:szCs w:val="22"/>
          <w:lang w:eastAsia="en-US"/>
        </w:rPr>
      </w:pPr>
    </w:p>
    <w:p w:rsidRPr="00CF09CB" w:rsidR="00931570" w:rsidP="0019462A" w:rsidRDefault="00931570" w14:paraId="13F0E1E5" w14:textId="77777777">
      <w:pPr>
        <w:spacing w:line="360" w:lineRule="auto"/>
        <w:jc w:val="both"/>
        <w:rPr>
          <w:rFonts w:ascii="Palatino Linotype" w:hAnsi="Palatino Linotype" w:eastAsia="Calibri"/>
          <w:bCs/>
          <w:iCs/>
          <w:color w:val="000000" w:themeColor="text1"/>
          <w:sz w:val="22"/>
          <w:szCs w:val="22"/>
          <w:lang w:eastAsia="en-US"/>
        </w:rPr>
      </w:pPr>
      <w:r w:rsidRPr="00CF09CB">
        <w:rPr>
          <w:rFonts w:ascii="Palatino Linotype" w:hAnsi="Palatino Linotype" w:eastAsia="Calibri"/>
          <w:bCs/>
          <w:iCs/>
          <w:color w:val="000000" w:themeColor="text1"/>
          <w:sz w:val="22"/>
          <w:szCs w:val="22"/>
          <w:lang w:eastAsia="en-US"/>
        </w:rPr>
        <w:t xml:space="preserve">Así,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 </w:t>
      </w:r>
    </w:p>
    <w:p w:rsidRPr="00CF09CB" w:rsidR="00931570" w:rsidP="0019462A" w:rsidRDefault="00931570" w14:paraId="1B16C903" w14:textId="77777777">
      <w:pPr>
        <w:spacing w:line="360" w:lineRule="auto"/>
        <w:jc w:val="both"/>
        <w:rPr>
          <w:rFonts w:ascii="Palatino Linotype" w:hAnsi="Palatino Linotype" w:eastAsia="Calibri"/>
          <w:bCs/>
          <w:iCs/>
          <w:color w:val="000000" w:themeColor="text1"/>
          <w:sz w:val="22"/>
          <w:szCs w:val="22"/>
          <w:lang w:eastAsia="en-US"/>
        </w:rPr>
      </w:pPr>
    </w:p>
    <w:p w:rsidRPr="00CF09CB" w:rsidR="00931570" w:rsidP="0019462A" w:rsidRDefault="00931570" w14:paraId="542A421E" w14:textId="77777777">
      <w:pPr>
        <w:spacing w:line="360" w:lineRule="auto"/>
        <w:jc w:val="both"/>
        <w:rPr>
          <w:rFonts w:ascii="Palatino Linotype" w:hAnsi="Palatino Linotype" w:eastAsia="Calibri"/>
          <w:bCs/>
          <w:iCs/>
          <w:color w:val="000000" w:themeColor="text1"/>
          <w:sz w:val="22"/>
          <w:szCs w:val="22"/>
          <w:lang w:eastAsia="en-US"/>
        </w:rPr>
      </w:pPr>
      <w:r w:rsidRPr="00CF09CB">
        <w:rPr>
          <w:rFonts w:ascii="Palatino Linotype" w:hAnsi="Palatino Linotype" w:eastAsia="Calibri"/>
          <w:bCs/>
          <w:iCs/>
          <w:color w:val="000000" w:themeColor="text1"/>
          <w:sz w:val="22"/>
          <w:szCs w:val="22"/>
          <w:lang w:eastAsia="en-US"/>
        </w:rPr>
        <w:lastRenderedPageBreak/>
        <w:t>Lo anterior, resulta congruente con el Criterio 19/17 emitido por el Instituto Nacional de Transparencia, Acceso a la Información y Protección de Datos Personales, en el cual se señala lo siguiente:</w:t>
      </w:r>
    </w:p>
    <w:p w:rsidRPr="00CF09CB" w:rsidR="00931570" w:rsidP="0019462A" w:rsidRDefault="00931570" w14:paraId="7437646B" w14:textId="77777777">
      <w:pPr>
        <w:spacing w:line="360" w:lineRule="auto"/>
        <w:jc w:val="both"/>
        <w:rPr>
          <w:rFonts w:ascii="Palatino Linotype" w:hAnsi="Palatino Linotype" w:eastAsia="Calibri"/>
          <w:bCs/>
          <w:iCs/>
          <w:color w:val="000000" w:themeColor="text1"/>
          <w:sz w:val="22"/>
          <w:szCs w:val="22"/>
          <w:lang w:eastAsia="en-US"/>
        </w:rPr>
      </w:pPr>
    </w:p>
    <w:p w:rsidRPr="00CF09CB" w:rsidR="00931570" w:rsidP="0019462A" w:rsidRDefault="00931570" w14:paraId="0C144FD1" w14:textId="77777777">
      <w:pPr>
        <w:spacing w:line="360" w:lineRule="auto"/>
        <w:ind w:left="567" w:right="567"/>
        <w:jc w:val="both"/>
        <w:rPr>
          <w:rFonts w:ascii="Palatino Linotype" w:hAnsi="Palatino Linotype" w:eastAsia="Calibri"/>
          <w:bCs/>
          <w:i/>
          <w:iCs/>
          <w:color w:val="000000" w:themeColor="text1"/>
          <w:sz w:val="20"/>
          <w:szCs w:val="20"/>
          <w:lang w:eastAsia="en-US"/>
        </w:rPr>
      </w:pPr>
      <w:r w:rsidRPr="00CF09CB">
        <w:rPr>
          <w:rFonts w:ascii="Palatino Linotype" w:hAnsi="Palatino Linotype" w:eastAsia="Calibri"/>
          <w:b/>
          <w:bCs/>
          <w:i/>
          <w:iCs/>
          <w:color w:val="000000" w:themeColor="text1"/>
          <w:sz w:val="20"/>
          <w:szCs w:val="20"/>
          <w:lang w:eastAsia="en-US"/>
        </w:rPr>
        <w:t>“Registro Federal de Contribuyentes (RFC) de personas físicas.</w:t>
      </w:r>
      <w:r w:rsidRPr="00CF09CB">
        <w:rPr>
          <w:rFonts w:ascii="Palatino Linotype" w:hAnsi="Palatino Linotype" w:eastAsia="Calibri"/>
          <w:bCs/>
          <w:i/>
          <w:iCs/>
          <w:color w:val="000000" w:themeColor="text1"/>
          <w:sz w:val="20"/>
          <w:szCs w:val="20"/>
          <w:lang w:eastAsia="en-US"/>
        </w:rPr>
        <w:t xml:space="preserve"> El RFC es una clave de carácter fiscal, única e irrepetible, que permite identificar al titular, su edad y fecha de nacimiento, por lo que es un dato personal de carácter confidencial.”</w:t>
      </w:r>
    </w:p>
    <w:p w:rsidRPr="00CF09CB" w:rsidR="00931570" w:rsidP="0019462A" w:rsidRDefault="00931570" w14:paraId="0246AA9E" w14:textId="77777777">
      <w:pPr>
        <w:spacing w:line="360" w:lineRule="auto"/>
        <w:jc w:val="both"/>
        <w:rPr>
          <w:rFonts w:ascii="Palatino Linotype" w:hAnsi="Palatino Linotype" w:eastAsia="Calibri"/>
          <w:bCs/>
          <w:iCs/>
          <w:color w:val="000000" w:themeColor="text1"/>
          <w:sz w:val="22"/>
          <w:szCs w:val="22"/>
          <w:lang w:eastAsia="en-US"/>
        </w:rPr>
      </w:pPr>
    </w:p>
    <w:p w:rsidRPr="00CF09CB" w:rsidR="00931570" w:rsidP="0019462A" w:rsidRDefault="00931570" w14:paraId="6C0C30E2" w14:textId="77777777">
      <w:pPr>
        <w:spacing w:line="360" w:lineRule="auto"/>
        <w:jc w:val="both"/>
        <w:rPr>
          <w:rFonts w:ascii="Palatino Linotype" w:hAnsi="Palatino Linotype" w:eastAsia="Calibri"/>
          <w:bCs/>
          <w:iCs/>
          <w:color w:val="000000" w:themeColor="text1"/>
          <w:sz w:val="22"/>
          <w:szCs w:val="22"/>
          <w:lang w:eastAsia="en-US"/>
        </w:rPr>
      </w:pPr>
      <w:r w:rsidRPr="00CF09CB">
        <w:rPr>
          <w:rFonts w:ascii="Palatino Linotype" w:hAnsi="Palatino Linotype" w:eastAsia="Calibri"/>
          <w:bCs/>
          <w:iCs/>
          <w:color w:val="000000" w:themeColor="text1"/>
          <w:sz w:val="22"/>
          <w:szCs w:val="22"/>
          <w:lang w:eastAsia="en-US"/>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rsidRPr="00CF09CB" w:rsidR="0051767C" w:rsidP="0019462A" w:rsidRDefault="0051767C" w14:paraId="14FAD88D" w14:textId="720C8797">
      <w:pPr>
        <w:spacing w:line="360" w:lineRule="auto"/>
        <w:jc w:val="both"/>
        <w:rPr>
          <w:rFonts w:ascii="Palatino Linotype" w:hAnsi="Palatino Linotype" w:eastAsia="Calibri" w:cs="Tahoma"/>
          <w:color w:val="000000"/>
          <w:sz w:val="22"/>
        </w:rPr>
      </w:pPr>
    </w:p>
    <w:p w:rsidRPr="00CF09CB" w:rsidR="00931570" w:rsidP="0019462A" w:rsidRDefault="00931570" w14:paraId="106E65DC" w14:textId="77777777">
      <w:pPr>
        <w:numPr>
          <w:ilvl w:val="0"/>
          <w:numId w:val="42"/>
        </w:numPr>
        <w:spacing w:line="360" w:lineRule="auto"/>
        <w:jc w:val="both"/>
        <w:rPr>
          <w:rFonts w:ascii="Palatino Linotype" w:hAnsi="Palatino Linotype" w:eastAsia="Calibri"/>
          <w:b/>
          <w:bCs/>
          <w:color w:val="000000" w:themeColor="text1"/>
          <w:sz w:val="22"/>
          <w:szCs w:val="22"/>
          <w:lang w:eastAsia="en-US"/>
        </w:rPr>
      </w:pPr>
      <w:r w:rsidRPr="00CF09CB">
        <w:rPr>
          <w:rFonts w:ascii="Palatino Linotype" w:hAnsi="Palatino Linotype" w:eastAsia="Calibri"/>
          <w:b/>
          <w:bCs/>
          <w:color w:val="000000" w:themeColor="text1"/>
          <w:sz w:val="22"/>
          <w:szCs w:val="22"/>
          <w:lang w:eastAsia="en-US"/>
        </w:rPr>
        <w:t xml:space="preserve">Cuenta bancaria de servidores públicos. </w:t>
      </w:r>
    </w:p>
    <w:p w:rsidRPr="00CF09CB" w:rsidR="00931570" w:rsidP="0019462A" w:rsidRDefault="00931570" w14:paraId="76466FE0" w14:textId="77777777">
      <w:pPr>
        <w:spacing w:line="360" w:lineRule="auto"/>
        <w:jc w:val="both"/>
        <w:rPr>
          <w:rFonts w:ascii="Palatino Linotype" w:hAnsi="Palatino Linotype" w:eastAsia="Calibri"/>
          <w:bCs/>
          <w:color w:val="000000" w:themeColor="text1"/>
          <w:sz w:val="22"/>
          <w:szCs w:val="22"/>
          <w:lang w:eastAsia="en-US"/>
        </w:rPr>
      </w:pPr>
    </w:p>
    <w:p w:rsidRPr="00CF09CB" w:rsidR="00931570" w:rsidP="0019462A" w:rsidRDefault="00931570" w14:paraId="073EE51B" w14:textId="77777777">
      <w:pPr>
        <w:spacing w:line="360" w:lineRule="auto"/>
        <w:jc w:val="both"/>
        <w:rPr>
          <w:rFonts w:ascii="Palatino Linotype" w:hAnsi="Palatino Linotype" w:eastAsia="Calibri"/>
          <w:bCs/>
          <w:color w:val="000000" w:themeColor="text1"/>
          <w:sz w:val="22"/>
          <w:szCs w:val="22"/>
          <w:lang w:eastAsia="en-US"/>
        </w:rPr>
      </w:pPr>
      <w:r w:rsidRPr="00CF09CB">
        <w:rPr>
          <w:rFonts w:ascii="Palatino Linotype" w:hAnsi="Palatino Linotype" w:eastAsia="Calibri"/>
          <w:bCs/>
          <w:color w:val="000000" w:themeColor="text1"/>
          <w:sz w:val="22"/>
          <w:szCs w:val="22"/>
          <w:lang w:eastAsia="en-US"/>
        </w:rPr>
        <w:t>Al respecto, se estima que dicho dato se relaciona con hechos y actos de carácter económico, pues los mismos darían cuenta, de la relación que tiene una institución financiero con un servidor público, en su carácter de particular; además, que con dicha información se podría obtener los recursos enviados a las órdenes de cargo, pago de nómina o a las transferencias electrónicas e fondos interbancarios, entre otros movimientos que sean utilizados exclusivamente en la cuenta señalada por el cliente y por lo tanto, los datos bancarios corresponden a información que se encuentra relacionada con el patrimonio de la persona titular de la cuenta.</w:t>
      </w:r>
    </w:p>
    <w:p w:rsidRPr="00CF09CB" w:rsidR="007D2272" w:rsidP="0019462A" w:rsidRDefault="007D2272" w14:paraId="1A29DF65" w14:textId="77777777">
      <w:pPr>
        <w:spacing w:line="360" w:lineRule="auto"/>
        <w:jc w:val="both"/>
        <w:rPr>
          <w:rFonts w:ascii="Palatino Linotype" w:hAnsi="Palatino Linotype" w:eastAsia="Calibri"/>
          <w:bCs/>
          <w:color w:val="000000" w:themeColor="text1"/>
          <w:sz w:val="22"/>
          <w:szCs w:val="22"/>
          <w:lang w:eastAsia="en-US"/>
        </w:rPr>
      </w:pPr>
    </w:p>
    <w:p w:rsidRPr="00CF09CB" w:rsidR="007D2272" w:rsidP="0019462A" w:rsidRDefault="007D2272" w14:paraId="6F59AB8B" w14:textId="77777777">
      <w:pPr>
        <w:spacing w:line="360" w:lineRule="auto"/>
        <w:jc w:val="both"/>
        <w:rPr>
          <w:rFonts w:ascii="Palatino Linotype" w:hAnsi="Palatino Linotype" w:eastAsia="Calibri"/>
          <w:bCs/>
          <w:color w:val="000000" w:themeColor="text1"/>
          <w:sz w:val="22"/>
          <w:szCs w:val="22"/>
          <w:lang w:eastAsia="en-US"/>
        </w:rPr>
      </w:pPr>
    </w:p>
    <w:p w:rsidRPr="00CF09CB" w:rsidR="007D2272" w:rsidP="0019462A" w:rsidRDefault="007D2272" w14:paraId="308777AC" w14:textId="77777777">
      <w:pPr>
        <w:spacing w:line="360" w:lineRule="auto"/>
        <w:jc w:val="both"/>
        <w:rPr>
          <w:rFonts w:ascii="Palatino Linotype" w:hAnsi="Palatino Linotype" w:eastAsia="Calibri"/>
          <w:bCs/>
          <w:color w:val="000000" w:themeColor="text1"/>
          <w:sz w:val="22"/>
          <w:szCs w:val="22"/>
          <w:lang w:eastAsia="en-US"/>
        </w:rPr>
      </w:pPr>
    </w:p>
    <w:p w:rsidRPr="00CF09CB" w:rsidR="007D2272" w:rsidP="0019462A" w:rsidRDefault="007D2272" w14:paraId="1A666D56" w14:textId="77777777">
      <w:pPr>
        <w:spacing w:line="360" w:lineRule="auto"/>
        <w:jc w:val="both"/>
        <w:rPr>
          <w:rFonts w:ascii="Palatino Linotype" w:hAnsi="Palatino Linotype" w:eastAsia="Calibri"/>
          <w:bCs/>
          <w:color w:val="000000" w:themeColor="text1"/>
          <w:sz w:val="22"/>
          <w:szCs w:val="22"/>
          <w:lang w:eastAsia="en-US"/>
        </w:rPr>
      </w:pPr>
    </w:p>
    <w:p w:rsidRPr="00CF09CB" w:rsidR="00931570" w:rsidP="0019462A" w:rsidRDefault="00931570" w14:paraId="6755EE0D" w14:textId="5806DD58">
      <w:pPr>
        <w:spacing w:line="360" w:lineRule="auto"/>
        <w:jc w:val="both"/>
        <w:rPr>
          <w:rFonts w:ascii="Palatino Linotype" w:hAnsi="Palatino Linotype" w:eastAsia="Calibri"/>
          <w:bCs/>
          <w:color w:val="000000" w:themeColor="text1"/>
          <w:sz w:val="22"/>
          <w:szCs w:val="22"/>
          <w:lang w:eastAsia="en-US"/>
        </w:rPr>
      </w:pPr>
      <w:r w:rsidRPr="00CF09CB">
        <w:rPr>
          <w:rFonts w:ascii="Palatino Linotype" w:hAnsi="Palatino Linotype" w:eastAsia="Calibri"/>
          <w:bCs/>
          <w:color w:val="000000" w:themeColor="text1"/>
          <w:sz w:val="22"/>
          <w:szCs w:val="22"/>
          <w:lang w:eastAsia="en-US"/>
        </w:rPr>
        <w:t>A mayor abundamiento, resulta necesario traer a colación el Criterio 10/17 emitido por el Instituto Nacional de Transparencia, Acceso a la Información y Protección de Datos Personales, mismo que establece lo siguiente:</w:t>
      </w:r>
    </w:p>
    <w:p w:rsidRPr="00CF09CB" w:rsidR="00931570" w:rsidP="0019462A" w:rsidRDefault="00931570" w14:paraId="669A57B0" w14:textId="77777777">
      <w:pPr>
        <w:spacing w:line="360" w:lineRule="auto"/>
        <w:jc w:val="both"/>
        <w:rPr>
          <w:rFonts w:ascii="Palatino Linotype" w:hAnsi="Palatino Linotype" w:eastAsia="Calibri"/>
          <w:bCs/>
          <w:color w:val="000000" w:themeColor="text1"/>
          <w:sz w:val="22"/>
          <w:szCs w:val="22"/>
          <w:lang w:eastAsia="en-US"/>
        </w:rPr>
      </w:pPr>
    </w:p>
    <w:p w:rsidRPr="00CF09CB" w:rsidR="00931570" w:rsidP="0019462A" w:rsidRDefault="00931570" w14:paraId="4A22FB84" w14:textId="77777777">
      <w:pPr>
        <w:spacing w:line="360" w:lineRule="auto"/>
        <w:ind w:left="567" w:right="567"/>
        <w:jc w:val="both"/>
        <w:rPr>
          <w:rFonts w:ascii="Palatino Linotype" w:hAnsi="Palatino Linotype" w:eastAsia="Calibri"/>
          <w:bCs/>
          <w:i/>
          <w:color w:val="000000" w:themeColor="text1"/>
          <w:sz w:val="20"/>
          <w:szCs w:val="20"/>
          <w:lang w:eastAsia="en-US"/>
        </w:rPr>
      </w:pPr>
      <w:r w:rsidRPr="00CF09CB">
        <w:rPr>
          <w:rFonts w:ascii="Palatino Linotype" w:hAnsi="Palatino Linotype" w:eastAsia="Calibri"/>
          <w:bCs/>
          <w:i/>
          <w:color w:val="000000" w:themeColor="text1"/>
          <w:sz w:val="20"/>
          <w:szCs w:val="20"/>
          <w:lang w:eastAsia="en-US"/>
        </w:rPr>
        <w:t>“</w:t>
      </w:r>
      <w:r w:rsidRPr="00CF09CB">
        <w:rPr>
          <w:rFonts w:ascii="Palatino Linotype" w:hAnsi="Palatino Linotype" w:eastAsia="Calibri"/>
          <w:b/>
          <w:bCs/>
          <w:i/>
          <w:color w:val="000000" w:themeColor="text1"/>
          <w:sz w:val="20"/>
          <w:szCs w:val="20"/>
          <w:lang w:eastAsia="en-US"/>
        </w:rPr>
        <w:t>Cuentas bancarias y/o CLABE interbancaria de personas físicas y morales privadas.</w:t>
      </w:r>
      <w:r w:rsidRPr="00CF09CB">
        <w:rPr>
          <w:rFonts w:ascii="Palatino Linotype" w:hAnsi="Palatino Linotype" w:eastAsia="Calibri"/>
          <w:bCs/>
          <w:i/>
          <w:color w:val="000000" w:themeColor="text1"/>
          <w:sz w:val="20"/>
          <w:szCs w:val="20"/>
          <w:lang w:eastAsia="en-US"/>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Pr="00CF09CB" w:rsidR="00931570" w:rsidP="0019462A" w:rsidRDefault="00931570" w14:paraId="3B17C51B" w14:textId="77777777">
      <w:pPr>
        <w:spacing w:line="360" w:lineRule="auto"/>
        <w:jc w:val="both"/>
        <w:rPr>
          <w:rFonts w:ascii="Palatino Linotype" w:hAnsi="Palatino Linotype" w:eastAsia="Calibri"/>
          <w:bCs/>
          <w:color w:val="000000" w:themeColor="text1"/>
          <w:sz w:val="22"/>
          <w:szCs w:val="22"/>
          <w:lang w:eastAsia="en-US"/>
        </w:rPr>
      </w:pPr>
    </w:p>
    <w:p w:rsidRPr="00CF09CB" w:rsidR="00931570" w:rsidP="0019462A" w:rsidRDefault="00931570" w14:paraId="19F16198" w14:textId="77777777">
      <w:pPr>
        <w:spacing w:line="360" w:lineRule="auto"/>
        <w:jc w:val="both"/>
        <w:rPr>
          <w:rFonts w:ascii="Palatino Linotype" w:hAnsi="Palatino Linotype" w:eastAsia="Calibri"/>
          <w:bCs/>
          <w:color w:val="000000" w:themeColor="text1"/>
          <w:sz w:val="22"/>
          <w:szCs w:val="22"/>
          <w:lang w:eastAsia="en-US"/>
        </w:rPr>
      </w:pPr>
      <w:r w:rsidRPr="00CF09CB">
        <w:rPr>
          <w:rFonts w:ascii="Palatino Linotype" w:hAnsi="Palatino Linotype" w:eastAsia="Calibri"/>
          <w:bCs/>
          <w:color w:val="000000" w:themeColor="text1"/>
          <w:sz w:val="22"/>
          <w:szCs w:val="22"/>
          <w:lang w:eastAsia="en-US"/>
        </w:rPr>
        <w:t>Por lo cual, se puede colegir que dichos datos no guardan relación con el servicio público ni con los recursos públicos, pues solo corresponde a información, que le atañe a la institución financiera y al cliente; por lo que este número constituye información confidencial al pertenecer exclusivamente al ámbito de la vida privada del trabajador y procede su eliminación de conformidad con el artículo 143, fracción I, de la Ley de Transparencia y Acceso a la Información Pública del Estado de México y Municipios.</w:t>
      </w:r>
    </w:p>
    <w:p w:rsidRPr="00CF09CB" w:rsidR="00931570" w:rsidP="0019462A" w:rsidRDefault="00931570" w14:paraId="65BA9979" w14:textId="77777777">
      <w:pPr>
        <w:spacing w:line="360" w:lineRule="auto"/>
        <w:jc w:val="both"/>
        <w:rPr>
          <w:rFonts w:ascii="Palatino Linotype" w:hAnsi="Palatino Linotype" w:eastAsia="Calibri" w:cs="Tahoma"/>
          <w:color w:val="000000"/>
          <w:sz w:val="22"/>
        </w:rPr>
      </w:pPr>
    </w:p>
    <w:p w:rsidRPr="00CF09CB" w:rsidR="00DF11F5" w:rsidP="0019462A" w:rsidRDefault="00DF11F5" w14:paraId="5B12A5EA" w14:textId="63A5431D">
      <w:pPr>
        <w:spacing w:line="360" w:lineRule="auto"/>
        <w:ind w:right="-93"/>
        <w:jc w:val="both"/>
        <w:rPr>
          <w:rFonts w:ascii="Palatino Linotype" w:hAnsi="Palatino Linotype" w:eastAsia="Calibri" w:cs="Tahoma"/>
          <w:bCs/>
          <w:color w:val="000000" w:themeColor="text1"/>
          <w:sz w:val="22"/>
          <w:szCs w:val="22"/>
          <w:lang w:val="es-ES_tradnl" w:eastAsia="en-US"/>
        </w:rPr>
      </w:pPr>
      <w:r w:rsidRPr="00CF09CB">
        <w:rPr>
          <w:rFonts w:ascii="Palatino Linotype" w:hAnsi="Palatino Linotype" w:eastAsia="Calibri" w:cs="Tahoma"/>
          <w:bCs/>
          <w:color w:val="000000" w:themeColor="text1"/>
          <w:sz w:val="22"/>
          <w:szCs w:val="22"/>
          <w:lang w:val="es-ES_tradnl" w:eastAsia="en-US"/>
        </w:rPr>
        <w:t xml:space="preserve">Ahora bien, no pasa desapercibido, que conforme a los artículos </w:t>
      </w:r>
      <w:r w:rsidRPr="00CF09CB" w:rsidR="00F262EC">
        <w:rPr>
          <w:rFonts w:ascii="Palatino Linotype" w:hAnsi="Palatino Linotype" w:eastAsia="Calibri" w:cs="Tahoma"/>
          <w:bCs/>
          <w:color w:val="000000" w:themeColor="text1"/>
          <w:sz w:val="22"/>
          <w:szCs w:val="22"/>
          <w:lang w:val="es-ES_tradnl" w:eastAsia="en-US"/>
        </w:rPr>
        <w:t>49</w:t>
      </w:r>
      <w:r w:rsidRPr="00CF09CB">
        <w:rPr>
          <w:rFonts w:ascii="Palatino Linotype" w:hAnsi="Palatino Linotype" w:eastAsia="Calibri" w:cs="Tahoma"/>
          <w:bCs/>
          <w:color w:val="000000" w:themeColor="text1"/>
          <w:sz w:val="22"/>
          <w:szCs w:val="22"/>
          <w:lang w:val="es-ES_tradnl" w:eastAsia="en-US"/>
        </w:rPr>
        <w:t>, fracción V</w:t>
      </w:r>
      <w:r w:rsidRPr="00CF09CB" w:rsidR="00F262EC">
        <w:rPr>
          <w:rFonts w:ascii="Palatino Linotype" w:hAnsi="Palatino Linotype" w:eastAsia="Calibri" w:cs="Tahoma"/>
          <w:bCs/>
          <w:color w:val="000000" w:themeColor="text1"/>
          <w:sz w:val="22"/>
          <w:szCs w:val="22"/>
          <w:lang w:val="es-ES_tradnl" w:eastAsia="en-US"/>
        </w:rPr>
        <w:t>I, inciso 5</w:t>
      </w:r>
      <w:r w:rsidRPr="00CF09CB">
        <w:rPr>
          <w:rFonts w:ascii="Palatino Linotype" w:hAnsi="Palatino Linotype" w:eastAsia="Calibri" w:cs="Tahoma"/>
          <w:bCs/>
          <w:color w:val="000000" w:themeColor="text1"/>
          <w:sz w:val="22"/>
          <w:szCs w:val="22"/>
          <w:lang w:val="es-ES_tradnl" w:eastAsia="en-US"/>
        </w:rPr>
        <w:t xml:space="preserve">, numeral o, y </w:t>
      </w:r>
      <w:r w:rsidRPr="00CF09CB" w:rsidR="00F262EC">
        <w:rPr>
          <w:rFonts w:ascii="Palatino Linotype" w:hAnsi="Palatino Linotype" w:eastAsia="Calibri" w:cs="Tahoma"/>
          <w:bCs/>
          <w:color w:val="000000" w:themeColor="text1"/>
          <w:sz w:val="22"/>
          <w:szCs w:val="22"/>
          <w:lang w:val="es-ES_tradnl" w:eastAsia="en-US"/>
        </w:rPr>
        <w:t>59</w:t>
      </w:r>
      <w:r w:rsidRPr="00CF09CB">
        <w:rPr>
          <w:rFonts w:ascii="Palatino Linotype" w:hAnsi="Palatino Linotype" w:eastAsia="Calibri" w:cs="Tahoma"/>
          <w:bCs/>
          <w:color w:val="000000" w:themeColor="text1"/>
          <w:sz w:val="22"/>
          <w:szCs w:val="22"/>
          <w:lang w:val="es-ES_tradnl" w:eastAsia="en-US"/>
        </w:rPr>
        <w:t xml:space="preserve"> del Bando Municipal, dos mil veintidós, de Nezahualcóyotl, el Sujeto Obligado cuenta con la Dirección </w:t>
      </w:r>
      <w:r w:rsidRPr="00CF09CB" w:rsidR="00F262EC">
        <w:rPr>
          <w:rFonts w:ascii="Palatino Linotype" w:hAnsi="Palatino Linotype" w:eastAsia="Calibri" w:cs="Tahoma"/>
          <w:bCs/>
          <w:color w:val="000000" w:themeColor="text1"/>
          <w:sz w:val="22"/>
          <w:szCs w:val="22"/>
          <w:lang w:val="es-ES_tradnl" w:eastAsia="en-US"/>
        </w:rPr>
        <w:t>General de Seguridad Ciudadana</w:t>
      </w:r>
      <w:r w:rsidRPr="00CF09CB">
        <w:rPr>
          <w:rFonts w:ascii="Palatino Linotype" w:hAnsi="Palatino Linotype" w:eastAsia="Calibri" w:cs="Tahoma"/>
          <w:bCs/>
          <w:color w:val="000000" w:themeColor="text1"/>
          <w:sz w:val="22"/>
          <w:szCs w:val="22"/>
          <w:lang w:val="es-ES_tradnl" w:eastAsia="en-US"/>
        </w:rPr>
        <w:t>, encargada de salvaguardar y garantizar el orden público y la paz social, así como de  la prevención, combate y persecución de delitos; por lo que, este Instituto considera que en dicha área existen servidores públicos que realizan funciones operativas en materia de seguridad pública.</w:t>
      </w:r>
    </w:p>
    <w:p w:rsidRPr="00CF09CB" w:rsidR="00DF11F5" w:rsidP="0019462A" w:rsidRDefault="00DF11F5" w14:paraId="0945FFA7" w14:textId="667D3316">
      <w:pPr>
        <w:spacing w:line="360" w:lineRule="auto"/>
        <w:ind w:right="-93"/>
        <w:jc w:val="both"/>
        <w:rPr>
          <w:rFonts w:ascii="Palatino Linotype" w:hAnsi="Palatino Linotype" w:eastAsia="Calibri" w:cs="Tahoma"/>
          <w:bCs/>
          <w:color w:val="000000" w:themeColor="text1"/>
          <w:sz w:val="22"/>
          <w:szCs w:val="22"/>
          <w:lang w:val="es-ES_tradnl" w:eastAsia="en-US"/>
        </w:rPr>
      </w:pPr>
    </w:p>
    <w:p w:rsidRPr="00CF09CB" w:rsidR="007D2272" w:rsidP="0019462A" w:rsidRDefault="007D2272" w14:paraId="6C1DD1B2" w14:textId="4F02796C">
      <w:pPr>
        <w:spacing w:line="360" w:lineRule="auto"/>
        <w:ind w:right="-93"/>
        <w:jc w:val="both"/>
        <w:rPr>
          <w:rFonts w:ascii="Palatino Linotype" w:hAnsi="Palatino Linotype" w:eastAsia="Calibri" w:cs="Tahoma"/>
          <w:bCs/>
          <w:color w:val="000000" w:themeColor="text1"/>
          <w:sz w:val="22"/>
          <w:szCs w:val="22"/>
          <w:lang w:val="es-ES_tradnl" w:eastAsia="en-US"/>
        </w:rPr>
      </w:pPr>
    </w:p>
    <w:p w:rsidRPr="00CF09CB" w:rsidR="007D2272" w:rsidP="0019462A" w:rsidRDefault="007D2272" w14:paraId="2CF90378" w14:textId="77777777">
      <w:pPr>
        <w:spacing w:line="360" w:lineRule="auto"/>
        <w:ind w:right="-93"/>
        <w:jc w:val="both"/>
        <w:rPr>
          <w:rFonts w:ascii="Palatino Linotype" w:hAnsi="Palatino Linotype" w:eastAsia="Calibri" w:cs="Tahoma"/>
          <w:bCs/>
          <w:color w:val="000000" w:themeColor="text1"/>
          <w:sz w:val="22"/>
          <w:szCs w:val="22"/>
          <w:lang w:val="es-ES_tradnl" w:eastAsia="en-US"/>
        </w:rPr>
      </w:pPr>
    </w:p>
    <w:p w:rsidRPr="00CF09CB" w:rsidR="00DF11F5" w:rsidP="0019462A" w:rsidRDefault="00DF11F5" w14:paraId="7573F9D1" w14:textId="77777777">
      <w:pPr>
        <w:spacing w:line="360" w:lineRule="auto"/>
        <w:jc w:val="both"/>
        <w:rPr>
          <w:rFonts w:ascii="Palatino Linotype" w:hAnsi="Palatino Linotype" w:eastAsia="Calibri"/>
          <w:sz w:val="22"/>
          <w:szCs w:val="20"/>
          <w:lang w:eastAsia="es-ES"/>
        </w:rPr>
      </w:pPr>
      <w:r w:rsidRPr="00CF09CB">
        <w:rPr>
          <w:rFonts w:ascii="Palatino Linotype" w:hAnsi="Palatino Linotype" w:eastAsia="Calibri"/>
          <w:sz w:val="22"/>
          <w:szCs w:val="20"/>
          <w:lang w:eastAsia="es-ES"/>
        </w:rPr>
        <w:t>Así resulta necesario analizar si el nombre de dichos trabajadores actualiza alguna causal de clasificación; al respecto, el artículo 140, fracción IV, de la Ley de Transparencia y Acceso a la Información Pública del Estado de México y Municipios, homólogo a parte del artículo 113, fracción V de la Ley General de Transparencia y Acceso a la Información Pública), prevé lo siguiente:</w:t>
      </w:r>
    </w:p>
    <w:p w:rsidRPr="00CF09CB" w:rsidR="00DF11F5" w:rsidP="0019462A" w:rsidRDefault="00DF11F5" w14:paraId="7D43B1C5" w14:textId="77777777">
      <w:pPr>
        <w:spacing w:line="360" w:lineRule="auto"/>
        <w:jc w:val="both"/>
        <w:rPr>
          <w:rFonts w:ascii="Palatino Linotype" w:hAnsi="Palatino Linotype" w:cs="Tahoma"/>
          <w:sz w:val="22"/>
          <w:szCs w:val="22"/>
          <w:lang w:eastAsia="es-ES"/>
        </w:rPr>
      </w:pPr>
    </w:p>
    <w:p w:rsidRPr="00CF09CB" w:rsidR="00DF11F5" w:rsidP="0019462A" w:rsidRDefault="00DF11F5" w14:paraId="2907D3AB" w14:textId="77777777">
      <w:pPr>
        <w:tabs>
          <w:tab w:val="left" w:pos="4962"/>
        </w:tabs>
        <w:spacing w:line="360" w:lineRule="auto"/>
        <w:ind w:left="567" w:right="567"/>
        <w:jc w:val="both"/>
        <w:rPr>
          <w:rFonts w:ascii="Palatino Linotype" w:hAnsi="Palatino Linotype" w:eastAsia="Calibri" w:cs="Tahoma"/>
          <w:i/>
          <w:iCs/>
          <w:sz w:val="20"/>
          <w:szCs w:val="20"/>
          <w:lang w:val="es-ES" w:eastAsia="es-ES_tradnl"/>
        </w:rPr>
      </w:pPr>
      <w:r w:rsidRPr="00CF09CB">
        <w:rPr>
          <w:rFonts w:ascii="Palatino Linotype" w:hAnsi="Palatino Linotype" w:eastAsia="Calibri" w:cs="Tahoma"/>
          <w:i/>
          <w:iCs/>
          <w:sz w:val="20"/>
          <w:szCs w:val="20"/>
          <w:lang w:val="es-ES" w:eastAsia="es-ES_tradnl"/>
        </w:rPr>
        <w:t>“</w:t>
      </w:r>
      <w:r w:rsidRPr="00CF09CB">
        <w:rPr>
          <w:rFonts w:ascii="Palatino Linotype" w:hAnsi="Palatino Linotype" w:eastAsia="Calibri" w:cs="Tahoma"/>
          <w:b/>
          <w:i/>
          <w:iCs/>
          <w:sz w:val="20"/>
          <w:szCs w:val="20"/>
          <w:lang w:val="es-ES" w:eastAsia="es-ES_tradnl"/>
        </w:rPr>
        <w:t>Artículo 140.</w:t>
      </w:r>
      <w:r w:rsidRPr="00CF09CB">
        <w:rPr>
          <w:rFonts w:ascii="Palatino Linotype" w:hAnsi="Palatino Linotype" w:eastAsia="Calibri" w:cs="Tahoma"/>
          <w:i/>
          <w:iCs/>
          <w:sz w:val="20"/>
          <w:szCs w:val="20"/>
          <w:lang w:val="es-ES" w:eastAsia="es-ES_tradnl"/>
        </w:rPr>
        <w:t xml:space="preserve"> El acceso a la información pública será restringido excepcionalmente, cuando por razones de interés público, ésta sea clasificada como reservada, conforme a los criterios siguientes: </w:t>
      </w:r>
    </w:p>
    <w:p w:rsidRPr="00CF09CB" w:rsidR="00DF11F5" w:rsidP="0019462A" w:rsidRDefault="00DF11F5" w14:paraId="2C501FC3" w14:textId="77777777">
      <w:pPr>
        <w:tabs>
          <w:tab w:val="left" w:pos="4962"/>
        </w:tabs>
        <w:spacing w:line="360" w:lineRule="auto"/>
        <w:ind w:left="567" w:right="567"/>
        <w:jc w:val="both"/>
        <w:rPr>
          <w:rFonts w:ascii="Palatino Linotype" w:hAnsi="Palatino Linotype" w:eastAsia="Calibri" w:cs="Tahoma"/>
          <w:i/>
          <w:iCs/>
          <w:sz w:val="20"/>
          <w:szCs w:val="20"/>
          <w:lang w:val="es-ES" w:eastAsia="es-ES_tradnl"/>
        </w:rPr>
      </w:pPr>
      <w:r w:rsidRPr="00CF09CB">
        <w:rPr>
          <w:rFonts w:ascii="Palatino Linotype" w:hAnsi="Palatino Linotype" w:eastAsia="Calibri" w:cs="Tahoma"/>
          <w:i/>
          <w:iCs/>
          <w:sz w:val="20"/>
          <w:szCs w:val="20"/>
          <w:lang w:val="es-ES" w:eastAsia="es-ES_tradnl"/>
        </w:rPr>
        <w:t>…</w:t>
      </w:r>
    </w:p>
    <w:p w:rsidRPr="00CF09CB" w:rsidR="00DF11F5" w:rsidP="0019462A" w:rsidRDefault="00DF11F5" w14:paraId="18DF511C" w14:textId="77777777">
      <w:pPr>
        <w:tabs>
          <w:tab w:val="left" w:pos="4962"/>
        </w:tabs>
        <w:spacing w:line="360" w:lineRule="auto"/>
        <w:ind w:left="567" w:right="567"/>
        <w:jc w:val="both"/>
        <w:rPr>
          <w:rFonts w:ascii="Palatino Linotype" w:hAnsi="Palatino Linotype" w:eastAsia="Calibri" w:cs="Tahoma"/>
          <w:i/>
          <w:iCs/>
          <w:sz w:val="20"/>
          <w:szCs w:val="20"/>
          <w:lang w:eastAsia="es-ES_tradnl"/>
        </w:rPr>
      </w:pPr>
      <w:r w:rsidRPr="00CF09CB">
        <w:rPr>
          <w:rFonts w:ascii="Palatino Linotype" w:hAnsi="Palatino Linotype" w:eastAsia="Calibri" w:cs="Tahoma"/>
          <w:i/>
          <w:iCs/>
          <w:sz w:val="20"/>
          <w:szCs w:val="20"/>
          <w:lang w:eastAsia="es-ES_tradnl"/>
        </w:rPr>
        <w:t>IV. Ponga en riesgo la vida, la seguridad o la salud de una persona física;</w:t>
      </w:r>
    </w:p>
    <w:p w:rsidRPr="00CF09CB" w:rsidR="00DF11F5" w:rsidP="0019462A" w:rsidRDefault="00DF11F5" w14:paraId="4A376DC5" w14:textId="77777777">
      <w:pPr>
        <w:tabs>
          <w:tab w:val="left" w:pos="4962"/>
        </w:tabs>
        <w:spacing w:line="360" w:lineRule="auto"/>
        <w:ind w:left="567" w:right="567"/>
        <w:jc w:val="both"/>
        <w:rPr>
          <w:rFonts w:ascii="Palatino Linotype" w:hAnsi="Palatino Linotype" w:eastAsia="Calibri" w:cs="Tahoma"/>
          <w:i/>
          <w:iCs/>
          <w:sz w:val="20"/>
          <w:szCs w:val="20"/>
          <w:lang w:val="es-ES" w:eastAsia="es-ES_tradnl"/>
        </w:rPr>
      </w:pPr>
      <w:r w:rsidRPr="00CF09CB">
        <w:rPr>
          <w:rFonts w:ascii="Palatino Linotype" w:hAnsi="Palatino Linotype" w:eastAsia="Calibri" w:cs="Tahoma"/>
          <w:i/>
          <w:iCs/>
          <w:sz w:val="20"/>
          <w:szCs w:val="20"/>
          <w:lang w:val="es-ES" w:eastAsia="es-ES_tradnl"/>
        </w:rPr>
        <w:t xml:space="preserve">…” </w:t>
      </w:r>
    </w:p>
    <w:p w:rsidRPr="00CF09CB" w:rsidR="00DF11F5" w:rsidP="0019462A" w:rsidRDefault="00DF11F5" w14:paraId="4B7B0D29" w14:textId="77777777">
      <w:pPr>
        <w:spacing w:line="360" w:lineRule="auto"/>
        <w:jc w:val="both"/>
        <w:rPr>
          <w:rFonts w:ascii="Palatino Linotype" w:hAnsi="Palatino Linotype" w:eastAsia="Calibri" w:cs="Tahoma"/>
          <w:bCs/>
          <w:sz w:val="22"/>
          <w:szCs w:val="22"/>
          <w:lang w:eastAsia="en-US"/>
        </w:rPr>
      </w:pPr>
    </w:p>
    <w:p w:rsidRPr="00CF09CB" w:rsidR="00DF11F5" w:rsidP="0019462A" w:rsidRDefault="00DF11F5" w14:paraId="4AB4BBA1" w14:textId="77777777">
      <w:pPr>
        <w:spacing w:line="360" w:lineRule="auto"/>
        <w:jc w:val="both"/>
        <w:rPr>
          <w:rFonts w:ascii="Palatino Linotype" w:hAnsi="Palatino Linotype" w:eastAsia="Calibri" w:cs="Tahoma"/>
          <w:bCs/>
          <w:sz w:val="22"/>
          <w:szCs w:val="22"/>
          <w:lang w:eastAsia="en-US"/>
        </w:rPr>
      </w:pPr>
      <w:r w:rsidRPr="00CF09CB">
        <w:rPr>
          <w:rFonts w:ascii="Palatino Linotype" w:hAnsi="Palatino Linotype" w:eastAsia="Calibri" w:cs="Tahoma"/>
          <w:bCs/>
          <w:sz w:val="22"/>
          <w:szCs w:val="22"/>
          <w:lang w:eastAsia="en-US"/>
        </w:rPr>
        <w:t xml:space="preserve">Del precepto legal anteriormente citado se desprende que como información reservada podrá clasificarse aquella cuya publicación pueda poner en riesgo la vida, seguridad o salud de una persona física; para acreditar lo anterior, los </w:t>
      </w:r>
      <w:r w:rsidRPr="00CF09CB">
        <w:rPr>
          <w:rFonts w:ascii="Palatino Linotype" w:hAnsi="Palatino Linotype" w:eastAsia="Calibri" w:cs="Tahoma"/>
          <w:bCs/>
          <w:sz w:val="22"/>
          <w:szCs w:val="22"/>
          <w:lang w:val="es-ES" w:eastAsia="en-US"/>
        </w:rPr>
        <w:t xml:space="preserve">Lineamientos Generales, </w:t>
      </w:r>
      <w:r w:rsidRPr="00CF09CB">
        <w:rPr>
          <w:rFonts w:ascii="Palatino Linotype" w:hAnsi="Palatino Linotype" w:eastAsia="Calibri" w:cs="Tahoma"/>
          <w:bCs/>
          <w:sz w:val="22"/>
          <w:szCs w:val="22"/>
          <w:lang w:eastAsia="en-US"/>
        </w:rPr>
        <w:t>establecen lo siguiente:</w:t>
      </w:r>
    </w:p>
    <w:p w:rsidRPr="00CF09CB" w:rsidR="00DF11F5" w:rsidP="0019462A" w:rsidRDefault="00DF11F5" w14:paraId="128EF23F" w14:textId="77777777">
      <w:pPr>
        <w:spacing w:line="360" w:lineRule="auto"/>
        <w:jc w:val="both"/>
        <w:rPr>
          <w:rFonts w:ascii="Palatino Linotype" w:hAnsi="Palatino Linotype" w:eastAsia="Calibri" w:cs="Tahoma"/>
          <w:bCs/>
          <w:sz w:val="22"/>
          <w:szCs w:val="22"/>
          <w:lang w:eastAsia="en-US"/>
        </w:rPr>
      </w:pPr>
    </w:p>
    <w:p w:rsidRPr="00CF09CB" w:rsidR="00DF11F5" w:rsidP="0019462A" w:rsidRDefault="00DF11F5" w14:paraId="10F01DCD" w14:textId="77777777">
      <w:pPr>
        <w:spacing w:line="360" w:lineRule="auto"/>
        <w:ind w:left="567" w:right="567"/>
        <w:jc w:val="both"/>
        <w:rPr>
          <w:rFonts w:ascii="Palatino Linotype" w:hAnsi="Palatino Linotype" w:eastAsia="Calibri" w:cs="Tahoma"/>
          <w:bCs/>
          <w:i/>
          <w:sz w:val="20"/>
          <w:szCs w:val="20"/>
          <w:lang w:eastAsia="en-US"/>
        </w:rPr>
      </w:pPr>
      <w:r w:rsidRPr="00CF09CB">
        <w:rPr>
          <w:rFonts w:ascii="Palatino Linotype" w:hAnsi="Palatino Linotype" w:eastAsia="Calibri" w:cs="Tahoma"/>
          <w:b/>
          <w:bCs/>
          <w:i/>
          <w:sz w:val="20"/>
          <w:szCs w:val="20"/>
          <w:lang w:eastAsia="en-US"/>
        </w:rPr>
        <w:t xml:space="preserve">“Vigésimo tercero. </w:t>
      </w:r>
      <w:r w:rsidRPr="00CF09CB">
        <w:rPr>
          <w:rFonts w:ascii="Palatino Linotype" w:hAnsi="Palatino Linotype" w:eastAsia="Calibri" w:cs="Tahoma"/>
          <w:bCs/>
          <w:i/>
          <w:sz w:val="20"/>
          <w:szCs w:val="20"/>
          <w:lang w:eastAsia="en-US"/>
        </w:rPr>
        <w:t>Para clasificar la información como reservada, de conformidad con el artículo 113, fracción V de la Ley General, será necesario acreditar un vínculo, entre la persona física y la información que pueda poner en riesgo su vida, seguridad o salud.”</w:t>
      </w:r>
    </w:p>
    <w:p w:rsidRPr="00CF09CB" w:rsidR="00DF11F5" w:rsidP="0019462A" w:rsidRDefault="00DF11F5" w14:paraId="66B3FCD0" w14:textId="77777777">
      <w:pPr>
        <w:spacing w:line="360" w:lineRule="auto"/>
        <w:ind w:left="567" w:right="567"/>
        <w:jc w:val="both"/>
        <w:rPr>
          <w:rFonts w:ascii="Palatino Linotype" w:hAnsi="Palatino Linotype" w:eastAsia="Calibri" w:cs="Tahoma"/>
          <w:bCs/>
          <w:i/>
          <w:sz w:val="20"/>
          <w:szCs w:val="20"/>
          <w:lang w:eastAsia="en-US"/>
        </w:rPr>
      </w:pPr>
    </w:p>
    <w:p w:rsidRPr="00CF09CB" w:rsidR="00DF11F5" w:rsidP="0019462A" w:rsidRDefault="00DF11F5" w14:paraId="21F6B25F" w14:textId="77777777">
      <w:pPr>
        <w:spacing w:line="360" w:lineRule="auto"/>
        <w:jc w:val="both"/>
        <w:rPr>
          <w:rFonts w:ascii="Palatino Linotype" w:hAnsi="Palatino Linotype" w:eastAsia="Calibri" w:cs="Tahoma"/>
          <w:bCs/>
          <w:sz w:val="22"/>
          <w:szCs w:val="22"/>
          <w:lang w:eastAsia="en-US"/>
        </w:rPr>
      </w:pPr>
      <w:r w:rsidRPr="00CF09CB">
        <w:rPr>
          <w:rFonts w:ascii="Palatino Linotype" w:hAnsi="Palatino Linotype" w:eastAsia="Calibri" w:cs="Tahoma"/>
          <w:bCs/>
          <w:sz w:val="22"/>
          <w:szCs w:val="22"/>
          <w:lang w:eastAsia="en-US"/>
        </w:rPr>
        <w:t xml:space="preserve">Del Lineamiento referido, se desprende que para clasificar la información como reservada, será necesario </w:t>
      </w:r>
      <w:r w:rsidRPr="00CF09CB">
        <w:rPr>
          <w:rFonts w:ascii="Palatino Linotype" w:hAnsi="Palatino Linotype" w:eastAsia="Calibri" w:cs="Tahoma"/>
          <w:b/>
          <w:bCs/>
          <w:sz w:val="22"/>
          <w:szCs w:val="22"/>
          <w:lang w:eastAsia="en-US"/>
        </w:rPr>
        <w:t>acreditar un vínculo, entre la persona física y la información que pueda poner en riesgo su vida, seguridad o salud</w:t>
      </w:r>
      <w:r w:rsidRPr="00CF09CB">
        <w:rPr>
          <w:rFonts w:ascii="Palatino Linotype" w:hAnsi="Palatino Linotype" w:eastAsia="Calibri" w:cs="Tahoma"/>
          <w:bCs/>
          <w:sz w:val="22"/>
          <w:szCs w:val="22"/>
          <w:lang w:eastAsia="en-US"/>
        </w:rPr>
        <w:t>.</w:t>
      </w:r>
    </w:p>
    <w:p w:rsidRPr="00CF09CB" w:rsidR="00DF11F5" w:rsidP="0019462A" w:rsidRDefault="00DF11F5" w14:paraId="1025B531" w14:textId="77777777">
      <w:pPr>
        <w:spacing w:line="360" w:lineRule="auto"/>
        <w:jc w:val="both"/>
        <w:rPr>
          <w:rFonts w:ascii="Palatino Linotype" w:hAnsi="Palatino Linotype" w:eastAsia="Calibri" w:cs="Tahoma"/>
          <w:bCs/>
          <w:sz w:val="22"/>
          <w:szCs w:val="22"/>
          <w:lang w:eastAsia="en-US"/>
        </w:rPr>
      </w:pPr>
    </w:p>
    <w:p w:rsidRPr="00CF09CB" w:rsidR="00DF11F5" w:rsidP="0019462A" w:rsidRDefault="00DF11F5" w14:paraId="11A4C1A4" w14:textId="77777777">
      <w:pPr>
        <w:spacing w:line="360" w:lineRule="auto"/>
        <w:jc w:val="both"/>
        <w:rPr>
          <w:rFonts w:ascii="Palatino Linotype" w:hAnsi="Palatino Linotype" w:eastAsia="Calibri" w:cs="Tahoma"/>
          <w:bCs/>
          <w:sz w:val="22"/>
          <w:szCs w:val="22"/>
          <w:lang w:eastAsia="en-US"/>
        </w:rPr>
      </w:pPr>
      <w:r w:rsidRPr="00CF09CB">
        <w:rPr>
          <w:rFonts w:ascii="Palatino Linotype" w:hAnsi="Palatino Linotype" w:eastAsia="Calibri" w:cs="Tahoma"/>
          <w:bCs/>
          <w:sz w:val="22"/>
          <w:szCs w:val="22"/>
          <w:lang w:eastAsia="en-US"/>
        </w:rPr>
        <w:t>Además, el artículo 81, fracción III, de la Ley de Seguridad del Estado de México, establece lo siguiente:</w:t>
      </w:r>
    </w:p>
    <w:p w:rsidRPr="00CF09CB" w:rsidR="00DF11F5" w:rsidP="0019462A" w:rsidRDefault="00DF11F5" w14:paraId="78A563D3" w14:textId="6806E743">
      <w:pPr>
        <w:spacing w:line="360" w:lineRule="auto"/>
        <w:jc w:val="both"/>
        <w:rPr>
          <w:rFonts w:ascii="Palatino Linotype" w:hAnsi="Palatino Linotype" w:eastAsia="Calibri" w:cs="Tahoma"/>
          <w:bCs/>
          <w:sz w:val="22"/>
          <w:szCs w:val="22"/>
          <w:lang w:eastAsia="en-US"/>
        </w:rPr>
      </w:pPr>
    </w:p>
    <w:p w:rsidRPr="00CF09CB" w:rsidR="007D2272" w:rsidP="0019462A" w:rsidRDefault="007D2272" w14:paraId="6BE2D8EB" w14:textId="77777777">
      <w:pPr>
        <w:spacing w:line="360" w:lineRule="auto"/>
        <w:jc w:val="both"/>
        <w:rPr>
          <w:rFonts w:ascii="Palatino Linotype" w:hAnsi="Palatino Linotype" w:eastAsia="Calibri" w:cs="Tahoma"/>
          <w:bCs/>
          <w:sz w:val="22"/>
          <w:szCs w:val="22"/>
          <w:lang w:eastAsia="en-US"/>
        </w:rPr>
      </w:pPr>
    </w:p>
    <w:p w:rsidRPr="00CF09CB" w:rsidR="00DF11F5" w:rsidP="0019462A" w:rsidRDefault="00DF11F5" w14:paraId="7BF39F24" w14:textId="77777777">
      <w:pPr>
        <w:spacing w:line="360" w:lineRule="auto"/>
        <w:ind w:left="567" w:right="567"/>
        <w:jc w:val="both"/>
        <w:rPr>
          <w:rFonts w:ascii="Palatino Linotype" w:hAnsi="Palatino Linotype" w:eastAsia="Calibri" w:cs="Tahoma"/>
          <w:bCs/>
          <w:i/>
          <w:sz w:val="20"/>
          <w:szCs w:val="20"/>
          <w:lang w:eastAsia="en-US"/>
        </w:rPr>
      </w:pPr>
      <w:r w:rsidRPr="00CF09CB">
        <w:rPr>
          <w:rFonts w:ascii="Palatino Linotype" w:hAnsi="Palatino Linotype" w:eastAsia="Calibri" w:cs="Tahoma"/>
          <w:b/>
          <w:bCs/>
          <w:i/>
          <w:sz w:val="20"/>
          <w:szCs w:val="20"/>
          <w:lang w:eastAsia="en-US"/>
        </w:rPr>
        <w:t>“Artículo 81.-</w:t>
      </w:r>
      <w:r w:rsidRPr="00CF09CB">
        <w:rPr>
          <w:rFonts w:ascii="Palatino Linotype" w:hAnsi="Palatino Linotype" w:eastAsia="Calibri" w:cs="Tahoma"/>
          <w:bCs/>
          <w:i/>
          <w:sz w:val="20"/>
          <w:szCs w:val="20"/>
          <w:lang w:eastAsia="en-US"/>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 </w:t>
      </w:r>
    </w:p>
    <w:p w:rsidRPr="00CF09CB" w:rsidR="00DF11F5" w:rsidP="0019462A" w:rsidRDefault="00DF11F5" w14:paraId="4C2D3445" w14:textId="77777777">
      <w:pPr>
        <w:spacing w:line="360" w:lineRule="auto"/>
        <w:ind w:left="567" w:right="567"/>
        <w:jc w:val="both"/>
        <w:rPr>
          <w:rFonts w:ascii="Palatino Linotype" w:hAnsi="Palatino Linotype" w:eastAsia="Calibri" w:cs="Tahoma"/>
          <w:bCs/>
          <w:i/>
          <w:sz w:val="20"/>
          <w:szCs w:val="20"/>
          <w:lang w:eastAsia="en-US"/>
        </w:rPr>
      </w:pPr>
      <w:r w:rsidRPr="00CF09CB">
        <w:rPr>
          <w:rFonts w:ascii="Palatino Linotype" w:hAnsi="Palatino Linotype" w:eastAsia="Calibri" w:cs="Tahoma"/>
          <w:bCs/>
          <w:i/>
          <w:sz w:val="20"/>
          <w:szCs w:val="20"/>
          <w:lang w:eastAsia="en-US"/>
        </w:rPr>
        <w:t>…</w:t>
      </w:r>
    </w:p>
    <w:p w:rsidRPr="00CF09CB" w:rsidR="00DF11F5" w:rsidP="0019462A" w:rsidRDefault="00DF11F5" w14:paraId="7D3B0F35" w14:textId="77777777">
      <w:pPr>
        <w:spacing w:line="360" w:lineRule="auto"/>
        <w:ind w:left="567" w:right="567"/>
        <w:jc w:val="both"/>
        <w:rPr>
          <w:rFonts w:ascii="Palatino Linotype" w:hAnsi="Palatino Linotype" w:eastAsia="Calibri" w:cs="Tahoma"/>
          <w:bCs/>
          <w:i/>
          <w:sz w:val="20"/>
          <w:szCs w:val="20"/>
          <w:lang w:eastAsia="en-US"/>
        </w:rPr>
      </w:pPr>
      <w:r w:rsidRPr="00CF09CB">
        <w:rPr>
          <w:rFonts w:ascii="Palatino Linotype" w:hAnsi="Palatino Linotype" w:eastAsia="Calibri" w:cs="Tahoma"/>
          <w:bCs/>
          <w:i/>
          <w:sz w:val="20"/>
          <w:szCs w:val="20"/>
          <w:lang w:eastAsia="en-US"/>
        </w:rPr>
        <w:t>III. La relativa a los servidores públicos integrantes de las instituciones de seguridad pública, cuya revelación pueda poner en riesgo su vida e integridad física con motivo de sus funciones;</w:t>
      </w:r>
    </w:p>
    <w:p w:rsidRPr="00CF09CB" w:rsidR="00DF11F5" w:rsidP="0019462A" w:rsidRDefault="00DF11F5" w14:paraId="5DC363C8" w14:textId="77777777">
      <w:pPr>
        <w:spacing w:line="360" w:lineRule="auto"/>
        <w:ind w:left="567" w:right="567"/>
        <w:jc w:val="both"/>
        <w:rPr>
          <w:rFonts w:ascii="Palatino Linotype" w:hAnsi="Palatino Linotype" w:eastAsia="Calibri" w:cs="Tahoma"/>
          <w:bCs/>
          <w:i/>
          <w:sz w:val="20"/>
          <w:szCs w:val="20"/>
          <w:lang w:eastAsia="en-US"/>
        </w:rPr>
      </w:pPr>
      <w:r w:rsidRPr="00CF09CB">
        <w:rPr>
          <w:rFonts w:ascii="Palatino Linotype" w:hAnsi="Palatino Linotype" w:eastAsia="Calibri" w:cs="Tahoma"/>
          <w:bCs/>
          <w:i/>
          <w:sz w:val="20"/>
          <w:szCs w:val="20"/>
          <w:lang w:eastAsia="en-US"/>
        </w:rPr>
        <w:t>…”</w:t>
      </w:r>
    </w:p>
    <w:p w:rsidRPr="00CF09CB" w:rsidR="00DF11F5" w:rsidP="0019462A" w:rsidRDefault="00DF11F5" w14:paraId="2BD7CF7E" w14:textId="77777777">
      <w:pPr>
        <w:spacing w:line="360" w:lineRule="auto"/>
        <w:jc w:val="both"/>
        <w:rPr>
          <w:rFonts w:ascii="Palatino Linotype" w:hAnsi="Palatino Linotype" w:eastAsia="Calibri" w:cs="Tahoma"/>
          <w:bCs/>
          <w:sz w:val="20"/>
          <w:szCs w:val="20"/>
          <w:lang w:eastAsia="en-US"/>
        </w:rPr>
      </w:pPr>
    </w:p>
    <w:p w:rsidRPr="00CF09CB" w:rsidR="00DF11F5" w:rsidP="0019462A" w:rsidRDefault="00DF11F5" w14:paraId="113FD477" w14:textId="77777777">
      <w:pPr>
        <w:spacing w:line="360" w:lineRule="auto"/>
        <w:jc w:val="both"/>
        <w:rPr>
          <w:rFonts w:ascii="Palatino Linotype" w:hAnsi="Palatino Linotype" w:cs="Tahoma"/>
          <w:sz w:val="22"/>
          <w:szCs w:val="22"/>
          <w:lang w:eastAsia="es-ES"/>
        </w:rPr>
      </w:pPr>
      <w:r w:rsidRPr="00CF09CB">
        <w:rPr>
          <w:rFonts w:ascii="Palatino Linotype" w:hAnsi="Palatino Linotype" w:cs="Tahoma"/>
          <w:sz w:val="22"/>
          <w:szCs w:val="22"/>
          <w:lang w:eastAsia="es-ES"/>
        </w:rPr>
        <w:t>Conforme al citado artículo, se desprende que es reservada toda aquella información de los servidores públicos integrantes de las instituciones de seguridad pública, cuya revelación pueda poner en riesgo su vida e integridad física con motivo de sus funciones.</w:t>
      </w:r>
    </w:p>
    <w:p w:rsidRPr="00CF09CB" w:rsidR="00DF11F5" w:rsidP="0019462A" w:rsidRDefault="00DF11F5" w14:paraId="58C69BD7" w14:textId="77777777">
      <w:pPr>
        <w:spacing w:line="360" w:lineRule="auto"/>
        <w:jc w:val="both"/>
        <w:rPr>
          <w:rFonts w:ascii="Palatino Linotype" w:hAnsi="Palatino Linotype" w:cs="Tahoma"/>
          <w:sz w:val="22"/>
          <w:szCs w:val="22"/>
          <w:lang w:eastAsia="es-ES"/>
        </w:rPr>
      </w:pPr>
    </w:p>
    <w:p w:rsidRPr="00CF09CB" w:rsidR="00DF11F5" w:rsidP="0019462A" w:rsidRDefault="00DF11F5" w14:paraId="5655734D" w14:textId="77777777">
      <w:pPr>
        <w:spacing w:line="360" w:lineRule="auto"/>
        <w:jc w:val="both"/>
        <w:rPr>
          <w:rFonts w:ascii="Palatino Linotype" w:hAnsi="Palatino Linotype" w:eastAsia="Calibri" w:cs="Tahoma"/>
          <w:bCs/>
          <w:sz w:val="22"/>
          <w:szCs w:val="22"/>
          <w:lang w:eastAsia="en-US"/>
        </w:rPr>
      </w:pPr>
      <w:r w:rsidRPr="00CF09CB">
        <w:rPr>
          <w:rFonts w:ascii="Palatino Linotype" w:hAnsi="Palatino Linotype" w:eastAsia="Calibri" w:cs="Tahoma"/>
          <w:bCs/>
          <w:sz w:val="22"/>
          <w:szCs w:val="22"/>
          <w:lang w:eastAsia="en-US"/>
        </w:rPr>
        <w:t>En ese contexto, es de señalar que los datos de servidores públicos, entre los que se encuentran el nombre de los trabajadores, por regla general, son de naturaleza pública, de conformidad con el artículo 70, fracción VII de la Ley General de Transparencia y Acceso a la Información Pública del Estado de México, y 92, fracción VII, de la Ley de Transparencia y Acceso a la Información Pública del Estado de México y Municipios.</w:t>
      </w:r>
    </w:p>
    <w:p w:rsidRPr="00CF09CB" w:rsidR="00DF11F5" w:rsidP="0019462A" w:rsidRDefault="00DF11F5" w14:paraId="273535E7" w14:textId="77777777">
      <w:pPr>
        <w:spacing w:line="360" w:lineRule="auto"/>
        <w:jc w:val="both"/>
        <w:rPr>
          <w:rFonts w:ascii="Palatino Linotype" w:hAnsi="Palatino Linotype" w:eastAsia="Calibri" w:cs="Tahoma"/>
          <w:bCs/>
          <w:sz w:val="22"/>
          <w:szCs w:val="22"/>
          <w:lang w:eastAsia="en-US"/>
        </w:rPr>
      </w:pPr>
    </w:p>
    <w:p w:rsidRPr="00CF09CB" w:rsidR="00DF11F5" w:rsidP="0019462A" w:rsidRDefault="00DF11F5" w14:paraId="3F61AC18" w14:textId="77777777">
      <w:pPr>
        <w:spacing w:line="360" w:lineRule="auto"/>
        <w:jc w:val="both"/>
        <w:rPr>
          <w:rFonts w:ascii="Palatino Linotype" w:hAnsi="Palatino Linotype" w:cs="Tahoma"/>
          <w:sz w:val="22"/>
          <w:szCs w:val="22"/>
          <w:lang w:eastAsia="es-ES"/>
        </w:rPr>
      </w:pPr>
      <w:r w:rsidRPr="00CF09CB">
        <w:rPr>
          <w:rFonts w:ascii="Palatino Linotype" w:hAnsi="Palatino Linotype" w:eastAsia="Calibri" w:cs="Tahoma"/>
          <w:bCs/>
          <w:sz w:val="22"/>
          <w:szCs w:val="22"/>
          <w:lang w:eastAsia="en-US"/>
        </w:rPr>
        <w:t xml:space="preserve">No obstante, resulta necesario traer a colación por analogía, el Criterio 06/09, emitido por </w:t>
      </w:r>
      <w:r w:rsidRPr="00CF09CB">
        <w:rPr>
          <w:rFonts w:ascii="Palatino Linotype" w:hAnsi="Palatino Linotype" w:cs="Tahoma"/>
          <w:sz w:val="22"/>
          <w:szCs w:val="22"/>
          <w:lang w:eastAsia="es-ES"/>
        </w:rPr>
        <w:t>el entonces Instituto Federal de Acceso a la Información y Protección de Datos ahora Instituto Nacional de Transparencia, Acceso a la Información y Protección de Datos Personales, que establece lo siguiente:</w:t>
      </w:r>
    </w:p>
    <w:p w:rsidRPr="00CF09CB" w:rsidR="00DF11F5" w:rsidP="0019462A" w:rsidRDefault="00DF11F5" w14:paraId="2113F202" w14:textId="77777777">
      <w:pPr>
        <w:spacing w:line="360" w:lineRule="auto"/>
        <w:jc w:val="both"/>
        <w:rPr>
          <w:rFonts w:ascii="Palatino Linotype" w:hAnsi="Palatino Linotype" w:cs="Tahoma"/>
          <w:i/>
          <w:sz w:val="22"/>
          <w:szCs w:val="22"/>
          <w:lang w:eastAsia="es-ES"/>
        </w:rPr>
      </w:pPr>
    </w:p>
    <w:p w:rsidRPr="00CF09CB" w:rsidR="00DF11F5" w:rsidP="0019462A" w:rsidRDefault="00DF11F5" w14:paraId="1537EFAD" w14:textId="77777777">
      <w:pPr>
        <w:tabs>
          <w:tab w:val="left" w:pos="4962"/>
        </w:tabs>
        <w:spacing w:line="360" w:lineRule="auto"/>
        <w:ind w:left="567" w:right="567"/>
        <w:jc w:val="both"/>
        <w:rPr>
          <w:rFonts w:ascii="Palatino Linotype" w:hAnsi="Palatino Linotype" w:cs="Tahoma"/>
          <w:i/>
          <w:sz w:val="20"/>
          <w:szCs w:val="22"/>
          <w:lang w:eastAsia="es-ES"/>
        </w:rPr>
      </w:pPr>
      <w:r w:rsidRPr="00CF09CB">
        <w:rPr>
          <w:rFonts w:ascii="Palatino Linotype" w:hAnsi="Palatino Linotype" w:cs="Tahoma"/>
          <w:b/>
          <w:i/>
          <w:sz w:val="20"/>
          <w:szCs w:val="22"/>
          <w:lang w:eastAsia="es-ES"/>
        </w:rPr>
        <w:t>“Nombres de servidores públicos dedicados a actividades en materia de seguridad, por excepción pueden considerarse información reservada.</w:t>
      </w:r>
      <w:r w:rsidRPr="00CF09CB">
        <w:rPr>
          <w:rFonts w:ascii="Palatino Linotype" w:hAnsi="Palatino Linotype" w:cs="Tahoma"/>
          <w:i/>
          <w:sz w:val="20"/>
          <w:szCs w:val="22"/>
          <w:lang w:eastAsia="es-ES"/>
        </w:rPr>
        <w:t xml:space="preserve"> De conformidad con el artículo 7, fracciones I y III de la Ley Federal de Transparencia y Acceso a la Información Pública </w:t>
      </w:r>
      <w:r w:rsidRPr="00CF09CB">
        <w:rPr>
          <w:rFonts w:ascii="Palatino Linotype" w:hAnsi="Palatino Linotype" w:cs="Tahoma"/>
          <w:i/>
          <w:sz w:val="20"/>
          <w:szCs w:val="22"/>
          <w:lang w:eastAsia="es-ES"/>
        </w:rPr>
        <w:lastRenderedPageBreak/>
        <w:t>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rsidRPr="00CF09CB" w:rsidR="00DF11F5" w:rsidP="0019462A" w:rsidRDefault="00DF11F5" w14:paraId="1DF27520" w14:textId="77777777">
      <w:pPr>
        <w:spacing w:line="360" w:lineRule="auto"/>
        <w:jc w:val="both"/>
        <w:rPr>
          <w:rFonts w:ascii="Palatino Linotype" w:hAnsi="Palatino Linotype" w:eastAsia="Calibri" w:cs="Tahoma"/>
          <w:bCs/>
          <w:sz w:val="22"/>
          <w:szCs w:val="22"/>
          <w:lang w:eastAsia="en-US"/>
        </w:rPr>
      </w:pPr>
    </w:p>
    <w:p w:rsidRPr="00CF09CB" w:rsidR="00DF11F5" w:rsidP="0019462A" w:rsidRDefault="00DF11F5" w14:paraId="798405B8" w14:textId="77777777">
      <w:pPr>
        <w:spacing w:line="360" w:lineRule="auto"/>
        <w:jc w:val="both"/>
        <w:rPr>
          <w:rFonts w:ascii="Palatino Linotype" w:hAnsi="Palatino Linotype" w:eastAsia="Calibri" w:cs="Tahoma"/>
          <w:bCs/>
          <w:sz w:val="22"/>
          <w:szCs w:val="22"/>
          <w:lang w:eastAsia="en-US"/>
        </w:rPr>
      </w:pPr>
      <w:r w:rsidRPr="00CF09CB">
        <w:rPr>
          <w:rFonts w:ascii="Palatino Linotype" w:hAnsi="Palatino Linotype" w:eastAsia="Calibri" w:cs="Tahoma"/>
          <w:bCs/>
          <w:sz w:val="22"/>
          <w:szCs w:val="22"/>
          <w:lang w:eastAsia="en-US"/>
        </w:rPr>
        <w:t>De dicho criterio, se desprende que existen funciones a cargo de servidores públicos, tendientes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funciones de carácter operativo.</w:t>
      </w:r>
    </w:p>
    <w:p w:rsidRPr="00CF09CB" w:rsidR="00DF11F5" w:rsidP="0019462A" w:rsidRDefault="00DF11F5" w14:paraId="58DC4D6B" w14:textId="77777777">
      <w:pPr>
        <w:spacing w:line="360" w:lineRule="auto"/>
        <w:jc w:val="both"/>
        <w:rPr>
          <w:rFonts w:ascii="Palatino Linotype" w:hAnsi="Palatino Linotype" w:eastAsia="Calibri" w:cs="Tahoma"/>
          <w:bCs/>
          <w:sz w:val="22"/>
          <w:szCs w:val="22"/>
          <w:lang w:eastAsia="en-US"/>
        </w:rPr>
      </w:pPr>
    </w:p>
    <w:p w:rsidRPr="00CF09CB" w:rsidR="00DF11F5" w:rsidP="0019462A" w:rsidRDefault="00DF11F5" w14:paraId="1692D92A" w14:textId="78A89891">
      <w:pPr>
        <w:spacing w:line="360" w:lineRule="auto"/>
        <w:jc w:val="both"/>
        <w:rPr>
          <w:rFonts w:ascii="Palatino Linotype" w:hAnsi="Palatino Linotype" w:eastAsia="Calibri" w:cs="Tahoma"/>
          <w:bCs/>
          <w:sz w:val="22"/>
          <w:szCs w:val="22"/>
          <w:lang w:eastAsia="en-US"/>
        </w:rPr>
      </w:pPr>
      <w:r w:rsidRPr="00CF09CB">
        <w:rPr>
          <w:rFonts w:ascii="Palatino Linotype" w:hAnsi="Palatino Linotype" w:eastAsia="Calibri" w:cs="Tahoma"/>
          <w:bCs/>
          <w:sz w:val="22"/>
          <w:szCs w:val="22"/>
          <w:lang w:eastAsia="en-US"/>
        </w:rPr>
        <w:t xml:space="preserve">En ese orden de ideas, si bien por regla general los nombres de los trabajadores gubernamentales son información pública de oficio, existe una excepción relativa a </w:t>
      </w:r>
      <w:r w:rsidRPr="00CF09CB">
        <w:rPr>
          <w:rFonts w:ascii="Palatino Linotype" w:hAnsi="Palatino Linotype" w:eastAsia="Calibri" w:cs="Tahoma"/>
          <w:b/>
          <w:bCs/>
          <w:sz w:val="22"/>
          <w:szCs w:val="22"/>
          <w:lang w:eastAsia="en-US"/>
        </w:rPr>
        <w:t>aquellos que realicen actividades operativas en materia de seguridad,</w:t>
      </w:r>
      <w:r w:rsidRPr="00CF09CB">
        <w:rPr>
          <w:rFonts w:ascii="Palatino Linotype" w:hAnsi="Palatino Linotype" w:eastAsia="Calibri" w:cs="Tahoma"/>
          <w:bCs/>
          <w:sz w:val="22"/>
          <w:szCs w:val="22"/>
          <w:lang w:eastAsia="en-US"/>
        </w:rPr>
        <w:t xml:space="preserve"> como es el caso de los elementos operativos y la policía municipal.</w:t>
      </w:r>
    </w:p>
    <w:p w:rsidRPr="00CF09CB" w:rsidR="00DF11F5" w:rsidP="0019462A" w:rsidRDefault="00DF11F5" w14:paraId="1AA1EB30" w14:textId="77777777">
      <w:pPr>
        <w:spacing w:line="360" w:lineRule="auto"/>
        <w:jc w:val="both"/>
        <w:rPr>
          <w:rFonts w:ascii="Palatino Linotype" w:hAnsi="Palatino Linotype" w:eastAsia="Calibri" w:cs="Tahoma"/>
          <w:bCs/>
          <w:sz w:val="22"/>
          <w:szCs w:val="22"/>
          <w:lang w:eastAsia="en-US"/>
        </w:rPr>
      </w:pPr>
    </w:p>
    <w:p w:rsidRPr="00CF09CB" w:rsidR="00DF11F5" w:rsidP="0019462A" w:rsidRDefault="00DF11F5" w14:paraId="50C85C7D" w14:textId="77777777">
      <w:pPr>
        <w:spacing w:line="360" w:lineRule="auto"/>
        <w:jc w:val="both"/>
        <w:rPr>
          <w:rFonts w:ascii="Palatino Linotype" w:hAnsi="Palatino Linotype" w:eastAsia="Calibri" w:cs="Tahoma"/>
          <w:bCs/>
          <w:sz w:val="22"/>
          <w:szCs w:val="22"/>
          <w:lang w:eastAsia="en-US"/>
        </w:rPr>
      </w:pPr>
      <w:r w:rsidRPr="00CF09CB">
        <w:rPr>
          <w:rFonts w:ascii="Palatino Linotype" w:hAnsi="Palatino Linotype" w:eastAsia="Calibri" w:cs="Tahoma"/>
          <w:bCs/>
          <w:sz w:val="22"/>
          <w:szCs w:val="22"/>
          <w:lang w:eastAsia="en-US"/>
        </w:rPr>
        <w:t>Al respecto,  el artículo 4° de la Ley de Seguridad del Estado de México prevé que la función de seguridad pública se realizará, en los diversos ámbitos de competencia, por conducto de las Instituciones Policiales y de Procuración de Justicia, de los responsables de la prisión preventiva y ejecución de sentencias, de las autoridades competentes en materia de justicia para adolescentes, de las instancias encargadas de aplicar las infracción administrativas, y de las demás autoridades de las instancias encargadas de aplicar las infracciones administrativas.</w:t>
      </w:r>
    </w:p>
    <w:p w:rsidRPr="00CF09CB" w:rsidR="00DF11F5" w:rsidP="0019462A" w:rsidRDefault="00DF11F5" w14:paraId="31910F43" w14:textId="77777777">
      <w:pPr>
        <w:spacing w:line="360" w:lineRule="auto"/>
        <w:jc w:val="both"/>
        <w:rPr>
          <w:rFonts w:ascii="Palatino Linotype" w:hAnsi="Palatino Linotype" w:eastAsia="Calibri" w:cs="Tahoma"/>
          <w:bCs/>
          <w:sz w:val="22"/>
          <w:szCs w:val="22"/>
          <w:lang w:eastAsia="en-US"/>
        </w:rPr>
      </w:pPr>
    </w:p>
    <w:p w:rsidRPr="00CF09CB" w:rsidR="00DF11F5" w:rsidP="0019462A" w:rsidRDefault="00DF11F5" w14:paraId="25034DBD" w14:textId="77777777">
      <w:pPr>
        <w:spacing w:line="360" w:lineRule="auto"/>
        <w:jc w:val="both"/>
        <w:rPr>
          <w:rFonts w:ascii="Palatino Linotype" w:hAnsi="Palatino Linotype" w:eastAsia="Calibri" w:cs="Tahoma"/>
          <w:bCs/>
          <w:sz w:val="22"/>
          <w:szCs w:val="22"/>
          <w:lang w:eastAsia="en-US"/>
        </w:rPr>
      </w:pPr>
      <w:r w:rsidRPr="00CF09CB">
        <w:rPr>
          <w:rFonts w:ascii="Palatino Linotype" w:hAnsi="Palatino Linotype" w:eastAsia="Calibri" w:cs="Tahoma"/>
          <w:bCs/>
          <w:sz w:val="22"/>
          <w:szCs w:val="22"/>
          <w:lang w:eastAsia="en-US"/>
        </w:rPr>
        <w:t>En ese contexto, el artículo 6, fracciones XI y XII de dicho ordenamiento jurídico, establece los siguientes conceptos:</w:t>
      </w:r>
    </w:p>
    <w:p w:rsidRPr="00CF09CB" w:rsidR="00DF11F5" w:rsidP="0019462A" w:rsidRDefault="00DF11F5" w14:paraId="0ACA21AE" w14:textId="77777777">
      <w:pPr>
        <w:spacing w:line="360" w:lineRule="auto"/>
        <w:jc w:val="both"/>
        <w:rPr>
          <w:rFonts w:ascii="Palatino Linotype" w:hAnsi="Palatino Linotype" w:eastAsia="Calibri" w:cs="Tahoma"/>
          <w:bCs/>
          <w:sz w:val="22"/>
          <w:szCs w:val="22"/>
          <w:lang w:eastAsia="en-US"/>
        </w:rPr>
      </w:pPr>
    </w:p>
    <w:p w:rsidRPr="00CF09CB" w:rsidR="00DF11F5" w:rsidP="0019462A" w:rsidRDefault="00DF11F5" w14:paraId="077AD7C5" w14:textId="77777777">
      <w:pPr>
        <w:numPr>
          <w:ilvl w:val="0"/>
          <w:numId w:val="43"/>
        </w:numPr>
        <w:spacing w:line="360" w:lineRule="auto"/>
        <w:contextualSpacing/>
        <w:jc w:val="both"/>
        <w:rPr>
          <w:rFonts w:ascii="Palatino Linotype" w:hAnsi="Palatino Linotype" w:eastAsia="Calibri" w:cs="Tahoma"/>
          <w:b/>
          <w:bCs/>
          <w:sz w:val="22"/>
          <w:szCs w:val="22"/>
          <w:lang w:eastAsia="en-US"/>
        </w:rPr>
      </w:pPr>
      <w:r w:rsidRPr="00CF09CB">
        <w:rPr>
          <w:rFonts w:ascii="Palatino Linotype" w:hAnsi="Palatino Linotype" w:eastAsia="Calibri" w:cs="Tahoma"/>
          <w:b/>
          <w:bCs/>
          <w:sz w:val="22"/>
          <w:szCs w:val="22"/>
          <w:lang w:eastAsia="en-US"/>
        </w:rPr>
        <w:t xml:space="preserve">Instituciones Policiales: </w:t>
      </w:r>
      <w:r w:rsidRPr="00CF09CB">
        <w:rPr>
          <w:rFonts w:ascii="Palatino Linotype" w:hAnsi="Palatino Linotype" w:eastAsia="Calibri" w:cs="Tahoma"/>
          <w:bCs/>
          <w:sz w:val="22"/>
          <w:szCs w:val="22"/>
          <w:lang w:eastAsia="en-US"/>
        </w:rPr>
        <w:t xml:space="preserve">Son los cuerpos de policía, de vigilancia y custodia de los establecimientos penitenciarios, detención preventiva, centros de arraigo y en general, </w:t>
      </w:r>
      <w:r w:rsidRPr="00CF09CB">
        <w:rPr>
          <w:rFonts w:ascii="Palatino Linotype" w:hAnsi="Palatino Linotype" w:eastAsia="Calibri" w:cs="Tahoma"/>
          <w:b/>
          <w:bCs/>
          <w:sz w:val="22"/>
          <w:szCs w:val="22"/>
          <w:lang w:eastAsia="en-US"/>
        </w:rPr>
        <w:t>todas las dependencias encargadas de la seguridad pública a nivel</w:t>
      </w:r>
      <w:r w:rsidRPr="00CF09CB">
        <w:rPr>
          <w:rFonts w:ascii="Palatino Linotype" w:hAnsi="Palatino Linotype" w:eastAsia="Calibri" w:cs="Tahoma"/>
          <w:bCs/>
          <w:sz w:val="22"/>
          <w:szCs w:val="22"/>
          <w:lang w:eastAsia="en-US"/>
        </w:rPr>
        <w:t xml:space="preserve"> estatal y </w:t>
      </w:r>
      <w:r w:rsidRPr="00CF09CB">
        <w:rPr>
          <w:rFonts w:ascii="Palatino Linotype" w:hAnsi="Palatino Linotype" w:eastAsia="Calibri" w:cs="Tahoma"/>
          <w:b/>
          <w:bCs/>
          <w:sz w:val="22"/>
          <w:szCs w:val="22"/>
          <w:lang w:eastAsia="en-US"/>
        </w:rPr>
        <w:t>municipal.</w:t>
      </w:r>
    </w:p>
    <w:p w:rsidRPr="00CF09CB" w:rsidR="00DF11F5" w:rsidP="0019462A" w:rsidRDefault="00DF11F5" w14:paraId="0EB465F4" w14:textId="77777777">
      <w:pPr>
        <w:spacing w:line="360" w:lineRule="auto"/>
        <w:ind w:left="720"/>
        <w:contextualSpacing/>
        <w:jc w:val="both"/>
        <w:rPr>
          <w:rFonts w:ascii="Palatino Linotype" w:hAnsi="Palatino Linotype" w:eastAsia="Calibri" w:cs="Tahoma"/>
          <w:bCs/>
          <w:sz w:val="22"/>
          <w:szCs w:val="22"/>
          <w:lang w:eastAsia="en-US"/>
        </w:rPr>
      </w:pPr>
    </w:p>
    <w:p w:rsidRPr="00CF09CB" w:rsidR="00DF11F5" w:rsidP="0019462A" w:rsidRDefault="00DF11F5" w14:paraId="39B7FCC2" w14:textId="77777777">
      <w:pPr>
        <w:numPr>
          <w:ilvl w:val="0"/>
          <w:numId w:val="43"/>
        </w:numPr>
        <w:spacing w:line="360" w:lineRule="auto"/>
        <w:contextualSpacing/>
        <w:jc w:val="both"/>
        <w:rPr>
          <w:rFonts w:ascii="Palatino Linotype" w:hAnsi="Palatino Linotype" w:eastAsia="Calibri" w:cs="Tahoma"/>
          <w:b/>
          <w:bCs/>
          <w:sz w:val="22"/>
          <w:szCs w:val="22"/>
          <w:lang w:eastAsia="en-US"/>
        </w:rPr>
      </w:pPr>
      <w:r w:rsidRPr="00CF09CB">
        <w:rPr>
          <w:rFonts w:ascii="Palatino Linotype" w:hAnsi="Palatino Linotype" w:eastAsia="Calibri" w:cs="Tahoma"/>
          <w:b/>
          <w:bCs/>
          <w:sz w:val="22"/>
          <w:szCs w:val="22"/>
          <w:lang w:eastAsia="en-US"/>
        </w:rPr>
        <w:t xml:space="preserve">Instituciones de Seguridad Pública: </w:t>
      </w:r>
      <w:r w:rsidRPr="00CF09CB">
        <w:rPr>
          <w:rFonts w:ascii="Palatino Linotype" w:hAnsi="Palatino Linotype" w:eastAsia="Calibri" w:cs="Tahoma"/>
          <w:bCs/>
          <w:sz w:val="22"/>
          <w:szCs w:val="22"/>
          <w:lang w:eastAsia="en-US"/>
        </w:rPr>
        <w:t xml:space="preserve">Instituciones Policiales, Procuración de Justicia, Sistema Penitenciario y </w:t>
      </w:r>
      <w:r w:rsidRPr="00CF09CB">
        <w:rPr>
          <w:rFonts w:ascii="Palatino Linotype" w:hAnsi="Palatino Linotype" w:eastAsia="Calibri" w:cs="Tahoma"/>
          <w:b/>
          <w:bCs/>
          <w:sz w:val="22"/>
          <w:szCs w:val="22"/>
          <w:lang w:eastAsia="en-US"/>
        </w:rPr>
        <w:t xml:space="preserve">dependencias encargadas de la seguridad pública a nivel </w:t>
      </w:r>
      <w:r w:rsidRPr="00CF09CB">
        <w:rPr>
          <w:rFonts w:ascii="Palatino Linotype" w:hAnsi="Palatino Linotype" w:eastAsia="Calibri" w:cs="Tahoma"/>
          <w:bCs/>
          <w:sz w:val="22"/>
          <w:szCs w:val="22"/>
          <w:lang w:eastAsia="en-US"/>
        </w:rPr>
        <w:t xml:space="preserve">estatal y </w:t>
      </w:r>
      <w:r w:rsidRPr="00CF09CB">
        <w:rPr>
          <w:rFonts w:ascii="Palatino Linotype" w:hAnsi="Palatino Linotype" w:eastAsia="Calibri" w:cs="Tahoma"/>
          <w:b/>
          <w:bCs/>
          <w:sz w:val="22"/>
          <w:szCs w:val="22"/>
          <w:lang w:eastAsia="en-US"/>
        </w:rPr>
        <w:t>municipal.</w:t>
      </w:r>
    </w:p>
    <w:p w:rsidRPr="00CF09CB" w:rsidR="00DF11F5" w:rsidP="0019462A" w:rsidRDefault="00DF11F5" w14:paraId="62688461" w14:textId="77777777">
      <w:pPr>
        <w:spacing w:line="360" w:lineRule="auto"/>
        <w:contextualSpacing/>
        <w:jc w:val="both"/>
        <w:rPr>
          <w:rFonts w:ascii="Palatino Linotype" w:hAnsi="Palatino Linotype" w:eastAsia="Calibri" w:cs="Tahoma"/>
          <w:b/>
          <w:bCs/>
          <w:sz w:val="22"/>
          <w:szCs w:val="22"/>
          <w:lang w:eastAsia="en-US"/>
        </w:rPr>
      </w:pPr>
    </w:p>
    <w:p w:rsidRPr="00CF09CB" w:rsidR="00DF11F5" w:rsidP="0019462A" w:rsidRDefault="00DF11F5" w14:paraId="5EAB5846" w14:textId="260AE018">
      <w:pPr>
        <w:spacing w:line="360" w:lineRule="auto"/>
        <w:jc w:val="both"/>
        <w:rPr>
          <w:rFonts w:ascii="Palatino Linotype" w:hAnsi="Palatino Linotype" w:eastAsia="Calibri"/>
          <w:sz w:val="22"/>
          <w:szCs w:val="20"/>
          <w:lang w:eastAsia="es-ES"/>
        </w:rPr>
      </w:pPr>
      <w:r w:rsidRPr="00CF09CB">
        <w:rPr>
          <w:rFonts w:ascii="Palatino Linotype" w:hAnsi="Palatino Linotype" w:eastAsia="Calibri" w:cs="Tahoma"/>
          <w:iCs/>
          <w:sz w:val="22"/>
          <w:szCs w:val="20"/>
          <w:lang w:val="es-ES" w:eastAsia="es-ES_tradnl"/>
        </w:rPr>
        <w:t>Conforme a lo anterior</w:t>
      </w:r>
      <w:r w:rsidRPr="00CF09CB">
        <w:rPr>
          <w:rFonts w:ascii="Palatino Linotype" w:hAnsi="Palatino Linotype" w:eastAsia="Calibri" w:cs="Tahoma"/>
          <w:bCs/>
          <w:sz w:val="22"/>
          <w:szCs w:val="22"/>
          <w:lang w:eastAsia="en-US"/>
        </w:rPr>
        <w:t xml:space="preserve">, se puede deducir que la </w:t>
      </w:r>
      <w:r w:rsidRPr="00CF09CB" w:rsidR="00F262EC">
        <w:rPr>
          <w:rFonts w:ascii="Palatino Linotype" w:hAnsi="Palatino Linotype" w:eastAsia="Calibri" w:cs="Tahoma"/>
          <w:bCs/>
          <w:color w:val="000000" w:themeColor="text1"/>
          <w:sz w:val="22"/>
          <w:szCs w:val="22"/>
          <w:lang w:val="es-ES_tradnl" w:eastAsia="en-US"/>
        </w:rPr>
        <w:t>Dirección General de Seguridad Ciudadana</w:t>
      </w:r>
      <w:r w:rsidRPr="00CF09CB">
        <w:rPr>
          <w:rFonts w:ascii="Palatino Linotype" w:hAnsi="Palatino Linotype" w:eastAsia="Calibri" w:cs="Tahoma"/>
          <w:bCs/>
          <w:sz w:val="22"/>
          <w:szCs w:val="22"/>
          <w:lang w:eastAsia="en-US"/>
        </w:rPr>
        <w:t xml:space="preserve">, es una institución de seguridad pública, pues tiene como atribución principal, la prevención de delitos </w:t>
      </w:r>
      <w:r w:rsidRPr="00CF09CB">
        <w:rPr>
          <w:rFonts w:ascii="Palatino Linotype" w:hAnsi="Palatino Linotype" w:eastAsia="Calibri"/>
          <w:sz w:val="22"/>
          <w:szCs w:val="20"/>
          <w:lang w:eastAsia="es-ES"/>
        </w:rPr>
        <w:t>y proteger a las personas, sus propiedades, posesiones y derechos.</w:t>
      </w:r>
    </w:p>
    <w:p w:rsidRPr="00CF09CB" w:rsidR="00F262EC" w:rsidP="0019462A" w:rsidRDefault="00F262EC" w14:paraId="0A43BC62" w14:textId="77777777">
      <w:pPr>
        <w:spacing w:line="360" w:lineRule="auto"/>
        <w:jc w:val="both"/>
        <w:rPr>
          <w:rFonts w:ascii="Palatino Linotype" w:hAnsi="Palatino Linotype" w:eastAsia="Calibri"/>
          <w:sz w:val="22"/>
          <w:szCs w:val="20"/>
          <w:lang w:eastAsia="es-ES"/>
        </w:rPr>
      </w:pPr>
    </w:p>
    <w:p w:rsidRPr="00CF09CB" w:rsidR="00DF11F5" w:rsidP="0019462A" w:rsidRDefault="00DF11F5" w14:paraId="6E6669DE" w14:textId="77777777">
      <w:pPr>
        <w:tabs>
          <w:tab w:val="left" w:pos="4962"/>
        </w:tabs>
        <w:spacing w:line="360" w:lineRule="auto"/>
        <w:ind w:right="-28"/>
        <w:jc w:val="both"/>
        <w:rPr>
          <w:rFonts w:ascii="Palatino Linotype" w:hAnsi="Palatino Linotype" w:eastAsia="Calibri" w:cs="Tahoma"/>
          <w:bCs/>
          <w:sz w:val="22"/>
          <w:szCs w:val="22"/>
          <w:lang w:eastAsia="en-US"/>
        </w:rPr>
      </w:pPr>
      <w:r w:rsidRPr="00CF09CB">
        <w:rPr>
          <w:rFonts w:ascii="Palatino Linotype" w:hAnsi="Palatino Linotype" w:eastAsia="Calibri" w:cs="Tahoma"/>
          <w:bCs/>
          <w:sz w:val="22"/>
          <w:szCs w:val="22"/>
          <w:lang w:val="es-ES" w:eastAsia="en-US"/>
        </w:rPr>
        <w:t xml:space="preserve">Además, </w:t>
      </w:r>
      <w:r w:rsidRPr="00CF09CB">
        <w:rPr>
          <w:rFonts w:ascii="Palatino Linotype" w:hAnsi="Palatino Linotype" w:eastAsia="Calibri" w:cs="Tahoma"/>
          <w:bCs/>
          <w:sz w:val="22"/>
          <w:szCs w:val="22"/>
          <w:lang w:eastAsia="en-US"/>
        </w:rPr>
        <w:t xml:space="preserve">el Instructivo de llenado del Formato “Personal de Seguridad Pública”, del Secretariado Ejecutivo del Sistema Nacional de Seguridad Pública (consultado el veintidós de junio de dos mil veintidós, a las dieciséis horas, en la liga electrónica </w:t>
      </w:r>
      <w:hyperlink w:history="1" r:id="rId14">
        <w:r w:rsidRPr="00CF09CB">
          <w:rPr>
            <w:rFonts w:ascii="Palatino Linotype" w:hAnsi="Palatino Linotype" w:eastAsia="Calibri" w:cs="Tahoma"/>
            <w:bCs/>
            <w:color w:val="0563C1"/>
            <w:sz w:val="22"/>
            <w:szCs w:val="22"/>
            <w:u w:val="single"/>
            <w:lang w:eastAsia="en-US"/>
          </w:rPr>
          <w:t>http://secretariadoejecutivo.gob.mx/work/models/SecretariadoEjecutivo/Resource/328/1/images/instructivo_final_edo_fuerza(1).pdf</w:t>
        </w:r>
      </w:hyperlink>
      <w:r w:rsidRPr="00CF09CB">
        <w:rPr>
          <w:rFonts w:ascii="Palatino Linotype" w:hAnsi="Palatino Linotype" w:eastAsia="Calibri" w:cs="Tahoma"/>
          <w:bCs/>
          <w:sz w:val="22"/>
          <w:szCs w:val="22"/>
          <w:lang w:eastAsia="en-US"/>
        </w:rPr>
        <w:t xml:space="preserve">), establece que los elementos operativos de seguridad pública, son aquellos que desempeñan funciones de campo (policiacas, especializadas o equivalentes y que no </w:t>
      </w:r>
      <w:r w:rsidRPr="00CF09CB">
        <w:rPr>
          <w:rFonts w:ascii="Palatino Linotype" w:hAnsi="Palatino Linotype" w:eastAsia="Calibri" w:cs="Tahoma"/>
          <w:b/>
          <w:bCs/>
          <w:sz w:val="22"/>
          <w:szCs w:val="22"/>
          <w:lang w:eastAsia="en-US"/>
        </w:rPr>
        <w:t>desempeña funciones de mando</w:t>
      </w:r>
      <w:r w:rsidRPr="00CF09CB">
        <w:rPr>
          <w:rFonts w:ascii="Palatino Linotype" w:hAnsi="Palatino Linotype" w:eastAsia="Calibri" w:cs="Tahoma"/>
          <w:bCs/>
          <w:sz w:val="22"/>
          <w:szCs w:val="22"/>
          <w:lang w:eastAsia="en-US"/>
        </w:rPr>
        <w:t xml:space="preserve">), entre los cuales, se encuentra </w:t>
      </w:r>
      <w:r w:rsidRPr="00CF09CB">
        <w:rPr>
          <w:rFonts w:ascii="Palatino Linotype" w:hAnsi="Palatino Linotype" w:eastAsia="Calibri" w:cs="Tahoma"/>
          <w:b/>
          <w:bCs/>
          <w:sz w:val="22"/>
          <w:szCs w:val="22"/>
          <w:lang w:eastAsia="en-US"/>
        </w:rPr>
        <w:t>la Policía Municipal</w:t>
      </w:r>
      <w:r w:rsidRPr="00CF09CB">
        <w:rPr>
          <w:rFonts w:ascii="Palatino Linotype" w:hAnsi="Palatino Linotype" w:eastAsia="Calibri" w:cs="Tahoma"/>
          <w:bCs/>
          <w:sz w:val="22"/>
          <w:szCs w:val="22"/>
          <w:lang w:eastAsia="en-US"/>
        </w:rPr>
        <w:t>.</w:t>
      </w:r>
    </w:p>
    <w:p w:rsidRPr="00CF09CB" w:rsidR="00DF11F5" w:rsidP="0019462A" w:rsidRDefault="00DF11F5" w14:paraId="69F84DD3" w14:textId="77777777">
      <w:pPr>
        <w:tabs>
          <w:tab w:val="left" w:pos="4962"/>
        </w:tabs>
        <w:spacing w:line="360" w:lineRule="auto"/>
        <w:ind w:right="-28"/>
        <w:jc w:val="both"/>
        <w:rPr>
          <w:rFonts w:ascii="Palatino Linotype" w:hAnsi="Palatino Linotype" w:eastAsia="Calibri" w:cs="Tahoma"/>
          <w:bCs/>
          <w:sz w:val="22"/>
          <w:szCs w:val="22"/>
          <w:lang w:eastAsia="en-US"/>
        </w:rPr>
      </w:pPr>
    </w:p>
    <w:p w:rsidRPr="00CF09CB" w:rsidR="00DF11F5" w:rsidP="0019462A" w:rsidRDefault="00DF11F5" w14:paraId="75CE924F" w14:textId="77777777">
      <w:pPr>
        <w:tabs>
          <w:tab w:val="left" w:pos="4962"/>
        </w:tabs>
        <w:spacing w:line="360" w:lineRule="auto"/>
        <w:ind w:right="-28"/>
        <w:jc w:val="both"/>
        <w:rPr>
          <w:rFonts w:ascii="Palatino Linotype" w:hAnsi="Palatino Linotype" w:eastAsia="Calibri" w:cs="Tahoma"/>
          <w:bCs/>
          <w:sz w:val="22"/>
          <w:szCs w:val="22"/>
          <w:lang w:eastAsia="en-US"/>
        </w:rPr>
      </w:pPr>
      <w:r w:rsidRPr="00CF09CB">
        <w:rPr>
          <w:rFonts w:ascii="Palatino Linotype" w:hAnsi="Palatino Linotype" w:eastAsia="Calibri" w:cs="Tahoma"/>
          <w:bCs/>
          <w:sz w:val="22"/>
          <w:szCs w:val="22"/>
          <w:lang w:eastAsia="en-US"/>
        </w:rPr>
        <w:t>Además, que las Instituciones Policiales, se conforman del personal administrativo, que son los trabajadores de apoyo (chofer, personal de mantenimiento, servicios generales y área secretaria); así como, el personal de mando (alto, medio y superior), que es aquel que realiza funciones de dirección, coordinación y supervisión, por lo cual, corresponde a aquel que tenga trabajadores a su cargo.</w:t>
      </w:r>
    </w:p>
    <w:p w:rsidRPr="00CF09CB" w:rsidR="00DF11F5" w:rsidP="0019462A" w:rsidRDefault="00DF11F5" w14:paraId="10CFC7CE" w14:textId="77777777">
      <w:pPr>
        <w:spacing w:line="360" w:lineRule="auto"/>
        <w:jc w:val="both"/>
        <w:rPr>
          <w:rFonts w:ascii="Palatino Linotype" w:hAnsi="Palatino Linotype" w:eastAsia="Calibri" w:cs="Tahoma"/>
          <w:bCs/>
          <w:sz w:val="22"/>
          <w:szCs w:val="22"/>
          <w:lang w:eastAsia="en-US"/>
        </w:rPr>
      </w:pPr>
    </w:p>
    <w:p w:rsidRPr="00CF09CB" w:rsidR="00DF11F5" w:rsidP="0019462A" w:rsidRDefault="00DF11F5" w14:paraId="0E30DAEB" w14:textId="59CF0283">
      <w:pPr>
        <w:spacing w:line="360" w:lineRule="auto"/>
        <w:jc w:val="both"/>
        <w:rPr>
          <w:rFonts w:ascii="Palatino Linotype" w:hAnsi="Palatino Linotype" w:eastAsia="Calibri" w:cs="Tahoma"/>
          <w:bCs/>
          <w:sz w:val="22"/>
          <w:szCs w:val="22"/>
          <w:lang w:eastAsia="en-US"/>
        </w:rPr>
      </w:pPr>
      <w:r w:rsidRPr="00CF09CB">
        <w:rPr>
          <w:rFonts w:ascii="Palatino Linotype" w:hAnsi="Palatino Linotype" w:eastAsia="Calibri" w:cs="Tahoma"/>
          <w:bCs/>
          <w:sz w:val="22"/>
          <w:szCs w:val="22"/>
          <w:lang w:eastAsia="en-US"/>
        </w:rPr>
        <w:t xml:space="preserve">De tales circunstancias, se puede observar que la </w:t>
      </w:r>
      <w:r w:rsidRPr="00CF09CB" w:rsidR="00F262EC">
        <w:rPr>
          <w:rFonts w:ascii="Palatino Linotype" w:hAnsi="Palatino Linotype" w:eastAsia="Calibri" w:cs="Tahoma"/>
          <w:bCs/>
          <w:color w:val="000000" w:themeColor="text1"/>
          <w:sz w:val="22"/>
          <w:szCs w:val="22"/>
          <w:lang w:val="es-ES_tradnl" w:eastAsia="en-US"/>
        </w:rPr>
        <w:t>Dirección General de Seguridad Ciudadana</w:t>
      </w:r>
      <w:r w:rsidRPr="00CF09CB">
        <w:rPr>
          <w:rFonts w:ascii="Palatino Linotype" w:hAnsi="Palatino Linotype" w:eastAsia="Calibri" w:cs="Tahoma"/>
          <w:bCs/>
          <w:sz w:val="22"/>
          <w:szCs w:val="22"/>
          <w:lang w:eastAsia="en-US"/>
        </w:rPr>
        <w:t>, tiene dos clases de servidores públicos, por una parte, los operativos (policía municipal) y por otra, los administrativos, de apoyo y personal de mando, los cuales no realizan funciones operativas.</w:t>
      </w:r>
    </w:p>
    <w:p w:rsidRPr="00CF09CB" w:rsidR="00DF11F5" w:rsidP="0019462A" w:rsidRDefault="00DF11F5" w14:paraId="034B1BE0" w14:textId="77777777">
      <w:pPr>
        <w:spacing w:line="360" w:lineRule="auto"/>
        <w:jc w:val="both"/>
        <w:rPr>
          <w:rFonts w:ascii="Palatino Linotype" w:hAnsi="Palatino Linotype" w:eastAsia="Calibri" w:cs="Tahoma"/>
          <w:bCs/>
          <w:sz w:val="22"/>
          <w:szCs w:val="22"/>
          <w:lang w:eastAsia="en-US"/>
        </w:rPr>
      </w:pPr>
    </w:p>
    <w:p w:rsidRPr="00CF09CB" w:rsidR="00DF11F5" w:rsidP="0019462A" w:rsidRDefault="00DF11F5" w14:paraId="7379242F" w14:textId="77777777">
      <w:pPr>
        <w:spacing w:line="360" w:lineRule="auto"/>
        <w:jc w:val="both"/>
        <w:rPr>
          <w:rFonts w:ascii="Palatino Linotype" w:hAnsi="Palatino Linotype" w:eastAsia="Calibri" w:cs="Tahoma"/>
          <w:bCs/>
          <w:sz w:val="22"/>
          <w:szCs w:val="22"/>
          <w:lang w:eastAsia="en-US"/>
        </w:rPr>
      </w:pPr>
      <w:r w:rsidRPr="00CF09CB">
        <w:rPr>
          <w:rFonts w:ascii="Palatino Linotype" w:hAnsi="Palatino Linotype" w:eastAsia="Calibri" w:cs="Tahoma"/>
          <w:bCs/>
          <w:sz w:val="22"/>
          <w:szCs w:val="22"/>
          <w:lang w:eastAsia="en-US"/>
        </w:rPr>
        <w:t>Así, dar a conocer el nombre de las personas, vinculado con el hecho que son elementos operativos o policías municipales,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rsidRPr="00CF09CB" w:rsidR="00DF11F5" w:rsidP="0019462A" w:rsidRDefault="00DF11F5" w14:paraId="096E07AE" w14:textId="77777777">
      <w:pPr>
        <w:spacing w:line="360" w:lineRule="auto"/>
        <w:jc w:val="both"/>
        <w:rPr>
          <w:rFonts w:ascii="Palatino Linotype" w:hAnsi="Palatino Linotype" w:eastAsia="Calibri" w:cs="Tahoma"/>
          <w:bCs/>
          <w:sz w:val="22"/>
          <w:szCs w:val="22"/>
          <w:lang w:eastAsia="en-US"/>
        </w:rPr>
      </w:pPr>
    </w:p>
    <w:p w:rsidRPr="00CF09CB" w:rsidR="00DF11F5" w:rsidP="0019462A" w:rsidRDefault="00DF11F5" w14:paraId="5D295847" w14:textId="77777777">
      <w:pPr>
        <w:spacing w:line="360" w:lineRule="auto"/>
        <w:jc w:val="both"/>
        <w:rPr>
          <w:rFonts w:ascii="Palatino Linotype" w:hAnsi="Palatino Linotype" w:eastAsia="Calibri" w:cs="Tahoma"/>
          <w:bCs/>
          <w:sz w:val="22"/>
          <w:szCs w:val="22"/>
          <w:lang w:eastAsia="en-US"/>
        </w:rPr>
      </w:pPr>
      <w:r w:rsidRPr="00CF09CB">
        <w:rPr>
          <w:rFonts w:ascii="Palatino Linotype" w:hAnsi="Palatino Linotype" w:eastAsia="Calibri" w:cs="Tahoma"/>
          <w:bCs/>
          <w:sz w:val="22"/>
          <w:szCs w:val="22"/>
          <w:lang w:eastAsia="en-US"/>
        </w:rPr>
        <w:t xml:space="preserve">Lo anterior, se robustece con las Cifras de Incidencia Delictiva Municipal 2015-2022, publicado por el Secretariado Ejecutivo del Sistema Nacional de Seguridad Pública, en la página </w:t>
      </w:r>
      <w:hyperlink w:history="1" r:id="rId15">
        <w:r w:rsidRPr="00CF09CB">
          <w:rPr>
            <w:rFonts w:ascii="Palatino Linotype" w:hAnsi="Palatino Linotype"/>
            <w:color w:val="0563C1"/>
            <w:sz w:val="22"/>
            <w:szCs w:val="22"/>
            <w:u w:val="single"/>
            <w:lang w:eastAsia="es-ES"/>
          </w:rPr>
          <w:t>https://www.gob.mx/sesnsp/acciones-y-programas/incidencia-delictiva-del-fuero-comun-nueva-metodologia?state=published</w:t>
        </w:r>
      </w:hyperlink>
      <w:r w:rsidRPr="00CF09CB">
        <w:rPr>
          <w:rFonts w:ascii="Palatino Linotype" w:hAnsi="Palatino Linotype" w:eastAsia="Calibri" w:cs="Tahoma"/>
          <w:bCs/>
          <w:sz w:val="22"/>
          <w:szCs w:val="22"/>
          <w:lang w:eastAsia="en-US"/>
        </w:rPr>
        <w:t xml:space="preserve"> (consultado el seis de junio de dos mil veintidós, a las dieciocho horas con tres minutos) de cual se desprenden algunos delitos que se han cometido en el Municipio de Ecatepec de Morelos, tal como se observa a continuación:</w:t>
      </w:r>
    </w:p>
    <w:p w:rsidRPr="00CF09CB" w:rsidR="00DF11F5" w:rsidP="0019462A" w:rsidRDefault="00DF11F5" w14:paraId="162C933B" w14:textId="77777777">
      <w:pPr>
        <w:spacing w:line="360" w:lineRule="auto"/>
        <w:jc w:val="both"/>
        <w:rPr>
          <w:rFonts w:ascii="Palatino Linotype" w:hAnsi="Palatino Linotype" w:eastAsia="Calibri" w:cs="Tahoma"/>
          <w:bCs/>
          <w:sz w:val="22"/>
          <w:szCs w:val="22"/>
          <w:lang w:eastAsia="en-US"/>
        </w:rPr>
      </w:pPr>
    </w:p>
    <w:p w:rsidRPr="00CF09CB" w:rsidR="00DF11F5" w:rsidP="0019462A" w:rsidRDefault="0019462A" w14:paraId="47190671" w14:textId="614B2378">
      <w:pPr>
        <w:spacing w:line="360" w:lineRule="auto"/>
        <w:ind w:right="-93"/>
        <w:jc w:val="center"/>
        <w:rPr>
          <w:rFonts w:ascii="Palatino Linotype" w:hAnsi="Palatino Linotype" w:eastAsia="Calibri" w:cs="Tahoma"/>
          <w:bCs/>
          <w:sz w:val="22"/>
          <w:szCs w:val="22"/>
          <w:lang w:eastAsia="en-US"/>
        </w:rPr>
      </w:pPr>
      <w:r w:rsidRPr="00CF09CB">
        <w:rPr>
          <w:rFonts w:ascii="Palatino Linotype" w:hAnsi="Palatino Linotype"/>
          <w:noProof/>
        </w:rPr>
        <w:drawing>
          <wp:inline distT="0" distB="0" distL="0" distR="0" wp14:anchorId="1A9CAB9B" wp14:editId="73FD2DBE">
            <wp:extent cx="5742940" cy="3461385"/>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42940" cy="3461385"/>
                    </a:xfrm>
                    <a:prstGeom prst="rect">
                      <a:avLst/>
                    </a:prstGeom>
                  </pic:spPr>
                </pic:pic>
              </a:graphicData>
            </a:graphic>
          </wp:inline>
        </w:drawing>
      </w:r>
    </w:p>
    <w:p w:rsidRPr="00CF09CB" w:rsidR="00DF11F5" w:rsidP="0019462A" w:rsidRDefault="00DF11F5" w14:paraId="2437D7DC" w14:textId="77777777">
      <w:pPr>
        <w:spacing w:line="360" w:lineRule="auto"/>
        <w:ind w:right="-93"/>
        <w:jc w:val="center"/>
        <w:rPr>
          <w:rFonts w:ascii="Palatino Linotype" w:hAnsi="Palatino Linotype" w:eastAsia="Calibri" w:cs="Tahoma"/>
          <w:bCs/>
          <w:sz w:val="22"/>
          <w:szCs w:val="22"/>
          <w:lang w:eastAsia="en-US"/>
        </w:rPr>
      </w:pPr>
    </w:p>
    <w:p w:rsidRPr="00CF09CB" w:rsidR="00DF11F5" w:rsidP="0019462A" w:rsidRDefault="00DF11F5" w14:paraId="0D60D4B6" w14:textId="286C8CA1">
      <w:pPr>
        <w:spacing w:line="360" w:lineRule="auto"/>
        <w:jc w:val="both"/>
        <w:rPr>
          <w:rFonts w:ascii="Palatino Linotype" w:hAnsi="Palatino Linotype" w:eastAsia="Calibri" w:cs="Tahoma"/>
          <w:bCs/>
          <w:sz w:val="22"/>
          <w:szCs w:val="22"/>
          <w:lang w:eastAsia="en-US"/>
        </w:rPr>
      </w:pPr>
      <w:r w:rsidRPr="00CF09CB">
        <w:rPr>
          <w:rFonts w:ascii="Palatino Linotype" w:hAnsi="Palatino Linotype" w:eastAsia="Calibri" w:cs="Tahoma"/>
          <w:bCs/>
          <w:sz w:val="22"/>
          <w:szCs w:val="22"/>
          <w:lang w:eastAsia="en-US"/>
        </w:rPr>
        <w:t xml:space="preserve">Como se logra observar, en el Municipio de </w:t>
      </w:r>
      <w:r w:rsidRPr="00CF09CB" w:rsidR="0019462A">
        <w:rPr>
          <w:rFonts w:ascii="Palatino Linotype" w:hAnsi="Palatino Linotype" w:eastAsia="Calibri" w:cs="Tahoma"/>
          <w:bCs/>
          <w:sz w:val="22"/>
          <w:szCs w:val="22"/>
          <w:lang w:eastAsia="en-US"/>
        </w:rPr>
        <w:t>Nezahualcóyotl</w:t>
      </w:r>
      <w:r w:rsidRPr="00CF09CB">
        <w:rPr>
          <w:rFonts w:ascii="Palatino Linotype" w:hAnsi="Palatino Linotype" w:eastAsia="Calibri" w:cs="Tahoma"/>
          <w:bCs/>
          <w:sz w:val="22"/>
          <w:szCs w:val="22"/>
          <w:lang w:eastAsia="en-US"/>
        </w:rPr>
        <w:t xml:space="preserve"> durante la presente anualidad, se han realizado diversos actos ilícitos, entre los más resaltantes encontramos </w:t>
      </w:r>
      <w:r w:rsidRPr="00CF09CB">
        <w:rPr>
          <w:rFonts w:ascii="Palatino Linotype" w:hAnsi="Palatino Linotype" w:eastAsia="Calibri" w:cs="Tahoma"/>
          <w:b/>
          <w:sz w:val="22"/>
          <w:szCs w:val="22"/>
          <w:lang w:eastAsia="en-US"/>
        </w:rPr>
        <w:t>homicidio,</w:t>
      </w:r>
      <w:r w:rsidRPr="00CF09CB">
        <w:rPr>
          <w:rFonts w:ascii="Palatino Linotype" w:hAnsi="Palatino Linotype" w:eastAsia="Calibri" w:cs="Tahoma"/>
          <w:bCs/>
          <w:sz w:val="22"/>
          <w:szCs w:val="22"/>
          <w:lang w:eastAsia="en-US"/>
        </w:rPr>
        <w:t xml:space="preserve"> </w:t>
      </w:r>
      <w:r w:rsidRPr="00CF09CB">
        <w:rPr>
          <w:rFonts w:ascii="Palatino Linotype" w:hAnsi="Palatino Linotype" w:eastAsia="Calibri" w:cs="Tahoma"/>
          <w:b/>
          <w:sz w:val="22"/>
          <w:szCs w:val="22"/>
          <w:lang w:eastAsia="en-US"/>
        </w:rPr>
        <w:t>lesiones,</w:t>
      </w:r>
      <w:r w:rsidRPr="00CF09CB">
        <w:rPr>
          <w:rFonts w:ascii="Palatino Linotype" w:hAnsi="Palatino Linotype" w:eastAsia="Calibri" w:cs="Tahoma"/>
          <w:bCs/>
          <w:sz w:val="22"/>
          <w:szCs w:val="22"/>
          <w:lang w:eastAsia="en-US"/>
        </w:rPr>
        <w:t xml:space="preserve"> </w:t>
      </w:r>
      <w:r w:rsidRPr="00CF09CB" w:rsidR="0019462A">
        <w:rPr>
          <w:rFonts w:ascii="Palatino Linotype" w:hAnsi="Palatino Linotype" w:eastAsia="Calibri" w:cs="Tahoma"/>
          <w:b/>
          <w:bCs/>
          <w:sz w:val="22"/>
          <w:szCs w:val="22"/>
          <w:lang w:eastAsia="en-US"/>
        </w:rPr>
        <w:t>abuso y acoso sexual</w:t>
      </w:r>
      <w:r w:rsidRPr="00CF09CB">
        <w:rPr>
          <w:rFonts w:ascii="Palatino Linotype" w:hAnsi="Palatino Linotype" w:eastAsia="Calibri" w:cs="Tahoma"/>
          <w:b/>
          <w:bCs/>
          <w:sz w:val="22"/>
          <w:szCs w:val="22"/>
          <w:lang w:eastAsia="en-US"/>
        </w:rPr>
        <w:t xml:space="preserve">, violación, robo y narcomenudeo, </w:t>
      </w:r>
      <w:r w:rsidRPr="00CF09CB">
        <w:rPr>
          <w:rFonts w:ascii="Palatino Linotype" w:hAnsi="Palatino Linotype" w:eastAsia="Calibri" w:cs="Tahoma"/>
          <w:bCs/>
          <w:sz w:val="22"/>
          <w:szCs w:val="22"/>
          <w:lang w:eastAsia="en-US"/>
        </w:rPr>
        <w:t xml:space="preserve">hechos que pueden llegar a ser atendidos directamente por este personal operativo en apoyo de los afectados o incluso de las autoridades encargadas de la procuración de justicia. </w:t>
      </w:r>
    </w:p>
    <w:p w:rsidRPr="00CF09CB" w:rsidR="00DF11F5" w:rsidP="0019462A" w:rsidRDefault="00DF11F5" w14:paraId="56CD1006" w14:textId="77777777">
      <w:pPr>
        <w:spacing w:line="360" w:lineRule="auto"/>
        <w:jc w:val="both"/>
        <w:rPr>
          <w:rFonts w:ascii="Palatino Linotype" w:hAnsi="Palatino Linotype" w:eastAsia="Calibri" w:cs="Tahoma"/>
          <w:bCs/>
          <w:sz w:val="22"/>
          <w:szCs w:val="22"/>
          <w:lang w:eastAsia="en-US"/>
        </w:rPr>
      </w:pPr>
    </w:p>
    <w:p w:rsidRPr="00CF09CB" w:rsidR="00DF11F5" w:rsidP="0019462A" w:rsidRDefault="00DF11F5" w14:paraId="13ECA214" w14:textId="77777777">
      <w:pPr>
        <w:spacing w:line="360" w:lineRule="auto"/>
        <w:jc w:val="both"/>
        <w:rPr>
          <w:rFonts w:ascii="Palatino Linotype" w:hAnsi="Palatino Linotype" w:eastAsia="Calibri" w:cs="Tahoma"/>
          <w:bCs/>
          <w:sz w:val="22"/>
          <w:szCs w:val="22"/>
          <w:lang w:eastAsia="en-US"/>
        </w:rPr>
      </w:pPr>
      <w:r w:rsidRPr="00CF09CB">
        <w:rPr>
          <w:rFonts w:ascii="Palatino Linotype" w:hAnsi="Palatino Linotype" w:eastAsia="Calibri" w:cs="Tahoma"/>
          <w:bCs/>
          <w:sz w:val="22"/>
          <w:szCs w:val="22"/>
          <w:lang w:eastAsia="en-US"/>
        </w:rPr>
        <w:t>De tal situación, se considera que dar a conocer el nombre de los elementos operativos, que incluye a los policías municipales, puede poner en riesgo la vida, seguridad y salud de estos, de sus familias e incluso su entorno social, pues al hacerlos identificables, los hacen blancos de los agentes delincuenciales o inclusive a la delincuencia organizada, los cuales podrían amenazar o causarles algún daño, con el fin de entorpecer o disminuir la seguridad pública y aumentar la comisión de actos ilícitos.</w:t>
      </w:r>
    </w:p>
    <w:p w:rsidRPr="00CF09CB" w:rsidR="00DF11F5" w:rsidP="0019462A" w:rsidRDefault="00DF11F5" w14:paraId="7812A251" w14:textId="77777777">
      <w:pPr>
        <w:spacing w:line="360" w:lineRule="auto"/>
        <w:jc w:val="both"/>
        <w:rPr>
          <w:rFonts w:ascii="Palatino Linotype" w:hAnsi="Palatino Linotype" w:eastAsia="Calibri" w:cs="Tahoma"/>
          <w:bCs/>
          <w:sz w:val="22"/>
          <w:szCs w:val="22"/>
          <w:lang w:eastAsia="en-US"/>
        </w:rPr>
      </w:pPr>
    </w:p>
    <w:p w:rsidRPr="00CF09CB" w:rsidR="00DF11F5" w:rsidP="0019462A" w:rsidRDefault="00DF11F5" w14:paraId="7DEA0172" w14:textId="77777777">
      <w:pPr>
        <w:tabs>
          <w:tab w:val="left" w:pos="4962"/>
        </w:tabs>
        <w:spacing w:line="360" w:lineRule="auto"/>
        <w:jc w:val="both"/>
        <w:rPr>
          <w:rFonts w:ascii="Palatino Linotype" w:hAnsi="Palatino Linotype" w:eastAsia="Calibri" w:cs="Tahoma"/>
          <w:iCs/>
          <w:sz w:val="22"/>
          <w:szCs w:val="22"/>
          <w:lang w:val="es-ES" w:eastAsia="es-ES_tradnl"/>
        </w:rPr>
      </w:pPr>
      <w:r w:rsidRPr="00CF09CB">
        <w:rPr>
          <w:rFonts w:ascii="Palatino Linotype" w:hAnsi="Palatino Linotype" w:eastAsia="Calibri" w:cs="Tahoma"/>
          <w:iCs/>
          <w:sz w:val="22"/>
          <w:szCs w:val="22"/>
          <w:lang w:val="es-ES" w:eastAsia="es-ES_tradnl"/>
        </w:rPr>
        <w:t>Sobre el particular, cabe traer a colación el artículo 141 de la Ley de Transparencia y Acceso a la Información Pública del Estado de México y Municipios, que establece que las causales de reserva se deberán fundar y motivar, a través de la aplicación de la prueba de daño establecida en el artículo 129 de dicho ordenamiento, que se debe justificar de la siguiente manera:</w:t>
      </w:r>
    </w:p>
    <w:p w:rsidRPr="00CF09CB" w:rsidR="00DF11F5" w:rsidP="0019462A" w:rsidRDefault="00DF11F5" w14:paraId="154674B8" w14:textId="77777777">
      <w:pPr>
        <w:tabs>
          <w:tab w:val="left" w:pos="4962"/>
        </w:tabs>
        <w:spacing w:line="360" w:lineRule="auto"/>
        <w:jc w:val="both"/>
        <w:rPr>
          <w:rFonts w:ascii="Palatino Linotype" w:hAnsi="Palatino Linotype" w:eastAsia="Calibri" w:cs="Tahoma"/>
          <w:iCs/>
          <w:sz w:val="22"/>
          <w:szCs w:val="22"/>
          <w:lang w:val="es-ES" w:eastAsia="es-ES_tradnl"/>
        </w:rPr>
      </w:pPr>
    </w:p>
    <w:p w:rsidRPr="00CF09CB" w:rsidR="00DF11F5" w:rsidP="0019462A" w:rsidRDefault="00DF11F5" w14:paraId="4AF86586" w14:textId="77777777">
      <w:pPr>
        <w:numPr>
          <w:ilvl w:val="0"/>
          <w:numId w:val="44"/>
        </w:numPr>
        <w:tabs>
          <w:tab w:val="left" w:pos="4962"/>
        </w:tabs>
        <w:spacing w:line="360" w:lineRule="auto"/>
        <w:jc w:val="both"/>
        <w:rPr>
          <w:rFonts w:ascii="Palatino Linotype" w:hAnsi="Palatino Linotype" w:eastAsia="Calibri" w:cs="Tahoma"/>
          <w:iCs/>
          <w:sz w:val="22"/>
          <w:szCs w:val="22"/>
          <w:lang w:val="es-ES_tradnl" w:eastAsia="es-ES_tradnl"/>
        </w:rPr>
      </w:pPr>
      <w:r w:rsidRPr="00CF09CB">
        <w:rPr>
          <w:rFonts w:ascii="Palatino Linotype" w:hAnsi="Palatino Linotype" w:eastAsia="Calibri" w:cs="Tahoma"/>
          <w:iCs/>
          <w:sz w:val="22"/>
          <w:szCs w:val="22"/>
          <w:lang w:val="es-ES_tradnl" w:eastAsia="es-ES_tradnl"/>
        </w:rPr>
        <w:t>La divulgación de la información representa un riesgo real, demostrable e identificable de perjuicio significativo al interés público o a la seguridad nacional.</w:t>
      </w:r>
    </w:p>
    <w:p w:rsidRPr="00CF09CB" w:rsidR="00DF11F5" w:rsidP="0019462A" w:rsidRDefault="00DF11F5" w14:paraId="365BA5BD" w14:textId="77777777">
      <w:pPr>
        <w:tabs>
          <w:tab w:val="left" w:pos="4962"/>
        </w:tabs>
        <w:spacing w:line="360" w:lineRule="auto"/>
        <w:jc w:val="both"/>
        <w:rPr>
          <w:rFonts w:ascii="Palatino Linotype" w:hAnsi="Palatino Linotype" w:eastAsia="Calibri" w:cs="Tahoma"/>
          <w:iCs/>
          <w:sz w:val="22"/>
          <w:szCs w:val="22"/>
          <w:lang w:val="es-ES_tradnl" w:eastAsia="es-ES_tradnl"/>
        </w:rPr>
      </w:pPr>
    </w:p>
    <w:p w:rsidRPr="00CF09CB" w:rsidR="00DF11F5" w:rsidP="0019462A" w:rsidRDefault="00DF11F5" w14:paraId="74F21840" w14:textId="457941E5">
      <w:pPr>
        <w:numPr>
          <w:ilvl w:val="0"/>
          <w:numId w:val="44"/>
        </w:numPr>
        <w:tabs>
          <w:tab w:val="left" w:pos="4962"/>
        </w:tabs>
        <w:spacing w:line="360" w:lineRule="auto"/>
        <w:jc w:val="both"/>
        <w:rPr>
          <w:rFonts w:ascii="Palatino Linotype" w:hAnsi="Palatino Linotype" w:eastAsia="Calibri" w:cs="Tahoma"/>
          <w:iCs/>
          <w:sz w:val="22"/>
          <w:szCs w:val="22"/>
          <w:lang w:val="es-ES_tradnl" w:eastAsia="es-ES_tradnl"/>
        </w:rPr>
      </w:pPr>
      <w:r w:rsidRPr="00CF09CB">
        <w:rPr>
          <w:rFonts w:ascii="Palatino Linotype" w:hAnsi="Palatino Linotype" w:eastAsia="Calibri" w:cs="Tahoma"/>
          <w:iCs/>
          <w:sz w:val="22"/>
          <w:szCs w:val="22"/>
          <w:lang w:val="es-ES_tradnl" w:eastAsia="es-ES_tradnl"/>
        </w:rPr>
        <w:t>El riesgo de perjuicio supera el interés público general de que se difunda.</w:t>
      </w:r>
    </w:p>
    <w:p w:rsidRPr="00CF09CB" w:rsidR="0019462A" w:rsidP="0019462A" w:rsidRDefault="0019462A" w14:paraId="0DF7133C" w14:textId="77777777">
      <w:pPr>
        <w:pStyle w:val="Prrafodelista"/>
        <w:spacing w:line="360" w:lineRule="auto"/>
        <w:rPr>
          <w:rFonts w:eastAsia="Calibri" w:cs="Tahoma"/>
          <w:iCs/>
          <w:szCs w:val="22"/>
          <w:lang w:val="es-ES_tradnl" w:eastAsia="es-ES_tradnl"/>
        </w:rPr>
      </w:pPr>
    </w:p>
    <w:p w:rsidRPr="00CF09CB" w:rsidR="00DF11F5" w:rsidP="0019462A" w:rsidRDefault="00DF11F5" w14:paraId="0699523A" w14:textId="77777777">
      <w:pPr>
        <w:numPr>
          <w:ilvl w:val="0"/>
          <w:numId w:val="44"/>
        </w:numPr>
        <w:tabs>
          <w:tab w:val="left" w:pos="4962"/>
        </w:tabs>
        <w:spacing w:line="360" w:lineRule="auto"/>
        <w:jc w:val="both"/>
        <w:rPr>
          <w:rFonts w:ascii="Palatino Linotype" w:hAnsi="Palatino Linotype" w:eastAsia="Calibri" w:cs="Tahoma"/>
          <w:iCs/>
          <w:sz w:val="22"/>
          <w:szCs w:val="22"/>
          <w:lang w:val="es-ES_tradnl" w:eastAsia="es-ES_tradnl"/>
        </w:rPr>
      </w:pPr>
      <w:r w:rsidRPr="00CF09CB">
        <w:rPr>
          <w:rFonts w:ascii="Palatino Linotype" w:hAnsi="Palatino Linotype" w:eastAsia="Calibri" w:cs="Tahoma"/>
          <w:iCs/>
          <w:sz w:val="22"/>
          <w:szCs w:val="22"/>
          <w:lang w:val="es-ES_tradnl" w:eastAsia="es-ES_tradnl"/>
        </w:rPr>
        <w:t>Que la limitación se adecua al principio de proporcionalidad y representa el medio menos restrictivo disponible para evitar el perjuicio.</w:t>
      </w:r>
    </w:p>
    <w:p w:rsidRPr="00CF09CB" w:rsidR="00DF11F5" w:rsidP="0019462A" w:rsidRDefault="00DF11F5" w14:paraId="42F44207" w14:textId="77777777">
      <w:pPr>
        <w:spacing w:line="360" w:lineRule="auto"/>
        <w:jc w:val="both"/>
        <w:rPr>
          <w:rFonts w:ascii="Palatino Linotype" w:hAnsi="Palatino Linotype" w:eastAsia="Calibri" w:cs="Tahoma"/>
          <w:iCs/>
          <w:sz w:val="22"/>
          <w:szCs w:val="22"/>
          <w:lang w:eastAsia="es-ES_tradnl"/>
        </w:rPr>
      </w:pPr>
    </w:p>
    <w:p w:rsidRPr="00CF09CB" w:rsidR="00DF11F5" w:rsidP="0019462A" w:rsidRDefault="00DF11F5" w14:paraId="2F95E0E8" w14:textId="77777777">
      <w:pPr>
        <w:spacing w:line="360" w:lineRule="auto"/>
        <w:jc w:val="both"/>
        <w:rPr>
          <w:rFonts w:ascii="Palatino Linotype" w:hAnsi="Palatino Linotype" w:eastAsia="Calibri" w:cs="Tahoma"/>
          <w:iCs/>
          <w:sz w:val="22"/>
          <w:szCs w:val="22"/>
          <w:lang w:eastAsia="es-ES_tradnl"/>
        </w:rPr>
      </w:pPr>
      <w:r w:rsidRPr="00CF09CB">
        <w:rPr>
          <w:rFonts w:ascii="Palatino Linotype" w:hAnsi="Palatino Linotype" w:eastAsia="Calibri" w:cs="Tahoma"/>
          <w:iCs/>
          <w:sz w:val="22"/>
          <w:szCs w:val="22"/>
          <w:lang w:eastAsia="es-ES_tradnl"/>
        </w:rPr>
        <w:t>Al respecto, este Instituto advierte lo siguiente:</w:t>
      </w:r>
    </w:p>
    <w:p w:rsidRPr="00CF09CB" w:rsidR="00DF11F5" w:rsidP="0019462A" w:rsidRDefault="00DF11F5" w14:paraId="23E2005F" w14:textId="77777777">
      <w:pPr>
        <w:spacing w:line="360" w:lineRule="auto"/>
        <w:jc w:val="both"/>
        <w:rPr>
          <w:rFonts w:ascii="Palatino Linotype" w:hAnsi="Palatino Linotype" w:eastAsia="Calibri" w:cs="Tahoma"/>
          <w:iCs/>
          <w:sz w:val="22"/>
          <w:szCs w:val="22"/>
          <w:lang w:eastAsia="es-ES_tradnl"/>
        </w:rPr>
      </w:pPr>
    </w:p>
    <w:p w:rsidRPr="00CF09CB" w:rsidR="00DF11F5" w:rsidP="00123598" w:rsidRDefault="00DF11F5" w14:paraId="7B435EEE" w14:textId="27149AB7">
      <w:pPr>
        <w:numPr>
          <w:ilvl w:val="0"/>
          <w:numId w:val="45"/>
        </w:numPr>
        <w:spacing w:line="360" w:lineRule="auto"/>
        <w:contextualSpacing/>
        <w:jc w:val="both"/>
        <w:rPr>
          <w:rFonts w:ascii="Palatino Linotype" w:hAnsi="Palatino Linotype" w:eastAsia="Calibri" w:cs="Tahoma"/>
          <w:bCs/>
          <w:sz w:val="22"/>
          <w:szCs w:val="22"/>
          <w:lang w:eastAsia="en-US"/>
        </w:rPr>
      </w:pPr>
      <w:r w:rsidRPr="00CF09CB">
        <w:rPr>
          <w:rFonts w:ascii="Palatino Linotype" w:hAnsi="Palatino Linotype" w:eastAsia="Calibri" w:cs="Tahoma"/>
          <w:bCs/>
          <w:sz w:val="22"/>
          <w:szCs w:val="22"/>
          <w:lang w:eastAsia="en-US"/>
        </w:rPr>
        <w:t xml:space="preserve">Que existe un </w:t>
      </w:r>
      <w:r w:rsidRPr="00CF09CB">
        <w:rPr>
          <w:rFonts w:ascii="Palatino Linotype" w:hAnsi="Palatino Linotype" w:eastAsia="Calibri" w:cs="Tahoma"/>
          <w:b/>
          <w:bCs/>
          <w:sz w:val="22"/>
          <w:szCs w:val="22"/>
          <w:lang w:eastAsia="en-US"/>
        </w:rPr>
        <w:t xml:space="preserve">riesgo real, demostrable e identificable, </w:t>
      </w:r>
      <w:r w:rsidRPr="00CF09CB">
        <w:rPr>
          <w:rFonts w:ascii="Palatino Linotype" w:hAnsi="Palatino Linotype" w:eastAsia="Calibri" w:cs="Tahoma"/>
          <w:bCs/>
          <w:sz w:val="22"/>
          <w:szCs w:val="22"/>
          <w:lang w:eastAsia="en-US"/>
        </w:rPr>
        <w:t xml:space="preserve">toda vez que dar a conocer los nombres de la policía municipal, pone en riesgo su vida, salud y seguridad, dado que los hace identificables, lo cual provocaría que utilicen dicha información para amenazar, intimidar o extorsionar al servidor público, a su familia e inclusive a su </w:t>
      </w:r>
      <w:r w:rsidRPr="00CF09CB">
        <w:rPr>
          <w:rFonts w:ascii="Palatino Linotype" w:hAnsi="Palatino Linotype" w:eastAsia="Calibri" w:cs="Tahoma"/>
          <w:bCs/>
          <w:sz w:val="22"/>
          <w:szCs w:val="22"/>
          <w:lang w:eastAsia="en-US"/>
        </w:rPr>
        <w:lastRenderedPageBreak/>
        <w:t xml:space="preserve">entorno social. Además, que podría ocasionar que los integrantes de organizaciones criminales los contacten para presionar en entregar información, estrategias para aumentar la inseguridad y los actos ilícitos en el Municipio. Además que comprometería el cumplimiento de los objetivos de la </w:t>
      </w:r>
      <w:r w:rsidRPr="00CF09CB" w:rsidR="0019462A">
        <w:rPr>
          <w:rFonts w:ascii="Palatino Linotype" w:hAnsi="Palatino Linotype" w:eastAsia="Calibri" w:cs="Tahoma"/>
          <w:bCs/>
          <w:color w:val="000000" w:themeColor="text1"/>
          <w:sz w:val="22"/>
          <w:szCs w:val="22"/>
          <w:lang w:val="es-ES_tradnl" w:eastAsia="en-US"/>
        </w:rPr>
        <w:t>Dirección General de Seguridad Ciudadana.</w:t>
      </w:r>
    </w:p>
    <w:p w:rsidRPr="00CF09CB" w:rsidR="0019462A" w:rsidP="0019462A" w:rsidRDefault="0019462A" w14:paraId="5C802DD4" w14:textId="77777777">
      <w:pPr>
        <w:spacing w:line="360" w:lineRule="auto"/>
        <w:ind w:left="720"/>
        <w:contextualSpacing/>
        <w:jc w:val="both"/>
        <w:rPr>
          <w:rFonts w:ascii="Palatino Linotype" w:hAnsi="Palatino Linotype" w:eastAsia="Calibri" w:cs="Tahoma"/>
          <w:bCs/>
          <w:sz w:val="22"/>
          <w:szCs w:val="22"/>
          <w:lang w:eastAsia="en-US"/>
        </w:rPr>
      </w:pPr>
    </w:p>
    <w:p w:rsidRPr="00CF09CB" w:rsidR="00DF11F5" w:rsidP="0019462A" w:rsidRDefault="00DF11F5" w14:paraId="629DD049" w14:textId="77777777">
      <w:pPr>
        <w:numPr>
          <w:ilvl w:val="0"/>
          <w:numId w:val="45"/>
        </w:numPr>
        <w:spacing w:line="360" w:lineRule="auto"/>
        <w:contextualSpacing/>
        <w:jc w:val="both"/>
        <w:rPr>
          <w:rFonts w:ascii="Palatino Linotype" w:hAnsi="Palatino Linotype" w:eastAsia="Calibri" w:cs="Tahoma"/>
          <w:b/>
          <w:bCs/>
          <w:sz w:val="22"/>
          <w:szCs w:val="22"/>
          <w:lang w:eastAsia="en-US"/>
        </w:rPr>
      </w:pPr>
      <w:r w:rsidRPr="00CF09CB">
        <w:rPr>
          <w:rFonts w:ascii="Palatino Linotype" w:hAnsi="Palatino Linotype" w:eastAsia="Calibri" w:cs="Tahoma"/>
          <w:b/>
          <w:bCs/>
          <w:sz w:val="22"/>
          <w:szCs w:val="22"/>
          <w:lang w:eastAsia="en-US"/>
        </w:rPr>
        <w:t>Que el riesgo de perjuicio que supone la divulgación de la información supera el interés público general</w:t>
      </w:r>
      <w:r w:rsidRPr="00CF09CB">
        <w:rPr>
          <w:rFonts w:ascii="Palatino Linotype" w:hAnsi="Palatino Linotype" w:eastAsia="Calibri" w:cs="Tahoma"/>
          <w:bCs/>
          <w:sz w:val="22"/>
          <w:szCs w:val="22"/>
          <w:lang w:eastAsia="en-US"/>
        </w:rPr>
        <w:t xml:space="preserve">, ya que individuos con pretensiones delictivas pudieran promover algún vínculo o relación directa con los elementos operativos, que incluye a la policía municipal o bien, someterla a extorsión o amenazas con el fin de obtener información sensible sobre el modus operandi de dicha área, lo cual se traduciría en un detrimento al combate a la delincuencia y un perjuicio a la seguridad pública, </w:t>
      </w:r>
      <w:r w:rsidRPr="00CF09CB">
        <w:rPr>
          <w:rFonts w:ascii="Palatino Linotype" w:hAnsi="Palatino Linotype" w:eastAsia="Calibri" w:cs="Tahoma"/>
          <w:b/>
          <w:bCs/>
          <w:sz w:val="22"/>
          <w:szCs w:val="22"/>
          <w:lang w:eastAsia="en-US"/>
        </w:rPr>
        <w:t>vulnerando así, el interés general.</w:t>
      </w:r>
    </w:p>
    <w:p w:rsidRPr="00CF09CB" w:rsidR="00DF11F5" w:rsidP="0019462A" w:rsidRDefault="00DF11F5" w14:paraId="5B4C7C3A" w14:textId="77777777">
      <w:pPr>
        <w:spacing w:line="360" w:lineRule="auto"/>
        <w:ind w:left="720"/>
        <w:contextualSpacing/>
        <w:jc w:val="both"/>
        <w:rPr>
          <w:rFonts w:ascii="Palatino Linotype" w:hAnsi="Palatino Linotype" w:eastAsia="Calibri" w:cs="Tahoma"/>
          <w:bCs/>
          <w:sz w:val="22"/>
          <w:szCs w:val="22"/>
          <w:lang w:eastAsia="en-US"/>
        </w:rPr>
      </w:pPr>
    </w:p>
    <w:p w:rsidRPr="00CF09CB" w:rsidR="00DF11F5" w:rsidP="0019462A" w:rsidRDefault="00DF11F5" w14:paraId="204692A4" w14:textId="77777777">
      <w:pPr>
        <w:numPr>
          <w:ilvl w:val="0"/>
          <w:numId w:val="45"/>
        </w:numPr>
        <w:spacing w:line="360" w:lineRule="auto"/>
        <w:contextualSpacing/>
        <w:jc w:val="both"/>
        <w:rPr>
          <w:rFonts w:ascii="Palatino Linotype" w:hAnsi="Palatino Linotype" w:eastAsia="Calibri" w:cs="Tahoma"/>
          <w:bCs/>
          <w:sz w:val="22"/>
          <w:szCs w:val="22"/>
          <w:lang w:eastAsia="en-US"/>
        </w:rPr>
      </w:pPr>
      <w:r w:rsidRPr="00CF09CB">
        <w:rPr>
          <w:rFonts w:ascii="Palatino Linotype" w:hAnsi="Palatino Linotype" w:eastAsia="Calibri" w:cs="Tahoma"/>
          <w:b/>
          <w:bCs/>
          <w:sz w:val="22"/>
          <w:szCs w:val="22"/>
          <w:lang w:eastAsia="en-US"/>
        </w:rPr>
        <w:t xml:space="preserve">Que la reserva no se traduzca en un medio restrictivo al derecho de acceso a la información, </w:t>
      </w:r>
      <w:r w:rsidRPr="00CF09CB">
        <w:rPr>
          <w:rFonts w:ascii="Palatino Linotype" w:hAnsi="Palatino Linotype" w:eastAsia="Calibri" w:cs="Tahoma"/>
          <w:bCs/>
          <w:sz w:val="22"/>
          <w:szCs w:val="22"/>
          <w:lang w:eastAsia="en-US"/>
        </w:rPr>
        <w:t xml:space="preserve">en virtud de que la misma prevalece al proteger alguno de los derechos más importantes, como lo son la vida, la salud y la seguridad de </w:t>
      </w:r>
      <w:r w:rsidRPr="00CF09CB">
        <w:rPr>
          <w:rFonts w:ascii="Palatino Linotype" w:hAnsi="Palatino Linotype" w:eastAsia="Calibri" w:cs="Tahoma"/>
          <w:b/>
          <w:bCs/>
          <w:sz w:val="22"/>
          <w:szCs w:val="22"/>
          <w:lang w:eastAsia="en-US"/>
        </w:rPr>
        <w:t>los servidores públicos,</w:t>
      </w:r>
      <w:r w:rsidRPr="00CF09CB">
        <w:rPr>
          <w:rFonts w:ascii="Palatino Linotype" w:hAnsi="Palatino Linotype" w:eastAsia="Calibri" w:cs="Tahoma"/>
          <w:bCs/>
          <w:sz w:val="22"/>
          <w:szCs w:val="22"/>
          <w:lang w:eastAsia="en-US"/>
        </w:rPr>
        <w:t xml:space="preserve"> sus familiares e inclusive de su entorno social, ya que la policía municipal ayuda a mantener el orden público y la paz social, así como la prevención de la comisión de cualquier delito, inhibiendo la manifestación de conductas antisociales.</w:t>
      </w:r>
    </w:p>
    <w:p w:rsidRPr="00CF09CB" w:rsidR="00DF11F5" w:rsidP="0019462A" w:rsidRDefault="00DF11F5" w14:paraId="4E7461B0" w14:textId="77777777">
      <w:pPr>
        <w:spacing w:line="360" w:lineRule="auto"/>
        <w:jc w:val="both"/>
        <w:rPr>
          <w:rFonts w:ascii="Palatino Linotype" w:hAnsi="Palatino Linotype" w:eastAsia="Calibri" w:cs="Tahoma"/>
          <w:bCs/>
          <w:sz w:val="22"/>
          <w:szCs w:val="22"/>
          <w:lang w:eastAsia="en-US"/>
        </w:rPr>
      </w:pPr>
    </w:p>
    <w:p w:rsidRPr="00CF09CB" w:rsidR="00DF11F5" w:rsidP="0019462A" w:rsidRDefault="00DF11F5" w14:paraId="61D47B0C" w14:textId="77777777">
      <w:pPr>
        <w:spacing w:line="360" w:lineRule="auto"/>
        <w:jc w:val="both"/>
        <w:rPr>
          <w:rFonts w:ascii="Palatino Linotype" w:hAnsi="Palatino Linotype" w:eastAsia="Calibri" w:cs="Tahoma"/>
          <w:b/>
          <w:iCs/>
          <w:sz w:val="22"/>
          <w:szCs w:val="22"/>
          <w:lang w:val="es-ES" w:eastAsia="es-ES_tradnl"/>
        </w:rPr>
      </w:pPr>
      <w:r w:rsidRPr="00CF09CB">
        <w:rPr>
          <w:rFonts w:ascii="Palatino Linotype" w:hAnsi="Palatino Linotype" w:eastAsia="Calibri" w:cs="Tahoma"/>
          <w:bCs/>
          <w:sz w:val="22"/>
          <w:szCs w:val="22"/>
          <w:lang w:eastAsia="en-US"/>
        </w:rPr>
        <w:t xml:space="preserve">Por tales consideraciones, </w:t>
      </w:r>
      <w:r w:rsidRPr="00CF09CB">
        <w:rPr>
          <w:rFonts w:ascii="Palatino Linotype" w:hAnsi="Palatino Linotype" w:eastAsia="Calibri" w:cs="Tahoma"/>
          <w:b/>
          <w:bCs/>
          <w:sz w:val="22"/>
          <w:szCs w:val="22"/>
          <w:lang w:eastAsia="en-US"/>
        </w:rPr>
        <w:t xml:space="preserve">resulta procedente la reserva del nombre de los elementos operativos de la Dirección de Seguridad Pública, en términos del artículo 140, fracción IV, de </w:t>
      </w:r>
      <w:r w:rsidRPr="00CF09CB">
        <w:rPr>
          <w:rFonts w:ascii="Palatino Linotype" w:hAnsi="Palatino Linotype" w:eastAsia="Calibri" w:cs="Tahoma"/>
          <w:b/>
          <w:iCs/>
          <w:sz w:val="22"/>
          <w:szCs w:val="22"/>
          <w:lang w:val="es-ES" w:eastAsia="es-ES_tradnl"/>
        </w:rPr>
        <w:t>de la Ley de Transparencia y Acceso a la Información Pública del Estado de México y Municipios.</w:t>
      </w:r>
    </w:p>
    <w:p w:rsidRPr="00CF09CB" w:rsidR="00DF11F5" w:rsidP="0019462A" w:rsidRDefault="00DF11F5" w14:paraId="2F815A98" w14:textId="3B21F1EF">
      <w:pPr>
        <w:spacing w:line="360" w:lineRule="auto"/>
        <w:jc w:val="both"/>
        <w:rPr>
          <w:rFonts w:ascii="Palatino Linotype" w:hAnsi="Palatino Linotype"/>
          <w:bCs/>
          <w:iCs/>
          <w:sz w:val="22"/>
          <w:szCs w:val="20"/>
          <w:lang w:val="es-ES" w:eastAsia="es-ES"/>
        </w:rPr>
      </w:pPr>
    </w:p>
    <w:p w:rsidRPr="00CF09CB" w:rsidR="007D2272" w:rsidP="0019462A" w:rsidRDefault="007D2272" w14:paraId="204B332B" w14:textId="7FF6CE30">
      <w:pPr>
        <w:spacing w:line="360" w:lineRule="auto"/>
        <w:jc w:val="both"/>
        <w:rPr>
          <w:rFonts w:ascii="Palatino Linotype" w:hAnsi="Palatino Linotype"/>
          <w:bCs/>
          <w:iCs/>
          <w:sz w:val="22"/>
          <w:szCs w:val="20"/>
          <w:lang w:val="es-ES" w:eastAsia="es-ES"/>
        </w:rPr>
      </w:pPr>
    </w:p>
    <w:p w:rsidRPr="00CF09CB" w:rsidR="007D2272" w:rsidP="0019462A" w:rsidRDefault="007D2272" w14:paraId="3A50F1E9" w14:textId="77777777">
      <w:pPr>
        <w:spacing w:line="360" w:lineRule="auto"/>
        <w:jc w:val="both"/>
        <w:rPr>
          <w:rFonts w:ascii="Palatino Linotype" w:hAnsi="Palatino Linotype"/>
          <w:bCs/>
          <w:iCs/>
          <w:sz w:val="22"/>
          <w:szCs w:val="20"/>
          <w:lang w:val="es-ES" w:eastAsia="es-ES"/>
        </w:rPr>
      </w:pPr>
    </w:p>
    <w:p w:rsidRPr="00CF09CB" w:rsidR="00DF11F5" w:rsidP="0019462A" w:rsidRDefault="00DF11F5" w14:paraId="107D4DE4" w14:textId="77777777">
      <w:pPr>
        <w:autoSpaceDE w:val="0"/>
        <w:autoSpaceDN w:val="0"/>
        <w:spacing w:line="360" w:lineRule="auto"/>
        <w:jc w:val="both"/>
        <w:rPr>
          <w:rFonts w:ascii="Palatino Linotype" w:hAnsi="Palatino Linotype" w:cs="Tahoma"/>
          <w:sz w:val="22"/>
          <w:szCs w:val="22"/>
          <w:lang w:eastAsia="es-ES"/>
        </w:rPr>
      </w:pPr>
      <w:r w:rsidRPr="00CF09CB">
        <w:rPr>
          <w:rFonts w:ascii="Palatino Linotype" w:hAnsi="Palatino Linotype" w:eastAsia="Calibri" w:cs="Tahoma"/>
          <w:iCs/>
          <w:sz w:val="22"/>
          <w:szCs w:val="22"/>
          <w:lang w:val="es-ES" w:eastAsia="es-ES_tradnl"/>
        </w:rPr>
        <w:t>Finalmente,</w:t>
      </w:r>
      <w:r w:rsidRPr="00CF09CB">
        <w:rPr>
          <w:rFonts w:ascii="Palatino Linotype" w:hAnsi="Palatino Linotype" w:eastAsia="Calibri" w:cs="Tahoma"/>
          <w:b/>
          <w:iCs/>
          <w:sz w:val="22"/>
          <w:szCs w:val="22"/>
          <w:lang w:val="es-ES" w:eastAsia="es-ES_tradnl"/>
        </w:rPr>
        <w:t xml:space="preserve"> </w:t>
      </w:r>
      <w:r w:rsidRPr="00CF09CB">
        <w:rPr>
          <w:rFonts w:ascii="Palatino Linotype" w:hAnsi="Palatino Linotype" w:eastAsia="Calibri" w:cs="Tahoma"/>
          <w:bCs/>
          <w:sz w:val="22"/>
          <w:szCs w:val="22"/>
          <w:lang w:eastAsia="en-US"/>
        </w:rPr>
        <w:t xml:space="preserve">respecto al plazo de reserva, el artículo 125 de la Ley de la materia, establece </w:t>
      </w:r>
      <w:r w:rsidRPr="00CF09CB">
        <w:rPr>
          <w:rFonts w:ascii="Palatino Linotype" w:hAnsi="Palatino Linotype" w:cs="Tahoma"/>
          <w:bCs/>
          <w:sz w:val="22"/>
          <w:szCs w:val="22"/>
          <w:lang w:eastAsia="es-ES"/>
        </w:rPr>
        <w:t xml:space="preserve">que la información clasificada como reservada según el artículo 140 de la Ley de Transparencia y Acceso a la Información Pública del Estado de México y Municipios, podrá permanecer con tal carácter hasta por un periodo de cinco años. Asimismo señala que los documentos reservados serán desclasificados cuando se extingan las causas que dieron origen a su clasificación, expire el plazo establecido, exista resolución de una autoridad competente que determine que existe una causa de interés público que prevalece sobre la reserva de la información, o bien el Comité de Transparencia considere pertinente la desclasificación o se trate de información que esté relacionada con violaciones graves a derechos humanos o delitos de lesa humanidad; por lo que, en las </w:t>
      </w:r>
      <w:r w:rsidRPr="00CF09CB">
        <w:rPr>
          <w:rFonts w:ascii="Palatino Linotype" w:hAnsi="Palatino Linotype" w:cs="Tahoma"/>
          <w:sz w:val="22"/>
          <w:szCs w:val="22"/>
          <w:lang w:eastAsia="es-ES"/>
        </w:rPr>
        <w:t>versiones públicas, deberá clasificar el nombre de los elementos operativos en materia de seguridad, y proporcionar, su respectivo acuerdo de Clasificación.</w:t>
      </w:r>
    </w:p>
    <w:p w:rsidRPr="00CF09CB" w:rsidR="0051767C" w:rsidP="0019462A" w:rsidRDefault="0051767C" w14:paraId="2BE00F14" w14:textId="3C6B0591">
      <w:pPr>
        <w:spacing w:line="360" w:lineRule="auto"/>
        <w:jc w:val="both"/>
        <w:rPr>
          <w:rFonts w:ascii="Palatino Linotype" w:hAnsi="Palatino Linotype" w:eastAsia="Calibri" w:cs="Tahoma"/>
          <w:color w:val="000000"/>
          <w:sz w:val="20"/>
          <w:szCs w:val="22"/>
        </w:rPr>
      </w:pPr>
    </w:p>
    <w:p w:rsidRPr="00CF09CB" w:rsidR="0019462A" w:rsidP="0019462A" w:rsidRDefault="0019462A" w14:paraId="14C7BAA7" w14:textId="42C09934">
      <w:pPr>
        <w:spacing w:line="360" w:lineRule="auto"/>
        <w:jc w:val="both"/>
        <w:rPr>
          <w:rFonts w:ascii="Palatino Linotype" w:hAnsi="Palatino Linotype"/>
          <w:bCs/>
          <w:sz w:val="22"/>
          <w:szCs w:val="22"/>
        </w:rPr>
      </w:pPr>
      <w:r w:rsidRPr="00CF09CB">
        <w:rPr>
          <w:rFonts w:ascii="Palatino Linotype" w:hAnsi="Palatino Linotype" w:cs="Tahoma"/>
          <w:bCs/>
          <w:iCs/>
          <w:sz w:val="22"/>
          <w:szCs w:val="22"/>
          <w:lang w:eastAsia="es-ES"/>
        </w:rPr>
        <w:t xml:space="preserve">Así, se considera que el Sujeto Obligado </w:t>
      </w:r>
      <w:r w:rsidRPr="00CF09CB">
        <w:rPr>
          <w:rFonts w:ascii="Palatino Linotype" w:hAnsi="Palatino Linotype" w:cs="Tahoma"/>
          <w:bCs/>
          <w:iCs/>
          <w:sz w:val="22"/>
          <w:szCs w:val="22"/>
          <w:lang w:val="x-none" w:eastAsia="es-ES"/>
        </w:rPr>
        <w:t xml:space="preserve">deberá </w:t>
      </w:r>
      <w:r w:rsidRPr="00CF09CB">
        <w:rPr>
          <w:rFonts w:ascii="Palatino Linotype" w:hAnsi="Palatino Linotype" w:cs="Tahoma"/>
          <w:bCs/>
          <w:iCs/>
          <w:sz w:val="22"/>
          <w:szCs w:val="22"/>
          <w:lang w:eastAsia="es-ES"/>
        </w:rPr>
        <w:t>proporcionar el documento solicitado, en versión pública</w:t>
      </w:r>
      <w:r w:rsidRPr="00CF09CB">
        <w:rPr>
          <w:rFonts w:ascii="Palatino Linotype" w:hAnsi="Palatino Linotype" w:cs="Tahoma"/>
          <w:bCs/>
          <w:iCs/>
          <w:sz w:val="22"/>
          <w:szCs w:val="22"/>
          <w:lang w:val="es-ES" w:eastAsia="es-ES"/>
        </w:rPr>
        <w:t xml:space="preserve">, </w:t>
      </w:r>
      <w:r w:rsidRPr="00CF09CB">
        <w:rPr>
          <w:rFonts w:ascii="Palatino Linotype" w:hAnsi="Palatino Linotype" w:cs="Tahoma"/>
          <w:bCs/>
          <w:iCs/>
          <w:sz w:val="22"/>
          <w:szCs w:val="22"/>
          <w:lang w:val="x-none" w:eastAsia="es-ES"/>
        </w:rPr>
        <w:t>en donde únicamente podrá clasificar, en términos de</w:t>
      </w:r>
      <w:r w:rsidRPr="00CF09CB">
        <w:rPr>
          <w:rFonts w:ascii="Palatino Linotype" w:hAnsi="Palatino Linotype" w:cs="Tahoma"/>
          <w:bCs/>
          <w:iCs/>
          <w:sz w:val="22"/>
          <w:szCs w:val="22"/>
          <w:lang w:val="es-ES" w:eastAsia="es-ES"/>
        </w:rPr>
        <w:t xml:space="preserve"> los </w:t>
      </w:r>
      <w:r w:rsidRPr="00CF09CB">
        <w:rPr>
          <w:rFonts w:ascii="Palatino Linotype" w:hAnsi="Palatino Linotype" w:cs="Tahoma"/>
          <w:bCs/>
          <w:iCs/>
          <w:sz w:val="22"/>
          <w:szCs w:val="22"/>
          <w:lang w:val="x-none" w:eastAsia="es-ES"/>
        </w:rPr>
        <w:t>artículo</w:t>
      </w:r>
      <w:r w:rsidRPr="00CF09CB">
        <w:rPr>
          <w:rFonts w:ascii="Palatino Linotype" w:hAnsi="Palatino Linotype" w:cs="Tahoma"/>
          <w:bCs/>
          <w:iCs/>
          <w:sz w:val="22"/>
          <w:szCs w:val="22"/>
          <w:lang w:val="es-ES" w:eastAsia="es-ES"/>
        </w:rPr>
        <w:t>s</w:t>
      </w:r>
      <w:r w:rsidRPr="00CF09CB">
        <w:rPr>
          <w:rFonts w:ascii="Palatino Linotype" w:hAnsi="Palatino Linotype" w:cs="Tahoma"/>
          <w:bCs/>
          <w:iCs/>
          <w:sz w:val="22"/>
          <w:szCs w:val="22"/>
          <w:lang w:val="x-none" w:eastAsia="es-ES"/>
        </w:rPr>
        <w:t xml:space="preserve"> </w:t>
      </w:r>
      <w:r w:rsidRPr="00CF09CB">
        <w:rPr>
          <w:rFonts w:ascii="Palatino Linotype" w:hAnsi="Palatino Linotype" w:cs="Tahoma"/>
          <w:bCs/>
          <w:iCs/>
          <w:sz w:val="22"/>
          <w:szCs w:val="22"/>
          <w:lang w:val="es-ES" w:eastAsia="es-ES"/>
        </w:rPr>
        <w:t xml:space="preserve">140, fracción IV, </w:t>
      </w:r>
      <w:r w:rsidRPr="00CF09CB">
        <w:rPr>
          <w:rFonts w:ascii="Palatino Linotype" w:hAnsi="Palatino Linotype" w:cs="Tahoma"/>
          <w:bCs/>
          <w:iCs/>
          <w:sz w:val="22"/>
          <w:szCs w:val="22"/>
          <w:lang w:val="x-none" w:eastAsia="es-ES"/>
        </w:rPr>
        <w:t>de la Ley de Transparencia y Acceso a la Información Pública del Estado de México y Municipios</w:t>
      </w:r>
      <w:r w:rsidRPr="00CF09CB">
        <w:rPr>
          <w:rFonts w:ascii="Palatino Linotype" w:hAnsi="Palatino Linotype" w:cs="Tahoma"/>
          <w:bCs/>
          <w:iCs/>
          <w:sz w:val="22"/>
          <w:szCs w:val="22"/>
          <w:lang w:val="es-ES" w:eastAsia="es-ES"/>
        </w:rPr>
        <w:t>, el nombre de los elementos operativos de la Dirección General de Seguridad Ciudadana, así como, en términos del 143</w:t>
      </w:r>
      <w:r w:rsidRPr="00CF09CB">
        <w:rPr>
          <w:rFonts w:ascii="Palatino Linotype" w:hAnsi="Palatino Linotype" w:cs="Tahoma"/>
          <w:bCs/>
          <w:iCs/>
          <w:sz w:val="22"/>
          <w:szCs w:val="22"/>
          <w:lang w:val="x-none" w:eastAsia="es-ES"/>
        </w:rPr>
        <w:t xml:space="preserve">, fracción </w:t>
      </w:r>
      <w:r w:rsidRPr="00CF09CB">
        <w:rPr>
          <w:rFonts w:ascii="Palatino Linotype" w:hAnsi="Palatino Linotype" w:cs="Tahoma"/>
          <w:bCs/>
          <w:iCs/>
          <w:sz w:val="22"/>
          <w:szCs w:val="22"/>
          <w:lang w:eastAsia="es-ES"/>
        </w:rPr>
        <w:t>I, de la Ley de la materia</w:t>
      </w:r>
      <w:r w:rsidRPr="00CF09CB">
        <w:rPr>
          <w:rFonts w:ascii="Palatino Linotype" w:hAnsi="Palatino Linotype" w:cs="Tahoma"/>
          <w:bCs/>
          <w:iCs/>
          <w:sz w:val="22"/>
          <w:szCs w:val="22"/>
          <w:lang w:val="x-none" w:eastAsia="es-ES"/>
        </w:rPr>
        <w:t xml:space="preserve">, </w:t>
      </w:r>
      <w:r w:rsidRPr="00CF09CB">
        <w:rPr>
          <w:rFonts w:ascii="Palatino Linotype" w:hAnsi="Palatino Linotype" w:cs="Tahoma"/>
          <w:bCs/>
          <w:iCs/>
          <w:sz w:val="22"/>
          <w:szCs w:val="22"/>
          <w:lang w:eastAsia="es-ES"/>
        </w:rPr>
        <w:t>la</w:t>
      </w:r>
      <w:r w:rsidRPr="00CF09CB">
        <w:rPr>
          <w:rFonts w:ascii="Palatino Linotype" w:hAnsi="Palatino Linotype"/>
          <w:bCs/>
          <w:sz w:val="22"/>
          <w:szCs w:val="22"/>
        </w:rPr>
        <w:t>, el Registro Federal de Contribuyentes y la cuenta bancaria de los servidores públicos</w:t>
      </w:r>
    </w:p>
    <w:p w:rsidRPr="00CF09CB" w:rsidR="0019462A" w:rsidP="0019462A" w:rsidRDefault="0019462A" w14:paraId="65E94499" w14:textId="77777777">
      <w:pPr>
        <w:spacing w:line="360" w:lineRule="auto"/>
        <w:jc w:val="both"/>
        <w:rPr>
          <w:rFonts w:ascii="Palatino Linotype" w:hAnsi="Palatino Linotype" w:cs="Tahoma"/>
          <w:bCs/>
          <w:iCs/>
          <w:sz w:val="22"/>
          <w:szCs w:val="22"/>
          <w:lang w:val="es-ES" w:eastAsia="es-ES"/>
        </w:rPr>
      </w:pPr>
    </w:p>
    <w:p w:rsidRPr="00CF09CB" w:rsidR="0019462A" w:rsidP="0019462A" w:rsidRDefault="0019462A" w14:paraId="4D50519D" w14:textId="77777777">
      <w:pPr>
        <w:spacing w:line="360" w:lineRule="auto"/>
        <w:jc w:val="both"/>
        <w:rPr>
          <w:rFonts w:ascii="Palatino Linotype" w:hAnsi="Palatino Linotype" w:eastAsiaTheme="minorHAnsi" w:cstheme="minorBidi"/>
          <w:color w:val="000000" w:themeColor="text1"/>
          <w:sz w:val="22"/>
          <w:szCs w:val="22"/>
          <w:lang w:eastAsia="en-US"/>
        </w:rPr>
      </w:pPr>
      <w:proofErr w:type="spellStart"/>
      <w:r w:rsidRPr="00CF09CB">
        <w:rPr>
          <w:rFonts w:ascii="Palatino Linotype" w:hAnsi="Palatino Linotype"/>
          <w:sz w:val="22"/>
          <w:szCs w:val="22"/>
        </w:rPr>
        <w:t>Adem</w:t>
      </w:r>
      <w:r w:rsidRPr="00CF09CB">
        <w:rPr>
          <w:rFonts w:ascii="Palatino Linotype" w:hAnsi="Palatino Linotype"/>
          <w:sz w:val="22"/>
          <w:szCs w:val="22"/>
          <w:lang w:val="x-none"/>
        </w:rPr>
        <w:t>ás</w:t>
      </w:r>
      <w:proofErr w:type="spellEnd"/>
      <w:r w:rsidRPr="00CF09CB">
        <w:rPr>
          <w:rFonts w:ascii="Palatino Linotype" w:hAnsi="Palatino Linotype"/>
          <w:sz w:val="22"/>
          <w:szCs w:val="22"/>
          <w:lang w:val="x-none"/>
        </w:rPr>
        <w:t>, deberá proporcionar el Acuerdo emitido por el Comité de Transparencia, que confirme la clasificación de dichos datos, conforme al proceso establecido en el artículo 168 de la Ley de la materia.</w:t>
      </w:r>
    </w:p>
    <w:p w:rsidRPr="00CF09CB" w:rsidR="0019462A" w:rsidP="0019462A" w:rsidRDefault="0019462A" w14:paraId="7EF57FFB" w14:textId="77777777">
      <w:pPr>
        <w:spacing w:line="360" w:lineRule="auto"/>
        <w:jc w:val="both"/>
        <w:rPr>
          <w:rFonts w:ascii="Palatino Linotype" w:hAnsi="Palatino Linotype" w:eastAsia="Calibri" w:cs="Tahoma"/>
          <w:color w:val="000000"/>
          <w:sz w:val="22"/>
        </w:rPr>
      </w:pPr>
    </w:p>
    <w:p w:rsidRPr="00CF09CB" w:rsidR="007B2E12" w:rsidP="0019462A" w:rsidRDefault="008D623F" w14:paraId="391F9340" w14:textId="155C38F7">
      <w:pPr>
        <w:spacing w:line="360" w:lineRule="auto"/>
        <w:jc w:val="both"/>
        <w:rPr>
          <w:rFonts w:ascii="Palatino Linotype" w:hAnsi="Palatino Linotype" w:eastAsia="Calibri" w:cs="Tahoma"/>
          <w:b/>
          <w:bCs/>
          <w:iCs/>
          <w:color w:val="000000"/>
          <w:sz w:val="22"/>
        </w:rPr>
      </w:pPr>
      <w:r w:rsidRPr="00CF09CB">
        <w:rPr>
          <w:rFonts w:ascii="Palatino Linotype" w:hAnsi="Palatino Linotype" w:eastAsia="Calibri" w:cs="Tahoma"/>
          <w:b/>
          <w:bCs/>
          <w:iCs/>
          <w:color w:val="000000"/>
          <w:sz w:val="22"/>
        </w:rPr>
        <w:t>SEXTO</w:t>
      </w:r>
      <w:r w:rsidRPr="00CF09CB" w:rsidR="007B2E12">
        <w:rPr>
          <w:rFonts w:ascii="Palatino Linotype" w:hAnsi="Palatino Linotype" w:eastAsia="Calibri" w:cs="Tahoma"/>
          <w:b/>
          <w:bCs/>
          <w:iCs/>
          <w:color w:val="000000"/>
          <w:sz w:val="22"/>
        </w:rPr>
        <w:t xml:space="preserve">. Decisión. </w:t>
      </w:r>
    </w:p>
    <w:p w:rsidRPr="00CF09CB" w:rsidR="007B2E12" w:rsidP="0019462A" w:rsidRDefault="007B2E12" w14:paraId="0B60DFA9" w14:textId="77777777">
      <w:pPr>
        <w:spacing w:line="360" w:lineRule="auto"/>
        <w:jc w:val="both"/>
        <w:rPr>
          <w:rFonts w:ascii="Palatino Linotype" w:hAnsi="Palatino Linotype" w:eastAsia="Calibri" w:cs="Tahoma"/>
          <w:bCs/>
          <w:iCs/>
          <w:color w:val="000000"/>
          <w:sz w:val="22"/>
        </w:rPr>
      </w:pPr>
    </w:p>
    <w:p w:rsidRPr="00CF09CB" w:rsidR="009B17DE" w:rsidP="0019462A" w:rsidRDefault="009B17DE" w14:paraId="707DA170" w14:textId="2CA188C9">
      <w:pPr>
        <w:autoSpaceDE w:val="0"/>
        <w:autoSpaceDN w:val="0"/>
        <w:adjustRightInd w:val="0"/>
        <w:spacing w:line="360" w:lineRule="auto"/>
        <w:contextualSpacing/>
        <w:jc w:val="both"/>
        <w:rPr>
          <w:rFonts w:ascii="Palatino Linotype" w:hAnsi="Palatino Linotype" w:eastAsia="Calibri" w:cs="Tahoma"/>
          <w:color w:val="000000"/>
          <w:sz w:val="22"/>
          <w:szCs w:val="22"/>
        </w:rPr>
      </w:pPr>
      <w:r w:rsidRPr="00CF09CB">
        <w:rPr>
          <w:rFonts w:ascii="Palatino Linotype" w:hAnsi="Palatino Linotype" w:eastAsia="Calibri" w:cs="Tahoma"/>
          <w:color w:val="000000"/>
          <w:sz w:val="22"/>
          <w:szCs w:val="22"/>
          <w:lang w:eastAsia="en-US"/>
        </w:rPr>
        <w:lastRenderedPageBreak/>
        <w:t>Con fundamento en el artículo 186, fracción III, de la Ley de Transparencia y Acceso a la Información Pública del Estado de México y Municipios, este Instituto considera procedente </w:t>
      </w:r>
      <w:r w:rsidRPr="00CF09CB" w:rsidR="00CD4CC0">
        <w:rPr>
          <w:rFonts w:ascii="Palatino Linotype" w:hAnsi="Palatino Linotype" w:eastAsia="Calibri" w:cs="Tahoma"/>
          <w:b/>
          <w:bCs/>
          <w:color w:val="000000"/>
          <w:sz w:val="22"/>
          <w:szCs w:val="22"/>
          <w:lang w:eastAsia="en-US"/>
        </w:rPr>
        <w:t>REVOCAR</w:t>
      </w:r>
      <w:r w:rsidRPr="00CF09CB">
        <w:rPr>
          <w:rFonts w:ascii="Palatino Linotype" w:hAnsi="Palatino Linotype" w:eastAsia="Calibri" w:cs="Tahoma"/>
          <w:bCs/>
          <w:color w:val="000000"/>
          <w:sz w:val="22"/>
          <w:szCs w:val="22"/>
          <w:lang w:eastAsia="en-US"/>
        </w:rPr>
        <w:t> </w:t>
      </w:r>
      <w:r w:rsidRPr="00CF09CB">
        <w:rPr>
          <w:rFonts w:ascii="Palatino Linotype" w:hAnsi="Palatino Linotype" w:eastAsia="Calibri" w:cs="Tahoma"/>
          <w:color w:val="000000"/>
          <w:sz w:val="22"/>
          <w:szCs w:val="22"/>
          <w:lang w:eastAsia="en-US"/>
        </w:rPr>
        <w:t>la respuesta</w:t>
      </w:r>
      <w:r w:rsidRPr="00CF09CB" w:rsidR="00F47CDD">
        <w:rPr>
          <w:rFonts w:ascii="Palatino Linotype" w:hAnsi="Palatino Linotype" w:eastAsia="Calibri" w:cs="Tahoma"/>
          <w:color w:val="000000"/>
          <w:sz w:val="22"/>
          <w:szCs w:val="22"/>
          <w:lang w:eastAsia="en-US"/>
        </w:rPr>
        <w:t>s</w:t>
      </w:r>
      <w:r w:rsidRPr="00CF09CB">
        <w:rPr>
          <w:rFonts w:ascii="Palatino Linotype" w:hAnsi="Palatino Linotype" w:eastAsia="Calibri" w:cs="Tahoma"/>
          <w:color w:val="000000"/>
          <w:sz w:val="22"/>
          <w:szCs w:val="22"/>
          <w:lang w:eastAsia="en-US"/>
        </w:rPr>
        <w:t xml:space="preserve"> otorgada</w:t>
      </w:r>
      <w:r w:rsidRPr="00CF09CB" w:rsidR="00F47CDD">
        <w:rPr>
          <w:rFonts w:ascii="Palatino Linotype" w:hAnsi="Palatino Linotype" w:eastAsia="Calibri" w:cs="Tahoma"/>
          <w:color w:val="000000"/>
          <w:sz w:val="22"/>
          <w:szCs w:val="22"/>
          <w:lang w:eastAsia="en-US"/>
        </w:rPr>
        <w:t>s</w:t>
      </w:r>
      <w:r w:rsidRPr="00CF09CB">
        <w:rPr>
          <w:rFonts w:ascii="Palatino Linotype" w:hAnsi="Palatino Linotype" w:eastAsia="Calibri" w:cs="Tahoma"/>
          <w:color w:val="000000"/>
          <w:sz w:val="22"/>
          <w:szCs w:val="22"/>
          <w:lang w:eastAsia="en-US"/>
        </w:rPr>
        <w:t xml:space="preserve"> por el Sujeto Obligado, a efecto de que, previa búsqueda exhaustiva y razonable en todas las áreas competentes, entre las cuales no podrá omitir a la </w:t>
      </w:r>
      <w:r w:rsidRPr="00CF09CB" w:rsidR="00CD4CC0">
        <w:rPr>
          <w:rFonts w:ascii="Palatino Linotype" w:hAnsi="Palatino Linotype" w:eastAsia="Calibri" w:cs="Tahoma"/>
          <w:color w:val="000000"/>
          <w:sz w:val="22"/>
          <w:szCs w:val="22"/>
          <w:lang w:eastAsia="en-US"/>
        </w:rPr>
        <w:t>Tesorería Municipal</w:t>
      </w:r>
      <w:r w:rsidRPr="00CF09CB">
        <w:rPr>
          <w:rFonts w:ascii="Palatino Linotype" w:hAnsi="Palatino Linotype" w:eastAsia="Calibri" w:cs="Tahoma"/>
          <w:color w:val="000000"/>
          <w:sz w:val="22"/>
          <w:szCs w:val="22"/>
          <w:lang w:eastAsia="en-US"/>
        </w:rPr>
        <w:t>, entregue, a través del Sistema de Acceso a la Información Mexiquense (SAIMEX), en versión pública, los</w:t>
      </w:r>
      <w:r w:rsidRPr="00CF09CB" w:rsidR="0019462A">
        <w:rPr>
          <w:rFonts w:ascii="Palatino Linotype" w:hAnsi="Palatino Linotype" w:eastAsia="Calibri" w:cs="Tahoma"/>
          <w:color w:val="000000"/>
          <w:sz w:val="22"/>
          <w:szCs w:val="22"/>
          <w:lang w:eastAsia="en-US"/>
        </w:rPr>
        <w:t xml:space="preserve"> </w:t>
      </w:r>
      <w:r w:rsidRPr="00CF09CB" w:rsidR="00CD4CC0">
        <w:rPr>
          <w:rFonts w:ascii="Palatino Linotype" w:hAnsi="Palatino Linotype" w:cs="Tahoma"/>
          <w:bCs/>
          <w:iCs/>
          <w:sz w:val="22"/>
          <w:szCs w:val="22"/>
          <w:lang w:eastAsia="es-ES"/>
        </w:rPr>
        <w:t>Comprobante</w:t>
      </w:r>
      <w:r w:rsidRPr="00CF09CB" w:rsidR="0019462A">
        <w:rPr>
          <w:rFonts w:ascii="Palatino Linotype" w:hAnsi="Palatino Linotype" w:cs="Tahoma"/>
          <w:bCs/>
          <w:iCs/>
          <w:sz w:val="22"/>
          <w:szCs w:val="22"/>
          <w:lang w:eastAsia="es-ES"/>
        </w:rPr>
        <w:t>s</w:t>
      </w:r>
      <w:r w:rsidRPr="00CF09CB" w:rsidR="00CD4CC0">
        <w:rPr>
          <w:rFonts w:ascii="Palatino Linotype" w:hAnsi="Palatino Linotype" w:cs="Tahoma"/>
          <w:bCs/>
          <w:iCs/>
          <w:sz w:val="22"/>
          <w:szCs w:val="22"/>
          <w:lang w:eastAsia="es-ES"/>
        </w:rPr>
        <w:t xml:space="preserve"> Bancario</w:t>
      </w:r>
      <w:r w:rsidRPr="00CF09CB" w:rsidR="0019462A">
        <w:rPr>
          <w:rFonts w:ascii="Palatino Linotype" w:hAnsi="Palatino Linotype" w:cs="Tahoma"/>
          <w:bCs/>
          <w:iCs/>
          <w:sz w:val="22"/>
          <w:szCs w:val="22"/>
          <w:lang w:eastAsia="es-ES"/>
        </w:rPr>
        <w:t>s</w:t>
      </w:r>
      <w:r w:rsidRPr="00CF09CB" w:rsidR="00CD4CC0">
        <w:rPr>
          <w:rFonts w:ascii="Palatino Linotype" w:hAnsi="Palatino Linotype" w:cs="Tahoma"/>
          <w:bCs/>
          <w:iCs/>
          <w:sz w:val="22"/>
          <w:szCs w:val="22"/>
          <w:lang w:eastAsia="es-ES"/>
        </w:rPr>
        <w:t xml:space="preserve"> de la Dispersión de la Nómina, </w:t>
      </w:r>
      <w:r w:rsidRPr="00CF09CB" w:rsidR="007D2272">
        <w:rPr>
          <w:rFonts w:ascii="Palatino Linotype" w:hAnsi="Palatino Linotype" w:cs="Tahoma"/>
          <w:bCs/>
          <w:iCs/>
          <w:sz w:val="22"/>
          <w:szCs w:val="22"/>
          <w:lang w:eastAsia="es-ES"/>
        </w:rPr>
        <w:t>de la primera quincena de enero a la segunda de diciembre de dos mil veintiuno.</w:t>
      </w:r>
    </w:p>
    <w:p w:rsidRPr="00CF09CB" w:rsidR="00CD4CC0" w:rsidP="0019462A" w:rsidRDefault="00CD4CC0" w14:paraId="2F45A5C3" w14:textId="77777777">
      <w:pPr>
        <w:pStyle w:val="Prrafodelista"/>
        <w:spacing w:line="360" w:lineRule="auto"/>
        <w:rPr>
          <w:rFonts w:eastAsia="Calibri" w:cs="Tahoma"/>
          <w:color w:val="000000"/>
        </w:rPr>
      </w:pPr>
    </w:p>
    <w:p w:rsidRPr="00CF09CB" w:rsidR="009B17DE" w:rsidP="0019462A" w:rsidRDefault="009B17DE" w14:paraId="2551EBA5" w14:textId="4086D210">
      <w:pPr>
        <w:spacing w:line="360" w:lineRule="auto"/>
        <w:jc w:val="both"/>
        <w:rPr>
          <w:rFonts w:ascii="Palatino Linotype" w:hAnsi="Palatino Linotype" w:cs="Tahoma"/>
          <w:sz w:val="22"/>
        </w:rPr>
      </w:pPr>
      <w:r w:rsidRPr="00CF09CB">
        <w:rPr>
          <w:rFonts w:ascii="Palatino Linotype" w:hAnsi="Palatino Linotype" w:cs="Arial"/>
          <w:bCs/>
          <w:sz w:val="22"/>
        </w:rPr>
        <w:t xml:space="preserve">Además, deberá proporcionar el Acuerdo de Clasificación donde el Comité de Transparencia, confirme la eliminación de los datos </w:t>
      </w:r>
      <w:r w:rsidRPr="00CF09CB" w:rsidR="007D2272">
        <w:rPr>
          <w:rFonts w:ascii="Palatino Linotype" w:hAnsi="Palatino Linotype" w:cs="Arial"/>
          <w:bCs/>
          <w:sz w:val="22"/>
        </w:rPr>
        <w:t>clasificados</w:t>
      </w:r>
      <w:r w:rsidRPr="00CF09CB">
        <w:rPr>
          <w:rFonts w:ascii="Palatino Linotype" w:hAnsi="Palatino Linotype" w:cs="Arial"/>
          <w:bCs/>
          <w:sz w:val="22"/>
        </w:rPr>
        <w:t>, en la versión pública, de conformidad con los artículos 49, fracciones II y VIII, 132, fracción II y 149 de la Ley de Transparencia y Acceso a la Información Pública del Estado de México y Municipios</w:t>
      </w:r>
      <w:r w:rsidRPr="00CF09CB">
        <w:rPr>
          <w:rFonts w:ascii="Palatino Linotype" w:hAnsi="Palatino Linotype" w:cs="Tahoma"/>
          <w:bCs/>
          <w:sz w:val="22"/>
        </w:rPr>
        <w:t>.</w:t>
      </w:r>
    </w:p>
    <w:p w:rsidRPr="00CF09CB" w:rsidR="009B17DE" w:rsidP="0019462A" w:rsidRDefault="009B17DE" w14:paraId="212F0EA7" w14:textId="77777777">
      <w:pPr>
        <w:spacing w:line="360" w:lineRule="auto"/>
        <w:jc w:val="both"/>
        <w:rPr>
          <w:rFonts w:ascii="Palatino Linotype" w:hAnsi="Palatino Linotype" w:eastAsia="Calibri" w:cs="Tahoma"/>
          <w:color w:val="000000"/>
          <w:sz w:val="22"/>
        </w:rPr>
      </w:pPr>
    </w:p>
    <w:p w:rsidRPr="00CF09CB" w:rsidR="00C240BF" w:rsidP="0019462A" w:rsidRDefault="00C240BF" w14:paraId="0CDE504A" w14:textId="77777777">
      <w:pPr>
        <w:spacing w:line="360" w:lineRule="auto"/>
        <w:jc w:val="both"/>
        <w:rPr>
          <w:rFonts w:ascii="Palatino Linotype" w:hAnsi="Palatino Linotype" w:eastAsia="Calibri" w:cs="Tahoma"/>
          <w:b/>
          <w:bCs/>
          <w:iCs/>
          <w:color w:val="000000"/>
          <w:sz w:val="22"/>
        </w:rPr>
      </w:pPr>
      <w:r w:rsidRPr="00CF09CB">
        <w:rPr>
          <w:rFonts w:ascii="Palatino Linotype" w:hAnsi="Palatino Linotype" w:eastAsia="Calibri" w:cs="Tahoma"/>
          <w:b/>
          <w:bCs/>
          <w:iCs/>
          <w:color w:val="000000"/>
          <w:sz w:val="22"/>
        </w:rPr>
        <w:t>Términos de la Resolución para conocimiento del Particular.</w:t>
      </w:r>
    </w:p>
    <w:p w:rsidRPr="00CF09CB" w:rsidR="00C240BF" w:rsidP="0019462A" w:rsidRDefault="00C240BF" w14:paraId="47BAEF57" w14:textId="77777777">
      <w:pPr>
        <w:spacing w:line="360" w:lineRule="auto"/>
        <w:jc w:val="both"/>
        <w:rPr>
          <w:rFonts w:ascii="Palatino Linotype" w:hAnsi="Palatino Linotype" w:eastAsia="Calibri" w:cs="Tahoma"/>
          <w:bCs/>
          <w:iCs/>
          <w:color w:val="000000"/>
          <w:sz w:val="22"/>
        </w:rPr>
      </w:pPr>
    </w:p>
    <w:p w:rsidRPr="00CF09CB" w:rsidR="00F47CDD" w:rsidP="0019462A" w:rsidRDefault="00F47CDD" w14:paraId="5CE4B430" w14:textId="06B2CD48">
      <w:pPr>
        <w:spacing w:line="360" w:lineRule="auto"/>
        <w:ind w:right="-28"/>
        <w:jc w:val="both"/>
        <w:rPr>
          <w:rFonts w:ascii="Palatino Linotype" w:hAnsi="Palatino Linotype" w:eastAsia="Calibri" w:cs="Tahoma"/>
          <w:color w:val="000000"/>
          <w:sz w:val="22"/>
          <w:szCs w:val="22"/>
          <w:lang w:eastAsia="en-US"/>
        </w:rPr>
      </w:pPr>
      <w:r w:rsidRPr="00CF09CB">
        <w:rPr>
          <w:rFonts w:ascii="Palatino Linotype" w:hAnsi="Palatino Linotype"/>
          <w:color w:val="000000"/>
          <w:sz w:val="22"/>
          <w:szCs w:val="22"/>
        </w:rPr>
        <w:t xml:space="preserve">Se le hace del conocimiento al Particular, que, en el presente caso, se le concede la razón, pues el </w:t>
      </w:r>
      <w:r w:rsidRPr="00CF09CB">
        <w:rPr>
          <w:rFonts w:ascii="Palatino Linotype" w:hAnsi="Palatino Linotype" w:eastAsia="Calibri" w:cs="Tahoma"/>
          <w:color w:val="000000"/>
          <w:sz w:val="22"/>
          <w:szCs w:val="22"/>
          <w:lang w:eastAsia="en-US"/>
        </w:rPr>
        <w:t xml:space="preserve">Ayuntamiento de </w:t>
      </w:r>
      <w:r w:rsidRPr="00CF09CB" w:rsidR="00CD4CC0">
        <w:rPr>
          <w:rFonts w:ascii="Palatino Linotype" w:hAnsi="Palatino Linotype" w:eastAsia="Calibri" w:cs="Tahoma"/>
          <w:color w:val="000000"/>
          <w:sz w:val="22"/>
          <w:szCs w:val="22"/>
          <w:lang w:eastAsia="en-US"/>
        </w:rPr>
        <w:t>Nezahualcóyotl</w:t>
      </w:r>
      <w:r w:rsidRPr="00CF09CB">
        <w:rPr>
          <w:rFonts w:ascii="Palatino Linotype" w:hAnsi="Palatino Linotype" w:eastAsia="Calibri" w:cs="Tahoma"/>
          <w:color w:val="000000"/>
          <w:sz w:val="22"/>
          <w:szCs w:val="22"/>
          <w:lang w:eastAsia="en-US"/>
        </w:rPr>
        <w:t xml:space="preserve">, </w:t>
      </w:r>
      <w:r w:rsidRPr="00CF09CB" w:rsidR="00CD4CC0">
        <w:rPr>
          <w:rFonts w:ascii="Palatino Linotype" w:hAnsi="Palatino Linotype" w:eastAsia="Calibri" w:cs="Tahoma"/>
          <w:color w:val="000000"/>
          <w:sz w:val="22"/>
          <w:szCs w:val="22"/>
          <w:lang w:eastAsia="en-US"/>
        </w:rPr>
        <w:t xml:space="preserve">no le proporcionó la información requerida, </w:t>
      </w:r>
      <w:r w:rsidRPr="00CF09CB">
        <w:rPr>
          <w:rFonts w:ascii="Palatino Linotype" w:hAnsi="Palatino Linotype" w:eastAsia="Calibri" w:cs="Tahoma"/>
          <w:color w:val="000000"/>
          <w:sz w:val="22"/>
          <w:szCs w:val="22"/>
          <w:lang w:eastAsia="en-US"/>
        </w:rPr>
        <w:t xml:space="preserve">por lo que, deberá </w:t>
      </w:r>
      <w:r w:rsidRPr="00CF09CB" w:rsidR="007D2272">
        <w:rPr>
          <w:rFonts w:ascii="Palatino Linotype" w:hAnsi="Palatino Linotype" w:eastAsia="Calibri" w:cs="Tahoma"/>
          <w:color w:val="000000"/>
          <w:sz w:val="22"/>
          <w:szCs w:val="22"/>
          <w:lang w:eastAsia="en-US"/>
        </w:rPr>
        <w:t>entregar los</w:t>
      </w:r>
      <w:r w:rsidRPr="00CF09CB" w:rsidR="00CD4CC0">
        <w:rPr>
          <w:rFonts w:ascii="Palatino Linotype" w:hAnsi="Palatino Linotype" w:eastAsia="Calibri" w:cs="Tahoma"/>
          <w:color w:val="000000"/>
          <w:sz w:val="22"/>
          <w:szCs w:val="22"/>
          <w:lang w:eastAsia="en-US"/>
        </w:rPr>
        <w:t xml:space="preserve"> Comprobante</w:t>
      </w:r>
      <w:r w:rsidRPr="00CF09CB" w:rsidR="007D2272">
        <w:rPr>
          <w:rFonts w:ascii="Palatino Linotype" w:hAnsi="Palatino Linotype" w:eastAsia="Calibri" w:cs="Tahoma"/>
          <w:color w:val="000000"/>
          <w:sz w:val="22"/>
          <w:szCs w:val="22"/>
          <w:lang w:eastAsia="en-US"/>
        </w:rPr>
        <w:t>s</w:t>
      </w:r>
      <w:r w:rsidRPr="00CF09CB" w:rsidR="00CD4CC0">
        <w:rPr>
          <w:rFonts w:ascii="Palatino Linotype" w:hAnsi="Palatino Linotype" w:eastAsia="Calibri" w:cs="Tahoma"/>
          <w:color w:val="000000"/>
          <w:sz w:val="22"/>
          <w:szCs w:val="22"/>
          <w:lang w:eastAsia="en-US"/>
        </w:rPr>
        <w:t xml:space="preserve"> Bancario</w:t>
      </w:r>
      <w:r w:rsidRPr="00CF09CB" w:rsidR="007D2272">
        <w:rPr>
          <w:rFonts w:ascii="Palatino Linotype" w:hAnsi="Palatino Linotype" w:eastAsia="Calibri" w:cs="Tahoma"/>
          <w:color w:val="000000"/>
          <w:sz w:val="22"/>
          <w:szCs w:val="22"/>
          <w:lang w:eastAsia="en-US"/>
        </w:rPr>
        <w:t>s</w:t>
      </w:r>
      <w:r w:rsidRPr="00CF09CB" w:rsidR="00CD4CC0">
        <w:rPr>
          <w:rFonts w:ascii="Palatino Linotype" w:hAnsi="Palatino Linotype" w:eastAsia="Calibri" w:cs="Tahoma"/>
          <w:color w:val="000000"/>
          <w:sz w:val="22"/>
          <w:szCs w:val="22"/>
          <w:lang w:eastAsia="en-US"/>
        </w:rPr>
        <w:t xml:space="preserve"> de la Dispersión de la Nómina</w:t>
      </w:r>
      <w:r w:rsidRPr="00CF09CB" w:rsidR="007D2272">
        <w:rPr>
          <w:rFonts w:ascii="Palatino Linotype" w:hAnsi="Palatino Linotype" w:eastAsia="Calibri" w:cs="Tahoma"/>
          <w:color w:val="000000"/>
          <w:sz w:val="22"/>
          <w:szCs w:val="22"/>
          <w:lang w:eastAsia="en-US"/>
        </w:rPr>
        <w:t xml:space="preserve"> peticionados, ya que deben de obrar en sus archivos.</w:t>
      </w:r>
    </w:p>
    <w:p w:rsidRPr="00CF09CB" w:rsidR="00CD4CC0" w:rsidP="0019462A" w:rsidRDefault="00CD4CC0" w14:paraId="5B2D6603" w14:textId="77777777">
      <w:pPr>
        <w:spacing w:line="360" w:lineRule="auto"/>
        <w:ind w:right="-28"/>
        <w:jc w:val="both"/>
        <w:rPr>
          <w:rFonts w:ascii="Palatino Linotype" w:hAnsi="Palatino Linotype" w:eastAsia="Calibri" w:cs="Tahoma"/>
          <w:bCs/>
          <w:iCs/>
          <w:color w:val="000000"/>
          <w:sz w:val="22"/>
          <w:lang w:val="es-ES"/>
        </w:rPr>
      </w:pPr>
    </w:p>
    <w:p w:rsidRPr="00CF09CB" w:rsidR="00C240BF" w:rsidP="0019462A" w:rsidRDefault="00C240BF" w14:paraId="697CA8E1" w14:textId="571750BB">
      <w:pPr>
        <w:spacing w:line="360" w:lineRule="auto"/>
        <w:jc w:val="both"/>
        <w:rPr>
          <w:rFonts w:ascii="Palatino Linotype" w:hAnsi="Palatino Linotype" w:eastAsia="Calibri" w:cs="Tahoma"/>
          <w:bCs/>
          <w:iCs/>
          <w:color w:val="000000"/>
          <w:sz w:val="22"/>
          <w:lang w:val="es-ES_tradnl"/>
        </w:rPr>
      </w:pPr>
      <w:r w:rsidRPr="00CF09CB">
        <w:rPr>
          <w:rFonts w:ascii="Palatino Linotype" w:hAnsi="Palatino Linotype" w:eastAsia="Calibri" w:cs="Tahoma"/>
          <w:bCs/>
          <w:iCs/>
          <w:color w:val="000000"/>
          <w:sz w:val="22"/>
          <w:lang w:val="es-ES"/>
        </w:rPr>
        <w:t>Finalmente, se le hace de su conocimiento que l</w:t>
      </w:r>
      <w:r w:rsidRPr="00CF09CB">
        <w:rPr>
          <w:rFonts w:ascii="Palatino Linotype" w:hAnsi="Palatino Linotype" w:eastAsia="Calibri" w:cs="Tahoma"/>
          <w:bCs/>
          <w:iCs/>
          <w:color w:val="000000"/>
          <w:sz w:val="22"/>
          <w:lang w:val="es-ES_tradnl"/>
        </w:rPr>
        <w:t>a labor del Instituto de Transparencia, Acceso a la Información Pública y Protección de Datos Personales del Estado de México y Municipios, es apoyar a la población a acceder a la información pública y garantizar la protección de los datos personales.</w:t>
      </w:r>
    </w:p>
    <w:p w:rsidRPr="00CF09CB" w:rsidR="00C240BF" w:rsidP="0019462A" w:rsidRDefault="00C240BF" w14:paraId="6E67BC7E" w14:textId="1E608402">
      <w:pPr>
        <w:spacing w:line="360" w:lineRule="auto"/>
        <w:jc w:val="both"/>
        <w:rPr>
          <w:rFonts w:ascii="Palatino Linotype" w:hAnsi="Palatino Linotype" w:eastAsia="Calibri" w:cs="Tahoma"/>
          <w:bCs/>
          <w:iCs/>
          <w:color w:val="000000"/>
          <w:sz w:val="22"/>
          <w:lang w:val="es-ES_tradnl"/>
        </w:rPr>
      </w:pPr>
    </w:p>
    <w:p w:rsidRPr="00CF09CB" w:rsidR="00C240BF" w:rsidP="0019462A" w:rsidRDefault="00C240BF" w14:paraId="1CB7182D" w14:textId="77777777">
      <w:pPr>
        <w:spacing w:line="360" w:lineRule="auto"/>
        <w:jc w:val="both"/>
        <w:rPr>
          <w:rFonts w:ascii="Palatino Linotype" w:hAnsi="Palatino Linotype" w:eastAsia="Calibri" w:cs="Tahoma"/>
          <w:bCs/>
          <w:iCs/>
          <w:color w:val="000000"/>
          <w:sz w:val="22"/>
        </w:rPr>
      </w:pPr>
      <w:r w:rsidRPr="00CF09CB">
        <w:rPr>
          <w:rFonts w:ascii="Palatino Linotype" w:hAnsi="Palatino Linotype" w:eastAsia="Calibri" w:cs="Tahoma"/>
          <w:bCs/>
          <w:iCs/>
          <w:color w:val="000000"/>
          <w:sz w:val="22"/>
        </w:rPr>
        <w:t xml:space="preserve">Por lo antes expuesto y fundado. </w:t>
      </w:r>
    </w:p>
    <w:p w:rsidRPr="00CF09CB" w:rsidR="00C240BF" w:rsidP="0019462A" w:rsidRDefault="00C240BF" w14:paraId="37272720" w14:textId="4E5D55D4">
      <w:pPr>
        <w:spacing w:line="360" w:lineRule="auto"/>
        <w:jc w:val="both"/>
        <w:rPr>
          <w:rFonts w:ascii="Palatino Linotype" w:hAnsi="Palatino Linotype" w:eastAsia="Calibri" w:cs="Tahoma"/>
          <w:bCs/>
          <w:iCs/>
          <w:color w:val="000000"/>
          <w:sz w:val="22"/>
        </w:rPr>
      </w:pPr>
    </w:p>
    <w:p w:rsidRPr="00CF09CB" w:rsidR="007D2272" w:rsidP="0019462A" w:rsidRDefault="007D2272" w14:paraId="6DB28C37" w14:textId="77777777">
      <w:pPr>
        <w:spacing w:line="360" w:lineRule="auto"/>
        <w:jc w:val="both"/>
        <w:rPr>
          <w:rFonts w:ascii="Palatino Linotype" w:hAnsi="Palatino Linotype" w:eastAsia="Calibri" w:cs="Tahoma"/>
          <w:bCs/>
          <w:iCs/>
          <w:color w:val="000000"/>
          <w:sz w:val="22"/>
        </w:rPr>
      </w:pPr>
    </w:p>
    <w:p w:rsidRPr="00CF09CB" w:rsidR="00C240BF" w:rsidP="0019462A" w:rsidRDefault="00C240BF" w14:paraId="7414D9FA" w14:textId="77777777">
      <w:pPr>
        <w:spacing w:line="360" w:lineRule="auto"/>
        <w:jc w:val="center"/>
        <w:rPr>
          <w:rFonts w:ascii="Palatino Linotype" w:hAnsi="Palatino Linotype" w:eastAsia="Calibri" w:cs="Tahoma"/>
          <w:b/>
          <w:bCs/>
          <w:iCs/>
          <w:color w:val="000000"/>
          <w:sz w:val="22"/>
        </w:rPr>
      </w:pPr>
      <w:r w:rsidRPr="00CF09CB">
        <w:rPr>
          <w:rFonts w:ascii="Palatino Linotype" w:hAnsi="Palatino Linotype" w:eastAsia="Calibri" w:cs="Tahoma"/>
          <w:b/>
          <w:bCs/>
          <w:iCs/>
          <w:color w:val="000000"/>
          <w:sz w:val="22"/>
        </w:rPr>
        <w:t>R E S U E L V E:</w:t>
      </w:r>
    </w:p>
    <w:p w:rsidRPr="00CF09CB" w:rsidR="00C240BF" w:rsidP="0019462A" w:rsidRDefault="00C240BF" w14:paraId="5EFB467A" w14:textId="77777777">
      <w:pPr>
        <w:spacing w:line="360" w:lineRule="auto"/>
        <w:jc w:val="both"/>
        <w:rPr>
          <w:rFonts w:ascii="Palatino Linotype" w:hAnsi="Palatino Linotype" w:eastAsia="Calibri" w:cs="Tahoma"/>
          <w:b/>
          <w:bCs/>
          <w:iCs/>
          <w:color w:val="000000"/>
          <w:sz w:val="22"/>
        </w:rPr>
      </w:pPr>
    </w:p>
    <w:p w:rsidRPr="00CF09CB" w:rsidR="00F47CDD" w:rsidP="0019462A" w:rsidRDefault="00F47CDD" w14:paraId="538D4283" w14:textId="359497F6">
      <w:pPr>
        <w:spacing w:line="360" w:lineRule="auto"/>
        <w:contextualSpacing/>
        <w:jc w:val="both"/>
        <w:rPr>
          <w:rFonts w:ascii="Palatino Linotype" w:hAnsi="Palatino Linotype" w:eastAsia="Calibri" w:cs="Tahoma"/>
          <w:bCs/>
          <w:color w:val="000000"/>
          <w:sz w:val="22"/>
          <w:szCs w:val="22"/>
          <w:lang w:eastAsia="en-US"/>
        </w:rPr>
      </w:pPr>
      <w:r w:rsidRPr="00CF09CB">
        <w:rPr>
          <w:rFonts w:ascii="Palatino Linotype" w:hAnsi="Palatino Linotype" w:eastAsia="Calibri" w:cs="Tahoma"/>
          <w:b/>
          <w:bCs/>
          <w:color w:val="000000"/>
          <w:sz w:val="22"/>
          <w:szCs w:val="22"/>
          <w:lang w:eastAsia="en-US"/>
        </w:rPr>
        <w:t xml:space="preserve">PRIMERO. </w:t>
      </w:r>
      <w:r w:rsidRPr="00CF09CB">
        <w:rPr>
          <w:rFonts w:ascii="Palatino Linotype" w:hAnsi="Palatino Linotype" w:eastAsia="Calibri" w:cs="Tahoma"/>
          <w:bCs/>
          <w:color w:val="000000"/>
          <w:sz w:val="22"/>
          <w:szCs w:val="22"/>
          <w:lang w:eastAsia="en-US"/>
        </w:rPr>
        <w:t xml:space="preserve">Se </w:t>
      </w:r>
      <w:r w:rsidRPr="00CF09CB" w:rsidR="00CD4CC0">
        <w:rPr>
          <w:rFonts w:ascii="Palatino Linotype" w:hAnsi="Palatino Linotype" w:eastAsia="Calibri" w:cs="Tahoma"/>
          <w:b/>
          <w:bCs/>
          <w:color w:val="000000"/>
          <w:sz w:val="22"/>
          <w:szCs w:val="22"/>
          <w:lang w:eastAsia="en-US"/>
        </w:rPr>
        <w:t>REVOCA</w:t>
      </w:r>
      <w:r w:rsidRPr="00CF09CB">
        <w:rPr>
          <w:rFonts w:ascii="Palatino Linotype" w:hAnsi="Palatino Linotype" w:eastAsia="Calibri" w:cs="Tahoma"/>
          <w:bCs/>
          <w:color w:val="000000"/>
          <w:sz w:val="22"/>
          <w:szCs w:val="22"/>
          <w:lang w:eastAsia="en-US"/>
        </w:rPr>
        <w:t xml:space="preserve"> la respuesta entregada por el </w:t>
      </w:r>
      <w:r w:rsidRPr="00CF09CB">
        <w:rPr>
          <w:rFonts w:ascii="Palatino Linotype" w:hAnsi="Palatino Linotype" w:eastAsia="Calibri" w:cs="Tahoma"/>
          <w:color w:val="000000"/>
          <w:sz w:val="22"/>
          <w:szCs w:val="22"/>
          <w:lang w:eastAsia="en-US"/>
        </w:rPr>
        <w:t xml:space="preserve">Ayuntamiento de </w:t>
      </w:r>
      <w:r w:rsidRPr="00CF09CB" w:rsidR="007D2272">
        <w:rPr>
          <w:rFonts w:ascii="Palatino Linotype" w:hAnsi="Palatino Linotype" w:eastAsia="Calibri" w:cs="Tahoma"/>
          <w:color w:val="000000"/>
          <w:sz w:val="22"/>
          <w:szCs w:val="22"/>
          <w:lang w:eastAsia="en-US"/>
        </w:rPr>
        <w:t xml:space="preserve">Nezahualcóyotl </w:t>
      </w:r>
      <w:r w:rsidRPr="00CF09CB" w:rsidR="007D2272">
        <w:rPr>
          <w:rFonts w:ascii="Palatino Linotype" w:hAnsi="Palatino Linotype" w:eastAsia="Calibri" w:cs="Tahoma"/>
          <w:bCs/>
          <w:color w:val="000000"/>
          <w:sz w:val="22"/>
          <w:szCs w:val="22"/>
          <w:lang w:eastAsia="en-US"/>
        </w:rPr>
        <w:t>a</w:t>
      </w:r>
      <w:r w:rsidRPr="00CF09CB">
        <w:rPr>
          <w:rFonts w:ascii="Palatino Linotype" w:hAnsi="Palatino Linotype" w:eastAsia="Calibri" w:cs="Tahoma"/>
          <w:bCs/>
          <w:color w:val="000000"/>
          <w:sz w:val="22"/>
          <w:szCs w:val="22"/>
          <w:lang w:eastAsia="en-US"/>
        </w:rPr>
        <w:t xml:space="preserve"> la solicitud de </w:t>
      </w:r>
      <w:r w:rsidRPr="00CF09CB">
        <w:rPr>
          <w:rFonts w:ascii="Palatino Linotype" w:hAnsi="Palatino Linotype" w:eastAsia="Calibri" w:cs="Tahoma"/>
          <w:color w:val="000000"/>
          <w:sz w:val="22"/>
          <w:szCs w:val="22"/>
          <w:lang w:eastAsia="en-US"/>
        </w:rPr>
        <w:t xml:space="preserve">información </w:t>
      </w:r>
      <w:r w:rsidRPr="00CF09CB" w:rsidR="00CD4CC0">
        <w:rPr>
          <w:rFonts w:ascii="Palatino Linotype" w:hAnsi="Palatino Linotype" w:cs="Tahoma"/>
          <w:bCs/>
          <w:color w:val="0D0D0D"/>
          <w:sz w:val="22"/>
          <w:szCs w:val="22"/>
        </w:rPr>
        <w:t>00054/NEZA/IP/2022,</w:t>
      </w:r>
      <w:r w:rsidRPr="00CF09CB">
        <w:rPr>
          <w:rFonts w:ascii="Palatino Linotype" w:hAnsi="Palatino Linotype" w:cs="Tahoma"/>
          <w:color w:val="0D0D0D"/>
          <w:sz w:val="22"/>
          <w:szCs w:val="22"/>
        </w:rPr>
        <w:t xml:space="preserve"> </w:t>
      </w:r>
      <w:r w:rsidRPr="00CF09CB">
        <w:rPr>
          <w:rFonts w:ascii="Palatino Linotype" w:hAnsi="Palatino Linotype" w:eastAsia="Calibri"/>
          <w:color w:val="000000"/>
          <w:sz w:val="22"/>
          <w:szCs w:val="22"/>
          <w:lang w:eastAsia="en-US"/>
        </w:rPr>
        <w:t xml:space="preserve">por resultar </w:t>
      </w:r>
      <w:r w:rsidRPr="00CF09CB">
        <w:rPr>
          <w:rFonts w:ascii="Palatino Linotype" w:hAnsi="Palatino Linotype" w:eastAsia="Calibri"/>
          <w:bCs/>
          <w:color w:val="000000"/>
          <w:sz w:val="22"/>
          <w:szCs w:val="22"/>
          <w:lang w:eastAsia="en-US"/>
        </w:rPr>
        <w:t>FUNDADAS</w:t>
      </w:r>
      <w:r w:rsidRPr="00CF09CB">
        <w:rPr>
          <w:rFonts w:ascii="Palatino Linotype" w:hAnsi="Palatino Linotype" w:eastAsia="Calibri" w:cs="Tahoma"/>
          <w:bCs/>
          <w:color w:val="000000"/>
          <w:sz w:val="22"/>
          <w:szCs w:val="22"/>
          <w:lang w:eastAsia="en-US"/>
        </w:rPr>
        <w:t xml:space="preserve"> las razones o motivos de inconformidad hechos valer por el Particular, en términos de los considerandos QUINTO y SEXTO de la presente Resolución.</w:t>
      </w:r>
      <w:r w:rsidRPr="00CF09CB" w:rsidR="00CD4CC0">
        <w:rPr>
          <w:rFonts w:ascii="Palatino Linotype" w:hAnsi="Palatino Linotype" w:eastAsia="Calibri" w:cs="Tahoma"/>
          <w:bCs/>
          <w:color w:val="000000"/>
          <w:sz w:val="22"/>
          <w:szCs w:val="22"/>
          <w:lang w:eastAsia="en-US"/>
        </w:rPr>
        <w:t xml:space="preserve"> </w:t>
      </w:r>
    </w:p>
    <w:p w:rsidRPr="00CF09CB" w:rsidR="00F47CDD" w:rsidP="0019462A" w:rsidRDefault="00F47CDD" w14:paraId="6D3D6E29" w14:textId="77777777">
      <w:pPr>
        <w:spacing w:line="360" w:lineRule="auto"/>
        <w:contextualSpacing/>
        <w:jc w:val="both"/>
        <w:rPr>
          <w:rFonts w:ascii="Palatino Linotype" w:hAnsi="Palatino Linotype" w:eastAsia="Calibri" w:cs="Tahoma"/>
          <w:bCs/>
          <w:color w:val="000000"/>
          <w:sz w:val="22"/>
          <w:szCs w:val="22"/>
          <w:lang w:eastAsia="en-US"/>
        </w:rPr>
      </w:pPr>
    </w:p>
    <w:p w:rsidRPr="00CF09CB" w:rsidR="00F47CDD" w:rsidP="0019462A" w:rsidRDefault="00F47CDD" w14:paraId="68B7FB2D" w14:textId="4C8200C5">
      <w:pPr>
        <w:widowControl w:val="0"/>
        <w:autoSpaceDE w:val="0"/>
        <w:autoSpaceDN w:val="0"/>
        <w:adjustRightInd w:val="0"/>
        <w:spacing w:line="360" w:lineRule="auto"/>
        <w:contextualSpacing/>
        <w:jc w:val="both"/>
        <w:rPr>
          <w:rFonts w:ascii="Palatino Linotype" w:hAnsi="Palatino Linotype" w:eastAsia="Calibri" w:cs="Tahoma"/>
          <w:color w:val="000000"/>
          <w:sz w:val="22"/>
          <w:szCs w:val="22"/>
          <w:lang w:val="es-ES" w:eastAsia="en-US"/>
        </w:rPr>
      </w:pPr>
      <w:r w:rsidRPr="00CF09CB">
        <w:rPr>
          <w:rFonts w:ascii="Palatino Linotype" w:hAnsi="Palatino Linotype" w:eastAsia="Calibri" w:cs="Tahoma"/>
          <w:b/>
          <w:bCs/>
          <w:color w:val="000000"/>
          <w:sz w:val="22"/>
          <w:szCs w:val="22"/>
          <w:lang w:eastAsia="en-US"/>
        </w:rPr>
        <w:t xml:space="preserve">SEGUNDO. </w:t>
      </w:r>
      <w:r w:rsidRPr="00CF09CB">
        <w:rPr>
          <w:rFonts w:ascii="Palatino Linotype" w:hAnsi="Palatino Linotype" w:eastAsia="Calibri" w:cs="Tahoma"/>
          <w:color w:val="000000"/>
          <w:sz w:val="22"/>
          <w:szCs w:val="22"/>
          <w:lang w:eastAsia="en-US"/>
        </w:rPr>
        <w:t xml:space="preserve">Se </w:t>
      </w:r>
      <w:r w:rsidRPr="00CF09CB">
        <w:rPr>
          <w:rFonts w:ascii="Palatino Linotype" w:hAnsi="Palatino Linotype" w:eastAsia="Calibri" w:cs="Tahoma"/>
          <w:b/>
          <w:color w:val="000000"/>
          <w:sz w:val="22"/>
          <w:szCs w:val="22"/>
          <w:lang w:eastAsia="en-US"/>
        </w:rPr>
        <w:t xml:space="preserve">ORDENA </w:t>
      </w:r>
      <w:r w:rsidRPr="00CF09CB">
        <w:rPr>
          <w:rFonts w:ascii="Palatino Linotype" w:hAnsi="Palatino Linotype" w:eastAsia="Calibri" w:cs="Tahoma"/>
          <w:bCs/>
          <w:color w:val="000000"/>
          <w:sz w:val="22"/>
          <w:szCs w:val="22"/>
          <w:lang w:eastAsia="en-US"/>
        </w:rPr>
        <w:t xml:space="preserve">al </w:t>
      </w:r>
      <w:r w:rsidRPr="00CF09CB">
        <w:rPr>
          <w:rFonts w:ascii="Palatino Linotype" w:hAnsi="Palatino Linotype" w:eastAsia="Calibri" w:cs="Tahoma"/>
          <w:color w:val="000000"/>
          <w:sz w:val="22"/>
          <w:szCs w:val="22"/>
          <w:lang w:eastAsia="en-US"/>
        </w:rPr>
        <w:t>Ente Recurrido, a efecto de que, previa búsqueda exhaustiva y razonable en todas las áreas competentes, entregue, a través del Sistema de Acceso a la Información Mexiquense (SAIMEX), en versión pública, lo siguiente:</w:t>
      </w:r>
    </w:p>
    <w:p w:rsidRPr="00CF09CB" w:rsidR="00F47CDD" w:rsidP="0019462A" w:rsidRDefault="00F47CDD" w14:paraId="3911F4D5" w14:textId="662F453E">
      <w:pPr>
        <w:spacing w:line="360" w:lineRule="auto"/>
        <w:jc w:val="both"/>
        <w:rPr>
          <w:rFonts w:ascii="Palatino Linotype" w:hAnsi="Palatino Linotype" w:eastAsia="Calibri" w:cs="Tahoma"/>
          <w:b/>
          <w:bCs/>
          <w:iCs/>
          <w:color w:val="000000"/>
          <w:sz w:val="20"/>
          <w:szCs w:val="22"/>
        </w:rPr>
      </w:pPr>
    </w:p>
    <w:p w:rsidRPr="00CF09CB" w:rsidR="007D2272" w:rsidP="007D2272" w:rsidRDefault="007D2272" w14:paraId="1F6E22AD" w14:textId="368E23A2">
      <w:pPr>
        <w:pStyle w:val="Prrafodelista"/>
        <w:numPr>
          <w:ilvl w:val="0"/>
          <w:numId w:val="48"/>
        </w:numPr>
        <w:autoSpaceDE w:val="0"/>
        <w:autoSpaceDN w:val="0"/>
        <w:adjustRightInd w:val="0"/>
        <w:spacing w:line="360" w:lineRule="auto"/>
        <w:rPr>
          <w:rFonts w:eastAsia="Calibri" w:cs="Tahoma"/>
          <w:color w:val="000000"/>
          <w:szCs w:val="22"/>
        </w:rPr>
      </w:pPr>
      <w:r w:rsidRPr="00CF09CB">
        <w:rPr>
          <w:rFonts w:eastAsia="Calibri" w:cs="Tahoma"/>
          <w:color w:val="000000"/>
          <w:szCs w:val="22"/>
          <w:lang w:eastAsia="en-US"/>
        </w:rPr>
        <w:t xml:space="preserve">Los </w:t>
      </w:r>
      <w:r w:rsidRPr="00CF09CB">
        <w:rPr>
          <w:rFonts w:cs="Tahoma"/>
          <w:bCs/>
          <w:iCs/>
          <w:szCs w:val="22"/>
          <w:lang w:eastAsia="es-ES"/>
        </w:rPr>
        <w:t>Comprobantes Bancarios de la Dispersión de la Nómina, de la primera quincena de enero a la segunda de diciembre de dos mil veintiuno.</w:t>
      </w:r>
    </w:p>
    <w:p w:rsidRPr="00CF09CB" w:rsidR="007D2272" w:rsidP="007D2272" w:rsidRDefault="007D2272" w14:paraId="5F351286" w14:textId="77777777">
      <w:pPr>
        <w:pStyle w:val="Prrafodelista"/>
        <w:spacing w:line="360" w:lineRule="auto"/>
        <w:rPr>
          <w:rFonts w:eastAsia="Calibri" w:cs="Tahoma"/>
          <w:color w:val="000000"/>
        </w:rPr>
      </w:pPr>
    </w:p>
    <w:p w:rsidRPr="00CF09CB" w:rsidR="007D2272" w:rsidP="007D2272" w:rsidRDefault="007D2272" w14:paraId="12148A0E" w14:textId="77777777">
      <w:pPr>
        <w:spacing w:line="360" w:lineRule="auto"/>
        <w:jc w:val="both"/>
        <w:rPr>
          <w:rFonts w:ascii="Palatino Linotype" w:hAnsi="Palatino Linotype" w:cs="Tahoma"/>
          <w:sz w:val="22"/>
        </w:rPr>
      </w:pPr>
      <w:r w:rsidRPr="00CF09CB">
        <w:rPr>
          <w:rFonts w:ascii="Palatino Linotype" w:hAnsi="Palatino Linotype" w:cs="Arial"/>
          <w:bCs/>
          <w:sz w:val="22"/>
        </w:rPr>
        <w:t>Además, deberá proporcionar el Acuerdo de Clasificación donde el Comité de Transparencia, confirme la eliminación de los datos clasificados, en la versión pública, de conformidad con los artículos 49, fracciones II y VIII, 132, fracción II y 149 de la Ley de Transparencia y Acceso a la Información Pública del Estado de México y Municipios</w:t>
      </w:r>
      <w:r w:rsidRPr="00CF09CB">
        <w:rPr>
          <w:rFonts w:ascii="Palatino Linotype" w:hAnsi="Palatino Linotype" w:cs="Tahoma"/>
          <w:bCs/>
          <w:sz w:val="22"/>
        </w:rPr>
        <w:t>.</w:t>
      </w:r>
    </w:p>
    <w:p w:rsidRPr="00CF09CB" w:rsidR="007D2272" w:rsidP="007D2272" w:rsidRDefault="007D2272" w14:paraId="38E2AC26" w14:textId="3900F9BA">
      <w:pPr>
        <w:spacing w:line="360" w:lineRule="auto"/>
        <w:ind w:right="-28"/>
        <w:rPr>
          <w:rFonts w:eastAsia="Calibri" w:cs="Tahoma"/>
          <w:b/>
          <w:bCs/>
          <w:iCs/>
          <w:color w:val="000000"/>
          <w:sz w:val="20"/>
          <w:szCs w:val="22"/>
        </w:rPr>
      </w:pPr>
    </w:p>
    <w:p w:rsidRPr="00CF09CB" w:rsidR="008F66F5" w:rsidP="0019462A" w:rsidRDefault="008F66F5" w14:paraId="5A50F71A" w14:textId="77777777">
      <w:pPr>
        <w:spacing w:line="360" w:lineRule="auto"/>
        <w:jc w:val="both"/>
        <w:rPr>
          <w:rFonts w:ascii="Palatino Linotype" w:hAnsi="Palatino Linotype" w:eastAsia="Calibri" w:cs="Tahoma"/>
          <w:color w:val="000000"/>
          <w:sz w:val="22"/>
          <w:szCs w:val="22"/>
          <w:lang w:eastAsia="en-US"/>
        </w:rPr>
      </w:pPr>
      <w:r w:rsidRPr="00CF09CB">
        <w:rPr>
          <w:rFonts w:ascii="Palatino Linotype" w:hAnsi="Palatino Linotype" w:eastAsia="Calibri" w:cs="Arial"/>
          <w:b/>
          <w:color w:val="000000"/>
          <w:sz w:val="22"/>
          <w:szCs w:val="22"/>
          <w:lang w:val="es-ES_tradnl" w:eastAsia="en-US"/>
        </w:rPr>
        <w:t>TERCERO.</w:t>
      </w:r>
      <w:r w:rsidRPr="00CF09CB">
        <w:rPr>
          <w:rFonts w:ascii="Palatino Linotype" w:hAnsi="Palatino Linotype" w:eastAsia="Calibri" w:cs="Tahoma"/>
          <w:b/>
          <w:color w:val="000000"/>
          <w:sz w:val="22"/>
          <w:szCs w:val="22"/>
          <w:lang w:eastAsia="en-US"/>
        </w:rPr>
        <w:t xml:space="preserve"> NOTIFÍQUESE </w:t>
      </w:r>
      <w:r w:rsidRPr="00CF09CB">
        <w:rPr>
          <w:rFonts w:ascii="Palatino Linotype" w:hAnsi="Palatino Linotype" w:eastAsia="Calibri" w:cs="Tahoma"/>
          <w:color w:val="000000"/>
          <w:sz w:val="22"/>
          <w:szCs w:val="22"/>
          <w:lang w:eastAsia="en-US"/>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rsidRPr="00CF09CB" w:rsidR="008F66F5" w:rsidP="0019462A" w:rsidRDefault="008F66F5" w14:paraId="6F2489CB" w14:textId="75BA10E4">
      <w:pPr>
        <w:spacing w:line="360" w:lineRule="auto"/>
        <w:jc w:val="both"/>
        <w:rPr>
          <w:rFonts w:ascii="Palatino Linotype" w:hAnsi="Palatino Linotype" w:eastAsia="Calibri" w:cs="Tahoma"/>
          <w:color w:val="000000"/>
          <w:sz w:val="22"/>
          <w:szCs w:val="22"/>
          <w:lang w:eastAsia="en-US"/>
        </w:rPr>
      </w:pPr>
    </w:p>
    <w:p w:rsidRPr="00CF09CB" w:rsidR="007D2272" w:rsidP="0019462A" w:rsidRDefault="007D2272" w14:paraId="7E26DEDB" w14:textId="77777777">
      <w:pPr>
        <w:spacing w:line="360" w:lineRule="auto"/>
        <w:jc w:val="both"/>
        <w:rPr>
          <w:rFonts w:ascii="Palatino Linotype" w:hAnsi="Palatino Linotype" w:eastAsia="Calibri" w:cs="Tahoma"/>
          <w:color w:val="000000"/>
          <w:sz w:val="22"/>
          <w:szCs w:val="22"/>
          <w:lang w:eastAsia="en-US"/>
        </w:rPr>
      </w:pPr>
    </w:p>
    <w:p w:rsidRPr="00CF09CB" w:rsidR="008F66F5" w:rsidP="0019462A" w:rsidRDefault="008F66F5" w14:paraId="67C7196B" w14:textId="77777777">
      <w:pPr>
        <w:spacing w:line="360" w:lineRule="auto"/>
        <w:contextualSpacing/>
        <w:jc w:val="both"/>
        <w:rPr>
          <w:rFonts w:ascii="Palatino Linotype" w:hAnsi="Palatino Linotype" w:eastAsia="Calibri" w:cs="Tahoma"/>
          <w:iCs/>
          <w:color w:val="000000"/>
          <w:sz w:val="22"/>
          <w:szCs w:val="22"/>
          <w:lang w:eastAsia="en-US"/>
        </w:rPr>
      </w:pPr>
      <w:bookmarkStart w:name="_Hlk61509110" w:id="0"/>
      <w:r w:rsidRPr="00CF09CB">
        <w:rPr>
          <w:rFonts w:ascii="Palatino Linotype" w:hAnsi="Palatino Linotype" w:eastAsia="Calibri" w:cs="Tahoma"/>
          <w:iCs/>
          <w:color w:val="000000"/>
          <w:sz w:val="22"/>
          <w:szCs w:val="22"/>
          <w:lang w:eastAsia="en-U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bookmarkEnd w:id="0"/>
    </w:p>
    <w:p w:rsidRPr="00CF09CB" w:rsidR="008F66F5" w:rsidP="0019462A" w:rsidRDefault="008F66F5" w14:paraId="5C2714A2" w14:textId="77777777">
      <w:pPr>
        <w:spacing w:line="360" w:lineRule="auto"/>
        <w:jc w:val="both"/>
        <w:rPr>
          <w:rFonts w:ascii="Palatino Linotype" w:hAnsi="Palatino Linotype" w:eastAsia="Calibri" w:cs="Tahoma"/>
          <w:color w:val="000000"/>
          <w:sz w:val="22"/>
          <w:szCs w:val="22"/>
          <w:lang w:eastAsia="en-US"/>
        </w:rPr>
      </w:pPr>
    </w:p>
    <w:p w:rsidRPr="00CF09CB" w:rsidR="008F66F5" w:rsidP="0019462A" w:rsidRDefault="008F66F5" w14:paraId="624F60DE" w14:textId="77777777">
      <w:pPr>
        <w:spacing w:line="360" w:lineRule="auto"/>
        <w:jc w:val="both"/>
        <w:rPr>
          <w:rFonts w:ascii="Palatino Linotype" w:hAnsi="Palatino Linotype" w:eastAsia="Calibri" w:cs="Tahoma"/>
          <w:color w:val="000000"/>
          <w:sz w:val="22"/>
          <w:szCs w:val="22"/>
          <w:lang w:eastAsia="en-US"/>
        </w:rPr>
      </w:pPr>
      <w:r w:rsidRPr="00CF09CB">
        <w:rPr>
          <w:rFonts w:ascii="Palatino Linotype" w:hAnsi="Palatino Linotype" w:eastAsia="Calibri" w:cs="Tahoma"/>
          <w:b/>
          <w:color w:val="000000"/>
          <w:sz w:val="22"/>
          <w:szCs w:val="22"/>
          <w:lang w:eastAsia="en-US"/>
        </w:rPr>
        <w:t>CUARTO. NOTIFÍQUESE</w:t>
      </w:r>
      <w:r w:rsidRPr="00CF09CB">
        <w:rPr>
          <w:rFonts w:ascii="Palatino Linotype" w:hAnsi="Palatino Linotype" w:eastAsia="Calibri" w:cs="Tahoma"/>
          <w:color w:val="000000"/>
          <w:sz w:val="22"/>
          <w:szCs w:val="22"/>
          <w:lang w:eastAsia="en-US"/>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Pr="00CF09CB" w:rsidR="007E363C" w:rsidP="0019462A" w:rsidRDefault="007E363C" w14:paraId="291466A8" w14:textId="77777777">
      <w:pPr>
        <w:spacing w:line="360" w:lineRule="auto"/>
        <w:jc w:val="both"/>
        <w:rPr>
          <w:rFonts w:ascii="Palatino Linotype" w:hAnsi="Palatino Linotype" w:cs="Tahoma"/>
          <w:iCs/>
          <w:sz w:val="22"/>
          <w:szCs w:val="22"/>
        </w:rPr>
      </w:pPr>
    </w:p>
    <w:p w:rsidRPr="0019462A" w:rsidR="007E363C" w:rsidP="0019462A" w:rsidRDefault="00AA26C2" w14:paraId="0EB3146D" w14:textId="58BD7151">
      <w:pPr>
        <w:spacing w:line="360" w:lineRule="auto"/>
        <w:ind w:right="-93"/>
        <w:jc w:val="both"/>
        <w:rPr>
          <w:rFonts w:ascii="Palatino Linotype" w:hAnsi="Palatino Linotype" w:cs="Tahoma"/>
          <w:bCs/>
          <w:sz w:val="22"/>
          <w:szCs w:val="22"/>
          <w:lang w:val="es-ES_tradnl"/>
        </w:rPr>
      </w:pPr>
      <w:r w:rsidRPr="00CF09CB">
        <w:rPr>
          <w:rFonts w:ascii="Palatino Linotype" w:hAnsi="Palatino Linotype" w:cs="Tahoma"/>
          <w:bCs/>
          <w:sz w:val="22"/>
          <w:szCs w:val="22"/>
          <w:lang w:val="es-ES_tradnl"/>
        </w:rPr>
        <w:t xml:space="preserve">ASÍ LO RESUELVE, POR </w:t>
      </w:r>
      <w:r w:rsidRPr="00CF09CB">
        <w:rPr>
          <w:rFonts w:ascii="Palatino Linotype" w:hAnsi="Palatino Linotype" w:cs="Tahoma"/>
          <w:b/>
          <w:bCs/>
          <w:sz w:val="22"/>
          <w:szCs w:val="22"/>
          <w:lang w:val="es-ES_tradnl"/>
        </w:rPr>
        <w:t>UNANIMIDAD</w:t>
      </w:r>
      <w:r w:rsidRPr="00CF09CB">
        <w:rPr>
          <w:rFonts w:ascii="Palatino Linotype" w:hAnsi="Palatino Linotype" w:cs="Tahoma"/>
          <w:bCs/>
          <w:sz w:val="22"/>
          <w:szCs w:val="22"/>
          <w:lang w:val="es-ES_tradnl"/>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Pr="00CF09CB" w:rsidR="006045DD">
        <w:rPr>
          <w:rFonts w:ascii="Palatino Linotype" w:hAnsi="Palatino Linotype" w:cs="Tahoma"/>
          <w:bCs/>
          <w:sz w:val="22"/>
          <w:szCs w:val="22"/>
          <w:lang w:val="es-ES_tradnl"/>
        </w:rPr>
        <w:t xml:space="preserve"> CON OPINIÓN PARTICULAR</w:t>
      </w:r>
      <w:r w:rsidRPr="00CF09CB">
        <w:rPr>
          <w:rFonts w:ascii="Palatino Linotype" w:hAnsi="Palatino Linotype" w:cs="Tahoma"/>
          <w:bCs/>
          <w:sz w:val="22"/>
          <w:szCs w:val="22"/>
          <w:lang w:val="es-ES_tradnl"/>
        </w:rPr>
        <w:t xml:space="preserve">, EN LA </w:t>
      </w:r>
      <w:r w:rsidRPr="00CF09CB" w:rsidR="00CD4CC0">
        <w:rPr>
          <w:rFonts w:ascii="Palatino Linotype" w:hAnsi="Palatino Linotype" w:cs="Tahoma"/>
          <w:bCs/>
          <w:sz w:val="22"/>
          <w:szCs w:val="22"/>
          <w:lang w:val="es-ES_tradnl"/>
        </w:rPr>
        <w:t>VIGÉSIMA QUINTA</w:t>
      </w:r>
      <w:r w:rsidRPr="00CF09CB">
        <w:rPr>
          <w:rFonts w:ascii="Palatino Linotype" w:hAnsi="Palatino Linotype" w:cs="Tahoma"/>
          <w:bCs/>
          <w:sz w:val="22"/>
          <w:szCs w:val="22"/>
          <w:lang w:val="es-ES_tradnl"/>
        </w:rPr>
        <w:t xml:space="preserve"> SESIÓN ORDINARIA, CELEBRADA EL </w:t>
      </w:r>
      <w:r w:rsidRPr="00CF09CB" w:rsidR="00CD4CC0">
        <w:rPr>
          <w:rFonts w:ascii="Palatino Linotype" w:hAnsi="Palatino Linotype" w:cs="Tahoma"/>
          <w:bCs/>
          <w:sz w:val="22"/>
          <w:szCs w:val="22"/>
        </w:rPr>
        <w:t xml:space="preserve">SEIS DE JULIO </w:t>
      </w:r>
      <w:r w:rsidRPr="00CF09CB">
        <w:rPr>
          <w:rFonts w:ascii="Palatino Linotype" w:hAnsi="Palatino Linotype" w:cs="Tahoma"/>
          <w:bCs/>
          <w:sz w:val="22"/>
          <w:szCs w:val="22"/>
        </w:rPr>
        <w:t xml:space="preserve"> DE DOS MIL VEINTIDÓS</w:t>
      </w:r>
      <w:r w:rsidRPr="00CF09CB">
        <w:rPr>
          <w:rFonts w:ascii="Palatino Linotype" w:hAnsi="Palatino Linotype" w:cs="Tahoma"/>
          <w:bCs/>
          <w:sz w:val="22"/>
          <w:szCs w:val="22"/>
          <w:lang w:val="es-ES_tradnl"/>
        </w:rPr>
        <w:t>, ANTE EL SECRETARIO TÉCNICO DEL PLENO, ALEXIS TAPIA RAMÍREZ.</w:t>
      </w:r>
      <w:r w:rsidRPr="0019462A" w:rsidR="007E363C">
        <w:rPr>
          <w:rFonts w:ascii="Palatino Linotype" w:hAnsi="Palatino Linotype" w:eastAsia="Calibri" w:cs="Tahoma"/>
          <w:b/>
          <w:sz w:val="22"/>
          <w:szCs w:val="22"/>
          <w:lang w:eastAsia="en-US"/>
        </w:rPr>
        <w:br w:type="page"/>
      </w:r>
    </w:p>
    <w:p w:rsidRPr="0019462A" w:rsidR="00F37945" w:rsidP="0019462A" w:rsidRDefault="00F37945" w14:paraId="3DBE5956" w14:textId="77777777">
      <w:pPr>
        <w:spacing w:line="360" w:lineRule="auto"/>
        <w:rPr>
          <w:rFonts w:ascii="Palatino Linotype" w:hAnsi="Palatino Linotype"/>
        </w:rPr>
      </w:pPr>
    </w:p>
    <w:sectPr w:rsidRPr="0019462A" w:rsidR="00F37945" w:rsidSect="007540F1">
      <w:headerReference w:type="even" r:id="rId17"/>
      <w:headerReference w:type="default" r:id="rId18"/>
      <w:footerReference w:type="default" r:id="rId19"/>
      <w:headerReference w:type="first" r:id="rId20"/>
      <w:footerReference w:type="first" r:id="rId21"/>
      <w:pgSz w:w="12240" w:h="15840" w:orient="portrait"/>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262C8" w:rsidP="0044225B" w:rsidRDefault="00D262C8" w14:paraId="52202D5A" w14:textId="77777777">
      <w:r>
        <w:separator/>
      </w:r>
    </w:p>
  </w:endnote>
  <w:endnote w:type="continuationSeparator" w:id="0">
    <w:p w:rsidR="00D262C8" w:rsidP="0044225B" w:rsidRDefault="00D262C8" w14:paraId="2A635E6B" w14:textId="77777777">
      <w:r>
        <w:continuationSeparator/>
      </w:r>
    </w:p>
  </w:endnote>
  <w:endnote w:type="continuationNotice" w:id="1">
    <w:p w:rsidR="00D262C8" w:rsidRDefault="00D262C8" w14:paraId="04272518"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E1B10" w:rsidRDefault="000E1B10" w14:paraId="6B0DDEBA" w14:textId="77777777">
    <w:pPr>
      <w:pStyle w:val="Piedepgina"/>
      <w:jc w:val="right"/>
    </w:pPr>
    <w:r>
      <w:rPr>
        <w:lang w:val="es-ES"/>
      </w:rPr>
      <w:t xml:space="preserve">Página </w:t>
    </w:r>
    <w:r>
      <w:rPr>
        <w:b/>
        <w:bCs/>
      </w:rPr>
      <w:fldChar w:fldCharType="begin"/>
    </w:r>
    <w:r>
      <w:rPr>
        <w:b/>
        <w:bCs/>
      </w:rPr>
      <w:instrText>PAGE</w:instrText>
    </w:r>
    <w:r>
      <w:rPr>
        <w:b/>
        <w:bCs/>
      </w:rPr>
      <w:fldChar w:fldCharType="separate"/>
    </w:r>
    <w:r w:rsidR="0064068C">
      <w:rPr>
        <w:b/>
        <w:bCs/>
        <w:noProof/>
      </w:rPr>
      <w:t>6</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64068C">
      <w:rPr>
        <w:b/>
        <w:bCs/>
        <w:noProof/>
      </w:rPr>
      <w:t>25</w:t>
    </w:r>
    <w:r>
      <w:rPr>
        <w:b/>
        <w:bCs/>
      </w:rPr>
      <w:fldChar w:fldCharType="end"/>
    </w:r>
  </w:p>
  <w:p w:rsidR="000E1B10" w:rsidRDefault="000E1B10" w14:paraId="0E2668B4"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E1B10" w:rsidRDefault="000E1B10" w14:paraId="3B65A22E" w14:textId="77777777">
    <w:pPr>
      <w:pStyle w:val="Piedepgina"/>
      <w:jc w:val="right"/>
    </w:pPr>
    <w:r>
      <w:rPr>
        <w:lang w:val="es-ES"/>
      </w:rPr>
      <w:t xml:space="preserve">Página </w:t>
    </w:r>
    <w:r>
      <w:rPr>
        <w:b/>
        <w:bCs/>
      </w:rPr>
      <w:fldChar w:fldCharType="begin"/>
    </w:r>
    <w:r>
      <w:rPr>
        <w:b/>
        <w:bCs/>
      </w:rPr>
      <w:instrText>PAGE</w:instrText>
    </w:r>
    <w:r>
      <w:rPr>
        <w:b/>
        <w:bCs/>
      </w:rPr>
      <w:fldChar w:fldCharType="separate"/>
    </w:r>
    <w:r w:rsidR="0064068C">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64068C">
      <w:rPr>
        <w:b/>
        <w:bCs/>
        <w:noProof/>
      </w:rPr>
      <w:t>25</w:t>
    </w:r>
    <w:r>
      <w:rPr>
        <w:b/>
        <w:bCs/>
      </w:rPr>
      <w:fldChar w:fldCharType="end"/>
    </w:r>
  </w:p>
  <w:p w:rsidR="000E1B10" w:rsidRDefault="000E1B10" w14:paraId="450B9E18"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262C8" w:rsidP="0044225B" w:rsidRDefault="00D262C8" w14:paraId="6F5C69C6" w14:textId="77777777">
      <w:r>
        <w:separator/>
      </w:r>
    </w:p>
  </w:footnote>
  <w:footnote w:type="continuationSeparator" w:id="0">
    <w:p w:rsidR="00D262C8" w:rsidP="0044225B" w:rsidRDefault="00D262C8" w14:paraId="4B84C142" w14:textId="77777777">
      <w:r>
        <w:continuationSeparator/>
      </w:r>
    </w:p>
  </w:footnote>
  <w:footnote w:type="continuationNotice" w:id="1">
    <w:p w:rsidR="00D262C8" w:rsidRDefault="00D262C8" w14:paraId="204C290E"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E1B10" w:rsidRDefault="00D262C8" w14:paraId="352AA0AA" w14:textId="77777777">
    <w:pPr>
      <w:pStyle w:val="Encabezado"/>
    </w:pPr>
    <w:r>
      <w:rPr>
        <w:noProof/>
      </w:rPr>
      <w:pict w14:anchorId="4685A05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757395963" style="position:absolute;margin-left:0;margin-top:0;width:589.8pt;height:768pt;z-index:-251658240;mso-wrap-edited:f;mso-width-percent:0;mso-height-percent:0;mso-position-horizontal:center;mso-position-horizontal-relative:margin;mso-position-vertical:center;mso-position-vertical-relative:margin;mso-width-percent:0;mso-height-percent:0" alt="" o:spid="_x0000_s1025" o:allowincell="f" type="#_x0000_t75">
          <v:imagedata o:title="resolución infoem imagen"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98" w:type="dxa"/>
      <w:tblLayout w:type="fixed"/>
      <w:tblLook w:val="04A0" w:firstRow="1" w:lastRow="0" w:firstColumn="1" w:lastColumn="0" w:noHBand="0" w:noVBand="1"/>
    </w:tblPr>
    <w:tblGrid>
      <w:gridCol w:w="2268"/>
      <w:gridCol w:w="7230"/>
    </w:tblGrid>
    <w:tr w:rsidRPr="005C106F" w:rsidR="000E1B10" w:rsidTr="0044225B" w14:paraId="1A1F348D" w14:textId="77777777">
      <w:trPr>
        <w:trHeight w:val="1435"/>
      </w:trPr>
      <w:tc>
        <w:tcPr>
          <w:tcW w:w="2268" w:type="dxa"/>
          <w:shd w:val="clear" w:color="auto" w:fill="auto"/>
        </w:tcPr>
        <w:p w:rsidRPr="005C106F" w:rsidR="000E1B10" w:rsidP="007540F1" w:rsidRDefault="000E1B10" w14:paraId="3B113343" w14:textId="77777777">
          <w:pPr>
            <w:tabs>
              <w:tab w:val="right" w:pos="4273"/>
            </w:tabs>
            <w:rPr>
              <w:rFonts w:ascii="Garamond" w:hAnsi="Garamond" w:eastAsia="Calibri"/>
              <w:sz w:val="16"/>
              <w:szCs w:val="16"/>
              <w:lang w:eastAsia="en-US"/>
            </w:rPr>
          </w:pPr>
        </w:p>
      </w:tc>
      <w:tc>
        <w:tcPr>
          <w:tcW w:w="7230" w:type="dxa"/>
          <w:shd w:val="clear" w:color="auto" w:fill="auto"/>
        </w:tcPr>
        <w:p w:rsidR="000E1B10" w:rsidP="007540F1" w:rsidRDefault="000E1B10" w14:paraId="1DE8530E" w14:textId="77777777"/>
        <w:tbl>
          <w:tblPr>
            <w:tblW w:w="6095" w:type="dxa"/>
            <w:tblInd w:w="749" w:type="dxa"/>
            <w:tblLayout w:type="fixed"/>
            <w:tblLook w:val="0420" w:firstRow="1" w:lastRow="0" w:firstColumn="0" w:lastColumn="0" w:noHBand="0" w:noVBand="1"/>
          </w:tblPr>
          <w:tblGrid>
            <w:gridCol w:w="2551"/>
            <w:gridCol w:w="3544"/>
          </w:tblGrid>
          <w:tr w:rsidR="000E1B10" w:rsidTr="00DF462B" w14:paraId="58606248" w14:textId="77777777">
            <w:trPr>
              <w:trHeight w:val="150"/>
            </w:trPr>
            <w:tc>
              <w:tcPr>
                <w:tcW w:w="2551" w:type="dxa"/>
                <w:shd w:val="clear" w:color="auto" w:fill="auto"/>
              </w:tcPr>
              <w:p w:rsidRPr="00020E73" w:rsidR="000E1B10" w:rsidP="007540F1" w:rsidRDefault="000E1B10" w14:paraId="74C6FF06" w14:textId="77777777">
                <w:pPr>
                  <w:tabs>
                    <w:tab w:val="right" w:pos="8838"/>
                  </w:tabs>
                  <w:ind w:right="-105"/>
                  <w:rPr>
                    <w:rFonts w:ascii="Palatino Linotype" w:hAnsi="Palatino Linotype" w:eastAsia="Calibri" w:cs="Tahoma"/>
                    <w:b/>
                    <w:sz w:val="22"/>
                    <w:szCs w:val="22"/>
                    <w:lang w:val="es-ES" w:eastAsia="en-US"/>
                  </w:rPr>
                </w:pPr>
                <w:r w:rsidRPr="00020E73">
                  <w:rPr>
                    <w:rFonts w:ascii="Palatino Linotype" w:hAnsi="Palatino Linotype" w:eastAsia="Calibri" w:cs="Tahoma"/>
                    <w:b/>
                    <w:sz w:val="22"/>
                    <w:szCs w:val="22"/>
                    <w:lang w:val="es-ES" w:eastAsia="en-US"/>
                  </w:rPr>
                  <w:t>Recurso de Revisión:</w:t>
                </w:r>
              </w:p>
            </w:tc>
            <w:tc>
              <w:tcPr>
                <w:tcW w:w="3544" w:type="dxa"/>
                <w:shd w:val="clear" w:color="auto" w:fill="auto"/>
              </w:tcPr>
              <w:p w:rsidRPr="00020E73" w:rsidR="000E1B10" w:rsidP="007540F1" w:rsidRDefault="000E1B10" w14:paraId="11327933" w14:textId="24C3D85D">
                <w:pPr>
                  <w:tabs>
                    <w:tab w:val="right" w:pos="8838"/>
                  </w:tabs>
                  <w:ind w:left="-108" w:right="-109"/>
                  <w:jc w:val="both"/>
                  <w:rPr>
                    <w:rFonts w:ascii="Palatino Linotype" w:hAnsi="Palatino Linotype" w:eastAsia="Calibri" w:cs="Tahoma"/>
                    <w:bCs/>
                    <w:sz w:val="22"/>
                    <w:szCs w:val="22"/>
                    <w:lang w:val="es-ES" w:eastAsia="en-US"/>
                  </w:rPr>
                </w:pPr>
                <w:r>
                  <w:rPr>
                    <w:rFonts w:ascii="Palatino Linotype" w:hAnsi="Palatino Linotype" w:eastAsia="Calibri" w:cs="Tahoma"/>
                    <w:sz w:val="22"/>
                    <w:szCs w:val="22"/>
                    <w:lang w:eastAsia="en-US"/>
                  </w:rPr>
                  <w:t>03441/INFOEM/IP/RR/2022</w:t>
                </w:r>
              </w:p>
            </w:tc>
          </w:tr>
          <w:tr w:rsidR="000E1B10" w:rsidTr="00DF462B" w14:paraId="78B37E34" w14:textId="77777777">
            <w:trPr>
              <w:trHeight w:val="295"/>
            </w:trPr>
            <w:tc>
              <w:tcPr>
                <w:tcW w:w="2551" w:type="dxa"/>
                <w:shd w:val="clear" w:color="auto" w:fill="auto"/>
              </w:tcPr>
              <w:p w:rsidRPr="00020E73" w:rsidR="000E1B10" w:rsidP="007540F1" w:rsidRDefault="000E1B10" w14:paraId="04A74C4F" w14:textId="77777777">
                <w:pPr>
                  <w:tabs>
                    <w:tab w:val="right" w:pos="8838"/>
                  </w:tabs>
                  <w:ind w:right="-105"/>
                  <w:rPr>
                    <w:rFonts w:ascii="Palatino Linotype" w:hAnsi="Palatino Linotype" w:eastAsia="Calibri" w:cs="Tahoma"/>
                    <w:b/>
                    <w:sz w:val="22"/>
                    <w:szCs w:val="22"/>
                    <w:lang w:val="es-ES" w:eastAsia="en-US"/>
                  </w:rPr>
                </w:pPr>
                <w:bookmarkStart w:name="_Hlk85043750" w:id="1"/>
                <w:r w:rsidRPr="00020E73">
                  <w:rPr>
                    <w:rFonts w:ascii="Palatino Linotype" w:hAnsi="Palatino Linotype" w:eastAsia="Calibri" w:cs="Tahoma"/>
                    <w:b/>
                    <w:sz w:val="22"/>
                    <w:szCs w:val="22"/>
                    <w:lang w:val="es-ES" w:eastAsia="en-US"/>
                  </w:rPr>
                  <w:t>Sujeto Obligado:</w:t>
                </w:r>
              </w:p>
            </w:tc>
            <w:tc>
              <w:tcPr>
                <w:tcW w:w="3544" w:type="dxa"/>
                <w:shd w:val="clear" w:color="auto" w:fill="auto"/>
              </w:tcPr>
              <w:p w:rsidRPr="00D511C7" w:rsidR="000E1B10" w:rsidP="007540F1" w:rsidRDefault="000E1B10" w14:paraId="2127389C" w14:textId="51A1AA79">
                <w:pPr>
                  <w:tabs>
                    <w:tab w:val="right" w:pos="8838"/>
                  </w:tabs>
                  <w:ind w:left="-108" w:right="-102"/>
                  <w:jc w:val="both"/>
                  <w:rPr>
                    <w:rFonts w:ascii="Palatino Linotype" w:hAnsi="Palatino Linotype" w:eastAsia="Calibri" w:cs="Tahoma"/>
                    <w:sz w:val="22"/>
                    <w:szCs w:val="22"/>
                    <w:lang w:val="es-ES" w:eastAsia="en-US"/>
                  </w:rPr>
                </w:pPr>
                <w:r>
                  <w:rPr>
                    <w:rFonts w:ascii="Palatino Linotype" w:hAnsi="Palatino Linotype" w:eastAsia="Calibri" w:cs="Tahoma"/>
                    <w:sz w:val="22"/>
                    <w:szCs w:val="22"/>
                    <w:lang w:eastAsia="en-US"/>
                  </w:rPr>
                  <w:t>Ayuntamiento de Nezahualcóyotl</w:t>
                </w:r>
              </w:p>
            </w:tc>
          </w:tr>
          <w:bookmarkEnd w:id="1"/>
          <w:tr w:rsidR="000E1B10" w:rsidTr="00DF462B" w14:paraId="2EC40D8B" w14:textId="77777777">
            <w:trPr>
              <w:trHeight w:val="295"/>
            </w:trPr>
            <w:tc>
              <w:tcPr>
                <w:tcW w:w="2551" w:type="dxa"/>
                <w:shd w:val="clear" w:color="auto" w:fill="auto"/>
              </w:tcPr>
              <w:p w:rsidRPr="00020E73" w:rsidR="000E1B10" w:rsidP="007540F1" w:rsidRDefault="000E1B10" w14:paraId="18FD8050" w14:textId="77777777">
                <w:pPr>
                  <w:tabs>
                    <w:tab w:val="right" w:pos="8838"/>
                  </w:tabs>
                  <w:ind w:right="-105"/>
                  <w:rPr>
                    <w:rFonts w:ascii="Palatino Linotype" w:hAnsi="Palatino Linotype" w:eastAsia="Calibri" w:cs="Tahoma"/>
                    <w:b/>
                    <w:sz w:val="22"/>
                    <w:szCs w:val="22"/>
                    <w:lang w:val="es-ES" w:eastAsia="en-US"/>
                  </w:rPr>
                </w:pPr>
                <w:r w:rsidRPr="00020E73">
                  <w:rPr>
                    <w:rFonts w:ascii="Palatino Linotype" w:hAnsi="Palatino Linotype" w:eastAsia="Calibri" w:cs="Tahoma"/>
                    <w:b/>
                    <w:sz w:val="22"/>
                    <w:szCs w:val="22"/>
                    <w:lang w:val="es-ES" w:eastAsia="en-US"/>
                  </w:rPr>
                  <w:t>Comisionado Ponente:</w:t>
                </w:r>
              </w:p>
            </w:tc>
            <w:tc>
              <w:tcPr>
                <w:tcW w:w="3544" w:type="dxa"/>
                <w:shd w:val="clear" w:color="auto" w:fill="auto"/>
              </w:tcPr>
              <w:p w:rsidRPr="00020E73" w:rsidR="000E1B10" w:rsidP="007540F1" w:rsidRDefault="000E1B10" w14:paraId="5030346F" w14:textId="77777777">
                <w:pPr>
                  <w:tabs>
                    <w:tab w:val="right" w:pos="8838"/>
                  </w:tabs>
                  <w:ind w:left="-108" w:right="171"/>
                  <w:jc w:val="both"/>
                  <w:rPr>
                    <w:rFonts w:ascii="Palatino Linotype" w:hAnsi="Palatino Linotype" w:eastAsia="Calibri" w:cs="Tahoma"/>
                    <w:sz w:val="22"/>
                    <w:szCs w:val="22"/>
                    <w:lang w:val="es-ES" w:eastAsia="en-US"/>
                  </w:rPr>
                </w:pPr>
                <w:r w:rsidRPr="00020E73">
                  <w:rPr>
                    <w:rFonts w:ascii="Palatino Linotype" w:hAnsi="Palatino Linotype" w:eastAsia="Calibri" w:cs="Tahoma"/>
                    <w:sz w:val="22"/>
                    <w:szCs w:val="22"/>
                    <w:lang w:val="es-ES" w:eastAsia="en-US"/>
                  </w:rPr>
                  <w:t>Luis Gustavo Parra Noriega</w:t>
                </w:r>
              </w:p>
              <w:p w:rsidRPr="00020E73" w:rsidR="000E1B10" w:rsidP="007540F1" w:rsidRDefault="000E1B10" w14:paraId="64586914" w14:textId="77777777">
                <w:pPr>
                  <w:tabs>
                    <w:tab w:val="right" w:pos="8838"/>
                  </w:tabs>
                  <w:ind w:left="-108" w:right="171"/>
                  <w:jc w:val="both"/>
                  <w:rPr>
                    <w:rFonts w:ascii="Palatino Linotype" w:hAnsi="Palatino Linotype" w:eastAsia="Calibri" w:cs="Tahoma"/>
                    <w:b/>
                    <w:sz w:val="22"/>
                    <w:szCs w:val="22"/>
                    <w:lang w:val="es-ES" w:eastAsia="en-US"/>
                  </w:rPr>
                </w:pPr>
              </w:p>
            </w:tc>
          </w:tr>
        </w:tbl>
        <w:p w:rsidRPr="005C106F" w:rsidR="000E1B10" w:rsidP="007540F1" w:rsidRDefault="000E1B10" w14:paraId="324848D7" w14:textId="77777777">
          <w:pPr>
            <w:tabs>
              <w:tab w:val="right" w:pos="8838"/>
            </w:tabs>
            <w:ind w:left="-28"/>
            <w:jc w:val="both"/>
            <w:rPr>
              <w:rFonts w:ascii="Arial" w:hAnsi="Arial" w:eastAsia="Calibri" w:cs="Arial"/>
              <w:b/>
              <w:sz w:val="22"/>
              <w:szCs w:val="22"/>
              <w:lang w:eastAsia="en-US"/>
            </w:rPr>
          </w:pPr>
        </w:p>
      </w:tc>
    </w:tr>
  </w:tbl>
  <w:p w:rsidRPr="00443C6B" w:rsidR="000E1B10" w:rsidP="007540F1" w:rsidRDefault="00D262C8" w14:paraId="3A2FD3E6" w14:textId="77777777">
    <w:pPr>
      <w:pStyle w:val="Encabezado"/>
      <w:rPr>
        <w:sz w:val="14"/>
      </w:rPr>
    </w:pPr>
    <w:r>
      <w:rPr>
        <w:noProof/>
        <w:sz w:val="14"/>
      </w:rPr>
      <w:pict w14:anchorId="0F63EC57">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757395964" style="position:absolute;margin-left:-68.8pt;margin-top:-120.5pt;width:589.8pt;height:768pt;z-index:-251658239;mso-wrap-edited:f;mso-width-percent:0;mso-height-percent:0;mso-position-horizontal-relative:margin;mso-position-vertical-relative:margin;mso-width-percent:0;mso-height-percent:0" alt="" o:spid="_x0000_s1026" o:allowincell="f" type="#_x0000_t75">
          <v:imagedata o:title="resolución infoem imagen" r:id="rId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2" w:type="dxa"/>
      <w:tblLayout w:type="fixed"/>
      <w:tblLook w:val="04A0" w:firstRow="1" w:lastRow="0" w:firstColumn="1" w:lastColumn="0" w:noHBand="0" w:noVBand="1"/>
    </w:tblPr>
    <w:tblGrid>
      <w:gridCol w:w="2268"/>
      <w:gridCol w:w="6804"/>
    </w:tblGrid>
    <w:tr w:rsidRPr="00330DA7" w:rsidR="000E1B10" w:rsidTr="24761E0F" w14:paraId="59FD1C38" w14:textId="77777777">
      <w:trPr>
        <w:trHeight w:val="1435"/>
      </w:trPr>
      <w:tc>
        <w:tcPr>
          <w:tcW w:w="2268" w:type="dxa"/>
          <w:shd w:val="clear" w:color="auto" w:fill="auto"/>
          <w:tcMar/>
        </w:tcPr>
        <w:p w:rsidRPr="00330DA7" w:rsidR="000E1B10" w:rsidP="007540F1" w:rsidRDefault="000E1B10" w14:paraId="6CDB25A0" w14:textId="77777777">
          <w:pPr>
            <w:tabs>
              <w:tab w:val="right" w:pos="4273"/>
            </w:tabs>
            <w:rPr>
              <w:rFonts w:ascii="Garamond" w:hAnsi="Garamond" w:eastAsia="Calibri"/>
              <w:sz w:val="22"/>
              <w:szCs w:val="22"/>
              <w:lang w:eastAsia="en-US"/>
            </w:rPr>
          </w:pPr>
        </w:p>
      </w:tc>
      <w:tc>
        <w:tcPr>
          <w:tcW w:w="6804" w:type="dxa"/>
          <w:shd w:val="clear" w:color="auto" w:fill="auto"/>
          <w:tcMar/>
        </w:tcPr>
        <w:tbl>
          <w:tblPr>
            <w:tblW w:w="5812" w:type="dxa"/>
            <w:tblInd w:w="891" w:type="dxa"/>
            <w:tblLayout w:type="fixed"/>
            <w:tblLook w:val="0420" w:firstRow="1" w:lastRow="0" w:firstColumn="0" w:lastColumn="0" w:noHBand="0" w:noVBand="1"/>
          </w:tblPr>
          <w:tblGrid>
            <w:gridCol w:w="2444"/>
            <w:gridCol w:w="3368"/>
          </w:tblGrid>
          <w:tr w:rsidRPr="00330DA7" w:rsidR="000E1B10" w:rsidTr="24761E0F" w14:paraId="53F709DB" w14:textId="77777777">
            <w:trPr>
              <w:trHeight w:val="144"/>
            </w:trPr>
            <w:tc>
              <w:tcPr>
                <w:tcW w:w="2444" w:type="dxa"/>
                <w:shd w:val="clear" w:color="auto" w:fill="auto"/>
                <w:tcMar/>
              </w:tcPr>
              <w:p w:rsidRPr="00020E73" w:rsidR="000E1B10" w:rsidP="007540F1" w:rsidRDefault="000E1B10" w14:paraId="50E5D432" w14:textId="77777777">
                <w:pPr>
                  <w:tabs>
                    <w:tab w:val="right" w:pos="8838"/>
                  </w:tabs>
                  <w:ind w:left="-264" w:right="-105" w:firstLine="195"/>
                  <w:rPr>
                    <w:rFonts w:ascii="Palatino Linotype" w:hAnsi="Palatino Linotype" w:eastAsia="Calibri" w:cs="Tahoma"/>
                    <w:b/>
                    <w:sz w:val="22"/>
                    <w:szCs w:val="22"/>
                    <w:lang w:val="es-ES" w:eastAsia="en-US"/>
                  </w:rPr>
                </w:pPr>
                <w:r w:rsidRPr="00020E73">
                  <w:rPr>
                    <w:rFonts w:ascii="Palatino Linotype" w:hAnsi="Palatino Linotype" w:eastAsia="Calibri" w:cs="Tahoma"/>
                    <w:b/>
                    <w:sz w:val="22"/>
                    <w:szCs w:val="22"/>
                    <w:lang w:val="es-ES" w:eastAsia="en-US"/>
                  </w:rPr>
                  <w:t>Recurso de Revisión:</w:t>
                </w:r>
              </w:p>
            </w:tc>
            <w:tc>
              <w:tcPr>
                <w:tcW w:w="3368" w:type="dxa"/>
                <w:shd w:val="clear" w:color="auto" w:fill="auto"/>
                <w:tcMar/>
              </w:tcPr>
              <w:p w:rsidRPr="00FC72CE" w:rsidR="000E1B10" w:rsidP="007540F1" w:rsidRDefault="00D24206" w14:paraId="1C0A58A2" w14:textId="7EC84DB1">
                <w:pPr>
                  <w:tabs>
                    <w:tab w:val="right" w:pos="8838"/>
                  </w:tabs>
                  <w:ind w:left="-74" w:right="-105"/>
                  <w:jc w:val="both"/>
                  <w:rPr>
                    <w:rFonts w:ascii="Palatino Linotype" w:hAnsi="Palatino Linotype" w:eastAsia="Calibri" w:cs="Tahoma"/>
                    <w:sz w:val="22"/>
                    <w:szCs w:val="22"/>
                    <w:lang w:val="es-ES" w:eastAsia="en-US"/>
                  </w:rPr>
                </w:pPr>
                <w:r>
                  <w:rPr>
                    <w:rFonts w:ascii="Palatino Linotype" w:hAnsi="Palatino Linotype" w:eastAsia="Calibri" w:cs="Tahoma"/>
                    <w:sz w:val="22"/>
                    <w:szCs w:val="22"/>
                    <w:lang w:eastAsia="en-US"/>
                  </w:rPr>
                  <w:t>03441/INFOEM/IP/RR/2022</w:t>
                </w:r>
              </w:p>
            </w:tc>
          </w:tr>
          <w:tr w:rsidRPr="00330DA7" w:rsidR="000E1B10" w:rsidTr="24761E0F" w14:paraId="1E27F6E9" w14:textId="77777777">
            <w:trPr>
              <w:trHeight w:val="144"/>
            </w:trPr>
            <w:tc>
              <w:tcPr>
                <w:tcW w:w="2444" w:type="dxa"/>
                <w:shd w:val="clear" w:color="auto" w:fill="auto"/>
                <w:tcMar/>
              </w:tcPr>
              <w:p w:rsidRPr="00020E73" w:rsidR="000E1B10" w:rsidP="007540F1" w:rsidRDefault="000E1B10" w14:paraId="4741E994" w14:textId="77777777">
                <w:pPr>
                  <w:tabs>
                    <w:tab w:val="right" w:pos="8838"/>
                  </w:tabs>
                  <w:ind w:left="-74" w:right="-105"/>
                  <w:rPr>
                    <w:rFonts w:ascii="Palatino Linotype" w:hAnsi="Palatino Linotype" w:eastAsia="Calibri" w:cs="Tahoma"/>
                    <w:b/>
                    <w:sz w:val="22"/>
                    <w:szCs w:val="22"/>
                    <w:lang w:val="es-ES" w:eastAsia="en-US"/>
                  </w:rPr>
                </w:pPr>
                <w:r w:rsidRPr="00020E73">
                  <w:rPr>
                    <w:rFonts w:ascii="Palatino Linotype" w:hAnsi="Palatino Linotype" w:eastAsia="Calibri" w:cs="Tahoma"/>
                    <w:b/>
                    <w:sz w:val="22"/>
                    <w:szCs w:val="22"/>
                    <w:lang w:val="es-ES" w:eastAsia="en-US"/>
                  </w:rPr>
                  <w:t>Recurrente:</w:t>
                </w:r>
              </w:p>
            </w:tc>
            <w:tc>
              <w:tcPr>
                <w:tcW w:w="3368" w:type="dxa"/>
                <w:shd w:val="clear" w:color="auto" w:fill="auto"/>
                <w:tcMar/>
              </w:tcPr>
              <w:p w:rsidRPr="00FC72CE" w:rsidR="000E1B10" w:rsidP="24761E0F" w:rsidRDefault="000E1B10" w14:paraId="46AAB67F" w14:textId="1F3C5B4C">
                <w:pPr>
                  <w:tabs>
                    <w:tab w:val="left" w:pos="3122"/>
                    <w:tab w:val="right" w:pos="8838"/>
                  </w:tabs>
                  <w:ind w:left="-74" w:right="-105"/>
                  <w:jc w:val="both"/>
                  <w:rPr>
                    <w:rFonts w:ascii="Palatino Linotype" w:hAnsi="Palatino Linotype" w:eastAsia="Calibri" w:cs="Tahoma"/>
                    <w:sz w:val="22"/>
                    <w:szCs w:val="22"/>
                    <w:highlight w:val="black"/>
                    <w:lang w:val="es-ES" w:eastAsia="en-US"/>
                  </w:rPr>
                </w:pPr>
                <w:r w:rsidRPr="24761E0F" w:rsidR="24761E0F">
                  <w:rPr>
                    <w:rFonts w:ascii="Palatino Linotype" w:hAnsi="Palatino Linotype" w:eastAsia="Calibri" w:cs="Tahoma"/>
                    <w:sz w:val="22"/>
                    <w:szCs w:val="22"/>
                    <w:highlight w:val="black"/>
                    <w:lang w:val="es-ES" w:eastAsia="en-US"/>
                  </w:rPr>
                  <w:t>XXXXXXXX</w:t>
                </w:r>
              </w:p>
            </w:tc>
          </w:tr>
          <w:tr w:rsidRPr="00330DA7" w:rsidR="000E1B10" w:rsidTr="24761E0F" w14:paraId="50ECA2F3" w14:textId="77777777">
            <w:trPr>
              <w:trHeight w:val="283"/>
            </w:trPr>
            <w:tc>
              <w:tcPr>
                <w:tcW w:w="2444" w:type="dxa"/>
                <w:shd w:val="clear" w:color="auto" w:fill="auto"/>
                <w:tcMar/>
              </w:tcPr>
              <w:p w:rsidRPr="00020E73" w:rsidR="000E1B10" w:rsidP="007540F1" w:rsidRDefault="000E1B10" w14:paraId="7E381B23" w14:textId="77777777">
                <w:pPr>
                  <w:tabs>
                    <w:tab w:val="right" w:pos="8838"/>
                  </w:tabs>
                  <w:ind w:left="-74" w:right="-105"/>
                  <w:rPr>
                    <w:rFonts w:ascii="Palatino Linotype" w:hAnsi="Palatino Linotype" w:eastAsia="Calibri" w:cs="Tahoma"/>
                    <w:b/>
                    <w:sz w:val="22"/>
                    <w:szCs w:val="22"/>
                    <w:lang w:val="es-ES" w:eastAsia="en-US"/>
                  </w:rPr>
                </w:pPr>
                <w:r w:rsidRPr="00020E73">
                  <w:rPr>
                    <w:rFonts w:ascii="Palatino Linotype" w:hAnsi="Palatino Linotype" w:eastAsia="Calibri" w:cs="Tahoma"/>
                    <w:b/>
                    <w:sz w:val="22"/>
                    <w:szCs w:val="22"/>
                    <w:lang w:val="es-ES" w:eastAsia="en-US"/>
                  </w:rPr>
                  <w:t>Sujeto Obligado:</w:t>
                </w:r>
              </w:p>
            </w:tc>
            <w:tc>
              <w:tcPr>
                <w:tcW w:w="3368" w:type="dxa"/>
                <w:shd w:val="clear" w:color="auto" w:fill="auto"/>
                <w:tcMar/>
              </w:tcPr>
              <w:p w:rsidRPr="00D511C7" w:rsidR="000E1B10" w:rsidP="007540F1" w:rsidRDefault="000E1B10" w14:paraId="49760D64" w14:textId="1F28A79E">
                <w:pPr>
                  <w:tabs>
                    <w:tab w:val="left" w:pos="2834"/>
                    <w:tab w:val="right" w:pos="8838"/>
                  </w:tabs>
                  <w:ind w:left="-74" w:right="-105"/>
                  <w:jc w:val="both"/>
                  <w:rPr>
                    <w:rFonts w:ascii="Palatino Linotype" w:hAnsi="Palatino Linotype" w:eastAsia="Calibri" w:cs="Tahoma"/>
                    <w:sz w:val="22"/>
                    <w:szCs w:val="22"/>
                    <w:lang w:val="es-ES" w:eastAsia="en-US"/>
                  </w:rPr>
                </w:pPr>
                <w:r w:rsidRPr="00647CA4">
                  <w:rPr>
                    <w:rFonts w:ascii="Palatino Linotype" w:hAnsi="Palatino Linotype" w:eastAsia="Calibri" w:cs="Tahoma"/>
                    <w:sz w:val="22"/>
                    <w:szCs w:val="22"/>
                    <w:lang w:eastAsia="en-US"/>
                  </w:rPr>
                  <w:t>Ayuntamiento de Nezahualcóyotl</w:t>
                </w:r>
              </w:p>
            </w:tc>
          </w:tr>
          <w:tr w:rsidRPr="00330DA7" w:rsidR="000E1B10" w:rsidTr="24761E0F" w14:paraId="37CD9738" w14:textId="77777777">
            <w:trPr>
              <w:trHeight w:val="283"/>
            </w:trPr>
            <w:tc>
              <w:tcPr>
                <w:tcW w:w="2444" w:type="dxa"/>
                <w:shd w:val="clear" w:color="auto" w:fill="auto"/>
                <w:tcMar/>
              </w:tcPr>
              <w:p w:rsidRPr="00020E73" w:rsidR="000E1B10" w:rsidP="007540F1" w:rsidRDefault="000E1B10" w14:paraId="21341427" w14:textId="77777777">
                <w:pPr>
                  <w:tabs>
                    <w:tab w:val="right" w:pos="8838"/>
                  </w:tabs>
                  <w:ind w:left="-74" w:right="-105"/>
                  <w:rPr>
                    <w:rFonts w:ascii="Palatino Linotype" w:hAnsi="Palatino Linotype" w:eastAsia="Calibri" w:cs="Tahoma"/>
                    <w:b/>
                    <w:sz w:val="22"/>
                    <w:szCs w:val="22"/>
                    <w:lang w:val="es-ES" w:eastAsia="en-US"/>
                  </w:rPr>
                </w:pPr>
                <w:r w:rsidRPr="00020E73">
                  <w:rPr>
                    <w:rFonts w:ascii="Palatino Linotype" w:hAnsi="Palatino Linotype" w:eastAsia="Calibri" w:cs="Tahoma"/>
                    <w:b/>
                    <w:sz w:val="22"/>
                    <w:szCs w:val="22"/>
                    <w:lang w:val="es-ES" w:eastAsia="en-US"/>
                  </w:rPr>
                  <w:t>Comisionado Ponente:</w:t>
                </w:r>
              </w:p>
            </w:tc>
            <w:tc>
              <w:tcPr>
                <w:tcW w:w="3368" w:type="dxa"/>
                <w:shd w:val="clear" w:color="auto" w:fill="auto"/>
                <w:tcMar/>
              </w:tcPr>
              <w:p w:rsidRPr="00020E73" w:rsidR="000E1B10" w:rsidP="007540F1" w:rsidRDefault="000E1B10" w14:paraId="65F5E7C5" w14:textId="77777777">
                <w:pPr>
                  <w:tabs>
                    <w:tab w:val="right" w:pos="8838"/>
                  </w:tabs>
                  <w:ind w:left="-74" w:right="-105"/>
                  <w:jc w:val="both"/>
                  <w:rPr>
                    <w:rFonts w:ascii="Palatino Linotype" w:hAnsi="Palatino Linotype" w:eastAsia="Calibri" w:cs="Tahoma"/>
                    <w:sz w:val="22"/>
                    <w:szCs w:val="22"/>
                    <w:lang w:val="es-ES" w:eastAsia="en-US"/>
                  </w:rPr>
                </w:pPr>
                <w:r w:rsidRPr="00020E73">
                  <w:rPr>
                    <w:rFonts w:ascii="Palatino Linotype" w:hAnsi="Palatino Linotype" w:eastAsia="Calibri" w:cs="Tahoma"/>
                    <w:sz w:val="22"/>
                    <w:szCs w:val="22"/>
                    <w:lang w:val="es-ES" w:eastAsia="en-US"/>
                  </w:rPr>
                  <w:t>Luis Gustavo Parra Noriega</w:t>
                </w:r>
              </w:p>
              <w:p w:rsidRPr="00020E73" w:rsidR="000E1B10" w:rsidP="007540F1" w:rsidRDefault="000E1B10" w14:paraId="25C954F9" w14:textId="77777777">
                <w:pPr>
                  <w:tabs>
                    <w:tab w:val="right" w:pos="8838"/>
                  </w:tabs>
                  <w:ind w:left="-74" w:right="-105"/>
                  <w:jc w:val="both"/>
                  <w:rPr>
                    <w:rFonts w:ascii="Palatino Linotype" w:hAnsi="Palatino Linotype" w:eastAsia="Calibri" w:cs="Tahoma"/>
                    <w:b/>
                    <w:sz w:val="22"/>
                    <w:szCs w:val="22"/>
                    <w:lang w:val="es-ES" w:eastAsia="en-US"/>
                  </w:rPr>
                </w:pPr>
              </w:p>
            </w:tc>
          </w:tr>
        </w:tbl>
        <w:p w:rsidRPr="00330DA7" w:rsidR="000E1B10" w:rsidP="007540F1" w:rsidRDefault="000E1B10" w14:paraId="652F131D" w14:textId="77777777">
          <w:pPr>
            <w:tabs>
              <w:tab w:val="right" w:pos="8838"/>
            </w:tabs>
            <w:ind w:left="-28"/>
            <w:jc w:val="both"/>
            <w:rPr>
              <w:rFonts w:ascii="Arial" w:hAnsi="Arial" w:eastAsia="Calibri" w:cs="Arial"/>
              <w:b/>
              <w:sz w:val="22"/>
              <w:szCs w:val="22"/>
              <w:lang w:eastAsia="en-US"/>
            </w:rPr>
          </w:pPr>
        </w:p>
      </w:tc>
    </w:tr>
  </w:tbl>
  <w:p w:rsidRPr="00827FA0" w:rsidR="000E1B10" w:rsidP="007540F1" w:rsidRDefault="00D262C8" w14:paraId="5E3084A2" w14:textId="77777777">
    <w:pPr>
      <w:pStyle w:val="Encabezado"/>
      <w:rPr>
        <w:sz w:val="2"/>
        <w:szCs w:val="22"/>
      </w:rPr>
    </w:pPr>
    <w:r>
      <w:rPr>
        <w:noProof/>
        <w:sz w:val="2"/>
        <w:szCs w:val="22"/>
      </w:rPr>
      <w:pict w14:anchorId="076E7FD4">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757395962" style="position:absolute;margin-left:-76.4pt;margin-top:-119.2pt;width:589.8pt;height:768pt;z-index:-251658238;mso-wrap-edited:f;mso-width-percent:0;mso-height-percent:0;mso-position-horizontal-relative:margin;mso-position-vertical-relative:margin;mso-width-percent:0;mso-height-percent:0" alt="" o:spid="_x0000_s1027" o:allowincell="f" type="#_x0000_t75">
          <v:imagedata o:title="resolución infoem imagen"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81BF3"/>
    <w:multiLevelType w:val="hybridMultilevel"/>
    <w:tmpl w:val="51B619E6"/>
    <w:lvl w:ilvl="0" w:tplc="7AA0B6C0">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27C6D20"/>
    <w:multiLevelType w:val="hybridMultilevel"/>
    <w:tmpl w:val="8B2C82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30D312A"/>
    <w:multiLevelType w:val="hybridMultilevel"/>
    <w:tmpl w:val="87C4DA9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8445937"/>
    <w:multiLevelType w:val="hybridMultilevel"/>
    <w:tmpl w:val="BD82C98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0B9C06D7"/>
    <w:multiLevelType w:val="hybridMultilevel"/>
    <w:tmpl w:val="193EE434"/>
    <w:lvl w:ilvl="0" w:tplc="7AA0B6C0">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0BB71DF8"/>
    <w:multiLevelType w:val="hybridMultilevel"/>
    <w:tmpl w:val="2EAA88A6"/>
    <w:lvl w:ilvl="0" w:tplc="7AA0B6C0">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0E8F32E5"/>
    <w:multiLevelType w:val="hybridMultilevel"/>
    <w:tmpl w:val="6038CD4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1117249"/>
    <w:multiLevelType w:val="hybridMultilevel"/>
    <w:tmpl w:val="42B20FA0"/>
    <w:lvl w:ilvl="0" w:tplc="080A0001">
      <w:start w:val="1"/>
      <w:numFmt w:val="bullet"/>
      <w:lvlText w:val=""/>
      <w:lvlJc w:val="left"/>
      <w:pPr>
        <w:ind w:left="720" w:hanging="360"/>
      </w:pPr>
      <w:rPr>
        <w:rFonts w:hint="default" w:ascii="Symbol" w:hAnsi="Symbol"/>
        <w:b/>
        <w:bCs/>
        <w:sz w:val="22"/>
      </w:rPr>
    </w:lvl>
    <w:lvl w:ilvl="1" w:tplc="FFFFFFFF">
      <w:start w:val="1"/>
      <w:numFmt w:val="bullet"/>
      <w:lvlText w:val=""/>
      <w:lvlJc w:val="left"/>
      <w:pPr>
        <w:ind w:left="1440" w:hanging="360"/>
      </w:pPr>
      <w:rPr>
        <w:rFonts w:hint="default" w:ascii="Symbol" w:hAnsi="Symbol"/>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85E7B8F"/>
    <w:multiLevelType w:val="hybridMultilevel"/>
    <w:tmpl w:val="F66046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192E4014"/>
    <w:multiLevelType w:val="hybridMultilevel"/>
    <w:tmpl w:val="F1A6FDC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1B9E40EF"/>
    <w:multiLevelType w:val="hybridMultilevel"/>
    <w:tmpl w:val="3C10804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FBA60E1"/>
    <w:multiLevelType w:val="hybridMultilevel"/>
    <w:tmpl w:val="2A62481A"/>
    <w:lvl w:ilvl="0" w:tplc="087AAEF6">
      <w:numFmt w:val="bullet"/>
      <w:lvlText w:val="-"/>
      <w:lvlJc w:val="left"/>
      <w:pPr>
        <w:ind w:left="720" w:hanging="360"/>
      </w:pPr>
      <w:rPr>
        <w:rFonts w:hint="default" w:ascii="Palatino Linotype" w:hAnsi="Palatino Linotype" w:eastAsia="Times New Roman" w:cs="Tahoma"/>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23E82D33"/>
    <w:multiLevelType w:val="hybridMultilevel"/>
    <w:tmpl w:val="4FCA50C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28F16912"/>
    <w:multiLevelType w:val="hybridMultilevel"/>
    <w:tmpl w:val="5182570E"/>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14" w15:restartNumberingAfterBreak="0">
    <w:nsid w:val="2C852DEF"/>
    <w:multiLevelType w:val="hybridMultilevel"/>
    <w:tmpl w:val="A5C4FB00"/>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15" w15:restartNumberingAfterBreak="0">
    <w:nsid w:val="2D4D1C04"/>
    <w:multiLevelType w:val="hybridMultilevel"/>
    <w:tmpl w:val="EC5E63F4"/>
    <w:lvl w:ilvl="0" w:tplc="7AA0B6C0">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2F2D0CBB"/>
    <w:multiLevelType w:val="hybridMultilevel"/>
    <w:tmpl w:val="1C7E7F2C"/>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30BA7E48"/>
    <w:multiLevelType w:val="hybridMultilevel"/>
    <w:tmpl w:val="CD1E71BE"/>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18" w15:restartNumberingAfterBreak="0">
    <w:nsid w:val="354F60B2"/>
    <w:multiLevelType w:val="hybridMultilevel"/>
    <w:tmpl w:val="B8C043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5E258D3"/>
    <w:multiLevelType w:val="hybridMultilevel"/>
    <w:tmpl w:val="AE1AD172"/>
    <w:lvl w:ilvl="0" w:tplc="7AA0B6C0">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36F929F8"/>
    <w:multiLevelType w:val="hybridMultilevel"/>
    <w:tmpl w:val="77AC6174"/>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21" w15:restartNumberingAfterBreak="0">
    <w:nsid w:val="37E63ED4"/>
    <w:multiLevelType w:val="hybridMultilevel"/>
    <w:tmpl w:val="2546650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44AE7BEE"/>
    <w:multiLevelType w:val="hybridMultilevel"/>
    <w:tmpl w:val="4B767AE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477A552C"/>
    <w:multiLevelType w:val="hybridMultilevel"/>
    <w:tmpl w:val="978C659C"/>
    <w:lvl w:ilvl="0" w:tplc="7AA0B6C0">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4B7C2679"/>
    <w:multiLevelType w:val="hybridMultilevel"/>
    <w:tmpl w:val="C8C48654"/>
    <w:lvl w:ilvl="0" w:tplc="6F6ABC3C">
      <w:start w:val="1"/>
      <w:numFmt w:val="upperRoman"/>
      <w:lvlText w:val="%1."/>
      <w:lvlJc w:val="left"/>
      <w:pPr>
        <w:ind w:left="1080" w:hanging="72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5" w15:restartNumberingAfterBreak="0">
    <w:nsid w:val="4C507030"/>
    <w:multiLevelType w:val="hybridMultilevel"/>
    <w:tmpl w:val="6A8E4A8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FF10F16"/>
    <w:multiLevelType w:val="hybridMultilevel"/>
    <w:tmpl w:val="C6C4C68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50C7239E"/>
    <w:multiLevelType w:val="hybridMultilevel"/>
    <w:tmpl w:val="F344FF2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534F3BD0"/>
    <w:multiLevelType w:val="hybridMultilevel"/>
    <w:tmpl w:val="B714F3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5B43190"/>
    <w:multiLevelType w:val="hybridMultilevel"/>
    <w:tmpl w:val="448E4D8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563B56E0"/>
    <w:multiLevelType w:val="hybridMultilevel"/>
    <w:tmpl w:val="59BAC234"/>
    <w:lvl w:ilvl="0" w:tplc="BB1C9058">
      <w:start w:val="1"/>
      <w:numFmt w:val="upperRoman"/>
      <w:lvlText w:val="%1."/>
      <w:lvlJc w:val="left"/>
      <w:pPr>
        <w:ind w:left="112" w:hanging="156"/>
      </w:pPr>
      <w:rPr>
        <w:rFonts w:hint="default" w:ascii="Bookman Old Style" w:hAnsi="Bookman Old Style" w:eastAsia="Arial" w:cs="Arial"/>
        <w:b/>
        <w:bCs/>
        <w:w w:val="100"/>
        <w:sz w:val="20"/>
        <w:szCs w:val="20"/>
      </w:rPr>
    </w:lvl>
    <w:lvl w:ilvl="1" w:tplc="3078E134">
      <w:numFmt w:val="bullet"/>
      <w:lvlText w:val="•"/>
      <w:lvlJc w:val="left"/>
      <w:pPr>
        <w:ind w:left="1128" w:hanging="156"/>
      </w:pPr>
      <w:rPr>
        <w:rFonts w:hint="default"/>
      </w:rPr>
    </w:lvl>
    <w:lvl w:ilvl="2" w:tplc="283E2D96">
      <w:numFmt w:val="bullet"/>
      <w:lvlText w:val="•"/>
      <w:lvlJc w:val="left"/>
      <w:pPr>
        <w:ind w:left="2136" w:hanging="156"/>
      </w:pPr>
      <w:rPr>
        <w:rFonts w:hint="default"/>
      </w:rPr>
    </w:lvl>
    <w:lvl w:ilvl="3" w:tplc="1C6A91C0">
      <w:numFmt w:val="bullet"/>
      <w:lvlText w:val="•"/>
      <w:lvlJc w:val="left"/>
      <w:pPr>
        <w:ind w:left="3144" w:hanging="156"/>
      </w:pPr>
      <w:rPr>
        <w:rFonts w:hint="default"/>
      </w:rPr>
    </w:lvl>
    <w:lvl w:ilvl="4" w:tplc="FBAEED0C">
      <w:numFmt w:val="bullet"/>
      <w:lvlText w:val="•"/>
      <w:lvlJc w:val="left"/>
      <w:pPr>
        <w:ind w:left="4152" w:hanging="156"/>
      </w:pPr>
      <w:rPr>
        <w:rFonts w:hint="default"/>
      </w:rPr>
    </w:lvl>
    <w:lvl w:ilvl="5" w:tplc="AA1A56EE">
      <w:numFmt w:val="bullet"/>
      <w:lvlText w:val="•"/>
      <w:lvlJc w:val="left"/>
      <w:pPr>
        <w:ind w:left="5161" w:hanging="156"/>
      </w:pPr>
      <w:rPr>
        <w:rFonts w:hint="default"/>
      </w:rPr>
    </w:lvl>
    <w:lvl w:ilvl="6" w:tplc="778EF7B8">
      <w:numFmt w:val="bullet"/>
      <w:lvlText w:val="•"/>
      <w:lvlJc w:val="left"/>
      <w:pPr>
        <w:ind w:left="6169" w:hanging="156"/>
      </w:pPr>
      <w:rPr>
        <w:rFonts w:hint="default"/>
      </w:rPr>
    </w:lvl>
    <w:lvl w:ilvl="7" w:tplc="D1369E06">
      <w:numFmt w:val="bullet"/>
      <w:lvlText w:val="•"/>
      <w:lvlJc w:val="left"/>
      <w:pPr>
        <w:ind w:left="7177" w:hanging="156"/>
      </w:pPr>
      <w:rPr>
        <w:rFonts w:hint="default"/>
      </w:rPr>
    </w:lvl>
    <w:lvl w:ilvl="8" w:tplc="B4EE858A">
      <w:numFmt w:val="bullet"/>
      <w:lvlText w:val="•"/>
      <w:lvlJc w:val="left"/>
      <w:pPr>
        <w:ind w:left="8185" w:hanging="156"/>
      </w:pPr>
      <w:rPr>
        <w:rFonts w:hint="default"/>
      </w:rPr>
    </w:lvl>
  </w:abstractNum>
  <w:abstractNum w:abstractNumId="31" w15:restartNumberingAfterBreak="0">
    <w:nsid w:val="594202F3"/>
    <w:multiLevelType w:val="hybridMultilevel"/>
    <w:tmpl w:val="7BBECA4E"/>
    <w:lvl w:ilvl="0" w:tplc="A36ABF8A">
      <w:start w:val="1"/>
      <w:numFmt w:val="upperLetter"/>
      <w:lvlText w:val="%1."/>
      <w:lvlJc w:val="left"/>
      <w:pPr>
        <w:ind w:left="720" w:hanging="360"/>
      </w:pPr>
      <w:rPr>
        <w:rFonts w:hint="default" w:ascii="Palatino Linotype" w:hAnsi="Palatino Linotype"/>
        <w:b/>
        <w:bCs/>
        <w:sz w:val="22"/>
      </w:rPr>
    </w:lvl>
    <w:lvl w:ilvl="1" w:tplc="080A0001">
      <w:start w:val="1"/>
      <w:numFmt w:val="bullet"/>
      <w:lvlText w:val=""/>
      <w:lvlJc w:val="left"/>
      <w:pPr>
        <w:ind w:left="1440" w:hanging="360"/>
      </w:pPr>
      <w:rPr>
        <w:rFonts w:hint="default" w:ascii="Symbol" w:hAnsi="Symbol"/>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E69370C"/>
    <w:multiLevelType w:val="hybridMultilevel"/>
    <w:tmpl w:val="13A6481E"/>
    <w:lvl w:ilvl="0" w:tplc="93246CE0">
      <w:start w:val="1"/>
      <w:numFmt w:val="upperLetter"/>
      <w:lvlText w:val="%1."/>
      <w:lvlJc w:val="left"/>
      <w:pPr>
        <w:ind w:left="720" w:hanging="360"/>
      </w:pPr>
      <w:rPr>
        <w:rFonts w:hint="default" w:ascii="Palatino Linotype" w:hAnsi="Palatino Linotype"/>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E97014E"/>
    <w:multiLevelType w:val="hybridMultilevel"/>
    <w:tmpl w:val="53C87220"/>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4" w15:restartNumberingAfterBreak="0">
    <w:nsid w:val="5FF46A28"/>
    <w:multiLevelType w:val="hybridMultilevel"/>
    <w:tmpl w:val="AE9E6DC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63051539"/>
    <w:multiLevelType w:val="hybridMultilevel"/>
    <w:tmpl w:val="A178014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662277C1"/>
    <w:multiLevelType w:val="hybridMultilevel"/>
    <w:tmpl w:val="0AA0062A"/>
    <w:lvl w:ilvl="0" w:tplc="080A0017">
      <w:start w:val="1"/>
      <w:numFmt w:val="lowerLetter"/>
      <w:lvlText w:val="%1)"/>
      <w:lvlJc w:val="left"/>
      <w:pPr>
        <w:ind w:left="720" w:hanging="360"/>
      </w:pPr>
      <w:rPr>
        <w:sz w:val="22"/>
        <w:szCs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7" w15:restartNumberingAfterBreak="0">
    <w:nsid w:val="6B1A090E"/>
    <w:multiLevelType w:val="hybridMultilevel"/>
    <w:tmpl w:val="44225B40"/>
    <w:lvl w:ilvl="0" w:tplc="7AA0B6C0">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8" w15:restartNumberingAfterBreak="0">
    <w:nsid w:val="6C1821F7"/>
    <w:multiLevelType w:val="hybridMultilevel"/>
    <w:tmpl w:val="83C8F474"/>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39"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40" w15:restartNumberingAfterBreak="0">
    <w:nsid w:val="78CF71F3"/>
    <w:multiLevelType w:val="hybridMultilevel"/>
    <w:tmpl w:val="90381BB0"/>
    <w:lvl w:ilvl="0" w:tplc="C8169A16">
      <w:start w:val="1"/>
      <w:numFmt w:val="bullet"/>
      <w:lvlText w:val=""/>
      <w:lvlJc w:val="left"/>
      <w:pPr>
        <w:ind w:left="720" w:hanging="360"/>
      </w:pPr>
      <w:rPr>
        <w:rFonts w:hint="default" w:ascii="Symbol" w:hAnsi="Symbol"/>
        <w:b/>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1" w15:restartNumberingAfterBreak="0">
    <w:nsid w:val="7ADA4D23"/>
    <w:multiLevelType w:val="hybridMultilevel"/>
    <w:tmpl w:val="D59A059C"/>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42" w15:restartNumberingAfterBreak="0">
    <w:nsid w:val="7D6E447C"/>
    <w:multiLevelType w:val="hybridMultilevel"/>
    <w:tmpl w:val="9BB4ED8A"/>
    <w:lvl w:ilvl="0" w:tplc="7AA0B6C0">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3" w15:restartNumberingAfterBreak="0">
    <w:nsid w:val="7E501511"/>
    <w:multiLevelType w:val="hybridMultilevel"/>
    <w:tmpl w:val="E44A8CD0"/>
    <w:lvl w:ilvl="0" w:tplc="A59CCEBE">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615720884">
    <w:abstractNumId w:val="34"/>
  </w:num>
  <w:num w:numId="2" w16cid:durableId="1630473615">
    <w:abstractNumId w:val="12"/>
  </w:num>
  <w:num w:numId="3" w16cid:durableId="303043240">
    <w:abstractNumId w:val="18"/>
  </w:num>
  <w:num w:numId="4" w16cid:durableId="1164585556">
    <w:abstractNumId w:val="1"/>
  </w:num>
  <w:num w:numId="5" w16cid:durableId="1978876882">
    <w:abstractNumId w:val="23"/>
  </w:num>
  <w:num w:numId="6" w16cid:durableId="1368065586">
    <w:abstractNumId w:val="19"/>
  </w:num>
  <w:num w:numId="7" w16cid:durableId="1844199768">
    <w:abstractNumId w:val="37"/>
  </w:num>
  <w:num w:numId="8" w16cid:durableId="501894825">
    <w:abstractNumId w:val="15"/>
  </w:num>
  <w:num w:numId="9" w16cid:durableId="1389961102">
    <w:abstractNumId w:val="30"/>
  </w:num>
  <w:num w:numId="10" w16cid:durableId="166705071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4734714">
    <w:abstractNumId w:val="27"/>
  </w:num>
  <w:num w:numId="12" w16cid:durableId="99125453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42374943">
    <w:abstractNumId w:val="33"/>
  </w:num>
  <w:num w:numId="14" w16cid:durableId="1558974413">
    <w:abstractNumId w:val="4"/>
  </w:num>
  <w:num w:numId="15" w16cid:durableId="1022130111">
    <w:abstractNumId w:val="0"/>
  </w:num>
  <w:num w:numId="16" w16cid:durableId="1400320245">
    <w:abstractNumId w:val="11"/>
  </w:num>
  <w:num w:numId="17" w16cid:durableId="305743112">
    <w:abstractNumId w:val="2"/>
  </w:num>
  <w:num w:numId="18" w16cid:durableId="1912890772">
    <w:abstractNumId w:val="3"/>
  </w:num>
  <w:num w:numId="19" w16cid:durableId="919409028">
    <w:abstractNumId w:val="20"/>
  </w:num>
  <w:num w:numId="20" w16cid:durableId="1419667023">
    <w:abstractNumId w:val="31"/>
  </w:num>
  <w:num w:numId="21" w16cid:durableId="1706247736">
    <w:abstractNumId w:val="32"/>
  </w:num>
  <w:num w:numId="22" w16cid:durableId="1460411948">
    <w:abstractNumId w:val="7"/>
  </w:num>
  <w:num w:numId="23" w16cid:durableId="1160345616">
    <w:abstractNumId w:val="38"/>
  </w:num>
  <w:num w:numId="24" w16cid:durableId="1229269462">
    <w:abstractNumId w:val="40"/>
  </w:num>
  <w:num w:numId="25" w16cid:durableId="430319375">
    <w:abstractNumId w:val="10"/>
  </w:num>
  <w:num w:numId="26" w16cid:durableId="881134936">
    <w:abstractNumId w:val="21"/>
  </w:num>
  <w:num w:numId="27" w16cid:durableId="194733972">
    <w:abstractNumId w:val="28"/>
  </w:num>
  <w:num w:numId="28" w16cid:durableId="1719472708">
    <w:abstractNumId w:val="13"/>
  </w:num>
  <w:num w:numId="29" w16cid:durableId="1824420449">
    <w:abstractNumId w:val="5"/>
  </w:num>
  <w:num w:numId="30" w16cid:durableId="1249462083">
    <w:abstractNumId w:val="9"/>
  </w:num>
  <w:num w:numId="31" w16cid:durableId="706219367">
    <w:abstractNumId w:val="6"/>
  </w:num>
  <w:num w:numId="32" w16cid:durableId="2056080210">
    <w:abstractNumId w:val="25"/>
  </w:num>
  <w:num w:numId="33" w16cid:durableId="1642736203">
    <w:abstractNumId w:val="26"/>
  </w:num>
  <w:num w:numId="34" w16cid:durableId="2146970250">
    <w:abstractNumId w:val="42"/>
  </w:num>
  <w:num w:numId="35" w16cid:durableId="1402603323">
    <w:abstractNumId w:val="36"/>
  </w:num>
  <w:num w:numId="36" w16cid:durableId="382605909">
    <w:abstractNumId w:val="22"/>
  </w:num>
  <w:num w:numId="37" w16cid:durableId="1278441882">
    <w:abstractNumId w:val="43"/>
  </w:num>
  <w:num w:numId="38" w16cid:durableId="1739744248">
    <w:abstractNumId w:val="35"/>
  </w:num>
  <w:num w:numId="39" w16cid:durableId="1103502755">
    <w:abstractNumId w:val="14"/>
  </w:num>
  <w:num w:numId="40" w16cid:durableId="7695916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13155450">
    <w:abstractNumId w:val="11"/>
  </w:num>
  <w:num w:numId="42" w16cid:durableId="430667215">
    <w:abstractNumId w:val="5"/>
  </w:num>
  <w:num w:numId="43" w16cid:durableId="1577396728">
    <w:abstractNumId w:val="41"/>
  </w:num>
  <w:num w:numId="44" w16cid:durableId="195482445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014408163">
    <w:abstractNumId w:val="17"/>
  </w:num>
  <w:num w:numId="46" w16cid:durableId="820579455">
    <w:abstractNumId w:val="16"/>
  </w:num>
  <w:num w:numId="47" w16cid:durableId="314339254">
    <w:abstractNumId w:val="29"/>
  </w:num>
  <w:num w:numId="48" w16cid:durableId="46347233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dirty"/>
  <w:trackRevisions w:val="false"/>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363C"/>
    <w:rsid w:val="0000100F"/>
    <w:rsid w:val="0000280B"/>
    <w:rsid w:val="000041E1"/>
    <w:rsid w:val="00004401"/>
    <w:rsid w:val="00004EE1"/>
    <w:rsid w:val="0000510E"/>
    <w:rsid w:val="000054CC"/>
    <w:rsid w:val="00007F61"/>
    <w:rsid w:val="000100EF"/>
    <w:rsid w:val="0001057E"/>
    <w:rsid w:val="000111F0"/>
    <w:rsid w:val="000112B9"/>
    <w:rsid w:val="0001472B"/>
    <w:rsid w:val="00014CA4"/>
    <w:rsid w:val="00015458"/>
    <w:rsid w:val="0001702B"/>
    <w:rsid w:val="0001720B"/>
    <w:rsid w:val="000175EE"/>
    <w:rsid w:val="00020DAC"/>
    <w:rsid w:val="0002206C"/>
    <w:rsid w:val="00022A7B"/>
    <w:rsid w:val="00023A0B"/>
    <w:rsid w:val="00025A17"/>
    <w:rsid w:val="00026149"/>
    <w:rsid w:val="0002662F"/>
    <w:rsid w:val="000277F8"/>
    <w:rsid w:val="00027CD3"/>
    <w:rsid w:val="00030C67"/>
    <w:rsid w:val="000330B4"/>
    <w:rsid w:val="0003366E"/>
    <w:rsid w:val="00037B46"/>
    <w:rsid w:val="00041435"/>
    <w:rsid w:val="0004183B"/>
    <w:rsid w:val="000463AD"/>
    <w:rsid w:val="000504B4"/>
    <w:rsid w:val="00050EA4"/>
    <w:rsid w:val="00051436"/>
    <w:rsid w:val="00056EE7"/>
    <w:rsid w:val="00056EF5"/>
    <w:rsid w:val="00061703"/>
    <w:rsid w:val="00062FCE"/>
    <w:rsid w:val="000632E7"/>
    <w:rsid w:val="000650D6"/>
    <w:rsid w:val="0007241D"/>
    <w:rsid w:val="00072554"/>
    <w:rsid w:val="000727FA"/>
    <w:rsid w:val="00073081"/>
    <w:rsid w:val="00075932"/>
    <w:rsid w:val="00076801"/>
    <w:rsid w:val="00077F41"/>
    <w:rsid w:val="000800D4"/>
    <w:rsid w:val="00081701"/>
    <w:rsid w:val="000822EB"/>
    <w:rsid w:val="000828D0"/>
    <w:rsid w:val="00087CF1"/>
    <w:rsid w:val="00090271"/>
    <w:rsid w:val="000909ED"/>
    <w:rsid w:val="00091513"/>
    <w:rsid w:val="00093F68"/>
    <w:rsid w:val="0009402D"/>
    <w:rsid w:val="00096403"/>
    <w:rsid w:val="00096EE6"/>
    <w:rsid w:val="000A0241"/>
    <w:rsid w:val="000A116D"/>
    <w:rsid w:val="000A2ADC"/>
    <w:rsid w:val="000A46E1"/>
    <w:rsid w:val="000A6780"/>
    <w:rsid w:val="000A6B4B"/>
    <w:rsid w:val="000A7140"/>
    <w:rsid w:val="000B3F31"/>
    <w:rsid w:val="000B62C0"/>
    <w:rsid w:val="000B6734"/>
    <w:rsid w:val="000B6B48"/>
    <w:rsid w:val="000B7905"/>
    <w:rsid w:val="000C0905"/>
    <w:rsid w:val="000C0E00"/>
    <w:rsid w:val="000C0EEA"/>
    <w:rsid w:val="000C295E"/>
    <w:rsid w:val="000C46E3"/>
    <w:rsid w:val="000D0818"/>
    <w:rsid w:val="000D18C2"/>
    <w:rsid w:val="000D212F"/>
    <w:rsid w:val="000D3892"/>
    <w:rsid w:val="000D569E"/>
    <w:rsid w:val="000E1B10"/>
    <w:rsid w:val="000E1DCC"/>
    <w:rsid w:val="000E2A9F"/>
    <w:rsid w:val="000E4529"/>
    <w:rsid w:val="000E7223"/>
    <w:rsid w:val="000E7836"/>
    <w:rsid w:val="000F0625"/>
    <w:rsid w:val="000F0D8A"/>
    <w:rsid w:val="000F1577"/>
    <w:rsid w:val="000F36EA"/>
    <w:rsid w:val="000F585E"/>
    <w:rsid w:val="000F5F86"/>
    <w:rsid w:val="00101753"/>
    <w:rsid w:val="00105423"/>
    <w:rsid w:val="0010787A"/>
    <w:rsid w:val="00110272"/>
    <w:rsid w:val="00111AB5"/>
    <w:rsid w:val="00111B81"/>
    <w:rsid w:val="00113CC5"/>
    <w:rsid w:val="001160F5"/>
    <w:rsid w:val="001162C3"/>
    <w:rsid w:val="001231BA"/>
    <w:rsid w:val="00123A63"/>
    <w:rsid w:val="00124B6D"/>
    <w:rsid w:val="0012644F"/>
    <w:rsid w:val="00130967"/>
    <w:rsid w:val="00130FE9"/>
    <w:rsid w:val="0013196B"/>
    <w:rsid w:val="00134861"/>
    <w:rsid w:val="00135E7A"/>
    <w:rsid w:val="00136814"/>
    <w:rsid w:val="00137040"/>
    <w:rsid w:val="0013783F"/>
    <w:rsid w:val="00140BCD"/>
    <w:rsid w:val="00141213"/>
    <w:rsid w:val="00141B06"/>
    <w:rsid w:val="001449A9"/>
    <w:rsid w:val="00144B8A"/>
    <w:rsid w:val="00144EA8"/>
    <w:rsid w:val="001461FF"/>
    <w:rsid w:val="00150320"/>
    <w:rsid w:val="00151013"/>
    <w:rsid w:val="0015102B"/>
    <w:rsid w:val="00152651"/>
    <w:rsid w:val="001526BE"/>
    <w:rsid w:val="00152A08"/>
    <w:rsid w:val="0015427C"/>
    <w:rsid w:val="00154891"/>
    <w:rsid w:val="00155048"/>
    <w:rsid w:val="00155975"/>
    <w:rsid w:val="00156CF6"/>
    <w:rsid w:val="00157258"/>
    <w:rsid w:val="0015773B"/>
    <w:rsid w:val="00160321"/>
    <w:rsid w:val="00161028"/>
    <w:rsid w:val="00161D70"/>
    <w:rsid w:val="00162E49"/>
    <w:rsid w:val="0016332E"/>
    <w:rsid w:val="00164486"/>
    <w:rsid w:val="0016489A"/>
    <w:rsid w:val="00165BBD"/>
    <w:rsid w:val="00170687"/>
    <w:rsid w:val="00171767"/>
    <w:rsid w:val="001742B4"/>
    <w:rsid w:val="00174621"/>
    <w:rsid w:val="0017465A"/>
    <w:rsid w:val="0017549F"/>
    <w:rsid w:val="00175516"/>
    <w:rsid w:val="00175577"/>
    <w:rsid w:val="0017592B"/>
    <w:rsid w:val="001807EC"/>
    <w:rsid w:val="00181D6A"/>
    <w:rsid w:val="0018227F"/>
    <w:rsid w:val="001864F9"/>
    <w:rsid w:val="001866B2"/>
    <w:rsid w:val="001906B3"/>
    <w:rsid w:val="00190B33"/>
    <w:rsid w:val="00191625"/>
    <w:rsid w:val="0019176B"/>
    <w:rsid w:val="00192A58"/>
    <w:rsid w:val="00193C15"/>
    <w:rsid w:val="0019462A"/>
    <w:rsid w:val="0019508E"/>
    <w:rsid w:val="00196250"/>
    <w:rsid w:val="00196430"/>
    <w:rsid w:val="0019660C"/>
    <w:rsid w:val="00197109"/>
    <w:rsid w:val="001A071B"/>
    <w:rsid w:val="001A094D"/>
    <w:rsid w:val="001A193B"/>
    <w:rsid w:val="001A2B66"/>
    <w:rsid w:val="001A2CB1"/>
    <w:rsid w:val="001A308A"/>
    <w:rsid w:val="001A49C0"/>
    <w:rsid w:val="001A4D52"/>
    <w:rsid w:val="001A6058"/>
    <w:rsid w:val="001A622B"/>
    <w:rsid w:val="001B05CB"/>
    <w:rsid w:val="001B1741"/>
    <w:rsid w:val="001B1968"/>
    <w:rsid w:val="001B2B77"/>
    <w:rsid w:val="001B624D"/>
    <w:rsid w:val="001B7BDC"/>
    <w:rsid w:val="001B7E28"/>
    <w:rsid w:val="001B7E2B"/>
    <w:rsid w:val="001C0028"/>
    <w:rsid w:val="001C2584"/>
    <w:rsid w:val="001C261A"/>
    <w:rsid w:val="001C3646"/>
    <w:rsid w:val="001C4E22"/>
    <w:rsid w:val="001C64EA"/>
    <w:rsid w:val="001C7A81"/>
    <w:rsid w:val="001D04AA"/>
    <w:rsid w:val="001D05E0"/>
    <w:rsid w:val="001D0EC6"/>
    <w:rsid w:val="001D3BA1"/>
    <w:rsid w:val="001D6CB2"/>
    <w:rsid w:val="001E1A3D"/>
    <w:rsid w:val="001E1E72"/>
    <w:rsid w:val="001E35E5"/>
    <w:rsid w:val="001E5171"/>
    <w:rsid w:val="001E66EE"/>
    <w:rsid w:val="001E67F5"/>
    <w:rsid w:val="001E69A0"/>
    <w:rsid w:val="001F049B"/>
    <w:rsid w:val="001F1A41"/>
    <w:rsid w:val="001F1A4B"/>
    <w:rsid w:val="001F1BA4"/>
    <w:rsid w:val="001F28C4"/>
    <w:rsid w:val="001F45BA"/>
    <w:rsid w:val="001F4C72"/>
    <w:rsid w:val="001F51C1"/>
    <w:rsid w:val="001F53E3"/>
    <w:rsid w:val="001F61E4"/>
    <w:rsid w:val="0020365C"/>
    <w:rsid w:val="00204309"/>
    <w:rsid w:val="0020531D"/>
    <w:rsid w:val="00205774"/>
    <w:rsid w:val="00205F4C"/>
    <w:rsid w:val="0020625E"/>
    <w:rsid w:val="0020626C"/>
    <w:rsid w:val="00210522"/>
    <w:rsid w:val="00210C27"/>
    <w:rsid w:val="00210CCB"/>
    <w:rsid w:val="00211043"/>
    <w:rsid w:val="002120B2"/>
    <w:rsid w:val="002138EA"/>
    <w:rsid w:val="002152D7"/>
    <w:rsid w:val="002171AD"/>
    <w:rsid w:val="00221BD3"/>
    <w:rsid w:val="00223693"/>
    <w:rsid w:val="0022400A"/>
    <w:rsid w:val="002259AC"/>
    <w:rsid w:val="00231D97"/>
    <w:rsid w:val="00231F37"/>
    <w:rsid w:val="0023207A"/>
    <w:rsid w:val="002332CA"/>
    <w:rsid w:val="002348D7"/>
    <w:rsid w:val="00235E66"/>
    <w:rsid w:val="00240515"/>
    <w:rsid w:val="00243558"/>
    <w:rsid w:val="00244F24"/>
    <w:rsid w:val="00246CED"/>
    <w:rsid w:val="00247399"/>
    <w:rsid w:val="002529DE"/>
    <w:rsid w:val="00254817"/>
    <w:rsid w:val="00254BCA"/>
    <w:rsid w:val="00255A14"/>
    <w:rsid w:val="0025658C"/>
    <w:rsid w:val="0026038B"/>
    <w:rsid w:val="00260FCE"/>
    <w:rsid w:val="002617F5"/>
    <w:rsid w:val="00262827"/>
    <w:rsid w:val="002632CA"/>
    <w:rsid w:val="00264B62"/>
    <w:rsid w:val="002651F9"/>
    <w:rsid w:val="00266EBE"/>
    <w:rsid w:val="002721DC"/>
    <w:rsid w:val="00273CBE"/>
    <w:rsid w:val="002768EA"/>
    <w:rsid w:val="00276ED6"/>
    <w:rsid w:val="002803D6"/>
    <w:rsid w:val="00282D39"/>
    <w:rsid w:val="00284966"/>
    <w:rsid w:val="00286ACA"/>
    <w:rsid w:val="002873A6"/>
    <w:rsid w:val="002907FA"/>
    <w:rsid w:val="00291490"/>
    <w:rsid w:val="002915F9"/>
    <w:rsid w:val="002925DE"/>
    <w:rsid w:val="00292700"/>
    <w:rsid w:val="00292D72"/>
    <w:rsid w:val="0029588E"/>
    <w:rsid w:val="002976C4"/>
    <w:rsid w:val="002A278E"/>
    <w:rsid w:val="002A2A88"/>
    <w:rsid w:val="002A31B6"/>
    <w:rsid w:val="002A56B7"/>
    <w:rsid w:val="002A5D54"/>
    <w:rsid w:val="002A6D86"/>
    <w:rsid w:val="002B36DA"/>
    <w:rsid w:val="002B43D6"/>
    <w:rsid w:val="002B4F00"/>
    <w:rsid w:val="002B6396"/>
    <w:rsid w:val="002C070A"/>
    <w:rsid w:val="002C34F8"/>
    <w:rsid w:val="002C3F46"/>
    <w:rsid w:val="002C4442"/>
    <w:rsid w:val="002C4CE7"/>
    <w:rsid w:val="002C5A8B"/>
    <w:rsid w:val="002C5D43"/>
    <w:rsid w:val="002C686D"/>
    <w:rsid w:val="002D02D2"/>
    <w:rsid w:val="002D1F6D"/>
    <w:rsid w:val="002D2183"/>
    <w:rsid w:val="002D449E"/>
    <w:rsid w:val="002D4AA5"/>
    <w:rsid w:val="002E0BCE"/>
    <w:rsid w:val="002E4CBD"/>
    <w:rsid w:val="002E5458"/>
    <w:rsid w:val="002F02AD"/>
    <w:rsid w:val="002F1AC3"/>
    <w:rsid w:val="002F2682"/>
    <w:rsid w:val="002F3239"/>
    <w:rsid w:val="00300F8C"/>
    <w:rsid w:val="00301E7E"/>
    <w:rsid w:val="00304A56"/>
    <w:rsid w:val="00306C37"/>
    <w:rsid w:val="0031596F"/>
    <w:rsid w:val="003160B3"/>
    <w:rsid w:val="00316D91"/>
    <w:rsid w:val="00316F0C"/>
    <w:rsid w:val="00320830"/>
    <w:rsid w:val="00320F36"/>
    <w:rsid w:val="00322C20"/>
    <w:rsid w:val="0032352C"/>
    <w:rsid w:val="0032564D"/>
    <w:rsid w:val="003259E2"/>
    <w:rsid w:val="003269B7"/>
    <w:rsid w:val="00327888"/>
    <w:rsid w:val="00330335"/>
    <w:rsid w:val="0033035E"/>
    <w:rsid w:val="00330AAE"/>
    <w:rsid w:val="00334308"/>
    <w:rsid w:val="003344CF"/>
    <w:rsid w:val="003377C9"/>
    <w:rsid w:val="0034171E"/>
    <w:rsid w:val="00342213"/>
    <w:rsid w:val="003450FA"/>
    <w:rsid w:val="003454B5"/>
    <w:rsid w:val="003458EB"/>
    <w:rsid w:val="00345A24"/>
    <w:rsid w:val="003474EC"/>
    <w:rsid w:val="0035269B"/>
    <w:rsid w:val="003532FE"/>
    <w:rsid w:val="003579B6"/>
    <w:rsid w:val="00360F4E"/>
    <w:rsid w:val="0036268B"/>
    <w:rsid w:val="00362E0A"/>
    <w:rsid w:val="00363217"/>
    <w:rsid w:val="0036369A"/>
    <w:rsid w:val="003642FF"/>
    <w:rsid w:val="00364951"/>
    <w:rsid w:val="00365A51"/>
    <w:rsid w:val="003669EE"/>
    <w:rsid w:val="00366E78"/>
    <w:rsid w:val="00367279"/>
    <w:rsid w:val="003704FC"/>
    <w:rsid w:val="003712BE"/>
    <w:rsid w:val="00371557"/>
    <w:rsid w:val="00371D66"/>
    <w:rsid w:val="003726F6"/>
    <w:rsid w:val="0037362A"/>
    <w:rsid w:val="00376677"/>
    <w:rsid w:val="0038178A"/>
    <w:rsid w:val="00382704"/>
    <w:rsid w:val="00383776"/>
    <w:rsid w:val="003845F7"/>
    <w:rsid w:val="00385979"/>
    <w:rsid w:val="003859EB"/>
    <w:rsid w:val="0038640E"/>
    <w:rsid w:val="00386A32"/>
    <w:rsid w:val="0039060E"/>
    <w:rsid w:val="003941B8"/>
    <w:rsid w:val="00394934"/>
    <w:rsid w:val="00394DE9"/>
    <w:rsid w:val="003954DA"/>
    <w:rsid w:val="00395D91"/>
    <w:rsid w:val="003A076B"/>
    <w:rsid w:val="003A395A"/>
    <w:rsid w:val="003A3BFF"/>
    <w:rsid w:val="003A40F2"/>
    <w:rsid w:val="003A462A"/>
    <w:rsid w:val="003A5023"/>
    <w:rsid w:val="003A5EE6"/>
    <w:rsid w:val="003B1B3D"/>
    <w:rsid w:val="003B2621"/>
    <w:rsid w:val="003B4084"/>
    <w:rsid w:val="003B79C2"/>
    <w:rsid w:val="003C0D23"/>
    <w:rsid w:val="003C2075"/>
    <w:rsid w:val="003C3A6A"/>
    <w:rsid w:val="003C449B"/>
    <w:rsid w:val="003C74FB"/>
    <w:rsid w:val="003C7E82"/>
    <w:rsid w:val="003D048A"/>
    <w:rsid w:val="003D3B60"/>
    <w:rsid w:val="003D504F"/>
    <w:rsid w:val="003D667D"/>
    <w:rsid w:val="003D6EDA"/>
    <w:rsid w:val="003D7179"/>
    <w:rsid w:val="003D7366"/>
    <w:rsid w:val="003D7B39"/>
    <w:rsid w:val="003E2AE4"/>
    <w:rsid w:val="003E454F"/>
    <w:rsid w:val="003E4D9F"/>
    <w:rsid w:val="003E5F0A"/>
    <w:rsid w:val="003E6F7D"/>
    <w:rsid w:val="003F087E"/>
    <w:rsid w:val="003F2161"/>
    <w:rsid w:val="003F220C"/>
    <w:rsid w:val="004022BE"/>
    <w:rsid w:val="00403795"/>
    <w:rsid w:val="00403A06"/>
    <w:rsid w:val="0040487D"/>
    <w:rsid w:val="00405804"/>
    <w:rsid w:val="004100DE"/>
    <w:rsid w:val="004108DD"/>
    <w:rsid w:val="00410C60"/>
    <w:rsid w:val="00412F2C"/>
    <w:rsid w:val="00413B05"/>
    <w:rsid w:val="0041589E"/>
    <w:rsid w:val="00421044"/>
    <w:rsid w:val="004219A0"/>
    <w:rsid w:val="004228F8"/>
    <w:rsid w:val="00424FFE"/>
    <w:rsid w:val="00426F53"/>
    <w:rsid w:val="0042750F"/>
    <w:rsid w:val="004311B3"/>
    <w:rsid w:val="00432AE2"/>
    <w:rsid w:val="00433B7A"/>
    <w:rsid w:val="00434B3F"/>
    <w:rsid w:val="00434EC3"/>
    <w:rsid w:val="00440C9B"/>
    <w:rsid w:val="0044225B"/>
    <w:rsid w:val="00444997"/>
    <w:rsid w:val="0044575C"/>
    <w:rsid w:val="00445F74"/>
    <w:rsid w:val="00446545"/>
    <w:rsid w:val="004465E3"/>
    <w:rsid w:val="00446E9E"/>
    <w:rsid w:val="004472FD"/>
    <w:rsid w:val="00447F34"/>
    <w:rsid w:val="0045074B"/>
    <w:rsid w:val="0045714E"/>
    <w:rsid w:val="0045788B"/>
    <w:rsid w:val="0046078A"/>
    <w:rsid w:val="00461D26"/>
    <w:rsid w:val="004621F4"/>
    <w:rsid w:val="0046377E"/>
    <w:rsid w:val="004639DF"/>
    <w:rsid w:val="00463A12"/>
    <w:rsid w:val="00464637"/>
    <w:rsid w:val="00466D01"/>
    <w:rsid w:val="00467136"/>
    <w:rsid w:val="00471875"/>
    <w:rsid w:val="00472249"/>
    <w:rsid w:val="00472F1C"/>
    <w:rsid w:val="0047370A"/>
    <w:rsid w:val="00483822"/>
    <w:rsid w:val="00483DD3"/>
    <w:rsid w:val="00484C4C"/>
    <w:rsid w:val="0048560C"/>
    <w:rsid w:val="00486EA3"/>
    <w:rsid w:val="004876B3"/>
    <w:rsid w:val="004907A8"/>
    <w:rsid w:val="004A2501"/>
    <w:rsid w:val="004A272C"/>
    <w:rsid w:val="004A2A83"/>
    <w:rsid w:val="004A3BBB"/>
    <w:rsid w:val="004A4321"/>
    <w:rsid w:val="004A75DD"/>
    <w:rsid w:val="004B10F8"/>
    <w:rsid w:val="004B4453"/>
    <w:rsid w:val="004B4B92"/>
    <w:rsid w:val="004B73A5"/>
    <w:rsid w:val="004B7CC1"/>
    <w:rsid w:val="004C1E8D"/>
    <w:rsid w:val="004C292E"/>
    <w:rsid w:val="004C3902"/>
    <w:rsid w:val="004C4503"/>
    <w:rsid w:val="004C5885"/>
    <w:rsid w:val="004D0C9A"/>
    <w:rsid w:val="004D2553"/>
    <w:rsid w:val="004D7ACD"/>
    <w:rsid w:val="004E3661"/>
    <w:rsid w:val="004E46AA"/>
    <w:rsid w:val="004E6008"/>
    <w:rsid w:val="004E7138"/>
    <w:rsid w:val="004E7F85"/>
    <w:rsid w:val="004F626E"/>
    <w:rsid w:val="004F7606"/>
    <w:rsid w:val="005004AD"/>
    <w:rsid w:val="005006F3"/>
    <w:rsid w:val="005017B2"/>
    <w:rsid w:val="005039D4"/>
    <w:rsid w:val="00505674"/>
    <w:rsid w:val="0050581A"/>
    <w:rsid w:val="0050593F"/>
    <w:rsid w:val="00506FC1"/>
    <w:rsid w:val="005159C8"/>
    <w:rsid w:val="0051763E"/>
    <w:rsid w:val="0051767C"/>
    <w:rsid w:val="00517AB8"/>
    <w:rsid w:val="0052160E"/>
    <w:rsid w:val="00521B91"/>
    <w:rsid w:val="005236A1"/>
    <w:rsid w:val="0052382F"/>
    <w:rsid w:val="0052443D"/>
    <w:rsid w:val="00524553"/>
    <w:rsid w:val="00526135"/>
    <w:rsid w:val="005279EC"/>
    <w:rsid w:val="0053033A"/>
    <w:rsid w:val="005324A8"/>
    <w:rsid w:val="005329E8"/>
    <w:rsid w:val="00534BC4"/>
    <w:rsid w:val="005353D3"/>
    <w:rsid w:val="005372E9"/>
    <w:rsid w:val="00540168"/>
    <w:rsid w:val="00541B9F"/>
    <w:rsid w:val="00541BA5"/>
    <w:rsid w:val="0054272A"/>
    <w:rsid w:val="00544CC2"/>
    <w:rsid w:val="00545190"/>
    <w:rsid w:val="005472A5"/>
    <w:rsid w:val="005513F9"/>
    <w:rsid w:val="00552539"/>
    <w:rsid w:val="0055288B"/>
    <w:rsid w:val="00554530"/>
    <w:rsid w:val="00555A8A"/>
    <w:rsid w:val="00556D2A"/>
    <w:rsid w:val="00557500"/>
    <w:rsid w:val="005577B6"/>
    <w:rsid w:val="00560BE8"/>
    <w:rsid w:val="0056175E"/>
    <w:rsid w:val="00561ED6"/>
    <w:rsid w:val="00563892"/>
    <w:rsid w:val="00563C8C"/>
    <w:rsid w:val="00563D49"/>
    <w:rsid w:val="0056520D"/>
    <w:rsid w:val="00566B78"/>
    <w:rsid w:val="00566D25"/>
    <w:rsid w:val="005702C5"/>
    <w:rsid w:val="00571395"/>
    <w:rsid w:val="00571D38"/>
    <w:rsid w:val="0057259E"/>
    <w:rsid w:val="00573484"/>
    <w:rsid w:val="005760FF"/>
    <w:rsid w:val="005764DE"/>
    <w:rsid w:val="00583B0D"/>
    <w:rsid w:val="0058588B"/>
    <w:rsid w:val="005904F6"/>
    <w:rsid w:val="00591D5B"/>
    <w:rsid w:val="00592D76"/>
    <w:rsid w:val="00593B93"/>
    <w:rsid w:val="005952DB"/>
    <w:rsid w:val="00595D42"/>
    <w:rsid w:val="005A1669"/>
    <w:rsid w:val="005A3B09"/>
    <w:rsid w:val="005A43E2"/>
    <w:rsid w:val="005A471C"/>
    <w:rsid w:val="005A4EDE"/>
    <w:rsid w:val="005A6EFF"/>
    <w:rsid w:val="005A7239"/>
    <w:rsid w:val="005B5BF8"/>
    <w:rsid w:val="005C0526"/>
    <w:rsid w:val="005C2ABC"/>
    <w:rsid w:val="005C61AA"/>
    <w:rsid w:val="005D2F1D"/>
    <w:rsid w:val="005D5720"/>
    <w:rsid w:val="005D629A"/>
    <w:rsid w:val="005D6F39"/>
    <w:rsid w:val="005E19AE"/>
    <w:rsid w:val="005E3E4F"/>
    <w:rsid w:val="005E4607"/>
    <w:rsid w:val="005E53F9"/>
    <w:rsid w:val="005E5CE8"/>
    <w:rsid w:val="005F02C2"/>
    <w:rsid w:val="005F0CC6"/>
    <w:rsid w:val="005F1FDB"/>
    <w:rsid w:val="00603404"/>
    <w:rsid w:val="006043C3"/>
    <w:rsid w:val="006045DD"/>
    <w:rsid w:val="00605D5A"/>
    <w:rsid w:val="0060705B"/>
    <w:rsid w:val="00607464"/>
    <w:rsid w:val="006100EA"/>
    <w:rsid w:val="00612AB7"/>
    <w:rsid w:val="006149CF"/>
    <w:rsid w:val="00615245"/>
    <w:rsid w:val="0061542D"/>
    <w:rsid w:val="00620A78"/>
    <w:rsid w:val="00620C90"/>
    <w:rsid w:val="00621B80"/>
    <w:rsid w:val="006226E2"/>
    <w:rsid w:val="0062326D"/>
    <w:rsid w:val="006334D5"/>
    <w:rsid w:val="00633812"/>
    <w:rsid w:val="00635EE7"/>
    <w:rsid w:val="0063670F"/>
    <w:rsid w:val="00636801"/>
    <w:rsid w:val="00636810"/>
    <w:rsid w:val="00637602"/>
    <w:rsid w:val="0064068C"/>
    <w:rsid w:val="00643A72"/>
    <w:rsid w:val="006457A3"/>
    <w:rsid w:val="00647396"/>
    <w:rsid w:val="00647CA4"/>
    <w:rsid w:val="00652392"/>
    <w:rsid w:val="00655563"/>
    <w:rsid w:val="006568B7"/>
    <w:rsid w:val="00656F5D"/>
    <w:rsid w:val="006623B7"/>
    <w:rsid w:val="006631B2"/>
    <w:rsid w:val="00664846"/>
    <w:rsid w:val="00664C9C"/>
    <w:rsid w:val="006656A3"/>
    <w:rsid w:val="00666701"/>
    <w:rsid w:val="0067218E"/>
    <w:rsid w:val="00675604"/>
    <w:rsid w:val="006757D8"/>
    <w:rsid w:val="00675891"/>
    <w:rsid w:val="00675FD4"/>
    <w:rsid w:val="0067765A"/>
    <w:rsid w:val="00677DAE"/>
    <w:rsid w:val="00677E0D"/>
    <w:rsid w:val="00680E80"/>
    <w:rsid w:val="00681596"/>
    <w:rsid w:val="006818EC"/>
    <w:rsid w:val="0068491A"/>
    <w:rsid w:val="00685707"/>
    <w:rsid w:val="00685954"/>
    <w:rsid w:val="00687920"/>
    <w:rsid w:val="00691B7E"/>
    <w:rsid w:val="00691BA7"/>
    <w:rsid w:val="00691BEF"/>
    <w:rsid w:val="00693B87"/>
    <w:rsid w:val="00695668"/>
    <w:rsid w:val="006A0751"/>
    <w:rsid w:val="006A1A25"/>
    <w:rsid w:val="006A207D"/>
    <w:rsid w:val="006A35B7"/>
    <w:rsid w:val="006A3D72"/>
    <w:rsid w:val="006A5ACA"/>
    <w:rsid w:val="006A730C"/>
    <w:rsid w:val="006A79F2"/>
    <w:rsid w:val="006B1C31"/>
    <w:rsid w:val="006B31FA"/>
    <w:rsid w:val="006B41C4"/>
    <w:rsid w:val="006B4282"/>
    <w:rsid w:val="006B7513"/>
    <w:rsid w:val="006C169B"/>
    <w:rsid w:val="006C2074"/>
    <w:rsid w:val="006C31A1"/>
    <w:rsid w:val="006C63D1"/>
    <w:rsid w:val="006C7359"/>
    <w:rsid w:val="006C7BFA"/>
    <w:rsid w:val="006D23D1"/>
    <w:rsid w:val="006D427A"/>
    <w:rsid w:val="006D428A"/>
    <w:rsid w:val="006D5255"/>
    <w:rsid w:val="006D5A61"/>
    <w:rsid w:val="006D7A8C"/>
    <w:rsid w:val="006E0A42"/>
    <w:rsid w:val="006E2225"/>
    <w:rsid w:val="006E4F29"/>
    <w:rsid w:val="006E55D9"/>
    <w:rsid w:val="006E6C4E"/>
    <w:rsid w:val="006E72CF"/>
    <w:rsid w:val="006F05AA"/>
    <w:rsid w:val="006F2465"/>
    <w:rsid w:val="006F292B"/>
    <w:rsid w:val="006F2D13"/>
    <w:rsid w:val="006F45D6"/>
    <w:rsid w:val="006F46DF"/>
    <w:rsid w:val="006F6632"/>
    <w:rsid w:val="006F7B16"/>
    <w:rsid w:val="00701688"/>
    <w:rsid w:val="0070421C"/>
    <w:rsid w:val="00704537"/>
    <w:rsid w:val="007047A0"/>
    <w:rsid w:val="00707AC0"/>
    <w:rsid w:val="007104D1"/>
    <w:rsid w:val="0071297D"/>
    <w:rsid w:val="00715C9D"/>
    <w:rsid w:val="00717A67"/>
    <w:rsid w:val="007216EC"/>
    <w:rsid w:val="0072183C"/>
    <w:rsid w:val="00722E39"/>
    <w:rsid w:val="00725E4A"/>
    <w:rsid w:val="00726385"/>
    <w:rsid w:val="00727C29"/>
    <w:rsid w:val="00735B1A"/>
    <w:rsid w:val="007367ED"/>
    <w:rsid w:val="0074206C"/>
    <w:rsid w:val="00742716"/>
    <w:rsid w:val="00746145"/>
    <w:rsid w:val="00746D20"/>
    <w:rsid w:val="007527A1"/>
    <w:rsid w:val="007527D8"/>
    <w:rsid w:val="007540F1"/>
    <w:rsid w:val="007559BB"/>
    <w:rsid w:val="00756A78"/>
    <w:rsid w:val="00760FB1"/>
    <w:rsid w:val="0076106D"/>
    <w:rsid w:val="00763B3F"/>
    <w:rsid w:val="0076432C"/>
    <w:rsid w:val="00765865"/>
    <w:rsid w:val="0076671D"/>
    <w:rsid w:val="00771BC7"/>
    <w:rsid w:val="00776A6B"/>
    <w:rsid w:val="007772B5"/>
    <w:rsid w:val="00777579"/>
    <w:rsid w:val="007834F7"/>
    <w:rsid w:val="00783599"/>
    <w:rsid w:val="0078446C"/>
    <w:rsid w:val="00785FE7"/>
    <w:rsid w:val="00787630"/>
    <w:rsid w:val="007908D5"/>
    <w:rsid w:val="00790E3D"/>
    <w:rsid w:val="007930BC"/>
    <w:rsid w:val="00793F9B"/>
    <w:rsid w:val="007947C0"/>
    <w:rsid w:val="00795334"/>
    <w:rsid w:val="0079535F"/>
    <w:rsid w:val="00797012"/>
    <w:rsid w:val="00797120"/>
    <w:rsid w:val="007A070F"/>
    <w:rsid w:val="007A28AB"/>
    <w:rsid w:val="007A2B0F"/>
    <w:rsid w:val="007A4604"/>
    <w:rsid w:val="007A474B"/>
    <w:rsid w:val="007A5AC6"/>
    <w:rsid w:val="007A7858"/>
    <w:rsid w:val="007A7F1A"/>
    <w:rsid w:val="007B2E10"/>
    <w:rsid w:val="007B2E12"/>
    <w:rsid w:val="007B38E2"/>
    <w:rsid w:val="007B4966"/>
    <w:rsid w:val="007B56B1"/>
    <w:rsid w:val="007B5A64"/>
    <w:rsid w:val="007B7B76"/>
    <w:rsid w:val="007B7EEC"/>
    <w:rsid w:val="007C23D5"/>
    <w:rsid w:val="007C2461"/>
    <w:rsid w:val="007C2F2B"/>
    <w:rsid w:val="007C51F5"/>
    <w:rsid w:val="007C7E9E"/>
    <w:rsid w:val="007D10EE"/>
    <w:rsid w:val="007D2272"/>
    <w:rsid w:val="007D260A"/>
    <w:rsid w:val="007D2FD0"/>
    <w:rsid w:val="007D5E77"/>
    <w:rsid w:val="007D6732"/>
    <w:rsid w:val="007E1A1D"/>
    <w:rsid w:val="007E2260"/>
    <w:rsid w:val="007E363C"/>
    <w:rsid w:val="007E3B03"/>
    <w:rsid w:val="007E3E83"/>
    <w:rsid w:val="007E7ABA"/>
    <w:rsid w:val="007F0F5E"/>
    <w:rsid w:val="007F24B6"/>
    <w:rsid w:val="007F5995"/>
    <w:rsid w:val="007F781F"/>
    <w:rsid w:val="00800155"/>
    <w:rsid w:val="00800F58"/>
    <w:rsid w:val="008021D8"/>
    <w:rsid w:val="00805D4B"/>
    <w:rsid w:val="00806016"/>
    <w:rsid w:val="008065F6"/>
    <w:rsid w:val="0081081B"/>
    <w:rsid w:val="0081433F"/>
    <w:rsid w:val="00815049"/>
    <w:rsid w:val="008154F5"/>
    <w:rsid w:val="00815E94"/>
    <w:rsid w:val="00817C57"/>
    <w:rsid w:val="00821150"/>
    <w:rsid w:val="008224B6"/>
    <w:rsid w:val="00822C28"/>
    <w:rsid w:val="00823030"/>
    <w:rsid w:val="00824031"/>
    <w:rsid w:val="00825652"/>
    <w:rsid w:val="00825EFF"/>
    <w:rsid w:val="00826E5E"/>
    <w:rsid w:val="00834ADF"/>
    <w:rsid w:val="008359A7"/>
    <w:rsid w:val="00836465"/>
    <w:rsid w:val="00837130"/>
    <w:rsid w:val="008406F5"/>
    <w:rsid w:val="0084136B"/>
    <w:rsid w:val="00845055"/>
    <w:rsid w:val="008462E3"/>
    <w:rsid w:val="00847FE0"/>
    <w:rsid w:val="00852E8F"/>
    <w:rsid w:val="00853800"/>
    <w:rsid w:val="008603C7"/>
    <w:rsid w:val="008625F7"/>
    <w:rsid w:val="00862ED4"/>
    <w:rsid w:val="00864C46"/>
    <w:rsid w:val="00865E37"/>
    <w:rsid w:val="00866F64"/>
    <w:rsid w:val="008677BE"/>
    <w:rsid w:val="00867EE1"/>
    <w:rsid w:val="0087302A"/>
    <w:rsid w:val="008737CF"/>
    <w:rsid w:val="008743A1"/>
    <w:rsid w:val="008834AE"/>
    <w:rsid w:val="00886207"/>
    <w:rsid w:val="0088794A"/>
    <w:rsid w:val="00887A6D"/>
    <w:rsid w:val="008906B0"/>
    <w:rsid w:val="008917E0"/>
    <w:rsid w:val="00892B1D"/>
    <w:rsid w:val="0089360F"/>
    <w:rsid w:val="00893A2E"/>
    <w:rsid w:val="008A0E3D"/>
    <w:rsid w:val="008A235F"/>
    <w:rsid w:val="008A5548"/>
    <w:rsid w:val="008A55DB"/>
    <w:rsid w:val="008A635A"/>
    <w:rsid w:val="008A7D87"/>
    <w:rsid w:val="008B00C7"/>
    <w:rsid w:val="008B20D5"/>
    <w:rsid w:val="008B31AA"/>
    <w:rsid w:val="008B4029"/>
    <w:rsid w:val="008B539F"/>
    <w:rsid w:val="008B6DBD"/>
    <w:rsid w:val="008B7004"/>
    <w:rsid w:val="008B719B"/>
    <w:rsid w:val="008B7C8E"/>
    <w:rsid w:val="008C03F5"/>
    <w:rsid w:val="008C1CDC"/>
    <w:rsid w:val="008C393C"/>
    <w:rsid w:val="008C690A"/>
    <w:rsid w:val="008C6C63"/>
    <w:rsid w:val="008C78EB"/>
    <w:rsid w:val="008D0CCA"/>
    <w:rsid w:val="008D2D5E"/>
    <w:rsid w:val="008D2EE6"/>
    <w:rsid w:val="008D3B32"/>
    <w:rsid w:val="008D623F"/>
    <w:rsid w:val="008D6DAB"/>
    <w:rsid w:val="008E0D78"/>
    <w:rsid w:val="008E3D06"/>
    <w:rsid w:val="008E3EA7"/>
    <w:rsid w:val="008E52BD"/>
    <w:rsid w:val="008E5CC6"/>
    <w:rsid w:val="008F11A0"/>
    <w:rsid w:val="008F221B"/>
    <w:rsid w:val="008F34ED"/>
    <w:rsid w:val="008F48B3"/>
    <w:rsid w:val="008F4C7D"/>
    <w:rsid w:val="008F5731"/>
    <w:rsid w:val="008F6217"/>
    <w:rsid w:val="008F66F5"/>
    <w:rsid w:val="00900C28"/>
    <w:rsid w:val="0090104F"/>
    <w:rsid w:val="009010F8"/>
    <w:rsid w:val="009019C8"/>
    <w:rsid w:val="00901F80"/>
    <w:rsid w:val="009026CF"/>
    <w:rsid w:val="00903AB8"/>
    <w:rsid w:val="00904B23"/>
    <w:rsid w:val="00907471"/>
    <w:rsid w:val="00910C5B"/>
    <w:rsid w:val="00913B1D"/>
    <w:rsid w:val="009145CD"/>
    <w:rsid w:val="009157AD"/>
    <w:rsid w:val="009160FE"/>
    <w:rsid w:val="00920D96"/>
    <w:rsid w:val="00923414"/>
    <w:rsid w:val="00923F50"/>
    <w:rsid w:val="00927291"/>
    <w:rsid w:val="00931570"/>
    <w:rsid w:val="00937366"/>
    <w:rsid w:val="009408BC"/>
    <w:rsid w:val="00940DB8"/>
    <w:rsid w:val="00943AA4"/>
    <w:rsid w:val="00944311"/>
    <w:rsid w:val="009502C0"/>
    <w:rsid w:val="0095136B"/>
    <w:rsid w:val="00952BBA"/>
    <w:rsid w:val="00952E38"/>
    <w:rsid w:val="009538D5"/>
    <w:rsid w:val="00953CD8"/>
    <w:rsid w:val="00954A42"/>
    <w:rsid w:val="00955764"/>
    <w:rsid w:val="00956541"/>
    <w:rsid w:val="009640DB"/>
    <w:rsid w:val="00965079"/>
    <w:rsid w:val="00965133"/>
    <w:rsid w:val="009652A4"/>
    <w:rsid w:val="00966ED6"/>
    <w:rsid w:val="00967DFE"/>
    <w:rsid w:val="00970301"/>
    <w:rsid w:val="009710A4"/>
    <w:rsid w:val="009748DD"/>
    <w:rsid w:val="00976B64"/>
    <w:rsid w:val="009775A9"/>
    <w:rsid w:val="00980EF8"/>
    <w:rsid w:val="009824EF"/>
    <w:rsid w:val="00983871"/>
    <w:rsid w:val="00983C11"/>
    <w:rsid w:val="00984845"/>
    <w:rsid w:val="00985E32"/>
    <w:rsid w:val="00986D88"/>
    <w:rsid w:val="00990671"/>
    <w:rsid w:val="00996599"/>
    <w:rsid w:val="009A0D19"/>
    <w:rsid w:val="009A1A44"/>
    <w:rsid w:val="009A43FE"/>
    <w:rsid w:val="009A5349"/>
    <w:rsid w:val="009A7038"/>
    <w:rsid w:val="009A77DC"/>
    <w:rsid w:val="009B04E2"/>
    <w:rsid w:val="009B177F"/>
    <w:rsid w:val="009B17DE"/>
    <w:rsid w:val="009B2E81"/>
    <w:rsid w:val="009B6D4A"/>
    <w:rsid w:val="009C0E96"/>
    <w:rsid w:val="009C16AE"/>
    <w:rsid w:val="009C22CB"/>
    <w:rsid w:val="009C3361"/>
    <w:rsid w:val="009C4010"/>
    <w:rsid w:val="009C46E4"/>
    <w:rsid w:val="009C4AC5"/>
    <w:rsid w:val="009C5577"/>
    <w:rsid w:val="009C6170"/>
    <w:rsid w:val="009C6B0E"/>
    <w:rsid w:val="009D0170"/>
    <w:rsid w:val="009D2049"/>
    <w:rsid w:val="009D6FA9"/>
    <w:rsid w:val="009D7642"/>
    <w:rsid w:val="009D7B88"/>
    <w:rsid w:val="009E007E"/>
    <w:rsid w:val="009E2549"/>
    <w:rsid w:val="009E4741"/>
    <w:rsid w:val="009E6F2C"/>
    <w:rsid w:val="009E6FDC"/>
    <w:rsid w:val="009E7616"/>
    <w:rsid w:val="009F1CD8"/>
    <w:rsid w:val="009F2E71"/>
    <w:rsid w:val="009F2ECF"/>
    <w:rsid w:val="009F2F11"/>
    <w:rsid w:val="009F4452"/>
    <w:rsid w:val="009F782D"/>
    <w:rsid w:val="009F7858"/>
    <w:rsid w:val="00A0022A"/>
    <w:rsid w:val="00A01943"/>
    <w:rsid w:val="00A01F6D"/>
    <w:rsid w:val="00A02456"/>
    <w:rsid w:val="00A0283E"/>
    <w:rsid w:val="00A02DEC"/>
    <w:rsid w:val="00A05211"/>
    <w:rsid w:val="00A05371"/>
    <w:rsid w:val="00A05384"/>
    <w:rsid w:val="00A06F2B"/>
    <w:rsid w:val="00A1015D"/>
    <w:rsid w:val="00A1195B"/>
    <w:rsid w:val="00A133A9"/>
    <w:rsid w:val="00A13ECE"/>
    <w:rsid w:val="00A144DD"/>
    <w:rsid w:val="00A15432"/>
    <w:rsid w:val="00A161C6"/>
    <w:rsid w:val="00A16E75"/>
    <w:rsid w:val="00A1736A"/>
    <w:rsid w:val="00A20A49"/>
    <w:rsid w:val="00A20E8B"/>
    <w:rsid w:val="00A21B0D"/>
    <w:rsid w:val="00A2290E"/>
    <w:rsid w:val="00A254F2"/>
    <w:rsid w:val="00A25CFD"/>
    <w:rsid w:val="00A25F47"/>
    <w:rsid w:val="00A26500"/>
    <w:rsid w:val="00A27918"/>
    <w:rsid w:val="00A27B85"/>
    <w:rsid w:val="00A27FDA"/>
    <w:rsid w:val="00A31516"/>
    <w:rsid w:val="00A33300"/>
    <w:rsid w:val="00A33F06"/>
    <w:rsid w:val="00A348CE"/>
    <w:rsid w:val="00A34D3C"/>
    <w:rsid w:val="00A35CA8"/>
    <w:rsid w:val="00A43B3B"/>
    <w:rsid w:val="00A44BBC"/>
    <w:rsid w:val="00A44F50"/>
    <w:rsid w:val="00A451B4"/>
    <w:rsid w:val="00A45439"/>
    <w:rsid w:val="00A505B6"/>
    <w:rsid w:val="00A51B9E"/>
    <w:rsid w:val="00A52100"/>
    <w:rsid w:val="00A52A7D"/>
    <w:rsid w:val="00A52C7E"/>
    <w:rsid w:val="00A57834"/>
    <w:rsid w:val="00A633F0"/>
    <w:rsid w:val="00A6499A"/>
    <w:rsid w:val="00A66271"/>
    <w:rsid w:val="00A67C47"/>
    <w:rsid w:val="00A71123"/>
    <w:rsid w:val="00A71C3B"/>
    <w:rsid w:val="00A73556"/>
    <w:rsid w:val="00A7395F"/>
    <w:rsid w:val="00A75BD9"/>
    <w:rsid w:val="00A75D8D"/>
    <w:rsid w:val="00A7797B"/>
    <w:rsid w:val="00A80BF3"/>
    <w:rsid w:val="00A81031"/>
    <w:rsid w:val="00A8122F"/>
    <w:rsid w:val="00A813A9"/>
    <w:rsid w:val="00A824D5"/>
    <w:rsid w:val="00A82B1A"/>
    <w:rsid w:val="00A82DFB"/>
    <w:rsid w:val="00A844AE"/>
    <w:rsid w:val="00A864EB"/>
    <w:rsid w:val="00A907D7"/>
    <w:rsid w:val="00A9186D"/>
    <w:rsid w:val="00A92E62"/>
    <w:rsid w:val="00A93295"/>
    <w:rsid w:val="00A953CC"/>
    <w:rsid w:val="00AA26C2"/>
    <w:rsid w:val="00AA2E79"/>
    <w:rsid w:val="00AA4124"/>
    <w:rsid w:val="00AA5230"/>
    <w:rsid w:val="00AA5317"/>
    <w:rsid w:val="00AA73D9"/>
    <w:rsid w:val="00AA75E8"/>
    <w:rsid w:val="00AA7EDC"/>
    <w:rsid w:val="00AB3838"/>
    <w:rsid w:val="00AB6C5F"/>
    <w:rsid w:val="00AC447C"/>
    <w:rsid w:val="00AC470F"/>
    <w:rsid w:val="00AC5548"/>
    <w:rsid w:val="00AC77B8"/>
    <w:rsid w:val="00AD2A18"/>
    <w:rsid w:val="00AD7F0F"/>
    <w:rsid w:val="00AE104B"/>
    <w:rsid w:val="00AE1C77"/>
    <w:rsid w:val="00AE3EAB"/>
    <w:rsid w:val="00AE4C56"/>
    <w:rsid w:val="00AE4CDF"/>
    <w:rsid w:val="00AE5510"/>
    <w:rsid w:val="00AE607B"/>
    <w:rsid w:val="00AE736F"/>
    <w:rsid w:val="00AF2A6B"/>
    <w:rsid w:val="00AF361D"/>
    <w:rsid w:val="00AF451F"/>
    <w:rsid w:val="00AF4C1A"/>
    <w:rsid w:val="00AF4F8A"/>
    <w:rsid w:val="00AF6BA8"/>
    <w:rsid w:val="00B05004"/>
    <w:rsid w:val="00B06FCA"/>
    <w:rsid w:val="00B1065D"/>
    <w:rsid w:val="00B115A2"/>
    <w:rsid w:val="00B116E0"/>
    <w:rsid w:val="00B13205"/>
    <w:rsid w:val="00B1735F"/>
    <w:rsid w:val="00B17823"/>
    <w:rsid w:val="00B1790C"/>
    <w:rsid w:val="00B17DEE"/>
    <w:rsid w:val="00B2176B"/>
    <w:rsid w:val="00B21850"/>
    <w:rsid w:val="00B2550B"/>
    <w:rsid w:val="00B2644F"/>
    <w:rsid w:val="00B27BBD"/>
    <w:rsid w:val="00B31167"/>
    <w:rsid w:val="00B31BF3"/>
    <w:rsid w:val="00B32A69"/>
    <w:rsid w:val="00B405DB"/>
    <w:rsid w:val="00B428FA"/>
    <w:rsid w:val="00B429F2"/>
    <w:rsid w:val="00B4452B"/>
    <w:rsid w:val="00B44597"/>
    <w:rsid w:val="00B4584A"/>
    <w:rsid w:val="00B47738"/>
    <w:rsid w:val="00B47853"/>
    <w:rsid w:val="00B519C6"/>
    <w:rsid w:val="00B52AE3"/>
    <w:rsid w:val="00B5651F"/>
    <w:rsid w:val="00B566B8"/>
    <w:rsid w:val="00B57A17"/>
    <w:rsid w:val="00B6048B"/>
    <w:rsid w:val="00B651F1"/>
    <w:rsid w:val="00B65E57"/>
    <w:rsid w:val="00B6700E"/>
    <w:rsid w:val="00B7083A"/>
    <w:rsid w:val="00B70E79"/>
    <w:rsid w:val="00B7131C"/>
    <w:rsid w:val="00B727DB"/>
    <w:rsid w:val="00B73958"/>
    <w:rsid w:val="00B74B46"/>
    <w:rsid w:val="00B77178"/>
    <w:rsid w:val="00B772E8"/>
    <w:rsid w:val="00B77C83"/>
    <w:rsid w:val="00B80084"/>
    <w:rsid w:val="00B811AA"/>
    <w:rsid w:val="00B817B9"/>
    <w:rsid w:val="00B8203E"/>
    <w:rsid w:val="00B83508"/>
    <w:rsid w:val="00B838DA"/>
    <w:rsid w:val="00B8440C"/>
    <w:rsid w:val="00B85BC5"/>
    <w:rsid w:val="00B87EC4"/>
    <w:rsid w:val="00B92C18"/>
    <w:rsid w:val="00B9392B"/>
    <w:rsid w:val="00B94618"/>
    <w:rsid w:val="00BA0A8D"/>
    <w:rsid w:val="00BA21FE"/>
    <w:rsid w:val="00BA26F2"/>
    <w:rsid w:val="00BA3F82"/>
    <w:rsid w:val="00BA6FD2"/>
    <w:rsid w:val="00BB0CD1"/>
    <w:rsid w:val="00BB1B1C"/>
    <w:rsid w:val="00BB2004"/>
    <w:rsid w:val="00BB241C"/>
    <w:rsid w:val="00BB30C1"/>
    <w:rsid w:val="00BC11C9"/>
    <w:rsid w:val="00BC12B5"/>
    <w:rsid w:val="00BC2952"/>
    <w:rsid w:val="00BC3BCC"/>
    <w:rsid w:val="00BC4291"/>
    <w:rsid w:val="00BC5229"/>
    <w:rsid w:val="00BC5BDF"/>
    <w:rsid w:val="00BD0C6C"/>
    <w:rsid w:val="00BD4FD1"/>
    <w:rsid w:val="00BD50A5"/>
    <w:rsid w:val="00BE33C1"/>
    <w:rsid w:val="00BE4361"/>
    <w:rsid w:val="00BE4874"/>
    <w:rsid w:val="00BE7BEC"/>
    <w:rsid w:val="00BE7E03"/>
    <w:rsid w:val="00BF2D83"/>
    <w:rsid w:val="00BF6C9D"/>
    <w:rsid w:val="00BF7626"/>
    <w:rsid w:val="00BF768D"/>
    <w:rsid w:val="00BF7D5C"/>
    <w:rsid w:val="00C005AA"/>
    <w:rsid w:val="00C012A2"/>
    <w:rsid w:val="00C03E81"/>
    <w:rsid w:val="00C05522"/>
    <w:rsid w:val="00C071AD"/>
    <w:rsid w:val="00C10575"/>
    <w:rsid w:val="00C11924"/>
    <w:rsid w:val="00C11A3C"/>
    <w:rsid w:val="00C139EC"/>
    <w:rsid w:val="00C139FA"/>
    <w:rsid w:val="00C1406E"/>
    <w:rsid w:val="00C1534E"/>
    <w:rsid w:val="00C1584E"/>
    <w:rsid w:val="00C17BC6"/>
    <w:rsid w:val="00C22019"/>
    <w:rsid w:val="00C22AD6"/>
    <w:rsid w:val="00C2317F"/>
    <w:rsid w:val="00C240BF"/>
    <w:rsid w:val="00C26CD7"/>
    <w:rsid w:val="00C27112"/>
    <w:rsid w:val="00C32373"/>
    <w:rsid w:val="00C32E37"/>
    <w:rsid w:val="00C32FD9"/>
    <w:rsid w:val="00C33ADC"/>
    <w:rsid w:val="00C33E60"/>
    <w:rsid w:val="00C35140"/>
    <w:rsid w:val="00C3542E"/>
    <w:rsid w:val="00C4146C"/>
    <w:rsid w:val="00C45B03"/>
    <w:rsid w:val="00C465B8"/>
    <w:rsid w:val="00C50B6F"/>
    <w:rsid w:val="00C51641"/>
    <w:rsid w:val="00C51E60"/>
    <w:rsid w:val="00C5216C"/>
    <w:rsid w:val="00C524AF"/>
    <w:rsid w:val="00C52872"/>
    <w:rsid w:val="00C530A3"/>
    <w:rsid w:val="00C605AD"/>
    <w:rsid w:val="00C606AC"/>
    <w:rsid w:val="00C61693"/>
    <w:rsid w:val="00C6464B"/>
    <w:rsid w:val="00C64957"/>
    <w:rsid w:val="00C65377"/>
    <w:rsid w:val="00C73703"/>
    <w:rsid w:val="00C74D5D"/>
    <w:rsid w:val="00C819FE"/>
    <w:rsid w:val="00C85B8D"/>
    <w:rsid w:val="00C87FB7"/>
    <w:rsid w:val="00C93E55"/>
    <w:rsid w:val="00C94551"/>
    <w:rsid w:val="00C96490"/>
    <w:rsid w:val="00C965AE"/>
    <w:rsid w:val="00CA042D"/>
    <w:rsid w:val="00CA0941"/>
    <w:rsid w:val="00CA11CD"/>
    <w:rsid w:val="00CA3C75"/>
    <w:rsid w:val="00CA3F15"/>
    <w:rsid w:val="00CA48B6"/>
    <w:rsid w:val="00CA4AA7"/>
    <w:rsid w:val="00CA66D5"/>
    <w:rsid w:val="00CA69AE"/>
    <w:rsid w:val="00CA74CB"/>
    <w:rsid w:val="00CB10B8"/>
    <w:rsid w:val="00CB2389"/>
    <w:rsid w:val="00CB2D2C"/>
    <w:rsid w:val="00CB4394"/>
    <w:rsid w:val="00CB5F73"/>
    <w:rsid w:val="00CB7FD9"/>
    <w:rsid w:val="00CC3B0C"/>
    <w:rsid w:val="00CC7A3B"/>
    <w:rsid w:val="00CD3444"/>
    <w:rsid w:val="00CD4CC0"/>
    <w:rsid w:val="00CD6A6A"/>
    <w:rsid w:val="00CD7F3C"/>
    <w:rsid w:val="00CE0818"/>
    <w:rsid w:val="00CE0906"/>
    <w:rsid w:val="00CE2D2C"/>
    <w:rsid w:val="00CE3681"/>
    <w:rsid w:val="00CE482A"/>
    <w:rsid w:val="00CE566B"/>
    <w:rsid w:val="00CF06F9"/>
    <w:rsid w:val="00CF09CB"/>
    <w:rsid w:val="00CF2193"/>
    <w:rsid w:val="00CF222F"/>
    <w:rsid w:val="00CF27F2"/>
    <w:rsid w:val="00CF35C3"/>
    <w:rsid w:val="00CF4850"/>
    <w:rsid w:val="00CF69E3"/>
    <w:rsid w:val="00CF6BB6"/>
    <w:rsid w:val="00CF711D"/>
    <w:rsid w:val="00D015F9"/>
    <w:rsid w:val="00D02DF9"/>
    <w:rsid w:val="00D043CF"/>
    <w:rsid w:val="00D06B3A"/>
    <w:rsid w:val="00D079A8"/>
    <w:rsid w:val="00D10B11"/>
    <w:rsid w:val="00D1214A"/>
    <w:rsid w:val="00D144FF"/>
    <w:rsid w:val="00D14F68"/>
    <w:rsid w:val="00D204FA"/>
    <w:rsid w:val="00D21D45"/>
    <w:rsid w:val="00D229DE"/>
    <w:rsid w:val="00D23673"/>
    <w:rsid w:val="00D24206"/>
    <w:rsid w:val="00D252AF"/>
    <w:rsid w:val="00D25DF8"/>
    <w:rsid w:val="00D262C8"/>
    <w:rsid w:val="00D306E8"/>
    <w:rsid w:val="00D30C8A"/>
    <w:rsid w:val="00D335A7"/>
    <w:rsid w:val="00D358CC"/>
    <w:rsid w:val="00D35C1C"/>
    <w:rsid w:val="00D35EA0"/>
    <w:rsid w:val="00D37282"/>
    <w:rsid w:val="00D37A85"/>
    <w:rsid w:val="00D40DF8"/>
    <w:rsid w:val="00D43BF1"/>
    <w:rsid w:val="00D5085E"/>
    <w:rsid w:val="00D511C7"/>
    <w:rsid w:val="00D51DA0"/>
    <w:rsid w:val="00D52551"/>
    <w:rsid w:val="00D54A37"/>
    <w:rsid w:val="00D576E4"/>
    <w:rsid w:val="00D60E80"/>
    <w:rsid w:val="00D61A1C"/>
    <w:rsid w:val="00D63BA5"/>
    <w:rsid w:val="00D65C35"/>
    <w:rsid w:val="00D6799C"/>
    <w:rsid w:val="00D71EFE"/>
    <w:rsid w:val="00D72C7A"/>
    <w:rsid w:val="00D7366D"/>
    <w:rsid w:val="00D736D9"/>
    <w:rsid w:val="00D739A9"/>
    <w:rsid w:val="00D748BE"/>
    <w:rsid w:val="00D749D0"/>
    <w:rsid w:val="00D75736"/>
    <w:rsid w:val="00D767B1"/>
    <w:rsid w:val="00D803DB"/>
    <w:rsid w:val="00D83309"/>
    <w:rsid w:val="00D84A27"/>
    <w:rsid w:val="00D84BC5"/>
    <w:rsid w:val="00D84DFF"/>
    <w:rsid w:val="00D855CC"/>
    <w:rsid w:val="00D86629"/>
    <w:rsid w:val="00D8734E"/>
    <w:rsid w:val="00D87D9A"/>
    <w:rsid w:val="00D91A7B"/>
    <w:rsid w:val="00D92C95"/>
    <w:rsid w:val="00D935AA"/>
    <w:rsid w:val="00D9615B"/>
    <w:rsid w:val="00DA05B5"/>
    <w:rsid w:val="00DA22EB"/>
    <w:rsid w:val="00DA2F78"/>
    <w:rsid w:val="00DA3FBD"/>
    <w:rsid w:val="00DA6284"/>
    <w:rsid w:val="00DA7AA2"/>
    <w:rsid w:val="00DB08BB"/>
    <w:rsid w:val="00DB2F61"/>
    <w:rsid w:val="00DC5F3D"/>
    <w:rsid w:val="00DC6285"/>
    <w:rsid w:val="00DC687E"/>
    <w:rsid w:val="00DD2DFA"/>
    <w:rsid w:val="00DD4A5C"/>
    <w:rsid w:val="00DD52B7"/>
    <w:rsid w:val="00DD77B2"/>
    <w:rsid w:val="00DD79DB"/>
    <w:rsid w:val="00DE0371"/>
    <w:rsid w:val="00DE16C7"/>
    <w:rsid w:val="00DE2BAF"/>
    <w:rsid w:val="00DE5792"/>
    <w:rsid w:val="00DE68EE"/>
    <w:rsid w:val="00DE785C"/>
    <w:rsid w:val="00DF11F5"/>
    <w:rsid w:val="00DF120D"/>
    <w:rsid w:val="00DF35B9"/>
    <w:rsid w:val="00DF4547"/>
    <w:rsid w:val="00DF462B"/>
    <w:rsid w:val="00DF7520"/>
    <w:rsid w:val="00E0065C"/>
    <w:rsid w:val="00E013BE"/>
    <w:rsid w:val="00E01D5D"/>
    <w:rsid w:val="00E020AE"/>
    <w:rsid w:val="00E02938"/>
    <w:rsid w:val="00E03332"/>
    <w:rsid w:val="00E041EE"/>
    <w:rsid w:val="00E04CE5"/>
    <w:rsid w:val="00E07F1D"/>
    <w:rsid w:val="00E112CC"/>
    <w:rsid w:val="00E14ECD"/>
    <w:rsid w:val="00E15B88"/>
    <w:rsid w:val="00E15BC9"/>
    <w:rsid w:val="00E173BE"/>
    <w:rsid w:val="00E179BD"/>
    <w:rsid w:val="00E22E31"/>
    <w:rsid w:val="00E234CF"/>
    <w:rsid w:val="00E24D7D"/>
    <w:rsid w:val="00E279EE"/>
    <w:rsid w:val="00E3046E"/>
    <w:rsid w:val="00E31072"/>
    <w:rsid w:val="00E328AB"/>
    <w:rsid w:val="00E42165"/>
    <w:rsid w:val="00E4369C"/>
    <w:rsid w:val="00E437D0"/>
    <w:rsid w:val="00E4424E"/>
    <w:rsid w:val="00E45DD8"/>
    <w:rsid w:val="00E46946"/>
    <w:rsid w:val="00E501AB"/>
    <w:rsid w:val="00E509B3"/>
    <w:rsid w:val="00E54569"/>
    <w:rsid w:val="00E55343"/>
    <w:rsid w:val="00E5777F"/>
    <w:rsid w:val="00E608FB"/>
    <w:rsid w:val="00E60CE1"/>
    <w:rsid w:val="00E62E85"/>
    <w:rsid w:val="00E71C88"/>
    <w:rsid w:val="00E72471"/>
    <w:rsid w:val="00E732EF"/>
    <w:rsid w:val="00E73E70"/>
    <w:rsid w:val="00E75EE5"/>
    <w:rsid w:val="00E77BA8"/>
    <w:rsid w:val="00E77D9A"/>
    <w:rsid w:val="00E807E4"/>
    <w:rsid w:val="00E808BF"/>
    <w:rsid w:val="00E808E1"/>
    <w:rsid w:val="00E82DBD"/>
    <w:rsid w:val="00E8425E"/>
    <w:rsid w:val="00E85103"/>
    <w:rsid w:val="00E866E5"/>
    <w:rsid w:val="00EA1830"/>
    <w:rsid w:val="00EA2441"/>
    <w:rsid w:val="00EA30D2"/>
    <w:rsid w:val="00EA33ED"/>
    <w:rsid w:val="00EA4700"/>
    <w:rsid w:val="00EA704C"/>
    <w:rsid w:val="00EA710E"/>
    <w:rsid w:val="00EB052C"/>
    <w:rsid w:val="00EB19A5"/>
    <w:rsid w:val="00EB1E9B"/>
    <w:rsid w:val="00EB6AEB"/>
    <w:rsid w:val="00EB7ECA"/>
    <w:rsid w:val="00EB7F3E"/>
    <w:rsid w:val="00EC0652"/>
    <w:rsid w:val="00EC12E5"/>
    <w:rsid w:val="00EC2E40"/>
    <w:rsid w:val="00EC47E4"/>
    <w:rsid w:val="00EC5A00"/>
    <w:rsid w:val="00EC6D51"/>
    <w:rsid w:val="00EC736B"/>
    <w:rsid w:val="00EC7A87"/>
    <w:rsid w:val="00ED0077"/>
    <w:rsid w:val="00ED2244"/>
    <w:rsid w:val="00ED2979"/>
    <w:rsid w:val="00ED3C63"/>
    <w:rsid w:val="00ED4C64"/>
    <w:rsid w:val="00ED5BB2"/>
    <w:rsid w:val="00ED6417"/>
    <w:rsid w:val="00ED7043"/>
    <w:rsid w:val="00ED7886"/>
    <w:rsid w:val="00EE317B"/>
    <w:rsid w:val="00EE5531"/>
    <w:rsid w:val="00EE6C75"/>
    <w:rsid w:val="00EF03FB"/>
    <w:rsid w:val="00EF0870"/>
    <w:rsid w:val="00EF1301"/>
    <w:rsid w:val="00EF1A1D"/>
    <w:rsid w:val="00EF292D"/>
    <w:rsid w:val="00EF3188"/>
    <w:rsid w:val="00EF4174"/>
    <w:rsid w:val="00EF7AE8"/>
    <w:rsid w:val="00F01410"/>
    <w:rsid w:val="00F0238B"/>
    <w:rsid w:val="00F02F1E"/>
    <w:rsid w:val="00F06CE8"/>
    <w:rsid w:val="00F105F9"/>
    <w:rsid w:val="00F1174B"/>
    <w:rsid w:val="00F13051"/>
    <w:rsid w:val="00F15799"/>
    <w:rsid w:val="00F16BC8"/>
    <w:rsid w:val="00F210C7"/>
    <w:rsid w:val="00F21B7E"/>
    <w:rsid w:val="00F21E4F"/>
    <w:rsid w:val="00F2383E"/>
    <w:rsid w:val="00F2425D"/>
    <w:rsid w:val="00F262EC"/>
    <w:rsid w:val="00F26D5E"/>
    <w:rsid w:val="00F276EB"/>
    <w:rsid w:val="00F30D56"/>
    <w:rsid w:val="00F31468"/>
    <w:rsid w:val="00F31826"/>
    <w:rsid w:val="00F3421A"/>
    <w:rsid w:val="00F3421B"/>
    <w:rsid w:val="00F37945"/>
    <w:rsid w:val="00F42875"/>
    <w:rsid w:val="00F4413A"/>
    <w:rsid w:val="00F44318"/>
    <w:rsid w:val="00F45396"/>
    <w:rsid w:val="00F454EE"/>
    <w:rsid w:val="00F47C05"/>
    <w:rsid w:val="00F47CDD"/>
    <w:rsid w:val="00F50462"/>
    <w:rsid w:val="00F5198A"/>
    <w:rsid w:val="00F51A2E"/>
    <w:rsid w:val="00F53991"/>
    <w:rsid w:val="00F54596"/>
    <w:rsid w:val="00F549AD"/>
    <w:rsid w:val="00F555BE"/>
    <w:rsid w:val="00F55952"/>
    <w:rsid w:val="00F567FB"/>
    <w:rsid w:val="00F5723F"/>
    <w:rsid w:val="00F5729E"/>
    <w:rsid w:val="00F615B2"/>
    <w:rsid w:val="00F6179F"/>
    <w:rsid w:val="00F62FDE"/>
    <w:rsid w:val="00F63E7D"/>
    <w:rsid w:val="00F65789"/>
    <w:rsid w:val="00F66334"/>
    <w:rsid w:val="00F666C7"/>
    <w:rsid w:val="00F672EE"/>
    <w:rsid w:val="00F70DC6"/>
    <w:rsid w:val="00F8073F"/>
    <w:rsid w:val="00F8263F"/>
    <w:rsid w:val="00F82F7D"/>
    <w:rsid w:val="00F83C4C"/>
    <w:rsid w:val="00F841A1"/>
    <w:rsid w:val="00F909C0"/>
    <w:rsid w:val="00F94027"/>
    <w:rsid w:val="00F9404E"/>
    <w:rsid w:val="00F9562A"/>
    <w:rsid w:val="00FA2333"/>
    <w:rsid w:val="00FA6DC4"/>
    <w:rsid w:val="00FA79B7"/>
    <w:rsid w:val="00FA7F03"/>
    <w:rsid w:val="00FB1037"/>
    <w:rsid w:val="00FB2088"/>
    <w:rsid w:val="00FC1288"/>
    <w:rsid w:val="00FC2951"/>
    <w:rsid w:val="00FC359C"/>
    <w:rsid w:val="00FC3B15"/>
    <w:rsid w:val="00FC72CE"/>
    <w:rsid w:val="00FD03EF"/>
    <w:rsid w:val="00FD1B44"/>
    <w:rsid w:val="00FD2372"/>
    <w:rsid w:val="00FD2930"/>
    <w:rsid w:val="00FD2DE4"/>
    <w:rsid w:val="00FD5F6F"/>
    <w:rsid w:val="00FD6B49"/>
    <w:rsid w:val="00FD6EF0"/>
    <w:rsid w:val="00FD7823"/>
    <w:rsid w:val="00FD7CD9"/>
    <w:rsid w:val="00FE060C"/>
    <w:rsid w:val="00FE07F5"/>
    <w:rsid w:val="00FE4709"/>
    <w:rsid w:val="00FE4A69"/>
    <w:rsid w:val="00FE4D8A"/>
    <w:rsid w:val="00FF0A29"/>
    <w:rsid w:val="00FF0A5B"/>
    <w:rsid w:val="00FF178F"/>
    <w:rsid w:val="00FF229B"/>
    <w:rsid w:val="00FF23F3"/>
    <w:rsid w:val="00FF5491"/>
    <w:rsid w:val="00FF5F9A"/>
    <w:rsid w:val="00FF63F0"/>
    <w:rsid w:val="00FF6E94"/>
    <w:rsid w:val="00FF7644"/>
    <w:rsid w:val="00FF7DD7"/>
    <w:rsid w:val="24761E0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63CCFF"/>
  <w15:chartTrackingRefBased/>
  <w15:docId w15:val="{83418319-5059-499E-AB4F-11E48977C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D2272"/>
    <w:pPr>
      <w:spacing w:after="0" w:line="240" w:lineRule="auto"/>
    </w:pPr>
    <w:rPr>
      <w:rFonts w:ascii="Times New Roman" w:hAnsi="Times New Roman" w:eastAsia="Times New Roman" w:cs="Times New Roman"/>
      <w:sz w:val="24"/>
      <w:szCs w:val="24"/>
      <w:lang w:eastAsia="es-MX"/>
    </w:rPr>
  </w:style>
  <w:style w:type="paragraph" w:styleId="Ttulo2">
    <w:name w:val="heading 2"/>
    <w:basedOn w:val="Normal"/>
    <w:next w:val="Normal"/>
    <w:link w:val="Ttulo2Car"/>
    <w:uiPriority w:val="9"/>
    <w:semiHidden/>
    <w:unhideWhenUsed/>
    <w:qFormat/>
    <w:rsid w:val="00240515"/>
    <w:pPr>
      <w:keepNext/>
      <w:keepLines/>
      <w:spacing w:before="40"/>
      <w:outlineLvl w:val="1"/>
    </w:pPr>
    <w:rPr>
      <w:rFonts w:asciiTheme="majorHAnsi" w:hAnsiTheme="majorHAnsi" w:eastAsiaTheme="majorEastAsia" w:cstheme="majorBidi"/>
      <w:color w:val="2F5496" w:themeColor="accent1" w:themeShade="BF"/>
      <w:sz w:val="26"/>
      <w:szCs w:val="2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basedOn w:val="Normal"/>
    <w:link w:val="EncabezadoCar"/>
    <w:uiPriority w:val="99"/>
    <w:unhideWhenUsed/>
    <w:rsid w:val="007E363C"/>
    <w:pPr>
      <w:tabs>
        <w:tab w:val="center" w:pos="4419"/>
        <w:tab w:val="right" w:pos="8838"/>
      </w:tabs>
    </w:pPr>
  </w:style>
  <w:style w:type="character" w:styleId="EncabezadoCar" w:customStyle="1">
    <w:name w:val="Encabezado Car"/>
    <w:basedOn w:val="Fuentedeprrafopredeter"/>
    <w:link w:val="Encabezado"/>
    <w:uiPriority w:val="99"/>
    <w:rsid w:val="007E363C"/>
    <w:rPr>
      <w:rFonts w:ascii="Times New Roman" w:hAnsi="Times New Roman" w:eastAsia="Times New Roman" w:cs="Times New Roman"/>
      <w:sz w:val="24"/>
      <w:szCs w:val="24"/>
      <w:lang w:eastAsia="es-MX"/>
    </w:rPr>
  </w:style>
  <w:style w:type="paragraph" w:styleId="Piedepgina">
    <w:name w:val="footer"/>
    <w:basedOn w:val="Normal"/>
    <w:link w:val="PiedepginaCar"/>
    <w:uiPriority w:val="99"/>
    <w:unhideWhenUsed/>
    <w:rsid w:val="007E363C"/>
    <w:pPr>
      <w:tabs>
        <w:tab w:val="center" w:pos="4419"/>
        <w:tab w:val="right" w:pos="8838"/>
      </w:tabs>
    </w:pPr>
  </w:style>
  <w:style w:type="character" w:styleId="PiedepginaCar" w:customStyle="1">
    <w:name w:val="Pie de página Car"/>
    <w:basedOn w:val="Fuentedeprrafopredeter"/>
    <w:link w:val="Piedepgina"/>
    <w:uiPriority w:val="99"/>
    <w:rsid w:val="007E363C"/>
    <w:rPr>
      <w:rFonts w:ascii="Times New Roman" w:hAnsi="Times New Roman" w:eastAsia="Times New Roman" w:cs="Times New Roman"/>
      <w:sz w:val="24"/>
      <w:szCs w:val="24"/>
      <w:lang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E3D06"/>
    <w:pPr>
      <w:ind w:left="720"/>
      <w:contextualSpacing/>
      <w:jc w:val="both"/>
    </w:pPr>
    <w:rPr>
      <w:rFonts w:ascii="Palatino Linotype" w:hAnsi="Palatino Linotype"/>
      <w:color w:val="000000" w:themeColor="text1"/>
      <w:sz w:val="22"/>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8E3D06"/>
    <w:rPr>
      <w:rFonts w:ascii="Palatino Linotype" w:hAnsi="Palatino Linotype" w:eastAsia="Times New Roman" w:cs="Times New Roman"/>
      <w:color w:val="000000" w:themeColor="text1"/>
      <w:szCs w:val="24"/>
      <w:lang w:eastAsia="es-MX"/>
    </w:rPr>
  </w:style>
  <w:style w:type="table" w:styleId="Tablaconcuadrcula">
    <w:name w:val="Table Grid"/>
    <w:basedOn w:val="Tablanormal"/>
    <w:uiPriority w:val="39"/>
    <w:qFormat/>
    <w:rsid w:val="007E363C"/>
    <w:pPr>
      <w:spacing w:after="0" w:line="240" w:lineRule="auto"/>
    </w:pPr>
    <w:rPr>
      <w:rFonts w:ascii="Calibri" w:hAnsi="Calibri" w:eastAsia="Calibri" w:cs="Times New Roman"/>
      <w:sz w:val="20"/>
      <w:szCs w:val="20"/>
      <w:lang w:val="es-ES" w:eastAsia="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aliases w:val="Hipervínculo1,Hipervínculo11,Hipervínculo12,Hipervínculo13,Hipervínculo14,Hipervínculo15"/>
    <w:basedOn w:val="Fuentedeprrafopredeter"/>
    <w:uiPriority w:val="99"/>
    <w:unhideWhenUsed/>
    <w:rsid w:val="007E363C"/>
    <w:rPr>
      <w:color w:val="0563C1" w:themeColor="hyperlink"/>
      <w:u w:val="single"/>
    </w:rPr>
  </w:style>
  <w:style w:type="character" w:styleId="Mencinsinresolver1" w:customStyle="1">
    <w:name w:val="Mención sin resolver1"/>
    <w:basedOn w:val="Fuentedeprrafopredeter"/>
    <w:uiPriority w:val="99"/>
    <w:semiHidden/>
    <w:unhideWhenUsed/>
    <w:rsid w:val="0044225B"/>
    <w:rPr>
      <w:color w:val="605E5C"/>
      <w:shd w:val="clear" w:color="auto" w:fill="E1DFDD"/>
    </w:rPr>
  </w:style>
  <w:style w:type="character" w:styleId="Ttulo2Car" w:customStyle="1">
    <w:name w:val="Título 2 Car"/>
    <w:basedOn w:val="Fuentedeprrafopredeter"/>
    <w:link w:val="Ttulo2"/>
    <w:uiPriority w:val="9"/>
    <w:semiHidden/>
    <w:rsid w:val="00240515"/>
    <w:rPr>
      <w:rFonts w:asciiTheme="majorHAnsi" w:hAnsiTheme="majorHAnsi" w:eastAsiaTheme="majorEastAsia" w:cstheme="majorBidi"/>
      <w:color w:val="2F5496" w:themeColor="accent1" w:themeShade="BF"/>
      <w:sz w:val="26"/>
      <w:szCs w:val="26"/>
      <w:lang w:eastAsia="es-MX"/>
    </w:rPr>
  </w:style>
  <w:style w:type="character" w:styleId="Hipervnculovisitado">
    <w:name w:val="FollowedHyperlink"/>
    <w:basedOn w:val="Fuentedeprrafopredeter"/>
    <w:uiPriority w:val="99"/>
    <w:semiHidden/>
    <w:unhideWhenUsed/>
    <w:rsid w:val="00264B62"/>
    <w:rPr>
      <w:color w:val="954F72" w:themeColor="followedHyperlink"/>
      <w:u w:val="single"/>
    </w:rPr>
  </w:style>
  <w:style w:type="character" w:styleId="Mencinsinresolver2" w:customStyle="1">
    <w:name w:val="Mención sin resolver2"/>
    <w:basedOn w:val="Fuentedeprrafopredeter"/>
    <w:uiPriority w:val="99"/>
    <w:semiHidden/>
    <w:unhideWhenUsed/>
    <w:rsid w:val="0053033A"/>
    <w:rPr>
      <w:color w:val="605E5C"/>
      <w:shd w:val="clear" w:color="auto" w:fill="E1DFDD"/>
    </w:rPr>
  </w:style>
  <w:style w:type="character" w:styleId="markedcontent" w:customStyle="1">
    <w:name w:val="markedcontent"/>
    <w:basedOn w:val="Fuentedeprrafopredeter"/>
    <w:rsid w:val="00687920"/>
  </w:style>
  <w:style w:type="character" w:styleId="Mencinsinresolver3" w:customStyle="1">
    <w:name w:val="Mención sin resolver3"/>
    <w:basedOn w:val="Fuentedeprrafopredeter"/>
    <w:uiPriority w:val="99"/>
    <w:semiHidden/>
    <w:unhideWhenUsed/>
    <w:rsid w:val="003303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651808">
      <w:bodyDiv w:val="1"/>
      <w:marLeft w:val="0"/>
      <w:marRight w:val="0"/>
      <w:marTop w:val="0"/>
      <w:marBottom w:val="0"/>
      <w:divBdr>
        <w:top w:val="none" w:sz="0" w:space="0" w:color="auto"/>
        <w:left w:val="none" w:sz="0" w:space="0" w:color="auto"/>
        <w:bottom w:val="none" w:sz="0" w:space="0" w:color="auto"/>
        <w:right w:val="none" w:sz="0" w:space="0" w:color="auto"/>
      </w:divBdr>
    </w:div>
    <w:div w:id="214901044">
      <w:bodyDiv w:val="1"/>
      <w:marLeft w:val="0"/>
      <w:marRight w:val="0"/>
      <w:marTop w:val="0"/>
      <w:marBottom w:val="0"/>
      <w:divBdr>
        <w:top w:val="none" w:sz="0" w:space="0" w:color="auto"/>
        <w:left w:val="none" w:sz="0" w:space="0" w:color="auto"/>
        <w:bottom w:val="none" w:sz="0" w:space="0" w:color="auto"/>
        <w:right w:val="none" w:sz="0" w:space="0" w:color="auto"/>
      </w:divBdr>
    </w:div>
    <w:div w:id="533887119">
      <w:bodyDiv w:val="1"/>
      <w:marLeft w:val="0"/>
      <w:marRight w:val="0"/>
      <w:marTop w:val="0"/>
      <w:marBottom w:val="0"/>
      <w:divBdr>
        <w:top w:val="none" w:sz="0" w:space="0" w:color="auto"/>
        <w:left w:val="none" w:sz="0" w:space="0" w:color="auto"/>
        <w:bottom w:val="none" w:sz="0" w:space="0" w:color="auto"/>
        <w:right w:val="none" w:sz="0" w:space="0" w:color="auto"/>
      </w:divBdr>
    </w:div>
    <w:div w:id="550507484">
      <w:bodyDiv w:val="1"/>
      <w:marLeft w:val="0"/>
      <w:marRight w:val="0"/>
      <w:marTop w:val="0"/>
      <w:marBottom w:val="0"/>
      <w:divBdr>
        <w:top w:val="none" w:sz="0" w:space="0" w:color="auto"/>
        <w:left w:val="none" w:sz="0" w:space="0" w:color="auto"/>
        <w:bottom w:val="none" w:sz="0" w:space="0" w:color="auto"/>
        <w:right w:val="none" w:sz="0" w:space="0" w:color="auto"/>
      </w:divBdr>
    </w:div>
    <w:div w:id="735395432">
      <w:bodyDiv w:val="1"/>
      <w:marLeft w:val="0"/>
      <w:marRight w:val="0"/>
      <w:marTop w:val="0"/>
      <w:marBottom w:val="0"/>
      <w:divBdr>
        <w:top w:val="none" w:sz="0" w:space="0" w:color="auto"/>
        <w:left w:val="none" w:sz="0" w:space="0" w:color="auto"/>
        <w:bottom w:val="none" w:sz="0" w:space="0" w:color="auto"/>
        <w:right w:val="none" w:sz="0" w:space="0" w:color="auto"/>
      </w:divBdr>
    </w:div>
    <w:div w:id="757673914">
      <w:bodyDiv w:val="1"/>
      <w:marLeft w:val="0"/>
      <w:marRight w:val="0"/>
      <w:marTop w:val="0"/>
      <w:marBottom w:val="0"/>
      <w:divBdr>
        <w:top w:val="none" w:sz="0" w:space="0" w:color="auto"/>
        <w:left w:val="none" w:sz="0" w:space="0" w:color="auto"/>
        <w:bottom w:val="none" w:sz="0" w:space="0" w:color="auto"/>
        <w:right w:val="none" w:sz="0" w:space="0" w:color="auto"/>
      </w:divBdr>
    </w:div>
    <w:div w:id="769736670">
      <w:bodyDiv w:val="1"/>
      <w:marLeft w:val="0"/>
      <w:marRight w:val="0"/>
      <w:marTop w:val="0"/>
      <w:marBottom w:val="0"/>
      <w:divBdr>
        <w:top w:val="none" w:sz="0" w:space="0" w:color="auto"/>
        <w:left w:val="none" w:sz="0" w:space="0" w:color="auto"/>
        <w:bottom w:val="none" w:sz="0" w:space="0" w:color="auto"/>
        <w:right w:val="none" w:sz="0" w:space="0" w:color="auto"/>
      </w:divBdr>
    </w:div>
    <w:div w:id="858856596">
      <w:bodyDiv w:val="1"/>
      <w:marLeft w:val="0"/>
      <w:marRight w:val="0"/>
      <w:marTop w:val="0"/>
      <w:marBottom w:val="0"/>
      <w:divBdr>
        <w:top w:val="none" w:sz="0" w:space="0" w:color="auto"/>
        <w:left w:val="none" w:sz="0" w:space="0" w:color="auto"/>
        <w:bottom w:val="none" w:sz="0" w:space="0" w:color="auto"/>
        <w:right w:val="none" w:sz="0" w:space="0" w:color="auto"/>
      </w:divBdr>
    </w:div>
    <w:div w:id="865800524">
      <w:bodyDiv w:val="1"/>
      <w:marLeft w:val="0"/>
      <w:marRight w:val="0"/>
      <w:marTop w:val="0"/>
      <w:marBottom w:val="0"/>
      <w:divBdr>
        <w:top w:val="none" w:sz="0" w:space="0" w:color="auto"/>
        <w:left w:val="none" w:sz="0" w:space="0" w:color="auto"/>
        <w:bottom w:val="none" w:sz="0" w:space="0" w:color="auto"/>
        <w:right w:val="none" w:sz="0" w:space="0" w:color="auto"/>
      </w:divBdr>
    </w:div>
    <w:div w:id="937061284">
      <w:bodyDiv w:val="1"/>
      <w:marLeft w:val="0"/>
      <w:marRight w:val="0"/>
      <w:marTop w:val="0"/>
      <w:marBottom w:val="0"/>
      <w:divBdr>
        <w:top w:val="none" w:sz="0" w:space="0" w:color="auto"/>
        <w:left w:val="none" w:sz="0" w:space="0" w:color="auto"/>
        <w:bottom w:val="none" w:sz="0" w:space="0" w:color="auto"/>
        <w:right w:val="none" w:sz="0" w:space="0" w:color="auto"/>
      </w:divBdr>
    </w:div>
    <w:div w:id="971709246">
      <w:bodyDiv w:val="1"/>
      <w:marLeft w:val="0"/>
      <w:marRight w:val="0"/>
      <w:marTop w:val="0"/>
      <w:marBottom w:val="0"/>
      <w:divBdr>
        <w:top w:val="none" w:sz="0" w:space="0" w:color="auto"/>
        <w:left w:val="none" w:sz="0" w:space="0" w:color="auto"/>
        <w:bottom w:val="none" w:sz="0" w:space="0" w:color="auto"/>
        <w:right w:val="none" w:sz="0" w:space="0" w:color="auto"/>
      </w:divBdr>
    </w:div>
    <w:div w:id="999507738">
      <w:bodyDiv w:val="1"/>
      <w:marLeft w:val="0"/>
      <w:marRight w:val="0"/>
      <w:marTop w:val="0"/>
      <w:marBottom w:val="0"/>
      <w:divBdr>
        <w:top w:val="none" w:sz="0" w:space="0" w:color="auto"/>
        <w:left w:val="none" w:sz="0" w:space="0" w:color="auto"/>
        <w:bottom w:val="none" w:sz="0" w:space="0" w:color="auto"/>
        <w:right w:val="none" w:sz="0" w:space="0" w:color="auto"/>
      </w:divBdr>
    </w:div>
    <w:div w:id="1262690287">
      <w:bodyDiv w:val="1"/>
      <w:marLeft w:val="0"/>
      <w:marRight w:val="0"/>
      <w:marTop w:val="0"/>
      <w:marBottom w:val="0"/>
      <w:divBdr>
        <w:top w:val="none" w:sz="0" w:space="0" w:color="auto"/>
        <w:left w:val="none" w:sz="0" w:space="0" w:color="auto"/>
        <w:bottom w:val="none" w:sz="0" w:space="0" w:color="auto"/>
        <w:right w:val="none" w:sz="0" w:space="0" w:color="auto"/>
      </w:divBdr>
    </w:div>
    <w:div w:id="1307857856">
      <w:bodyDiv w:val="1"/>
      <w:marLeft w:val="0"/>
      <w:marRight w:val="0"/>
      <w:marTop w:val="0"/>
      <w:marBottom w:val="0"/>
      <w:divBdr>
        <w:top w:val="none" w:sz="0" w:space="0" w:color="auto"/>
        <w:left w:val="none" w:sz="0" w:space="0" w:color="auto"/>
        <w:bottom w:val="none" w:sz="0" w:space="0" w:color="auto"/>
        <w:right w:val="none" w:sz="0" w:space="0" w:color="auto"/>
      </w:divBdr>
    </w:div>
    <w:div w:id="1313560317">
      <w:bodyDiv w:val="1"/>
      <w:marLeft w:val="0"/>
      <w:marRight w:val="0"/>
      <w:marTop w:val="0"/>
      <w:marBottom w:val="0"/>
      <w:divBdr>
        <w:top w:val="none" w:sz="0" w:space="0" w:color="auto"/>
        <w:left w:val="none" w:sz="0" w:space="0" w:color="auto"/>
        <w:bottom w:val="none" w:sz="0" w:space="0" w:color="auto"/>
        <w:right w:val="none" w:sz="0" w:space="0" w:color="auto"/>
      </w:divBdr>
    </w:div>
    <w:div w:id="1332566357">
      <w:bodyDiv w:val="1"/>
      <w:marLeft w:val="0"/>
      <w:marRight w:val="0"/>
      <w:marTop w:val="0"/>
      <w:marBottom w:val="0"/>
      <w:divBdr>
        <w:top w:val="none" w:sz="0" w:space="0" w:color="auto"/>
        <w:left w:val="none" w:sz="0" w:space="0" w:color="auto"/>
        <w:bottom w:val="none" w:sz="0" w:space="0" w:color="auto"/>
        <w:right w:val="none" w:sz="0" w:space="0" w:color="auto"/>
      </w:divBdr>
    </w:div>
    <w:div w:id="1482966742">
      <w:bodyDiv w:val="1"/>
      <w:marLeft w:val="0"/>
      <w:marRight w:val="0"/>
      <w:marTop w:val="0"/>
      <w:marBottom w:val="0"/>
      <w:divBdr>
        <w:top w:val="none" w:sz="0" w:space="0" w:color="auto"/>
        <w:left w:val="none" w:sz="0" w:space="0" w:color="auto"/>
        <w:bottom w:val="none" w:sz="0" w:space="0" w:color="auto"/>
        <w:right w:val="none" w:sz="0" w:space="0" w:color="auto"/>
      </w:divBdr>
    </w:div>
    <w:div w:id="1626540064">
      <w:bodyDiv w:val="1"/>
      <w:marLeft w:val="0"/>
      <w:marRight w:val="0"/>
      <w:marTop w:val="0"/>
      <w:marBottom w:val="0"/>
      <w:divBdr>
        <w:top w:val="none" w:sz="0" w:space="0" w:color="auto"/>
        <w:left w:val="none" w:sz="0" w:space="0" w:color="auto"/>
        <w:bottom w:val="none" w:sz="0" w:space="0" w:color="auto"/>
        <w:right w:val="none" w:sz="0" w:space="0" w:color="auto"/>
      </w:divBdr>
    </w:div>
    <w:div w:id="1676034976">
      <w:bodyDiv w:val="1"/>
      <w:marLeft w:val="0"/>
      <w:marRight w:val="0"/>
      <w:marTop w:val="0"/>
      <w:marBottom w:val="0"/>
      <w:divBdr>
        <w:top w:val="none" w:sz="0" w:space="0" w:color="auto"/>
        <w:left w:val="none" w:sz="0" w:space="0" w:color="auto"/>
        <w:bottom w:val="none" w:sz="0" w:space="0" w:color="auto"/>
        <w:right w:val="none" w:sz="0" w:space="0" w:color="auto"/>
      </w:divBdr>
    </w:div>
    <w:div w:id="1725907977">
      <w:bodyDiv w:val="1"/>
      <w:marLeft w:val="0"/>
      <w:marRight w:val="0"/>
      <w:marTop w:val="0"/>
      <w:marBottom w:val="0"/>
      <w:divBdr>
        <w:top w:val="none" w:sz="0" w:space="0" w:color="auto"/>
        <w:left w:val="none" w:sz="0" w:space="0" w:color="auto"/>
        <w:bottom w:val="none" w:sz="0" w:space="0" w:color="auto"/>
        <w:right w:val="none" w:sz="0" w:space="0" w:color="auto"/>
      </w:divBdr>
    </w:div>
    <w:div w:id="1855653627">
      <w:bodyDiv w:val="1"/>
      <w:marLeft w:val="0"/>
      <w:marRight w:val="0"/>
      <w:marTop w:val="0"/>
      <w:marBottom w:val="0"/>
      <w:divBdr>
        <w:top w:val="none" w:sz="0" w:space="0" w:color="auto"/>
        <w:left w:val="none" w:sz="0" w:space="0" w:color="auto"/>
        <w:bottom w:val="none" w:sz="0" w:space="0" w:color="auto"/>
        <w:right w:val="none" w:sz="0" w:space="0" w:color="auto"/>
      </w:divBdr>
    </w:div>
    <w:div w:id="2072532234">
      <w:bodyDiv w:val="1"/>
      <w:marLeft w:val="0"/>
      <w:marRight w:val="0"/>
      <w:marTop w:val="0"/>
      <w:marBottom w:val="0"/>
      <w:divBdr>
        <w:top w:val="none" w:sz="0" w:space="0" w:color="auto"/>
        <w:left w:val="none" w:sz="0" w:space="0" w:color="auto"/>
        <w:bottom w:val="none" w:sz="0" w:space="0" w:color="auto"/>
        <w:right w:val="none" w:sz="0" w:space="0" w:color="auto"/>
      </w:divBdr>
    </w:div>
    <w:div w:id="2131973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4.png" Id="rId13" /><Relationship Type="http://schemas.openxmlformats.org/officeDocument/2006/relationships/header" Target="header2.xml" Id="rId18" /><Relationship Type="http://schemas.openxmlformats.org/officeDocument/2006/relationships/styles" Target="styles.xml" Id="rId3" /><Relationship Type="http://schemas.openxmlformats.org/officeDocument/2006/relationships/footer" Target="footer2.xml" Id="rId21" /><Relationship Type="http://schemas.openxmlformats.org/officeDocument/2006/relationships/endnotes" Target="endnotes.xml" Id="rId7" /><Relationship Type="http://schemas.openxmlformats.org/officeDocument/2006/relationships/image" Target="media/image3.png" Id="rId12" /><Relationship Type="http://schemas.openxmlformats.org/officeDocument/2006/relationships/header" Target="header1.xml" Id="rId17" /><Relationship Type="http://schemas.openxmlformats.org/officeDocument/2006/relationships/numbering" Target="numbering.xml" Id="rId2" /><Relationship Type="http://schemas.openxmlformats.org/officeDocument/2006/relationships/image" Target="media/image5.png" Id="rId16" /><Relationship Type="http://schemas.openxmlformats.org/officeDocument/2006/relationships/header" Target="header3.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2.png" Id="rId11" /><Relationship Type="http://schemas.openxmlformats.org/officeDocument/2006/relationships/webSettings" Target="webSettings.xml" Id="rId5" /><Relationship Type="http://schemas.openxmlformats.org/officeDocument/2006/relationships/hyperlink" Target="https://www.gob.mx/sesnsp/acciones-y-programas/incidencia-delictiva-del-fuero-comun-nueva-metodologia?state=published" TargetMode="External" Id="rId15" /><Relationship Type="http://schemas.openxmlformats.org/officeDocument/2006/relationships/theme" Target="theme/theme1.xml" Id="rId23" /><Relationship Type="http://schemas.openxmlformats.org/officeDocument/2006/relationships/hyperlink" Target="http://www.apartados.hacienda.gob.mx/contabilidad/documentos/informe_cuenta/1998/cuenta_publica/Glosario/n.htm" TargetMode="External" Id="rId10" /><Relationship Type="http://schemas.openxmlformats.org/officeDocument/2006/relationships/footer" Target="footer1.xml" Id="rId19" /><Relationship Type="http://schemas.openxmlformats.org/officeDocument/2006/relationships/settings" Target="settings.xml" Id="rId4" /><Relationship Type="http://schemas.openxmlformats.org/officeDocument/2006/relationships/hyperlink" Target="http://www.transparenciapresupuestaria.gob.mx/es/PTP/Glosario" TargetMode="External" Id="rId9" /><Relationship Type="http://schemas.openxmlformats.org/officeDocument/2006/relationships/hyperlink" Target="http://secretariadoejecutivo.gob.mx/work/models/SecretariadoEjecutivo/Resource/328/1/images/instructivo_final_edo_fuerza(1).pdf" TargetMode="External" Id="rId14" /><Relationship Type="http://schemas.openxmlformats.org/officeDocument/2006/relationships/fontTable" Target="fontTable.xml" Id="rId22" /></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15C3D4-394D-4128-9B2E-73BC4C80D11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oswaldo medina hernandez</dc:creator>
  <keywords/>
  <dc:description/>
  <lastModifiedBy>IVAN PEÑA VARA</lastModifiedBy>
  <revision>5</revision>
  <lastPrinted>2022-04-27T17:38:00.0000000Z</lastPrinted>
  <dcterms:created xsi:type="dcterms:W3CDTF">2022-06-30T16:55:00.0000000Z</dcterms:created>
  <dcterms:modified xsi:type="dcterms:W3CDTF">2022-07-20T01:25:09.1147548Z</dcterms:modified>
</coreProperties>
</file>