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B94BFE">
        <w:rPr>
          <w:rFonts w:ascii="Palatino Linotype" w:eastAsia="Palatino Linotype" w:hAnsi="Palatino Linotype" w:cs="Palatino Linotype"/>
          <w:b/>
        </w:rPr>
        <w:t>treinta de noviembre de dos mil veintidós</w:t>
      </w:r>
      <w:r w:rsidRPr="00B94BFE">
        <w:rPr>
          <w:rFonts w:ascii="Palatino Linotype" w:eastAsia="Palatino Linotype" w:hAnsi="Palatino Linotype" w:cs="Palatino Linotype"/>
        </w:rPr>
        <w:t xml:space="preserve">. </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Visto</w:t>
      </w:r>
      <w:r w:rsidRPr="00B94BFE">
        <w:rPr>
          <w:rFonts w:ascii="Palatino Linotype" w:eastAsia="Palatino Linotype" w:hAnsi="Palatino Linotype" w:cs="Palatino Linotype"/>
        </w:rPr>
        <w:t xml:space="preserve"> el expediente formado con motivo del recurso de revisión </w:t>
      </w:r>
      <w:r w:rsidRPr="00B94BFE">
        <w:rPr>
          <w:rFonts w:ascii="Palatino Linotype" w:eastAsia="Palatino Linotype" w:hAnsi="Palatino Linotype" w:cs="Palatino Linotype"/>
          <w:b/>
        </w:rPr>
        <w:t>11964/INFOEM/IP/RR/2022</w:t>
      </w:r>
      <w:r w:rsidRPr="00B94BFE">
        <w:rPr>
          <w:rFonts w:ascii="Palatino Linotype" w:eastAsia="Palatino Linotype" w:hAnsi="Palatino Linotype" w:cs="Palatino Linotype"/>
        </w:rPr>
        <w:t>, interpuesto por</w:t>
      </w:r>
      <w:r w:rsidR="008C00EC">
        <w:rPr>
          <w:rFonts w:ascii="Palatino Linotype" w:eastAsia="Palatino Linotype" w:hAnsi="Palatino Linotype" w:cs="Palatino Linotype"/>
          <w:b/>
        </w:rPr>
        <w:t xml:space="preserve"> XXXX XXXX XXXXXX</w:t>
      </w:r>
      <w:r w:rsidRPr="00B94BFE">
        <w:rPr>
          <w:rFonts w:ascii="Palatino Linotype" w:eastAsia="Palatino Linotype" w:hAnsi="Palatino Linotype" w:cs="Palatino Linotype"/>
          <w:b/>
        </w:rPr>
        <w:t xml:space="preserve">, </w:t>
      </w:r>
      <w:r w:rsidRPr="00B94BFE">
        <w:rPr>
          <w:rFonts w:ascii="Palatino Linotype" w:eastAsia="Palatino Linotype" w:hAnsi="Palatino Linotype" w:cs="Palatino Linotype"/>
        </w:rPr>
        <w:t>quien en lo sucesivo</w:t>
      </w:r>
      <w:r w:rsidRPr="00B94BFE">
        <w:rPr>
          <w:rFonts w:ascii="Palatino Linotype" w:eastAsia="Palatino Linotype" w:hAnsi="Palatino Linotype" w:cs="Palatino Linotype"/>
          <w:b/>
        </w:rPr>
        <w:t xml:space="preserve"> </w:t>
      </w:r>
      <w:r w:rsidRPr="00B94BFE">
        <w:rPr>
          <w:rFonts w:ascii="Palatino Linotype" w:eastAsia="Palatino Linotype" w:hAnsi="Palatino Linotype" w:cs="Palatino Linotype"/>
        </w:rPr>
        <w:t xml:space="preserve">será identificado como </w:t>
      </w:r>
      <w:r w:rsidRPr="00B94BFE">
        <w:rPr>
          <w:rFonts w:ascii="Palatino Linotype" w:eastAsia="Palatino Linotype" w:hAnsi="Palatino Linotype" w:cs="Palatino Linotype"/>
          <w:b/>
        </w:rPr>
        <w:t>el Recurrente,</w:t>
      </w:r>
      <w:r w:rsidRPr="00B94BFE">
        <w:rPr>
          <w:rFonts w:ascii="Palatino Linotype" w:eastAsia="Palatino Linotype" w:hAnsi="Palatino Linotype" w:cs="Palatino Linotype"/>
        </w:rPr>
        <w:t xml:space="preserve"> en contra de la respuesta del </w:t>
      </w:r>
      <w:r w:rsidRPr="00B94BFE">
        <w:rPr>
          <w:rFonts w:ascii="Palatino Linotype" w:eastAsia="Palatino Linotype" w:hAnsi="Palatino Linotype" w:cs="Palatino Linotype"/>
          <w:b/>
        </w:rPr>
        <w:t xml:space="preserve">Ayuntamiento de Coyotepec, </w:t>
      </w:r>
      <w:r w:rsidRPr="00B94BFE">
        <w:rPr>
          <w:rFonts w:ascii="Palatino Linotype" w:eastAsia="Palatino Linotype" w:hAnsi="Palatino Linotype" w:cs="Palatino Linotype"/>
        </w:rPr>
        <w:t xml:space="preserve">en lo sucesivo el </w:t>
      </w:r>
      <w:r w:rsidRPr="00B94BFE">
        <w:rPr>
          <w:rFonts w:ascii="Palatino Linotype" w:eastAsia="Palatino Linotype" w:hAnsi="Palatino Linotype" w:cs="Palatino Linotype"/>
          <w:b/>
        </w:rPr>
        <w:t xml:space="preserve">Sujeto Obligado, </w:t>
      </w:r>
      <w:r w:rsidRPr="00B94BFE">
        <w:rPr>
          <w:rFonts w:ascii="Palatino Linotype" w:eastAsia="Palatino Linotype" w:hAnsi="Palatino Linotype" w:cs="Palatino Linotype"/>
        </w:rPr>
        <w:t xml:space="preserve">se procede a dictar la presente resolución con base en los siguientes: </w:t>
      </w:r>
    </w:p>
    <w:p w:rsidR="00B13DC9" w:rsidRPr="00B94BFE" w:rsidRDefault="00804EE6">
      <w:pPr>
        <w:spacing w:before="240" w:after="240" w:line="360" w:lineRule="auto"/>
        <w:jc w:val="center"/>
        <w:rPr>
          <w:rFonts w:ascii="Palatino Linotype" w:eastAsia="Palatino Linotype" w:hAnsi="Palatino Linotype" w:cs="Palatino Linotype"/>
          <w:b/>
          <w:sz w:val="28"/>
          <w:szCs w:val="28"/>
        </w:rPr>
      </w:pPr>
      <w:r w:rsidRPr="00B94BFE">
        <w:rPr>
          <w:rFonts w:ascii="Palatino Linotype" w:eastAsia="Palatino Linotype" w:hAnsi="Palatino Linotype" w:cs="Palatino Linotype"/>
          <w:b/>
        </w:rPr>
        <w:t>I. A N T E C E D E N T E S</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1. Solicitud de acceso a la información.</w:t>
      </w:r>
      <w:r w:rsidRPr="00B94BFE">
        <w:rPr>
          <w:rFonts w:ascii="Palatino Linotype" w:eastAsia="Palatino Linotype" w:hAnsi="Palatino Linotype" w:cs="Palatino Linotype"/>
        </w:rPr>
        <w:t xml:space="preserve"> El </w:t>
      </w:r>
      <w:r w:rsidRPr="00B94BFE">
        <w:rPr>
          <w:rFonts w:ascii="Palatino Linotype" w:eastAsia="Palatino Linotype" w:hAnsi="Palatino Linotype" w:cs="Palatino Linotype"/>
          <w:b/>
        </w:rPr>
        <w:t>veinticinco de mayo de dos mil veintidós,</w:t>
      </w:r>
      <w:r w:rsidRPr="00B94BFE">
        <w:rPr>
          <w:rFonts w:ascii="Palatino Linotype" w:eastAsia="Palatino Linotype" w:hAnsi="Palatino Linotype" w:cs="Palatino Linotype"/>
        </w:rPr>
        <w:t xml:space="preserve"> </w:t>
      </w:r>
      <w:r w:rsidRPr="00B94BFE">
        <w:rPr>
          <w:rFonts w:ascii="Palatino Linotype" w:eastAsia="Palatino Linotype" w:hAnsi="Palatino Linotype" w:cs="Palatino Linotype"/>
          <w:b/>
        </w:rPr>
        <w:t>el</w:t>
      </w:r>
      <w:r w:rsidRPr="00B94BFE">
        <w:rPr>
          <w:rFonts w:ascii="Palatino Linotype" w:eastAsia="Palatino Linotype" w:hAnsi="Palatino Linotype" w:cs="Palatino Linotype"/>
        </w:rPr>
        <w:t xml:space="preserve"> </w:t>
      </w:r>
      <w:r w:rsidRPr="00B94BFE">
        <w:rPr>
          <w:rFonts w:ascii="Palatino Linotype" w:eastAsia="Palatino Linotype" w:hAnsi="Palatino Linotype" w:cs="Palatino Linotype"/>
          <w:b/>
        </w:rPr>
        <w:t xml:space="preserve">Recurrente </w:t>
      </w:r>
      <w:r w:rsidRPr="00B94BFE">
        <w:rPr>
          <w:rFonts w:ascii="Palatino Linotype" w:eastAsia="Palatino Linotype" w:hAnsi="Palatino Linotype" w:cs="Palatino Linotype"/>
        </w:rPr>
        <w:t>presentó a través del Sistema de Acceso a la Información Mexiquense (</w:t>
      </w:r>
      <w:r w:rsidRPr="00B94BFE">
        <w:rPr>
          <w:rFonts w:ascii="Palatino Linotype" w:eastAsia="Palatino Linotype" w:hAnsi="Palatino Linotype" w:cs="Palatino Linotype"/>
          <w:b/>
        </w:rPr>
        <w:t>SAIMEX),</w:t>
      </w:r>
      <w:r w:rsidRPr="00B94BFE">
        <w:rPr>
          <w:rFonts w:ascii="Palatino Linotype" w:eastAsia="Palatino Linotype" w:hAnsi="Palatino Linotype" w:cs="Palatino Linotype"/>
        </w:rPr>
        <w:t xml:space="preserve"> la solicitud de acceso a la información pública registrada con el número </w:t>
      </w:r>
      <w:r w:rsidRPr="00B94BFE">
        <w:rPr>
          <w:rFonts w:ascii="Palatino Linotype" w:eastAsia="Palatino Linotype" w:hAnsi="Palatino Linotype" w:cs="Palatino Linotype"/>
          <w:b/>
        </w:rPr>
        <w:t xml:space="preserve">00110/COYOTEP/IP/2022, </w:t>
      </w:r>
      <w:r w:rsidRPr="00B94BFE">
        <w:rPr>
          <w:rFonts w:ascii="Palatino Linotype" w:eastAsia="Palatino Linotype" w:hAnsi="Palatino Linotype" w:cs="Palatino Linotype"/>
        </w:rPr>
        <w:t xml:space="preserve">mediante la cual requirió la información siguiente: </w:t>
      </w:r>
    </w:p>
    <w:p w:rsidR="00B13DC9" w:rsidRPr="00B94BFE" w:rsidRDefault="00804EE6">
      <w:pPr>
        <w:spacing w:before="240" w:after="240" w:line="276" w:lineRule="auto"/>
        <w:ind w:left="567" w:right="900"/>
        <w:jc w:val="both"/>
        <w:rPr>
          <w:rFonts w:ascii="Palatino Linotype" w:eastAsia="Palatino Linotype" w:hAnsi="Palatino Linotype" w:cs="Palatino Linotype"/>
          <w:i/>
          <w:sz w:val="22"/>
          <w:szCs w:val="22"/>
        </w:rPr>
      </w:pPr>
      <w:bookmarkStart w:id="0" w:name="_heading=h.gjdgxs" w:colFirst="0" w:colLast="0"/>
      <w:bookmarkEnd w:id="0"/>
      <w:r w:rsidRPr="00B94BFE">
        <w:rPr>
          <w:rFonts w:ascii="Palatino Linotype" w:eastAsia="Palatino Linotype" w:hAnsi="Palatino Linotype" w:cs="Palatino Linotype"/>
          <w:i/>
          <w:sz w:val="22"/>
          <w:szCs w:val="22"/>
        </w:rPr>
        <w:t xml:space="preserve">“Se adjunta la solicitud en PDF” (Sic) </w:t>
      </w:r>
    </w:p>
    <w:p w:rsidR="00B13DC9" w:rsidRPr="00B94BFE" w:rsidRDefault="00804EE6">
      <w:pPr>
        <w:spacing w:before="240" w:after="240" w:line="276" w:lineRule="auto"/>
        <w:ind w:left="567" w:right="900"/>
        <w:jc w:val="both"/>
        <w:rPr>
          <w:rFonts w:ascii="Palatino Linotype" w:eastAsia="Palatino Linotype" w:hAnsi="Palatino Linotype" w:cs="Palatino Linotype"/>
          <w:b/>
          <w:sz w:val="22"/>
          <w:szCs w:val="22"/>
        </w:rPr>
      </w:pPr>
      <w:r w:rsidRPr="00B94BFE">
        <w:rPr>
          <w:rFonts w:ascii="Palatino Linotype" w:eastAsia="Palatino Linotype" w:hAnsi="Palatino Linotype" w:cs="Palatino Linotype"/>
          <w:b/>
          <w:sz w:val="22"/>
          <w:szCs w:val="22"/>
        </w:rPr>
        <w:t xml:space="preserve">  Archivos adjuntos: </w:t>
      </w:r>
    </w:p>
    <w:p w:rsidR="00B13DC9" w:rsidRPr="00B94BFE" w:rsidRDefault="00804EE6">
      <w:pPr>
        <w:spacing w:before="240" w:after="240" w:line="276" w:lineRule="auto"/>
        <w:ind w:left="567" w:right="900"/>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b/>
          <w:i/>
          <w:sz w:val="22"/>
          <w:szCs w:val="22"/>
        </w:rPr>
        <w:t xml:space="preserve">   “SAI Coyotepec.pdf”: </w:t>
      </w:r>
      <w:r w:rsidRPr="00B94BFE">
        <w:rPr>
          <w:rFonts w:ascii="Palatino Linotype" w:eastAsia="Palatino Linotype" w:hAnsi="Palatino Linotype" w:cs="Palatino Linotype"/>
          <w:sz w:val="22"/>
          <w:szCs w:val="22"/>
        </w:rPr>
        <w:t xml:space="preserve">Archivo de dos fojas que contiene lo siguiente: </w:t>
      </w:r>
    </w:p>
    <w:p w:rsidR="00B13DC9" w:rsidRPr="00B94BFE" w:rsidRDefault="00804EE6">
      <w:pPr>
        <w:spacing w:before="240" w:after="240" w:line="276" w:lineRule="auto"/>
        <w:ind w:left="567" w:right="900"/>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sz w:val="22"/>
          <w:szCs w:val="22"/>
        </w:rPr>
        <w:lastRenderedPageBreak/>
        <w:t xml:space="preserve">  </w:t>
      </w:r>
      <w:r w:rsidRPr="00B94BFE">
        <w:rPr>
          <w:rFonts w:ascii="Palatino Linotype" w:eastAsia="Palatino Linotype" w:hAnsi="Palatino Linotype" w:cs="Palatino Linotype"/>
          <w:noProof/>
          <w:sz w:val="22"/>
          <w:szCs w:val="22"/>
          <w:lang w:val="es-MX"/>
        </w:rPr>
        <w:drawing>
          <wp:inline distT="0" distB="0" distL="0" distR="0">
            <wp:extent cx="5383070" cy="6958764"/>
            <wp:effectExtent l="0" t="0" r="0" b="0"/>
            <wp:docPr id="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383070" cy="6958764"/>
                    </a:xfrm>
                    <a:prstGeom prst="rect">
                      <a:avLst/>
                    </a:prstGeom>
                    <a:ln/>
                  </pic:spPr>
                </pic:pic>
              </a:graphicData>
            </a:graphic>
          </wp:inline>
        </w:drawing>
      </w:r>
    </w:p>
    <w:p w:rsidR="00B13DC9" w:rsidRPr="00B94BFE" w:rsidRDefault="00B13DC9">
      <w:pPr>
        <w:spacing w:before="240" w:after="240" w:line="276" w:lineRule="auto"/>
        <w:ind w:left="567" w:right="900"/>
        <w:jc w:val="both"/>
        <w:rPr>
          <w:rFonts w:ascii="Palatino Linotype" w:eastAsia="Palatino Linotype" w:hAnsi="Palatino Linotype" w:cs="Palatino Linotype"/>
          <w:sz w:val="22"/>
          <w:szCs w:val="22"/>
        </w:rPr>
      </w:pPr>
    </w:p>
    <w:p w:rsidR="00B13DC9" w:rsidRPr="00B94BFE" w:rsidRDefault="00804EE6">
      <w:pPr>
        <w:spacing w:before="240" w:after="240" w:line="360" w:lineRule="auto"/>
        <w:jc w:val="both"/>
        <w:rPr>
          <w:rFonts w:ascii="Palatino Linotype" w:eastAsia="Palatino Linotype" w:hAnsi="Palatino Linotype" w:cs="Palatino Linotype"/>
          <w:b/>
        </w:rPr>
      </w:pPr>
      <w:r w:rsidRPr="00B94BFE">
        <w:rPr>
          <w:rFonts w:ascii="Palatino Linotype" w:eastAsia="Palatino Linotype" w:hAnsi="Palatino Linotype" w:cs="Palatino Linotype"/>
          <w:b/>
          <w:noProof/>
          <w:lang w:val="es-MX"/>
        </w:rPr>
        <w:lastRenderedPageBreak/>
        <w:drawing>
          <wp:inline distT="0" distB="0" distL="0" distR="0">
            <wp:extent cx="5348702" cy="4803842"/>
            <wp:effectExtent l="0" t="0" r="0" b="0"/>
            <wp:docPr id="1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348702" cy="4803842"/>
                    </a:xfrm>
                    <a:prstGeom prst="rect">
                      <a:avLst/>
                    </a:prstGeom>
                    <a:ln/>
                  </pic:spPr>
                </pic:pic>
              </a:graphicData>
            </a:graphic>
          </wp:inline>
        </w:drawing>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Modalidad de Entrega:</w:t>
      </w:r>
      <w:r w:rsidRPr="00B94BFE">
        <w:rPr>
          <w:rFonts w:ascii="Palatino Linotype" w:eastAsia="Palatino Linotype" w:hAnsi="Palatino Linotype" w:cs="Palatino Linotype"/>
        </w:rPr>
        <w:t xml:space="preserve"> A través del </w:t>
      </w:r>
      <w:r w:rsidRPr="00B94BFE">
        <w:rPr>
          <w:rFonts w:ascii="Palatino Linotype" w:eastAsia="Palatino Linotype" w:hAnsi="Palatino Linotype" w:cs="Palatino Linotype"/>
          <w:b/>
        </w:rPr>
        <w:t xml:space="preserve">Sistema de Acceso a la Información Mexiquense (SAIMEX), correo electrónico, mecanismo de almacenamiento y sincronización de archivos. </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 xml:space="preserve">2. Respuesta. </w:t>
      </w:r>
      <w:r w:rsidRPr="00B94BFE">
        <w:rPr>
          <w:rFonts w:ascii="Palatino Linotype" w:eastAsia="Palatino Linotype" w:hAnsi="Palatino Linotype" w:cs="Palatino Linotype"/>
        </w:rPr>
        <w:t xml:space="preserve"> El </w:t>
      </w:r>
      <w:r w:rsidRPr="00B94BFE">
        <w:rPr>
          <w:rFonts w:ascii="Palatino Linotype" w:eastAsia="Palatino Linotype" w:hAnsi="Palatino Linotype" w:cs="Palatino Linotype"/>
          <w:b/>
        </w:rPr>
        <w:t>quince de junio de dos mil veintidós</w:t>
      </w:r>
      <w:r w:rsidRPr="00B94BFE">
        <w:rPr>
          <w:rFonts w:ascii="Palatino Linotype" w:eastAsia="Palatino Linotype" w:hAnsi="Palatino Linotype" w:cs="Palatino Linotype"/>
        </w:rPr>
        <w:t xml:space="preserve">, 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respondió a la solicitud de acceso a la información en los términos siguientes:   </w:t>
      </w:r>
    </w:p>
    <w:p w:rsidR="00B13DC9" w:rsidRPr="00B94BFE" w:rsidRDefault="00804EE6">
      <w:pPr>
        <w:spacing w:before="240" w:after="240" w:line="276" w:lineRule="auto"/>
        <w:ind w:left="567"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w:t>
      </w:r>
      <w:r w:rsidRPr="00B94BFE">
        <w:rPr>
          <w:rFonts w:ascii="Palatino Linotype" w:eastAsia="Palatino Linotype" w:hAnsi="Palatino Linotype" w:cs="Palatino Linotype"/>
          <w:i/>
          <w:sz w:val="22"/>
          <w:szCs w:val="22"/>
        </w:rPr>
        <w:lastRenderedPageBreak/>
        <w:t>y Acceso a la Información Pública del Estado de México y Municipios, le contestamos que:</w:t>
      </w:r>
    </w:p>
    <w:p w:rsidR="00B13DC9" w:rsidRPr="00B94BFE" w:rsidRDefault="00804EE6">
      <w:pPr>
        <w:spacing w:before="240" w:after="240" w:line="276" w:lineRule="auto"/>
        <w:ind w:left="567"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u w:val="single"/>
        </w:rPr>
        <w:t>CABE MENCIONAR QUE EN ESTA COMISARIA DE SEGURIDAD PUBLICA Y MOVILIDAD SOLO SE CUENTA CON LA INFORMACION ADJUNTA ES DECIR DEL AÑO 2017 A LA FECHA</w:t>
      </w:r>
      <w:r w:rsidRPr="00B94BFE">
        <w:rPr>
          <w:rFonts w:ascii="Palatino Linotype" w:eastAsia="Palatino Linotype" w:hAnsi="Palatino Linotype" w:cs="Palatino Linotype"/>
          <w:i/>
          <w:sz w:val="22"/>
          <w:szCs w:val="22"/>
        </w:rPr>
        <w:t>. Sirva este conducto para extenderle un cordial saludo, a la vez, atento a su similar número COY/UT/385/2022, con el cual se notifica dar seguimiento a la solicitud de información pública con número de folio 00110/COYOTEPEC/IP/2022, misma que ingreso vía Sistema de Acceso a la Información Mexiquense (SAIMEX); por lo que, con fundamento en lo dispuesto por los artículo 6, apartado A, del Pacto Federal; artículo 5, párrafo décimo séptimo, décimo octavo y décimo noveno, de la Constitución Política del Estado Libre y Soberano de México; artículos 4, 6, 15, 16 y 17 de la Ley de Transparencia y Acceso a la Información Pública del Estado de México en vigor; de manera respetuosa vengo a dar contestación a la solicitud de información en comento, misma que en su parte agrego archivo de la misma,</w:t>
      </w:r>
    </w:p>
    <w:p w:rsidR="00B13DC9" w:rsidRPr="00B94BFE" w:rsidRDefault="00804EE6">
      <w:pPr>
        <w:spacing w:before="240" w:after="240" w:line="276" w:lineRule="auto"/>
        <w:ind w:left="567"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ATENTAMENTE</w:t>
      </w:r>
    </w:p>
    <w:p w:rsidR="00B13DC9" w:rsidRPr="00B94BFE" w:rsidRDefault="00804EE6">
      <w:pPr>
        <w:spacing w:before="240" w:after="240" w:line="276" w:lineRule="auto"/>
        <w:ind w:left="567"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LIC. KARLA VARGAS CHOREÑO” (Sic) (Énfasis añadido)</w:t>
      </w:r>
    </w:p>
    <w:p w:rsidR="00B13DC9" w:rsidRPr="00B94BFE" w:rsidRDefault="00804EE6">
      <w:pPr>
        <w:spacing w:before="240" w:after="240" w:line="276" w:lineRule="auto"/>
        <w:ind w:left="567" w:right="900"/>
        <w:jc w:val="both"/>
        <w:rPr>
          <w:rFonts w:ascii="Palatino Linotype" w:eastAsia="Palatino Linotype" w:hAnsi="Palatino Linotype" w:cs="Palatino Linotype"/>
          <w:b/>
          <w:sz w:val="22"/>
          <w:szCs w:val="22"/>
        </w:rPr>
      </w:pPr>
      <w:r w:rsidRPr="00B94BFE">
        <w:rPr>
          <w:rFonts w:ascii="Palatino Linotype" w:eastAsia="Palatino Linotype" w:hAnsi="Palatino Linotype" w:cs="Palatino Linotype"/>
          <w:b/>
          <w:sz w:val="22"/>
          <w:szCs w:val="22"/>
        </w:rPr>
        <w:t xml:space="preserve">Archivos adjuntos: </w:t>
      </w:r>
    </w:p>
    <w:p w:rsidR="00D91DD4" w:rsidRDefault="00804EE6">
      <w:pPr>
        <w:spacing w:before="240" w:after="240" w:line="276" w:lineRule="auto"/>
        <w:ind w:left="567" w:right="333"/>
        <w:jc w:val="both"/>
        <w:rPr>
          <w:noProof/>
          <w:lang w:val="es-MX"/>
        </w:rPr>
      </w:pPr>
      <w:r w:rsidRPr="00B94BFE">
        <w:rPr>
          <w:rFonts w:ascii="Palatino Linotype" w:eastAsia="Palatino Linotype" w:hAnsi="Palatino Linotype" w:cs="Palatino Linotype"/>
          <w:b/>
          <w:i/>
          <w:sz w:val="22"/>
          <w:szCs w:val="22"/>
        </w:rPr>
        <w:t xml:space="preserve">“CONTESTACION SOLICITUD TRANSPARENCIA 2022 00110-COYOTEP-IP-2022 S-C.docx”: </w:t>
      </w:r>
      <w:r w:rsidRPr="00B94BFE">
        <w:rPr>
          <w:rFonts w:ascii="Palatino Linotype" w:eastAsia="Palatino Linotype" w:hAnsi="Palatino Linotype" w:cs="Palatino Linotype"/>
        </w:rPr>
        <w:t>Documento en Word de veintidós fojas en el que se aprecia la base de datos correspondiente a los años 2017-2022, de la que se desprenden datos como: tipo de incidente, hora del incidente o evento, fecha del incidente, lugar del incidente o evento y ubicación del incidente o evento.</w:t>
      </w:r>
      <w:r w:rsidR="00D91DD4" w:rsidRPr="00D91DD4">
        <w:rPr>
          <w:noProof/>
          <w:lang w:val="es-MX"/>
        </w:rPr>
        <w:t xml:space="preserve"> </w:t>
      </w:r>
    </w:p>
    <w:p w:rsidR="00B13DC9" w:rsidRPr="00B94BFE" w:rsidRDefault="00D91DD4">
      <w:pPr>
        <w:spacing w:before="240" w:after="240" w:line="276" w:lineRule="auto"/>
        <w:ind w:left="567" w:right="333"/>
        <w:jc w:val="both"/>
        <w:rPr>
          <w:rFonts w:ascii="Palatino Linotype" w:eastAsia="Palatino Linotype" w:hAnsi="Palatino Linotype" w:cs="Palatino Linotype"/>
          <w:sz w:val="22"/>
          <w:szCs w:val="22"/>
        </w:rPr>
      </w:pPr>
      <w:r>
        <w:rPr>
          <w:noProof/>
          <w:lang w:val="es-MX"/>
        </w:rPr>
        <w:drawing>
          <wp:inline distT="0" distB="0" distL="0" distR="0" wp14:anchorId="37978254" wp14:editId="4A6FB3B8">
            <wp:extent cx="4536209" cy="3040369"/>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87" t="30630" r="31921" b="21554"/>
                    <a:stretch/>
                  </pic:blipFill>
                  <pic:spPr bwMode="auto">
                    <a:xfrm>
                      <a:off x="0" y="0"/>
                      <a:ext cx="4570706" cy="3063491"/>
                    </a:xfrm>
                    <a:prstGeom prst="rect">
                      <a:avLst/>
                    </a:prstGeom>
                    <a:ln>
                      <a:noFill/>
                    </a:ln>
                    <a:extLst>
                      <a:ext uri="{53640926-AAD7-44D8-BBD7-CCE9431645EC}">
                        <a14:shadowObscured xmlns:a14="http://schemas.microsoft.com/office/drawing/2010/main"/>
                      </a:ext>
                    </a:extLst>
                  </pic:spPr>
                </pic:pic>
              </a:graphicData>
            </a:graphic>
          </wp:inline>
        </w:drawing>
      </w:r>
    </w:p>
    <w:p w:rsidR="00B13DC9" w:rsidRPr="00B94BFE" w:rsidRDefault="00B13DC9">
      <w:pPr>
        <w:spacing w:before="240" w:after="240" w:line="276" w:lineRule="auto"/>
        <w:ind w:left="851" w:right="900"/>
        <w:jc w:val="both"/>
        <w:rPr>
          <w:rFonts w:ascii="Palatino Linotype" w:eastAsia="Palatino Linotype" w:hAnsi="Palatino Linotype" w:cs="Palatino Linotype"/>
          <w:sz w:val="22"/>
          <w:szCs w:val="22"/>
        </w:rPr>
      </w:pPr>
    </w:p>
    <w:p w:rsidR="00B13DC9" w:rsidRPr="00B94BFE" w:rsidRDefault="00804EE6">
      <w:pPr>
        <w:spacing w:before="240" w:after="240" w:line="276" w:lineRule="auto"/>
        <w:ind w:left="567" w:right="49"/>
        <w:jc w:val="both"/>
        <w:rPr>
          <w:rFonts w:ascii="Palatino Linotype" w:eastAsia="Palatino Linotype" w:hAnsi="Palatino Linotype" w:cs="Palatino Linotype"/>
        </w:rPr>
      </w:pPr>
      <w:r w:rsidRPr="00B94BFE">
        <w:rPr>
          <w:rFonts w:ascii="Palatino Linotype" w:eastAsia="Palatino Linotype" w:hAnsi="Palatino Linotype" w:cs="Palatino Linotype"/>
          <w:b/>
          <w:i/>
          <w:sz w:val="22"/>
          <w:szCs w:val="22"/>
        </w:rPr>
        <w:t xml:space="preserve">“CONTESTACION SAIMEX.pdf”: </w:t>
      </w:r>
      <w:r w:rsidRPr="00B94BFE">
        <w:rPr>
          <w:rFonts w:ascii="Palatino Linotype" w:eastAsia="Palatino Linotype" w:hAnsi="Palatino Linotype" w:cs="Palatino Linotype"/>
        </w:rPr>
        <w:t xml:space="preserve">Oficio de tres fojas en el que el Titular de la Oficialía Mediadora, Conciliadora y Calificadora, quien manifiesta que únicamente es dable pronunciarse respecto de faltas administrativas, ya que no se tiene competencia respecto de hechos constitutivos de delito. Asimismo manifestó que la falta de entrega en un formato abierto denominado “xls o cvs”, no constituye una restricción al acceso a la información en posesión de sujetos obligados. </w:t>
      </w:r>
    </w:p>
    <w:p w:rsidR="00B13DC9" w:rsidRPr="00B94BFE" w:rsidRDefault="00804EE6">
      <w:pPr>
        <w:spacing w:before="240" w:after="240" w:line="276" w:lineRule="auto"/>
        <w:ind w:left="567" w:right="49"/>
        <w:jc w:val="both"/>
        <w:rPr>
          <w:rFonts w:ascii="Palatino Linotype" w:eastAsia="Palatino Linotype" w:hAnsi="Palatino Linotype" w:cs="Palatino Linotype"/>
          <w:sz w:val="28"/>
          <w:szCs w:val="28"/>
        </w:rPr>
      </w:pPr>
      <w:r w:rsidRPr="00B94BFE">
        <w:rPr>
          <w:rFonts w:ascii="Palatino Linotype" w:eastAsia="Palatino Linotype" w:hAnsi="Palatino Linotype" w:cs="Palatino Linotype"/>
        </w:rPr>
        <w:t xml:space="preserve">Finalmente refiere que respecto del periodo comprendido de 2010 a 2021, se solicitó el apoyo a la titular del Archivo Municipal, quien manifestó la inexistencia de registro alguno, por lo que únicamente remitió una tabla informativa del año 2022 en la que obran las faltas administrativas en formato Excel. </w:t>
      </w:r>
    </w:p>
    <w:p w:rsidR="00B13DC9" w:rsidRPr="00B94BFE" w:rsidRDefault="00804EE6">
      <w:pPr>
        <w:spacing w:before="240" w:after="240" w:line="276" w:lineRule="auto"/>
        <w:ind w:left="851" w:right="900"/>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noProof/>
          <w:sz w:val="22"/>
          <w:szCs w:val="22"/>
          <w:lang w:val="es-MX"/>
        </w:rPr>
        <w:drawing>
          <wp:inline distT="0" distB="0" distL="0" distR="0">
            <wp:extent cx="5477644" cy="6795302"/>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477644" cy="6795302"/>
                    </a:xfrm>
                    <a:prstGeom prst="rect">
                      <a:avLst/>
                    </a:prstGeom>
                    <a:ln/>
                  </pic:spPr>
                </pic:pic>
              </a:graphicData>
            </a:graphic>
          </wp:inline>
        </w:drawing>
      </w:r>
    </w:p>
    <w:p w:rsidR="00B13DC9" w:rsidRPr="00B94BFE" w:rsidRDefault="00804EE6">
      <w:pPr>
        <w:spacing w:before="240" w:after="240" w:line="276" w:lineRule="auto"/>
        <w:ind w:left="851" w:right="900"/>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noProof/>
          <w:sz w:val="22"/>
          <w:szCs w:val="22"/>
          <w:lang w:val="es-MX"/>
        </w:rPr>
        <w:drawing>
          <wp:inline distT="0" distB="0" distL="0" distR="0">
            <wp:extent cx="5554091" cy="6875057"/>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554091" cy="6875057"/>
                    </a:xfrm>
                    <a:prstGeom prst="rect">
                      <a:avLst/>
                    </a:prstGeom>
                    <a:ln/>
                  </pic:spPr>
                </pic:pic>
              </a:graphicData>
            </a:graphic>
          </wp:inline>
        </w:drawing>
      </w:r>
    </w:p>
    <w:p w:rsidR="00B13DC9" w:rsidRPr="00B94BFE" w:rsidRDefault="00804EE6">
      <w:pPr>
        <w:spacing w:before="240" w:after="240" w:line="276" w:lineRule="auto"/>
        <w:ind w:left="851" w:right="900"/>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noProof/>
          <w:sz w:val="22"/>
          <w:szCs w:val="22"/>
          <w:lang w:val="es-MX"/>
        </w:rPr>
        <w:drawing>
          <wp:inline distT="0" distB="0" distL="0" distR="0">
            <wp:extent cx="4845329" cy="4879320"/>
            <wp:effectExtent l="0" t="0" r="0" b="0"/>
            <wp:docPr id="1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4845329" cy="4879320"/>
                    </a:xfrm>
                    <a:prstGeom prst="rect">
                      <a:avLst/>
                    </a:prstGeom>
                    <a:ln/>
                  </pic:spPr>
                </pic:pic>
              </a:graphicData>
            </a:graphic>
          </wp:inline>
        </w:drawing>
      </w:r>
    </w:p>
    <w:p w:rsidR="00B13DC9" w:rsidRPr="00B94BFE" w:rsidRDefault="00804EE6">
      <w:pPr>
        <w:spacing w:before="240" w:after="240" w:line="276" w:lineRule="auto"/>
        <w:ind w:left="851" w:right="900"/>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noProof/>
          <w:sz w:val="22"/>
          <w:szCs w:val="22"/>
          <w:lang w:val="es-MX"/>
        </w:rPr>
        <w:drawing>
          <wp:inline distT="0" distB="0" distL="0" distR="0">
            <wp:extent cx="4978354" cy="6240687"/>
            <wp:effectExtent l="0" t="0" r="0" b="0"/>
            <wp:docPr id="10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4978354" cy="6240687"/>
                    </a:xfrm>
                    <a:prstGeom prst="rect">
                      <a:avLst/>
                    </a:prstGeom>
                    <a:ln/>
                  </pic:spPr>
                </pic:pic>
              </a:graphicData>
            </a:graphic>
          </wp:inline>
        </w:drawing>
      </w:r>
    </w:p>
    <w:p w:rsidR="00B13DC9" w:rsidRPr="00B94BFE" w:rsidRDefault="00804EE6">
      <w:pPr>
        <w:spacing w:before="240" w:after="240" w:line="276" w:lineRule="auto"/>
        <w:ind w:left="851" w:right="49"/>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 xml:space="preserve">“ARCHIVO.pdf”: </w:t>
      </w:r>
      <w:r w:rsidRPr="00B94BFE">
        <w:rPr>
          <w:rFonts w:ascii="Palatino Linotype" w:eastAsia="Palatino Linotype" w:hAnsi="Palatino Linotype" w:cs="Palatino Linotype"/>
        </w:rPr>
        <w:t>Oficio suscrito por el Titular de la Oficialía Mediadora, Conciliadora y Calificadora, mediante el cual solicita a la Jefa del Archivo Municipal y Reclutamiento, para efecto de que se realizara la búsqueda referente a faltas administrativas de fecha 1 de enero de 2010 a 31 de diciembre de 2021.</w:t>
      </w:r>
    </w:p>
    <w:p w:rsidR="00B13DC9" w:rsidRPr="00B94BFE" w:rsidRDefault="00804EE6">
      <w:pPr>
        <w:spacing w:before="240" w:after="240" w:line="276" w:lineRule="auto"/>
        <w:ind w:left="851" w:right="900"/>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noProof/>
          <w:sz w:val="22"/>
          <w:szCs w:val="22"/>
          <w:lang w:val="es-MX"/>
        </w:rPr>
        <w:drawing>
          <wp:inline distT="0" distB="0" distL="0" distR="0">
            <wp:extent cx="4560950" cy="4651261"/>
            <wp:effectExtent l="0" t="0" r="0" b="0"/>
            <wp:docPr id="1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4560950" cy="4651261"/>
                    </a:xfrm>
                    <a:prstGeom prst="rect">
                      <a:avLst/>
                    </a:prstGeom>
                    <a:ln/>
                  </pic:spPr>
                </pic:pic>
              </a:graphicData>
            </a:graphic>
          </wp:inline>
        </w:drawing>
      </w:r>
    </w:p>
    <w:p w:rsidR="00B13DC9" w:rsidRPr="00B94BFE" w:rsidRDefault="00804EE6">
      <w:pPr>
        <w:spacing w:before="240" w:after="240" w:line="360" w:lineRule="auto"/>
        <w:ind w:left="851" w:right="49"/>
        <w:jc w:val="both"/>
        <w:rPr>
          <w:rFonts w:ascii="Palatino Linotype" w:eastAsia="Palatino Linotype" w:hAnsi="Palatino Linotype" w:cs="Palatino Linotype"/>
        </w:rPr>
      </w:pPr>
      <w:r w:rsidRPr="00B94BFE">
        <w:rPr>
          <w:rFonts w:ascii="Palatino Linotype" w:eastAsia="Palatino Linotype" w:hAnsi="Palatino Linotype" w:cs="Palatino Linotype"/>
          <w:b/>
          <w:i/>
        </w:rPr>
        <w:t xml:space="preserve">“FALTAS ADMINISTRATIVAS.xlsx”: </w:t>
      </w:r>
      <w:r w:rsidRPr="00B94BFE">
        <w:rPr>
          <w:rFonts w:ascii="Palatino Linotype" w:eastAsia="Palatino Linotype" w:hAnsi="Palatino Linotype" w:cs="Palatino Linotype"/>
        </w:rPr>
        <w:t>Base de datos en formato Excel, mediante se dan cuenta de las faltas administrativas del 7 de enero al 12 de junio de la presente anualidad.</w:t>
      </w:r>
    </w:p>
    <w:p w:rsidR="00B13DC9" w:rsidRPr="00B94BFE" w:rsidRDefault="00804EE6">
      <w:pPr>
        <w:spacing w:before="240" w:after="240" w:line="276" w:lineRule="auto"/>
        <w:ind w:left="851" w:right="900"/>
        <w:jc w:val="both"/>
        <w:rPr>
          <w:rFonts w:ascii="Palatino Linotype" w:eastAsia="Palatino Linotype" w:hAnsi="Palatino Linotype" w:cs="Palatino Linotype"/>
        </w:rPr>
      </w:pPr>
      <w:r w:rsidRPr="00B94BFE">
        <w:rPr>
          <w:rFonts w:ascii="Palatino Linotype" w:eastAsia="Palatino Linotype" w:hAnsi="Palatino Linotype" w:cs="Palatino Linotype"/>
          <w:noProof/>
          <w:lang w:val="es-MX"/>
        </w:rPr>
        <w:drawing>
          <wp:inline distT="0" distB="0" distL="0" distR="0">
            <wp:extent cx="4242140" cy="3278323"/>
            <wp:effectExtent l="0" t="0" r="0" b="0"/>
            <wp:docPr id="1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242140" cy="3278323"/>
                    </a:xfrm>
                    <a:prstGeom prst="rect">
                      <a:avLst/>
                    </a:prstGeom>
                    <a:ln/>
                  </pic:spPr>
                </pic:pic>
              </a:graphicData>
            </a:graphic>
          </wp:inline>
        </w:drawing>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b/>
        </w:rPr>
        <w:t xml:space="preserve">3. Interposición del recurso de revisión. </w:t>
      </w:r>
      <w:r w:rsidRPr="00B94BFE">
        <w:rPr>
          <w:rFonts w:ascii="Palatino Linotype" w:eastAsia="Palatino Linotype" w:hAnsi="Palatino Linotype" w:cs="Palatino Linotype"/>
        </w:rPr>
        <w:t xml:space="preserve">El </w:t>
      </w:r>
      <w:r w:rsidRPr="00B94BFE">
        <w:rPr>
          <w:rFonts w:ascii="Palatino Linotype" w:eastAsia="Palatino Linotype" w:hAnsi="Palatino Linotype" w:cs="Palatino Linotype"/>
          <w:b/>
        </w:rPr>
        <w:t xml:space="preserve">veintidós de junio de dos mil veintidós, el Recurrente, </w:t>
      </w:r>
      <w:r w:rsidRPr="00B94BFE">
        <w:rPr>
          <w:rFonts w:ascii="Palatino Linotype" w:eastAsia="Palatino Linotype" w:hAnsi="Palatino Linotype" w:cs="Palatino Linotype"/>
        </w:rPr>
        <w:t>inconforme con la respuesta, presentó el recurso de revisión a través del cual expresó lo siguiente:</w:t>
      </w:r>
    </w:p>
    <w:p w:rsidR="00B13DC9" w:rsidRPr="00B94BFE" w:rsidRDefault="00804EE6">
      <w:pPr>
        <w:spacing w:before="240" w:after="240" w:line="360" w:lineRule="auto"/>
        <w:ind w:left="567"/>
        <w:rPr>
          <w:rFonts w:ascii="Palatino Linotype" w:eastAsia="Palatino Linotype" w:hAnsi="Palatino Linotype" w:cs="Palatino Linotype"/>
          <w:b/>
        </w:rPr>
      </w:pPr>
      <w:r w:rsidRPr="00B94BFE">
        <w:rPr>
          <w:rFonts w:ascii="Palatino Linotype" w:eastAsia="Palatino Linotype" w:hAnsi="Palatino Linotype" w:cs="Palatino Linotype"/>
          <w:b/>
        </w:rPr>
        <w:t>a) Acto impugnado.</w:t>
      </w:r>
    </w:p>
    <w:p w:rsidR="00B13DC9" w:rsidRPr="00B94BFE" w:rsidRDefault="00804EE6">
      <w:pPr>
        <w:spacing w:before="240" w:after="240" w:line="276" w:lineRule="auto"/>
        <w:ind w:left="851"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w:t>
      </w:r>
      <w:r w:rsidRPr="00B94BFE">
        <w:rPr>
          <w:rFonts w:ascii="Palatino Linotype" w:eastAsia="Palatino Linotype" w:hAnsi="Palatino Linotype" w:cs="Palatino Linotype"/>
          <w:b/>
          <w:i/>
          <w:sz w:val="22"/>
          <w:szCs w:val="22"/>
          <w:u w:val="single"/>
        </w:rPr>
        <w:t>Entrega parcial de la información</w:t>
      </w:r>
      <w:r w:rsidRPr="00B94BFE">
        <w:rPr>
          <w:rFonts w:ascii="Palatino Linotype" w:eastAsia="Palatino Linotype" w:hAnsi="Palatino Linotype" w:cs="Palatino Linotype"/>
          <w:i/>
          <w:sz w:val="22"/>
          <w:szCs w:val="22"/>
        </w:rPr>
        <w:t>” (Sic) (Énfasis añadido)</w:t>
      </w:r>
    </w:p>
    <w:p w:rsidR="00B13DC9" w:rsidRPr="00B94BFE" w:rsidRDefault="00804EE6">
      <w:pPr>
        <w:spacing w:before="240" w:after="240" w:line="360" w:lineRule="auto"/>
        <w:ind w:left="567"/>
        <w:jc w:val="both"/>
        <w:rPr>
          <w:rFonts w:ascii="Palatino Linotype" w:eastAsia="Palatino Linotype" w:hAnsi="Palatino Linotype" w:cs="Palatino Linotype"/>
          <w:b/>
        </w:rPr>
      </w:pPr>
      <w:r w:rsidRPr="00B94BFE">
        <w:rPr>
          <w:rFonts w:ascii="Palatino Linotype" w:eastAsia="Palatino Linotype" w:hAnsi="Palatino Linotype" w:cs="Palatino Linotype"/>
          <w:b/>
        </w:rPr>
        <w:t>b) Motivos de inconformidad.</w:t>
      </w:r>
    </w:p>
    <w:p w:rsidR="00B13DC9" w:rsidRPr="00B94BFE" w:rsidRDefault="00804EE6">
      <w:pPr>
        <w:spacing w:before="240" w:after="240" w:line="276" w:lineRule="auto"/>
        <w:ind w:left="851"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w:t>
      </w:r>
      <w:r w:rsidRPr="00B94BFE">
        <w:rPr>
          <w:rFonts w:ascii="Palatino Linotype" w:eastAsia="Palatino Linotype" w:hAnsi="Palatino Linotype" w:cs="Palatino Linotype"/>
          <w:b/>
          <w:i/>
          <w:sz w:val="22"/>
          <w:szCs w:val="22"/>
          <w:u w:val="single"/>
        </w:rPr>
        <w:t xml:space="preserve">Al analizar la respuesta del Sujeto Obligado puede concluir que hace una entrega parcial de la información requerida, debido a que no entrega su respuesta en el formato solicitado -XLSX o CSV- y porque no hace referencia las coordenadas que georreferencian a cada incidente. Además, incumple con aspectos procesales del derecho que nos compete, pues no declara la inexistencia de la información omitida, ni adjunta acta de Comité de Transparencia donde la confirme. </w:t>
      </w:r>
      <w:r w:rsidRPr="00B94BFE">
        <w:rPr>
          <w:rFonts w:ascii="Palatino Linotype" w:eastAsia="Palatino Linotype" w:hAnsi="Palatino Linotype" w:cs="Palatino Linotype"/>
          <w:i/>
          <w:sz w:val="22"/>
          <w:szCs w:val="22"/>
        </w:rPr>
        <w:t>Sostengo que el SO debe poseer la información sobre las coordenadas, debido a que desde el 2010, entre las obligaciones a las entidades de Seguridad Pública se encuentra la de requisitar el Informe Policial Homologado (IPH), mismo que detalla el lugar de los incidentes, incluyendo las coordenadas geográficas y la ubicación exacta de 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Coyotepec,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precisa. Es por lo antes mencionado que, en pleno uso de mi derecho humano de acceso a la información pública, les solicito revocar la respuesta del SO, para que así me entregue la información requerida” (Sic) (Énfasis añadido)</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4. Turno.</w:t>
      </w:r>
      <w:r w:rsidRPr="00B94BFE">
        <w:rPr>
          <w:rFonts w:ascii="Palatino Linotype" w:eastAsia="Palatino Linotype" w:hAnsi="Palatino Linotype" w:cs="Palatino Linotype"/>
          <w:b/>
          <w:sz w:val="28"/>
          <w:szCs w:val="28"/>
        </w:rPr>
        <w:t xml:space="preserve"> </w:t>
      </w:r>
      <w:r w:rsidRPr="00B94BF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B94BFE">
        <w:rPr>
          <w:rFonts w:ascii="Palatino Linotype" w:eastAsia="Palatino Linotype" w:hAnsi="Palatino Linotype" w:cs="Palatino Linotype"/>
          <w:b/>
        </w:rPr>
        <w:t xml:space="preserve">Comisionada Guadalupe Ramírez Peña, </w:t>
      </w:r>
      <w:r w:rsidRPr="00B94BFE">
        <w:rPr>
          <w:rFonts w:ascii="Palatino Linotype" w:eastAsia="Palatino Linotype" w:hAnsi="Palatino Linotype" w:cs="Palatino Linotype"/>
        </w:rPr>
        <w:t>a efecto de que analizara sobre su admisión o su desechamiento.</w:t>
      </w:r>
    </w:p>
    <w:p w:rsidR="00B13DC9" w:rsidRPr="00B94BFE" w:rsidRDefault="00804EE6">
      <w:pPr>
        <w:spacing w:before="240" w:after="240" w:line="360" w:lineRule="auto"/>
        <w:jc w:val="both"/>
        <w:rPr>
          <w:rFonts w:ascii="Palatino Linotype" w:eastAsia="Palatino Linotype" w:hAnsi="Palatino Linotype" w:cs="Palatino Linotype"/>
          <w:b/>
        </w:rPr>
      </w:pPr>
      <w:r w:rsidRPr="00B94BFE">
        <w:rPr>
          <w:rFonts w:ascii="Palatino Linotype" w:eastAsia="Palatino Linotype" w:hAnsi="Palatino Linotype" w:cs="Palatino Linotype"/>
          <w:b/>
        </w:rPr>
        <w:t>5.</w:t>
      </w:r>
      <w:r w:rsidRPr="00B94BFE">
        <w:rPr>
          <w:rFonts w:ascii="Palatino Linotype" w:eastAsia="Palatino Linotype" w:hAnsi="Palatino Linotype" w:cs="Palatino Linotype"/>
          <w:b/>
          <w:i/>
        </w:rPr>
        <w:t xml:space="preserve"> </w:t>
      </w:r>
      <w:r w:rsidRPr="00B94BFE">
        <w:rPr>
          <w:rFonts w:ascii="Palatino Linotype" w:eastAsia="Palatino Linotype" w:hAnsi="Palatino Linotype" w:cs="Palatino Linotype"/>
          <w:b/>
        </w:rPr>
        <w:t>Admisión del Recurso de revisión.</w:t>
      </w:r>
      <w:r w:rsidRPr="00B94BFE">
        <w:rPr>
          <w:rFonts w:ascii="Palatino Linotype" w:eastAsia="Palatino Linotype" w:hAnsi="Palatino Linotype" w:cs="Palatino Linotype"/>
          <w:sz w:val="28"/>
          <w:szCs w:val="28"/>
        </w:rPr>
        <w:t xml:space="preserve"> El</w:t>
      </w:r>
      <w:r w:rsidRPr="00B94BFE">
        <w:rPr>
          <w:rFonts w:ascii="Palatino Linotype" w:eastAsia="Palatino Linotype" w:hAnsi="Palatino Linotype" w:cs="Palatino Linotype"/>
          <w:b/>
        </w:rPr>
        <w:t xml:space="preserve"> veintisiete de junio de dos mil veintidós, </w:t>
      </w:r>
      <w:r w:rsidRPr="00B94BF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presentara su informe justificado.</w:t>
      </w:r>
    </w:p>
    <w:p w:rsidR="00B13DC9" w:rsidRPr="00B94BFE" w:rsidRDefault="00804EE6">
      <w:pPr>
        <w:widowControl w:val="0"/>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6. Manifestaciones</w:t>
      </w:r>
      <w:r w:rsidRPr="00B94BFE">
        <w:rPr>
          <w:rFonts w:ascii="Palatino Linotype" w:eastAsia="Palatino Linotype" w:hAnsi="Palatino Linotype" w:cs="Palatino Linotype"/>
        </w:rPr>
        <w:t>.</w:t>
      </w:r>
      <w:r w:rsidRPr="00B94BFE">
        <w:rPr>
          <w:rFonts w:ascii="Palatino Linotype" w:eastAsia="Palatino Linotype" w:hAnsi="Palatino Linotype" w:cs="Palatino Linotype"/>
          <w:sz w:val="28"/>
          <w:szCs w:val="28"/>
        </w:rPr>
        <w:t xml:space="preserve"> </w:t>
      </w:r>
      <w:r w:rsidRPr="00B94BFE">
        <w:rPr>
          <w:rFonts w:ascii="Palatino Linotype" w:eastAsia="Palatino Linotype" w:hAnsi="Palatino Linotype" w:cs="Palatino Linotype"/>
        </w:rPr>
        <w:t xml:space="preserve">El </w:t>
      </w:r>
      <w:r w:rsidRPr="00B94BFE">
        <w:rPr>
          <w:rFonts w:ascii="Palatino Linotype" w:eastAsia="Palatino Linotype" w:hAnsi="Palatino Linotype" w:cs="Palatino Linotype"/>
          <w:b/>
        </w:rPr>
        <w:t>seis de julio de dos mil veintidós</w:t>
      </w:r>
      <w:r w:rsidRPr="00B94BFE">
        <w:rPr>
          <w:rFonts w:ascii="Palatino Linotype" w:eastAsia="Palatino Linotype" w:hAnsi="Palatino Linotype" w:cs="Palatino Linotype"/>
        </w:rPr>
        <w:t>, el</w:t>
      </w:r>
      <w:r w:rsidRPr="00B94BFE">
        <w:rPr>
          <w:rFonts w:ascii="Palatino Linotype" w:eastAsia="Palatino Linotype" w:hAnsi="Palatino Linotype" w:cs="Palatino Linotype"/>
          <w:b/>
        </w:rPr>
        <w:t xml:space="preserve"> Sujeto Obligado</w:t>
      </w:r>
      <w:r w:rsidRPr="00B94BFE">
        <w:rPr>
          <w:rFonts w:ascii="Palatino Linotype" w:eastAsia="Palatino Linotype" w:hAnsi="Palatino Linotype" w:cs="Palatino Linotype"/>
        </w:rPr>
        <w:t xml:space="preserve">, remitió su informe justificado, mediante los archivos que a continuación se describen: </w:t>
      </w:r>
    </w:p>
    <w:p w:rsidR="00B13DC9" w:rsidRPr="00B94BFE" w:rsidRDefault="00804EE6">
      <w:pPr>
        <w:widowControl w:val="0"/>
        <w:spacing w:before="240" w:after="240" w:line="360" w:lineRule="auto"/>
        <w:ind w:left="567" w:right="900"/>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b/>
          <w:i/>
          <w:sz w:val="22"/>
          <w:szCs w:val="22"/>
        </w:rPr>
        <w:t xml:space="preserve">“OFICIO-SOL-110-2022.pdf”: </w:t>
      </w:r>
      <w:r w:rsidRPr="00B94BFE">
        <w:rPr>
          <w:rFonts w:ascii="Palatino Linotype" w:eastAsia="Palatino Linotype" w:hAnsi="Palatino Linotype" w:cs="Palatino Linotype"/>
          <w:sz w:val="22"/>
          <w:szCs w:val="22"/>
        </w:rPr>
        <w:t xml:space="preserve">Documento de seis fojas, mediante el cual, el Comisario de Seguridad Pública y Movilidad de Coyotepec, Estado de México, refiere que remite copia del oficio emitido por la Jefa del Archivo Municipal y Reclutamiento, quien realizó una búsqueda del archivo de los años 2010 a 2016, referente a la Comisaría de Seguridad Pública y Movilidad, en cuanto a la incidencia delictiva la cual es inexistente. </w:t>
      </w:r>
    </w:p>
    <w:p w:rsidR="00B13DC9" w:rsidRPr="00B94BFE" w:rsidRDefault="00804EE6">
      <w:pPr>
        <w:widowControl w:val="0"/>
        <w:spacing w:before="240" w:after="240" w:line="360" w:lineRule="auto"/>
        <w:ind w:left="567" w:right="900"/>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sz w:val="22"/>
          <w:szCs w:val="22"/>
        </w:rPr>
        <w:t xml:space="preserve">Asimismo expresa que se envía la información como la genera la Comisaría de Seguridad Pública y Movilidad de Coyotepec, misma que es remitida en formato Word, de igual forma hace del conocimiento del </w:t>
      </w:r>
      <w:r w:rsidRPr="00B94BFE">
        <w:rPr>
          <w:rFonts w:ascii="Palatino Linotype" w:eastAsia="Palatino Linotype" w:hAnsi="Palatino Linotype" w:cs="Palatino Linotype"/>
          <w:b/>
          <w:sz w:val="22"/>
          <w:szCs w:val="22"/>
        </w:rPr>
        <w:t>Recurrente</w:t>
      </w:r>
      <w:r w:rsidRPr="00B94BFE">
        <w:rPr>
          <w:rFonts w:ascii="Palatino Linotype" w:eastAsia="Palatino Linotype" w:hAnsi="Palatino Linotype" w:cs="Palatino Linotype"/>
          <w:sz w:val="22"/>
          <w:szCs w:val="22"/>
        </w:rPr>
        <w:t xml:space="preserve"> que el Informe Policial Homologado fue implementado en 2021.</w:t>
      </w:r>
    </w:p>
    <w:p w:rsidR="00B13DC9" w:rsidRPr="00B94BFE" w:rsidRDefault="00804EE6">
      <w:pPr>
        <w:widowControl w:val="0"/>
        <w:spacing w:before="240" w:after="240" w:line="360" w:lineRule="auto"/>
        <w:jc w:val="center"/>
        <w:rPr>
          <w:rFonts w:ascii="Palatino Linotype" w:eastAsia="Palatino Linotype" w:hAnsi="Palatino Linotype" w:cs="Palatino Linotype"/>
          <w:sz w:val="22"/>
          <w:szCs w:val="22"/>
        </w:rPr>
      </w:pPr>
      <w:r w:rsidRPr="00B94BFE">
        <w:rPr>
          <w:rFonts w:ascii="Palatino Linotype" w:eastAsia="Palatino Linotype" w:hAnsi="Palatino Linotype" w:cs="Palatino Linotype"/>
          <w:noProof/>
          <w:sz w:val="22"/>
          <w:szCs w:val="22"/>
          <w:lang w:val="es-MX"/>
        </w:rPr>
        <w:drawing>
          <wp:inline distT="0" distB="0" distL="0" distR="0">
            <wp:extent cx="4809439" cy="6155190"/>
            <wp:effectExtent l="0" t="0" r="0" b="0"/>
            <wp:docPr id="1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4809439" cy="6155190"/>
                    </a:xfrm>
                    <a:prstGeom prst="rect">
                      <a:avLst/>
                    </a:prstGeom>
                    <a:ln/>
                  </pic:spPr>
                </pic:pic>
              </a:graphicData>
            </a:graphic>
          </wp:inline>
        </w:drawing>
      </w:r>
    </w:p>
    <w:p w:rsidR="00B13DC9" w:rsidRPr="00B94BFE" w:rsidRDefault="00804EE6">
      <w:pPr>
        <w:widowControl w:val="0"/>
        <w:spacing w:before="240" w:after="240" w:line="360" w:lineRule="auto"/>
        <w:jc w:val="center"/>
        <w:rPr>
          <w:rFonts w:ascii="Palatino Linotype" w:eastAsia="Palatino Linotype" w:hAnsi="Palatino Linotype" w:cs="Palatino Linotype"/>
          <w:sz w:val="22"/>
          <w:szCs w:val="22"/>
        </w:rPr>
      </w:pPr>
      <w:r w:rsidRPr="00B94BFE">
        <w:rPr>
          <w:rFonts w:ascii="Palatino Linotype" w:eastAsia="Palatino Linotype" w:hAnsi="Palatino Linotype" w:cs="Palatino Linotype"/>
          <w:noProof/>
          <w:sz w:val="22"/>
          <w:szCs w:val="22"/>
          <w:lang w:val="es-MX"/>
        </w:rPr>
        <w:drawing>
          <wp:inline distT="0" distB="0" distL="0" distR="0">
            <wp:extent cx="5612130" cy="7012940"/>
            <wp:effectExtent l="0" t="0" r="0" b="0"/>
            <wp:docPr id="1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612130" cy="7012940"/>
                    </a:xfrm>
                    <a:prstGeom prst="rect">
                      <a:avLst/>
                    </a:prstGeom>
                    <a:ln/>
                  </pic:spPr>
                </pic:pic>
              </a:graphicData>
            </a:graphic>
          </wp:inline>
        </w:drawing>
      </w:r>
    </w:p>
    <w:p w:rsidR="00B13DC9" w:rsidRPr="00B94BFE" w:rsidRDefault="00804EE6">
      <w:pPr>
        <w:widowControl w:val="0"/>
        <w:spacing w:before="240" w:after="240" w:line="360" w:lineRule="auto"/>
        <w:jc w:val="center"/>
        <w:rPr>
          <w:rFonts w:ascii="Palatino Linotype" w:eastAsia="Palatino Linotype" w:hAnsi="Palatino Linotype" w:cs="Palatino Linotype"/>
          <w:sz w:val="22"/>
          <w:szCs w:val="22"/>
        </w:rPr>
      </w:pPr>
      <w:r w:rsidRPr="00B94BFE">
        <w:rPr>
          <w:rFonts w:ascii="Palatino Linotype" w:eastAsia="Palatino Linotype" w:hAnsi="Palatino Linotype" w:cs="Palatino Linotype"/>
          <w:noProof/>
          <w:sz w:val="22"/>
          <w:szCs w:val="22"/>
          <w:lang w:val="es-MX"/>
        </w:rPr>
        <w:drawing>
          <wp:inline distT="0" distB="0" distL="0" distR="0">
            <wp:extent cx="4621307" cy="4994128"/>
            <wp:effectExtent l="0" t="0" r="0" b="0"/>
            <wp:docPr id="11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4621307" cy="4994128"/>
                    </a:xfrm>
                    <a:prstGeom prst="rect">
                      <a:avLst/>
                    </a:prstGeom>
                    <a:ln/>
                  </pic:spPr>
                </pic:pic>
              </a:graphicData>
            </a:graphic>
          </wp:inline>
        </w:drawing>
      </w:r>
    </w:p>
    <w:p w:rsidR="00B13DC9" w:rsidRPr="00B94BFE" w:rsidRDefault="00804EE6">
      <w:pPr>
        <w:widowControl w:val="0"/>
        <w:spacing w:before="240" w:after="240" w:line="360" w:lineRule="auto"/>
        <w:ind w:left="567" w:right="900"/>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b/>
          <w:i/>
          <w:sz w:val="22"/>
          <w:szCs w:val="22"/>
        </w:rPr>
        <w:t xml:space="preserve">“PRUEBA DE DAÑO-COM.pdf”: </w:t>
      </w:r>
      <w:r w:rsidRPr="00B94BFE">
        <w:rPr>
          <w:rFonts w:ascii="Palatino Linotype" w:eastAsia="Palatino Linotype" w:hAnsi="Palatino Linotype" w:cs="Palatino Linotype"/>
          <w:sz w:val="22"/>
          <w:szCs w:val="22"/>
        </w:rPr>
        <w:t>Oficio signado por el Comisario de Seguridad Pública y Movilidad de Coyotepec, Estado de México</w:t>
      </w:r>
      <w:r w:rsidRPr="00B94BFE">
        <w:rPr>
          <w:rFonts w:ascii="Palatino Linotype" w:eastAsia="Palatino Linotype" w:hAnsi="Palatino Linotype" w:cs="Palatino Linotype"/>
          <w:b/>
          <w:i/>
          <w:sz w:val="22"/>
          <w:szCs w:val="22"/>
        </w:rPr>
        <w:t xml:space="preserve">, </w:t>
      </w:r>
      <w:r w:rsidRPr="00B94BFE">
        <w:rPr>
          <w:rFonts w:ascii="Palatino Linotype" w:eastAsia="Palatino Linotype" w:hAnsi="Palatino Linotype" w:cs="Palatino Linotype"/>
          <w:sz w:val="22"/>
          <w:szCs w:val="22"/>
        </w:rPr>
        <w:t xml:space="preserve">dirigido a la Titular de la Unidad de Transparencia, mediante el cual desarrolla la prueba de daño para efecto de que se someta al Comité de Transparencia para su aprobación y emisión del acuerdo de clasificación que corresponda. </w:t>
      </w:r>
    </w:p>
    <w:p w:rsidR="00B13DC9" w:rsidRPr="00B94BFE" w:rsidRDefault="00804EE6">
      <w:pPr>
        <w:widowControl w:val="0"/>
        <w:spacing w:before="240" w:after="240" w:line="360" w:lineRule="auto"/>
        <w:ind w:left="567" w:right="900"/>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noProof/>
          <w:sz w:val="22"/>
          <w:szCs w:val="22"/>
          <w:lang w:val="es-MX"/>
        </w:rPr>
        <w:drawing>
          <wp:inline distT="0" distB="0" distL="0" distR="0">
            <wp:extent cx="5048688" cy="6995913"/>
            <wp:effectExtent l="0" t="0" r="0" b="0"/>
            <wp:docPr id="1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5048688" cy="6995913"/>
                    </a:xfrm>
                    <a:prstGeom prst="rect">
                      <a:avLst/>
                    </a:prstGeom>
                    <a:ln/>
                  </pic:spPr>
                </pic:pic>
              </a:graphicData>
            </a:graphic>
          </wp:inline>
        </w:drawing>
      </w:r>
    </w:p>
    <w:p w:rsidR="00B13DC9" w:rsidRPr="00B94BFE" w:rsidRDefault="00804EE6">
      <w:pPr>
        <w:widowControl w:val="0"/>
        <w:spacing w:before="240" w:after="240" w:line="360" w:lineRule="auto"/>
        <w:ind w:left="567" w:right="900"/>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noProof/>
          <w:sz w:val="22"/>
          <w:szCs w:val="22"/>
          <w:lang w:val="es-MX"/>
        </w:rPr>
        <w:drawing>
          <wp:inline distT="0" distB="0" distL="0" distR="0">
            <wp:extent cx="4548801" cy="4566888"/>
            <wp:effectExtent l="0" t="0" r="0" b="0"/>
            <wp:docPr id="1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4548801" cy="4566888"/>
                    </a:xfrm>
                    <a:prstGeom prst="rect">
                      <a:avLst/>
                    </a:prstGeom>
                    <a:ln/>
                  </pic:spPr>
                </pic:pic>
              </a:graphicData>
            </a:graphic>
          </wp:inline>
        </w:drawing>
      </w:r>
    </w:p>
    <w:p w:rsidR="00B13DC9" w:rsidRPr="00B94BFE" w:rsidRDefault="00804EE6">
      <w:pPr>
        <w:widowControl w:val="0"/>
        <w:spacing w:before="240" w:after="240" w:line="360" w:lineRule="auto"/>
        <w:ind w:left="567" w:right="758"/>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b/>
          <w:i/>
          <w:sz w:val="22"/>
          <w:szCs w:val="22"/>
        </w:rPr>
        <w:t xml:space="preserve">“ACTA-13-EXT-13-2022.pdf”: </w:t>
      </w:r>
      <w:r w:rsidRPr="00B94BFE">
        <w:rPr>
          <w:rFonts w:ascii="Palatino Linotype" w:eastAsia="Palatino Linotype" w:hAnsi="Palatino Linotype" w:cs="Palatino Linotype"/>
          <w:sz w:val="22"/>
          <w:szCs w:val="22"/>
        </w:rPr>
        <w:t>Acta de la Décima Tercera Sesión Extraordinaria del Comité de Transparencia, celebrada el uno de julio de dos mil veintidós, mediante la cual se aprobó la declaración de inexistencia de información del Informe Policial Homologado (IPH) de los años 2010 al 2016 y la clasificación parcial de la información como reservada de las documentales de Informe Policial Homologado (IPH) de los años 2017-2022.</w:t>
      </w:r>
    </w:p>
    <w:p w:rsidR="00B13DC9" w:rsidRPr="00B94BFE" w:rsidRDefault="00804EE6">
      <w:pPr>
        <w:widowControl w:val="0"/>
        <w:spacing w:before="240" w:after="240" w:line="360" w:lineRule="auto"/>
        <w:ind w:left="567" w:right="758"/>
        <w:jc w:val="center"/>
        <w:rPr>
          <w:rFonts w:ascii="Palatino Linotype" w:eastAsia="Palatino Linotype" w:hAnsi="Palatino Linotype" w:cs="Palatino Linotype"/>
          <w:sz w:val="22"/>
          <w:szCs w:val="22"/>
        </w:rPr>
      </w:pPr>
      <w:r w:rsidRPr="00B94BFE">
        <w:rPr>
          <w:rFonts w:ascii="Palatino Linotype" w:eastAsia="Palatino Linotype" w:hAnsi="Palatino Linotype" w:cs="Palatino Linotype"/>
          <w:noProof/>
          <w:sz w:val="22"/>
          <w:szCs w:val="22"/>
          <w:lang w:val="es-MX"/>
        </w:rPr>
        <w:drawing>
          <wp:inline distT="0" distB="0" distL="0" distR="0">
            <wp:extent cx="4196991" cy="5647750"/>
            <wp:effectExtent l="0" t="0" r="0" b="0"/>
            <wp:docPr id="1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4196991" cy="5647750"/>
                    </a:xfrm>
                    <a:prstGeom prst="rect">
                      <a:avLst/>
                    </a:prstGeom>
                    <a:ln/>
                  </pic:spPr>
                </pic:pic>
              </a:graphicData>
            </a:graphic>
          </wp:inline>
        </w:drawing>
      </w:r>
    </w:p>
    <w:p w:rsidR="00B13DC9" w:rsidRPr="00B94BFE" w:rsidRDefault="00804EE6">
      <w:pPr>
        <w:spacing w:before="240" w:after="240" w:line="360" w:lineRule="auto"/>
        <w:ind w:left="567" w:right="900"/>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b/>
          <w:i/>
          <w:sz w:val="22"/>
          <w:szCs w:val="22"/>
        </w:rPr>
        <w:t>“CONTESTACION SOLICITUD- 00110-COYOTEP-IP-2022 S-C.docx”:</w:t>
      </w:r>
      <w:r w:rsidRPr="00B94BFE">
        <w:rPr>
          <w:rFonts w:ascii="Palatino Linotype" w:eastAsia="Palatino Linotype" w:hAnsi="Palatino Linotype" w:cs="Palatino Linotype"/>
        </w:rPr>
        <w:t xml:space="preserve"> Documento en Word de veintidós fojas en el que se aprecia la base de datos correspondiente a los años 2017-2022, de la que se desprenden datos como: tipo de incidente, hora del incidente o evento, fecha del incidente, lugar del incidente o evento y ubicación del incidente o evento.</w:t>
      </w:r>
    </w:p>
    <w:p w:rsidR="00B13DC9" w:rsidRPr="00B94BFE" w:rsidRDefault="00D91DD4">
      <w:pPr>
        <w:spacing w:before="240" w:after="240" w:line="276" w:lineRule="auto"/>
        <w:ind w:left="851" w:right="900"/>
        <w:jc w:val="both"/>
        <w:rPr>
          <w:rFonts w:ascii="Palatino Linotype" w:eastAsia="Palatino Linotype" w:hAnsi="Palatino Linotype" w:cs="Palatino Linotype"/>
          <w:sz w:val="22"/>
          <w:szCs w:val="22"/>
        </w:rPr>
      </w:pPr>
      <w:r>
        <w:rPr>
          <w:noProof/>
          <w:lang w:val="es-MX"/>
        </w:rPr>
        <w:drawing>
          <wp:inline distT="0" distB="0" distL="0" distR="0" wp14:anchorId="264D89FF" wp14:editId="07B3B2CA">
            <wp:extent cx="4536209" cy="304036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87" t="30630" r="31921" b="21554"/>
                    <a:stretch/>
                  </pic:blipFill>
                  <pic:spPr bwMode="auto">
                    <a:xfrm>
                      <a:off x="0" y="0"/>
                      <a:ext cx="4570706" cy="3063491"/>
                    </a:xfrm>
                    <a:prstGeom prst="rect">
                      <a:avLst/>
                    </a:prstGeom>
                    <a:ln>
                      <a:noFill/>
                    </a:ln>
                    <a:extLst>
                      <a:ext uri="{53640926-AAD7-44D8-BBD7-CCE9431645EC}">
                        <a14:shadowObscured xmlns:a14="http://schemas.microsoft.com/office/drawing/2010/main"/>
                      </a:ext>
                    </a:extLst>
                  </pic:spPr>
                </pic:pic>
              </a:graphicData>
            </a:graphic>
          </wp:inline>
        </w:drawing>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Es de precisar que una vez revisada</w:t>
      </w:r>
      <w:r w:rsidRPr="00B94BFE">
        <w:rPr>
          <w:rFonts w:ascii="Palatino Linotype" w:eastAsia="Palatino Linotype" w:hAnsi="Palatino Linotype" w:cs="Palatino Linotype"/>
          <w:b/>
        </w:rPr>
        <w:t xml:space="preserve"> </w:t>
      </w:r>
      <w:r w:rsidRPr="00B94BFE">
        <w:rPr>
          <w:rFonts w:ascii="Palatino Linotype" w:eastAsia="Palatino Linotype" w:hAnsi="Palatino Linotype" w:cs="Palatino Linotype"/>
        </w:rPr>
        <w:t xml:space="preserve">esta documentación, se puso a disposición del particular mediante acuerdo emitido por la Comisionada Ponente, el </w:t>
      </w:r>
      <w:r w:rsidRPr="00B94BFE">
        <w:rPr>
          <w:rFonts w:ascii="Palatino Linotype" w:eastAsia="Palatino Linotype" w:hAnsi="Palatino Linotype" w:cs="Palatino Linotype"/>
          <w:b/>
        </w:rPr>
        <w:t>ocho de noviembre de dos mil veintidós</w:t>
      </w:r>
      <w:r w:rsidRPr="00B94BFE">
        <w:rPr>
          <w:rFonts w:ascii="Palatino Linotype" w:eastAsia="Palatino Linotype" w:hAnsi="Palatino Linotype" w:cs="Palatino Linotype"/>
        </w:rPr>
        <w:t>, asimismo por cuanto hace al particular, se advierte que no emitió manifestaciones o alegatos que a su derecho convinieran, por lo tanto, se tiene por precluido su derecho para tal efecto.</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noProof/>
          <w:lang w:val="es-MX"/>
        </w:rPr>
        <w:drawing>
          <wp:inline distT="0" distB="0" distL="0" distR="0">
            <wp:extent cx="5586358" cy="2492307"/>
            <wp:effectExtent l="0" t="0" r="0" b="0"/>
            <wp:docPr id="1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5586358" cy="2492307"/>
                    </a:xfrm>
                    <a:prstGeom prst="rect">
                      <a:avLst/>
                    </a:prstGeom>
                    <a:ln/>
                  </pic:spPr>
                </pic:pic>
              </a:graphicData>
            </a:graphic>
          </wp:inline>
        </w:drawing>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 xml:space="preserve">7. Ampliación de plazo. </w:t>
      </w:r>
      <w:r w:rsidRPr="00B94BFE">
        <w:rPr>
          <w:rFonts w:ascii="Palatino Linotype" w:eastAsia="Palatino Linotype" w:hAnsi="Palatino Linotype" w:cs="Palatino Linotype"/>
        </w:rPr>
        <w:t xml:space="preserve">El </w:t>
      </w:r>
      <w:r w:rsidRPr="00B94BFE">
        <w:rPr>
          <w:rFonts w:ascii="Palatino Linotype" w:eastAsia="Palatino Linotype" w:hAnsi="Palatino Linotype" w:cs="Palatino Linotype"/>
          <w:b/>
        </w:rPr>
        <w:t>ocho de noviembre de dos mil veintidós</w:t>
      </w:r>
      <w:r w:rsidRPr="00B94BFE">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rsidR="00B13DC9" w:rsidRPr="00B94BFE" w:rsidRDefault="00804EE6">
      <w:pPr>
        <w:numPr>
          <w:ilvl w:val="0"/>
          <w:numId w:val="11"/>
        </w:numPr>
        <w:pBdr>
          <w:top w:val="nil"/>
          <w:left w:val="nil"/>
          <w:bottom w:val="nil"/>
          <w:right w:val="nil"/>
          <w:between w:val="nil"/>
        </w:pBdr>
        <w:spacing w:before="240" w:after="240" w:line="360" w:lineRule="auto"/>
        <w:ind w:left="567" w:right="1183" w:hanging="283"/>
        <w:jc w:val="both"/>
        <w:rPr>
          <w:rFonts w:ascii="Palatino Linotype" w:eastAsia="Palatino Linotype" w:hAnsi="Palatino Linotype" w:cs="Palatino Linotype"/>
        </w:rPr>
      </w:pPr>
      <w:r w:rsidRPr="00B94BFE">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rsidR="00B13DC9" w:rsidRPr="00B94BFE" w:rsidRDefault="00804EE6">
      <w:pPr>
        <w:numPr>
          <w:ilvl w:val="0"/>
          <w:numId w:val="11"/>
        </w:numPr>
        <w:spacing w:before="240" w:after="240" w:line="360" w:lineRule="auto"/>
        <w:ind w:left="567" w:right="1183" w:hanging="283"/>
        <w:jc w:val="both"/>
        <w:rPr>
          <w:rFonts w:ascii="Palatino Linotype" w:eastAsia="Palatino Linotype" w:hAnsi="Palatino Linotype" w:cs="Palatino Linotype"/>
        </w:rPr>
      </w:pPr>
      <w:r w:rsidRPr="00B94BFE">
        <w:rPr>
          <w:rFonts w:ascii="Palatino Linotype" w:eastAsia="Palatino Linotype" w:hAnsi="Palatino Linotype" w:cs="Palatino Linotype"/>
        </w:rPr>
        <w:t>Actividad Procesal del interesado: Acciones u omisiones del interesado.</w:t>
      </w:r>
    </w:p>
    <w:p w:rsidR="00B13DC9" w:rsidRPr="00B94BFE" w:rsidRDefault="00804EE6">
      <w:pPr>
        <w:numPr>
          <w:ilvl w:val="0"/>
          <w:numId w:val="11"/>
        </w:numPr>
        <w:pBdr>
          <w:top w:val="nil"/>
          <w:left w:val="nil"/>
          <w:bottom w:val="nil"/>
          <w:right w:val="nil"/>
          <w:between w:val="nil"/>
        </w:pBdr>
        <w:spacing w:before="240" w:after="240" w:line="360" w:lineRule="auto"/>
        <w:ind w:left="284" w:right="1183"/>
        <w:jc w:val="both"/>
        <w:rPr>
          <w:rFonts w:ascii="Palatino Linotype" w:eastAsia="Palatino Linotype" w:hAnsi="Palatino Linotype" w:cs="Palatino Linotype"/>
        </w:rPr>
      </w:pPr>
      <w:r w:rsidRPr="00B94BFE">
        <w:rPr>
          <w:rFonts w:ascii="Palatino Linotype" w:eastAsia="Palatino Linotype" w:hAnsi="Palatino Linotype" w:cs="Palatino Linotype"/>
        </w:rPr>
        <w:t>Conducta de la Autoridad: Las Acciones u omisiones realizadas en el procedimiento. Así como si la autoridad actuó con la debida diligencia.</w:t>
      </w:r>
    </w:p>
    <w:p w:rsidR="00B13DC9" w:rsidRPr="00B94BFE" w:rsidRDefault="00804EE6">
      <w:pPr>
        <w:spacing w:before="240" w:after="240" w:line="360" w:lineRule="auto"/>
        <w:ind w:left="567" w:right="1183" w:hanging="283"/>
        <w:jc w:val="both"/>
        <w:rPr>
          <w:rFonts w:ascii="Palatino Linotype" w:eastAsia="Palatino Linotype" w:hAnsi="Palatino Linotype" w:cs="Palatino Linotype"/>
        </w:rPr>
      </w:pPr>
      <w:r w:rsidRPr="00B94BFE">
        <w:rPr>
          <w:rFonts w:ascii="Palatino Linotype" w:eastAsia="Palatino Linotype" w:hAnsi="Palatino Linotype" w:cs="Palatino Linotype"/>
        </w:rPr>
        <w:t>d) La afectación generada en la situación jurídica de la persona involucrada en el proceso: Violación a sus derechos humanos.</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94BF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94BFE">
        <w:rPr>
          <w:rFonts w:ascii="Palatino Linotype" w:eastAsia="Palatino Linotype" w:hAnsi="Palatino Linotype" w:cs="Palatino Linotype"/>
        </w:rPr>
        <w:t>, visible en la Gaceta del Seminario Judicial de la Federación con el registro digital 205635.</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w:t>
      </w:r>
      <w:r w:rsidRPr="00B94BFE">
        <w:rPr>
          <w:rFonts w:ascii="Palatino Linotype" w:eastAsia="Palatino Linotype" w:hAnsi="Palatino Linotype" w:cs="Palatino Linotype"/>
          <w:i/>
        </w:rPr>
        <w:t>“PLAZO RAZONABLE PARA RESOLVER. DIMENSIÓN Y EFECTOS DE ESTE CONCEPTO CUANDO SE ADUCE EXCESIVA CARGA DE TRABAJO.”</w:t>
      </w:r>
      <w:r w:rsidRPr="00B94BFE">
        <w:rPr>
          <w:rFonts w:ascii="Palatino Linotype" w:eastAsia="Palatino Linotype" w:hAnsi="Palatino Linotype" w:cs="Palatino Linotype"/>
        </w:rPr>
        <w:t xml:space="preserve"> consultable en el Seminario Judicial de la Federación y su gaceta, con el registro digital 2002351.</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i/>
        </w:rPr>
        <w:t>“PLAZO RAZONABLE PARA RESOLVER. CONCEPTO Y ELEMENTOS QUE LO INTEGRAN A LA LUZ DEL DERECHO INTERNACIONAL DE LOS DERECHOS HUMANOS.”</w:t>
      </w:r>
      <w:r w:rsidRPr="00B94BFE">
        <w:rPr>
          <w:rFonts w:ascii="Palatino Linotype" w:eastAsia="Palatino Linotype" w:hAnsi="Palatino Linotype" w:cs="Palatino Linotype"/>
        </w:rPr>
        <w:t>, visible en el Seminario Judicial de la Federación y su gaceta, con el registro digital 2002350.</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 xml:space="preserve">8. Cierre de instrucción. </w:t>
      </w:r>
      <w:r w:rsidRPr="00B94BFE">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B94BFE">
        <w:rPr>
          <w:rFonts w:ascii="Palatino Linotype" w:eastAsia="Palatino Linotype" w:hAnsi="Palatino Linotype" w:cs="Palatino Linotype"/>
          <w:b/>
        </w:rPr>
        <w:t>diecisiete de noviembre de dos mil veintidós</w:t>
      </w:r>
      <w:r w:rsidRPr="00B94BF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rsidR="00B13DC9" w:rsidRPr="00B94BFE" w:rsidRDefault="00804EE6">
      <w:pPr>
        <w:widowControl w:val="0"/>
        <w:spacing w:before="240" w:after="240" w:line="360" w:lineRule="auto"/>
        <w:jc w:val="center"/>
        <w:rPr>
          <w:rFonts w:ascii="Palatino Linotype" w:eastAsia="Palatino Linotype" w:hAnsi="Palatino Linotype" w:cs="Palatino Linotype"/>
          <w:b/>
        </w:rPr>
      </w:pPr>
      <w:r w:rsidRPr="00B94BFE">
        <w:rPr>
          <w:rFonts w:ascii="Palatino Linotype" w:eastAsia="Palatino Linotype" w:hAnsi="Palatino Linotype" w:cs="Palatino Linotype"/>
          <w:b/>
        </w:rPr>
        <w:t>II. C O N S I D E R A N D O</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Primero. Competencia.</w:t>
      </w:r>
      <w:r w:rsidRPr="00B94BF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B94BFE">
        <w:rPr>
          <w:rFonts w:ascii="Palatino Linotype" w:eastAsia="Palatino Linotype" w:hAnsi="Palatino Linotype" w:cs="Palatino Linotype"/>
          <w:b/>
        </w:rPr>
        <w:t>el Recurrente</w:t>
      </w:r>
      <w:r w:rsidRPr="00B94BFE">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B13DC9" w:rsidRPr="00B94BFE" w:rsidRDefault="00804EE6">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B94BFE">
        <w:rPr>
          <w:rFonts w:ascii="Palatino Linotype" w:eastAsia="Palatino Linotype" w:hAnsi="Palatino Linotype" w:cs="Palatino Linotype"/>
          <w:b/>
        </w:rPr>
        <w:t>Segundo. Oportunidad y Procedibilidad del Recurso de Revisión</w:t>
      </w:r>
      <w:r w:rsidRPr="00B94BFE">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respondió a la solicitud de información el </w:t>
      </w:r>
      <w:r w:rsidRPr="00B94BFE">
        <w:rPr>
          <w:rFonts w:ascii="Palatino Linotype" w:eastAsia="Palatino Linotype" w:hAnsi="Palatino Linotype" w:cs="Palatino Linotype"/>
          <w:b/>
        </w:rPr>
        <w:t xml:space="preserve">quince de junio de dos mil veintidós, </w:t>
      </w:r>
      <w:r w:rsidRPr="00B94BFE">
        <w:rPr>
          <w:rFonts w:ascii="Palatino Linotype" w:eastAsia="Palatino Linotype" w:hAnsi="Palatino Linotype" w:cs="Palatino Linotype"/>
        </w:rPr>
        <w:t xml:space="preserve">mientras que el recurso de revisión se interpuso el </w:t>
      </w:r>
      <w:r w:rsidRPr="00B94BFE">
        <w:rPr>
          <w:rFonts w:ascii="Palatino Linotype" w:eastAsia="Palatino Linotype" w:hAnsi="Palatino Linotype" w:cs="Palatino Linotype"/>
          <w:b/>
        </w:rPr>
        <w:t>veintidós de junio de dos mil veintidós</w:t>
      </w:r>
      <w:r w:rsidRPr="00B94BFE">
        <w:rPr>
          <w:rFonts w:ascii="Palatino Linotype" w:eastAsia="Palatino Linotype" w:hAnsi="Palatino Linotype" w:cs="Palatino Linotype"/>
        </w:rPr>
        <w:t xml:space="preserve">, esto es, el </w:t>
      </w:r>
      <w:r w:rsidRPr="00B94BFE">
        <w:rPr>
          <w:rFonts w:ascii="Palatino Linotype" w:eastAsia="Palatino Linotype" w:hAnsi="Palatino Linotype" w:cs="Palatino Linotype"/>
          <w:b/>
        </w:rPr>
        <w:t>quinto día hábil</w:t>
      </w:r>
      <w:r w:rsidRPr="00B94BFE">
        <w:rPr>
          <w:rFonts w:ascii="Palatino Linotype" w:eastAsia="Palatino Linotype" w:hAnsi="Palatino Linotype" w:cs="Palatino Linotype"/>
        </w:rPr>
        <w:t xml:space="preserve"> posterior en que tuvo conocimiento de la respuesta impugnada.</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fracciones III, V y VIII del ordenamiento legal citado, que a la letra dice: </w:t>
      </w:r>
    </w:p>
    <w:p w:rsidR="00B13DC9" w:rsidRPr="00B94BFE" w:rsidRDefault="00804EE6">
      <w:pPr>
        <w:tabs>
          <w:tab w:val="left" w:pos="7088"/>
        </w:tabs>
        <w:spacing w:before="240" w:after="240" w:line="276" w:lineRule="auto"/>
        <w:ind w:left="851"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w:t>
      </w:r>
      <w:r w:rsidRPr="00B94BFE">
        <w:rPr>
          <w:rFonts w:ascii="Palatino Linotype" w:eastAsia="Palatino Linotype" w:hAnsi="Palatino Linotype" w:cs="Palatino Linotype"/>
          <w:b/>
          <w:i/>
          <w:sz w:val="22"/>
          <w:szCs w:val="22"/>
        </w:rPr>
        <w:t>Artículo 179.</w:t>
      </w:r>
      <w:r w:rsidRPr="00B94BF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B13DC9" w:rsidRPr="00B94BFE" w:rsidRDefault="00804EE6">
      <w:pPr>
        <w:tabs>
          <w:tab w:val="left" w:pos="7088"/>
        </w:tabs>
        <w:spacing w:before="240" w:after="240" w:line="276" w:lineRule="auto"/>
        <w:ind w:left="851"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w:t>
      </w:r>
    </w:p>
    <w:p w:rsidR="00B13DC9" w:rsidRPr="00B94BFE" w:rsidRDefault="00804EE6">
      <w:pPr>
        <w:tabs>
          <w:tab w:val="left" w:pos="7088"/>
        </w:tabs>
        <w:spacing w:before="240" w:after="240" w:line="276" w:lineRule="auto"/>
        <w:ind w:left="851" w:right="900"/>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III. La declaración de inexistencia de la información;</w:t>
      </w:r>
    </w:p>
    <w:p w:rsidR="00B13DC9" w:rsidRPr="00B94BFE" w:rsidRDefault="00804EE6">
      <w:pPr>
        <w:tabs>
          <w:tab w:val="left" w:pos="7088"/>
        </w:tabs>
        <w:spacing w:before="240" w:after="240" w:line="276" w:lineRule="auto"/>
        <w:ind w:left="851" w:right="900"/>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w:t>
      </w:r>
    </w:p>
    <w:p w:rsidR="00B13DC9" w:rsidRPr="00B94BFE" w:rsidRDefault="00804EE6">
      <w:pPr>
        <w:tabs>
          <w:tab w:val="left" w:pos="7088"/>
        </w:tabs>
        <w:spacing w:before="240" w:after="240" w:line="276" w:lineRule="auto"/>
        <w:ind w:left="851" w:right="900"/>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V. La entrega de información incompleta;</w:t>
      </w:r>
    </w:p>
    <w:p w:rsidR="00B13DC9" w:rsidRPr="00B94BFE" w:rsidRDefault="00804EE6">
      <w:pPr>
        <w:tabs>
          <w:tab w:val="left" w:pos="7088"/>
        </w:tabs>
        <w:spacing w:before="240" w:after="240" w:line="276" w:lineRule="auto"/>
        <w:ind w:left="851" w:right="900"/>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w:t>
      </w:r>
    </w:p>
    <w:p w:rsidR="00B13DC9" w:rsidRPr="00B94BFE" w:rsidRDefault="00804EE6">
      <w:pPr>
        <w:tabs>
          <w:tab w:val="left" w:pos="7088"/>
        </w:tabs>
        <w:spacing w:before="240" w:after="240" w:line="276" w:lineRule="auto"/>
        <w:ind w:left="851" w:right="900"/>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VIII. La notificación, entrega o puesta a disposición de información en una modalidad o formato distinto al solicitado;</w:t>
      </w:r>
      <w:r w:rsidRPr="00B94BFE">
        <w:rPr>
          <w:rFonts w:ascii="Palatino Linotype" w:eastAsia="Palatino Linotype" w:hAnsi="Palatino Linotype" w:cs="Palatino Linotype"/>
          <w:b/>
          <w:i/>
          <w:sz w:val="22"/>
          <w:szCs w:val="22"/>
        </w:rPr>
        <w:br/>
        <w:t>…</w:t>
      </w:r>
      <w:r w:rsidRPr="00B94BFE">
        <w:rPr>
          <w:rFonts w:ascii="Palatino Linotype" w:eastAsia="Palatino Linotype" w:hAnsi="Palatino Linotype" w:cs="Palatino Linotype"/>
          <w:i/>
          <w:sz w:val="22"/>
          <w:szCs w:val="22"/>
        </w:rPr>
        <w:t>”</w:t>
      </w:r>
    </w:p>
    <w:p w:rsidR="00B13DC9" w:rsidRPr="00B94BFE" w:rsidRDefault="00804EE6">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(Énfasis añadido)</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 xml:space="preserve">Tercero. Materia de la revisión. </w:t>
      </w:r>
      <w:r w:rsidRPr="00B94BF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94BF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B94BFE">
        <w:rPr>
          <w:rFonts w:ascii="Palatino Linotype" w:eastAsia="Palatino Linotype" w:hAnsi="Palatino Linotype" w:cs="Palatino Linotype"/>
        </w:rPr>
        <w:t xml:space="preserve">del </w:t>
      </w:r>
      <w:r w:rsidRPr="00B94BFE">
        <w:rPr>
          <w:rFonts w:ascii="Palatino Linotype" w:eastAsia="Palatino Linotype" w:hAnsi="Palatino Linotype" w:cs="Palatino Linotype"/>
          <w:b/>
        </w:rPr>
        <w:t>Recurrente,</w:t>
      </w:r>
      <w:r w:rsidRPr="00B94BFE">
        <w:rPr>
          <w:rFonts w:ascii="Palatino Linotype" w:eastAsia="Palatino Linotype" w:hAnsi="Palatino Linotype" w:cs="Palatino Linotype"/>
        </w:rPr>
        <w:t xml:space="preserve"> o en su defecto, en caso de ser procedente, ordenar la entrega de información oportuna.</w:t>
      </w:r>
    </w:p>
    <w:p w:rsidR="00B13DC9" w:rsidRPr="00B94BFE" w:rsidRDefault="00804EE6">
      <w:pPr>
        <w:pBdr>
          <w:top w:val="nil"/>
          <w:left w:val="nil"/>
          <w:bottom w:val="nil"/>
          <w:right w:val="nil"/>
          <w:between w:val="nil"/>
        </w:pBdr>
        <w:spacing w:before="240" w:after="240" w:line="360" w:lineRule="auto"/>
        <w:jc w:val="both"/>
      </w:pPr>
      <w:r w:rsidRPr="00B94BFE">
        <w:rPr>
          <w:rFonts w:ascii="Palatino Linotype" w:eastAsia="Palatino Linotype" w:hAnsi="Palatino Linotype" w:cs="Palatino Linotype"/>
          <w:b/>
        </w:rPr>
        <w:t xml:space="preserve">Cuarto. Estudio del asunto. </w:t>
      </w:r>
      <w:r w:rsidRPr="00B94BFE">
        <w:rPr>
          <w:rFonts w:ascii="Palatino Linotype" w:eastAsia="Palatino Linotype" w:hAnsi="Palatino Linotype" w:cs="Palatino Linotype"/>
        </w:rPr>
        <w:t xml:space="preserve">Antes de entrar al análisis de los pronunciamientos del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B13DC9" w:rsidRPr="00B94BFE" w:rsidRDefault="00804EE6">
      <w:pPr>
        <w:pBdr>
          <w:top w:val="nil"/>
          <w:left w:val="nil"/>
          <w:bottom w:val="nil"/>
          <w:right w:val="nil"/>
          <w:between w:val="nil"/>
        </w:pBdr>
        <w:spacing w:before="240" w:after="240"/>
        <w:ind w:left="851" w:right="850"/>
        <w:jc w:val="both"/>
      </w:pPr>
      <w:r w:rsidRPr="00B94BFE">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94BF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B13DC9" w:rsidRPr="00B94BFE" w:rsidRDefault="00804EE6">
      <w:pPr>
        <w:pBdr>
          <w:top w:val="nil"/>
          <w:left w:val="nil"/>
          <w:bottom w:val="nil"/>
          <w:right w:val="nil"/>
          <w:between w:val="nil"/>
        </w:pBdr>
        <w:spacing w:before="240" w:after="240"/>
        <w:ind w:left="851" w:right="850"/>
        <w:jc w:val="both"/>
      </w:pPr>
      <w:r w:rsidRPr="00B94BF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B13DC9" w:rsidRPr="00B94BFE" w:rsidRDefault="00804EE6">
      <w:pPr>
        <w:pBdr>
          <w:top w:val="nil"/>
          <w:left w:val="nil"/>
          <w:bottom w:val="nil"/>
          <w:right w:val="nil"/>
          <w:between w:val="nil"/>
        </w:pBdr>
        <w:spacing w:before="240" w:after="240"/>
        <w:ind w:left="851" w:right="850"/>
        <w:jc w:val="both"/>
      </w:pPr>
      <w:r w:rsidRPr="00B94BFE">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94BFE">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B13DC9" w:rsidRPr="00B94BFE" w:rsidRDefault="00804EE6">
      <w:pPr>
        <w:pBdr>
          <w:top w:val="nil"/>
          <w:left w:val="nil"/>
          <w:bottom w:val="nil"/>
          <w:right w:val="nil"/>
          <w:between w:val="nil"/>
        </w:pBdr>
        <w:spacing w:before="240" w:after="240"/>
        <w:ind w:left="851" w:right="850"/>
        <w:jc w:val="both"/>
      </w:pPr>
      <w:r w:rsidRPr="00B94BFE">
        <w:rPr>
          <w:rFonts w:ascii="Palatino Linotype" w:eastAsia="Palatino Linotype" w:hAnsi="Palatino Linotype" w:cs="Palatino Linotype"/>
          <w:i/>
          <w:sz w:val="22"/>
          <w:szCs w:val="22"/>
        </w:rPr>
        <w:t>[…]</w:t>
      </w:r>
    </w:p>
    <w:p w:rsidR="00B13DC9" w:rsidRPr="00B94BFE" w:rsidRDefault="00804EE6">
      <w:pPr>
        <w:pBdr>
          <w:top w:val="nil"/>
          <w:left w:val="nil"/>
          <w:bottom w:val="nil"/>
          <w:right w:val="nil"/>
          <w:between w:val="nil"/>
        </w:pBdr>
        <w:spacing w:before="240" w:after="240"/>
        <w:ind w:left="851" w:right="901"/>
        <w:jc w:val="both"/>
      </w:pPr>
      <w:r w:rsidRPr="00B94BFE">
        <w:rPr>
          <w:rFonts w:ascii="Palatino Linotype" w:eastAsia="Palatino Linotype" w:hAnsi="Palatino Linotype" w:cs="Palatino Linotype"/>
          <w:b/>
          <w:i/>
          <w:sz w:val="22"/>
          <w:szCs w:val="22"/>
        </w:rPr>
        <w:t>“Artículo 6o.</w:t>
      </w:r>
    </w:p>
    <w:p w:rsidR="00B13DC9" w:rsidRPr="00B94BFE" w:rsidRDefault="00804EE6">
      <w:pPr>
        <w:pBdr>
          <w:top w:val="nil"/>
          <w:left w:val="nil"/>
          <w:bottom w:val="nil"/>
          <w:right w:val="nil"/>
          <w:between w:val="nil"/>
        </w:pBdr>
        <w:spacing w:before="240" w:after="240"/>
        <w:ind w:left="851" w:right="901"/>
        <w:jc w:val="both"/>
      </w:pPr>
      <w:r w:rsidRPr="00B94BFE">
        <w:rPr>
          <w:rFonts w:ascii="Palatino Linotype" w:eastAsia="Palatino Linotype" w:hAnsi="Palatino Linotype" w:cs="Palatino Linotype"/>
          <w:i/>
          <w:sz w:val="22"/>
          <w:szCs w:val="22"/>
        </w:rPr>
        <w:t>[...]</w:t>
      </w:r>
    </w:p>
    <w:p w:rsidR="00B13DC9" w:rsidRPr="00B94BFE" w:rsidRDefault="00804EE6">
      <w:pPr>
        <w:pBdr>
          <w:top w:val="nil"/>
          <w:left w:val="nil"/>
          <w:bottom w:val="nil"/>
          <w:right w:val="nil"/>
          <w:between w:val="nil"/>
        </w:pBdr>
        <w:spacing w:before="240" w:after="240"/>
        <w:ind w:left="851" w:right="851"/>
        <w:jc w:val="both"/>
      </w:pPr>
      <w:r w:rsidRPr="00B94BFE">
        <w:rPr>
          <w:rFonts w:ascii="Palatino Linotype" w:eastAsia="Palatino Linotype" w:hAnsi="Palatino Linotype" w:cs="Palatino Linotype"/>
          <w:b/>
          <w:i/>
          <w:sz w:val="22"/>
          <w:szCs w:val="22"/>
        </w:rPr>
        <w:t xml:space="preserve">A. Para el ejercicio del derecho de acceso a la información, la Federación y </w:t>
      </w:r>
      <w:r w:rsidRPr="00B94BFE">
        <w:rPr>
          <w:rFonts w:ascii="Palatino Linotype" w:eastAsia="Palatino Linotype" w:hAnsi="Palatino Linotype" w:cs="Palatino Linotype"/>
          <w:b/>
          <w:i/>
          <w:sz w:val="22"/>
          <w:szCs w:val="22"/>
          <w:u w:val="single"/>
        </w:rPr>
        <w:t>las entidades federativas</w:t>
      </w:r>
      <w:r w:rsidRPr="00B94BFE">
        <w:rPr>
          <w:rFonts w:ascii="Palatino Linotype" w:eastAsia="Palatino Linotype" w:hAnsi="Palatino Linotype" w:cs="Palatino Linotype"/>
          <w:b/>
          <w:i/>
          <w:sz w:val="22"/>
          <w:szCs w:val="22"/>
        </w:rPr>
        <w:t>,</w:t>
      </w:r>
      <w:r w:rsidRPr="00B94BFE">
        <w:rPr>
          <w:rFonts w:ascii="Palatino Linotype" w:eastAsia="Palatino Linotype" w:hAnsi="Palatino Linotype" w:cs="Palatino Linotype"/>
          <w:i/>
          <w:sz w:val="22"/>
          <w:szCs w:val="22"/>
        </w:rPr>
        <w:t xml:space="preserve"> en el ámbito de sus respectivas competencias, se regirán por los siguientes principios y bases:</w:t>
      </w:r>
    </w:p>
    <w:p w:rsidR="00B13DC9" w:rsidRPr="00B94BFE" w:rsidRDefault="00804EE6">
      <w:pPr>
        <w:pBdr>
          <w:top w:val="nil"/>
          <w:left w:val="nil"/>
          <w:bottom w:val="nil"/>
          <w:right w:val="nil"/>
          <w:between w:val="nil"/>
        </w:pBdr>
        <w:spacing w:before="240" w:after="240"/>
        <w:ind w:left="851" w:right="851"/>
        <w:jc w:val="both"/>
      </w:pPr>
      <w:r w:rsidRPr="00B94BFE">
        <w:rPr>
          <w:rFonts w:ascii="Palatino Linotype" w:eastAsia="Palatino Linotype" w:hAnsi="Palatino Linotype" w:cs="Palatino Linotype"/>
          <w:i/>
          <w:sz w:val="22"/>
          <w:szCs w:val="22"/>
        </w:rPr>
        <w:t> </w:t>
      </w:r>
      <w:r w:rsidRPr="00B94BFE">
        <w:rPr>
          <w:rFonts w:ascii="Palatino Linotype" w:eastAsia="Palatino Linotype" w:hAnsi="Palatino Linotype" w:cs="Palatino Linotype"/>
          <w:b/>
          <w:i/>
          <w:sz w:val="22"/>
          <w:szCs w:val="22"/>
        </w:rPr>
        <w:t xml:space="preserve">I. </w:t>
      </w:r>
      <w:r w:rsidRPr="00B94BF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94BFE">
        <w:rPr>
          <w:rFonts w:ascii="Palatino Linotype" w:eastAsia="Palatino Linotype" w:hAnsi="Palatino Linotype" w:cs="Palatino Linotype"/>
          <w:i/>
          <w:sz w:val="22"/>
          <w:szCs w:val="22"/>
        </w:rPr>
        <w:t xml:space="preserve"> Ejecutivo, Legislativo </w:t>
      </w:r>
      <w:r w:rsidRPr="00B94BFE">
        <w:rPr>
          <w:rFonts w:ascii="Palatino Linotype" w:eastAsia="Palatino Linotype" w:hAnsi="Palatino Linotype" w:cs="Palatino Linotype"/>
          <w:b/>
          <w:i/>
          <w:sz w:val="22"/>
          <w:szCs w:val="22"/>
          <w:u w:val="single"/>
        </w:rPr>
        <w:t>y Judicial</w:t>
      </w:r>
      <w:r w:rsidRPr="00B94BF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94BFE">
        <w:rPr>
          <w:rFonts w:ascii="Palatino Linotype" w:eastAsia="Palatino Linotype" w:hAnsi="Palatino Linotype" w:cs="Palatino Linotype"/>
          <w:b/>
          <w:i/>
          <w:sz w:val="22"/>
          <w:szCs w:val="22"/>
        </w:rPr>
        <w:t>es pública y sólo podrá ser reservada temporalmente por razones de interés público y seguridad nacional,</w:t>
      </w:r>
      <w:r w:rsidRPr="00B94BFE">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13DC9" w:rsidRPr="00B94BFE" w:rsidRDefault="00804EE6">
      <w:pPr>
        <w:pBdr>
          <w:top w:val="nil"/>
          <w:left w:val="nil"/>
          <w:bottom w:val="nil"/>
          <w:right w:val="nil"/>
          <w:between w:val="nil"/>
        </w:pBdr>
        <w:spacing w:before="240" w:after="240"/>
        <w:ind w:left="851" w:right="851"/>
        <w:jc w:val="both"/>
      </w:pPr>
      <w:r w:rsidRPr="00B94BFE">
        <w:rPr>
          <w:rFonts w:ascii="Palatino Linotype" w:eastAsia="Palatino Linotype" w:hAnsi="Palatino Linotype" w:cs="Palatino Linotype"/>
          <w:i/>
          <w:sz w:val="22"/>
          <w:szCs w:val="22"/>
        </w:rPr>
        <w:t> </w:t>
      </w:r>
      <w:r w:rsidRPr="00B94BFE">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B13DC9" w:rsidRPr="00B94BFE" w:rsidRDefault="00804EE6">
      <w:pPr>
        <w:pBdr>
          <w:top w:val="nil"/>
          <w:left w:val="nil"/>
          <w:bottom w:val="nil"/>
          <w:right w:val="nil"/>
          <w:between w:val="nil"/>
        </w:pBdr>
        <w:spacing w:before="240" w:after="240"/>
        <w:ind w:left="851" w:right="851"/>
        <w:jc w:val="both"/>
      </w:pPr>
      <w:r w:rsidRPr="00B94BFE">
        <w:rPr>
          <w:rFonts w:ascii="Palatino Linotype" w:eastAsia="Palatino Linotype" w:hAnsi="Palatino Linotype" w:cs="Palatino Linotype"/>
          <w:i/>
          <w:sz w:val="22"/>
          <w:szCs w:val="22"/>
        </w:rPr>
        <w:t> </w:t>
      </w:r>
      <w:r w:rsidRPr="00B94BFE">
        <w:rPr>
          <w:rFonts w:ascii="Palatino Linotype" w:eastAsia="Palatino Linotype" w:hAnsi="Palatino Linotype" w:cs="Palatino Linotype"/>
          <w:b/>
          <w:i/>
          <w:sz w:val="22"/>
          <w:szCs w:val="22"/>
        </w:rPr>
        <w:t xml:space="preserve">III. </w:t>
      </w:r>
      <w:r w:rsidRPr="00B94BF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94BFE">
        <w:rPr>
          <w:rFonts w:ascii="Palatino Linotype" w:eastAsia="Palatino Linotype" w:hAnsi="Palatino Linotype" w:cs="Palatino Linotype"/>
          <w:i/>
          <w:sz w:val="22"/>
          <w:szCs w:val="22"/>
        </w:rPr>
        <w:t xml:space="preserve"> a sus datos personales o a la rectificación de éstos.</w:t>
      </w:r>
    </w:p>
    <w:p w:rsidR="00B13DC9" w:rsidRPr="00B94BFE" w:rsidRDefault="00804EE6">
      <w:pPr>
        <w:pBdr>
          <w:top w:val="nil"/>
          <w:left w:val="nil"/>
          <w:bottom w:val="nil"/>
          <w:right w:val="nil"/>
          <w:between w:val="nil"/>
        </w:pBdr>
        <w:spacing w:before="240" w:after="240"/>
        <w:ind w:left="851" w:right="851"/>
        <w:jc w:val="both"/>
      </w:pPr>
      <w:r w:rsidRPr="00B94BFE">
        <w:rPr>
          <w:rFonts w:ascii="Palatino Linotype" w:eastAsia="Palatino Linotype" w:hAnsi="Palatino Linotype" w:cs="Palatino Linotype"/>
          <w:i/>
          <w:sz w:val="22"/>
          <w:szCs w:val="22"/>
        </w:rPr>
        <w:t> </w:t>
      </w:r>
      <w:r w:rsidRPr="00B94BFE">
        <w:rPr>
          <w:rFonts w:ascii="Palatino Linotype" w:eastAsia="Palatino Linotype" w:hAnsi="Palatino Linotype" w:cs="Palatino Linotype"/>
          <w:b/>
          <w:i/>
          <w:sz w:val="22"/>
          <w:szCs w:val="22"/>
        </w:rPr>
        <w:t xml:space="preserve">IV. </w:t>
      </w:r>
      <w:r w:rsidRPr="00B94BFE">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B13DC9" w:rsidRPr="00B94BFE" w:rsidRDefault="00804EE6">
      <w:pPr>
        <w:pBdr>
          <w:top w:val="nil"/>
          <w:left w:val="nil"/>
          <w:bottom w:val="nil"/>
          <w:right w:val="nil"/>
          <w:between w:val="nil"/>
        </w:pBdr>
        <w:spacing w:before="240" w:after="240"/>
        <w:ind w:left="851" w:right="851"/>
        <w:jc w:val="both"/>
      </w:pPr>
      <w:r w:rsidRPr="00B94BFE">
        <w:rPr>
          <w:rFonts w:ascii="Palatino Linotype" w:eastAsia="Palatino Linotype" w:hAnsi="Palatino Linotype" w:cs="Palatino Linotype"/>
          <w:b/>
          <w:i/>
          <w:sz w:val="22"/>
          <w:szCs w:val="22"/>
        </w:rPr>
        <w:t xml:space="preserve">V. </w:t>
      </w:r>
      <w:r w:rsidRPr="00B94BFE">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13DC9" w:rsidRPr="00B94BFE" w:rsidRDefault="00804EE6">
      <w:pPr>
        <w:pBdr>
          <w:top w:val="nil"/>
          <w:left w:val="nil"/>
          <w:bottom w:val="nil"/>
          <w:right w:val="nil"/>
          <w:between w:val="nil"/>
        </w:pBdr>
        <w:spacing w:before="240" w:after="240"/>
        <w:ind w:left="851" w:right="851"/>
        <w:jc w:val="both"/>
      </w:pPr>
      <w:r w:rsidRPr="00B94BFE">
        <w:rPr>
          <w:rFonts w:ascii="Palatino Linotype" w:eastAsia="Palatino Linotype" w:hAnsi="Palatino Linotype" w:cs="Palatino Linotype"/>
          <w:i/>
          <w:sz w:val="22"/>
          <w:szCs w:val="22"/>
        </w:rPr>
        <w:t> </w:t>
      </w:r>
      <w:r w:rsidRPr="00B94BFE">
        <w:rPr>
          <w:rFonts w:ascii="Palatino Linotype" w:eastAsia="Palatino Linotype" w:hAnsi="Palatino Linotype" w:cs="Palatino Linotype"/>
          <w:b/>
          <w:i/>
          <w:sz w:val="22"/>
          <w:szCs w:val="22"/>
        </w:rPr>
        <w:t xml:space="preserve">VI. </w:t>
      </w:r>
      <w:r w:rsidRPr="00B94BF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B13DC9" w:rsidRPr="00B94BFE" w:rsidRDefault="00804EE6">
      <w:pPr>
        <w:pBdr>
          <w:top w:val="nil"/>
          <w:left w:val="nil"/>
          <w:bottom w:val="nil"/>
          <w:right w:val="nil"/>
          <w:between w:val="nil"/>
        </w:pBdr>
        <w:spacing w:before="240" w:after="240"/>
        <w:ind w:left="851" w:right="851"/>
        <w:jc w:val="both"/>
      </w:pPr>
      <w:r w:rsidRPr="00B94BFE">
        <w:rPr>
          <w:rFonts w:ascii="Palatino Linotype" w:eastAsia="Palatino Linotype" w:hAnsi="Palatino Linotype" w:cs="Palatino Linotype"/>
          <w:i/>
          <w:sz w:val="22"/>
          <w:szCs w:val="22"/>
        </w:rPr>
        <w:t> </w:t>
      </w:r>
      <w:r w:rsidRPr="00B94BFE">
        <w:rPr>
          <w:rFonts w:ascii="Palatino Linotype" w:eastAsia="Palatino Linotype" w:hAnsi="Palatino Linotype" w:cs="Palatino Linotype"/>
          <w:b/>
          <w:i/>
          <w:sz w:val="22"/>
          <w:szCs w:val="22"/>
        </w:rPr>
        <w:t xml:space="preserve">VII. </w:t>
      </w:r>
      <w:r w:rsidRPr="00B94BFE">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B13DC9" w:rsidRPr="00B94BFE" w:rsidRDefault="00804EE6">
      <w:pPr>
        <w:pBdr>
          <w:top w:val="nil"/>
          <w:left w:val="nil"/>
          <w:bottom w:val="nil"/>
          <w:right w:val="nil"/>
          <w:between w:val="nil"/>
        </w:pBdr>
        <w:spacing w:before="240" w:after="240" w:line="360" w:lineRule="auto"/>
        <w:jc w:val="both"/>
      </w:pPr>
      <w:r w:rsidRPr="00B94BFE">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B13DC9" w:rsidRPr="00B94BFE" w:rsidRDefault="00804EE6">
      <w:pPr>
        <w:pBdr>
          <w:top w:val="nil"/>
          <w:left w:val="nil"/>
          <w:bottom w:val="nil"/>
          <w:right w:val="nil"/>
          <w:between w:val="nil"/>
        </w:pBdr>
        <w:spacing w:before="240" w:after="240"/>
        <w:ind w:left="709" w:right="760"/>
        <w:jc w:val="both"/>
      </w:pPr>
      <w:r w:rsidRPr="00B94BFE">
        <w:rPr>
          <w:rFonts w:ascii="Palatino Linotype" w:eastAsia="Palatino Linotype" w:hAnsi="Palatino Linotype" w:cs="Palatino Linotype"/>
          <w:i/>
          <w:sz w:val="22"/>
          <w:szCs w:val="22"/>
        </w:rPr>
        <w:t>“</w:t>
      </w:r>
      <w:r w:rsidRPr="00B94BFE">
        <w:rPr>
          <w:rFonts w:ascii="Palatino Linotype" w:eastAsia="Palatino Linotype" w:hAnsi="Palatino Linotype" w:cs="Palatino Linotype"/>
          <w:b/>
          <w:i/>
          <w:sz w:val="22"/>
          <w:szCs w:val="22"/>
        </w:rPr>
        <w:t>Artículo 4</w:t>
      </w:r>
      <w:r w:rsidRPr="00B94BFE">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B13DC9" w:rsidRPr="00B94BFE" w:rsidRDefault="00804EE6">
      <w:pPr>
        <w:pBdr>
          <w:top w:val="nil"/>
          <w:left w:val="nil"/>
          <w:bottom w:val="nil"/>
          <w:right w:val="nil"/>
          <w:between w:val="nil"/>
        </w:pBdr>
        <w:spacing w:before="240" w:after="240"/>
        <w:ind w:left="709" w:right="760"/>
        <w:jc w:val="both"/>
      </w:pPr>
      <w:r w:rsidRPr="00B94BF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B13DC9" w:rsidRPr="00B94BFE" w:rsidRDefault="00804EE6">
      <w:pPr>
        <w:pBdr>
          <w:top w:val="nil"/>
          <w:left w:val="nil"/>
          <w:bottom w:val="nil"/>
          <w:right w:val="nil"/>
          <w:between w:val="nil"/>
        </w:pBdr>
        <w:spacing w:before="240" w:after="240"/>
        <w:ind w:left="709" w:right="760"/>
        <w:jc w:val="both"/>
      </w:pPr>
      <w:r w:rsidRPr="00B94BFE">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B13DC9" w:rsidRPr="00B94BFE" w:rsidRDefault="00804EE6">
      <w:pPr>
        <w:pBdr>
          <w:top w:val="nil"/>
          <w:left w:val="nil"/>
          <w:bottom w:val="nil"/>
          <w:right w:val="nil"/>
          <w:between w:val="nil"/>
        </w:pBdr>
        <w:spacing w:before="240" w:after="240" w:line="360" w:lineRule="auto"/>
        <w:jc w:val="both"/>
      </w:pPr>
      <w:r w:rsidRPr="00B94BFE">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B13DC9" w:rsidRPr="00B94BFE" w:rsidRDefault="00804EE6">
      <w:pPr>
        <w:pBdr>
          <w:top w:val="nil"/>
          <w:left w:val="nil"/>
          <w:bottom w:val="nil"/>
          <w:right w:val="nil"/>
          <w:between w:val="nil"/>
        </w:pBdr>
        <w:spacing w:before="240" w:after="240"/>
        <w:ind w:left="567" w:right="758"/>
        <w:jc w:val="both"/>
      </w:pPr>
      <w:r w:rsidRPr="00B94BFE">
        <w:rPr>
          <w:rFonts w:ascii="Palatino Linotype" w:eastAsia="Palatino Linotype" w:hAnsi="Palatino Linotype" w:cs="Palatino Linotype"/>
          <w:i/>
          <w:sz w:val="22"/>
          <w:szCs w:val="22"/>
        </w:rPr>
        <w:t>“</w:t>
      </w:r>
      <w:r w:rsidRPr="00B94BFE">
        <w:rPr>
          <w:rFonts w:ascii="Palatino Linotype" w:eastAsia="Palatino Linotype" w:hAnsi="Palatino Linotype" w:cs="Palatino Linotype"/>
          <w:b/>
          <w:i/>
          <w:sz w:val="22"/>
          <w:szCs w:val="22"/>
        </w:rPr>
        <w:t>Artículo 12</w:t>
      </w:r>
      <w:r w:rsidRPr="00B94BFE">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B13DC9" w:rsidRPr="00B94BFE" w:rsidRDefault="00804EE6">
      <w:pPr>
        <w:pBdr>
          <w:top w:val="nil"/>
          <w:left w:val="nil"/>
          <w:bottom w:val="nil"/>
          <w:right w:val="nil"/>
          <w:between w:val="nil"/>
        </w:pBdr>
        <w:spacing w:before="240" w:after="240"/>
        <w:ind w:left="567" w:right="758"/>
        <w:jc w:val="both"/>
      </w:pPr>
      <w:r w:rsidRPr="00B94BFE">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B13DC9" w:rsidRPr="00B94BFE" w:rsidRDefault="00804EE6">
      <w:pPr>
        <w:pBdr>
          <w:top w:val="nil"/>
          <w:left w:val="nil"/>
          <w:bottom w:val="nil"/>
          <w:right w:val="nil"/>
          <w:between w:val="nil"/>
        </w:pBdr>
        <w:spacing w:before="240" w:after="240" w:line="360" w:lineRule="auto"/>
        <w:jc w:val="both"/>
      </w:pPr>
      <w:r w:rsidRPr="00B94BFE">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B94BFE">
        <w:rPr>
          <w:rFonts w:ascii="Palatino Linotype" w:eastAsia="Palatino Linotype" w:hAnsi="Palatino Linotype" w:cs="Palatino Linotype"/>
          <w:b/>
        </w:rPr>
        <w:t xml:space="preserve"> </w:t>
      </w:r>
      <w:r w:rsidRPr="00B94BFE">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B94BFE">
        <w:rPr>
          <w:rFonts w:ascii="Palatino Linotype" w:eastAsia="Palatino Linotype" w:hAnsi="Palatino Linotype" w:cs="Palatino Linotype"/>
          <w:i/>
        </w:rPr>
        <w:t>ad hoc</w:t>
      </w:r>
      <w:r w:rsidRPr="00B94BFE">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B13DC9" w:rsidRPr="00B94BFE" w:rsidRDefault="00804EE6">
      <w:pPr>
        <w:pBdr>
          <w:top w:val="nil"/>
          <w:left w:val="nil"/>
          <w:bottom w:val="nil"/>
          <w:right w:val="nil"/>
          <w:between w:val="nil"/>
        </w:pBdr>
        <w:spacing w:before="240" w:after="240"/>
        <w:ind w:left="567" w:right="567"/>
        <w:jc w:val="both"/>
      </w:pPr>
      <w:r w:rsidRPr="00B94BFE">
        <w:rPr>
          <w:rFonts w:ascii="Palatino Linotype" w:eastAsia="Palatino Linotype" w:hAnsi="Palatino Linotype" w:cs="Palatino Linotype"/>
          <w:b/>
          <w:i/>
          <w:sz w:val="22"/>
          <w:szCs w:val="22"/>
        </w:rPr>
        <w:t>03/17</w:t>
      </w:r>
    </w:p>
    <w:p w:rsidR="00B13DC9" w:rsidRPr="00B94BFE" w:rsidRDefault="00804EE6">
      <w:pPr>
        <w:pBdr>
          <w:top w:val="nil"/>
          <w:left w:val="nil"/>
          <w:bottom w:val="nil"/>
          <w:right w:val="nil"/>
          <w:between w:val="nil"/>
        </w:pBdr>
        <w:spacing w:before="240" w:after="240"/>
        <w:ind w:left="567" w:right="567"/>
        <w:jc w:val="both"/>
      </w:pPr>
      <w:r w:rsidRPr="00B94BFE">
        <w:rPr>
          <w:rFonts w:ascii="Palatino Linotype" w:eastAsia="Palatino Linotype" w:hAnsi="Palatino Linotype" w:cs="Palatino Linotype"/>
          <w:b/>
          <w:i/>
          <w:sz w:val="22"/>
          <w:szCs w:val="22"/>
        </w:rPr>
        <w:t>“NO EXISTE OBLIGACIÓN DE ELABORAR DOCUMENTOS AD HOC PARA ATENDER LAS SOLICITUDES DE ACCESO A LA INFORMACIÓN.</w:t>
      </w:r>
    </w:p>
    <w:p w:rsidR="00B13DC9" w:rsidRPr="00B94BFE" w:rsidRDefault="00804EE6">
      <w:pPr>
        <w:pBdr>
          <w:top w:val="nil"/>
          <w:left w:val="nil"/>
          <w:bottom w:val="nil"/>
          <w:right w:val="nil"/>
          <w:between w:val="nil"/>
        </w:pBdr>
        <w:spacing w:before="240" w:after="240"/>
        <w:ind w:left="567" w:right="567"/>
        <w:jc w:val="both"/>
      </w:pPr>
      <w:r w:rsidRPr="00B94BFE">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B13DC9" w:rsidRPr="00B94BFE" w:rsidRDefault="00804EE6">
      <w:pPr>
        <w:pBdr>
          <w:top w:val="nil"/>
          <w:left w:val="nil"/>
          <w:bottom w:val="nil"/>
          <w:right w:val="nil"/>
          <w:between w:val="nil"/>
        </w:pBdr>
        <w:spacing w:before="240" w:after="240" w:line="360" w:lineRule="auto"/>
        <w:jc w:val="both"/>
      </w:pPr>
      <w:r w:rsidRPr="00B94BFE">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13DC9" w:rsidRPr="00B94BFE" w:rsidRDefault="00804EE6">
      <w:pPr>
        <w:pBdr>
          <w:top w:val="nil"/>
          <w:left w:val="nil"/>
          <w:bottom w:val="nil"/>
          <w:right w:val="nil"/>
          <w:between w:val="nil"/>
        </w:pBdr>
        <w:spacing w:before="240" w:after="240" w:line="360" w:lineRule="auto"/>
        <w:ind w:right="49"/>
        <w:jc w:val="both"/>
      </w:pPr>
      <w:r w:rsidRPr="00B94BF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B13DC9" w:rsidRPr="00B94BFE" w:rsidRDefault="00804EE6">
      <w:pPr>
        <w:pBdr>
          <w:top w:val="nil"/>
          <w:left w:val="nil"/>
          <w:bottom w:val="nil"/>
          <w:right w:val="nil"/>
          <w:between w:val="nil"/>
        </w:pBdr>
        <w:spacing w:before="240" w:after="240" w:line="360" w:lineRule="auto"/>
        <w:jc w:val="both"/>
      </w:pPr>
      <w:r w:rsidRPr="00B94BFE">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B13DC9" w:rsidRPr="00B94BFE" w:rsidRDefault="00804EE6">
      <w:pPr>
        <w:pBdr>
          <w:top w:val="nil"/>
          <w:left w:val="nil"/>
          <w:bottom w:val="nil"/>
          <w:right w:val="nil"/>
          <w:between w:val="nil"/>
        </w:pBdr>
        <w:spacing w:before="240" w:after="240"/>
        <w:ind w:left="567" w:right="567"/>
        <w:jc w:val="both"/>
      </w:pPr>
      <w:r w:rsidRPr="00B94BFE">
        <w:rPr>
          <w:rFonts w:ascii="Palatino Linotype" w:eastAsia="Palatino Linotype" w:hAnsi="Palatino Linotype" w:cs="Palatino Linotype"/>
          <w:i/>
          <w:sz w:val="22"/>
          <w:szCs w:val="22"/>
        </w:rPr>
        <w:t>“</w:t>
      </w:r>
      <w:r w:rsidRPr="00B94BFE">
        <w:rPr>
          <w:rFonts w:ascii="Palatino Linotype" w:eastAsia="Palatino Linotype" w:hAnsi="Palatino Linotype" w:cs="Palatino Linotype"/>
          <w:b/>
          <w:i/>
          <w:sz w:val="22"/>
          <w:szCs w:val="22"/>
        </w:rPr>
        <w:t xml:space="preserve">Artículo 3. </w:t>
      </w:r>
      <w:r w:rsidRPr="00B94BFE">
        <w:rPr>
          <w:rFonts w:ascii="Palatino Linotype" w:eastAsia="Palatino Linotype" w:hAnsi="Palatino Linotype" w:cs="Palatino Linotype"/>
          <w:i/>
          <w:sz w:val="22"/>
          <w:szCs w:val="22"/>
        </w:rPr>
        <w:t>Para los efectos de la presente Ley se entenderá por:</w:t>
      </w:r>
    </w:p>
    <w:p w:rsidR="00B13DC9" w:rsidRPr="00B94BFE" w:rsidRDefault="00804EE6">
      <w:pPr>
        <w:pBdr>
          <w:top w:val="nil"/>
          <w:left w:val="nil"/>
          <w:bottom w:val="nil"/>
          <w:right w:val="nil"/>
          <w:between w:val="nil"/>
        </w:pBdr>
        <w:spacing w:before="240" w:after="240"/>
        <w:ind w:left="567" w:right="567"/>
        <w:jc w:val="both"/>
      </w:pPr>
      <w:r w:rsidRPr="00B94BFE">
        <w:rPr>
          <w:rFonts w:ascii="Palatino Linotype" w:eastAsia="Palatino Linotype" w:hAnsi="Palatino Linotype" w:cs="Palatino Linotype"/>
          <w:i/>
          <w:sz w:val="22"/>
          <w:szCs w:val="22"/>
        </w:rPr>
        <w:t>…</w:t>
      </w:r>
    </w:p>
    <w:p w:rsidR="00B13DC9" w:rsidRPr="00B94BFE" w:rsidRDefault="00804EE6">
      <w:pPr>
        <w:pBdr>
          <w:top w:val="nil"/>
          <w:left w:val="nil"/>
          <w:bottom w:val="nil"/>
          <w:right w:val="nil"/>
          <w:between w:val="nil"/>
        </w:pBdr>
        <w:spacing w:before="240" w:after="240"/>
        <w:ind w:left="567" w:right="567"/>
        <w:jc w:val="both"/>
      </w:pPr>
      <w:r w:rsidRPr="00B94BFE">
        <w:rPr>
          <w:rFonts w:ascii="Palatino Linotype" w:eastAsia="Palatino Linotype" w:hAnsi="Palatino Linotype" w:cs="Palatino Linotype"/>
          <w:b/>
          <w:i/>
          <w:sz w:val="22"/>
          <w:szCs w:val="22"/>
        </w:rPr>
        <w:t>XI. Documento:</w:t>
      </w:r>
      <w:r w:rsidRPr="00B94BFE">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94BFE">
        <w:rPr>
          <w:rFonts w:ascii="Palatino Linotype" w:eastAsia="Palatino Linotype" w:hAnsi="Palatino Linotype" w:cs="Palatino Linotype"/>
          <w:b/>
          <w:i/>
          <w:sz w:val="22"/>
          <w:szCs w:val="22"/>
        </w:rPr>
        <w:t>…</w:t>
      </w:r>
      <w:r w:rsidRPr="00B94BFE">
        <w:rPr>
          <w:rFonts w:ascii="Palatino Linotype" w:eastAsia="Palatino Linotype" w:hAnsi="Palatino Linotype" w:cs="Palatino Linotype"/>
          <w:i/>
          <w:sz w:val="22"/>
          <w:szCs w:val="22"/>
        </w:rPr>
        <w:t>” (Sic)</w:t>
      </w:r>
    </w:p>
    <w:p w:rsidR="00B13DC9" w:rsidRPr="00B94BFE" w:rsidRDefault="00804EE6">
      <w:pPr>
        <w:pBdr>
          <w:top w:val="nil"/>
          <w:left w:val="nil"/>
          <w:bottom w:val="nil"/>
          <w:right w:val="nil"/>
          <w:between w:val="nil"/>
        </w:pBdr>
        <w:spacing w:before="240" w:after="240" w:line="360" w:lineRule="auto"/>
        <w:jc w:val="both"/>
      </w:pPr>
      <w:r w:rsidRPr="00B94BF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13DC9" w:rsidRPr="00B94BFE" w:rsidRDefault="00804EE6">
      <w:pPr>
        <w:pBdr>
          <w:top w:val="nil"/>
          <w:left w:val="nil"/>
          <w:bottom w:val="nil"/>
          <w:right w:val="nil"/>
          <w:between w:val="nil"/>
        </w:pBdr>
        <w:spacing w:before="240" w:after="240"/>
        <w:ind w:left="567" w:right="567"/>
        <w:jc w:val="both"/>
      </w:pPr>
      <w:r w:rsidRPr="00B94BFE">
        <w:rPr>
          <w:rFonts w:ascii="Palatino Linotype" w:eastAsia="Palatino Linotype" w:hAnsi="Palatino Linotype" w:cs="Palatino Linotype"/>
          <w:b/>
          <w:sz w:val="22"/>
          <w:szCs w:val="22"/>
        </w:rPr>
        <w:t>“</w:t>
      </w:r>
      <w:r w:rsidRPr="00B94BFE">
        <w:rPr>
          <w:rFonts w:ascii="Palatino Linotype" w:eastAsia="Palatino Linotype" w:hAnsi="Palatino Linotype" w:cs="Palatino Linotype"/>
          <w:b/>
          <w:i/>
          <w:sz w:val="22"/>
          <w:szCs w:val="22"/>
        </w:rPr>
        <w:t>CRITERIO 0002-11</w:t>
      </w:r>
    </w:p>
    <w:p w:rsidR="00B13DC9" w:rsidRPr="00B94BFE" w:rsidRDefault="00804EE6">
      <w:pPr>
        <w:pBdr>
          <w:top w:val="nil"/>
          <w:left w:val="nil"/>
          <w:bottom w:val="nil"/>
          <w:right w:val="nil"/>
          <w:between w:val="nil"/>
        </w:pBdr>
        <w:spacing w:before="240" w:after="240"/>
        <w:ind w:left="567" w:right="567"/>
        <w:jc w:val="both"/>
      </w:pPr>
      <w:r w:rsidRPr="00B94BF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94BF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13DC9" w:rsidRPr="00B94BFE" w:rsidRDefault="00804EE6">
      <w:pPr>
        <w:pBdr>
          <w:top w:val="nil"/>
          <w:left w:val="nil"/>
          <w:bottom w:val="nil"/>
          <w:right w:val="nil"/>
          <w:between w:val="nil"/>
        </w:pBdr>
        <w:spacing w:before="240" w:after="240"/>
        <w:ind w:left="567" w:right="567"/>
        <w:jc w:val="both"/>
      </w:pPr>
      <w:r w:rsidRPr="00B94BFE">
        <w:rPr>
          <w:rFonts w:ascii="Palatino Linotype" w:eastAsia="Palatino Linotype" w:hAnsi="Palatino Linotype" w:cs="Palatino Linotype"/>
          <w:i/>
          <w:sz w:val="22"/>
          <w:szCs w:val="22"/>
        </w:rPr>
        <w:t>En consecuencia el acceso a la información se refiere a que se cumplan cualquiera de los siguientes tres supuestos:</w:t>
      </w:r>
    </w:p>
    <w:p w:rsidR="00B13DC9" w:rsidRPr="00B94BFE" w:rsidRDefault="00804EE6">
      <w:pPr>
        <w:numPr>
          <w:ilvl w:val="0"/>
          <w:numId w:val="1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B13DC9" w:rsidRPr="00B94BFE" w:rsidRDefault="00804EE6">
      <w:pPr>
        <w:numPr>
          <w:ilvl w:val="0"/>
          <w:numId w:val="1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B13DC9" w:rsidRPr="00B94BFE" w:rsidRDefault="00804EE6">
      <w:pPr>
        <w:pBdr>
          <w:top w:val="nil"/>
          <w:left w:val="nil"/>
          <w:bottom w:val="nil"/>
          <w:right w:val="nil"/>
          <w:between w:val="nil"/>
        </w:pBdr>
        <w:spacing w:before="240" w:after="240"/>
        <w:ind w:left="567" w:right="567" w:hanging="284"/>
        <w:jc w:val="both"/>
      </w:pPr>
      <w:r w:rsidRPr="00B94BFE">
        <w:rPr>
          <w:rFonts w:ascii="Palatino Linotype" w:eastAsia="Palatino Linotype" w:hAnsi="Palatino Linotype" w:cs="Palatino Linotype"/>
          <w:i/>
          <w:sz w:val="22"/>
          <w:szCs w:val="22"/>
        </w:rPr>
        <w:t xml:space="preserve">3. </w:t>
      </w:r>
      <w:r w:rsidRPr="00B94BFE">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B13DC9" w:rsidRPr="00B94BFE" w:rsidRDefault="00804EE6">
      <w:pPr>
        <w:pBdr>
          <w:top w:val="nil"/>
          <w:left w:val="nil"/>
          <w:bottom w:val="nil"/>
          <w:right w:val="nil"/>
          <w:between w:val="nil"/>
        </w:pBdr>
        <w:spacing w:before="240" w:after="240" w:line="360" w:lineRule="auto"/>
        <w:jc w:val="both"/>
      </w:pPr>
      <w:r w:rsidRPr="00B94BFE">
        <w:rPr>
          <w:rFonts w:ascii="Palatino Linotype" w:eastAsia="Palatino Linotype" w:hAnsi="Palatino Linotype" w:cs="Palatino Linotype"/>
        </w:rPr>
        <w:t xml:space="preserve">De ahí que 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B13DC9" w:rsidRPr="00B94BFE" w:rsidRDefault="00804EE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Ahora bien, para profundizar en el estudio del presente asunto, es conveniente recordar que la parte solicitante requirió al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le proporcionara lo siguiente:</w:t>
      </w:r>
    </w:p>
    <w:p w:rsidR="00B13DC9" w:rsidRPr="00B94BFE" w:rsidRDefault="00804EE6">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“…Una base de datos (en formato abierto como xls o cvs.) con la siguiente información de incidencia delictiva o reporte de incidentes, eventos o cualquier registro o documento con el que cuente el sujeto obligado que contenga la siguiente información: </w:t>
      </w:r>
    </w:p>
    <w:p w:rsidR="00B13DC9" w:rsidRPr="00B94BFE" w:rsidRDefault="00804EE6">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 TIPO DE INCIDENTE O EVENTO (es decir hechos presuntamente constitutivos de delito y/o falta administrativa, o situación reportada, cualquiera que esta sea, especificando si el hecho fue con o sin violencia) </w:t>
      </w:r>
    </w:p>
    <w:p w:rsidR="00B13DC9" w:rsidRPr="00B94BFE" w:rsidRDefault="00804EE6">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 HORA DEL INCIDENTE O EVENTO </w:t>
      </w:r>
    </w:p>
    <w:p w:rsidR="00B13DC9" w:rsidRPr="00B94BFE" w:rsidRDefault="00804EE6">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 FECHA (dd/mm/aaaa) DEL INCIDENTE O EVENTO </w:t>
      </w:r>
    </w:p>
    <w:p w:rsidR="00B13DC9" w:rsidRPr="00B94BFE" w:rsidRDefault="00804EE6">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 LUGAR DEL INCIDENTE O EVENTO </w:t>
      </w:r>
    </w:p>
    <w:p w:rsidR="00B13DC9" w:rsidRPr="00B94BFE" w:rsidRDefault="00804EE6">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 UBICACIÓN DEL INCIDENTE O EVENTO </w:t>
      </w:r>
    </w:p>
    <w:p w:rsidR="00B13DC9" w:rsidRPr="00B94BFE" w:rsidRDefault="00804EE6">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 LAS COORDENADAS GEOGRÁFICAS DEL INCIDENTE O EVENTO. ESTABLECIDAS EN LA SECCIÓN “LUGAR DE LA INTERVENCIÓN” DEL INFORME POLICIAL HOMOLOGADO PARA 1) HECHOS PROBABLEMENTE DELICTIVOS O PARA 2) JUSTICIA CÍVICA SEGÚN CORRESPONDA AL TIPO DE INCIDENTE. Explícitamente que la información se encuentre desglosada y particularizada por tipo de incidente, por lo que cada uno debe contener su hora, fecha, lugar, ubicación y coordenadas geográficas que le corresponde. Requiero se proporcione la información correspondiente al periodo del 1 de enero de 2010 a la fecha de la presente solicitud…” (Sic) </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En la respuesta del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se advierte que se pronunciaron los siguientes servidores públicos habilitados y se actualizaron los supuestos que a continuación se detallan: </w:t>
      </w:r>
    </w:p>
    <w:p w:rsidR="00B13DC9" w:rsidRPr="00B94BFE" w:rsidRDefault="00804EE6">
      <w:pPr>
        <w:numPr>
          <w:ilvl w:val="0"/>
          <w:numId w:val="2"/>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sz w:val="22"/>
          <w:szCs w:val="22"/>
        </w:rPr>
        <w:t>Comisaría de Seguridad Pública y Movilidad: “…</w:t>
      </w:r>
      <w:r w:rsidRPr="00B94BFE">
        <w:rPr>
          <w:rFonts w:ascii="Palatino Linotype" w:eastAsia="Palatino Linotype" w:hAnsi="Palatino Linotype" w:cs="Palatino Linotype"/>
          <w:b/>
          <w:i/>
          <w:sz w:val="22"/>
          <w:szCs w:val="22"/>
          <w:u w:val="single"/>
        </w:rPr>
        <w:t>CABE MENCIONAR QUE EN ESTA COMISARIA DE SEGURIDAD PUBLICA Y MOVILIDAD SOLO SE CUENTA CON LA INFORMACION ADJUNTA ES DECIR DEL AÑO 2017 A LA FECHA</w:t>
      </w:r>
      <w:r w:rsidRPr="00B94BFE">
        <w:rPr>
          <w:rFonts w:ascii="Palatino Linotype" w:eastAsia="Palatino Linotype" w:hAnsi="Palatino Linotype" w:cs="Palatino Linotype"/>
          <w:i/>
          <w:sz w:val="22"/>
          <w:szCs w:val="22"/>
        </w:rPr>
        <w:t>…” (Sic) (Énfasis añadido)</w:t>
      </w:r>
    </w:p>
    <w:p w:rsidR="00B13DC9" w:rsidRPr="00B94BFE" w:rsidRDefault="00804EE6">
      <w:pPr>
        <w:spacing w:before="240" w:after="240" w:line="276" w:lineRule="auto"/>
        <w:ind w:left="567" w:right="900"/>
        <w:jc w:val="both"/>
        <w:rPr>
          <w:rFonts w:ascii="Palatino Linotype" w:eastAsia="Palatino Linotype" w:hAnsi="Palatino Linotype" w:cs="Palatino Linotype"/>
        </w:rPr>
      </w:pPr>
      <w:r w:rsidRPr="00B94BFE">
        <w:rPr>
          <w:rFonts w:ascii="Palatino Linotype" w:eastAsia="Palatino Linotype" w:hAnsi="Palatino Linotype" w:cs="Palatino Linotype"/>
        </w:rPr>
        <w:t>Remite un documento en Word de veintidós fojas en el que se aprecia la base de datos correspondiente a los años 2017-2022, de la que se desprenden datos como: tipo de incidente, hora del incidente o evento, fecha del incidente, lugar del incidente o evento y ubicación del incidente o evento.</w:t>
      </w:r>
    </w:p>
    <w:p w:rsidR="00B13DC9" w:rsidRPr="00B94BFE" w:rsidRDefault="00804EE6">
      <w:pPr>
        <w:numPr>
          <w:ilvl w:val="0"/>
          <w:numId w:val="2"/>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b/>
          <w:sz w:val="22"/>
          <w:szCs w:val="22"/>
        </w:rPr>
        <w:t xml:space="preserve">Titular de la Oficialía Mediadora, Conciliadora y Calificadora: </w:t>
      </w:r>
      <w:r w:rsidRPr="00B94BFE">
        <w:rPr>
          <w:rFonts w:ascii="Palatino Linotype" w:eastAsia="Palatino Linotype" w:hAnsi="Palatino Linotype" w:cs="Palatino Linotype"/>
          <w:sz w:val="22"/>
          <w:szCs w:val="22"/>
        </w:rPr>
        <w:t xml:space="preserve">Señala que </w:t>
      </w:r>
      <w:r w:rsidRPr="00B94BFE">
        <w:rPr>
          <w:rFonts w:ascii="Palatino Linotype" w:eastAsia="Palatino Linotype" w:hAnsi="Palatino Linotype" w:cs="Palatino Linotype"/>
        </w:rPr>
        <w:t xml:space="preserve">únicamente es dable pronunciarse respecto de faltas administrativas, ya que no se tiene competencia respecto de hechos constitutivos de delito. Asimismo manifestó que la falta de entrega en un formato abierto denominado “xls o cvs”, no constituye una restricción al acceso a la información en posesión de sujetos obligados. </w:t>
      </w:r>
    </w:p>
    <w:p w:rsidR="00B13DC9" w:rsidRPr="00B94BFE" w:rsidRDefault="00804EE6">
      <w:pPr>
        <w:spacing w:before="240" w:after="240" w:line="276" w:lineRule="auto"/>
        <w:ind w:left="567" w:right="900"/>
        <w:jc w:val="both"/>
        <w:rPr>
          <w:rFonts w:ascii="Palatino Linotype" w:eastAsia="Palatino Linotype" w:hAnsi="Palatino Linotype" w:cs="Palatino Linotype"/>
          <w:sz w:val="28"/>
          <w:szCs w:val="28"/>
        </w:rPr>
      </w:pPr>
      <w:r w:rsidRPr="00B94BFE">
        <w:rPr>
          <w:rFonts w:ascii="Palatino Linotype" w:eastAsia="Palatino Linotype" w:hAnsi="Palatino Linotype" w:cs="Palatino Linotype"/>
        </w:rPr>
        <w:t xml:space="preserve">Finalmente refiere que respecto del periodo comprendido de 2010 a 2021, se solicitó el apoyo a la titular del Archivo Municipal, quien manifestó la inexistencia de registro alguno, por lo que únicamente remitió una tabla informativa del año 2022 en la que obran las faltas administrativas en formato Excel. </w:t>
      </w:r>
    </w:p>
    <w:p w:rsidR="00B13DC9" w:rsidRPr="00B94BFE" w:rsidRDefault="00804EE6">
      <w:pPr>
        <w:spacing w:before="240" w:after="240" w:line="276" w:lineRule="auto"/>
        <w:ind w:left="567" w:right="900"/>
        <w:jc w:val="both"/>
        <w:rPr>
          <w:rFonts w:ascii="Palatino Linotype" w:eastAsia="Palatino Linotype" w:hAnsi="Palatino Linotype" w:cs="Palatino Linotype"/>
        </w:rPr>
      </w:pPr>
      <w:r w:rsidRPr="00B94BFE">
        <w:rPr>
          <w:rFonts w:ascii="Palatino Linotype" w:eastAsia="Palatino Linotype" w:hAnsi="Palatino Linotype" w:cs="Palatino Linotype"/>
        </w:rPr>
        <w:t>Asimismo hace del conocimiento del particular que el Titular de esta área tomó el cargo el 5 de enero, expresa que adjunta nombramiento pero del análisis a las documentales que conforman el expediente electrónico del recurso de revisión que se resuelve, no se advierte dicho archivo.</w:t>
      </w:r>
    </w:p>
    <w:p w:rsidR="00B13DC9" w:rsidRPr="00B94BFE" w:rsidRDefault="00804EE6">
      <w:pPr>
        <w:spacing w:before="240" w:after="240" w:line="276" w:lineRule="auto"/>
        <w:ind w:left="567" w:right="900"/>
        <w:jc w:val="both"/>
        <w:rPr>
          <w:rFonts w:ascii="Palatino Linotype" w:eastAsia="Palatino Linotype" w:hAnsi="Palatino Linotype" w:cs="Palatino Linotype"/>
        </w:rPr>
      </w:pPr>
      <w:r w:rsidRPr="00B94BFE">
        <w:rPr>
          <w:rFonts w:ascii="Palatino Linotype" w:eastAsia="Palatino Linotype" w:hAnsi="Palatino Linotype" w:cs="Palatino Linotype"/>
        </w:rPr>
        <w:t>Desarrolla una prueba de daño para efecto de clasificar datos personales como edad, nombre, sexo, domicilio, etc. de los infractores, por lo que remitió dicha información en versión pública.</w:t>
      </w:r>
    </w:p>
    <w:p w:rsidR="00B13DC9" w:rsidRPr="00B94BFE" w:rsidRDefault="00804EE6">
      <w:pPr>
        <w:spacing w:before="240" w:after="240" w:line="276" w:lineRule="auto"/>
        <w:ind w:left="567" w:right="900"/>
        <w:jc w:val="both"/>
        <w:rPr>
          <w:rFonts w:ascii="Palatino Linotype" w:eastAsia="Palatino Linotype" w:hAnsi="Palatino Linotype" w:cs="Palatino Linotype"/>
        </w:rPr>
      </w:pPr>
      <w:r w:rsidRPr="00B94BFE">
        <w:rPr>
          <w:rFonts w:ascii="Palatino Linotype" w:eastAsia="Palatino Linotype" w:hAnsi="Palatino Linotype" w:cs="Palatino Linotype"/>
        </w:rPr>
        <w:t>Finalmente se aprecia una base de datos en formato Excel, mediante la cual se dan cuenta de las faltas administrativas del 7 de enero al 12 de junio de la presente anualidad.</w:t>
      </w:r>
    </w:p>
    <w:p w:rsidR="00B13DC9" w:rsidRPr="00B94BFE" w:rsidRDefault="00804EE6">
      <w:pPr>
        <w:spacing w:before="240" w:after="240" w:line="360" w:lineRule="auto"/>
        <w:ind w:right="49"/>
        <w:jc w:val="both"/>
        <w:rPr>
          <w:rFonts w:ascii="Palatino Linotype" w:eastAsia="Palatino Linotype" w:hAnsi="Palatino Linotype" w:cs="Palatino Linotype"/>
          <w:i/>
        </w:rPr>
      </w:pPr>
      <w:r w:rsidRPr="00B94BFE">
        <w:rPr>
          <w:rFonts w:ascii="Palatino Linotype" w:eastAsia="Palatino Linotype" w:hAnsi="Palatino Linotype" w:cs="Palatino Linotype"/>
        </w:rPr>
        <w:t xml:space="preserve">Una vez conocida la respuesta, el particular interpuso el medio de impugnación que nos ocupa, expresando en sus razones o motivos de inconformidad, lo siguiente: </w:t>
      </w:r>
      <w:r w:rsidRPr="00B94BFE">
        <w:rPr>
          <w:rFonts w:ascii="Palatino Linotype" w:eastAsia="Palatino Linotype" w:hAnsi="Palatino Linotype" w:cs="Palatino Linotype"/>
          <w:i/>
        </w:rPr>
        <w:t>“</w:t>
      </w:r>
      <w:r w:rsidRPr="00B94BFE">
        <w:rPr>
          <w:rFonts w:ascii="Palatino Linotype" w:eastAsia="Palatino Linotype" w:hAnsi="Palatino Linotype" w:cs="Palatino Linotype"/>
          <w:b/>
          <w:i/>
          <w:u w:val="single"/>
        </w:rPr>
        <w:t>Al analizar la respuesta del Sujeto Obligado puede concluir que hace una entrega parcial de la información requerida, debido a que no entrega su respuesta en el formato solicitado -XLSX o CSV- y porque no hace referencia las coordenadas que georreferencian a cada incidente. Además, incumple con aspectos procesales del derecho que nos compete, pues no declara la inexistencia de la información omitida, ni adjunta acta de Comité de Transparencia donde la confirme. Sostengo que el SO debe poseer la información sobre las coordenadas, debido a que desde el 2010</w:t>
      </w:r>
      <w:r w:rsidRPr="00B94BFE">
        <w:rPr>
          <w:rFonts w:ascii="Palatino Linotype" w:eastAsia="Palatino Linotype" w:hAnsi="Palatino Linotype" w:cs="Palatino Linotype"/>
          <w:i/>
        </w:rPr>
        <w:t>…” (Sic) (Énfasis añadido)</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Una vez admitido el recurso de revisión al rubro citado, se vislumbra que el Sujeto Obligado envió en la etapa de informe justificado diversos archivos que fueron descritos en la etapa de antecedentes, sin embargo, se advierte que se actualizaron las circunstancias que se desglosan a continuación: </w:t>
      </w:r>
    </w:p>
    <w:p w:rsidR="00B13DC9" w:rsidRPr="00B94BFE" w:rsidRDefault="00804EE6">
      <w:pPr>
        <w:widowControl w:val="0"/>
        <w:numPr>
          <w:ilvl w:val="0"/>
          <w:numId w:val="3"/>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b/>
          <w:sz w:val="22"/>
          <w:szCs w:val="22"/>
        </w:rPr>
        <w:t>Comisaría de Seguridad Pública y Movilidad:</w:t>
      </w:r>
    </w:p>
    <w:p w:rsidR="00B13DC9" w:rsidRPr="00B94BFE" w:rsidRDefault="00B13DC9">
      <w:pPr>
        <w:widowControl w:val="0"/>
        <w:pBdr>
          <w:top w:val="nil"/>
          <w:left w:val="nil"/>
          <w:bottom w:val="nil"/>
          <w:right w:val="nil"/>
          <w:between w:val="nil"/>
        </w:pBdr>
        <w:spacing w:line="360" w:lineRule="auto"/>
        <w:ind w:left="567" w:right="900"/>
        <w:jc w:val="both"/>
        <w:rPr>
          <w:rFonts w:ascii="Palatino Linotype" w:eastAsia="Palatino Linotype" w:hAnsi="Palatino Linotype" w:cs="Palatino Linotype"/>
          <w:sz w:val="22"/>
          <w:szCs w:val="22"/>
        </w:rPr>
      </w:pPr>
    </w:p>
    <w:p w:rsidR="00B13DC9" w:rsidRPr="00B94BFE" w:rsidRDefault="00804EE6">
      <w:pPr>
        <w:widowControl w:val="0"/>
        <w:numPr>
          <w:ilvl w:val="0"/>
          <w:numId w:val="4"/>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rPr>
      </w:pPr>
      <w:r w:rsidRPr="00B94BFE">
        <w:rPr>
          <w:rFonts w:ascii="Palatino Linotype" w:eastAsia="Palatino Linotype" w:hAnsi="Palatino Linotype" w:cs="Palatino Linotype"/>
        </w:rPr>
        <w:t>Remite copia del oficio emitido por la Jefa del Archivo Municipal y Reclutamiento, quien realizó una búsqueda del archivo de los años 2010 a 2016, referente a la Comisaría de Seguridad Pública y Movilidad, concluyendo que en cuanto a la incidencia delictiva la cual es inexistente.</w:t>
      </w:r>
    </w:p>
    <w:p w:rsidR="00B13DC9" w:rsidRPr="00B94BFE" w:rsidRDefault="00804EE6">
      <w:pPr>
        <w:widowControl w:val="0"/>
        <w:pBdr>
          <w:top w:val="nil"/>
          <w:left w:val="nil"/>
          <w:bottom w:val="nil"/>
          <w:right w:val="nil"/>
          <w:between w:val="nil"/>
        </w:pBdr>
        <w:spacing w:line="360" w:lineRule="auto"/>
        <w:ind w:left="567" w:right="900"/>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 </w:t>
      </w:r>
    </w:p>
    <w:p w:rsidR="00B13DC9" w:rsidRPr="00B94BFE" w:rsidRDefault="00804EE6">
      <w:pPr>
        <w:widowControl w:val="0"/>
        <w:numPr>
          <w:ilvl w:val="0"/>
          <w:numId w:val="4"/>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Asimismo expresa que se envía la información como la genera la Comisaría de Seguridad Pública y Movilidad de Coyotepec, misma que es remitida en formato Word, de igual forma hace del conocimiento del </w:t>
      </w:r>
      <w:r w:rsidRPr="00B94BFE">
        <w:rPr>
          <w:rFonts w:ascii="Palatino Linotype" w:eastAsia="Palatino Linotype" w:hAnsi="Palatino Linotype" w:cs="Palatino Linotype"/>
          <w:b/>
        </w:rPr>
        <w:t>Recurrente</w:t>
      </w:r>
      <w:r w:rsidRPr="00B94BFE">
        <w:rPr>
          <w:rFonts w:ascii="Palatino Linotype" w:eastAsia="Palatino Linotype" w:hAnsi="Palatino Linotype" w:cs="Palatino Linotype"/>
        </w:rPr>
        <w:t xml:space="preserve"> que el Informe Policial Homologado fue implementado en 2021, por lo que remite de nueva cuenta el documento de veintidós fojas en el que se aprecia la base de datos correspondiente a los años 2017-2022, de la que se desprenden datos como: tipo de incidente, hora del incidente o evento, fecha del incidente, lugar del incidente o evento y ubicación del incidente o evento.</w:t>
      </w:r>
    </w:p>
    <w:p w:rsidR="00B13DC9" w:rsidRPr="00B94BFE" w:rsidRDefault="00B13DC9">
      <w:pPr>
        <w:widowControl w:val="0"/>
        <w:pBdr>
          <w:top w:val="nil"/>
          <w:left w:val="nil"/>
          <w:bottom w:val="nil"/>
          <w:right w:val="nil"/>
          <w:between w:val="nil"/>
        </w:pBdr>
        <w:spacing w:line="360" w:lineRule="auto"/>
        <w:ind w:left="567" w:right="900"/>
        <w:jc w:val="both"/>
        <w:rPr>
          <w:rFonts w:ascii="Palatino Linotype" w:eastAsia="Palatino Linotype" w:hAnsi="Palatino Linotype" w:cs="Palatino Linotype"/>
        </w:rPr>
      </w:pPr>
    </w:p>
    <w:p w:rsidR="00B13DC9" w:rsidRPr="00B94BFE" w:rsidRDefault="00804EE6">
      <w:pPr>
        <w:widowControl w:val="0"/>
        <w:numPr>
          <w:ilvl w:val="0"/>
          <w:numId w:val="4"/>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Desarrolla la prueba de daño para efecto de que se someta al Comité de Transparencia la reserva de la ubicación de los hechos de algún incidente, así como los informes policiales homologados, para su aprobación y emisión del acuerdo de clasificación que corresponda. </w:t>
      </w:r>
    </w:p>
    <w:p w:rsidR="00B13DC9" w:rsidRPr="00B94BFE" w:rsidRDefault="00B13DC9">
      <w:pPr>
        <w:widowControl w:val="0"/>
        <w:pBdr>
          <w:top w:val="nil"/>
          <w:left w:val="nil"/>
          <w:bottom w:val="nil"/>
          <w:right w:val="nil"/>
          <w:between w:val="nil"/>
        </w:pBdr>
        <w:spacing w:line="360" w:lineRule="auto"/>
        <w:ind w:left="567" w:right="900"/>
        <w:jc w:val="both"/>
        <w:rPr>
          <w:rFonts w:ascii="Palatino Linotype" w:eastAsia="Palatino Linotype" w:hAnsi="Palatino Linotype" w:cs="Palatino Linotype"/>
        </w:rPr>
      </w:pPr>
    </w:p>
    <w:p w:rsidR="00B13DC9" w:rsidRPr="00B94BFE" w:rsidRDefault="00804EE6">
      <w:pPr>
        <w:widowControl w:val="0"/>
        <w:numPr>
          <w:ilvl w:val="0"/>
          <w:numId w:val="3"/>
        </w:numPr>
        <w:pBdr>
          <w:top w:val="nil"/>
          <w:left w:val="nil"/>
          <w:bottom w:val="nil"/>
          <w:right w:val="nil"/>
          <w:between w:val="nil"/>
        </w:pBdr>
        <w:spacing w:after="240" w:line="360" w:lineRule="auto"/>
        <w:ind w:left="567" w:right="900" w:hanging="141"/>
        <w:jc w:val="both"/>
        <w:rPr>
          <w:rFonts w:ascii="Palatino Linotype" w:eastAsia="Palatino Linotype" w:hAnsi="Palatino Linotype" w:cs="Palatino Linotype"/>
          <w:b/>
          <w:sz w:val="22"/>
          <w:szCs w:val="22"/>
        </w:rPr>
      </w:pPr>
      <w:r w:rsidRPr="00B94BFE">
        <w:rPr>
          <w:rFonts w:ascii="Palatino Linotype" w:eastAsia="Palatino Linotype" w:hAnsi="Palatino Linotype" w:cs="Palatino Linotype"/>
          <w:b/>
          <w:sz w:val="22"/>
          <w:szCs w:val="22"/>
        </w:rPr>
        <w:t>Comité de Transparencia</w:t>
      </w:r>
    </w:p>
    <w:p w:rsidR="00B13DC9" w:rsidRPr="00B94BFE" w:rsidRDefault="00804EE6">
      <w:pPr>
        <w:widowControl w:val="0"/>
        <w:spacing w:before="240" w:after="240" w:line="360" w:lineRule="auto"/>
        <w:ind w:left="567" w:right="758"/>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sz w:val="22"/>
          <w:szCs w:val="22"/>
        </w:rPr>
        <w:t>Acta de la Décima Tercera Sesión Extraordinaria del Comité de Transparencia, celebrada el uno de julio de dos mil veintidós, mediante la cual se aprobó la declaración de inexistencia de información del Informe Policial Homologado (IPH) de los años 2010 al 2016 y la clasificación parcial de la información como reservada de las documentales de Informe Policial Homologado (IPH) de los años 2017-2022.</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Expuestas las posturas de las partes, es de precisar que como se advierte de lo señalado por </w:t>
      </w:r>
      <w:r w:rsidRPr="00B94BFE">
        <w:rPr>
          <w:rFonts w:ascii="Palatino Linotype" w:eastAsia="Palatino Linotype" w:hAnsi="Palatino Linotype" w:cs="Palatino Linotype"/>
          <w:b/>
        </w:rPr>
        <w:t>el Recurrente</w:t>
      </w:r>
      <w:r w:rsidRPr="00B94BFE">
        <w:rPr>
          <w:rFonts w:ascii="Palatino Linotype" w:eastAsia="Palatino Linotype" w:hAnsi="Palatino Linotype" w:cs="Palatino Linotype"/>
        </w:rPr>
        <w:t xml:space="preserve"> en el acto impugnado, este únicamente se informa de forma específica de que 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no entrega su respuesta en el formato solicitado -XLSX o CSV, no hace referencia las coordenadas que georreferencian a cada incidente e incumple con aspectos procesales del derecho que nos compete, pues no declara la inexistencia de la información omitida, ni adjunta acta de Comité de Transparencia donde la confirme.</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Es así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Sirve de sustento, la tesis jurisprudencial número VI.3o.C. J/60, publicada en el Semanario Judicial de la Federación y su Gaceta bajo el número de registro 176,608 que a la letra dice:</w:t>
      </w:r>
    </w:p>
    <w:p w:rsidR="00B13DC9" w:rsidRPr="00B94BFE" w:rsidRDefault="00804EE6">
      <w:pPr>
        <w:spacing w:before="240" w:after="240" w:line="276" w:lineRule="auto"/>
        <w:ind w:left="567" w:right="900"/>
        <w:jc w:val="both"/>
        <w:rPr>
          <w:rFonts w:ascii="Palatino Linotype" w:eastAsia="Palatino Linotype" w:hAnsi="Palatino Linotype" w:cs="Palatino Linotype"/>
        </w:rPr>
      </w:pPr>
      <w:r w:rsidRPr="00B94BFE">
        <w:rPr>
          <w:rFonts w:ascii="Palatino Linotype" w:eastAsia="Palatino Linotype" w:hAnsi="Palatino Linotype" w:cs="Palatino Linotype"/>
          <w:b/>
          <w:i/>
          <w:smallCaps/>
          <w:sz w:val="22"/>
          <w:szCs w:val="22"/>
        </w:rPr>
        <w:t xml:space="preserve">“ACTOS CONSENTIDOS. SON LOS QUE NO SE IMPUGNAN MEDIANTE EL RECURSO IDÓNEO. </w:t>
      </w:r>
      <w:r w:rsidRPr="00B94BFE">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Lo anterior es así, debido a que cuando un </w:t>
      </w:r>
      <w:r w:rsidRPr="00B94BFE">
        <w:rPr>
          <w:rFonts w:ascii="Palatino Linotype" w:eastAsia="Palatino Linotype" w:hAnsi="Palatino Linotype" w:cs="Palatino Linotype"/>
          <w:b/>
        </w:rPr>
        <w:t>Recurrente</w:t>
      </w:r>
      <w:r w:rsidRPr="00B94BFE">
        <w:rPr>
          <w:rFonts w:ascii="Palatino Linotype" w:eastAsia="Palatino Linotype" w:hAnsi="Palatino Linotype" w:cs="Palatino Linotype"/>
        </w:rPr>
        <w:t xml:space="preserve"> impugna la respuesta del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w:t>
      </w:r>
      <w:r w:rsidRPr="00B94BFE">
        <w:rPr>
          <w:rFonts w:ascii="Palatino Linotype" w:eastAsia="Palatino Linotype" w:hAnsi="Palatino Linotype" w:cs="Palatino Linotype"/>
          <w:b/>
        </w:rPr>
        <w:t>la parte Recurrente</w:t>
      </w:r>
      <w:r w:rsidRPr="00B94BFE">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B13DC9" w:rsidRPr="00B94BFE" w:rsidRDefault="00804EE6">
      <w:pPr>
        <w:spacing w:before="240" w:after="240" w:line="276" w:lineRule="auto"/>
        <w:ind w:left="851"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 xml:space="preserve">“REVISIÓN EN AMPARO. LOS RESOLUTIVOS NO COMBATIDOS DEBEN DECLARARSE FIRMES. </w:t>
      </w:r>
      <w:r w:rsidRPr="00B94BFE">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Consecuentemente, se reitera que la parte de la solicitud que no fue impugnada debe declararse consentida por </w:t>
      </w:r>
      <w:r w:rsidRPr="00B94BFE">
        <w:rPr>
          <w:rFonts w:ascii="Palatino Linotype" w:eastAsia="Palatino Linotype" w:hAnsi="Palatino Linotype" w:cs="Palatino Linotype"/>
          <w:b/>
        </w:rPr>
        <w:t>el Recurrente</w:t>
      </w:r>
      <w:r w:rsidRPr="00B94BFE">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del </w:t>
      </w:r>
      <w:r w:rsidRPr="00B94BFE">
        <w:rPr>
          <w:rFonts w:ascii="Palatino Linotype" w:eastAsia="Palatino Linotype" w:hAnsi="Palatino Linotype" w:cs="Palatino Linotype"/>
          <w:b/>
        </w:rPr>
        <w:t>Recurrent</w:t>
      </w:r>
      <w:r w:rsidRPr="00B94BFE">
        <w:rPr>
          <w:rFonts w:ascii="Palatino Linotype" w:eastAsia="Palatino Linotype" w:hAnsi="Palatino Linotype" w:cs="Palatino Linotype"/>
        </w:rPr>
        <w:t xml:space="preserve">e ante la falta de impugnación eficaz. </w:t>
      </w:r>
    </w:p>
    <w:p w:rsidR="00B13DC9" w:rsidRPr="00B94BFE" w:rsidRDefault="00804EE6">
      <w:pPr>
        <w:spacing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Precisado lo anterior, sobre la </w:t>
      </w:r>
      <w:r w:rsidRPr="00B94BFE">
        <w:rPr>
          <w:rFonts w:ascii="Palatino Linotype" w:eastAsia="Palatino Linotype" w:hAnsi="Palatino Linotype" w:cs="Palatino Linotype"/>
          <w:b/>
          <w:u w:val="single"/>
        </w:rPr>
        <w:t>naturaleza de la información solicitada</w:t>
      </w:r>
      <w:r w:rsidRPr="00B94BFE">
        <w:rPr>
          <w:rFonts w:ascii="Palatino Linotype" w:eastAsia="Palatino Linotype" w:hAnsi="Palatino Linotype" w:cs="Palatino Linotype"/>
        </w:rPr>
        <w:t xml:space="preserve">, es oportuno traer a colación, los artículos 5, fracción II, XVII, 7, fracción IX, 19, fracción I, 39, inciso b), fracción VI y XI, 118 de la Ley General del Sistema Nacional de Seguridad Pública; disposición legal que dispone lo siguiente: </w:t>
      </w:r>
    </w:p>
    <w:p w:rsidR="00B13DC9" w:rsidRPr="00B94BFE" w:rsidRDefault="00B13DC9">
      <w:pPr>
        <w:tabs>
          <w:tab w:val="left" w:pos="7938"/>
        </w:tabs>
        <w:spacing w:line="276" w:lineRule="auto"/>
        <w:ind w:right="900"/>
        <w:jc w:val="both"/>
        <w:rPr>
          <w:rFonts w:ascii="Palatino Linotype" w:eastAsia="Palatino Linotype" w:hAnsi="Palatino Linotype" w:cs="Palatino Linotype"/>
          <w:b/>
          <w:i/>
          <w:sz w:val="22"/>
          <w:szCs w:val="22"/>
        </w:rPr>
      </w:pP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“Artículo 5</w:t>
      </w:r>
      <w:r w:rsidRPr="00B94BFE">
        <w:rPr>
          <w:rFonts w:ascii="Palatino Linotype" w:eastAsia="Palatino Linotype" w:hAnsi="Palatino Linotype" w:cs="Palatino Linotype"/>
          <w:i/>
          <w:sz w:val="22"/>
          <w:szCs w:val="22"/>
        </w:rPr>
        <w:t>.- Para los efectos de esta Ley, se entenderá por:</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III a XVI…</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rsidR="00B13DC9" w:rsidRPr="00B94BFE" w:rsidRDefault="00B13DC9">
      <w:pPr>
        <w:tabs>
          <w:tab w:val="left" w:pos="7938"/>
        </w:tabs>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Artículo 7.-</w:t>
      </w:r>
      <w:r w:rsidRPr="00B94BFE">
        <w:rPr>
          <w:rFonts w:ascii="Palatino Linotype" w:eastAsia="Palatino Linotype" w:hAnsi="Palatino Linotype" w:cs="Palatino Linotype"/>
          <w:i/>
          <w:sz w:val="22"/>
          <w:szCs w:val="22"/>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 a VIII…</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IX. Generar, compartir, intercambiar, ingresar, almacenar y proveer información, archivos y contenidos a las Bases de Datos que integran el Sistema Nacional de Información, de conformidad con lo dispuesto en la legislación en la materia. </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Tratándose de manejo de datos que provengan del Registro Nacional de Detenciones se atendrá a lo dispuesto en la Ley Nacional del Registro de Detenciones;</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X a XVI…</w:t>
      </w:r>
    </w:p>
    <w:p w:rsidR="00B13DC9" w:rsidRPr="00B94BFE" w:rsidRDefault="00B13DC9">
      <w:pPr>
        <w:tabs>
          <w:tab w:val="left" w:pos="7938"/>
        </w:tabs>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Artículo 19.-</w:t>
      </w:r>
      <w:r w:rsidRPr="00B94BFE">
        <w:rPr>
          <w:rFonts w:ascii="Palatino Linotype" w:eastAsia="Palatino Linotype" w:hAnsi="Palatino Linotype" w:cs="Palatino Linotype"/>
          <w:i/>
          <w:sz w:val="22"/>
          <w:szCs w:val="22"/>
        </w:rPr>
        <w:t xml:space="preserve"> El Centro Nacional de Información será el responsable de regular el Sistema Nacional de Información y tendrá, entre otras, las siguientes atribuciones: </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 Determinar los criterios técnicos y de homologación de las Bases de Datos que conforman el Sistema Nacional de Información;</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II a VI…</w:t>
      </w:r>
    </w:p>
    <w:p w:rsidR="00B13DC9" w:rsidRPr="00B94BFE" w:rsidRDefault="00B13DC9">
      <w:pPr>
        <w:tabs>
          <w:tab w:val="left" w:pos="7938"/>
        </w:tabs>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B94BFE">
        <w:rPr>
          <w:rFonts w:ascii="Palatino Linotype" w:eastAsia="Palatino Linotype" w:hAnsi="Palatino Linotype" w:cs="Palatino Linotype"/>
          <w:b/>
          <w:i/>
          <w:sz w:val="22"/>
          <w:szCs w:val="22"/>
          <w:u w:val="single"/>
        </w:rPr>
        <w:t>Artículo 39.- La concurrencia de facultades entre la Federación, las entidades federativas y los Municipios, quedará distribuida conforme a lo siguiente:</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A…</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B94BFE">
        <w:rPr>
          <w:rFonts w:ascii="Palatino Linotype" w:eastAsia="Palatino Linotype" w:hAnsi="Palatino Linotype" w:cs="Palatino Linotype"/>
          <w:b/>
          <w:i/>
          <w:sz w:val="22"/>
          <w:szCs w:val="22"/>
          <w:u w:val="single"/>
        </w:rPr>
        <w:t>B. Corresponde a la Federación, a las entidades federativas y a los Municipios, en el ámbito de sus respectivas competencias:</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 a V…</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VI. Designar a un responsable del control, suministro y adecuado manejo de la información a que se refiere esta Ley;</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XII a X…</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B94BFE">
        <w:rPr>
          <w:rFonts w:ascii="Palatino Linotype" w:eastAsia="Palatino Linotype" w:hAnsi="Palatino Linotype" w:cs="Palatino Linotype"/>
          <w:b/>
          <w:i/>
          <w:sz w:val="22"/>
          <w:szCs w:val="22"/>
          <w:u w:val="single"/>
        </w:rPr>
        <w:t xml:space="preserve">XI. Integrar y consultar la información relativa a la operación y Desarrollo Policial para el registro y seguimiento en el Sistema Nacional de Información; </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XII a XV…</w:t>
      </w:r>
    </w:p>
    <w:p w:rsidR="00B13DC9" w:rsidRPr="00B94BFE" w:rsidRDefault="00B13DC9">
      <w:pPr>
        <w:tabs>
          <w:tab w:val="left" w:pos="7938"/>
        </w:tabs>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Artículo 118.-</w:t>
      </w:r>
      <w:r w:rsidRPr="00B94BFE">
        <w:rPr>
          <w:rFonts w:ascii="Palatino Linotype" w:eastAsia="Palatino Linotype" w:hAnsi="Palatino Linotype" w:cs="Palatino Linotype"/>
          <w:i/>
          <w:sz w:val="22"/>
          <w:szCs w:val="22"/>
        </w:rPr>
        <w:t xml:space="preserve"> Las Bases de Datos que integran el Sistema Nacional de Información se actualizarán permanentemente y serán de consulta obligatoria para garantizar la efectividad en las actividades de Seguridad Pública. </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El Registro Nacional de Detenciones se vinculará con las Bases de Datos a que se refiere el presente artículo, mediante el número de identificación al que hace referencia la ley de la materia.”</w:t>
      </w:r>
    </w:p>
    <w:p w:rsidR="00B13DC9" w:rsidRPr="00B94BFE" w:rsidRDefault="00B13DC9">
      <w:pPr>
        <w:tabs>
          <w:tab w:val="left" w:pos="7938"/>
        </w:tabs>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tabs>
          <w:tab w:val="left" w:pos="7938"/>
        </w:tabs>
        <w:spacing w:before="240" w:after="240" w:line="360" w:lineRule="auto"/>
        <w:jc w:val="center"/>
        <w:rPr>
          <w:rFonts w:ascii="Palatino Linotype" w:eastAsia="Palatino Linotype" w:hAnsi="Palatino Linotype" w:cs="Palatino Linotype"/>
          <w:b/>
        </w:rPr>
      </w:pPr>
      <w:r w:rsidRPr="00B94BFE">
        <w:rPr>
          <w:rFonts w:ascii="Palatino Linotype" w:eastAsia="Palatino Linotype" w:hAnsi="Palatino Linotype" w:cs="Palatino Linotype"/>
          <w:b/>
        </w:rPr>
        <w:t>Ley de Seguridad del Estado de México</w:t>
      </w:r>
    </w:p>
    <w:p w:rsidR="00B13DC9" w:rsidRPr="00B94BFE" w:rsidRDefault="00804EE6">
      <w:pPr>
        <w:tabs>
          <w:tab w:val="left" w:pos="7938"/>
        </w:tabs>
        <w:spacing w:before="240" w:after="240" w:line="360" w:lineRule="auto"/>
        <w:jc w:val="both"/>
        <w:rPr>
          <w:rFonts w:ascii="Palatino Linotype" w:eastAsia="Palatino Linotype" w:hAnsi="Palatino Linotype" w:cs="Palatino Linotype"/>
          <w:b/>
        </w:rPr>
      </w:pPr>
      <w:r w:rsidRPr="00B94BFE">
        <w:rPr>
          <w:rFonts w:ascii="Palatino Linotype" w:eastAsia="Palatino Linotype" w:hAnsi="Palatino Linotype" w:cs="Palatino Linotype"/>
          <w:b/>
        </w:rPr>
        <w:t>Decreto número 360 publicado en el Periódico Oficial “Gaceta del Gobierno” del Estado de México, el diecinueve de octubre</w:t>
      </w:r>
      <w:r w:rsidRPr="00B94BFE">
        <w:rPr>
          <w:rFonts w:ascii="Palatino Linotype" w:eastAsia="Palatino Linotype" w:hAnsi="Palatino Linotype" w:cs="Palatino Linotype"/>
          <w:b/>
          <w:u w:val="single"/>
        </w:rPr>
        <w:t xml:space="preserve"> de dos mil once</w:t>
      </w:r>
      <w:r w:rsidRPr="00B94BFE">
        <w:rPr>
          <w:rFonts w:ascii="Palatino Linotype" w:eastAsia="Palatino Linotype" w:hAnsi="Palatino Linotype" w:cs="Palatino Linotype"/>
          <w:b/>
        </w:rPr>
        <w:t>.</w:t>
      </w:r>
    </w:p>
    <w:p w:rsidR="00B13DC9" w:rsidRPr="00B94BFE" w:rsidRDefault="00804EE6">
      <w:pPr>
        <w:tabs>
          <w:tab w:val="left" w:pos="7938"/>
        </w:tabs>
        <w:spacing w:before="240" w:after="240" w:line="360" w:lineRule="auto"/>
        <w:jc w:val="center"/>
        <w:rPr>
          <w:rFonts w:ascii="Palatino Linotype" w:eastAsia="Palatino Linotype" w:hAnsi="Palatino Linotype" w:cs="Palatino Linotype"/>
          <w:b/>
        </w:rPr>
      </w:pPr>
      <w:r w:rsidRPr="00B94BFE">
        <w:rPr>
          <w:rFonts w:ascii="Palatino Linotype" w:eastAsia="Palatino Linotype" w:hAnsi="Palatino Linotype" w:cs="Palatino Linotype"/>
          <w:i/>
          <w:noProof/>
          <w:lang w:val="es-MX"/>
        </w:rPr>
        <w:drawing>
          <wp:inline distT="0" distB="0" distL="0" distR="0">
            <wp:extent cx="4964433" cy="4812167"/>
            <wp:effectExtent l="0" t="0" r="0" b="0"/>
            <wp:docPr id="1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4964433" cy="4812167"/>
                    </a:xfrm>
                    <a:prstGeom prst="rect">
                      <a:avLst/>
                    </a:prstGeom>
                    <a:ln/>
                  </pic:spPr>
                </pic:pic>
              </a:graphicData>
            </a:graphic>
          </wp:inline>
        </w:drawing>
      </w:r>
    </w:p>
    <w:p w:rsidR="00B13DC9" w:rsidRPr="00B94BFE" w:rsidRDefault="00B13DC9">
      <w:pPr>
        <w:tabs>
          <w:tab w:val="left" w:pos="7938"/>
        </w:tabs>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tabs>
          <w:tab w:val="left" w:pos="7513"/>
        </w:tabs>
        <w:spacing w:line="360" w:lineRule="auto"/>
        <w:ind w:right="49"/>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rPr>
        <w:t>Por otra parte, los numerales 125, fracción VIII y 142 de la Ley Orgánica Municipal del Estado de México, señala lo siguiente:</w:t>
      </w:r>
      <w:r w:rsidRPr="00B94BFE">
        <w:rPr>
          <w:rFonts w:ascii="Palatino Linotype" w:eastAsia="Palatino Linotype" w:hAnsi="Palatino Linotype" w:cs="Palatino Linotype"/>
          <w:b/>
          <w:i/>
          <w:sz w:val="22"/>
          <w:szCs w:val="22"/>
        </w:rPr>
        <w:t xml:space="preserve"> </w:t>
      </w:r>
    </w:p>
    <w:p w:rsidR="00B13DC9" w:rsidRPr="00B94BFE" w:rsidRDefault="00B13DC9">
      <w:pPr>
        <w:tabs>
          <w:tab w:val="left" w:pos="7938"/>
        </w:tabs>
        <w:spacing w:line="276" w:lineRule="auto"/>
        <w:ind w:left="1134" w:right="900"/>
        <w:jc w:val="both"/>
        <w:rPr>
          <w:rFonts w:ascii="Palatino Linotype" w:eastAsia="Palatino Linotype" w:hAnsi="Palatino Linotype" w:cs="Palatino Linotype"/>
          <w:b/>
          <w:i/>
          <w:sz w:val="22"/>
          <w:szCs w:val="22"/>
        </w:rPr>
      </w:pP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“Artículo 125</w:t>
      </w:r>
      <w:r w:rsidRPr="00B94BFE">
        <w:rPr>
          <w:rFonts w:ascii="Palatino Linotype" w:eastAsia="Palatino Linotype" w:hAnsi="Palatino Linotype" w:cs="Palatino Linotype"/>
          <w:i/>
          <w:sz w:val="22"/>
          <w:szCs w:val="22"/>
        </w:rPr>
        <w:t>.- Los municipios tendrán a su cargo la prestación, explotación, administración y conservación de los servicios públicos municipales, considerándose enunciativa y no limitativamente, los siguientes:</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 a VII…</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VIII. Seguridad pública y tránsito;</w:t>
      </w: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IX a XI…</w:t>
      </w:r>
    </w:p>
    <w:p w:rsidR="00B13DC9" w:rsidRPr="00B94BFE" w:rsidRDefault="00B13DC9">
      <w:pPr>
        <w:tabs>
          <w:tab w:val="left" w:pos="7938"/>
        </w:tabs>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Artículo 142</w:t>
      </w:r>
      <w:r w:rsidRPr="00B94BFE">
        <w:rPr>
          <w:rFonts w:ascii="Palatino Linotype" w:eastAsia="Palatino Linotype" w:hAnsi="Palatino Linotype" w:cs="Palatino Linotype"/>
          <w:i/>
          <w:sz w:val="22"/>
          <w:szCs w:val="22"/>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rsidR="00B13DC9" w:rsidRPr="00B94BFE" w:rsidRDefault="00B13DC9">
      <w:pPr>
        <w:tabs>
          <w:tab w:val="left" w:pos="7938"/>
        </w:tabs>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tabs>
          <w:tab w:val="left" w:pos="7938"/>
        </w:tabs>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 En cada municipio se deberán integrar cuerpos de seguridad pública, de bomberos y, en su caso, de tránsito, estos servidores públicos preferentemente serán vecinos del municipio, de los cuales el presidente municipal será el jefe inmediato.”</w:t>
      </w:r>
    </w:p>
    <w:p w:rsidR="00B13DC9" w:rsidRPr="00B94BFE" w:rsidRDefault="00B13DC9">
      <w:pPr>
        <w:spacing w:line="360" w:lineRule="auto"/>
        <w:ind w:left="567"/>
        <w:jc w:val="both"/>
        <w:rPr>
          <w:rFonts w:ascii="Palatino Linotype" w:eastAsia="Palatino Linotype" w:hAnsi="Palatino Linotype" w:cs="Palatino Linotype"/>
          <w:i/>
          <w:sz w:val="22"/>
          <w:szCs w:val="22"/>
        </w:rPr>
      </w:pPr>
    </w:p>
    <w:p w:rsidR="00B13DC9" w:rsidRPr="00B94BFE" w:rsidRDefault="00804EE6">
      <w:pPr>
        <w:spacing w:before="240" w:after="240" w:line="360" w:lineRule="auto"/>
        <w:jc w:val="both"/>
        <w:rPr>
          <w:rFonts w:ascii="Palatino Linotype" w:eastAsia="Palatino Linotype" w:hAnsi="Palatino Linotype" w:cs="Palatino Linotype"/>
          <w:b/>
        </w:rPr>
      </w:pPr>
      <w:r w:rsidRPr="00B94BFE">
        <w:rPr>
          <w:rFonts w:ascii="Palatino Linotype" w:eastAsia="Palatino Linotype" w:hAnsi="Palatino Linotype" w:cs="Palatino Linotype"/>
        </w:rPr>
        <w:t xml:space="preserve">De ahí que deba arribarse a la premisa de que la Ley General del Sistema Nacional de Seguridad Pública prevé un esquema de distribución de competencias entre la Federación, los Estados y los Municipios, a fin que, estos últimos, realicen la integración y actualización de diversas Bases de Datos que integran información de incidencia delictiva; </w:t>
      </w:r>
      <w:r w:rsidRPr="00B94BFE">
        <w:rPr>
          <w:rFonts w:ascii="Palatino Linotype" w:eastAsia="Palatino Linotype" w:hAnsi="Palatino Linotype" w:cs="Palatino Linotype"/>
          <w:b/>
        </w:rPr>
        <w:t xml:space="preserve">máxime que, desde la entrada en vigor de la Ley de Seguridad del Estado de México </w:t>
      </w:r>
      <w:r w:rsidRPr="00B94BFE">
        <w:rPr>
          <w:rFonts w:ascii="Palatino Linotype" w:eastAsia="Palatino Linotype" w:hAnsi="Palatino Linotype" w:cs="Palatino Linotype"/>
          <w:b/>
          <w:i/>
        </w:rPr>
        <w:t xml:space="preserve">-el 20 de octubre de 2011- </w:t>
      </w:r>
      <w:r w:rsidRPr="00B94BFE">
        <w:rPr>
          <w:rFonts w:ascii="Palatino Linotype" w:eastAsia="Palatino Linotype" w:hAnsi="Palatino Linotype" w:cs="Palatino Linotype"/>
          <w:b/>
        </w:rPr>
        <w:t xml:space="preserve">se desprende la atribución expresa para que, el Director de Seguridad Pública Municipal, </w:t>
      </w:r>
      <w:r w:rsidRPr="00B94BFE">
        <w:rPr>
          <w:rFonts w:ascii="Palatino Linotype" w:eastAsia="Palatino Linotype" w:hAnsi="Palatino Linotype" w:cs="Palatino Linotype"/>
        </w:rPr>
        <w:t xml:space="preserve"> entre otras cosas, </w:t>
      </w:r>
      <w:r w:rsidRPr="00B94BFE">
        <w:rPr>
          <w:rFonts w:ascii="Palatino Linotype" w:eastAsia="Palatino Linotype" w:hAnsi="Palatino Linotype" w:cs="Palatino Linotype"/>
          <w:b/>
        </w:rPr>
        <w:t xml:space="preserve">genere estadística delictiva. </w:t>
      </w:r>
    </w:p>
    <w:p w:rsidR="00B13DC9" w:rsidRPr="00B94BFE" w:rsidRDefault="00804EE6">
      <w:pPr>
        <w:spacing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Así las cosas,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rsidR="00B13DC9" w:rsidRPr="00B94BFE" w:rsidRDefault="00B13DC9">
      <w:pPr>
        <w:spacing w:line="360" w:lineRule="auto"/>
        <w:jc w:val="both"/>
        <w:rPr>
          <w:rFonts w:ascii="Palatino Linotype" w:eastAsia="Palatino Linotype" w:hAnsi="Palatino Linotype" w:cs="Palatino Linotype"/>
          <w:sz w:val="22"/>
          <w:szCs w:val="22"/>
        </w:rPr>
      </w:pP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“Artículo 24</w:t>
      </w:r>
      <w:r w:rsidRPr="00B94BFE">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 a XI…</w:t>
      </w: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XII. Publicar y mantener actualizada la información relativa a las obligaciones generales de transparencia previstas en la presente Ley o determinadas así por el Instituto, y en general aquella que sea de interés público;</w:t>
      </w: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XIII a XXV…</w:t>
      </w:r>
    </w:p>
    <w:p w:rsidR="00B13DC9" w:rsidRPr="00B94BFE" w:rsidRDefault="00B13DC9">
      <w:pPr>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Artículo 92.</w:t>
      </w:r>
      <w:r w:rsidRPr="00B94BFE">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 a XXXIII…</w:t>
      </w: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XXXIV. Las estadísticas que generen en cumplimiento de sus facultades, competencias o funciones con la mayor desagregación posible</w:t>
      </w: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XXXV a LII…”</w:t>
      </w:r>
    </w:p>
    <w:p w:rsidR="00B13DC9" w:rsidRPr="00B94BFE" w:rsidRDefault="00B13DC9">
      <w:pPr>
        <w:spacing w:line="360" w:lineRule="auto"/>
        <w:ind w:left="567"/>
        <w:jc w:val="both"/>
        <w:rPr>
          <w:rFonts w:ascii="Palatino Linotype" w:eastAsia="Palatino Linotype" w:hAnsi="Palatino Linotype" w:cs="Palatino Linotype"/>
          <w:i/>
          <w:sz w:val="22"/>
          <w:szCs w:val="22"/>
        </w:rPr>
      </w:pPr>
    </w:p>
    <w:p w:rsidR="00B13DC9" w:rsidRPr="00B94BFE" w:rsidRDefault="00804EE6">
      <w:pPr>
        <w:spacing w:line="360" w:lineRule="auto"/>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rPr>
        <w:t>De forma complementaria, resulta de nuestro particular interés el criterio 11/09 emitido por el hoy Instituto Nacional de Transparencia, Acceso a la Información y Protección de Datos Personales, que a la letra dispone lo siguiente</w:t>
      </w:r>
      <w:r w:rsidRPr="00B94BFE">
        <w:rPr>
          <w:rFonts w:ascii="Palatino Linotype" w:eastAsia="Palatino Linotype" w:hAnsi="Palatino Linotype" w:cs="Palatino Linotype"/>
          <w:sz w:val="22"/>
          <w:szCs w:val="22"/>
        </w:rPr>
        <w:t>:</w:t>
      </w:r>
    </w:p>
    <w:p w:rsidR="00B13DC9" w:rsidRPr="00B94BFE" w:rsidRDefault="00B13DC9">
      <w:pPr>
        <w:spacing w:line="360" w:lineRule="auto"/>
        <w:jc w:val="both"/>
        <w:rPr>
          <w:rFonts w:ascii="Palatino Linotype" w:eastAsia="Palatino Linotype" w:hAnsi="Palatino Linotype" w:cs="Palatino Linotype"/>
          <w:sz w:val="22"/>
          <w:szCs w:val="22"/>
        </w:rPr>
      </w:pPr>
    </w:p>
    <w:p w:rsidR="00B13DC9" w:rsidRPr="00B94BFE" w:rsidRDefault="00804EE6">
      <w:pPr>
        <w:spacing w:line="276" w:lineRule="auto"/>
        <w:ind w:left="1134" w:right="900"/>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“LA INFORMACIÓN ESTADÍSTICA ES DE NATURALEZA PÚBLICA, INDEPENDIENTEMENTE DE LA MATERIA CON LA QUE SE ENCUENTRE VINCULADA.</w:t>
      </w: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B13DC9" w:rsidRPr="00B94BFE" w:rsidRDefault="00B13DC9">
      <w:pPr>
        <w:spacing w:line="360" w:lineRule="auto"/>
        <w:jc w:val="both"/>
        <w:rPr>
          <w:rFonts w:ascii="Palatino Linotype" w:eastAsia="Palatino Linotype" w:hAnsi="Palatino Linotype" w:cs="Palatino Linotype"/>
          <w:sz w:val="22"/>
          <w:szCs w:val="22"/>
        </w:rPr>
      </w:pPr>
    </w:p>
    <w:p w:rsidR="00B13DC9" w:rsidRPr="00B94BFE" w:rsidRDefault="00804EE6">
      <w:pPr>
        <w:spacing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Así las cosas, se atrae al estudio los Lineamientos para el Llenado, Entrega, Recepción, Registro, Resguardo y Consulta del Informe Policial Homologado; véase: </w:t>
      </w:r>
      <w:hyperlink r:id="rId26">
        <w:r w:rsidRPr="00B94BFE">
          <w:rPr>
            <w:rFonts w:ascii="Palatino Linotype" w:eastAsia="Palatino Linotype" w:hAnsi="Palatino Linotype" w:cs="Palatino Linotype"/>
            <w:u w:val="single"/>
          </w:rPr>
          <w:t>https://www.dof.gob.mx/nota_detalle.php?codigo=5587157&amp;fecha=21/02/2020</w:t>
        </w:r>
      </w:hyperlink>
      <w:r w:rsidRPr="00B94BFE">
        <w:rPr>
          <w:rFonts w:ascii="Palatino Linotype" w:eastAsia="Palatino Linotype" w:hAnsi="Palatino Linotype" w:cs="Palatino Linotype"/>
        </w:rPr>
        <w:t xml:space="preserve"> y de los cuales, se inserta lo siguiente:</w:t>
      </w:r>
    </w:p>
    <w:p w:rsidR="00B13DC9" w:rsidRPr="00B94BFE" w:rsidRDefault="00B13DC9">
      <w:pPr>
        <w:spacing w:line="360" w:lineRule="auto"/>
        <w:ind w:right="539"/>
        <w:rPr>
          <w:rFonts w:ascii="Palatino Linotype" w:eastAsia="Palatino Linotype" w:hAnsi="Palatino Linotype" w:cs="Palatino Linotype"/>
        </w:rPr>
      </w:pPr>
    </w:p>
    <w:p w:rsidR="00B13DC9" w:rsidRPr="00B94BFE" w:rsidRDefault="00804EE6">
      <w:pPr>
        <w:spacing w:line="276" w:lineRule="auto"/>
        <w:ind w:left="1134" w:right="900"/>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PRIMERO. OBJETO Y ÁMBITO DE APLICACIÓN.</w:t>
      </w:r>
    </w:p>
    <w:p w:rsidR="00B13DC9" w:rsidRPr="00B94BFE" w:rsidRDefault="00B13DC9">
      <w:pPr>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El Informe Policial Homologado es el medio a través del cual </w:t>
      </w:r>
      <w:r w:rsidRPr="00B94BFE">
        <w:rPr>
          <w:rFonts w:ascii="Palatino Linotype" w:eastAsia="Palatino Linotype" w:hAnsi="Palatino Linotype" w:cs="Palatino Linotype"/>
          <w:b/>
          <w:i/>
          <w:sz w:val="22"/>
          <w:szCs w:val="22"/>
        </w:rPr>
        <w:t>los integrantes de las instituciones policiales documentan la información relacionada con las puestas a disposición de personas y/o de objetos derivados de su intervención</w:t>
      </w:r>
      <w:r w:rsidRPr="00B94BFE">
        <w:rPr>
          <w:rFonts w:ascii="Palatino Linotype" w:eastAsia="Palatino Linotype" w:hAnsi="Palatino Linotype" w:cs="Palatino Linotype"/>
          <w:i/>
          <w:sz w:val="22"/>
          <w:szCs w:val="22"/>
        </w:rPr>
        <w:t>, a las autoridades competentes.</w:t>
      </w:r>
    </w:p>
    <w:p w:rsidR="00B13DC9" w:rsidRPr="00B94BFE" w:rsidRDefault="00B13DC9">
      <w:pPr>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El Informe Policial Homologado tiene como objeto eficientar las puestas a disposición, garantizar el debido proceso, y fomentar el uso de la información para acciones de inteligencia.</w:t>
      </w:r>
    </w:p>
    <w:p w:rsidR="00B13DC9" w:rsidRPr="00B94BFE" w:rsidRDefault="00B13DC9">
      <w:pPr>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Los presentes Lineamientos tienen como objeto señalar los criterios respecto a lo siguiente:</w:t>
      </w: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 a V …</w:t>
      </w: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VI.   Resguardo de la base de datos del IPH en el Sistema Nacional de Información en Seguridad Pública;</w:t>
      </w: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VII a IX…</w:t>
      </w:r>
    </w:p>
    <w:p w:rsidR="00B13DC9" w:rsidRPr="00B94BFE" w:rsidRDefault="00B13DC9">
      <w:pPr>
        <w:spacing w:line="276" w:lineRule="auto"/>
        <w:ind w:left="1134" w:right="900"/>
        <w:jc w:val="both"/>
        <w:rPr>
          <w:rFonts w:ascii="Palatino Linotype" w:eastAsia="Palatino Linotype" w:hAnsi="Palatino Linotype" w:cs="Palatino Linotype"/>
          <w:b/>
          <w:i/>
          <w:sz w:val="22"/>
          <w:szCs w:val="22"/>
        </w:rPr>
      </w:pPr>
    </w:p>
    <w:p w:rsidR="00B13DC9" w:rsidRPr="00B94BFE" w:rsidRDefault="00804EE6">
      <w:pPr>
        <w:spacing w:line="276" w:lineRule="auto"/>
        <w:ind w:left="1134" w:right="900"/>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SEGUNDO. GLOSARIO DE TÉRMINOS.</w:t>
      </w:r>
    </w:p>
    <w:p w:rsidR="00B13DC9" w:rsidRPr="00B94BFE" w:rsidRDefault="00B13DC9">
      <w:pPr>
        <w:spacing w:line="276" w:lineRule="auto"/>
        <w:ind w:left="1134" w:right="900"/>
        <w:jc w:val="both"/>
        <w:rPr>
          <w:rFonts w:ascii="Palatino Linotype" w:eastAsia="Palatino Linotype" w:hAnsi="Palatino Linotype" w:cs="Palatino Linotype"/>
          <w:b/>
          <w:i/>
          <w:sz w:val="22"/>
          <w:szCs w:val="22"/>
        </w:rPr>
      </w:pP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 a IX…</w:t>
      </w: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X. IPH: El Informe Policial Homologado de hechos probablemente delictivos o de infracciones administrativas, mismo que puede ser en versión impresa o electrónica.</w:t>
      </w:r>
    </w:p>
    <w:p w:rsidR="00B13DC9" w:rsidRPr="00B94BFE" w:rsidRDefault="00B13DC9">
      <w:pPr>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spacing w:line="276" w:lineRule="auto"/>
        <w:ind w:left="1134" w:right="900"/>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DÉCIMO TERCERO. ENTREGA Y RECEPCIÓN DEL IPH.</w:t>
      </w:r>
    </w:p>
    <w:p w:rsidR="00B13DC9" w:rsidRPr="00B94BFE" w:rsidRDefault="00B13DC9">
      <w:pPr>
        <w:spacing w:line="276" w:lineRule="auto"/>
        <w:ind w:left="1134" w:right="900"/>
        <w:jc w:val="both"/>
        <w:rPr>
          <w:rFonts w:ascii="Palatino Linotype" w:eastAsia="Palatino Linotype" w:hAnsi="Palatino Linotype" w:cs="Palatino Linotype"/>
          <w:i/>
          <w:sz w:val="22"/>
          <w:szCs w:val="22"/>
        </w:rPr>
      </w:pP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Los integrantes de las instituciones policiales de los tres órdenes de gobierno que realicen el llenado del IPH, </w:t>
      </w:r>
      <w:r w:rsidRPr="00B94BFE">
        <w:rPr>
          <w:rFonts w:ascii="Palatino Linotype" w:eastAsia="Palatino Linotype" w:hAnsi="Palatino Linotype" w:cs="Palatino Linotype"/>
          <w:b/>
          <w:i/>
          <w:sz w:val="22"/>
          <w:szCs w:val="22"/>
        </w:rPr>
        <w:t>deberán entregarlo junto con las personas detenidas y/o arrestadas y/o los objetos asegurados a la autoridad competente</w:t>
      </w:r>
      <w:r w:rsidRPr="00B94BFE">
        <w:rPr>
          <w:rFonts w:ascii="Palatino Linotype" w:eastAsia="Palatino Linotype" w:hAnsi="Palatino Linotype" w:cs="Palatino Linotype"/>
          <w:i/>
          <w:sz w:val="22"/>
          <w:szCs w:val="22"/>
        </w:rPr>
        <w:t>, según se trate de un hecho probablemente delictivo o una infracción administrativa.</w:t>
      </w:r>
    </w:p>
    <w:p w:rsidR="00B13DC9" w:rsidRPr="00B94BFE" w:rsidRDefault="00804EE6">
      <w:pPr>
        <w:spacing w:line="276" w:lineRule="auto"/>
        <w:ind w:left="1134" w:right="900"/>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w:t>
      </w:r>
    </w:p>
    <w:p w:rsidR="00B13DC9" w:rsidRPr="00B94BFE" w:rsidRDefault="00B13DC9">
      <w:pPr>
        <w:spacing w:line="276" w:lineRule="auto"/>
        <w:ind w:left="1134" w:right="900"/>
        <w:jc w:val="both"/>
        <w:rPr>
          <w:rFonts w:ascii="Palatino Linotype" w:eastAsia="Palatino Linotype" w:hAnsi="Palatino Linotype" w:cs="Palatino Linotype"/>
          <w:b/>
          <w:i/>
          <w:sz w:val="22"/>
          <w:szCs w:val="22"/>
        </w:rPr>
      </w:pPr>
    </w:p>
    <w:p w:rsidR="00B13DC9" w:rsidRPr="00B94BFE" w:rsidRDefault="00804EE6">
      <w:pPr>
        <w:spacing w:before="120" w:after="120"/>
        <w:ind w:left="851" w:right="902"/>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DÉCIMO CUARTO. REGISTRO DE LA INFORMACIÓN EN LA BASE DE DATOS DEL IPH.</w:t>
      </w:r>
    </w:p>
    <w:p w:rsidR="00B13DC9" w:rsidRPr="00B94BFE" w:rsidRDefault="00804EE6">
      <w:pPr>
        <w:spacing w:before="120" w:after="120"/>
        <w:ind w:left="851" w:right="902"/>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El registro de la información en la base de datos se llevará a cabo conforme a lo siguiente:</w:t>
      </w:r>
    </w:p>
    <w:p w:rsidR="00B13DC9" w:rsidRPr="00B94BFE" w:rsidRDefault="00804EE6">
      <w:pPr>
        <w:numPr>
          <w:ilvl w:val="0"/>
          <w:numId w:val="10"/>
        </w:numPr>
        <w:pBdr>
          <w:top w:val="nil"/>
          <w:left w:val="nil"/>
          <w:bottom w:val="nil"/>
          <w:right w:val="nil"/>
          <w:between w:val="nil"/>
        </w:pBdr>
        <w:tabs>
          <w:tab w:val="left" w:pos="1418"/>
        </w:tabs>
        <w:spacing w:before="120" w:after="120"/>
        <w:ind w:left="1134" w:right="902" w:firstLine="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La captura y registro de la información suministrada a la base de datos son obligatorios y estarán a cargo de las instituciones policiales de los tres órdenes de gobierno</w:t>
      </w:r>
      <w:r w:rsidRPr="00B94BFE">
        <w:rPr>
          <w:rFonts w:ascii="Palatino Linotype" w:eastAsia="Palatino Linotype" w:hAnsi="Palatino Linotype" w:cs="Palatino Linotype"/>
          <w:i/>
          <w:sz w:val="22"/>
          <w:szCs w:val="22"/>
        </w:rPr>
        <w:t>;</w:t>
      </w:r>
    </w:p>
    <w:p w:rsidR="00B13DC9" w:rsidRPr="00B94BFE" w:rsidRDefault="00804EE6">
      <w:pPr>
        <w:tabs>
          <w:tab w:val="left" w:pos="1418"/>
        </w:tabs>
        <w:spacing w:before="120" w:after="120"/>
        <w:ind w:left="1134" w:right="902"/>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II.</w:t>
      </w:r>
      <w:r w:rsidRPr="00B94BFE">
        <w:rPr>
          <w:rFonts w:ascii="Palatino Linotype" w:eastAsia="Palatino Linotype" w:hAnsi="Palatino Linotype" w:cs="Palatino Linotype"/>
          <w:i/>
          <w:sz w:val="22"/>
          <w:szCs w:val="22"/>
        </w:rPr>
        <w:t xml:space="preserve"> El suministro de la información se realizará con apego a los datos contenidos en el IPH;</w:t>
      </w:r>
    </w:p>
    <w:p w:rsidR="00B13DC9" w:rsidRPr="00B94BFE" w:rsidRDefault="00804EE6">
      <w:pPr>
        <w:tabs>
          <w:tab w:val="left" w:pos="1418"/>
        </w:tabs>
        <w:spacing w:before="120" w:after="120"/>
        <w:ind w:left="1134" w:right="902"/>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III</w:t>
      </w:r>
      <w:r w:rsidRPr="00B94BFE">
        <w:rPr>
          <w:rFonts w:ascii="Palatino Linotype" w:eastAsia="Palatino Linotype" w:hAnsi="Palatino Linotype" w:cs="Palatino Linotype"/>
          <w:i/>
          <w:sz w:val="22"/>
          <w:szCs w:val="22"/>
        </w:rPr>
        <w:t>. El registro de los datos contenidos en el IPH y su digitalización se harán de manera inmediata, sin que exceda de un término máximo de veinticuatro horas contadas a partir de la hora de recepción por parte de la autoridad competente, y</w:t>
      </w:r>
    </w:p>
    <w:p w:rsidR="00B13DC9" w:rsidRPr="00B94BFE" w:rsidRDefault="00804EE6">
      <w:pPr>
        <w:tabs>
          <w:tab w:val="left" w:pos="1418"/>
        </w:tabs>
        <w:spacing w:before="120" w:after="120"/>
        <w:ind w:left="1134" w:right="902"/>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 xml:space="preserve">IV. </w:t>
      </w:r>
      <w:r w:rsidRPr="00B94BFE">
        <w:rPr>
          <w:rFonts w:ascii="Palatino Linotype" w:eastAsia="Palatino Linotype" w:hAnsi="Palatino Linotype" w:cs="Palatino Linotype"/>
          <w:i/>
          <w:sz w:val="22"/>
          <w:szCs w:val="22"/>
        </w:rPr>
        <w:t>La Secretaría garantizará la operación, disponibilidad, interconexión y mantenimiento de los componentes tecnológicos que soporten la base de datos y sistemas informáticos del IPH.”</w:t>
      </w:r>
    </w:p>
    <w:p w:rsidR="00B13DC9" w:rsidRPr="00B94BFE" w:rsidRDefault="00B13DC9">
      <w:pPr>
        <w:spacing w:line="276" w:lineRule="auto"/>
        <w:ind w:right="900"/>
        <w:jc w:val="both"/>
        <w:rPr>
          <w:rFonts w:ascii="Palatino Linotype" w:eastAsia="Palatino Linotype" w:hAnsi="Palatino Linotype" w:cs="Palatino Linotype"/>
          <w:b/>
          <w:i/>
          <w:sz w:val="22"/>
          <w:szCs w:val="22"/>
        </w:rPr>
      </w:pPr>
    </w:p>
    <w:p w:rsidR="00B13DC9" w:rsidRPr="00B94BFE" w:rsidRDefault="00804EE6">
      <w:pPr>
        <w:spacing w:line="276" w:lineRule="auto"/>
        <w:ind w:left="1134"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(Énfasis añadido)</w:t>
      </w:r>
    </w:p>
    <w:p w:rsidR="00B13DC9" w:rsidRPr="00B94BFE" w:rsidRDefault="00B13DC9">
      <w:pPr>
        <w:spacing w:line="360" w:lineRule="auto"/>
        <w:jc w:val="both"/>
        <w:rPr>
          <w:rFonts w:ascii="Palatino Linotype" w:eastAsia="Palatino Linotype" w:hAnsi="Palatino Linotype" w:cs="Palatino Linotype"/>
          <w:b/>
          <w:i/>
          <w:sz w:val="22"/>
          <w:szCs w:val="22"/>
        </w:rPr>
      </w:pPr>
    </w:p>
    <w:p w:rsidR="00B13DC9" w:rsidRPr="00B94BFE" w:rsidRDefault="00804EE6">
      <w:pPr>
        <w:spacing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De lo anterior, se deduce que del informe policial homologado, tiene por objeto que las Instituciones policiales documenten la información relacionada con las puestas a disposición de personas y/u objetos derivados de su intervención, para con ello, deben hacer más eficiente el debido proceso y fomentar el uso de la información para acciones de inteligencia; </w:t>
      </w:r>
      <w:r w:rsidRPr="00B94BFE">
        <w:rPr>
          <w:rFonts w:ascii="Palatino Linotype" w:eastAsia="Palatino Linotype" w:hAnsi="Palatino Linotype" w:cs="Palatino Linotype"/>
          <w:b/>
        </w:rPr>
        <w:t xml:space="preserve">por lo tanto, dicho informe únicamente es entregado junto con la persona detenida o bien, con los objetos que fueron asegurados en el hecho y/o acto probablemente constitutivo de delito. </w:t>
      </w:r>
      <w:r w:rsidRPr="00B94BFE">
        <w:rPr>
          <w:rFonts w:ascii="Palatino Linotype" w:eastAsia="Palatino Linotype" w:hAnsi="Palatino Linotype" w:cs="Palatino Linotype"/>
        </w:rPr>
        <w:t>Es importante dejar de lado que no se están solicitando estos documentos, sino información estadística únicamente.</w:t>
      </w:r>
    </w:p>
    <w:p w:rsidR="00B13DC9" w:rsidRPr="00B94BFE" w:rsidRDefault="00B13DC9">
      <w:pPr>
        <w:spacing w:line="360" w:lineRule="auto"/>
        <w:jc w:val="both"/>
        <w:rPr>
          <w:rFonts w:ascii="Palatino Linotype" w:eastAsia="Palatino Linotype" w:hAnsi="Palatino Linotype" w:cs="Palatino Linotype"/>
          <w:sz w:val="22"/>
          <w:szCs w:val="22"/>
        </w:rPr>
      </w:pPr>
    </w:p>
    <w:p w:rsidR="00B13DC9" w:rsidRPr="00B94BFE" w:rsidRDefault="00804EE6">
      <w:pPr>
        <w:spacing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En este orden de ideas, es evidente que el Informe Policial Homologado se entrega en el momento que un elemento policial pone a disposición a una persona u objetos recabados del lugar en el que ocurrieron los hechos delictivos y/o faltas administrativas; por lo tanto, </w:t>
      </w:r>
      <w:r w:rsidRPr="00B94BFE">
        <w:rPr>
          <w:rFonts w:ascii="Palatino Linotype" w:eastAsia="Palatino Linotype" w:hAnsi="Palatino Linotype" w:cs="Palatino Linotype"/>
          <w:b/>
        </w:rPr>
        <w:t>es claro que no en todos los casos en que se conoce de una conducta delictiva y se inicia una carpeta de investigación, o se agrega un informe policial homologado</w:t>
      </w:r>
      <w:r w:rsidRPr="00B94BFE">
        <w:rPr>
          <w:rFonts w:ascii="Palatino Linotype" w:eastAsia="Palatino Linotype" w:hAnsi="Palatino Linotype" w:cs="Palatino Linotype"/>
        </w:rPr>
        <w:t xml:space="preserve">, pues es evidente que existen diversos tipos de delitos que se pueden configurar sin que se genere el informe en comento, tal como de manera enunciativa más no limitativa, es el caso de la </w:t>
      </w:r>
      <w:r w:rsidRPr="00B94BFE">
        <w:rPr>
          <w:rFonts w:ascii="Palatino Linotype" w:eastAsia="Palatino Linotype" w:hAnsi="Palatino Linotype" w:cs="Palatino Linotype"/>
          <w:b/>
        </w:rPr>
        <w:t>extorsión</w:t>
      </w:r>
      <w:r w:rsidRPr="00B94BFE">
        <w:rPr>
          <w:rFonts w:ascii="Palatino Linotype" w:eastAsia="Palatino Linotype" w:hAnsi="Palatino Linotype" w:cs="Palatino Linotype"/>
        </w:rPr>
        <w:t>, ya que, a través de la comunicación vía celular, los delincuentes plantean supuestos escenarios que incluyen situaciones de riesgo o peligro para la posible víctima y/o familiares, tales como amenaza de daño físico o patrimonial, secuestros, detenciones de familiares a causa de un delito, así como actividades de organizaciones delictivas que “vendían” seguridad, entre otras, esto, con la finalidad de obtener una cifra económica a cambio de la solución del conflicto.</w:t>
      </w:r>
    </w:p>
    <w:p w:rsidR="00B13DC9" w:rsidRPr="00B94BFE" w:rsidRDefault="00B13DC9">
      <w:pPr>
        <w:spacing w:line="360" w:lineRule="auto"/>
        <w:jc w:val="both"/>
        <w:rPr>
          <w:rFonts w:ascii="Palatino Linotype" w:eastAsia="Palatino Linotype" w:hAnsi="Palatino Linotype" w:cs="Palatino Linotype"/>
        </w:rPr>
      </w:pPr>
    </w:p>
    <w:p w:rsidR="00B13DC9" w:rsidRPr="00B94BFE" w:rsidRDefault="00804EE6">
      <w:pPr>
        <w:spacing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De lo anterior, al momento de interponer la denuncia correspondiente, es claro que no intervienen elementos policiales que puedan generar el informe policial homologado, toda vez que difícilmente se pone a una persona a disposición o bien, se presentan elementos recabados en el acto, ya que, </w:t>
      </w:r>
      <w:r w:rsidRPr="00B94BFE">
        <w:rPr>
          <w:rFonts w:ascii="Palatino Linotype" w:eastAsia="Palatino Linotype" w:hAnsi="Palatino Linotype" w:cs="Palatino Linotype"/>
          <w:b/>
        </w:rPr>
        <w:t>es tema de conocimiento público, que muchas de esas llamadas provienen de centros penitenciarios establecidos en diversas Entidades Federativas,</w:t>
      </w:r>
      <w:r w:rsidRPr="00B94BFE">
        <w:rPr>
          <w:rFonts w:ascii="Palatino Linotype" w:eastAsia="Palatino Linotype" w:hAnsi="Palatino Linotype" w:cs="Palatino Linotype"/>
        </w:rPr>
        <w:t xml:space="preserve"> y como se precisó anteriormente, al consumarse la extorsión, el dinero obtenido de dicha actividad se triangula a través de cuentas bancarias que en ocasiones terminan sin un rastro específico, por lo que, no existe persona y/u objetos que presentar, siendo el relato de la persona afectada, el único elemento con el que se cuenta y así, procede asentarlo en la estadística de incidencia delictiva generada. </w:t>
      </w:r>
    </w:p>
    <w:p w:rsidR="00B13DC9" w:rsidRPr="00B94BFE" w:rsidRDefault="00B13DC9">
      <w:pPr>
        <w:spacing w:line="360" w:lineRule="auto"/>
        <w:jc w:val="both"/>
        <w:rPr>
          <w:rFonts w:ascii="Palatino Linotype" w:eastAsia="Palatino Linotype" w:hAnsi="Palatino Linotype" w:cs="Palatino Linotype"/>
        </w:rPr>
      </w:pPr>
    </w:p>
    <w:p w:rsidR="00B13DC9" w:rsidRPr="00B94BFE" w:rsidRDefault="00804EE6">
      <w:pPr>
        <w:spacing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En congruencia con lo expuesto, no se deja lado que si bien, existen delitos que por su naturaleza si intervienen elementos policiales y derivado de ello se recaban objetos además de presentar a los probables responsables ante el Ministerio Público, datos que deben ser reproducidos en el informe policial homologado, no obstante, </w:t>
      </w:r>
      <w:r w:rsidRPr="00B94BFE">
        <w:rPr>
          <w:rFonts w:ascii="Palatino Linotype" w:eastAsia="Palatino Linotype" w:hAnsi="Palatino Linotype" w:cs="Palatino Linotype"/>
          <w:b/>
        </w:rPr>
        <w:t>es preciso reiterar que el Particular solicitó información estadística de la incidencia delictiva,</w:t>
      </w:r>
      <w:r w:rsidRPr="00B94BFE">
        <w:rPr>
          <w:rFonts w:ascii="Palatino Linotype" w:eastAsia="Palatino Linotype" w:hAnsi="Palatino Linotype" w:cs="Palatino Linotype"/>
        </w:rPr>
        <w:t xml:space="preserve"> lo cual, </w:t>
      </w:r>
      <w:r w:rsidRPr="00B94BFE">
        <w:rPr>
          <w:rFonts w:ascii="Palatino Linotype" w:eastAsia="Palatino Linotype" w:hAnsi="Palatino Linotype" w:cs="Palatino Linotype"/>
          <w:b/>
        </w:rPr>
        <w:t>corresponde únicamente al número de hechos y/o actos de los que se tuvo conocimiento</w:t>
      </w:r>
      <w:r w:rsidRPr="00B94BFE">
        <w:rPr>
          <w:rFonts w:ascii="Palatino Linotype" w:eastAsia="Palatino Linotype" w:hAnsi="Palatino Linotype" w:cs="Palatino Linotype"/>
        </w:rPr>
        <w:t xml:space="preserve"> y con base en ello, 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no se encuentra constreñido para buscar en el expediente formado si existe o no, el informe policial homologado, esto, en virtud del artículo 12 de la Ley de Transparencia y Acceso a la Información Pública del Estado de México y Municipios, referido en páginas anteriores. </w:t>
      </w:r>
    </w:p>
    <w:p w:rsidR="00B13DC9" w:rsidRPr="00B94BFE" w:rsidRDefault="00B13DC9">
      <w:pPr>
        <w:spacing w:line="360" w:lineRule="auto"/>
        <w:jc w:val="both"/>
        <w:rPr>
          <w:rFonts w:ascii="Palatino Linotype" w:eastAsia="Palatino Linotype" w:hAnsi="Palatino Linotype" w:cs="Palatino Linotype"/>
        </w:rPr>
      </w:pPr>
    </w:p>
    <w:p w:rsidR="00B13DC9" w:rsidRPr="00B94BFE" w:rsidRDefault="00804EE6">
      <w:pPr>
        <w:spacing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En esta tesitura, es claro que el nivel de desagregación que requiere la persona solicitante, confiere al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a practicar una investigación dentro de todos los expedientes formados en razón de una denuncia por hechos y/o actos delictivos, para con ello, precisar si se encuentra o no, el informe de policía homologado y en consecuencia, realizar un pronunciamiento</w:t>
      </w:r>
      <w:r w:rsidRPr="00B94BFE">
        <w:rPr>
          <w:rFonts w:ascii="Palatino Linotype" w:eastAsia="Palatino Linotype" w:hAnsi="Palatino Linotype" w:cs="Palatino Linotype"/>
          <w:i/>
        </w:rPr>
        <w:t xml:space="preserve"> ad hoc</w:t>
      </w:r>
      <w:r w:rsidRPr="00B94BFE">
        <w:rPr>
          <w:rFonts w:ascii="Palatino Linotype" w:eastAsia="Palatino Linotype" w:hAnsi="Palatino Linotype" w:cs="Palatino Linotype"/>
        </w:rPr>
        <w:t xml:space="preserve"> a los intereses de este último, situación que como fue precisado, va en contra del criterio número 03/17 emitido por el Pleno del Instituto Nacional de Transparencia, Acceso a la Información y Protección de Datos Personales, citado con antelación.</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Delimitado lo anterior, debe precisarse que el contenido del presente análisis versará sobre los tres puntos que se desprenden del formato de interposición de recurso de revisión con el que el particular aperturó el expediente electrónico a saber:</w:t>
      </w:r>
    </w:p>
    <w:p w:rsidR="00B13DC9" w:rsidRPr="00B94BFE" w:rsidRDefault="00804EE6">
      <w:pPr>
        <w:widowControl w:val="0"/>
        <w:numPr>
          <w:ilvl w:val="0"/>
          <w:numId w:val="6"/>
        </w:numPr>
        <w:pBdr>
          <w:top w:val="nil"/>
          <w:left w:val="nil"/>
          <w:bottom w:val="nil"/>
          <w:right w:val="nil"/>
          <w:between w:val="nil"/>
        </w:pBdr>
        <w:spacing w:before="240" w:line="360" w:lineRule="auto"/>
        <w:ind w:right="758"/>
        <w:jc w:val="both"/>
        <w:rPr>
          <w:rFonts w:ascii="Palatino Linotype" w:eastAsia="Palatino Linotype" w:hAnsi="Palatino Linotype" w:cs="Palatino Linotype"/>
          <w:b/>
          <w:sz w:val="22"/>
          <w:szCs w:val="22"/>
        </w:rPr>
      </w:pPr>
      <w:r w:rsidRPr="00B94BFE">
        <w:rPr>
          <w:rFonts w:ascii="Palatino Linotype" w:eastAsia="Palatino Linotype" w:hAnsi="Palatino Linotype" w:cs="Palatino Linotype"/>
          <w:b/>
          <w:sz w:val="22"/>
          <w:szCs w:val="22"/>
        </w:rPr>
        <w:t>No entrega su respuesta en el formato solicitado -XLSX o CSV</w:t>
      </w:r>
    </w:p>
    <w:p w:rsidR="00B13DC9" w:rsidRPr="00B94BFE" w:rsidRDefault="00804EE6">
      <w:pPr>
        <w:widowControl w:val="0"/>
        <w:numPr>
          <w:ilvl w:val="0"/>
          <w:numId w:val="6"/>
        </w:numPr>
        <w:pBdr>
          <w:top w:val="nil"/>
          <w:left w:val="nil"/>
          <w:bottom w:val="nil"/>
          <w:right w:val="nil"/>
          <w:between w:val="nil"/>
        </w:pBdr>
        <w:spacing w:line="360" w:lineRule="auto"/>
        <w:ind w:right="758"/>
        <w:jc w:val="both"/>
        <w:rPr>
          <w:rFonts w:ascii="Palatino Linotype" w:eastAsia="Palatino Linotype" w:hAnsi="Palatino Linotype" w:cs="Palatino Linotype"/>
          <w:b/>
          <w:sz w:val="22"/>
          <w:szCs w:val="22"/>
        </w:rPr>
      </w:pPr>
      <w:r w:rsidRPr="00B94BFE">
        <w:rPr>
          <w:rFonts w:ascii="Palatino Linotype" w:eastAsia="Palatino Linotype" w:hAnsi="Palatino Linotype" w:cs="Palatino Linotype"/>
          <w:b/>
          <w:sz w:val="22"/>
          <w:szCs w:val="22"/>
        </w:rPr>
        <w:t xml:space="preserve">No hace referencia las coordenadas que georreferencian a cada incidente. </w:t>
      </w:r>
    </w:p>
    <w:p w:rsidR="00B13DC9" w:rsidRPr="00B94BFE" w:rsidRDefault="00804EE6">
      <w:pPr>
        <w:widowControl w:val="0"/>
        <w:numPr>
          <w:ilvl w:val="0"/>
          <w:numId w:val="6"/>
        </w:numPr>
        <w:pBdr>
          <w:top w:val="nil"/>
          <w:left w:val="nil"/>
          <w:bottom w:val="nil"/>
          <w:right w:val="nil"/>
          <w:between w:val="nil"/>
        </w:pBdr>
        <w:spacing w:after="240" w:line="360" w:lineRule="auto"/>
        <w:ind w:right="758"/>
        <w:jc w:val="both"/>
        <w:rPr>
          <w:rFonts w:ascii="Palatino Linotype" w:eastAsia="Palatino Linotype" w:hAnsi="Palatino Linotype" w:cs="Palatino Linotype"/>
          <w:b/>
          <w:sz w:val="22"/>
          <w:szCs w:val="22"/>
        </w:rPr>
      </w:pPr>
      <w:r w:rsidRPr="00B94BFE">
        <w:rPr>
          <w:rFonts w:ascii="Palatino Linotype" w:eastAsia="Palatino Linotype" w:hAnsi="Palatino Linotype" w:cs="Palatino Linotype"/>
          <w:b/>
          <w:sz w:val="22"/>
          <w:szCs w:val="22"/>
        </w:rPr>
        <w:t>Incumple con aspectos procesales del derecho que nos compete, pues no declara la inexistencia de la información omitida, ni adjunta acta de Comité de Transparencia donde la confirme.</w:t>
      </w:r>
    </w:p>
    <w:p w:rsidR="00B13DC9" w:rsidRPr="00B94BFE" w:rsidRDefault="00804EE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Por lo que para un mejor análisis, se procederá al estudio de cada punto componente de la inconformidad de manera separada. </w:t>
      </w:r>
    </w:p>
    <w:p w:rsidR="00B13DC9" w:rsidRPr="00B94BFE" w:rsidRDefault="00804EE6">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B94BFE">
        <w:rPr>
          <w:rFonts w:ascii="Palatino Linotype" w:eastAsia="Palatino Linotype" w:hAnsi="Palatino Linotype" w:cs="Palatino Linotype"/>
          <w:b/>
        </w:rPr>
        <w:t>1.- No entrega su respuesta en el formato solicitado -XLSX o CSV</w:t>
      </w:r>
    </w:p>
    <w:p w:rsidR="00B13DC9" w:rsidRPr="00B94BFE" w:rsidRDefault="00804EE6">
      <w:p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r w:rsidRPr="00B94BFE">
        <w:rPr>
          <w:rFonts w:ascii="Palatino Linotype" w:eastAsia="Palatino Linotype" w:hAnsi="Palatino Linotype" w:cs="Palatino Linotype"/>
        </w:rPr>
        <w:t xml:space="preserve">En lo tocante a este punto, debemos recordar que la información se requirió en formato abierto, siendo este en formato de datos abiertos, por lo que resulta importante apuntar que los datos abiertos en términos de los artículos 3, fracciones VI y VIII, de la Ley General de Transparencia y Acceso a la Información Pública y de la Ley de Transparencia y Acceso a la Información Pública del Estado de México y Municipios, </w:t>
      </w:r>
      <w:r w:rsidRPr="00B94BFE">
        <w:rPr>
          <w:rFonts w:ascii="Palatino Linotype" w:eastAsia="Palatino Linotype" w:hAnsi="Palatino Linotype" w:cs="Palatino Linotype"/>
          <w:b/>
        </w:rPr>
        <w:t>son aquellos datos digitales de carácter público que son accesibles en línea y que pueden ser usados, reutilizados y redistribuidos por cualquier interesado.</w:t>
      </w:r>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De lo anterior, se entiende que un dato es abierto cuando no se encuentran barreras para usarlo, reutilizarlo y redistribuirlo libremente, esto es se localice en formatos no-propietarios, debe precisarse que los programas que requieren del pago para uso de una licencia no cumplen cabalmente con las características de los datos abiertos, pues debemos recordar que sus elementos son los siguientes: </w:t>
      </w:r>
    </w:p>
    <w:p w:rsidR="00B13DC9" w:rsidRPr="00B94BFE" w:rsidRDefault="00804EE6">
      <w:pPr>
        <w:spacing w:before="240" w:after="240"/>
        <w:ind w:left="567"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“Gratuito: No tiene costo de adquisición. </w:t>
      </w:r>
    </w:p>
    <w:p w:rsidR="00B13DC9" w:rsidRPr="00B94BFE" w:rsidRDefault="00804EE6">
      <w:pPr>
        <w:spacing w:before="240" w:after="240"/>
        <w:ind w:left="567"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De libre uso: Citar la fuente de origen es el único requerimiento para ser utilizados para cualquier fin. </w:t>
      </w:r>
    </w:p>
    <w:p w:rsidR="00B13DC9" w:rsidRPr="00B94BFE" w:rsidRDefault="00804EE6">
      <w:pPr>
        <w:spacing w:before="240" w:after="240"/>
        <w:ind w:left="567"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Integral: Debe presentar la información que explique el tema al que se refieren los datos y los metadatos que permitan interpretarlos. </w:t>
      </w:r>
    </w:p>
    <w:p w:rsidR="00B13DC9" w:rsidRPr="00B94BFE" w:rsidRDefault="00804EE6">
      <w:pPr>
        <w:spacing w:before="240" w:after="240"/>
        <w:ind w:left="567"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Oportuno: Son publicados y actualizados conforme se generan. </w:t>
      </w:r>
    </w:p>
    <w:p w:rsidR="00B13DC9" w:rsidRPr="00B94BFE" w:rsidRDefault="00804EE6">
      <w:pPr>
        <w:spacing w:before="240" w:after="240"/>
        <w:ind w:left="567"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No discriminatorio: Accesibles sin restricciones. </w:t>
      </w:r>
    </w:p>
    <w:p w:rsidR="00B13DC9" w:rsidRPr="00B94BFE" w:rsidRDefault="00804EE6">
      <w:pPr>
        <w:spacing w:before="240" w:after="240"/>
        <w:ind w:left="567"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Primario: Provienen de la fuente original con el máximo nivel de desagregación. Permanente: Se conservan las versiones históricas. </w:t>
      </w:r>
    </w:p>
    <w:p w:rsidR="00B13DC9" w:rsidRPr="00B94BFE" w:rsidRDefault="00804EE6">
      <w:pPr>
        <w:spacing w:before="240" w:after="240"/>
        <w:ind w:left="567"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Legible por máquinas: Estructurados para permitir el procesamiento automatizado</w:t>
      </w:r>
      <w:r w:rsidRPr="00B94BFE">
        <w:rPr>
          <w:rFonts w:ascii="Palatino Linotype" w:eastAsia="Palatino Linotype" w:hAnsi="Palatino Linotype" w:cs="Palatino Linotype"/>
          <w:i/>
          <w:sz w:val="22"/>
          <w:szCs w:val="22"/>
          <w:vertAlign w:val="superscript"/>
        </w:rPr>
        <w:footnoteReference w:id="1"/>
      </w:r>
    </w:p>
    <w:p w:rsidR="00B13DC9" w:rsidRPr="00B94BFE" w:rsidRDefault="00B13DC9">
      <w:pPr>
        <w:spacing w:line="360" w:lineRule="auto"/>
        <w:ind w:right="49"/>
        <w:jc w:val="both"/>
        <w:rPr>
          <w:rFonts w:ascii="Palatino Linotype" w:eastAsia="Palatino Linotype" w:hAnsi="Palatino Linotype" w:cs="Palatino Linotype"/>
        </w:rPr>
      </w:pPr>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En este sentido, dichos ordenamientos establecen que la información generada, obtenida, adquirida transformada o en posesión de los sujetos obligados es pública y accesible a cualquier persona, en los términos y condiciones establecidos en ellos. </w:t>
      </w:r>
    </w:p>
    <w:p w:rsidR="00B13DC9" w:rsidRPr="00B94BFE" w:rsidRDefault="00B13DC9">
      <w:pPr>
        <w:spacing w:line="360" w:lineRule="auto"/>
        <w:ind w:right="49"/>
        <w:jc w:val="both"/>
        <w:rPr>
          <w:rFonts w:ascii="Palatino Linotype" w:eastAsia="Palatino Linotype" w:hAnsi="Palatino Linotype" w:cs="Palatino Linotype"/>
        </w:rPr>
      </w:pPr>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Asimismo, en la esfera de actuación de los sujetos obligados, cualquiera que sea su naturaleza, la información y documentación que generan, obtienen, adquieren, transforman, administran o poseen, resulta ser su activo más importante, toda vez que dicha información les permite garantizar el derecho humano de acceso a la información pública.</w:t>
      </w:r>
    </w:p>
    <w:p w:rsidR="00B13DC9" w:rsidRPr="00B94BFE" w:rsidRDefault="00B13DC9">
      <w:pPr>
        <w:spacing w:line="360" w:lineRule="auto"/>
        <w:ind w:right="49"/>
        <w:jc w:val="both"/>
        <w:rPr>
          <w:rFonts w:ascii="Palatino Linotype" w:eastAsia="Palatino Linotype" w:hAnsi="Palatino Linotype" w:cs="Palatino Linotype"/>
        </w:rPr>
      </w:pPr>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Una de las formas como se garantiza ese derecho, es a través de la obligación a cargo de los Sujetos Obligados, de poner a disposición del público, de manera permanente y actualizada, la información conocida como “</w:t>
      </w:r>
      <w:r w:rsidRPr="00B94BFE">
        <w:rPr>
          <w:rFonts w:ascii="Palatino Linotype" w:eastAsia="Palatino Linotype" w:hAnsi="Palatino Linotype" w:cs="Palatino Linotype"/>
          <w:b/>
          <w:u w:val="single"/>
        </w:rPr>
        <w:t>Obligaciones de Transparencia</w:t>
      </w:r>
      <w:r w:rsidRPr="00B94BFE">
        <w:rPr>
          <w:rFonts w:ascii="Palatino Linotype" w:eastAsia="Palatino Linotype" w:hAnsi="Palatino Linotype" w:cs="Palatino Linotype"/>
        </w:rPr>
        <w:t>”, que son todos y cada uno de los contenidos informativos que se listan en el Título Quinto, tanto de la Ley General de Transparencia, como en la Ley Local de Transparencia.</w:t>
      </w:r>
    </w:p>
    <w:p w:rsidR="00B13DC9" w:rsidRPr="00B94BFE" w:rsidRDefault="00B13DC9">
      <w:pPr>
        <w:spacing w:line="360" w:lineRule="auto"/>
        <w:ind w:right="49"/>
        <w:jc w:val="both"/>
        <w:rPr>
          <w:rFonts w:ascii="Palatino Linotype" w:eastAsia="Palatino Linotype" w:hAnsi="Palatino Linotype" w:cs="Palatino Linotype"/>
        </w:rPr>
      </w:pPr>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Por otra parte, se advierte que los </w:t>
      </w:r>
      <w:r w:rsidRPr="00B94BFE">
        <w:rPr>
          <w:rFonts w:ascii="Palatino Linotype" w:eastAsia="Palatino Linotype" w:hAnsi="Palatino Linotype" w:cs="Palatino Linotype"/>
          <w:b/>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B94BFE">
        <w:rPr>
          <w:rFonts w:ascii="Palatino Linotype" w:eastAsia="Palatino Linotype" w:hAnsi="Palatino Linotype" w:cs="Palatino Linotype"/>
        </w:rPr>
        <w:t xml:space="preserve"> (Lineamientos Técnicos Generales en adelante); son la normativa que regula el cumplimiento de las obligaciones de transparencia. </w:t>
      </w:r>
    </w:p>
    <w:p w:rsidR="00B13DC9" w:rsidRPr="00B94BFE" w:rsidRDefault="00B13DC9">
      <w:pPr>
        <w:spacing w:line="360" w:lineRule="auto"/>
        <w:ind w:right="49"/>
        <w:jc w:val="both"/>
        <w:rPr>
          <w:rFonts w:ascii="Palatino Linotype" w:eastAsia="Palatino Linotype" w:hAnsi="Palatino Linotype" w:cs="Palatino Linotype"/>
        </w:rPr>
      </w:pPr>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Dichos Lineamientos, establecen los formatos para la homologación en la presentación y publicación de la información; definen los atributos de calidad y accesibilidad, criterios y demás especificaciones </w:t>
      </w:r>
      <w:r w:rsidRPr="00B94BFE">
        <w:rPr>
          <w:rFonts w:ascii="Palatino Linotype" w:eastAsia="Palatino Linotype" w:hAnsi="Palatino Linotype" w:cs="Palatino Linotype"/>
          <w:b/>
          <w:u w:val="single"/>
        </w:rPr>
        <w:t>que debe cumplir la información que se difunda de acuerdo con dichas obligaciones</w:t>
      </w:r>
      <w:r w:rsidRPr="00B94BFE">
        <w:rPr>
          <w:rFonts w:ascii="Palatino Linotype" w:eastAsia="Palatino Linotype" w:hAnsi="Palatino Linotype" w:cs="Palatino Linotype"/>
        </w:rPr>
        <w:t>.</w:t>
      </w:r>
    </w:p>
    <w:p w:rsidR="00B13DC9" w:rsidRPr="00B94BFE" w:rsidRDefault="00B13DC9">
      <w:pPr>
        <w:spacing w:line="360" w:lineRule="auto"/>
        <w:ind w:right="49"/>
        <w:jc w:val="both"/>
        <w:rPr>
          <w:rFonts w:ascii="Palatino Linotype" w:eastAsia="Palatino Linotype" w:hAnsi="Palatino Linotype" w:cs="Palatino Linotype"/>
        </w:rPr>
      </w:pPr>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Entre los criterios sustantivos de contenido que los Lineamientos Técnicos Generales contemplan dentro de casi todos los formatos de las obligaciones de transparencia, </w:t>
      </w:r>
      <w:r w:rsidRPr="00B94BFE">
        <w:rPr>
          <w:rFonts w:ascii="Palatino Linotype" w:eastAsia="Palatino Linotype" w:hAnsi="Palatino Linotype" w:cs="Palatino Linotype"/>
          <w:b/>
          <w:u w:val="single"/>
        </w:rPr>
        <w:t>se encuentra el relativo a publicar el propio documento fuente de la información,</w:t>
      </w:r>
      <w:r w:rsidRPr="00B94BFE">
        <w:rPr>
          <w:rFonts w:ascii="Palatino Linotype" w:eastAsia="Palatino Linotype" w:hAnsi="Palatino Linotype" w:cs="Palatino Linotype"/>
        </w:rPr>
        <w:t xml:space="preserve"> conforme a la obligación de transparencia de que se trate. </w:t>
      </w:r>
    </w:p>
    <w:p w:rsidR="00B13DC9" w:rsidRPr="00B94BFE" w:rsidRDefault="00B13DC9">
      <w:pPr>
        <w:spacing w:line="360" w:lineRule="auto"/>
        <w:ind w:right="49"/>
        <w:jc w:val="both"/>
        <w:rPr>
          <w:rFonts w:ascii="Palatino Linotype" w:eastAsia="Palatino Linotype" w:hAnsi="Palatino Linotype" w:cs="Palatino Linotype"/>
        </w:rPr>
      </w:pPr>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A mayor abundamiento el numeral Segundo de los citados Lineamientos señala: </w:t>
      </w:r>
    </w:p>
    <w:p w:rsidR="00B13DC9" w:rsidRPr="00B94BFE" w:rsidRDefault="00B13DC9">
      <w:pPr>
        <w:spacing w:line="276" w:lineRule="auto"/>
        <w:ind w:left="1134" w:right="900"/>
        <w:jc w:val="both"/>
        <w:rPr>
          <w:rFonts w:ascii="Palatino Linotype" w:eastAsia="Palatino Linotype" w:hAnsi="Palatino Linotype" w:cs="Palatino Linotype"/>
        </w:rPr>
      </w:pPr>
    </w:p>
    <w:p w:rsidR="00B13DC9" w:rsidRPr="00B94BFE" w:rsidRDefault="00804EE6">
      <w:pPr>
        <w:spacing w:line="276" w:lineRule="auto"/>
        <w:ind w:left="1134" w:right="900"/>
        <w:jc w:val="both"/>
        <w:rPr>
          <w:rFonts w:ascii="Palatino Linotype" w:eastAsia="Palatino Linotype" w:hAnsi="Palatino Linotype" w:cs="Palatino Linotype"/>
          <w:i/>
        </w:rPr>
      </w:pPr>
      <w:r w:rsidRPr="00B94BFE">
        <w:rPr>
          <w:rFonts w:ascii="Palatino Linotype" w:eastAsia="Palatino Linotype" w:hAnsi="Palatino Linotype" w:cs="Palatino Linotype"/>
          <w:i/>
        </w:rPr>
        <w:t>“IV. Datos abiertos: Los datos digitales de carácter público que son accesibles en línea, que pueden ser usados</w:t>
      </w:r>
      <w:r w:rsidRPr="00B94BFE">
        <w:rPr>
          <w:rFonts w:ascii="Palatino Linotype" w:eastAsia="Palatino Linotype" w:hAnsi="Palatino Linotype" w:cs="Palatino Linotype"/>
          <w:b/>
          <w:i/>
          <w:u w:val="single"/>
        </w:rPr>
        <w:t>, reutilizados</w:t>
      </w:r>
      <w:r w:rsidRPr="00B94BFE">
        <w:rPr>
          <w:rFonts w:ascii="Palatino Linotype" w:eastAsia="Palatino Linotype" w:hAnsi="Palatino Linotype" w:cs="Palatino Linotype"/>
          <w:i/>
        </w:rPr>
        <w:t xml:space="preserve"> y redistribuidos por cualquier interesado y que tienen las siguientes características: </w:t>
      </w:r>
    </w:p>
    <w:p w:rsidR="00B13DC9" w:rsidRPr="00B94BFE" w:rsidRDefault="00804EE6">
      <w:pPr>
        <w:spacing w:line="276" w:lineRule="auto"/>
        <w:ind w:left="1134" w:right="900"/>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a) Accesibles: Están disponibles para la gama más amplia de usuarios, para cualquier propósito; </w:t>
      </w:r>
    </w:p>
    <w:p w:rsidR="00B13DC9" w:rsidRPr="00B94BFE" w:rsidRDefault="00804EE6">
      <w:pPr>
        <w:spacing w:line="276" w:lineRule="auto"/>
        <w:ind w:left="1134" w:right="900"/>
        <w:jc w:val="both"/>
        <w:rPr>
          <w:rFonts w:ascii="Palatino Linotype" w:eastAsia="Palatino Linotype" w:hAnsi="Palatino Linotype" w:cs="Palatino Linotype"/>
          <w:i/>
        </w:rPr>
      </w:pPr>
      <w:r w:rsidRPr="00B94BFE">
        <w:rPr>
          <w:rFonts w:ascii="Palatino Linotype" w:eastAsia="Palatino Linotype" w:hAnsi="Palatino Linotype" w:cs="Palatino Linotype"/>
          <w:i/>
        </w:rPr>
        <w:t>b) Integrales: Contienen el tema que describen a detalle y con los metadatos necesarios;</w:t>
      </w:r>
    </w:p>
    <w:p w:rsidR="00B13DC9" w:rsidRPr="00B94BFE" w:rsidRDefault="00804EE6">
      <w:pPr>
        <w:spacing w:line="276" w:lineRule="auto"/>
        <w:ind w:left="1134" w:right="900"/>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 c) Gratuitos: Se obtienen sin entregar a cambio contraprestación alguna; </w:t>
      </w:r>
    </w:p>
    <w:p w:rsidR="00B13DC9" w:rsidRPr="00B94BFE" w:rsidRDefault="00804EE6">
      <w:pPr>
        <w:spacing w:line="276" w:lineRule="auto"/>
        <w:ind w:left="1134" w:right="900"/>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d) No discriminatorios: Están disponibles para cualquier persona, sin necesidad de registro; </w:t>
      </w:r>
    </w:p>
    <w:p w:rsidR="00B13DC9" w:rsidRPr="00B94BFE" w:rsidRDefault="00804EE6">
      <w:pPr>
        <w:spacing w:line="276" w:lineRule="auto"/>
        <w:ind w:left="1134" w:right="900"/>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f) Oportunos: Son actualizados periódicamente, conforme se generen; </w:t>
      </w:r>
    </w:p>
    <w:p w:rsidR="00B13DC9" w:rsidRPr="00B94BFE" w:rsidRDefault="00804EE6">
      <w:pPr>
        <w:spacing w:line="276" w:lineRule="auto"/>
        <w:ind w:left="1134" w:right="900"/>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g) Permanentes: Se conservan en el tiempo, para lo cual, las versiones históricas relevantes para uso público se mantendrán disponibles con identificadores adecuados al efecto; </w:t>
      </w:r>
    </w:p>
    <w:p w:rsidR="00B13DC9" w:rsidRPr="00B94BFE" w:rsidRDefault="00804EE6">
      <w:pPr>
        <w:spacing w:line="276" w:lineRule="auto"/>
        <w:ind w:left="1134" w:right="900"/>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h) Primarios: Provienen de la fuente de origen con el máximo nivel de desagregación posible; </w:t>
      </w:r>
    </w:p>
    <w:p w:rsidR="00B13DC9" w:rsidRPr="00B94BFE" w:rsidRDefault="00804EE6">
      <w:pPr>
        <w:spacing w:line="276" w:lineRule="auto"/>
        <w:ind w:left="1134" w:right="900"/>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i) Legibles por máquinas: Están estructurados, total o parcialmente, para ser procesados e interpretados por equipos electrónicos de manera automática; </w:t>
      </w:r>
    </w:p>
    <w:p w:rsidR="00B13DC9" w:rsidRPr="00B94BFE" w:rsidRDefault="00804EE6">
      <w:pPr>
        <w:spacing w:line="276" w:lineRule="auto"/>
        <w:ind w:left="1134" w:right="900"/>
        <w:jc w:val="both"/>
        <w:rPr>
          <w:rFonts w:ascii="Palatino Linotype" w:eastAsia="Palatino Linotype" w:hAnsi="Palatino Linotype" w:cs="Palatino Linotype"/>
          <w:i/>
        </w:rPr>
      </w:pPr>
      <w:r w:rsidRPr="00B94BFE">
        <w:rPr>
          <w:rFonts w:ascii="Palatino Linotype" w:eastAsia="Palatino Linotype" w:hAnsi="Palatino Linotype" w:cs="Palatino Linotype"/>
          <w:i/>
        </w:rPr>
        <w:t xml:space="preserve">j) </w:t>
      </w:r>
      <w:r w:rsidRPr="00B94BFE">
        <w:rPr>
          <w:rFonts w:ascii="Palatino Linotype" w:eastAsia="Palatino Linotype" w:hAnsi="Palatino Linotype" w:cs="Palatino Linotype"/>
          <w:b/>
          <w:i/>
          <w:u w:val="single"/>
        </w:rPr>
        <w:t>En formatos abiertos</w:t>
      </w:r>
      <w:r w:rsidRPr="00B94BFE">
        <w:rPr>
          <w:rFonts w:ascii="Palatino Linotype" w:eastAsia="Palatino Linotype" w:hAnsi="Palatino Linotype" w:cs="Palatino Linotype"/>
          <w:i/>
        </w:rPr>
        <w:t xml:space="preserve">: </w:t>
      </w:r>
      <w:r w:rsidRPr="00B94BFE">
        <w:rPr>
          <w:rFonts w:ascii="Palatino Linotype" w:eastAsia="Palatino Linotype" w:hAnsi="Palatino Linotype" w:cs="Palatino Linotype"/>
          <w:b/>
          <w:i/>
          <w:u w:val="single"/>
        </w:rPr>
        <w:t>Los datos están disponibles con el conjunto de características técnicas y de presentación que corresponden a la estructura lógica usada para almacenar datos en un archivo digital, cuyas especificaciones técnicas son del dominio público, que no suponen una dificultad de acceso y que su aplicación y reproducción no estén condicionadas a contraprestación alguna</w:t>
      </w:r>
      <w:r w:rsidRPr="00B94BFE">
        <w:rPr>
          <w:rFonts w:ascii="Palatino Linotype" w:eastAsia="Palatino Linotype" w:hAnsi="Palatino Linotype" w:cs="Palatino Linotype"/>
          <w:i/>
        </w:rPr>
        <w:t xml:space="preserve">, y </w:t>
      </w:r>
    </w:p>
    <w:p w:rsidR="00B13DC9" w:rsidRPr="00B94BFE" w:rsidRDefault="00804EE6">
      <w:pPr>
        <w:spacing w:line="276" w:lineRule="auto"/>
        <w:ind w:left="1134" w:right="900"/>
        <w:jc w:val="both"/>
        <w:rPr>
          <w:rFonts w:ascii="Palatino Linotype" w:eastAsia="Palatino Linotype" w:hAnsi="Palatino Linotype" w:cs="Palatino Linotype"/>
          <w:i/>
        </w:rPr>
      </w:pPr>
      <w:r w:rsidRPr="00B94BFE">
        <w:rPr>
          <w:rFonts w:ascii="Palatino Linotype" w:eastAsia="Palatino Linotype" w:hAnsi="Palatino Linotype" w:cs="Palatino Linotype"/>
          <w:i/>
        </w:rPr>
        <w:t>k) De libre uso: Citan la fuente de origen como único requerimiento para ser utilizados libremente”</w:t>
      </w:r>
    </w:p>
    <w:p w:rsidR="00B13DC9" w:rsidRPr="00B94BFE" w:rsidRDefault="00804EE6">
      <w:pPr>
        <w:spacing w:line="276" w:lineRule="auto"/>
        <w:ind w:left="1134" w:right="900"/>
        <w:jc w:val="both"/>
        <w:rPr>
          <w:rFonts w:ascii="Palatino Linotype" w:eastAsia="Palatino Linotype" w:hAnsi="Palatino Linotype" w:cs="Palatino Linotype"/>
          <w:i/>
        </w:rPr>
      </w:pPr>
      <w:r w:rsidRPr="00B94BFE">
        <w:rPr>
          <w:rFonts w:ascii="Palatino Linotype" w:eastAsia="Palatino Linotype" w:hAnsi="Palatino Linotype" w:cs="Palatino Linotype"/>
          <w:i/>
        </w:rPr>
        <w:t>(Énfasis añadido)</w:t>
      </w:r>
    </w:p>
    <w:p w:rsidR="00B13DC9" w:rsidRPr="00B94BFE" w:rsidRDefault="00B13DC9">
      <w:pPr>
        <w:spacing w:line="360" w:lineRule="auto"/>
        <w:ind w:right="49"/>
        <w:jc w:val="both"/>
        <w:rPr>
          <w:rFonts w:ascii="Palatino Linotype" w:eastAsia="Palatino Linotype" w:hAnsi="Palatino Linotype" w:cs="Palatino Linotype"/>
        </w:rPr>
      </w:pPr>
    </w:p>
    <w:p w:rsidR="00B13DC9" w:rsidRPr="00B94BFE" w:rsidRDefault="00804EE6">
      <w:pPr>
        <w:spacing w:line="360" w:lineRule="auto"/>
        <w:ind w:right="49"/>
        <w:jc w:val="both"/>
        <w:rPr>
          <w:rFonts w:ascii="Palatino Linotype" w:eastAsia="Palatino Linotype" w:hAnsi="Palatino Linotype" w:cs="Palatino Linotype"/>
          <w:b/>
          <w:u w:val="single"/>
        </w:rPr>
      </w:pPr>
      <w:r w:rsidRPr="00B94BFE">
        <w:rPr>
          <w:rFonts w:ascii="Palatino Linotype" w:eastAsia="Palatino Linotype" w:hAnsi="Palatino Linotype" w:cs="Palatino Linotype"/>
        </w:rPr>
        <w:t xml:space="preserve">Para el caso que nos ocupa, los </w:t>
      </w:r>
      <w:r w:rsidRPr="00B94BFE">
        <w:rPr>
          <w:rFonts w:ascii="Palatino Linotype" w:eastAsia="Palatino Linotype" w:hAnsi="Palatino Linotype" w:cs="Palatino Linotype"/>
          <w:b/>
          <w:u w:val="single"/>
        </w:rPr>
        <w:t xml:space="preserve">Lineamientos Técnicos Generales en su numeral Décimo segundo, fracción VI refieren lo siguiente: </w:t>
      </w:r>
    </w:p>
    <w:p w:rsidR="00B13DC9" w:rsidRPr="00B94BFE" w:rsidRDefault="00804EE6">
      <w:pPr>
        <w:ind w:left="567" w:right="900"/>
        <w:jc w:val="both"/>
        <w:rPr>
          <w:rFonts w:ascii="Palatino Linotype" w:eastAsia="Palatino Linotype" w:hAnsi="Palatino Linotype" w:cs="Palatino Linotype"/>
          <w:i/>
        </w:rPr>
      </w:pPr>
      <w:r w:rsidRPr="00B94BFE">
        <w:rPr>
          <w:rFonts w:ascii="Palatino Linotype" w:eastAsia="Palatino Linotype" w:hAnsi="Palatino Linotype" w:cs="Palatino Linotype"/>
          <w:i/>
          <w:sz w:val="22"/>
          <w:szCs w:val="22"/>
        </w:rPr>
        <w:t>“</w:t>
      </w:r>
      <w:r w:rsidRPr="00B94BFE">
        <w:rPr>
          <w:rFonts w:ascii="Palatino Linotype" w:eastAsia="Palatino Linotype" w:hAnsi="Palatino Linotype" w:cs="Palatino Linotype"/>
          <w:i/>
        </w:rPr>
        <w:t>Décimo segundo. Las políticas para accesibilidad de la información son las siguientes:</w:t>
      </w:r>
    </w:p>
    <w:p w:rsidR="00B13DC9" w:rsidRPr="00B94BFE" w:rsidRDefault="00804EE6">
      <w:pPr>
        <w:ind w:left="567" w:right="900"/>
        <w:jc w:val="both"/>
        <w:rPr>
          <w:rFonts w:ascii="Palatino Linotype" w:eastAsia="Palatino Linotype" w:hAnsi="Palatino Linotype" w:cs="Palatino Linotype"/>
          <w:b/>
          <w:i/>
        </w:rPr>
      </w:pPr>
      <w:r w:rsidRPr="00B94BFE">
        <w:rPr>
          <w:rFonts w:ascii="Palatino Linotype" w:eastAsia="Palatino Linotype" w:hAnsi="Palatino Linotype" w:cs="Palatino Linotype"/>
          <w:i/>
          <w:sz w:val="22"/>
          <w:szCs w:val="22"/>
        </w:rPr>
        <w:t>…</w:t>
      </w:r>
    </w:p>
    <w:p w:rsidR="00B13DC9" w:rsidRPr="00B94BFE" w:rsidRDefault="00804EE6">
      <w:pPr>
        <w:ind w:left="567" w:right="900"/>
        <w:jc w:val="both"/>
        <w:rPr>
          <w:rFonts w:ascii="Palatino Linotype" w:eastAsia="Palatino Linotype" w:hAnsi="Palatino Linotype" w:cs="Palatino Linotype"/>
          <w:b/>
          <w:i/>
        </w:rPr>
      </w:pPr>
      <w:r w:rsidRPr="00B94BFE">
        <w:rPr>
          <w:rFonts w:ascii="Palatino Linotype" w:eastAsia="Palatino Linotype" w:hAnsi="Palatino Linotype" w:cs="Palatino Linotype"/>
          <w:b/>
          <w:i/>
        </w:rPr>
        <w:t>VI. La información publicada por los sujetos obligados deberá ofrecerse en un formato que permita su reutilización por los usuarios y por las máquinas, es decir, presentarse mediante el enfoque de datos</w:t>
      </w:r>
    </w:p>
    <w:p w:rsidR="00B13DC9" w:rsidRPr="00B94BFE" w:rsidRDefault="00804EE6">
      <w:pPr>
        <w:ind w:left="567" w:right="900"/>
        <w:jc w:val="both"/>
        <w:rPr>
          <w:rFonts w:ascii="Palatino Linotype" w:eastAsia="Palatino Linotype" w:hAnsi="Palatino Linotype" w:cs="Palatino Linotype"/>
          <w:b/>
          <w:i/>
        </w:rPr>
      </w:pPr>
      <w:r w:rsidRPr="00B94BFE">
        <w:rPr>
          <w:rFonts w:ascii="Palatino Linotype" w:eastAsia="Palatino Linotype" w:hAnsi="Palatino Linotype" w:cs="Palatino Linotype"/>
          <w:b/>
          <w:i/>
        </w:rPr>
        <w:t xml:space="preserve">abiertos, lo cual implica facilitar la posibilidad de exportar el conjunto de datos publicados en formatos estructurados para facilitar el consumo e interpretación. Los formatos utilizados pueden ser, entre otros, CVS (por sus siglas en inglés Comma-Separated Values) y de estándar abierto, según convenga, de acuerdo con cada conjunto de datos, ya sea XML, JSon, RDF, GEOJSon, KML, DBF y/o propietarios como SHP y XLSX. Cuando se trate de documentos que deben difundirse con firmas y son publicados en formato PDF, se deberá incluir, adicionalmente, una versión en un formato que permita utilizar o manejar nuevamente la información;” </w:t>
      </w:r>
      <w:r w:rsidRPr="00B94BFE">
        <w:rPr>
          <w:rFonts w:ascii="Palatino Linotype" w:eastAsia="Palatino Linotype" w:hAnsi="Palatino Linotype" w:cs="Palatino Linotype"/>
          <w:i/>
        </w:rPr>
        <w:t>(Sic) (Énfasis añadido)</w:t>
      </w:r>
    </w:p>
    <w:p w:rsidR="00B13DC9" w:rsidRPr="00B94BFE" w:rsidRDefault="00B13DC9">
      <w:pPr>
        <w:spacing w:line="360" w:lineRule="auto"/>
        <w:ind w:right="49"/>
        <w:jc w:val="both"/>
        <w:rPr>
          <w:rFonts w:ascii="Palatino Linotype" w:eastAsia="Palatino Linotype" w:hAnsi="Palatino Linotype" w:cs="Palatino Linotype"/>
        </w:rPr>
      </w:pPr>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De lo anteriormente expuesto se advierte que para la publicación de la información por parte de los sujetos obligados deberá ofrecerse en un formato que permita su reutilización por los usuarios y por las máquinas, es decir, presentarse mediante el enfoque de datos abiertos, lo cual implica facilitar la posibilidad de exportar el conjunto de datos publicados en formatos estructurados para facilitar el consumo e interpretación. </w:t>
      </w:r>
    </w:p>
    <w:p w:rsidR="00B13DC9" w:rsidRPr="00B94BFE" w:rsidRDefault="00B13DC9">
      <w:pPr>
        <w:spacing w:line="360" w:lineRule="auto"/>
        <w:ind w:right="49"/>
        <w:jc w:val="both"/>
        <w:rPr>
          <w:rFonts w:ascii="Palatino Linotype" w:eastAsia="Palatino Linotype" w:hAnsi="Palatino Linotype" w:cs="Palatino Linotype"/>
        </w:rPr>
      </w:pPr>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En tal sentido, en el caso particular los servidores públicos manifestaron lo siguiente: </w:t>
      </w:r>
    </w:p>
    <w:p w:rsidR="00B13DC9" w:rsidRPr="00B94BFE" w:rsidRDefault="00804EE6">
      <w:pPr>
        <w:numPr>
          <w:ilvl w:val="0"/>
          <w:numId w:val="5"/>
        </w:numPr>
        <w:pBdr>
          <w:top w:val="nil"/>
          <w:left w:val="nil"/>
          <w:bottom w:val="nil"/>
          <w:right w:val="nil"/>
          <w:between w:val="nil"/>
        </w:pBdr>
        <w:spacing w:before="240" w:line="276" w:lineRule="auto"/>
        <w:ind w:left="567" w:right="900"/>
        <w:jc w:val="both"/>
        <w:rPr>
          <w:rFonts w:ascii="Palatino Linotype" w:eastAsia="Palatino Linotype" w:hAnsi="Palatino Linotype" w:cs="Palatino Linotype"/>
        </w:rPr>
      </w:pPr>
      <w:r w:rsidRPr="00B94BFE">
        <w:rPr>
          <w:rFonts w:ascii="Palatino Linotype" w:eastAsia="Palatino Linotype" w:hAnsi="Palatino Linotype" w:cs="Palatino Linotype"/>
          <w:b/>
          <w:sz w:val="22"/>
          <w:szCs w:val="22"/>
        </w:rPr>
        <w:t>Comisaría de Seguridad Pública y Movilidad: Remite</w:t>
      </w:r>
      <w:r w:rsidRPr="00B94BFE">
        <w:rPr>
          <w:rFonts w:ascii="Palatino Linotype" w:eastAsia="Palatino Linotype" w:hAnsi="Palatino Linotype" w:cs="Palatino Linotype"/>
          <w:sz w:val="22"/>
          <w:szCs w:val="22"/>
        </w:rPr>
        <w:t xml:space="preserve"> </w:t>
      </w:r>
      <w:r w:rsidRPr="00B94BFE">
        <w:rPr>
          <w:rFonts w:ascii="Palatino Linotype" w:eastAsia="Palatino Linotype" w:hAnsi="Palatino Linotype" w:cs="Palatino Linotype"/>
          <w:b/>
          <w:sz w:val="22"/>
          <w:szCs w:val="22"/>
          <w:u w:val="single"/>
        </w:rPr>
        <w:t>un documento en Word de veintidós fojas en el que se aprecia la base de datos correspondiente a los años 2017-2022</w:t>
      </w:r>
      <w:r w:rsidRPr="00B94BFE">
        <w:rPr>
          <w:rFonts w:ascii="Palatino Linotype" w:eastAsia="Palatino Linotype" w:hAnsi="Palatino Linotype" w:cs="Palatino Linotype"/>
          <w:sz w:val="22"/>
          <w:szCs w:val="22"/>
        </w:rPr>
        <w:t xml:space="preserve">, </w:t>
      </w:r>
      <w:r w:rsidRPr="00B94BFE">
        <w:rPr>
          <w:rFonts w:ascii="Palatino Linotype" w:eastAsia="Palatino Linotype" w:hAnsi="Palatino Linotype" w:cs="Palatino Linotype"/>
        </w:rPr>
        <w:t>de la que se desprenden datos como: tipo de incidente, hora del incidente o evento, fecha del incidente, lugar del incidente o evento y ubicación del incidente o evento.</w:t>
      </w:r>
    </w:p>
    <w:p w:rsidR="00B13DC9" w:rsidRPr="00B94BFE" w:rsidRDefault="00B13DC9">
      <w:pPr>
        <w:pBdr>
          <w:top w:val="nil"/>
          <w:left w:val="nil"/>
          <w:bottom w:val="nil"/>
          <w:right w:val="nil"/>
          <w:between w:val="nil"/>
        </w:pBdr>
        <w:spacing w:line="276" w:lineRule="auto"/>
        <w:ind w:left="567" w:right="900"/>
        <w:jc w:val="both"/>
        <w:rPr>
          <w:rFonts w:ascii="Palatino Linotype" w:eastAsia="Palatino Linotype" w:hAnsi="Palatino Linotype" w:cs="Palatino Linotype"/>
        </w:rPr>
      </w:pPr>
    </w:p>
    <w:p w:rsidR="00B13DC9" w:rsidRPr="00B94BFE" w:rsidRDefault="00804EE6">
      <w:pPr>
        <w:numPr>
          <w:ilvl w:val="0"/>
          <w:numId w:val="5"/>
        </w:numPr>
        <w:pBdr>
          <w:top w:val="nil"/>
          <w:left w:val="nil"/>
          <w:bottom w:val="nil"/>
          <w:right w:val="nil"/>
          <w:between w:val="nil"/>
        </w:pBdr>
        <w:spacing w:after="240" w:line="276" w:lineRule="auto"/>
        <w:ind w:left="567" w:right="900" w:hanging="141"/>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b/>
          <w:sz w:val="22"/>
          <w:szCs w:val="22"/>
        </w:rPr>
        <w:t xml:space="preserve">Titular de la Oficialía Mediadora, Conciliadora y Calificadora: </w:t>
      </w:r>
      <w:r w:rsidRPr="00B94BFE">
        <w:rPr>
          <w:rFonts w:ascii="Palatino Linotype" w:eastAsia="Palatino Linotype" w:hAnsi="Palatino Linotype" w:cs="Palatino Linotype"/>
        </w:rPr>
        <w:t xml:space="preserve">Manifestó que la falta de entrega en un formato abierto denominado “xls o cvs”, no constituye una restricción al acceso a la información en posesión de sujetos obligados. </w:t>
      </w:r>
    </w:p>
    <w:p w:rsidR="00B13DC9" w:rsidRPr="00B94BFE" w:rsidRDefault="00804EE6">
      <w:pPr>
        <w:spacing w:before="240" w:after="240" w:line="276" w:lineRule="auto"/>
        <w:ind w:left="567" w:right="900"/>
        <w:jc w:val="both"/>
        <w:rPr>
          <w:rFonts w:ascii="Palatino Linotype" w:eastAsia="Palatino Linotype" w:hAnsi="Palatino Linotype" w:cs="Palatino Linotype"/>
          <w:b/>
          <w:u w:val="single"/>
        </w:rPr>
      </w:pPr>
      <w:r w:rsidRPr="00B94BFE">
        <w:rPr>
          <w:rFonts w:ascii="Palatino Linotype" w:eastAsia="Palatino Linotype" w:hAnsi="Palatino Linotype" w:cs="Palatino Linotype"/>
        </w:rPr>
        <w:t xml:space="preserve">Finalmente refiere que respecto del periodo comprendido de 2010 a 2021, se solicitó el apoyo a la titular del Archivo Municipal, quien manifestó la inexistencia de registro alguno, por lo que </w:t>
      </w:r>
      <w:r w:rsidRPr="00B94BFE">
        <w:rPr>
          <w:rFonts w:ascii="Palatino Linotype" w:eastAsia="Palatino Linotype" w:hAnsi="Palatino Linotype" w:cs="Palatino Linotype"/>
          <w:b/>
          <w:u w:val="single"/>
        </w:rPr>
        <w:t xml:space="preserve">únicamente remitió una tabla informativa del año 2022 en la que obran las faltas administrativas en formato Excel. </w:t>
      </w:r>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Ahora bien, como se señaló en páginas anteriores, la finalidad de los formatos abiertos es permitir la reutilización por los usuarios y por las máquinas, situación que acontece con las bases de datos enviadas por 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toda vez que se encuentran en formato Excel y Word respectivamente, sirven de ilustración las siguientes capturas de pantalla en las que fue posible para este Organismo Garante, seleccionar diversos campos de los documentos enviados con lo que en efecto, es posible su reutilización: </w:t>
      </w:r>
    </w:p>
    <w:p w:rsidR="00B13DC9" w:rsidRPr="00B94BFE" w:rsidRDefault="00CC76DF">
      <w:pPr>
        <w:spacing w:line="360" w:lineRule="auto"/>
        <w:ind w:right="49"/>
        <w:jc w:val="both"/>
        <w:rPr>
          <w:rFonts w:ascii="Palatino Linotype" w:eastAsia="Palatino Linotype" w:hAnsi="Palatino Linotype" w:cs="Palatino Linotype"/>
        </w:rPr>
      </w:pPr>
      <w:bookmarkStart w:id="2" w:name="_GoBack"/>
      <w:r>
        <w:rPr>
          <w:noProof/>
          <w:lang w:val="es-MX"/>
        </w:rPr>
        <w:drawing>
          <wp:inline distT="0" distB="0" distL="0" distR="0" wp14:anchorId="215420FC" wp14:editId="26459C5C">
            <wp:extent cx="5527169" cy="34313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775" t="25831" r="28064" b="24322"/>
                    <a:stretch/>
                  </pic:blipFill>
                  <pic:spPr bwMode="auto">
                    <a:xfrm>
                      <a:off x="0" y="0"/>
                      <a:ext cx="5555442" cy="3448906"/>
                    </a:xfrm>
                    <a:prstGeom prst="rect">
                      <a:avLst/>
                    </a:prstGeom>
                    <a:ln>
                      <a:noFill/>
                    </a:ln>
                    <a:extLst>
                      <a:ext uri="{53640926-AAD7-44D8-BBD7-CCE9431645EC}">
                        <a14:shadowObscured xmlns:a14="http://schemas.microsoft.com/office/drawing/2010/main"/>
                      </a:ext>
                    </a:extLst>
                  </pic:spPr>
                </pic:pic>
              </a:graphicData>
            </a:graphic>
          </wp:inline>
        </w:drawing>
      </w:r>
      <w:bookmarkEnd w:id="2"/>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noProof/>
          <w:lang w:val="es-MX"/>
        </w:rPr>
        <w:drawing>
          <wp:inline distT="0" distB="0" distL="0" distR="0">
            <wp:extent cx="5591175" cy="2085975"/>
            <wp:effectExtent l="0" t="0" r="0" b="0"/>
            <wp:docPr id="1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5591175" cy="2085975"/>
                    </a:xfrm>
                    <a:prstGeom prst="rect">
                      <a:avLst/>
                    </a:prstGeom>
                    <a:ln/>
                  </pic:spPr>
                </pic:pic>
              </a:graphicData>
            </a:graphic>
          </wp:inline>
        </w:drawing>
      </w:r>
    </w:p>
    <w:p w:rsidR="00B13DC9" w:rsidRPr="00B94BFE" w:rsidRDefault="00B13DC9">
      <w:pPr>
        <w:spacing w:line="360" w:lineRule="auto"/>
        <w:ind w:right="49"/>
        <w:jc w:val="both"/>
        <w:rPr>
          <w:rFonts w:ascii="Palatino Linotype" w:eastAsia="Palatino Linotype" w:hAnsi="Palatino Linotype" w:cs="Palatino Linotype"/>
        </w:rPr>
      </w:pPr>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Aunado a lo anterior, es importante mencionar que en informe justificado, el Comisario de Seguridad Pública y Movilidad de Coyotepec expresa que </w:t>
      </w:r>
      <w:r w:rsidRPr="00B94BFE">
        <w:rPr>
          <w:rFonts w:ascii="Palatino Linotype" w:eastAsia="Palatino Linotype" w:hAnsi="Palatino Linotype" w:cs="Palatino Linotype"/>
          <w:b/>
          <w:u w:val="single"/>
        </w:rPr>
        <w:t>se envía la información como la genera la Comisaría de Seguridad Pública y Movilidad de Coyotepec, misma que es remitida en formato Word</w:t>
      </w:r>
      <w:r w:rsidRPr="00B94BFE">
        <w:rPr>
          <w:rFonts w:ascii="Palatino Linotype" w:eastAsia="Palatino Linotype" w:hAnsi="Palatino Linotype" w:cs="Palatino Linotype"/>
        </w:rPr>
        <w:t>, remitiendo de nueva cuenta el documento de veintidós fojas en el que se aprecia la base de datos correspondiente a los años 2017-2022, de la que se desprenden datos como: tipo de incidente, hora del incidente o evento, fecha del incidente, lugar del incidente o evento y ubicación del incidente o evento. Asimismo, de la revisión al archivo enviado por el Titular de la Oficialía Mediadora, Conciliadora y Calificadora, se advierte que este se encuentra en formato xls, toda vez que dicha denominación es correspondiente al formato nativo de Excel, desarrollado por Microsoft para Microsoft Office, en consecuencia, al constatar que efectivamente la información obra en formatos abiertos que permiten la reutilización de los datos vertidos, es que se tiene por atendido este punto.</w:t>
      </w:r>
    </w:p>
    <w:p w:rsidR="00B13DC9" w:rsidRPr="00B94BFE" w:rsidRDefault="00B13DC9">
      <w:pPr>
        <w:spacing w:before="240" w:after="240" w:line="360" w:lineRule="auto"/>
        <w:ind w:right="49"/>
        <w:jc w:val="both"/>
        <w:rPr>
          <w:rFonts w:ascii="Palatino Linotype" w:eastAsia="Palatino Linotype" w:hAnsi="Palatino Linotype" w:cs="Palatino Linotype"/>
          <w:b/>
        </w:rPr>
      </w:pPr>
    </w:p>
    <w:p w:rsidR="00B13DC9" w:rsidRPr="00B94BFE" w:rsidRDefault="00804EE6">
      <w:pPr>
        <w:spacing w:before="240" w:after="240" w:line="360" w:lineRule="auto"/>
        <w:ind w:right="49"/>
        <w:jc w:val="both"/>
        <w:rPr>
          <w:rFonts w:ascii="Palatino Linotype" w:eastAsia="Palatino Linotype" w:hAnsi="Palatino Linotype" w:cs="Palatino Linotype"/>
          <w:b/>
        </w:rPr>
      </w:pPr>
      <w:r w:rsidRPr="00B94BFE">
        <w:rPr>
          <w:rFonts w:ascii="Palatino Linotype" w:eastAsia="Palatino Linotype" w:hAnsi="Palatino Linotype" w:cs="Palatino Linotype"/>
          <w:b/>
        </w:rPr>
        <w:t xml:space="preserve">2. No hace referencia las coordenadas que georreferencian a cada incidente. </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Respecto a este punto, el Comisario de Seguridad Pública se pronuncia hasta la etapa de informe justificado, por lo cual remite Acuerdo de Comité reservando la información relativa a la ubicación de los hechos de algún incidente.</w:t>
      </w:r>
    </w:p>
    <w:p w:rsidR="00B13DC9" w:rsidRPr="00B94BFE" w:rsidRDefault="00804EE6">
      <w:pPr>
        <w:tabs>
          <w:tab w:val="left" w:pos="709"/>
        </w:tabs>
        <w:spacing w:before="240" w:after="160" w:line="360" w:lineRule="auto"/>
        <w:ind w:right="51"/>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En ese sentido, es de destacar que si bien el Sujeto Obligado remite el acuerdo de clasificación, se estima que lo anterior no es procedente ya que lo pertinente en el presente asunto, </w:t>
      </w:r>
      <w:r w:rsidRPr="00B94BFE">
        <w:rPr>
          <w:rFonts w:ascii="Palatino Linotype" w:eastAsia="Palatino Linotype" w:hAnsi="Palatino Linotype" w:cs="Palatino Linotype"/>
          <w:b/>
          <w:u w:val="single"/>
        </w:rPr>
        <w:t>no era clasificar como reservada la información relacionada con las coordenadas geográficas de los lugares donde sucedieron los hechos presuntamente delictivos o de faltas administrativas, sino clasificarla como información confidencial</w:t>
      </w:r>
      <w:r w:rsidRPr="00B94BFE">
        <w:rPr>
          <w:rFonts w:ascii="Palatino Linotype" w:eastAsia="Palatino Linotype" w:hAnsi="Palatino Linotype" w:cs="Palatino Linotype"/>
        </w:rPr>
        <w:t>, toda vez que esta información permite localizar domicilios concretos, que pueden pertenecer a particulares, corresponde a datos personales confidenciales, conforme a los siguientes razonamientos:</w:t>
      </w:r>
    </w:p>
    <w:p w:rsidR="00B13DC9" w:rsidRPr="00B94BFE" w:rsidRDefault="00B13DC9">
      <w:pPr>
        <w:spacing w:line="360" w:lineRule="auto"/>
        <w:jc w:val="both"/>
        <w:rPr>
          <w:rFonts w:ascii="Palatino Linotype" w:eastAsia="Palatino Linotype" w:hAnsi="Palatino Linotype" w:cs="Palatino Linotype"/>
        </w:rPr>
      </w:pPr>
    </w:p>
    <w:p w:rsidR="00B13DC9" w:rsidRPr="00B94BFE" w:rsidRDefault="00804EE6">
      <w:pPr>
        <w:spacing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Domicilio particular.</w:t>
      </w:r>
      <w:r w:rsidRPr="00B94BFE">
        <w:rPr>
          <w:rFonts w:ascii="Palatino Linotype" w:eastAsia="Palatino Linotype" w:hAnsi="Palatino Linotype" w:cs="Palatino Linotype"/>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B13DC9" w:rsidRPr="00B94BFE" w:rsidRDefault="00B13DC9">
      <w:pPr>
        <w:spacing w:line="360" w:lineRule="auto"/>
        <w:jc w:val="both"/>
        <w:rPr>
          <w:rFonts w:ascii="Palatino Linotype" w:eastAsia="Palatino Linotype" w:hAnsi="Palatino Linotype" w:cs="Palatino Linotype"/>
        </w:rPr>
      </w:pPr>
    </w:p>
    <w:p w:rsidR="00B13DC9" w:rsidRPr="00B94BFE" w:rsidRDefault="00804EE6">
      <w:pPr>
        <w:spacing w:line="360" w:lineRule="auto"/>
        <w:jc w:val="both"/>
        <w:rPr>
          <w:rFonts w:ascii="Palatino Linotype" w:eastAsia="Palatino Linotype" w:hAnsi="Palatino Linotype" w:cs="Palatino Linotype"/>
          <w:b/>
        </w:rPr>
      </w:pPr>
      <w:r w:rsidRPr="00B94BFE">
        <w:rPr>
          <w:rFonts w:ascii="Palatino Linotype" w:eastAsia="Palatino Linotype" w:hAnsi="Palatino Linotype" w:cs="Palatino Linotype"/>
        </w:rPr>
        <w:t>De la misma manera, lo establece el artículo 29 del Código Civil Federal, al precisar que el domicilio de personas físicas</w:t>
      </w:r>
      <w:r w:rsidRPr="00B94BFE">
        <w:rPr>
          <w:rFonts w:ascii="Palatino Linotype" w:eastAsia="Palatino Linotype" w:hAnsi="Palatino Linotype" w:cs="Palatino Linotype"/>
          <w:b/>
        </w:rPr>
        <w:t xml:space="preserve">, es el lugar donde residen habitualmente, el lugar del centro principal de sus negocios, donde residan o el lugar donde se encuentren. </w:t>
      </w:r>
      <w:r w:rsidRPr="00B94BFE">
        <w:rPr>
          <w:rFonts w:ascii="Palatino Linotype" w:eastAsia="Palatino Linotype" w:hAnsi="Palatino Linotype" w:cs="Palatino Linotype"/>
        </w:rPr>
        <w:t>Además, respecto al domicilio particular se presume que corresponde al lugar donde reside habitualmente</w:t>
      </w:r>
      <w:r w:rsidRPr="00B94BFE">
        <w:rPr>
          <w:rFonts w:ascii="Palatino Linotype" w:eastAsia="Palatino Linotype" w:hAnsi="Palatino Linotype" w:cs="Palatino Linotype"/>
          <w:b/>
        </w:rPr>
        <w:t>.</w:t>
      </w:r>
    </w:p>
    <w:p w:rsidR="00B13DC9" w:rsidRPr="00B94BFE" w:rsidRDefault="00B13DC9">
      <w:pPr>
        <w:spacing w:line="360" w:lineRule="auto"/>
        <w:jc w:val="both"/>
        <w:rPr>
          <w:rFonts w:ascii="Palatino Linotype" w:eastAsia="Palatino Linotype" w:hAnsi="Palatino Linotype" w:cs="Palatino Linotype"/>
        </w:rPr>
      </w:pPr>
    </w:p>
    <w:p w:rsidR="00B13DC9" w:rsidRPr="00B94BFE" w:rsidRDefault="00804EE6">
      <w:pPr>
        <w:spacing w:line="360" w:lineRule="auto"/>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 consecuentemente, el Sujeto Obligado deberá emitir el acuerdo de clasificación confidencial, el cual deberá observar lo dispuesto por los artículos 49, fracción VIII, 122, 130, 132, fracciones I, II y III, 143 en su fracción primera y 149 de la Ley de Transparencia y Acceso a la Información Pública del Estado de México y Municipios en vigor Lineamientos Cuarto al Octavo, Décimo, Décimo Primero, Quincuagésimo y Quincuagésimo Tercero de los Lineamientos Generales en materia de Clasificación y Desclasificación de la Información, así como para la elaboración de Versiones Públicas.</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Como se advierte dicho Acuerdo debe exponer de manera clara las razones por las 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En tal virtud, el acuerdo emitido por el Comité de Transparencia, en términos de los artículos 122, 132  y 143 fracción I  de la  Ley de Transparencia y Acceso a la Información Pública del Estado de México y Municipios, deberá contener un razonamiento lógico, acorde a lo previsto  en los ordenamientos jurídicos en la Materia, que permita conocer al particular las condiciones y circunstancias que determinaron negar el acceso a la información; a través de la adecuada fundamentación y motivación, en el entendido de que, todo acto que la autoridad pronuncie en el ejercicio de sus atribuciones, debe expresar los fundamentos legales que le dieron origen y las razones por las que se deben aplicar al caso concreto.</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Es decir, el acuerdo deberá contener un razonamiento lógico con el que se demuestre que la información solicitada por el </w:t>
      </w:r>
      <w:r w:rsidRPr="00B94BFE">
        <w:rPr>
          <w:rFonts w:ascii="Palatino Linotype" w:eastAsia="Palatino Linotype" w:hAnsi="Palatino Linotype" w:cs="Palatino Linotype"/>
          <w:b/>
        </w:rPr>
        <w:t>Recurrente</w:t>
      </w:r>
      <w:r w:rsidRPr="00B94BFE">
        <w:rPr>
          <w:rFonts w:ascii="Palatino Linotype" w:eastAsia="Palatino Linotype" w:hAnsi="Palatino Linotype" w:cs="Palatino Linotype"/>
        </w:rPr>
        <w:t xml:space="preserve"> se encuentra en alguna de las hipótesis que contempla la misma ley; toda vez que de acuerdo a la referida Ley la carga de la prueba para justificar toda negativa de acceso a la información por actualizarse cualquiera de los supuestos previstos en la Ley, corresponde a los Sujetos Obligados fundando y motivando debidamente la clasificación.</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Respecto de la fundamentación y motivación, debe recordarse que la primera de ellas consiste en 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Sirven de sustento a lo anterior las tesis jurisprudenciales número I.4º.A. J/43 y VI. 2º. J/43, publicadas en el Semanario Judicial de la Federación y su Gaceta, bajo el número de registro 175,082 y 203,143, respectivamente, cuyo texto y sentido literal es el siguiente:</w:t>
      </w:r>
    </w:p>
    <w:p w:rsidR="00B13DC9" w:rsidRPr="00B94BFE" w:rsidRDefault="00804EE6">
      <w:pPr>
        <w:spacing w:before="240" w:after="240" w:line="276" w:lineRule="auto"/>
        <w:ind w:left="567" w:right="900"/>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i/>
          <w:sz w:val="22"/>
          <w:szCs w:val="22"/>
        </w:rPr>
        <w:t>“</w:t>
      </w:r>
      <w:r w:rsidRPr="00B94BFE">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B94BFE">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B13DC9" w:rsidRPr="00B94BFE" w:rsidRDefault="00804EE6">
      <w:pPr>
        <w:spacing w:before="240" w:after="240" w:line="276" w:lineRule="auto"/>
        <w:ind w:left="567" w:right="90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w:t>
      </w:r>
      <w:r w:rsidRPr="00B94BFE">
        <w:rPr>
          <w:rFonts w:ascii="Palatino Linotype" w:eastAsia="Palatino Linotype" w:hAnsi="Palatino Linotype" w:cs="Palatino Linotype"/>
          <w:b/>
          <w:i/>
          <w:sz w:val="22"/>
          <w:szCs w:val="22"/>
        </w:rPr>
        <w:t>FUNDAMENTACION Y MOTIVACION. </w:t>
      </w:r>
      <w:r w:rsidRPr="00B94BFE">
        <w:rPr>
          <w:rFonts w:ascii="Palatino Linotype" w:eastAsia="Palatino Linotype" w:hAnsi="Palatino Linotype" w:cs="Palatino Linotype"/>
          <w:i/>
          <w:sz w:val="22"/>
          <w:szCs w:val="22"/>
        </w:rPr>
        <w:t>La debida fundamentación y motivación legal, deben entenderse, por lo primero</w:t>
      </w:r>
      <w:r w:rsidRPr="00B94BFE">
        <w:rPr>
          <w:rFonts w:ascii="Palatino Linotype" w:eastAsia="Palatino Linotype" w:hAnsi="Palatino Linotype" w:cs="Palatino Linotype"/>
          <w:b/>
          <w:i/>
          <w:sz w:val="22"/>
          <w:szCs w:val="22"/>
        </w:rPr>
        <w:t xml:space="preserve">, </w:t>
      </w:r>
      <w:r w:rsidRPr="00B94BFE">
        <w:rPr>
          <w:rFonts w:ascii="Palatino Linotype" w:eastAsia="Palatino Linotype" w:hAnsi="Palatino Linotype" w:cs="Palatino Linotype"/>
          <w:i/>
          <w:sz w:val="22"/>
          <w:szCs w:val="22"/>
        </w:rPr>
        <w:t>la cita del precepto legal aplicable al caso, y por lo segundo, las razones, motivos o circunstancias especiales que llevaron a la autoridad a concluir que el caso particular encuadra en el supuesto previsto por la norma legal invocada como fundamento.” (Sic) (Énfasis añadido)</w:t>
      </w:r>
    </w:p>
    <w:p w:rsidR="00B13DC9" w:rsidRPr="00B94BFE" w:rsidRDefault="00B13DC9">
      <w:pPr>
        <w:spacing w:before="240" w:after="240" w:line="276" w:lineRule="auto"/>
        <w:ind w:left="567" w:right="900"/>
        <w:jc w:val="both"/>
        <w:rPr>
          <w:rFonts w:ascii="Palatino Linotype" w:eastAsia="Palatino Linotype" w:hAnsi="Palatino Linotype" w:cs="Palatino Linotype"/>
          <w:i/>
          <w:sz w:val="22"/>
          <w:szCs w:val="22"/>
        </w:rPr>
      </w:pP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Por lo anterior, se concluye que si bien es cierto, dentro de los registros solicitados por el particular, obran coordenadas geográficas de los lugares donde se suscitaron los incidentes, no menos cierto es que no son susceptibles de transparentarse pues como ya se asentó en líneas argumentativas anteriores, éstas pudieran dar cuenta de domicilios particulares, por lo tanto, en aras de garantizar para tener este punto por atendido, el Sujeto Obligado deberá </w:t>
      </w:r>
    </w:p>
    <w:p w:rsidR="00B13DC9" w:rsidRPr="00B94BFE" w:rsidRDefault="00804EE6">
      <w:pPr>
        <w:spacing w:before="240" w:after="240" w:line="360" w:lineRule="auto"/>
        <w:ind w:right="49"/>
        <w:jc w:val="both"/>
        <w:rPr>
          <w:rFonts w:ascii="Palatino Linotype" w:eastAsia="Palatino Linotype" w:hAnsi="Palatino Linotype" w:cs="Palatino Linotype"/>
          <w:b/>
        </w:rPr>
      </w:pPr>
      <w:r w:rsidRPr="00B94BFE">
        <w:rPr>
          <w:rFonts w:ascii="Palatino Linotype" w:eastAsia="Palatino Linotype" w:hAnsi="Palatino Linotype" w:cs="Palatino Linotype"/>
          <w:b/>
        </w:rPr>
        <w:t>3. Incumple con aspectos procesales del derecho que nos compete, pues no declara la inexistencia de la información omitida.</w:t>
      </w:r>
    </w:p>
    <w:p w:rsidR="00B13DC9" w:rsidRPr="00B94BFE" w:rsidRDefault="00804EE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Finalmente, por cuanto hace a este tópico, 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manifestó lo siguiente: </w:t>
      </w:r>
    </w:p>
    <w:p w:rsidR="00B13DC9" w:rsidRPr="00B94BFE" w:rsidRDefault="00804EE6">
      <w:pPr>
        <w:numPr>
          <w:ilvl w:val="0"/>
          <w:numId w:val="7"/>
        </w:numPr>
        <w:pBdr>
          <w:top w:val="nil"/>
          <w:left w:val="nil"/>
          <w:bottom w:val="nil"/>
          <w:right w:val="nil"/>
          <w:between w:val="nil"/>
        </w:pBdr>
        <w:spacing w:before="240" w:line="276" w:lineRule="auto"/>
        <w:ind w:right="900" w:hanging="360"/>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sz w:val="22"/>
          <w:szCs w:val="22"/>
        </w:rPr>
        <w:t>Comisaría de Seguridad Pública y Movilidad: “…</w:t>
      </w:r>
      <w:r w:rsidRPr="00B94BFE">
        <w:rPr>
          <w:rFonts w:ascii="Palatino Linotype" w:eastAsia="Palatino Linotype" w:hAnsi="Palatino Linotype" w:cs="Palatino Linotype"/>
          <w:b/>
          <w:i/>
          <w:sz w:val="22"/>
          <w:szCs w:val="22"/>
          <w:u w:val="single"/>
        </w:rPr>
        <w:t>CABE MENCIONAR QUE EN ESTA COMISARIA DE SEGURIDAD PUBLICA Y MOVILIDAD SOLO SE CUENTA CON LA INFORMACION ADJUNTA ES DECIR DEL AÑO 2017 A LA FECHA</w:t>
      </w:r>
      <w:r w:rsidRPr="00B94BFE">
        <w:rPr>
          <w:rFonts w:ascii="Palatino Linotype" w:eastAsia="Palatino Linotype" w:hAnsi="Palatino Linotype" w:cs="Palatino Linotype"/>
          <w:i/>
          <w:sz w:val="22"/>
          <w:szCs w:val="22"/>
        </w:rPr>
        <w:t>…” (Sic) (Énfasis añadido)</w:t>
      </w:r>
    </w:p>
    <w:p w:rsidR="00B13DC9" w:rsidRPr="00B94BFE" w:rsidRDefault="00804EE6">
      <w:pPr>
        <w:numPr>
          <w:ilvl w:val="0"/>
          <w:numId w:val="7"/>
        </w:numPr>
        <w:pBdr>
          <w:top w:val="nil"/>
          <w:left w:val="nil"/>
          <w:bottom w:val="nil"/>
          <w:right w:val="nil"/>
          <w:between w:val="nil"/>
        </w:pBdr>
        <w:spacing w:after="240" w:line="276" w:lineRule="auto"/>
        <w:ind w:left="567" w:right="900" w:hanging="283"/>
        <w:jc w:val="both"/>
        <w:rPr>
          <w:rFonts w:ascii="Palatino Linotype" w:eastAsia="Palatino Linotype" w:hAnsi="Palatino Linotype" w:cs="Palatino Linotype"/>
          <w:b/>
        </w:rPr>
      </w:pPr>
      <w:r w:rsidRPr="00B94BFE">
        <w:rPr>
          <w:rFonts w:ascii="Palatino Linotype" w:eastAsia="Palatino Linotype" w:hAnsi="Palatino Linotype" w:cs="Palatino Linotype"/>
          <w:b/>
          <w:sz w:val="22"/>
          <w:szCs w:val="22"/>
        </w:rPr>
        <w:t xml:space="preserve">Titular de la Oficialía Mediadora, Conciliadora y Calificadora: </w:t>
      </w:r>
      <w:r w:rsidRPr="00B94BFE">
        <w:rPr>
          <w:rFonts w:ascii="Palatino Linotype" w:eastAsia="Palatino Linotype" w:hAnsi="Palatino Linotype" w:cs="Palatino Linotype"/>
          <w:sz w:val="22"/>
          <w:szCs w:val="22"/>
        </w:rPr>
        <w:t xml:space="preserve">Señala que </w:t>
      </w:r>
      <w:r w:rsidRPr="00B94BFE">
        <w:rPr>
          <w:rFonts w:ascii="Palatino Linotype" w:eastAsia="Palatino Linotype" w:hAnsi="Palatino Linotype" w:cs="Palatino Linotype"/>
        </w:rPr>
        <w:t xml:space="preserve">respecto </w:t>
      </w:r>
      <w:r w:rsidRPr="00B94BFE">
        <w:rPr>
          <w:rFonts w:ascii="Palatino Linotype" w:eastAsia="Palatino Linotype" w:hAnsi="Palatino Linotype" w:cs="Palatino Linotype"/>
          <w:b/>
        </w:rPr>
        <w:t xml:space="preserve">del periodo comprendido de 2010 a 2021, se solicitó el apoyo a la titular del Archivo Municipal, quien manifestó la inexistencia de registro alguno. </w:t>
      </w:r>
    </w:p>
    <w:p w:rsidR="00B13DC9" w:rsidRPr="00B94BFE" w:rsidRDefault="00804EE6">
      <w:pPr>
        <w:spacing w:before="240" w:after="240" w:line="360" w:lineRule="auto"/>
        <w:ind w:right="49"/>
        <w:jc w:val="both"/>
        <w:rPr>
          <w:rFonts w:ascii="Palatino Linotype" w:eastAsia="Palatino Linotype" w:hAnsi="Palatino Linotype" w:cs="Palatino Linotype"/>
          <w:b/>
        </w:rPr>
      </w:pPr>
      <w:r w:rsidRPr="00B94BFE">
        <w:rPr>
          <w:rFonts w:ascii="Palatino Linotype" w:eastAsia="Palatino Linotype" w:hAnsi="Palatino Linotype" w:cs="Palatino Linotype"/>
        </w:rPr>
        <w:t>Posteriormente en informe justificado, el Sujeto Obligado por conducto de Acta de la Décima Tercera Sesión Extraordinaria del Comité de Transparencia, celebrada el uno de julio de dos mil veintidós, mediante la cual se aprobó la declaración de inexistencia de información del Informe Policial Homologado (IPH) de los años 2010 al 2016.</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En esta tesitura, para mejor proveer del presente estudio, resulta necesario, analizar el contenido vertido por el </w:t>
      </w:r>
      <w:r w:rsidRPr="00B94BFE">
        <w:rPr>
          <w:rFonts w:ascii="Palatino Linotype" w:eastAsia="Palatino Linotype" w:hAnsi="Palatino Linotype" w:cs="Palatino Linotype"/>
          <w:b/>
        </w:rPr>
        <w:t xml:space="preserve">Sujeto Obligado </w:t>
      </w:r>
      <w:r w:rsidRPr="00B94BFE">
        <w:rPr>
          <w:rFonts w:ascii="Palatino Linotype" w:eastAsia="Palatino Linotype" w:hAnsi="Palatino Linotype" w:cs="Palatino Linotype"/>
        </w:rPr>
        <w:t xml:space="preserve">en el Acta de la Décima Tercera Sesión Extraordinaria del Comité de Transparencia, celebrada el uno de julio de dos mil veintidós, mediante el cual declara la inexistencia de la información solicitada, a fin de establecer si el Comité de Transparencia cumplió cabalmente con las formalidades exigidas por la Ley de Transparencia y Acceso a la Información Pública del Estado de México y Municipios: </w:t>
      </w:r>
    </w:p>
    <w:tbl>
      <w:tblPr>
        <w:tblStyle w:val="a9"/>
        <w:tblW w:w="85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5464"/>
      </w:tblGrid>
      <w:tr w:rsidR="00B94BFE" w:rsidRPr="00B94BFE">
        <w:tc>
          <w:tcPr>
            <w:tcW w:w="1744" w:type="dxa"/>
            <w:tcBorders>
              <w:top w:val="nil"/>
              <w:left w:val="nil"/>
            </w:tcBorders>
          </w:tcPr>
          <w:p w:rsidR="00B13DC9" w:rsidRPr="00B94BFE" w:rsidRDefault="00B13DC9">
            <w:pPr>
              <w:pBdr>
                <w:top w:val="nil"/>
                <w:left w:val="nil"/>
                <w:bottom w:val="nil"/>
                <w:right w:val="nil"/>
                <w:between w:val="nil"/>
              </w:pBdr>
              <w:spacing w:after="120"/>
              <w:ind w:left="47"/>
              <w:jc w:val="both"/>
              <w:rPr>
                <w:rFonts w:ascii="Palatino Linotype" w:eastAsia="Palatino Linotype" w:hAnsi="Palatino Linotype" w:cs="Palatino Linotype"/>
                <w:b/>
                <w:sz w:val="20"/>
                <w:szCs w:val="20"/>
              </w:rPr>
            </w:pPr>
          </w:p>
        </w:tc>
        <w:tc>
          <w:tcPr>
            <w:tcW w:w="1297" w:type="dxa"/>
            <w:tcBorders>
              <w:bottom w:val="single" w:sz="4" w:space="0" w:color="000000"/>
            </w:tcBorders>
            <w:shd w:val="clear" w:color="auto" w:fill="DBE5F1"/>
            <w:vAlign w:val="bottom"/>
          </w:tcPr>
          <w:p w:rsidR="00B13DC9" w:rsidRPr="00B94BFE" w:rsidRDefault="00804EE6">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B94BFE">
              <w:rPr>
                <w:rFonts w:ascii="Palatino Linotype" w:eastAsia="Palatino Linotype" w:hAnsi="Palatino Linotype" w:cs="Palatino Linotype"/>
                <w:b/>
                <w:sz w:val="22"/>
                <w:szCs w:val="22"/>
              </w:rPr>
              <w:t>Cumplió:</w:t>
            </w:r>
          </w:p>
        </w:tc>
        <w:tc>
          <w:tcPr>
            <w:tcW w:w="5464" w:type="dxa"/>
            <w:tcBorders>
              <w:bottom w:val="single" w:sz="4" w:space="0" w:color="000000"/>
            </w:tcBorders>
            <w:shd w:val="clear" w:color="auto" w:fill="DBE5F1"/>
            <w:vAlign w:val="bottom"/>
          </w:tcPr>
          <w:p w:rsidR="00B13DC9" w:rsidRPr="00B94BFE" w:rsidRDefault="00804EE6">
            <w:pPr>
              <w:pBdr>
                <w:top w:val="nil"/>
                <w:left w:val="nil"/>
                <w:bottom w:val="nil"/>
                <w:right w:val="nil"/>
                <w:between w:val="nil"/>
              </w:pBdr>
              <w:spacing w:after="120"/>
              <w:ind w:left="47"/>
              <w:jc w:val="center"/>
              <w:rPr>
                <w:rFonts w:ascii="Palatino Linotype" w:eastAsia="Palatino Linotype" w:hAnsi="Palatino Linotype" w:cs="Palatino Linotype"/>
                <w:b/>
                <w:sz w:val="22"/>
                <w:szCs w:val="22"/>
              </w:rPr>
            </w:pPr>
            <w:r w:rsidRPr="00B94BFE">
              <w:rPr>
                <w:rFonts w:ascii="Palatino Linotype" w:eastAsia="Palatino Linotype" w:hAnsi="Palatino Linotype" w:cs="Palatino Linotype"/>
                <w:b/>
                <w:sz w:val="22"/>
                <w:szCs w:val="22"/>
              </w:rPr>
              <w:t>Contenido</w:t>
            </w:r>
          </w:p>
        </w:tc>
      </w:tr>
      <w:tr w:rsidR="00B94BFE" w:rsidRPr="00B94BFE">
        <w:tc>
          <w:tcPr>
            <w:tcW w:w="1744" w:type="dxa"/>
            <w:vAlign w:val="center"/>
          </w:tcPr>
          <w:p w:rsidR="00B13DC9" w:rsidRPr="00B94BFE" w:rsidRDefault="00804EE6">
            <w:pPr>
              <w:spacing w:after="120"/>
              <w:jc w:val="both"/>
              <w:rPr>
                <w:rFonts w:ascii="Palatino Linotype" w:eastAsia="Palatino Linotype" w:hAnsi="Palatino Linotype" w:cs="Palatino Linotype"/>
                <w:b/>
                <w:sz w:val="16"/>
                <w:szCs w:val="16"/>
              </w:rPr>
            </w:pPr>
            <w:r w:rsidRPr="00B94BFE">
              <w:rPr>
                <w:rFonts w:ascii="Palatino Linotype" w:eastAsia="Palatino Linotype" w:hAnsi="Palatino Linotype" w:cs="Palatino Linotype"/>
                <w:b/>
                <w:sz w:val="16"/>
                <w:szCs w:val="16"/>
              </w:rPr>
              <w:t>Número de folio de la solicitud.</w:t>
            </w:r>
          </w:p>
        </w:tc>
        <w:tc>
          <w:tcPr>
            <w:tcW w:w="1297" w:type="dxa"/>
            <w:tcBorders>
              <w:top w:val="single" w:sz="4" w:space="0" w:color="000000"/>
            </w:tcBorders>
            <w:vAlign w:val="center"/>
          </w:tcPr>
          <w:p w:rsidR="00B13DC9" w:rsidRPr="00B94BFE" w:rsidRDefault="00804EE6">
            <w:pPr>
              <w:spacing w:after="120"/>
              <w:ind w:left="47"/>
              <w:jc w:val="center"/>
              <w:rPr>
                <w:rFonts w:ascii="Palatino Linotype" w:eastAsia="Palatino Linotype" w:hAnsi="Palatino Linotype" w:cs="Palatino Linotype"/>
                <w:b/>
              </w:rPr>
            </w:pPr>
            <w:r w:rsidRPr="00B94BFE">
              <w:rPr>
                <w:rFonts w:ascii="Palatino Linotype" w:eastAsia="Palatino Linotype" w:hAnsi="Palatino Linotype" w:cs="Palatino Linotype"/>
                <w:b/>
                <w:sz w:val="22"/>
                <w:szCs w:val="22"/>
              </w:rPr>
              <w:t>Si</w:t>
            </w:r>
          </w:p>
        </w:tc>
        <w:tc>
          <w:tcPr>
            <w:tcW w:w="5464" w:type="dxa"/>
            <w:tcBorders>
              <w:top w:val="single" w:sz="4" w:space="0" w:color="000000"/>
            </w:tcBorders>
            <w:vAlign w:val="center"/>
          </w:tcPr>
          <w:p w:rsidR="00B13DC9" w:rsidRPr="00B94BFE" w:rsidRDefault="00B13DC9">
            <w:pPr>
              <w:spacing w:after="120"/>
            </w:pPr>
          </w:p>
          <w:p w:rsidR="00B13DC9" w:rsidRPr="00B94BFE" w:rsidRDefault="00804EE6">
            <w:pPr>
              <w:spacing w:after="120"/>
              <w:ind w:left="-115"/>
              <w:jc w:val="center"/>
              <w:rPr>
                <w:rFonts w:ascii="Palatino Linotype" w:eastAsia="Palatino Linotype" w:hAnsi="Palatino Linotype" w:cs="Palatino Linotype"/>
              </w:rPr>
            </w:pPr>
            <w:r w:rsidRPr="00B94BFE">
              <w:rPr>
                <w:rFonts w:ascii="Palatino Linotype" w:eastAsia="Palatino Linotype" w:hAnsi="Palatino Linotype" w:cs="Palatino Linotype"/>
                <w:noProof/>
                <w:lang w:val="es-MX"/>
              </w:rPr>
              <w:drawing>
                <wp:inline distT="0" distB="0" distL="0" distR="0">
                  <wp:extent cx="3332480" cy="565150"/>
                  <wp:effectExtent l="0" t="0" r="0" b="0"/>
                  <wp:docPr id="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3332480" cy="565150"/>
                          </a:xfrm>
                          <a:prstGeom prst="rect">
                            <a:avLst/>
                          </a:prstGeom>
                          <a:ln/>
                        </pic:spPr>
                      </pic:pic>
                    </a:graphicData>
                  </a:graphic>
                </wp:inline>
              </w:drawing>
            </w:r>
          </w:p>
        </w:tc>
      </w:tr>
      <w:tr w:rsidR="00B94BFE" w:rsidRPr="00B94BFE">
        <w:tc>
          <w:tcPr>
            <w:tcW w:w="1744" w:type="dxa"/>
            <w:vAlign w:val="center"/>
          </w:tcPr>
          <w:p w:rsidR="00B13DC9" w:rsidRPr="00B94BFE" w:rsidRDefault="00804EE6">
            <w:pPr>
              <w:spacing w:after="120"/>
              <w:jc w:val="both"/>
              <w:rPr>
                <w:rFonts w:ascii="Palatino Linotype" w:eastAsia="Palatino Linotype" w:hAnsi="Palatino Linotype" w:cs="Palatino Linotype"/>
                <w:b/>
                <w:sz w:val="16"/>
                <w:szCs w:val="16"/>
              </w:rPr>
            </w:pPr>
            <w:r w:rsidRPr="00B94BFE">
              <w:rPr>
                <w:rFonts w:ascii="Palatino Linotype" w:eastAsia="Palatino Linotype" w:hAnsi="Palatino Linotype" w:cs="Palatino Linotype"/>
                <w:b/>
                <w:sz w:val="16"/>
                <w:szCs w:val="16"/>
              </w:rPr>
              <w:t>Referencia de la información solicitada.</w:t>
            </w:r>
          </w:p>
        </w:tc>
        <w:tc>
          <w:tcPr>
            <w:tcW w:w="1297" w:type="dxa"/>
            <w:vAlign w:val="center"/>
          </w:tcPr>
          <w:p w:rsidR="00B13DC9" w:rsidRPr="00B94BFE" w:rsidRDefault="00804EE6">
            <w:pPr>
              <w:spacing w:after="120"/>
              <w:ind w:left="47"/>
              <w:jc w:val="center"/>
              <w:rPr>
                <w:rFonts w:ascii="Palatino Linotype" w:eastAsia="Palatino Linotype" w:hAnsi="Palatino Linotype" w:cs="Palatino Linotype"/>
                <w:b/>
              </w:rPr>
            </w:pPr>
            <w:r w:rsidRPr="00B94BFE">
              <w:rPr>
                <w:rFonts w:ascii="Palatino Linotype" w:eastAsia="Palatino Linotype" w:hAnsi="Palatino Linotype" w:cs="Palatino Linotype"/>
                <w:b/>
                <w:sz w:val="22"/>
                <w:szCs w:val="22"/>
              </w:rPr>
              <w:t>Sí</w:t>
            </w:r>
          </w:p>
        </w:tc>
        <w:tc>
          <w:tcPr>
            <w:tcW w:w="5464" w:type="dxa"/>
            <w:vAlign w:val="center"/>
          </w:tcPr>
          <w:p w:rsidR="00B13DC9" w:rsidRPr="00B94BFE" w:rsidRDefault="00B13DC9">
            <w:pPr>
              <w:spacing w:after="120"/>
              <w:ind w:left="-31"/>
            </w:pPr>
          </w:p>
          <w:p w:rsidR="00B13DC9" w:rsidRPr="00B94BFE" w:rsidRDefault="00804EE6">
            <w:pPr>
              <w:spacing w:after="120"/>
              <w:ind w:left="-31"/>
            </w:pPr>
            <w:r w:rsidRPr="00B94BFE">
              <w:rPr>
                <w:noProof/>
                <w:lang w:val="es-MX"/>
              </w:rPr>
              <w:drawing>
                <wp:inline distT="0" distB="0" distL="0" distR="0">
                  <wp:extent cx="3332480" cy="858520"/>
                  <wp:effectExtent l="0" t="0" r="0" b="0"/>
                  <wp:docPr id="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3332480" cy="858520"/>
                          </a:xfrm>
                          <a:prstGeom prst="rect">
                            <a:avLst/>
                          </a:prstGeom>
                          <a:ln/>
                        </pic:spPr>
                      </pic:pic>
                    </a:graphicData>
                  </a:graphic>
                </wp:inline>
              </w:drawing>
            </w:r>
          </w:p>
          <w:p w:rsidR="00B13DC9" w:rsidRPr="00B94BFE" w:rsidRDefault="00B13DC9">
            <w:pPr>
              <w:spacing w:after="120"/>
              <w:rPr>
                <w:rFonts w:ascii="Palatino Linotype" w:eastAsia="Palatino Linotype" w:hAnsi="Palatino Linotype" w:cs="Palatino Linotype"/>
                <w:b/>
              </w:rPr>
            </w:pPr>
          </w:p>
        </w:tc>
      </w:tr>
      <w:tr w:rsidR="00B94BFE" w:rsidRPr="00B94BFE">
        <w:tc>
          <w:tcPr>
            <w:tcW w:w="1744" w:type="dxa"/>
            <w:vAlign w:val="center"/>
          </w:tcPr>
          <w:p w:rsidR="00B13DC9" w:rsidRPr="00B94BFE" w:rsidRDefault="00804EE6">
            <w:pPr>
              <w:tabs>
                <w:tab w:val="left" w:pos="317"/>
              </w:tabs>
              <w:spacing w:after="120"/>
              <w:jc w:val="both"/>
              <w:rPr>
                <w:rFonts w:ascii="Palatino Linotype" w:eastAsia="Palatino Linotype" w:hAnsi="Palatino Linotype" w:cs="Palatino Linotype"/>
                <w:b/>
                <w:sz w:val="16"/>
                <w:szCs w:val="16"/>
              </w:rPr>
            </w:pPr>
            <w:r w:rsidRPr="00B94BFE">
              <w:rPr>
                <w:rFonts w:ascii="Palatino Linotype" w:eastAsia="Palatino Linotype" w:hAnsi="Palatino Linotype" w:cs="Palatino Linotype"/>
                <w:b/>
                <w:sz w:val="16"/>
                <w:szCs w:val="16"/>
              </w:rPr>
              <w:t>Fundamento y Motivación Legal.</w:t>
            </w:r>
          </w:p>
        </w:tc>
        <w:tc>
          <w:tcPr>
            <w:tcW w:w="1297" w:type="dxa"/>
            <w:vAlign w:val="center"/>
          </w:tcPr>
          <w:p w:rsidR="00B13DC9" w:rsidRPr="00B94BFE" w:rsidRDefault="00804EE6">
            <w:pPr>
              <w:spacing w:after="120"/>
              <w:ind w:left="47"/>
              <w:jc w:val="center"/>
              <w:rPr>
                <w:rFonts w:ascii="Palatino Linotype" w:eastAsia="Palatino Linotype" w:hAnsi="Palatino Linotype" w:cs="Palatino Linotype"/>
                <w:b/>
              </w:rPr>
            </w:pPr>
            <w:r w:rsidRPr="00B94BFE">
              <w:rPr>
                <w:rFonts w:ascii="Palatino Linotype" w:eastAsia="Palatino Linotype" w:hAnsi="Palatino Linotype" w:cs="Palatino Linotype"/>
                <w:b/>
                <w:sz w:val="20"/>
                <w:szCs w:val="20"/>
              </w:rPr>
              <w:t>Si</w:t>
            </w:r>
          </w:p>
        </w:tc>
        <w:tc>
          <w:tcPr>
            <w:tcW w:w="5464" w:type="dxa"/>
          </w:tcPr>
          <w:p w:rsidR="00B13DC9" w:rsidRPr="00B94BFE" w:rsidRDefault="00804EE6">
            <w:pPr>
              <w:spacing w:after="120"/>
              <w:ind w:left="-31"/>
              <w:jc w:val="center"/>
            </w:pPr>
            <w:r w:rsidRPr="00B94BFE">
              <w:rPr>
                <w:noProof/>
                <w:lang w:val="es-MX"/>
              </w:rPr>
              <w:drawing>
                <wp:inline distT="0" distB="0" distL="0" distR="0">
                  <wp:extent cx="3218658" cy="1165905"/>
                  <wp:effectExtent l="0" t="0" r="0" b="0"/>
                  <wp:docPr id="9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3218658" cy="1165905"/>
                          </a:xfrm>
                          <a:prstGeom prst="rect">
                            <a:avLst/>
                          </a:prstGeom>
                          <a:ln/>
                        </pic:spPr>
                      </pic:pic>
                    </a:graphicData>
                  </a:graphic>
                </wp:inline>
              </w:drawing>
            </w:r>
          </w:p>
          <w:p w:rsidR="00B13DC9" w:rsidRPr="00B94BFE" w:rsidRDefault="00804EE6">
            <w:pPr>
              <w:spacing w:after="120"/>
              <w:ind w:left="-31"/>
              <w:jc w:val="center"/>
            </w:pPr>
            <w:r w:rsidRPr="00B94BFE">
              <w:rPr>
                <w:noProof/>
                <w:lang w:val="es-MX"/>
              </w:rPr>
              <w:drawing>
                <wp:inline distT="0" distB="0" distL="0" distR="0">
                  <wp:extent cx="3176316" cy="1115463"/>
                  <wp:effectExtent l="0" t="0" r="0" b="0"/>
                  <wp:docPr id="9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3176316" cy="1115463"/>
                          </a:xfrm>
                          <a:prstGeom prst="rect">
                            <a:avLst/>
                          </a:prstGeom>
                          <a:ln/>
                        </pic:spPr>
                      </pic:pic>
                    </a:graphicData>
                  </a:graphic>
                </wp:inline>
              </w:drawing>
            </w:r>
          </w:p>
          <w:p w:rsidR="00B13DC9" w:rsidRPr="00B94BFE" w:rsidRDefault="00804EE6">
            <w:pPr>
              <w:spacing w:after="120"/>
              <w:ind w:left="-31"/>
              <w:jc w:val="center"/>
            </w:pPr>
            <w:r w:rsidRPr="00B94BFE">
              <w:rPr>
                <w:rFonts w:ascii="Palatino Linotype" w:eastAsia="Palatino Linotype" w:hAnsi="Palatino Linotype" w:cs="Palatino Linotype"/>
                <w:noProof/>
                <w:sz w:val="22"/>
                <w:szCs w:val="22"/>
                <w:lang w:val="es-MX"/>
              </w:rPr>
              <w:drawing>
                <wp:inline distT="0" distB="0" distL="0" distR="0">
                  <wp:extent cx="3332480" cy="1341120"/>
                  <wp:effectExtent l="0" t="0" r="0" b="0"/>
                  <wp:docPr id="1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3332480" cy="1341120"/>
                          </a:xfrm>
                          <a:prstGeom prst="rect">
                            <a:avLst/>
                          </a:prstGeom>
                          <a:ln/>
                        </pic:spPr>
                      </pic:pic>
                    </a:graphicData>
                  </a:graphic>
                </wp:inline>
              </w:drawing>
            </w:r>
          </w:p>
        </w:tc>
      </w:tr>
      <w:tr w:rsidR="00B94BFE" w:rsidRPr="00B94BFE">
        <w:tc>
          <w:tcPr>
            <w:tcW w:w="1744" w:type="dxa"/>
            <w:vAlign w:val="center"/>
          </w:tcPr>
          <w:p w:rsidR="00B13DC9" w:rsidRPr="00B94BFE" w:rsidRDefault="00804EE6">
            <w:pPr>
              <w:spacing w:after="120"/>
              <w:jc w:val="both"/>
              <w:rPr>
                <w:rFonts w:ascii="Palatino Linotype" w:eastAsia="Palatino Linotype" w:hAnsi="Palatino Linotype" w:cs="Palatino Linotype"/>
                <w:b/>
                <w:sz w:val="16"/>
                <w:szCs w:val="16"/>
              </w:rPr>
            </w:pPr>
            <w:r w:rsidRPr="00B94BFE">
              <w:rPr>
                <w:rFonts w:ascii="Palatino Linotype" w:eastAsia="Palatino Linotype" w:hAnsi="Palatino Linotype" w:cs="Palatino Linotype"/>
                <w:b/>
                <w:sz w:val="16"/>
                <w:szCs w:val="16"/>
              </w:rPr>
              <w:t>Conexión entre los fundamentos y motivos que dieron origen a la inexistencia de la información.</w:t>
            </w:r>
          </w:p>
        </w:tc>
        <w:tc>
          <w:tcPr>
            <w:tcW w:w="1297" w:type="dxa"/>
            <w:vAlign w:val="center"/>
          </w:tcPr>
          <w:p w:rsidR="00B13DC9" w:rsidRPr="00B94BFE" w:rsidRDefault="00804EE6">
            <w:pPr>
              <w:pBdr>
                <w:top w:val="nil"/>
                <w:left w:val="nil"/>
                <w:bottom w:val="nil"/>
                <w:right w:val="nil"/>
                <w:between w:val="nil"/>
              </w:pBdr>
              <w:spacing w:after="120"/>
              <w:ind w:left="29" w:firstLine="18"/>
              <w:jc w:val="center"/>
              <w:rPr>
                <w:rFonts w:ascii="Palatino Linotype" w:eastAsia="Palatino Linotype" w:hAnsi="Palatino Linotype" w:cs="Palatino Linotype"/>
                <w:b/>
                <w:sz w:val="22"/>
                <w:szCs w:val="22"/>
              </w:rPr>
            </w:pPr>
            <w:r w:rsidRPr="00B94BFE">
              <w:rPr>
                <w:rFonts w:ascii="Palatino Linotype" w:eastAsia="Palatino Linotype" w:hAnsi="Palatino Linotype" w:cs="Palatino Linotype"/>
                <w:b/>
                <w:sz w:val="22"/>
                <w:szCs w:val="22"/>
              </w:rPr>
              <w:t>Si</w:t>
            </w:r>
          </w:p>
        </w:tc>
        <w:tc>
          <w:tcPr>
            <w:tcW w:w="5464" w:type="dxa"/>
            <w:vAlign w:val="center"/>
          </w:tcPr>
          <w:p w:rsidR="00B13DC9" w:rsidRPr="00B94BFE" w:rsidRDefault="00804EE6">
            <w:pPr>
              <w:pBdr>
                <w:top w:val="nil"/>
                <w:left w:val="nil"/>
                <w:bottom w:val="nil"/>
                <w:right w:val="nil"/>
                <w:between w:val="nil"/>
              </w:pBdr>
              <w:spacing w:after="120"/>
              <w:ind w:left="29" w:firstLine="18"/>
              <w:jc w:val="center"/>
              <w:rPr>
                <w:rFonts w:ascii="Palatino Linotype" w:eastAsia="Palatino Linotype" w:hAnsi="Palatino Linotype" w:cs="Palatino Linotype"/>
                <w:sz w:val="22"/>
                <w:szCs w:val="22"/>
              </w:rPr>
            </w:pPr>
            <w:r w:rsidRPr="00B94BFE">
              <w:rPr>
                <w:noProof/>
                <w:lang w:val="es-MX"/>
              </w:rPr>
              <w:drawing>
                <wp:inline distT="0" distB="0" distL="0" distR="0">
                  <wp:extent cx="3176316" cy="1115463"/>
                  <wp:effectExtent l="0" t="0" r="0" b="0"/>
                  <wp:docPr id="10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3176316" cy="1115463"/>
                          </a:xfrm>
                          <a:prstGeom prst="rect">
                            <a:avLst/>
                          </a:prstGeom>
                          <a:ln/>
                        </pic:spPr>
                      </pic:pic>
                    </a:graphicData>
                  </a:graphic>
                </wp:inline>
              </w:drawing>
            </w:r>
          </w:p>
        </w:tc>
      </w:tr>
      <w:tr w:rsidR="00B94BFE" w:rsidRPr="00B94BFE">
        <w:tc>
          <w:tcPr>
            <w:tcW w:w="1744" w:type="dxa"/>
            <w:vAlign w:val="center"/>
          </w:tcPr>
          <w:p w:rsidR="00B13DC9" w:rsidRPr="00B94BFE" w:rsidRDefault="00804EE6">
            <w:pPr>
              <w:tabs>
                <w:tab w:val="left" w:pos="317"/>
              </w:tabs>
              <w:spacing w:after="120"/>
              <w:jc w:val="both"/>
              <w:rPr>
                <w:rFonts w:ascii="Palatino Linotype" w:eastAsia="Palatino Linotype" w:hAnsi="Palatino Linotype" w:cs="Palatino Linotype"/>
                <w:b/>
                <w:sz w:val="16"/>
                <w:szCs w:val="16"/>
              </w:rPr>
            </w:pPr>
            <w:r w:rsidRPr="00B94BFE">
              <w:rPr>
                <w:rFonts w:ascii="Palatino Linotype" w:eastAsia="Palatino Linotype" w:hAnsi="Palatino Linotype" w:cs="Palatino Linotype"/>
                <w:b/>
                <w:sz w:val="16"/>
                <w:szCs w:val="16"/>
              </w:rPr>
              <w:t>Notificación al órgano interno de control o equivalente del sujeto obligado quien, en su caso, deberá iniciar el procedimiento de responsabilidad administrativa que corresponda.</w:t>
            </w:r>
          </w:p>
        </w:tc>
        <w:tc>
          <w:tcPr>
            <w:tcW w:w="1297" w:type="dxa"/>
            <w:vAlign w:val="center"/>
          </w:tcPr>
          <w:p w:rsidR="00B13DC9" w:rsidRPr="00B94BFE" w:rsidRDefault="00804EE6">
            <w:pPr>
              <w:pBdr>
                <w:top w:val="nil"/>
                <w:left w:val="nil"/>
                <w:bottom w:val="nil"/>
                <w:right w:val="nil"/>
                <w:between w:val="nil"/>
              </w:pBdr>
              <w:spacing w:after="120"/>
              <w:ind w:left="29" w:firstLine="18"/>
              <w:jc w:val="center"/>
              <w:rPr>
                <w:rFonts w:ascii="Palatino Linotype" w:eastAsia="Palatino Linotype" w:hAnsi="Palatino Linotype" w:cs="Palatino Linotype"/>
                <w:b/>
                <w:sz w:val="22"/>
                <w:szCs w:val="22"/>
              </w:rPr>
            </w:pPr>
            <w:r w:rsidRPr="00B94BFE">
              <w:rPr>
                <w:rFonts w:ascii="Palatino Linotype" w:eastAsia="Palatino Linotype" w:hAnsi="Palatino Linotype" w:cs="Palatino Linotype"/>
                <w:b/>
                <w:sz w:val="22"/>
                <w:szCs w:val="22"/>
              </w:rPr>
              <w:t>Si</w:t>
            </w:r>
          </w:p>
        </w:tc>
        <w:tc>
          <w:tcPr>
            <w:tcW w:w="5464" w:type="dxa"/>
            <w:vAlign w:val="center"/>
          </w:tcPr>
          <w:p w:rsidR="00B13DC9" w:rsidRPr="00B94BFE" w:rsidRDefault="00804EE6">
            <w:pPr>
              <w:pBdr>
                <w:top w:val="nil"/>
                <w:left w:val="nil"/>
                <w:bottom w:val="nil"/>
                <w:right w:val="nil"/>
                <w:between w:val="nil"/>
              </w:pBdr>
              <w:spacing w:after="120"/>
              <w:ind w:left="29" w:firstLine="18"/>
              <w:jc w:val="both"/>
              <w:rPr>
                <w:rFonts w:ascii="Palatino Linotype" w:eastAsia="Palatino Linotype" w:hAnsi="Palatino Linotype" w:cs="Palatino Linotype"/>
                <w:sz w:val="22"/>
                <w:szCs w:val="22"/>
              </w:rPr>
            </w:pPr>
            <w:r w:rsidRPr="00B94BFE">
              <w:rPr>
                <w:rFonts w:ascii="Palatino Linotype" w:eastAsia="Palatino Linotype" w:hAnsi="Palatino Linotype" w:cs="Palatino Linotype"/>
                <w:noProof/>
                <w:sz w:val="22"/>
                <w:szCs w:val="22"/>
                <w:lang w:val="es-MX"/>
              </w:rPr>
              <w:drawing>
                <wp:inline distT="0" distB="0" distL="0" distR="0">
                  <wp:extent cx="3216434" cy="451086"/>
                  <wp:effectExtent l="0" t="0" r="0" b="0"/>
                  <wp:docPr id="1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t="83538"/>
                          <a:stretch>
                            <a:fillRect/>
                          </a:stretch>
                        </pic:blipFill>
                        <pic:spPr>
                          <a:xfrm>
                            <a:off x="0" y="0"/>
                            <a:ext cx="3216434" cy="451086"/>
                          </a:xfrm>
                          <a:prstGeom prst="rect">
                            <a:avLst/>
                          </a:prstGeom>
                          <a:ln/>
                        </pic:spPr>
                      </pic:pic>
                    </a:graphicData>
                  </a:graphic>
                </wp:inline>
              </w:drawing>
            </w:r>
          </w:p>
        </w:tc>
      </w:tr>
      <w:tr w:rsidR="00B13DC9" w:rsidRPr="00B94BFE">
        <w:trPr>
          <w:trHeight w:val="3517"/>
        </w:trPr>
        <w:tc>
          <w:tcPr>
            <w:tcW w:w="1744" w:type="dxa"/>
            <w:vAlign w:val="center"/>
          </w:tcPr>
          <w:p w:rsidR="00B13DC9" w:rsidRPr="00B94BFE" w:rsidRDefault="00804EE6">
            <w:pPr>
              <w:tabs>
                <w:tab w:val="left" w:pos="317"/>
              </w:tabs>
              <w:spacing w:after="120"/>
              <w:jc w:val="center"/>
              <w:rPr>
                <w:rFonts w:ascii="Palatino Linotype" w:eastAsia="Palatino Linotype" w:hAnsi="Palatino Linotype" w:cs="Palatino Linotype"/>
                <w:b/>
                <w:sz w:val="16"/>
                <w:szCs w:val="16"/>
              </w:rPr>
            </w:pPr>
            <w:r w:rsidRPr="00B94BFE">
              <w:rPr>
                <w:rFonts w:ascii="Palatino Linotype" w:eastAsia="Palatino Linotype" w:hAnsi="Palatino Linotype" w:cs="Palatino Linotype"/>
                <w:b/>
                <w:sz w:val="16"/>
                <w:szCs w:val="16"/>
              </w:rPr>
              <w:t>Autoridades competentes.</w:t>
            </w:r>
          </w:p>
        </w:tc>
        <w:tc>
          <w:tcPr>
            <w:tcW w:w="1297" w:type="dxa"/>
            <w:vAlign w:val="center"/>
          </w:tcPr>
          <w:p w:rsidR="00B13DC9" w:rsidRPr="00B94BFE" w:rsidRDefault="00804EE6">
            <w:pPr>
              <w:pBdr>
                <w:top w:val="nil"/>
                <w:left w:val="nil"/>
                <w:bottom w:val="nil"/>
                <w:right w:val="nil"/>
                <w:between w:val="nil"/>
              </w:pBdr>
              <w:spacing w:after="120"/>
              <w:ind w:left="29" w:firstLine="18"/>
              <w:jc w:val="center"/>
              <w:rPr>
                <w:rFonts w:ascii="Palatino Linotype" w:eastAsia="Palatino Linotype" w:hAnsi="Palatino Linotype" w:cs="Palatino Linotype"/>
                <w:b/>
                <w:sz w:val="22"/>
                <w:szCs w:val="22"/>
              </w:rPr>
            </w:pPr>
            <w:r w:rsidRPr="00B94BFE">
              <w:rPr>
                <w:rFonts w:ascii="Palatino Linotype" w:eastAsia="Palatino Linotype" w:hAnsi="Palatino Linotype" w:cs="Palatino Linotype"/>
                <w:b/>
                <w:sz w:val="22"/>
                <w:szCs w:val="22"/>
              </w:rPr>
              <w:t>Sí</w:t>
            </w:r>
          </w:p>
        </w:tc>
        <w:tc>
          <w:tcPr>
            <w:tcW w:w="5464" w:type="dxa"/>
          </w:tcPr>
          <w:p w:rsidR="00B13DC9" w:rsidRPr="00B94BFE" w:rsidRDefault="00804EE6">
            <w:pPr>
              <w:jc w:val="center"/>
            </w:pPr>
            <w:r w:rsidRPr="00B94BFE">
              <w:rPr>
                <w:noProof/>
                <w:lang w:val="es-MX"/>
              </w:rPr>
              <w:drawing>
                <wp:inline distT="0" distB="0" distL="0" distR="0">
                  <wp:extent cx="3058684" cy="3351264"/>
                  <wp:effectExtent l="0" t="0" r="0" b="0"/>
                  <wp:docPr id="1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3058684" cy="3351264"/>
                          </a:xfrm>
                          <a:prstGeom prst="rect">
                            <a:avLst/>
                          </a:prstGeom>
                          <a:ln/>
                        </pic:spPr>
                      </pic:pic>
                    </a:graphicData>
                  </a:graphic>
                </wp:inline>
              </w:drawing>
            </w:r>
          </w:p>
        </w:tc>
      </w:tr>
    </w:tbl>
    <w:p w:rsidR="00B13DC9" w:rsidRPr="00B94BFE" w:rsidRDefault="00B13DC9">
      <w:pPr>
        <w:spacing w:line="360" w:lineRule="auto"/>
        <w:ind w:right="141"/>
        <w:jc w:val="both"/>
        <w:rPr>
          <w:rFonts w:ascii="Palatino Linotype" w:eastAsia="Palatino Linotype" w:hAnsi="Palatino Linotype" w:cs="Palatino Linotype"/>
        </w:rPr>
      </w:pPr>
    </w:p>
    <w:p w:rsidR="00B13DC9" w:rsidRPr="00B94BFE" w:rsidRDefault="00804EE6">
      <w:pPr>
        <w:spacing w:line="360" w:lineRule="auto"/>
        <w:ind w:right="141"/>
        <w:jc w:val="both"/>
        <w:rPr>
          <w:rFonts w:ascii="Palatino Linotype" w:eastAsia="Palatino Linotype" w:hAnsi="Palatino Linotype" w:cs="Palatino Linotype"/>
        </w:rPr>
      </w:pPr>
      <w:r w:rsidRPr="00B94BFE">
        <w:rPr>
          <w:rFonts w:ascii="Palatino Linotype" w:eastAsia="Palatino Linotype" w:hAnsi="Palatino Linotype" w:cs="Palatino Linotype"/>
        </w:rPr>
        <w:t>En efecto, se procedió a analizar el acta remitida a fin de determinar si el Comité de Transparencia cumplió cabalmente con las formalidades exigidas por la Ley de Transparencia y Acceso a la Información Pública del Estado de México y Municipios</w:t>
      </w:r>
      <w:r w:rsidRPr="00B94BFE">
        <w:rPr>
          <w:rFonts w:ascii="Palatino Linotype" w:eastAsia="Palatino Linotype" w:hAnsi="Palatino Linotype" w:cs="Palatino Linotype"/>
          <w:i/>
        </w:rPr>
        <w:t xml:space="preserve">, </w:t>
      </w:r>
      <w:r w:rsidRPr="00B94BFE">
        <w:rPr>
          <w:rFonts w:ascii="Palatino Linotype" w:eastAsia="Palatino Linotype" w:hAnsi="Palatino Linotype" w:cs="Palatino Linotype"/>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rsidR="00B13DC9" w:rsidRPr="00B94BFE" w:rsidRDefault="00B13DC9">
      <w:pPr>
        <w:ind w:left="567" w:right="567"/>
        <w:jc w:val="both"/>
        <w:rPr>
          <w:rFonts w:ascii="Palatino Linotype" w:eastAsia="Palatino Linotype" w:hAnsi="Palatino Linotype" w:cs="Palatino Linotype"/>
          <w:sz w:val="22"/>
          <w:szCs w:val="22"/>
        </w:rPr>
      </w:pPr>
    </w:p>
    <w:p w:rsidR="00B13DC9" w:rsidRPr="00B94BFE" w:rsidRDefault="00804EE6">
      <w:pPr>
        <w:ind w:left="567" w:right="567"/>
        <w:jc w:val="center"/>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CRITERIO 0003-11</w:t>
      </w:r>
    </w:p>
    <w:p w:rsidR="00B13DC9" w:rsidRPr="00B94BFE" w:rsidRDefault="00B13DC9">
      <w:pPr>
        <w:ind w:left="567" w:right="567"/>
        <w:jc w:val="both"/>
        <w:rPr>
          <w:rFonts w:ascii="Palatino Linotype" w:eastAsia="Palatino Linotype" w:hAnsi="Palatino Linotype" w:cs="Palatino Linotype"/>
          <w:b/>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INEXISTENCIA, CONCEPTO DE, EN MATERIA DE TRANSPARENCIA</w:t>
      </w:r>
      <w:r w:rsidRPr="00B94BFE">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center"/>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CRITERIO 0004-11</w:t>
      </w:r>
    </w:p>
    <w:p w:rsidR="00B13DC9" w:rsidRPr="00B94BFE" w:rsidRDefault="00B13DC9">
      <w:pPr>
        <w:ind w:left="567" w:right="567"/>
        <w:jc w:val="both"/>
        <w:rPr>
          <w:rFonts w:ascii="Palatino Linotype" w:eastAsia="Palatino Linotype" w:hAnsi="Palatino Linotype" w:cs="Palatino Linotype"/>
          <w:b/>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INEXISTENCIA. DECLARATORIA DE LA. ALCANCES Y PROCEDIMIENTOS</w:t>
      </w:r>
      <w:r w:rsidRPr="00B94BFE">
        <w:rPr>
          <w:rFonts w:ascii="Palatino Linotype" w:eastAsia="Palatino Linotype" w:hAnsi="Palatino Linotype" w:cs="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Bajo el entendido de que dicha búsqueda exhaustiva permitirá dos determinaciones:</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B13DC9" w:rsidRPr="00B94BFE" w:rsidRDefault="00B13DC9">
      <w:pPr>
        <w:spacing w:line="360" w:lineRule="auto"/>
        <w:ind w:right="567"/>
        <w:jc w:val="both"/>
        <w:rPr>
          <w:rFonts w:ascii="Palatino Linotype" w:eastAsia="Palatino Linotype" w:hAnsi="Palatino Linotype" w:cs="Palatino Linotype"/>
          <w:sz w:val="22"/>
          <w:szCs w:val="22"/>
        </w:rPr>
      </w:pPr>
    </w:p>
    <w:p w:rsidR="00B13DC9" w:rsidRPr="00B94BFE" w:rsidRDefault="00804EE6">
      <w:pPr>
        <w:spacing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De lo anterior se advierte que, el Comité de Transparencia deberá emitir el correspondiente Acuerdo de Inexistencia de la Información y notificarlo al </w:t>
      </w:r>
      <w:r w:rsidRPr="00B94BFE">
        <w:rPr>
          <w:rFonts w:ascii="Palatino Linotype" w:eastAsia="Palatino Linotype" w:hAnsi="Palatino Linotype" w:cs="Palatino Linotype"/>
          <w:b/>
        </w:rPr>
        <w:t>Recurrente</w:t>
      </w:r>
      <w:r w:rsidRPr="00B94BFE">
        <w:rPr>
          <w:rFonts w:ascii="Palatino Linotype" w:eastAsia="Palatino Linotype" w:hAnsi="Palatino Linotype" w:cs="Palatino Linotype"/>
        </w:rPr>
        <w:t xml:space="preserv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correspondiente, de acuerdo a los artículos 47 y 49, fracciones II y XIII, de la Ley en estudio:</w:t>
      </w:r>
    </w:p>
    <w:p w:rsidR="00B13DC9" w:rsidRPr="00B94BFE" w:rsidRDefault="00B13DC9">
      <w:pPr>
        <w:spacing w:line="360" w:lineRule="auto"/>
        <w:ind w:right="567"/>
        <w:jc w:val="both"/>
        <w:rPr>
          <w:rFonts w:ascii="Palatino Linotype" w:eastAsia="Palatino Linotype" w:hAnsi="Palatino Linotype" w:cs="Palatino Linotype"/>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Artículo 47.</w:t>
      </w:r>
      <w:r w:rsidRPr="00B94BFE">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B94BFE">
        <w:rPr>
          <w:rFonts w:ascii="Palatino Linotype" w:eastAsia="Palatino Linotype" w:hAnsi="Palatino Linotype" w:cs="Palatino Linotype"/>
          <w:i/>
          <w:sz w:val="22"/>
          <w:szCs w:val="22"/>
          <w:u w:val="single"/>
        </w:rPr>
        <w:t>inexistencia</w:t>
      </w:r>
      <w:r w:rsidRPr="00B94BFE">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w:t>
      </w:r>
      <w:r w:rsidRPr="00B94BFE">
        <w:rPr>
          <w:rFonts w:ascii="Palatino Linotype" w:eastAsia="Palatino Linotype" w:hAnsi="Palatino Linotype" w:cs="Palatino Linotype"/>
          <w:b/>
          <w:i/>
          <w:sz w:val="22"/>
          <w:szCs w:val="22"/>
        </w:rPr>
        <w:t>Artículo 49.</w:t>
      </w:r>
      <w:r w:rsidRPr="00B94BFE">
        <w:rPr>
          <w:rFonts w:ascii="Palatino Linotype" w:eastAsia="Palatino Linotype" w:hAnsi="Palatino Linotype" w:cs="Palatino Linotype"/>
          <w:i/>
          <w:sz w:val="22"/>
          <w:szCs w:val="22"/>
        </w:rPr>
        <w:t xml:space="preserve"> Los Comités de Transparencia tendrán las siguientes atribuciones:</w:t>
      </w: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w:t>
      </w: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B94BFE">
        <w:rPr>
          <w:rFonts w:ascii="Palatino Linotype" w:eastAsia="Palatino Linotype" w:hAnsi="Palatino Linotype" w:cs="Palatino Linotype"/>
          <w:i/>
          <w:sz w:val="22"/>
          <w:szCs w:val="22"/>
          <w:u w:val="single"/>
        </w:rPr>
        <w:t xml:space="preserve">declaración de inexistencia </w:t>
      </w:r>
      <w:r w:rsidRPr="00B94BFE">
        <w:rPr>
          <w:rFonts w:ascii="Palatino Linotype" w:eastAsia="Palatino Linotype" w:hAnsi="Palatino Linotype" w:cs="Palatino Linotype"/>
          <w:i/>
          <w:sz w:val="22"/>
          <w:szCs w:val="22"/>
        </w:rPr>
        <w:t>o de incompetencia realicen los titulares de las áreas de los sujetos obligados;</w:t>
      </w: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w:t>
      </w:r>
    </w:p>
    <w:p w:rsidR="00B13DC9" w:rsidRPr="00B94BFE" w:rsidRDefault="00804EE6">
      <w:pPr>
        <w:ind w:left="567" w:right="567"/>
        <w:jc w:val="both"/>
        <w:rPr>
          <w:rFonts w:ascii="Palatino Linotype" w:eastAsia="Palatino Linotype" w:hAnsi="Palatino Linotype" w:cs="Palatino Linotype"/>
          <w:i/>
        </w:rPr>
      </w:pPr>
      <w:r w:rsidRPr="00B94BFE">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rsidR="00B13DC9" w:rsidRPr="00B94BFE" w:rsidRDefault="00B13DC9">
      <w:pPr>
        <w:spacing w:line="360" w:lineRule="auto"/>
        <w:jc w:val="both"/>
        <w:rPr>
          <w:rFonts w:ascii="Palatino Linotype" w:eastAsia="Palatino Linotype" w:hAnsi="Palatino Linotype" w:cs="Palatino Linotype"/>
          <w:i/>
        </w:rPr>
      </w:pPr>
    </w:p>
    <w:p w:rsidR="00B13DC9" w:rsidRPr="00B94BFE" w:rsidRDefault="00804EE6">
      <w:pPr>
        <w:spacing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B13DC9" w:rsidRPr="00B94BFE" w:rsidRDefault="00B13DC9">
      <w:pPr>
        <w:spacing w:line="360" w:lineRule="auto"/>
        <w:jc w:val="both"/>
        <w:rPr>
          <w:rFonts w:ascii="Palatino Linotype" w:eastAsia="Palatino Linotype" w:hAnsi="Palatino Linotype" w:cs="Palatino Linotype"/>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Artículo 169.</w:t>
      </w:r>
      <w:r w:rsidRPr="00B94BFE">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 Analizará el caso y tomará las medidas necesarias para localizar la información;</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II. Expedirá una resolución que confirme la inexistencia del documento;</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B94BFE">
        <w:rPr>
          <w:rFonts w:ascii="Palatino Linotype" w:eastAsia="Palatino Linotype" w:hAnsi="Palatino Linotype" w:cs="Palatino Linotype"/>
          <w:i/>
          <w:sz w:val="22"/>
          <w:szCs w:val="22"/>
        </w:rPr>
        <w:t>.</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B13DC9" w:rsidRPr="00B94BFE" w:rsidRDefault="00B13DC9">
      <w:pPr>
        <w:ind w:left="567" w:right="567"/>
        <w:jc w:val="both"/>
        <w:rPr>
          <w:rFonts w:ascii="Palatino Linotype" w:eastAsia="Palatino Linotype" w:hAnsi="Palatino Linotype" w:cs="Palatino Linotype"/>
          <w:i/>
          <w:sz w:val="22"/>
          <w:szCs w:val="22"/>
        </w:rPr>
      </w:pPr>
    </w:p>
    <w:p w:rsidR="00B13DC9" w:rsidRPr="00B94BFE" w:rsidRDefault="00804EE6">
      <w:pPr>
        <w:ind w:left="567" w:right="567"/>
        <w:jc w:val="both"/>
        <w:rPr>
          <w:rFonts w:ascii="Palatino Linotype" w:eastAsia="Palatino Linotype" w:hAnsi="Palatino Linotype" w:cs="Palatino Linotype"/>
          <w:i/>
          <w:sz w:val="22"/>
          <w:szCs w:val="22"/>
        </w:rPr>
      </w:pPr>
      <w:r w:rsidRPr="00B94BFE">
        <w:rPr>
          <w:rFonts w:ascii="Palatino Linotype" w:eastAsia="Palatino Linotype" w:hAnsi="Palatino Linotype" w:cs="Palatino Linotype"/>
          <w:b/>
          <w:i/>
          <w:sz w:val="22"/>
          <w:szCs w:val="22"/>
        </w:rPr>
        <w:t>Artículo 170.</w:t>
      </w:r>
      <w:r w:rsidRPr="00B94BFE">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B13DC9" w:rsidRPr="00B94BFE" w:rsidRDefault="00B13DC9">
      <w:pPr>
        <w:ind w:left="567" w:right="567"/>
        <w:jc w:val="both"/>
        <w:rPr>
          <w:rFonts w:ascii="Palatino Linotype" w:eastAsia="Palatino Linotype" w:hAnsi="Palatino Linotype" w:cs="Palatino Linotype"/>
        </w:rPr>
      </w:pPr>
    </w:p>
    <w:p w:rsidR="00B13DC9" w:rsidRPr="00B94BFE" w:rsidRDefault="00804EE6">
      <w:pPr>
        <w:spacing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B13DC9" w:rsidRPr="00B94BFE" w:rsidRDefault="00B13DC9">
      <w:pPr>
        <w:spacing w:line="360" w:lineRule="auto"/>
        <w:ind w:right="49"/>
        <w:jc w:val="both"/>
        <w:rPr>
          <w:rFonts w:ascii="Palatino Linotype" w:eastAsia="Palatino Linotype" w:hAnsi="Palatino Linotype" w:cs="Palatino Linotype"/>
        </w:rPr>
      </w:pPr>
    </w:p>
    <w:p w:rsidR="00B13DC9" w:rsidRPr="00B94BFE" w:rsidRDefault="00804EE6">
      <w:pPr>
        <w:spacing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En ese contexto, de conformidad con los </w:t>
      </w:r>
      <w:r w:rsidRPr="00B94BFE">
        <w:rPr>
          <w:rFonts w:ascii="Palatino Linotype" w:eastAsia="Palatino Linotype" w:hAnsi="Palatino Linotype" w:cs="Palatino Linotype"/>
          <w:b/>
        </w:rPr>
        <w:t>criterios 12/10 y 04/19</w:t>
      </w:r>
      <w:r w:rsidRPr="00B94BFE">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B13DC9" w:rsidRPr="00B94BFE" w:rsidRDefault="00B13DC9">
      <w:pPr>
        <w:spacing w:line="360" w:lineRule="auto"/>
        <w:jc w:val="both"/>
        <w:rPr>
          <w:rFonts w:ascii="Palatino Linotype" w:eastAsia="Palatino Linotype" w:hAnsi="Palatino Linotype" w:cs="Palatino Linotype"/>
        </w:rPr>
      </w:pPr>
    </w:p>
    <w:p w:rsidR="00B13DC9" w:rsidRPr="00B94BFE" w:rsidRDefault="00804EE6">
      <w:pPr>
        <w:numPr>
          <w:ilvl w:val="0"/>
          <w:numId w:val="8"/>
        </w:numPr>
        <w:spacing w:after="16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Motivación por las que se buscó la información, en determinadas unidades administrativas;</w:t>
      </w:r>
    </w:p>
    <w:p w:rsidR="00B13DC9" w:rsidRPr="00B94BFE" w:rsidRDefault="00804EE6">
      <w:pPr>
        <w:numPr>
          <w:ilvl w:val="0"/>
          <w:numId w:val="8"/>
        </w:numPr>
        <w:spacing w:after="16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Los criterios de búsqueda utilizados, y</w:t>
      </w:r>
    </w:p>
    <w:p w:rsidR="00B13DC9" w:rsidRPr="00B94BFE" w:rsidRDefault="00804EE6">
      <w:pPr>
        <w:numPr>
          <w:ilvl w:val="0"/>
          <w:numId w:val="8"/>
        </w:numPr>
        <w:spacing w:after="16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Las circunstancias que fueron tomadas en cuenta.</w:t>
      </w:r>
    </w:p>
    <w:p w:rsidR="00B13DC9" w:rsidRPr="00B94BFE" w:rsidRDefault="00B13DC9">
      <w:pPr>
        <w:pBdr>
          <w:top w:val="nil"/>
          <w:left w:val="nil"/>
          <w:bottom w:val="nil"/>
          <w:right w:val="nil"/>
          <w:between w:val="nil"/>
        </w:pBdr>
      </w:pPr>
    </w:p>
    <w:p w:rsidR="00B13DC9" w:rsidRPr="00B94BFE" w:rsidRDefault="00804EE6">
      <w:pPr>
        <w:spacing w:after="16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B13DC9" w:rsidRPr="00B94BFE" w:rsidRDefault="00804EE6">
      <w:pPr>
        <w:numPr>
          <w:ilvl w:val="0"/>
          <w:numId w:val="9"/>
        </w:numPr>
        <w:spacing w:after="16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Las áreas donde se buscó la información;</w:t>
      </w:r>
    </w:p>
    <w:p w:rsidR="00B13DC9" w:rsidRPr="00B94BFE" w:rsidRDefault="00804EE6">
      <w:pPr>
        <w:numPr>
          <w:ilvl w:val="0"/>
          <w:numId w:val="9"/>
        </w:numPr>
        <w:spacing w:after="16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Tipo de archivos buscados (físicos o electrónicos);</w:t>
      </w:r>
    </w:p>
    <w:p w:rsidR="00B13DC9" w:rsidRPr="00B94BFE" w:rsidRDefault="00804EE6">
      <w:pPr>
        <w:numPr>
          <w:ilvl w:val="0"/>
          <w:numId w:val="9"/>
        </w:numPr>
        <w:spacing w:after="16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Los criterios de búsqueda utilizados, y </w:t>
      </w:r>
    </w:p>
    <w:p w:rsidR="00B13DC9" w:rsidRPr="00B94BFE" w:rsidRDefault="00804EE6">
      <w:pPr>
        <w:numPr>
          <w:ilvl w:val="0"/>
          <w:numId w:val="9"/>
        </w:numPr>
        <w:spacing w:after="16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Las circunstancias que fueron tomadas en cuenta.</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En este sentido del análisis realizado al Acuerdo de Inexistencia remitidos se pudo observar que 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sí señala la información solicitada, inserta la notificación al órgano interno de control o su equivalente del Sujeto Obligado, quien en su caso, deberá iniciar el procedimiento de responsabilidad administrativa que corresponda, cita el fundamento legal, si señala la motivación para declarar la inexistencia de la información, por lo que consecuentemente, si cumplió a cabalidad con las formalidades exigidas,  particularmente respecto a lo señalado en la fracción III del artículo 169 de la Ley de Transparencia.</w:t>
      </w:r>
    </w:p>
    <w:p w:rsidR="00B13DC9" w:rsidRPr="00B94BFE" w:rsidRDefault="00804EE6">
      <w:pPr>
        <w:spacing w:before="240" w:after="240" w:line="360" w:lineRule="auto"/>
        <w:ind w:right="49"/>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Ahora bien, no pasa desapercibido para este organismo garante que en su respuesta el Titular de la Oficialía Mediadora, Conciliadora y Calificadora, señaló que respecto de las faltas administrativas generadas del periodo comprendido de 2010 a 2021, se solicitó el apoyo a la titular del Archivo Municipal, quien manifestó la inexistencia de registro alguno, por lo tanto, se advierte que se pronunciaron los servidores públicos habilitados competentes. </w:t>
      </w:r>
    </w:p>
    <w:p w:rsidR="00B13DC9" w:rsidRPr="00B94BFE" w:rsidRDefault="00804EE6">
      <w:pPr>
        <w:spacing w:before="240" w:after="240" w:line="360" w:lineRule="auto"/>
        <w:ind w:right="49"/>
        <w:jc w:val="both"/>
        <w:rPr>
          <w:rFonts w:ascii="Palatino Linotype" w:eastAsia="Palatino Linotype" w:hAnsi="Palatino Linotype" w:cs="Palatino Linotype"/>
        </w:rPr>
      </w:pPr>
      <w:bookmarkStart w:id="3" w:name="_heading=h.tyjcwt" w:colFirst="0" w:colLast="0"/>
      <w:bookmarkEnd w:id="3"/>
      <w:r w:rsidRPr="00B94BFE">
        <w:rPr>
          <w:rFonts w:ascii="Palatino Linotype" w:eastAsia="Palatino Linotype" w:hAnsi="Palatino Linotype" w:cs="Palatino Linotype"/>
        </w:rPr>
        <w:t xml:space="preserve">Asimismo, de la revisión practicada por este organismo garante al marco normativo aplicable, no se advierte fuente obligacional que constriña al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a generar estadísticas respecto de las faltas administrativas, por lo tanto, resulta materialmente imposible ordenar esta información y, en consecuencia, se tiene por atendido este punto.</w:t>
      </w:r>
    </w:p>
    <w:p w:rsidR="00B13DC9" w:rsidRPr="00B94BFE" w:rsidRDefault="00804EE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rPr>
        <w:t xml:space="preserve">Es por todo lo anteriormente expuesto que se estima procedente </w:t>
      </w:r>
      <w:r w:rsidRPr="00B94BFE">
        <w:rPr>
          <w:rFonts w:ascii="Palatino Linotype" w:eastAsia="Palatino Linotype" w:hAnsi="Palatino Linotype" w:cs="Palatino Linotype"/>
          <w:b/>
        </w:rPr>
        <w:t>MODIFICAR </w:t>
      </w:r>
      <w:r w:rsidRPr="00B94BFE">
        <w:rPr>
          <w:rFonts w:ascii="Palatino Linotype" w:eastAsia="Palatino Linotype" w:hAnsi="Palatino Linotype" w:cs="Palatino Linotype"/>
        </w:rPr>
        <w:t xml:space="preserve">la respuesta del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de conformidad con lo establecido en el artículo 186 fracción III de la Ley de Transparencia y Acceso a la Información Pública del Estado de México y Municipios, a fin de que se ponga a disposición de la particular, la documentación requerida, 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B13DC9" w:rsidRPr="00B94BFE" w:rsidRDefault="00804EE6">
      <w:pPr>
        <w:numPr>
          <w:ilvl w:val="0"/>
          <w:numId w:val="1"/>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B94BFE">
        <w:rPr>
          <w:rFonts w:ascii="Palatino Linotype" w:eastAsia="Palatino Linotype" w:hAnsi="Palatino Linotype" w:cs="Palatino Linotype"/>
          <w:b/>
        </w:rPr>
        <w:t>R E S U E L V E:</w:t>
      </w:r>
    </w:p>
    <w:p w:rsidR="00B13DC9" w:rsidRPr="00B94BFE" w:rsidRDefault="00804EE6">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B94BFE">
        <w:rPr>
          <w:rFonts w:ascii="Palatino Linotype" w:eastAsia="Palatino Linotype" w:hAnsi="Palatino Linotype" w:cs="Palatino Linotype"/>
          <w:b/>
        </w:rPr>
        <w:t xml:space="preserve">Primero. </w:t>
      </w:r>
      <w:r w:rsidRPr="00B94BFE">
        <w:rPr>
          <w:rFonts w:ascii="Palatino Linotype" w:eastAsia="Palatino Linotype" w:hAnsi="Palatino Linotype" w:cs="Palatino Linotype"/>
        </w:rPr>
        <w:t xml:space="preserve">Resultan </w:t>
      </w:r>
      <w:r w:rsidRPr="00B94BFE">
        <w:rPr>
          <w:rFonts w:ascii="Palatino Linotype" w:eastAsia="Palatino Linotype" w:hAnsi="Palatino Linotype" w:cs="Palatino Linotype"/>
          <w:b/>
        </w:rPr>
        <w:t>parcialmente fundadas</w:t>
      </w:r>
      <w:r w:rsidRPr="00B94BFE">
        <w:rPr>
          <w:rFonts w:ascii="Palatino Linotype" w:eastAsia="Palatino Linotype" w:hAnsi="Palatino Linotype" w:cs="Palatino Linotype"/>
        </w:rPr>
        <w:t xml:space="preserve"> las razones o motivos de inconformidad hechos valer por el </w:t>
      </w:r>
      <w:r w:rsidRPr="00B94BFE">
        <w:rPr>
          <w:rFonts w:ascii="Palatino Linotype" w:eastAsia="Palatino Linotype" w:hAnsi="Palatino Linotype" w:cs="Palatino Linotype"/>
          <w:b/>
        </w:rPr>
        <w:t>Recurrente</w:t>
      </w:r>
      <w:r w:rsidRPr="00B94BFE">
        <w:rPr>
          <w:rFonts w:ascii="Palatino Linotype" w:eastAsia="Palatino Linotype" w:hAnsi="Palatino Linotype" w:cs="Palatino Linotype"/>
        </w:rPr>
        <w:t xml:space="preserve"> en el recurso de revisión </w:t>
      </w:r>
      <w:r w:rsidRPr="00B94BFE">
        <w:rPr>
          <w:rFonts w:ascii="Palatino Linotype" w:eastAsia="Palatino Linotype" w:hAnsi="Palatino Linotype" w:cs="Palatino Linotype"/>
          <w:b/>
        </w:rPr>
        <w:t>11964/INFOEM/IP/RR/2022</w:t>
      </w:r>
      <w:r w:rsidRPr="00B94BFE">
        <w:rPr>
          <w:rFonts w:ascii="Palatino Linotype" w:eastAsia="Palatino Linotype" w:hAnsi="Palatino Linotype" w:cs="Palatino Linotype"/>
        </w:rPr>
        <w:t xml:space="preserve">; por lo que, en términos del </w:t>
      </w:r>
      <w:r w:rsidRPr="00B94BFE">
        <w:rPr>
          <w:rFonts w:ascii="Palatino Linotype" w:eastAsia="Palatino Linotype" w:hAnsi="Palatino Linotype" w:cs="Palatino Linotype"/>
          <w:b/>
        </w:rPr>
        <w:t>Considerando</w:t>
      </w:r>
      <w:r w:rsidRPr="00B94BFE">
        <w:rPr>
          <w:rFonts w:ascii="Palatino Linotype" w:eastAsia="Palatino Linotype" w:hAnsi="Palatino Linotype" w:cs="Palatino Linotype"/>
        </w:rPr>
        <w:t xml:space="preserve"> </w:t>
      </w:r>
      <w:r w:rsidRPr="00B94BFE">
        <w:rPr>
          <w:rFonts w:ascii="Palatino Linotype" w:eastAsia="Palatino Linotype" w:hAnsi="Palatino Linotype" w:cs="Palatino Linotype"/>
          <w:b/>
        </w:rPr>
        <w:t xml:space="preserve">Cuarto </w:t>
      </w:r>
      <w:r w:rsidRPr="00B94BFE">
        <w:rPr>
          <w:rFonts w:ascii="Palatino Linotype" w:eastAsia="Palatino Linotype" w:hAnsi="Palatino Linotype" w:cs="Palatino Linotype"/>
        </w:rPr>
        <w:t xml:space="preserve">de esta resolución, se </w:t>
      </w:r>
      <w:r w:rsidRPr="00B94BFE">
        <w:rPr>
          <w:rFonts w:ascii="Palatino Linotype" w:eastAsia="Palatino Linotype" w:hAnsi="Palatino Linotype" w:cs="Palatino Linotype"/>
          <w:b/>
        </w:rPr>
        <w:t xml:space="preserve">MODIFICA </w:t>
      </w:r>
      <w:r w:rsidRPr="00B94BFE">
        <w:rPr>
          <w:rFonts w:ascii="Palatino Linotype" w:eastAsia="Palatino Linotype" w:hAnsi="Palatino Linotype" w:cs="Palatino Linotype"/>
        </w:rPr>
        <w:t xml:space="preserve">la respuesta emitida por el </w:t>
      </w:r>
      <w:r w:rsidRPr="00B94BFE">
        <w:rPr>
          <w:rFonts w:ascii="Palatino Linotype" w:eastAsia="Palatino Linotype" w:hAnsi="Palatino Linotype" w:cs="Palatino Linotype"/>
          <w:b/>
        </w:rPr>
        <w:t xml:space="preserve">Sujeto Obligado. </w:t>
      </w:r>
    </w:p>
    <w:p w:rsidR="00B13DC9" w:rsidRPr="00B94BFE" w:rsidRDefault="00804EE6">
      <w:pPr>
        <w:spacing w:before="240" w:after="240" w:line="360" w:lineRule="auto"/>
        <w:ind w:right="49"/>
        <w:jc w:val="both"/>
        <w:rPr>
          <w:rFonts w:ascii="Palatino Linotype" w:eastAsia="Palatino Linotype" w:hAnsi="Palatino Linotype" w:cs="Palatino Linotype"/>
          <w:b/>
        </w:rPr>
      </w:pPr>
      <w:bookmarkStart w:id="5" w:name="_heading=h.1fob9te" w:colFirst="0" w:colLast="0"/>
      <w:bookmarkEnd w:id="5"/>
      <w:r w:rsidRPr="00B94BFE">
        <w:rPr>
          <w:rFonts w:ascii="Palatino Linotype" w:eastAsia="Palatino Linotype" w:hAnsi="Palatino Linotype" w:cs="Palatino Linotype"/>
          <w:b/>
        </w:rPr>
        <w:t xml:space="preserve">Segundo. </w:t>
      </w:r>
      <w:r w:rsidRPr="00B94BFE">
        <w:rPr>
          <w:rFonts w:ascii="Palatino Linotype" w:eastAsia="Palatino Linotype" w:hAnsi="Palatino Linotype" w:cs="Palatino Linotype"/>
        </w:rPr>
        <w:t xml:space="preserve">Se </w:t>
      </w:r>
      <w:r w:rsidRPr="00B94BFE">
        <w:rPr>
          <w:rFonts w:ascii="Palatino Linotype" w:eastAsia="Palatino Linotype" w:hAnsi="Palatino Linotype" w:cs="Palatino Linotype"/>
          <w:b/>
        </w:rPr>
        <w:t xml:space="preserve">Ordena </w:t>
      </w:r>
      <w:r w:rsidRPr="00B94BFE">
        <w:rPr>
          <w:rFonts w:ascii="Palatino Linotype" w:eastAsia="Palatino Linotype" w:hAnsi="Palatino Linotype" w:cs="Palatino Linotype"/>
        </w:rPr>
        <w:t xml:space="preserve">al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haga entrega a</w:t>
      </w:r>
      <w:r w:rsidRPr="00B94BFE">
        <w:rPr>
          <w:rFonts w:ascii="Palatino Linotype" w:eastAsia="Palatino Linotype" w:hAnsi="Palatino Linotype" w:cs="Palatino Linotype"/>
          <w:b/>
        </w:rPr>
        <w:t>l Recurrente</w:t>
      </w:r>
      <w:r w:rsidRPr="00B94BFE">
        <w:rPr>
          <w:rFonts w:ascii="Palatino Linotype" w:eastAsia="Palatino Linotype" w:hAnsi="Palatino Linotype" w:cs="Palatino Linotype"/>
        </w:rPr>
        <w:t xml:space="preserve"> vía </w:t>
      </w:r>
      <w:r w:rsidRPr="00B94BFE">
        <w:rPr>
          <w:rFonts w:ascii="Palatino Linotype" w:eastAsia="Palatino Linotype" w:hAnsi="Palatino Linotype" w:cs="Palatino Linotype"/>
          <w:b/>
        </w:rPr>
        <w:t xml:space="preserve">SAIMEX y correo electrónico, </w:t>
      </w:r>
      <w:r w:rsidRPr="00B94BFE">
        <w:rPr>
          <w:rFonts w:ascii="Palatino Linotype" w:eastAsia="Palatino Linotype" w:hAnsi="Palatino Linotype" w:cs="Palatino Linotype"/>
        </w:rPr>
        <w:t xml:space="preserve">en términos del </w:t>
      </w:r>
      <w:r w:rsidRPr="00B94BFE">
        <w:rPr>
          <w:rFonts w:ascii="Palatino Linotype" w:eastAsia="Palatino Linotype" w:hAnsi="Palatino Linotype" w:cs="Palatino Linotype"/>
          <w:b/>
        </w:rPr>
        <w:t>Considerando</w:t>
      </w:r>
      <w:r w:rsidRPr="00B94BFE">
        <w:rPr>
          <w:rFonts w:ascii="Palatino Linotype" w:eastAsia="Palatino Linotype" w:hAnsi="Palatino Linotype" w:cs="Palatino Linotype"/>
        </w:rPr>
        <w:t xml:space="preserve"> </w:t>
      </w:r>
      <w:r w:rsidRPr="00B94BFE">
        <w:rPr>
          <w:rFonts w:ascii="Palatino Linotype" w:eastAsia="Palatino Linotype" w:hAnsi="Palatino Linotype" w:cs="Palatino Linotype"/>
          <w:b/>
        </w:rPr>
        <w:t xml:space="preserve">Cuarto de la presente resolución, de lo siguiente: </w:t>
      </w:r>
    </w:p>
    <w:p w:rsidR="00B13DC9" w:rsidRPr="00B94BFE" w:rsidRDefault="00804EE6">
      <w:pPr>
        <w:numPr>
          <w:ilvl w:val="0"/>
          <w:numId w:val="3"/>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sz w:val="22"/>
          <w:szCs w:val="22"/>
        </w:rPr>
      </w:pPr>
      <w:r w:rsidRPr="00B94BFE">
        <w:rPr>
          <w:rFonts w:ascii="Palatino Linotype" w:eastAsia="Palatino Linotype" w:hAnsi="Palatino Linotype" w:cs="Palatino Linotype"/>
          <w:b/>
          <w:i/>
          <w:sz w:val="22"/>
          <w:szCs w:val="22"/>
        </w:rPr>
        <w:t>Acuerdo del Comité de Transparencia que clasifique en su totalidad como confidencial, de manera fundada y motivada, las coordenadas geográficas referidas en informe justificado.</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Tercero</w:t>
      </w:r>
      <w:r w:rsidRPr="00B94BFE">
        <w:rPr>
          <w:rFonts w:ascii="Palatino Linotype" w:eastAsia="Palatino Linotype" w:hAnsi="Palatino Linotype" w:cs="Palatino Linotype"/>
          <w:b/>
          <w:sz w:val="28"/>
          <w:szCs w:val="28"/>
        </w:rPr>
        <w:t xml:space="preserve">.  </w:t>
      </w:r>
      <w:r w:rsidRPr="00B94BFE">
        <w:rPr>
          <w:rFonts w:ascii="Palatino Linotype" w:eastAsia="Palatino Linotype" w:hAnsi="Palatino Linotype" w:cs="Palatino Linotype"/>
          <w:b/>
        </w:rPr>
        <w:t>Notifíquese vía SAIMEX,</w:t>
      </w:r>
      <w:r w:rsidRPr="00B94BFE">
        <w:rPr>
          <w:rFonts w:ascii="Palatino Linotype" w:eastAsia="Palatino Linotype" w:hAnsi="Palatino Linotype" w:cs="Palatino Linotype"/>
          <w:b/>
          <w:sz w:val="28"/>
          <w:szCs w:val="28"/>
        </w:rPr>
        <w:t xml:space="preserve"> </w:t>
      </w:r>
      <w:r w:rsidRPr="00B94BFE">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Cuarto</w:t>
      </w:r>
      <w:r w:rsidRPr="00B94BFE">
        <w:rPr>
          <w:rFonts w:ascii="Palatino Linotype" w:eastAsia="Palatino Linotype" w:hAnsi="Palatino Linotype" w:cs="Palatino Linotype"/>
          <w:b/>
          <w:sz w:val="28"/>
          <w:szCs w:val="28"/>
        </w:rPr>
        <w:t xml:space="preserve">. </w:t>
      </w:r>
      <w:r w:rsidRPr="00B94BF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94BFE">
        <w:rPr>
          <w:rFonts w:ascii="Palatino Linotype" w:eastAsia="Palatino Linotype" w:hAnsi="Palatino Linotype" w:cs="Palatino Linotype"/>
          <w:b/>
        </w:rPr>
        <w:t>Sujeto Obligado</w:t>
      </w:r>
      <w:r w:rsidRPr="00B94BFE">
        <w:rPr>
          <w:rFonts w:ascii="Palatino Linotype" w:eastAsia="Palatino Linotype" w:hAnsi="Palatino Linotype" w:cs="Palatino Linotype"/>
        </w:rPr>
        <w:t xml:space="preserve"> de manera fundada y motivada, podrá solicitar una ampliación de plazo para el cumplimiento de la presente resolución.</w:t>
      </w:r>
    </w:p>
    <w:p w:rsidR="00B13DC9" w:rsidRPr="00B94BFE" w:rsidRDefault="00804EE6">
      <w:pPr>
        <w:spacing w:before="240" w:after="240" w:line="360" w:lineRule="auto"/>
        <w:jc w:val="both"/>
        <w:rPr>
          <w:rFonts w:ascii="Palatino Linotype" w:eastAsia="Palatino Linotype" w:hAnsi="Palatino Linotype" w:cs="Palatino Linotype"/>
        </w:rPr>
      </w:pPr>
      <w:r w:rsidRPr="00B94BFE">
        <w:rPr>
          <w:rFonts w:ascii="Palatino Linotype" w:eastAsia="Palatino Linotype" w:hAnsi="Palatino Linotype" w:cs="Palatino Linotype"/>
          <w:b/>
        </w:rPr>
        <w:t xml:space="preserve">Quinto. Notifíquese vía SAIMEX y correo electrónico, </w:t>
      </w:r>
      <w:r w:rsidRPr="00B94BFE">
        <w:rPr>
          <w:rFonts w:ascii="Palatino Linotype" w:eastAsia="Palatino Linotype" w:hAnsi="Palatino Linotype" w:cs="Palatino Linotype"/>
        </w:rPr>
        <w:t>a</w:t>
      </w:r>
      <w:r w:rsidRPr="00B94BFE">
        <w:rPr>
          <w:rFonts w:ascii="Palatino Linotype" w:eastAsia="Palatino Linotype" w:hAnsi="Palatino Linotype" w:cs="Palatino Linotype"/>
          <w:b/>
        </w:rPr>
        <w:t>l Recurrente</w:t>
      </w:r>
      <w:r w:rsidRPr="00B94BF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rsidR="00B13DC9" w:rsidRPr="00B94BFE" w:rsidRDefault="00804EE6">
      <w:pPr>
        <w:spacing w:before="240" w:after="240" w:line="360" w:lineRule="auto"/>
        <w:jc w:val="both"/>
        <w:rPr>
          <w:rFonts w:ascii="Palatino Linotype" w:eastAsia="Palatino Linotype" w:hAnsi="Palatino Linotype" w:cs="Palatino Linotype"/>
          <w:sz w:val="20"/>
          <w:szCs w:val="20"/>
        </w:rPr>
        <w:sectPr w:rsidR="00B13DC9" w:rsidRPr="00B94BFE">
          <w:headerReference w:type="default" r:id="rId36"/>
          <w:footerReference w:type="default" r:id="rId37"/>
          <w:headerReference w:type="first" r:id="rId38"/>
          <w:footerReference w:type="first" r:id="rId39"/>
          <w:pgSz w:w="12240" w:h="15840"/>
          <w:pgMar w:top="1985" w:right="1701" w:bottom="1701" w:left="1701" w:header="709" w:footer="709" w:gutter="0"/>
          <w:pgNumType w:start="1"/>
          <w:cols w:space="720"/>
          <w:titlePg/>
        </w:sectPr>
      </w:pPr>
      <w:r w:rsidRPr="00B94BFE">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24764</wp:posOffset>
                </wp:positionH>
                <wp:positionV relativeFrom="paragraph">
                  <wp:posOffset>2656204</wp:posOffset>
                </wp:positionV>
                <wp:extent cx="5305425" cy="5229225"/>
                <wp:effectExtent l="38100" t="19050" r="66675" b="85725"/>
                <wp:wrapNone/>
                <wp:docPr id="1" name="Conector recto 1"/>
                <wp:cNvGraphicFramePr/>
                <a:graphic xmlns:a="http://schemas.openxmlformats.org/drawingml/2006/main">
                  <a:graphicData uri="http://schemas.microsoft.com/office/word/2010/wordprocessingShape">
                    <wps:wsp>
                      <wps:cNvCnPr/>
                      <wps:spPr>
                        <a:xfrm>
                          <a:off x="0" y="0"/>
                          <a:ext cx="5305425" cy="5229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7A5341"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209.15pt" to="419.7pt,6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" strokecolor="black [3200]" strokeweight="2pt">
                <v:shadow on="t" color="black" opacity="24903f" origin=",.5" offset="0,.55556mm"/>
              </v:line>
            </w:pict>
          </mc:Fallback>
        </mc:AlternateContent>
      </w:r>
      <w:r w:rsidRPr="00B94BF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DE NOVIEMBRE DE DOS MIL VEINTIDÓS, ANTE EL SECRETARIO TÉCNICO DEL PLENO, ALEXIS TAPIA RAMÍREZ.</w:t>
      </w:r>
    </w:p>
    <w:p w:rsidR="00B13DC9" w:rsidRPr="00B94BFE" w:rsidRDefault="00B13DC9">
      <w:pPr>
        <w:spacing w:before="240" w:after="240" w:line="360" w:lineRule="auto"/>
        <w:jc w:val="both"/>
        <w:rPr>
          <w:rFonts w:ascii="Palatino Linotype" w:eastAsia="Palatino Linotype" w:hAnsi="Palatino Linotype" w:cs="Palatino Linotype"/>
          <w:sz w:val="20"/>
          <w:szCs w:val="20"/>
        </w:rPr>
      </w:pPr>
    </w:p>
    <w:p w:rsidR="00B13DC9" w:rsidRPr="00B94BFE" w:rsidRDefault="00B13DC9">
      <w:pPr>
        <w:spacing w:before="240" w:after="240" w:line="360" w:lineRule="auto"/>
        <w:jc w:val="both"/>
        <w:rPr>
          <w:rFonts w:ascii="Palatino Linotype" w:eastAsia="Palatino Linotype" w:hAnsi="Palatino Linotype" w:cs="Palatino Linotype"/>
          <w:sz w:val="20"/>
          <w:szCs w:val="20"/>
        </w:rPr>
      </w:pPr>
    </w:p>
    <w:p w:rsidR="00B13DC9" w:rsidRPr="00B94BFE" w:rsidRDefault="00B13DC9">
      <w:pPr>
        <w:spacing w:before="240" w:after="240" w:line="360" w:lineRule="auto"/>
        <w:jc w:val="both"/>
        <w:rPr>
          <w:rFonts w:ascii="Palatino Linotype" w:eastAsia="Palatino Linotype" w:hAnsi="Palatino Linotype" w:cs="Palatino Linotype"/>
          <w:sz w:val="20"/>
          <w:szCs w:val="20"/>
        </w:rPr>
      </w:pPr>
    </w:p>
    <w:p w:rsidR="00B13DC9" w:rsidRPr="00B94BFE" w:rsidRDefault="00B13DC9">
      <w:pPr>
        <w:spacing w:before="240" w:after="240" w:line="360" w:lineRule="auto"/>
        <w:jc w:val="both"/>
        <w:rPr>
          <w:rFonts w:ascii="Palatino Linotype" w:eastAsia="Palatino Linotype" w:hAnsi="Palatino Linotype" w:cs="Palatino Linotype"/>
          <w:sz w:val="20"/>
          <w:szCs w:val="20"/>
        </w:rPr>
      </w:pPr>
    </w:p>
    <w:p w:rsidR="00B13DC9" w:rsidRPr="00B94BFE" w:rsidRDefault="00B13DC9">
      <w:pPr>
        <w:spacing w:before="240" w:after="240" w:line="360" w:lineRule="auto"/>
        <w:jc w:val="both"/>
        <w:rPr>
          <w:rFonts w:ascii="Palatino Linotype" w:eastAsia="Palatino Linotype" w:hAnsi="Palatino Linotype" w:cs="Palatino Linotype"/>
          <w:sz w:val="20"/>
          <w:szCs w:val="20"/>
        </w:rPr>
      </w:pPr>
    </w:p>
    <w:p w:rsidR="00B13DC9" w:rsidRPr="00B94BFE" w:rsidRDefault="00B13DC9">
      <w:pPr>
        <w:spacing w:before="240" w:after="240" w:line="360" w:lineRule="auto"/>
        <w:jc w:val="both"/>
        <w:rPr>
          <w:rFonts w:ascii="Palatino Linotype" w:eastAsia="Palatino Linotype" w:hAnsi="Palatino Linotype" w:cs="Palatino Linotype"/>
          <w:sz w:val="20"/>
          <w:szCs w:val="20"/>
        </w:rPr>
      </w:pPr>
    </w:p>
    <w:p w:rsidR="00B13DC9" w:rsidRPr="00B94BFE" w:rsidRDefault="00B13DC9">
      <w:pPr>
        <w:spacing w:before="240" w:after="240" w:line="360" w:lineRule="auto"/>
        <w:jc w:val="both"/>
        <w:rPr>
          <w:rFonts w:ascii="Palatino Linotype" w:eastAsia="Palatino Linotype" w:hAnsi="Palatino Linotype" w:cs="Palatino Linotype"/>
          <w:sz w:val="20"/>
          <w:szCs w:val="20"/>
        </w:rPr>
      </w:pPr>
    </w:p>
    <w:p w:rsidR="00B13DC9" w:rsidRPr="00B94BFE" w:rsidRDefault="00B13DC9">
      <w:pPr>
        <w:spacing w:before="240" w:after="240" w:line="360" w:lineRule="auto"/>
        <w:jc w:val="both"/>
        <w:rPr>
          <w:rFonts w:ascii="Palatino Linotype" w:eastAsia="Palatino Linotype" w:hAnsi="Palatino Linotype" w:cs="Palatino Linotype"/>
          <w:sz w:val="20"/>
          <w:szCs w:val="20"/>
        </w:rPr>
      </w:pPr>
    </w:p>
    <w:sectPr w:rsidR="00B13DC9" w:rsidRPr="00B94BFE">
      <w:headerReference w:type="first" r:id="rId4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0EC" w:rsidRDefault="008C00EC">
      <w:r>
        <w:separator/>
      </w:r>
    </w:p>
  </w:endnote>
  <w:endnote w:type="continuationSeparator" w:id="0">
    <w:p w:rsidR="008C00EC" w:rsidRDefault="008C0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altName w:val="Arial"/>
    <w:charset w:val="00"/>
    <w:family w:val="swiss"/>
    <w:pitch w:val="variable"/>
    <w:sig w:usb0="00000001" w:usb1="400078F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EC" w:rsidRDefault="008C00E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C76DF">
      <w:rPr>
        <w:rFonts w:ascii="Palatino Linotype" w:eastAsia="Palatino Linotype" w:hAnsi="Palatino Linotype" w:cs="Palatino Linotype"/>
        <w:b/>
        <w:noProof/>
        <w:color w:val="000000"/>
        <w:sz w:val="20"/>
        <w:szCs w:val="20"/>
      </w:rPr>
      <w:t>72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C76DF">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p>
  <w:p w:rsidR="008C00EC" w:rsidRDefault="008C00E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EC" w:rsidRDefault="008C00E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C76D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C76DF">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p>
  <w:p w:rsidR="008C00EC" w:rsidRDefault="008C00E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0EC" w:rsidRDefault="008C00EC">
      <w:r>
        <w:separator/>
      </w:r>
    </w:p>
  </w:footnote>
  <w:footnote w:type="continuationSeparator" w:id="0">
    <w:p w:rsidR="008C00EC" w:rsidRDefault="008C00EC">
      <w:r>
        <w:continuationSeparator/>
      </w:r>
    </w:p>
  </w:footnote>
  <w:footnote w:id="1">
    <w:p w:rsidR="008C00EC" w:rsidRDefault="008C00EC">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20"/>
          <w:szCs w:val="20"/>
        </w:rPr>
        <w:t>Consultable en: http://fiscaltransparency.net/documents/01-Que_son_los_datos_abiertos.pdf</w:t>
      </w:r>
    </w:p>
    <w:p w:rsidR="008C00EC" w:rsidRDefault="008C00EC">
      <w:pPr>
        <w:pBdr>
          <w:top w:val="nil"/>
          <w:left w:val="nil"/>
          <w:bottom w:val="nil"/>
          <w:right w:val="nil"/>
          <w:between w:val="nil"/>
        </w:pBdr>
        <w:rPr>
          <w:rFonts w:ascii="Cambria" w:eastAsia="Cambria" w:hAnsi="Cambria" w:cs="Cambria"/>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EC" w:rsidRDefault="008C00EC">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-1080131</wp:posOffset>
          </wp:positionH>
          <wp:positionV relativeFrom="paragraph">
            <wp:posOffset>-396398</wp:posOffset>
          </wp:positionV>
          <wp:extent cx="7809865" cy="10165715"/>
          <wp:effectExtent l="0" t="0" r="0" b="0"/>
          <wp:wrapNone/>
          <wp:docPr id="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8C00EC">
      <w:tc>
        <w:tcPr>
          <w:tcW w:w="2489" w:type="dxa"/>
          <w:shd w:val="clear" w:color="auto" w:fill="auto"/>
        </w:tcPr>
        <w:p w:rsidR="008C00EC" w:rsidRDefault="008C00E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8C00EC" w:rsidRDefault="008C00EC">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11964/INFOEM/IP/RR/2022</w:t>
          </w:r>
        </w:p>
      </w:tc>
    </w:tr>
    <w:tr w:rsidR="008C00EC">
      <w:trPr>
        <w:trHeight w:val="228"/>
      </w:trPr>
      <w:tc>
        <w:tcPr>
          <w:tcW w:w="2489" w:type="dxa"/>
          <w:shd w:val="clear" w:color="auto" w:fill="auto"/>
          <w:vAlign w:val="center"/>
        </w:tcPr>
        <w:p w:rsidR="008C00EC" w:rsidRDefault="008C00E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8C00EC" w:rsidRDefault="008C00EC">
          <w:pPr>
            <w:ind w:left="-45"/>
            <w:jc w:val="both"/>
            <w:rPr>
              <w:rFonts w:ascii="Palatino Linotype" w:eastAsia="Palatino Linotype" w:hAnsi="Palatino Linotype" w:cs="Palatino Linotype"/>
              <w:b/>
            </w:rPr>
          </w:pPr>
          <w:r>
            <w:rPr>
              <w:rFonts w:ascii="Palatino Linotype" w:eastAsia="Palatino Linotype" w:hAnsi="Palatino Linotype" w:cs="Palatino Linotype"/>
              <w:b/>
            </w:rPr>
            <w:t>Ayuntamiento de Coyotepec</w:t>
          </w:r>
        </w:p>
      </w:tc>
    </w:tr>
    <w:tr w:rsidR="008C00EC">
      <w:tc>
        <w:tcPr>
          <w:tcW w:w="2489" w:type="dxa"/>
          <w:shd w:val="clear" w:color="auto" w:fill="auto"/>
          <w:vAlign w:val="center"/>
        </w:tcPr>
        <w:p w:rsidR="008C00EC" w:rsidRDefault="008C00EC">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8C00EC" w:rsidRDefault="008C00EC">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8C00EC" w:rsidRDefault="008C00E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EC" w:rsidRDefault="008C00E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a"/>
      <w:tblW w:w="5953" w:type="dxa"/>
      <w:tblInd w:w="3261" w:type="dxa"/>
      <w:tblLayout w:type="fixed"/>
      <w:tblLook w:val="0400" w:firstRow="0" w:lastRow="0" w:firstColumn="0" w:lastColumn="0" w:noHBand="0" w:noVBand="1"/>
    </w:tblPr>
    <w:tblGrid>
      <w:gridCol w:w="2551"/>
      <w:gridCol w:w="3402"/>
    </w:tblGrid>
    <w:tr w:rsidR="008C00EC">
      <w:tc>
        <w:tcPr>
          <w:tcW w:w="2551" w:type="dxa"/>
          <w:shd w:val="clear" w:color="auto" w:fill="auto"/>
          <w:vAlign w:val="center"/>
        </w:tcPr>
        <w:p w:rsidR="008C00EC" w:rsidRDefault="008C00E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8C00EC" w:rsidRDefault="008C00EC">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11964/INFOEM/IP/RR/2022</w:t>
          </w:r>
        </w:p>
      </w:tc>
    </w:tr>
    <w:tr w:rsidR="008C00EC">
      <w:trPr>
        <w:trHeight w:val="130"/>
      </w:trPr>
      <w:tc>
        <w:tcPr>
          <w:tcW w:w="2551" w:type="dxa"/>
          <w:shd w:val="clear" w:color="auto" w:fill="auto"/>
          <w:vAlign w:val="center"/>
        </w:tcPr>
        <w:p w:rsidR="008C00EC" w:rsidRDefault="008C00EC">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8C00EC" w:rsidRDefault="008C00EC" w:rsidP="008C00EC">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 XXXX XXXXXX</w:t>
          </w:r>
        </w:p>
      </w:tc>
    </w:tr>
    <w:tr w:rsidR="008C00EC">
      <w:trPr>
        <w:trHeight w:val="228"/>
      </w:trPr>
      <w:tc>
        <w:tcPr>
          <w:tcW w:w="2551" w:type="dxa"/>
          <w:shd w:val="clear" w:color="auto" w:fill="auto"/>
          <w:vAlign w:val="center"/>
        </w:tcPr>
        <w:p w:rsidR="008C00EC" w:rsidRDefault="008C00E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8C00EC" w:rsidRDefault="008C00EC">
          <w:pPr>
            <w:ind w:left="-45"/>
            <w:jc w:val="both"/>
            <w:rPr>
              <w:rFonts w:ascii="Palatino Linotype" w:eastAsia="Palatino Linotype" w:hAnsi="Palatino Linotype" w:cs="Palatino Linotype"/>
              <w:b/>
            </w:rPr>
          </w:pPr>
          <w:r>
            <w:rPr>
              <w:rFonts w:ascii="Palatino Linotype" w:eastAsia="Palatino Linotype" w:hAnsi="Palatino Linotype" w:cs="Palatino Linotype"/>
              <w:b/>
            </w:rPr>
            <w:t>Ayuntamiento de Coyotepec</w:t>
          </w:r>
        </w:p>
      </w:tc>
    </w:tr>
    <w:tr w:rsidR="008C00EC">
      <w:tc>
        <w:tcPr>
          <w:tcW w:w="2551" w:type="dxa"/>
          <w:shd w:val="clear" w:color="auto" w:fill="auto"/>
          <w:vAlign w:val="center"/>
        </w:tcPr>
        <w:p w:rsidR="008C00EC" w:rsidRDefault="008C00EC">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8C00EC" w:rsidRDefault="008C00EC">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8C00EC" w:rsidRDefault="008C00EC">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-1175381</wp:posOffset>
          </wp:positionH>
          <wp:positionV relativeFrom="paragraph">
            <wp:posOffset>-1325241</wp:posOffset>
          </wp:positionV>
          <wp:extent cx="7809865" cy="10165715"/>
          <wp:effectExtent l="0" t="0" r="0" b="0"/>
          <wp:wrapNone/>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EC" w:rsidRDefault="008C00E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8C00EC" w:rsidRDefault="008C00E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166B8"/>
    <w:multiLevelType w:val="multilevel"/>
    <w:tmpl w:val="F946958A"/>
    <w:lvl w:ilvl="0">
      <w:start w:val="1"/>
      <w:numFmt w:val="lowerLetter"/>
      <w:lvlText w:val="%1)"/>
      <w:lvlJc w:val="left"/>
      <w:pPr>
        <w:ind w:left="644" w:hanging="359"/>
      </w:pPr>
      <w:rPr>
        <w:b/>
        <w:i w:val="0"/>
        <w:sz w:val="22"/>
        <w:szCs w:val="22"/>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6F061C0"/>
    <w:multiLevelType w:val="multilevel"/>
    <w:tmpl w:val="84F88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F62641F"/>
    <w:multiLevelType w:val="multilevel"/>
    <w:tmpl w:val="A0C6437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nsid w:val="18A1051B"/>
    <w:multiLevelType w:val="multilevel"/>
    <w:tmpl w:val="19AAD784"/>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nsid w:val="29A71589"/>
    <w:multiLevelType w:val="multilevel"/>
    <w:tmpl w:val="D75EB382"/>
    <w:lvl w:ilvl="0">
      <w:start w:val="1"/>
      <w:numFmt w:val="lowerLetter"/>
      <w:lvlText w:val="%1)"/>
      <w:lvlJc w:val="left"/>
      <w:pPr>
        <w:ind w:left="927" w:hanging="360"/>
      </w:pPr>
      <w:rPr>
        <w:b/>
        <w:i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2B5A65FD"/>
    <w:multiLevelType w:val="multilevel"/>
    <w:tmpl w:val="F3C6B87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31C7A53"/>
    <w:multiLevelType w:val="multilevel"/>
    <w:tmpl w:val="4B9ADE7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nsid w:val="45493E0E"/>
    <w:multiLevelType w:val="multilevel"/>
    <w:tmpl w:val="BA9C8C66"/>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2803691"/>
    <w:multiLevelType w:val="multilevel"/>
    <w:tmpl w:val="106431FC"/>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58046030"/>
    <w:multiLevelType w:val="multilevel"/>
    <w:tmpl w:val="B5EEE4E4"/>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61C64234"/>
    <w:multiLevelType w:val="multilevel"/>
    <w:tmpl w:val="07EA0124"/>
    <w:lvl w:ilvl="0">
      <w:start w:val="1"/>
      <w:numFmt w:val="lowerLetter"/>
      <w:pStyle w:val="Listaconvietas3"/>
      <w:lvlText w:val="%1)"/>
      <w:lvlJc w:val="left"/>
      <w:pPr>
        <w:ind w:left="927" w:hanging="360"/>
      </w:pPr>
      <w:rPr>
        <w:b/>
        <w:i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7DBB5585"/>
    <w:multiLevelType w:val="multilevel"/>
    <w:tmpl w:val="3BC8B884"/>
    <w:lvl w:ilvl="0">
      <w:start w:val="1"/>
      <w:numFmt w:val="lowerLetter"/>
      <w:lvlText w:val="%1)"/>
      <w:lvlJc w:val="left"/>
      <w:pPr>
        <w:ind w:left="927" w:hanging="360"/>
      </w:pPr>
      <w:rPr>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nsid w:val="7E457BE4"/>
    <w:multiLevelType w:val="multilevel"/>
    <w:tmpl w:val="71C4DE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7"/>
  </w:num>
  <w:num w:numId="2">
    <w:abstractNumId w:val="10"/>
  </w:num>
  <w:num w:numId="3">
    <w:abstractNumId w:val="2"/>
  </w:num>
  <w:num w:numId="4">
    <w:abstractNumId w:val="11"/>
  </w:num>
  <w:num w:numId="5">
    <w:abstractNumId w:val="4"/>
  </w:num>
  <w:num w:numId="6">
    <w:abstractNumId w:val="1"/>
  </w:num>
  <w:num w:numId="7">
    <w:abstractNumId w:val="0"/>
  </w:num>
  <w:num w:numId="8">
    <w:abstractNumId w:val="6"/>
  </w:num>
  <w:num w:numId="9">
    <w:abstractNumId w:val="5"/>
  </w:num>
  <w:num w:numId="10">
    <w:abstractNumId w:val="3"/>
  </w:num>
  <w:num w:numId="11">
    <w:abstractNumId w:val="8"/>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DC9"/>
    <w:rsid w:val="000B1167"/>
    <w:rsid w:val="00141830"/>
    <w:rsid w:val="00804EE6"/>
    <w:rsid w:val="008724A2"/>
    <w:rsid w:val="008C00EC"/>
    <w:rsid w:val="00B13DC9"/>
    <w:rsid w:val="00B94BFE"/>
    <w:rsid w:val="00CC76DF"/>
    <w:rsid w:val="00D91DD4"/>
    <w:rsid w:val="00ED1B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5CE60E-DD0F-4EEE-B435-6E4D7B5EB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D4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2"/>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2"/>
    <w:tblPr>
      <w:tblStyleRowBandSize w:val="1"/>
      <w:tblStyleColBandSize w:val="1"/>
      <w:tblCellMar>
        <w:top w:w="0" w:type="dxa"/>
        <w:left w:w="115" w:type="dxa"/>
        <w:bottom w:w="0" w:type="dxa"/>
        <w:right w:w="115" w:type="dxa"/>
      </w:tblCellMar>
    </w:tblPr>
  </w:style>
  <w:style w:type="table" w:customStyle="1" w:styleId="1">
    <w:name w:val="1"/>
    <w:basedOn w:val="TableNormal2"/>
    <w:tblPr>
      <w:tblStyleRowBandSize w:val="1"/>
      <w:tblStyleColBandSize w:val="1"/>
      <w:tblCellMar>
        <w:top w:w="0" w:type="dxa"/>
        <w:left w:w="115" w:type="dxa"/>
        <w:bottom w:w="0" w:type="dxa"/>
        <w:right w:w="115"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2">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4">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5">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41362B"/>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75621"/>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774A00"/>
    <w:pPr>
      <w:numPr>
        <w:numId w:val="13"/>
      </w:numPr>
      <w:contextualSpacing/>
    </w:pPr>
    <w:rPr>
      <w:lang w:val="es-MX"/>
    </w:r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b">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dof.gob.mx/nota_detalle.php?codigo=5587157&amp;fecha=21/02/2020" TargetMode="External"/><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NBZgn8TXLgPPGXiL9/VfrKkXnQ==">AMUW2mUP4+YfGlFcqQiMJlwfK0jhBkc/2Vksiz0nxz5Wl6M/Vmi1vkpWbKN6CqeU/UnsqGnoGUAg24YR7W0ANlpeFSqN/Wt+RlTa1HtcX0KuZljEn64gM6sN+QiABkoUhH2+xP8rbdKW0waaA/3hC2z3lasWAw7xQ8QwfDvhURcGsxY/1HKeaQA=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C5D629-A733-4142-851F-43A293259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14227</Words>
  <Characters>78251</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2022-12-02T17:45:00Z</cp:lastPrinted>
  <dcterms:created xsi:type="dcterms:W3CDTF">2022-12-07T18:31:00Z</dcterms:created>
  <dcterms:modified xsi:type="dcterms:W3CDTF">2022-12-07T18:31:00Z</dcterms:modified>
</cp:coreProperties>
</file>